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0B46" w14:textId="5C36502B" w:rsidR="00751A23" w:rsidRDefault="00D00F85" w:rsidP="00B7222E">
      <w:pPr>
        <w:pStyle w:val="Title"/>
      </w:pPr>
      <w:r>
        <w:t xml:space="preserve">Unleashing the Potential of our Health Workforce </w:t>
      </w:r>
    </w:p>
    <w:p w14:paraId="0E7D83CC" w14:textId="77777777" w:rsidR="00CA79CF" w:rsidRDefault="00D00F85" w:rsidP="00CA79CF">
      <w:pPr>
        <w:pStyle w:val="Subtitle"/>
      </w:pPr>
      <w:r>
        <w:t xml:space="preserve">Scope of Practice Review </w:t>
      </w:r>
    </w:p>
    <w:p w14:paraId="4441CD61" w14:textId="77777777" w:rsidR="00244F9A" w:rsidRDefault="00244F9A" w:rsidP="00244F9A">
      <w:pPr>
        <w:pStyle w:val="Subtitle"/>
      </w:pPr>
    </w:p>
    <w:p w14:paraId="0475C7F1" w14:textId="5B256287" w:rsidR="00D00F85" w:rsidRDefault="00D00F85" w:rsidP="00244F9A">
      <w:pPr>
        <w:pStyle w:val="Subtitle"/>
      </w:pPr>
      <w:r>
        <w:t>Issues Paper 1</w:t>
      </w:r>
    </w:p>
    <w:p w14:paraId="37996AE1" w14:textId="265F87DC" w:rsidR="00D00F85" w:rsidRPr="00E74E71" w:rsidRDefault="00D554E7" w:rsidP="00D00F85">
      <w:pPr>
        <w:rPr>
          <w:b/>
          <w:bCs/>
        </w:rPr>
        <w:sectPr w:rsidR="00D00F85" w:rsidRPr="00E74E71" w:rsidSect="007F1C45">
          <w:headerReference w:type="default" r:id="rId11"/>
          <w:footerReference w:type="default" r:id="rId12"/>
          <w:headerReference w:type="first" r:id="rId13"/>
          <w:type w:val="continuous"/>
          <w:pgSz w:w="11906" w:h="16838"/>
          <w:pgMar w:top="1701" w:right="1418" w:bottom="1418" w:left="1418" w:header="709" w:footer="709" w:gutter="0"/>
          <w:cols w:space="708"/>
          <w:titlePg/>
          <w:docGrid w:linePitch="360"/>
        </w:sectPr>
      </w:pPr>
      <w:r>
        <w:rPr>
          <w:b/>
          <w:bCs/>
        </w:rPr>
        <w:t>23</w:t>
      </w:r>
      <w:r w:rsidR="008A7BBB">
        <w:rPr>
          <w:b/>
          <w:bCs/>
        </w:rPr>
        <w:t xml:space="preserve"> January 202</w:t>
      </w:r>
      <w:r w:rsidR="00F13952">
        <w:rPr>
          <w:b/>
          <w:bCs/>
        </w:rPr>
        <w:t>4</w:t>
      </w:r>
    </w:p>
    <w:p w14:paraId="699472A7" w14:textId="4374968E" w:rsidR="00100F6D" w:rsidRDefault="00100F6D" w:rsidP="00100F6D">
      <w:pPr>
        <w:pStyle w:val="Heading1"/>
      </w:pPr>
      <w:bookmarkStart w:id="0" w:name="_Toc156832059"/>
      <w:r>
        <w:lastRenderedPageBreak/>
        <w:t>Contents</w:t>
      </w:r>
      <w:bookmarkEnd w:id="0"/>
    </w:p>
    <w:p w14:paraId="6AC0A2CB" w14:textId="77777777" w:rsidR="00CD4446" w:rsidRPr="00CD4446" w:rsidRDefault="00CD4446" w:rsidP="00CD4446"/>
    <w:p w14:paraId="67779A81" w14:textId="5C4DBDE4" w:rsidR="001A7ED5" w:rsidRDefault="55C3D8EC">
      <w:pPr>
        <w:pStyle w:val="TOC1"/>
        <w:rPr>
          <w:rFonts w:asciiTheme="minorHAnsi" w:eastAsiaTheme="minorEastAsia" w:hAnsiTheme="minorHAnsi" w:cstheme="minorBidi"/>
          <w:noProof/>
          <w:color w:val="auto"/>
          <w:szCs w:val="22"/>
          <w:lang w:eastAsia="en-AU"/>
        </w:rPr>
      </w:pPr>
      <w:r>
        <w:fldChar w:fldCharType="begin"/>
      </w:r>
      <w:r w:rsidR="00D43E3D">
        <w:instrText>TOC \o "1-3" \h \z \u</w:instrText>
      </w:r>
      <w:r>
        <w:fldChar w:fldCharType="separate"/>
      </w:r>
      <w:hyperlink w:anchor="_Toc156832059" w:history="1">
        <w:r w:rsidR="001A7ED5" w:rsidRPr="00624468">
          <w:rPr>
            <w:rStyle w:val="Hyperlink"/>
            <w:noProof/>
          </w:rPr>
          <w:t>Contents</w:t>
        </w:r>
        <w:r w:rsidR="001A7ED5">
          <w:rPr>
            <w:noProof/>
            <w:webHidden/>
          </w:rPr>
          <w:tab/>
        </w:r>
        <w:r w:rsidR="001A7ED5">
          <w:rPr>
            <w:noProof/>
            <w:webHidden/>
          </w:rPr>
          <w:fldChar w:fldCharType="begin"/>
        </w:r>
        <w:r w:rsidR="001A7ED5">
          <w:rPr>
            <w:noProof/>
            <w:webHidden/>
          </w:rPr>
          <w:instrText xml:space="preserve"> PAGEREF _Toc156832059 \h </w:instrText>
        </w:r>
        <w:r w:rsidR="001A7ED5">
          <w:rPr>
            <w:noProof/>
            <w:webHidden/>
          </w:rPr>
        </w:r>
        <w:r w:rsidR="001A7ED5">
          <w:rPr>
            <w:noProof/>
            <w:webHidden/>
          </w:rPr>
          <w:fldChar w:fldCharType="separate"/>
        </w:r>
        <w:r w:rsidR="00E40B08">
          <w:rPr>
            <w:noProof/>
            <w:webHidden/>
          </w:rPr>
          <w:t>ii</w:t>
        </w:r>
        <w:r w:rsidR="001A7ED5">
          <w:rPr>
            <w:noProof/>
            <w:webHidden/>
          </w:rPr>
          <w:fldChar w:fldCharType="end"/>
        </w:r>
      </w:hyperlink>
    </w:p>
    <w:p w14:paraId="726F47D0" w14:textId="689E0A98" w:rsidR="001A7ED5" w:rsidRDefault="00140AAD">
      <w:pPr>
        <w:pStyle w:val="TOC1"/>
        <w:rPr>
          <w:rFonts w:asciiTheme="minorHAnsi" w:eastAsiaTheme="minorEastAsia" w:hAnsiTheme="minorHAnsi" w:cstheme="minorBidi"/>
          <w:noProof/>
          <w:color w:val="auto"/>
          <w:szCs w:val="22"/>
          <w:lang w:eastAsia="en-AU"/>
        </w:rPr>
      </w:pPr>
      <w:hyperlink w:anchor="_Toc156832060" w:history="1">
        <w:r w:rsidR="001A7ED5" w:rsidRPr="00624468">
          <w:rPr>
            <w:rStyle w:val="Hyperlink"/>
            <w:noProof/>
          </w:rPr>
          <w:t>Acknowledgements</w:t>
        </w:r>
        <w:r w:rsidR="001A7ED5">
          <w:rPr>
            <w:noProof/>
            <w:webHidden/>
          </w:rPr>
          <w:tab/>
        </w:r>
        <w:r w:rsidR="001A7ED5">
          <w:rPr>
            <w:noProof/>
            <w:webHidden/>
          </w:rPr>
          <w:fldChar w:fldCharType="begin"/>
        </w:r>
        <w:r w:rsidR="001A7ED5">
          <w:rPr>
            <w:noProof/>
            <w:webHidden/>
          </w:rPr>
          <w:instrText xml:space="preserve"> PAGEREF _Toc156832060 \h </w:instrText>
        </w:r>
        <w:r w:rsidR="001A7ED5">
          <w:rPr>
            <w:noProof/>
            <w:webHidden/>
          </w:rPr>
        </w:r>
        <w:r w:rsidR="001A7ED5">
          <w:rPr>
            <w:noProof/>
            <w:webHidden/>
          </w:rPr>
          <w:fldChar w:fldCharType="separate"/>
        </w:r>
        <w:r w:rsidR="00E40B08">
          <w:rPr>
            <w:noProof/>
            <w:webHidden/>
          </w:rPr>
          <w:t>1</w:t>
        </w:r>
        <w:r w:rsidR="001A7ED5">
          <w:rPr>
            <w:noProof/>
            <w:webHidden/>
          </w:rPr>
          <w:fldChar w:fldCharType="end"/>
        </w:r>
      </w:hyperlink>
    </w:p>
    <w:p w14:paraId="3222E78E" w14:textId="09725BB6" w:rsidR="001A7ED5" w:rsidRDefault="00140AAD">
      <w:pPr>
        <w:pStyle w:val="TOC1"/>
        <w:rPr>
          <w:rFonts w:asciiTheme="minorHAnsi" w:eastAsiaTheme="minorEastAsia" w:hAnsiTheme="minorHAnsi" w:cstheme="minorBidi"/>
          <w:noProof/>
          <w:color w:val="auto"/>
          <w:szCs w:val="22"/>
          <w:lang w:eastAsia="en-AU"/>
        </w:rPr>
      </w:pPr>
      <w:hyperlink w:anchor="_Toc156832061" w:history="1">
        <w:r w:rsidR="001A7ED5" w:rsidRPr="00624468">
          <w:rPr>
            <w:rStyle w:val="Hyperlink"/>
            <w:noProof/>
          </w:rPr>
          <w:t>Glossary</w:t>
        </w:r>
        <w:r w:rsidR="001A7ED5">
          <w:rPr>
            <w:noProof/>
            <w:webHidden/>
          </w:rPr>
          <w:tab/>
        </w:r>
        <w:r w:rsidR="001A7ED5">
          <w:rPr>
            <w:noProof/>
            <w:webHidden/>
          </w:rPr>
          <w:fldChar w:fldCharType="begin"/>
        </w:r>
        <w:r w:rsidR="001A7ED5">
          <w:rPr>
            <w:noProof/>
            <w:webHidden/>
          </w:rPr>
          <w:instrText xml:space="preserve"> PAGEREF _Toc156832061 \h </w:instrText>
        </w:r>
        <w:r w:rsidR="001A7ED5">
          <w:rPr>
            <w:noProof/>
            <w:webHidden/>
          </w:rPr>
        </w:r>
        <w:r w:rsidR="001A7ED5">
          <w:rPr>
            <w:noProof/>
            <w:webHidden/>
          </w:rPr>
          <w:fldChar w:fldCharType="separate"/>
        </w:r>
        <w:r w:rsidR="00E40B08">
          <w:rPr>
            <w:noProof/>
            <w:webHidden/>
          </w:rPr>
          <w:t>2</w:t>
        </w:r>
        <w:r w:rsidR="001A7ED5">
          <w:rPr>
            <w:noProof/>
            <w:webHidden/>
          </w:rPr>
          <w:fldChar w:fldCharType="end"/>
        </w:r>
      </w:hyperlink>
    </w:p>
    <w:p w14:paraId="001A0922" w14:textId="22BA565C" w:rsidR="001A7ED5" w:rsidRDefault="00140AAD">
      <w:pPr>
        <w:pStyle w:val="TOC1"/>
        <w:rPr>
          <w:rFonts w:asciiTheme="minorHAnsi" w:eastAsiaTheme="minorEastAsia" w:hAnsiTheme="minorHAnsi" w:cstheme="minorBidi"/>
          <w:noProof/>
          <w:color w:val="auto"/>
          <w:szCs w:val="22"/>
          <w:lang w:eastAsia="en-AU"/>
        </w:rPr>
      </w:pPr>
      <w:hyperlink w:anchor="_Toc156832062" w:history="1">
        <w:r w:rsidR="001A7ED5" w:rsidRPr="00624468">
          <w:rPr>
            <w:rStyle w:val="Hyperlink"/>
            <w:noProof/>
          </w:rPr>
          <w:t>Executive Summary</w:t>
        </w:r>
        <w:r w:rsidR="001A7ED5">
          <w:rPr>
            <w:noProof/>
            <w:webHidden/>
          </w:rPr>
          <w:tab/>
        </w:r>
        <w:r w:rsidR="001A7ED5">
          <w:rPr>
            <w:noProof/>
            <w:webHidden/>
          </w:rPr>
          <w:fldChar w:fldCharType="begin"/>
        </w:r>
        <w:r w:rsidR="001A7ED5">
          <w:rPr>
            <w:noProof/>
            <w:webHidden/>
          </w:rPr>
          <w:instrText xml:space="preserve"> PAGEREF _Toc156832062 \h </w:instrText>
        </w:r>
        <w:r w:rsidR="001A7ED5">
          <w:rPr>
            <w:noProof/>
            <w:webHidden/>
          </w:rPr>
        </w:r>
        <w:r w:rsidR="001A7ED5">
          <w:rPr>
            <w:noProof/>
            <w:webHidden/>
          </w:rPr>
          <w:fldChar w:fldCharType="separate"/>
        </w:r>
        <w:r w:rsidR="00E40B08">
          <w:rPr>
            <w:noProof/>
            <w:webHidden/>
          </w:rPr>
          <w:t>4</w:t>
        </w:r>
        <w:r w:rsidR="001A7ED5">
          <w:rPr>
            <w:noProof/>
            <w:webHidden/>
          </w:rPr>
          <w:fldChar w:fldCharType="end"/>
        </w:r>
      </w:hyperlink>
    </w:p>
    <w:p w14:paraId="01DD08F7" w14:textId="66B93BE9" w:rsidR="001A7ED5" w:rsidRDefault="00140AAD">
      <w:pPr>
        <w:pStyle w:val="TOC1"/>
        <w:rPr>
          <w:rFonts w:asciiTheme="minorHAnsi" w:eastAsiaTheme="minorEastAsia" w:hAnsiTheme="minorHAnsi" w:cstheme="minorBidi"/>
          <w:noProof/>
          <w:color w:val="auto"/>
          <w:szCs w:val="22"/>
          <w:lang w:eastAsia="en-AU"/>
        </w:rPr>
      </w:pPr>
      <w:hyperlink w:anchor="_Toc156832063" w:history="1">
        <w:r w:rsidR="001A7ED5" w:rsidRPr="00624468">
          <w:rPr>
            <w:rStyle w:val="Hyperlink"/>
            <w:noProof/>
          </w:rPr>
          <w:t>Background and purpose</w:t>
        </w:r>
        <w:r w:rsidR="001A7ED5">
          <w:rPr>
            <w:noProof/>
            <w:webHidden/>
          </w:rPr>
          <w:tab/>
        </w:r>
        <w:r w:rsidR="001A7ED5">
          <w:rPr>
            <w:noProof/>
            <w:webHidden/>
          </w:rPr>
          <w:fldChar w:fldCharType="begin"/>
        </w:r>
        <w:r w:rsidR="001A7ED5">
          <w:rPr>
            <w:noProof/>
            <w:webHidden/>
          </w:rPr>
          <w:instrText xml:space="preserve"> PAGEREF _Toc156832063 \h </w:instrText>
        </w:r>
        <w:r w:rsidR="001A7ED5">
          <w:rPr>
            <w:noProof/>
            <w:webHidden/>
          </w:rPr>
        </w:r>
        <w:r w:rsidR="001A7ED5">
          <w:rPr>
            <w:noProof/>
            <w:webHidden/>
          </w:rPr>
          <w:fldChar w:fldCharType="separate"/>
        </w:r>
        <w:r w:rsidR="00E40B08">
          <w:rPr>
            <w:noProof/>
            <w:webHidden/>
          </w:rPr>
          <w:t>5</w:t>
        </w:r>
        <w:r w:rsidR="001A7ED5">
          <w:rPr>
            <w:noProof/>
            <w:webHidden/>
          </w:rPr>
          <w:fldChar w:fldCharType="end"/>
        </w:r>
      </w:hyperlink>
    </w:p>
    <w:p w14:paraId="17AD9445" w14:textId="033623B1" w:rsidR="001A7ED5" w:rsidRDefault="00140AAD">
      <w:pPr>
        <w:pStyle w:val="TOC1"/>
        <w:rPr>
          <w:rFonts w:asciiTheme="minorHAnsi" w:eastAsiaTheme="minorEastAsia" w:hAnsiTheme="minorHAnsi" w:cstheme="minorBidi"/>
          <w:noProof/>
          <w:color w:val="auto"/>
          <w:szCs w:val="22"/>
          <w:lang w:eastAsia="en-AU"/>
        </w:rPr>
      </w:pPr>
      <w:hyperlink w:anchor="_Toc156832064" w:history="1">
        <w:r w:rsidR="001A7ED5" w:rsidRPr="00624468">
          <w:rPr>
            <w:rStyle w:val="Hyperlink"/>
            <w:noProof/>
          </w:rPr>
          <w:t>Summary of evidence</w:t>
        </w:r>
        <w:r w:rsidR="001A7ED5">
          <w:rPr>
            <w:noProof/>
            <w:webHidden/>
          </w:rPr>
          <w:tab/>
        </w:r>
        <w:r w:rsidR="001A7ED5">
          <w:rPr>
            <w:noProof/>
            <w:webHidden/>
          </w:rPr>
          <w:fldChar w:fldCharType="begin"/>
        </w:r>
        <w:r w:rsidR="001A7ED5">
          <w:rPr>
            <w:noProof/>
            <w:webHidden/>
          </w:rPr>
          <w:instrText xml:space="preserve"> PAGEREF _Toc156832064 \h </w:instrText>
        </w:r>
        <w:r w:rsidR="001A7ED5">
          <w:rPr>
            <w:noProof/>
            <w:webHidden/>
          </w:rPr>
        </w:r>
        <w:r w:rsidR="001A7ED5">
          <w:rPr>
            <w:noProof/>
            <w:webHidden/>
          </w:rPr>
          <w:fldChar w:fldCharType="separate"/>
        </w:r>
        <w:r w:rsidR="00E40B08">
          <w:rPr>
            <w:noProof/>
            <w:webHidden/>
          </w:rPr>
          <w:t>8</w:t>
        </w:r>
        <w:r w:rsidR="001A7ED5">
          <w:rPr>
            <w:noProof/>
            <w:webHidden/>
          </w:rPr>
          <w:fldChar w:fldCharType="end"/>
        </w:r>
      </w:hyperlink>
    </w:p>
    <w:p w14:paraId="791DE72E" w14:textId="65ABCECB" w:rsidR="001A7ED5" w:rsidRDefault="00140AAD">
      <w:pPr>
        <w:pStyle w:val="TOC2"/>
        <w:rPr>
          <w:rFonts w:asciiTheme="minorHAnsi" w:eastAsiaTheme="minorEastAsia" w:hAnsiTheme="minorHAnsi" w:cstheme="minorBidi"/>
          <w:noProof/>
          <w:color w:val="auto"/>
          <w:szCs w:val="22"/>
          <w:lang w:eastAsia="en-AU"/>
        </w:rPr>
      </w:pPr>
      <w:hyperlink w:anchor="_Toc156832065" w:history="1">
        <w:r w:rsidR="001A7ED5" w:rsidRPr="00624468">
          <w:rPr>
            <w:rStyle w:val="Hyperlink"/>
            <w:noProof/>
          </w:rPr>
          <w:t>Overview of evidence</w:t>
        </w:r>
        <w:r w:rsidR="001A7ED5">
          <w:rPr>
            <w:noProof/>
            <w:webHidden/>
          </w:rPr>
          <w:tab/>
        </w:r>
        <w:r w:rsidR="001A7ED5">
          <w:rPr>
            <w:noProof/>
            <w:webHidden/>
          </w:rPr>
          <w:fldChar w:fldCharType="begin"/>
        </w:r>
        <w:r w:rsidR="001A7ED5">
          <w:rPr>
            <w:noProof/>
            <w:webHidden/>
          </w:rPr>
          <w:instrText xml:space="preserve"> PAGEREF _Toc156832065 \h </w:instrText>
        </w:r>
        <w:r w:rsidR="001A7ED5">
          <w:rPr>
            <w:noProof/>
            <w:webHidden/>
          </w:rPr>
        </w:r>
        <w:r w:rsidR="001A7ED5">
          <w:rPr>
            <w:noProof/>
            <w:webHidden/>
          </w:rPr>
          <w:fldChar w:fldCharType="separate"/>
        </w:r>
        <w:r w:rsidR="00E40B08">
          <w:rPr>
            <w:noProof/>
            <w:webHidden/>
          </w:rPr>
          <w:t>8</w:t>
        </w:r>
        <w:r w:rsidR="001A7ED5">
          <w:rPr>
            <w:noProof/>
            <w:webHidden/>
          </w:rPr>
          <w:fldChar w:fldCharType="end"/>
        </w:r>
      </w:hyperlink>
    </w:p>
    <w:p w14:paraId="0B3ABEA5" w14:textId="44C067E5" w:rsidR="001A7ED5" w:rsidRDefault="00140AAD">
      <w:pPr>
        <w:pStyle w:val="TOC2"/>
        <w:rPr>
          <w:rFonts w:asciiTheme="minorHAnsi" w:eastAsiaTheme="minorEastAsia" w:hAnsiTheme="minorHAnsi" w:cstheme="minorBidi"/>
          <w:noProof/>
          <w:color w:val="auto"/>
          <w:szCs w:val="22"/>
          <w:lang w:eastAsia="en-AU"/>
        </w:rPr>
      </w:pPr>
      <w:hyperlink w:anchor="_Toc156832066" w:history="1">
        <w:r w:rsidR="001A7ED5" w:rsidRPr="00624468">
          <w:rPr>
            <w:rStyle w:val="Hyperlink"/>
            <w:noProof/>
          </w:rPr>
          <w:t>Key findings</w:t>
        </w:r>
        <w:r w:rsidR="001A7ED5">
          <w:rPr>
            <w:noProof/>
            <w:webHidden/>
          </w:rPr>
          <w:tab/>
        </w:r>
        <w:r w:rsidR="001A7ED5">
          <w:rPr>
            <w:noProof/>
            <w:webHidden/>
          </w:rPr>
          <w:fldChar w:fldCharType="begin"/>
        </w:r>
        <w:r w:rsidR="001A7ED5">
          <w:rPr>
            <w:noProof/>
            <w:webHidden/>
          </w:rPr>
          <w:instrText xml:space="preserve"> PAGEREF _Toc156832066 \h </w:instrText>
        </w:r>
        <w:r w:rsidR="001A7ED5">
          <w:rPr>
            <w:noProof/>
            <w:webHidden/>
          </w:rPr>
        </w:r>
        <w:r w:rsidR="001A7ED5">
          <w:rPr>
            <w:noProof/>
            <w:webHidden/>
          </w:rPr>
          <w:fldChar w:fldCharType="separate"/>
        </w:r>
        <w:r w:rsidR="00E40B08">
          <w:rPr>
            <w:noProof/>
            <w:webHidden/>
          </w:rPr>
          <w:t>8</w:t>
        </w:r>
        <w:r w:rsidR="001A7ED5">
          <w:rPr>
            <w:noProof/>
            <w:webHidden/>
          </w:rPr>
          <w:fldChar w:fldCharType="end"/>
        </w:r>
      </w:hyperlink>
    </w:p>
    <w:p w14:paraId="67B08399" w14:textId="5B94A3BE" w:rsidR="001A7ED5" w:rsidRDefault="00140AAD">
      <w:pPr>
        <w:pStyle w:val="TOC2"/>
        <w:rPr>
          <w:rFonts w:asciiTheme="minorHAnsi" w:eastAsiaTheme="minorEastAsia" w:hAnsiTheme="minorHAnsi" w:cstheme="minorBidi"/>
          <w:noProof/>
          <w:color w:val="auto"/>
          <w:szCs w:val="22"/>
          <w:lang w:eastAsia="en-AU"/>
        </w:rPr>
      </w:pPr>
      <w:hyperlink w:anchor="_Toc156832067" w:history="1">
        <w:r w:rsidR="001A7ED5" w:rsidRPr="00624468">
          <w:rPr>
            <w:rStyle w:val="Hyperlink"/>
            <w:noProof/>
          </w:rPr>
          <w:t>Conclusions</w:t>
        </w:r>
        <w:r w:rsidR="001A7ED5">
          <w:rPr>
            <w:noProof/>
            <w:webHidden/>
          </w:rPr>
          <w:tab/>
        </w:r>
        <w:r w:rsidR="001A7ED5">
          <w:rPr>
            <w:noProof/>
            <w:webHidden/>
          </w:rPr>
          <w:fldChar w:fldCharType="begin"/>
        </w:r>
        <w:r w:rsidR="001A7ED5">
          <w:rPr>
            <w:noProof/>
            <w:webHidden/>
          </w:rPr>
          <w:instrText xml:space="preserve"> PAGEREF _Toc156832067 \h </w:instrText>
        </w:r>
        <w:r w:rsidR="001A7ED5">
          <w:rPr>
            <w:noProof/>
            <w:webHidden/>
          </w:rPr>
        </w:r>
        <w:r w:rsidR="001A7ED5">
          <w:rPr>
            <w:noProof/>
            <w:webHidden/>
          </w:rPr>
          <w:fldChar w:fldCharType="separate"/>
        </w:r>
        <w:r w:rsidR="00E40B08">
          <w:rPr>
            <w:noProof/>
            <w:webHidden/>
          </w:rPr>
          <w:t>9</w:t>
        </w:r>
        <w:r w:rsidR="001A7ED5">
          <w:rPr>
            <w:noProof/>
            <w:webHidden/>
          </w:rPr>
          <w:fldChar w:fldCharType="end"/>
        </w:r>
      </w:hyperlink>
    </w:p>
    <w:p w14:paraId="79B5859B" w14:textId="5C2597EE" w:rsidR="001A7ED5" w:rsidRDefault="00140AAD">
      <w:pPr>
        <w:pStyle w:val="TOC1"/>
        <w:rPr>
          <w:rFonts w:asciiTheme="minorHAnsi" w:eastAsiaTheme="minorEastAsia" w:hAnsiTheme="minorHAnsi" w:cstheme="minorBidi"/>
          <w:noProof/>
          <w:color w:val="auto"/>
          <w:szCs w:val="22"/>
          <w:lang w:eastAsia="en-AU"/>
        </w:rPr>
      </w:pPr>
      <w:hyperlink w:anchor="_Toc156832068" w:history="1">
        <w:r w:rsidR="001A7ED5" w:rsidRPr="00624468">
          <w:rPr>
            <w:rStyle w:val="Hyperlink"/>
            <w:noProof/>
          </w:rPr>
          <w:t>Emerging themes from analysis</w:t>
        </w:r>
        <w:r w:rsidR="001A7ED5">
          <w:rPr>
            <w:noProof/>
            <w:webHidden/>
          </w:rPr>
          <w:tab/>
        </w:r>
        <w:r w:rsidR="001A7ED5">
          <w:rPr>
            <w:noProof/>
            <w:webHidden/>
          </w:rPr>
          <w:fldChar w:fldCharType="begin"/>
        </w:r>
        <w:r w:rsidR="001A7ED5">
          <w:rPr>
            <w:noProof/>
            <w:webHidden/>
          </w:rPr>
          <w:instrText xml:space="preserve"> PAGEREF _Toc156832068 \h </w:instrText>
        </w:r>
        <w:r w:rsidR="001A7ED5">
          <w:rPr>
            <w:noProof/>
            <w:webHidden/>
          </w:rPr>
        </w:r>
        <w:r w:rsidR="001A7ED5">
          <w:rPr>
            <w:noProof/>
            <w:webHidden/>
          </w:rPr>
          <w:fldChar w:fldCharType="separate"/>
        </w:r>
        <w:r w:rsidR="00E40B08">
          <w:rPr>
            <w:noProof/>
            <w:webHidden/>
          </w:rPr>
          <w:t>11</w:t>
        </w:r>
        <w:r w:rsidR="001A7ED5">
          <w:rPr>
            <w:noProof/>
            <w:webHidden/>
          </w:rPr>
          <w:fldChar w:fldCharType="end"/>
        </w:r>
      </w:hyperlink>
    </w:p>
    <w:p w14:paraId="43D38345" w14:textId="74F5401F" w:rsidR="001A7ED5" w:rsidRDefault="00140AAD">
      <w:pPr>
        <w:pStyle w:val="TOC2"/>
        <w:tabs>
          <w:tab w:val="left" w:pos="660"/>
        </w:tabs>
        <w:rPr>
          <w:rFonts w:asciiTheme="minorHAnsi" w:eastAsiaTheme="minorEastAsia" w:hAnsiTheme="minorHAnsi" w:cstheme="minorBidi"/>
          <w:noProof/>
          <w:color w:val="auto"/>
          <w:szCs w:val="22"/>
          <w:lang w:eastAsia="en-AU"/>
        </w:rPr>
      </w:pPr>
      <w:hyperlink w:anchor="_Toc156832069" w:history="1">
        <w:r w:rsidR="001A7ED5" w:rsidRPr="00624468">
          <w:rPr>
            <w:rStyle w:val="Hyperlink"/>
            <w:noProof/>
          </w:rPr>
          <w:t>1.</w:t>
        </w:r>
        <w:r w:rsidR="001A7ED5">
          <w:rPr>
            <w:rFonts w:asciiTheme="minorHAnsi" w:eastAsiaTheme="minorEastAsia" w:hAnsiTheme="minorHAnsi" w:cstheme="minorBidi"/>
            <w:noProof/>
            <w:color w:val="auto"/>
            <w:szCs w:val="22"/>
            <w:lang w:eastAsia="en-AU"/>
          </w:rPr>
          <w:tab/>
        </w:r>
        <w:r w:rsidR="001A7ED5" w:rsidRPr="00624468">
          <w:rPr>
            <w:rStyle w:val="Hyperlink"/>
            <w:noProof/>
          </w:rPr>
          <w:t>Legislation and regulation</w:t>
        </w:r>
        <w:r w:rsidR="001A7ED5">
          <w:rPr>
            <w:noProof/>
            <w:webHidden/>
          </w:rPr>
          <w:tab/>
        </w:r>
        <w:r w:rsidR="001A7ED5">
          <w:rPr>
            <w:noProof/>
            <w:webHidden/>
          </w:rPr>
          <w:fldChar w:fldCharType="begin"/>
        </w:r>
        <w:r w:rsidR="001A7ED5">
          <w:rPr>
            <w:noProof/>
            <w:webHidden/>
          </w:rPr>
          <w:instrText xml:space="preserve"> PAGEREF _Toc156832069 \h </w:instrText>
        </w:r>
        <w:r w:rsidR="001A7ED5">
          <w:rPr>
            <w:noProof/>
            <w:webHidden/>
          </w:rPr>
        </w:r>
        <w:r w:rsidR="001A7ED5">
          <w:rPr>
            <w:noProof/>
            <w:webHidden/>
          </w:rPr>
          <w:fldChar w:fldCharType="separate"/>
        </w:r>
        <w:r w:rsidR="00E40B08">
          <w:rPr>
            <w:noProof/>
            <w:webHidden/>
          </w:rPr>
          <w:t>11</w:t>
        </w:r>
        <w:r w:rsidR="001A7ED5">
          <w:rPr>
            <w:noProof/>
            <w:webHidden/>
          </w:rPr>
          <w:fldChar w:fldCharType="end"/>
        </w:r>
      </w:hyperlink>
    </w:p>
    <w:p w14:paraId="245FC091" w14:textId="31BE3008" w:rsidR="001A7ED5" w:rsidRDefault="00140AAD">
      <w:pPr>
        <w:pStyle w:val="TOC2"/>
        <w:tabs>
          <w:tab w:val="left" w:pos="660"/>
        </w:tabs>
        <w:rPr>
          <w:rFonts w:asciiTheme="minorHAnsi" w:eastAsiaTheme="minorEastAsia" w:hAnsiTheme="minorHAnsi" w:cstheme="minorBidi"/>
          <w:noProof/>
          <w:color w:val="auto"/>
          <w:szCs w:val="22"/>
          <w:lang w:eastAsia="en-AU"/>
        </w:rPr>
      </w:pPr>
      <w:hyperlink w:anchor="_Toc156832070" w:history="1">
        <w:r w:rsidR="001A7ED5" w:rsidRPr="00624468">
          <w:rPr>
            <w:rStyle w:val="Hyperlink"/>
            <w:noProof/>
          </w:rPr>
          <w:t>2.</w:t>
        </w:r>
        <w:r w:rsidR="001A7ED5">
          <w:rPr>
            <w:rFonts w:asciiTheme="minorHAnsi" w:eastAsiaTheme="minorEastAsia" w:hAnsiTheme="minorHAnsi" w:cstheme="minorBidi"/>
            <w:noProof/>
            <w:color w:val="auto"/>
            <w:szCs w:val="22"/>
            <w:lang w:eastAsia="en-AU"/>
          </w:rPr>
          <w:tab/>
        </w:r>
        <w:r w:rsidR="001A7ED5" w:rsidRPr="00624468">
          <w:rPr>
            <w:rStyle w:val="Hyperlink"/>
            <w:noProof/>
          </w:rPr>
          <w:t>Employer practices and settings</w:t>
        </w:r>
        <w:r w:rsidR="001A7ED5">
          <w:rPr>
            <w:noProof/>
            <w:webHidden/>
          </w:rPr>
          <w:tab/>
        </w:r>
        <w:r w:rsidR="001A7ED5">
          <w:rPr>
            <w:noProof/>
            <w:webHidden/>
          </w:rPr>
          <w:fldChar w:fldCharType="begin"/>
        </w:r>
        <w:r w:rsidR="001A7ED5">
          <w:rPr>
            <w:noProof/>
            <w:webHidden/>
          </w:rPr>
          <w:instrText xml:space="preserve"> PAGEREF _Toc156832070 \h </w:instrText>
        </w:r>
        <w:r w:rsidR="001A7ED5">
          <w:rPr>
            <w:noProof/>
            <w:webHidden/>
          </w:rPr>
        </w:r>
        <w:r w:rsidR="001A7ED5">
          <w:rPr>
            <w:noProof/>
            <w:webHidden/>
          </w:rPr>
          <w:fldChar w:fldCharType="separate"/>
        </w:r>
        <w:r w:rsidR="00E40B08">
          <w:rPr>
            <w:noProof/>
            <w:webHidden/>
          </w:rPr>
          <w:t>16</w:t>
        </w:r>
        <w:r w:rsidR="001A7ED5">
          <w:rPr>
            <w:noProof/>
            <w:webHidden/>
          </w:rPr>
          <w:fldChar w:fldCharType="end"/>
        </w:r>
      </w:hyperlink>
    </w:p>
    <w:p w14:paraId="086B2DA1" w14:textId="4DAFB2F8" w:rsidR="001A7ED5" w:rsidRDefault="00140AAD">
      <w:pPr>
        <w:pStyle w:val="TOC2"/>
        <w:tabs>
          <w:tab w:val="left" w:pos="660"/>
        </w:tabs>
        <w:rPr>
          <w:rFonts w:asciiTheme="minorHAnsi" w:eastAsiaTheme="minorEastAsia" w:hAnsiTheme="minorHAnsi" w:cstheme="minorBidi"/>
          <w:noProof/>
          <w:color w:val="auto"/>
          <w:szCs w:val="22"/>
          <w:lang w:eastAsia="en-AU"/>
        </w:rPr>
      </w:pPr>
      <w:hyperlink w:anchor="_Toc156832071" w:history="1">
        <w:r w:rsidR="001A7ED5" w:rsidRPr="00624468">
          <w:rPr>
            <w:rStyle w:val="Hyperlink"/>
            <w:noProof/>
          </w:rPr>
          <w:t>3.</w:t>
        </w:r>
        <w:r w:rsidR="001A7ED5">
          <w:rPr>
            <w:rFonts w:asciiTheme="minorHAnsi" w:eastAsiaTheme="minorEastAsia" w:hAnsiTheme="minorHAnsi" w:cstheme="minorBidi"/>
            <w:noProof/>
            <w:color w:val="auto"/>
            <w:szCs w:val="22"/>
            <w:lang w:eastAsia="en-AU"/>
          </w:rPr>
          <w:tab/>
        </w:r>
        <w:r w:rsidR="001A7ED5" w:rsidRPr="00624468">
          <w:rPr>
            <w:rStyle w:val="Hyperlink"/>
            <w:noProof/>
          </w:rPr>
          <w:t>Education and training</w:t>
        </w:r>
        <w:r w:rsidR="001A7ED5">
          <w:rPr>
            <w:noProof/>
            <w:webHidden/>
          </w:rPr>
          <w:tab/>
        </w:r>
        <w:r w:rsidR="001A7ED5">
          <w:rPr>
            <w:noProof/>
            <w:webHidden/>
          </w:rPr>
          <w:fldChar w:fldCharType="begin"/>
        </w:r>
        <w:r w:rsidR="001A7ED5">
          <w:rPr>
            <w:noProof/>
            <w:webHidden/>
          </w:rPr>
          <w:instrText xml:space="preserve"> PAGEREF _Toc156832071 \h </w:instrText>
        </w:r>
        <w:r w:rsidR="001A7ED5">
          <w:rPr>
            <w:noProof/>
            <w:webHidden/>
          </w:rPr>
        </w:r>
        <w:r w:rsidR="001A7ED5">
          <w:rPr>
            <w:noProof/>
            <w:webHidden/>
          </w:rPr>
          <w:fldChar w:fldCharType="separate"/>
        </w:r>
        <w:r w:rsidR="00E40B08">
          <w:rPr>
            <w:noProof/>
            <w:webHidden/>
          </w:rPr>
          <w:t>20</w:t>
        </w:r>
        <w:r w:rsidR="001A7ED5">
          <w:rPr>
            <w:noProof/>
            <w:webHidden/>
          </w:rPr>
          <w:fldChar w:fldCharType="end"/>
        </w:r>
      </w:hyperlink>
    </w:p>
    <w:p w14:paraId="12C240C0" w14:textId="6FAB5325" w:rsidR="001A7ED5" w:rsidRDefault="00140AAD">
      <w:pPr>
        <w:pStyle w:val="TOC2"/>
        <w:tabs>
          <w:tab w:val="left" w:pos="660"/>
        </w:tabs>
        <w:rPr>
          <w:rFonts w:asciiTheme="minorHAnsi" w:eastAsiaTheme="minorEastAsia" w:hAnsiTheme="minorHAnsi" w:cstheme="minorBidi"/>
          <w:noProof/>
          <w:color w:val="auto"/>
          <w:szCs w:val="22"/>
          <w:lang w:eastAsia="en-AU"/>
        </w:rPr>
      </w:pPr>
      <w:hyperlink w:anchor="_Toc156832072" w:history="1">
        <w:r w:rsidR="001A7ED5" w:rsidRPr="00624468">
          <w:rPr>
            <w:rStyle w:val="Hyperlink"/>
            <w:noProof/>
          </w:rPr>
          <w:t>4.</w:t>
        </w:r>
        <w:r w:rsidR="001A7ED5">
          <w:rPr>
            <w:rFonts w:asciiTheme="minorHAnsi" w:eastAsiaTheme="minorEastAsia" w:hAnsiTheme="minorHAnsi" w:cstheme="minorBidi"/>
            <w:noProof/>
            <w:color w:val="auto"/>
            <w:szCs w:val="22"/>
            <w:lang w:eastAsia="en-AU"/>
          </w:rPr>
          <w:tab/>
        </w:r>
        <w:r w:rsidR="001A7ED5" w:rsidRPr="00624468">
          <w:rPr>
            <w:rStyle w:val="Hyperlink"/>
            <w:noProof/>
          </w:rPr>
          <w:t>Funding policy</w:t>
        </w:r>
        <w:r w:rsidR="001A7ED5">
          <w:rPr>
            <w:noProof/>
            <w:webHidden/>
          </w:rPr>
          <w:tab/>
        </w:r>
        <w:r w:rsidR="001A7ED5">
          <w:rPr>
            <w:noProof/>
            <w:webHidden/>
          </w:rPr>
          <w:fldChar w:fldCharType="begin"/>
        </w:r>
        <w:r w:rsidR="001A7ED5">
          <w:rPr>
            <w:noProof/>
            <w:webHidden/>
          </w:rPr>
          <w:instrText xml:space="preserve"> PAGEREF _Toc156832072 \h </w:instrText>
        </w:r>
        <w:r w:rsidR="001A7ED5">
          <w:rPr>
            <w:noProof/>
            <w:webHidden/>
          </w:rPr>
        </w:r>
        <w:r w:rsidR="001A7ED5">
          <w:rPr>
            <w:noProof/>
            <w:webHidden/>
          </w:rPr>
          <w:fldChar w:fldCharType="separate"/>
        </w:r>
        <w:r w:rsidR="00E40B08">
          <w:rPr>
            <w:noProof/>
            <w:webHidden/>
          </w:rPr>
          <w:t>23</w:t>
        </w:r>
        <w:r w:rsidR="001A7ED5">
          <w:rPr>
            <w:noProof/>
            <w:webHidden/>
          </w:rPr>
          <w:fldChar w:fldCharType="end"/>
        </w:r>
      </w:hyperlink>
    </w:p>
    <w:p w14:paraId="413AAF43" w14:textId="4547189B" w:rsidR="001A7ED5" w:rsidRDefault="00140AAD">
      <w:pPr>
        <w:pStyle w:val="TOC2"/>
        <w:tabs>
          <w:tab w:val="left" w:pos="660"/>
        </w:tabs>
        <w:rPr>
          <w:rFonts w:asciiTheme="minorHAnsi" w:eastAsiaTheme="minorEastAsia" w:hAnsiTheme="minorHAnsi" w:cstheme="minorBidi"/>
          <w:noProof/>
          <w:color w:val="auto"/>
          <w:szCs w:val="22"/>
          <w:lang w:eastAsia="en-AU"/>
        </w:rPr>
      </w:pPr>
      <w:hyperlink w:anchor="_Toc156832073" w:history="1">
        <w:r w:rsidR="001A7ED5" w:rsidRPr="00624468">
          <w:rPr>
            <w:rStyle w:val="Hyperlink"/>
            <w:noProof/>
          </w:rPr>
          <w:t>5.</w:t>
        </w:r>
        <w:r w:rsidR="001A7ED5">
          <w:rPr>
            <w:rFonts w:asciiTheme="minorHAnsi" w:eastAsiaTheme="minorEastAsia" w:hAnsiTheme="minorHAnsi" w:cstheme="minorBidi"/>
            <w:noProof/>
            <w:color w:val="auto"/>
            <w:szCs w:val="22"/>
            <w:lang w:eastAsia="en-AU"/>
          </w:rPr>
          <w:tab/>
        </w:r>
        <w:r w:rsidR="001A7ED5" w:rsidRPr="00624468">
          <w:rPr>
            <w:rStyle w:val="Hyperlink"/>
            <w:noProof/>
          </w:rPr>
          <w:t>Technology</w:t>
        </w:r>
        <w:r w:rsidR="001A7ED5">
          <w:rPr>
            <w:noProof/>
            <w:webHidden/>
          </w:rPr>
          <w:tab/>
        </w:r>
        <w:r w:rsidR="001A7ED5">
          <w:rPr>
            <w:noProof/>
            <w:webHidden/>
          </w:rPr>
          <w:fldChar w:fldCharType="begin"/>
        </w:r>
        <w:r w:rsidR="001A7ED5">
          <w:rPr>
            <w:noProof/>
            <w:webHidden/>
          </w:rPr>
          <w:instrText xml:space="preserve"> PAGEREF _Toc156832073 \h </w:instrText>
        </w:r>
        <w:r w:rsidR="001A7ED5">
          <w:rPr>
            <w:noProof/>
            <w:webHidden/>
          </w:rPr>
        </w:r>
        <w:r w:rsidR="001A7ED5">
          <w:rPr>
            <w:noProof/>
            <w:webHidden/>
          </w:rPr>
          <w:fldChar w:fldCharType="separate"/>
        </w:r>
        <w:r w:rsidR="00E40B08">
          <w:rPr>
            <w:noProof/>
            <w:webHidden/>
          </w:rPr>
          <w:t>27</w:t>
        </w:r>
        <w:r w:rsidR="001A7ED5">
          <w:rPr>
            <w:noProof/>
            <w:webHidden/>
          </w:rPr>
          <w:fldChar w:fldCharType="end"/>
        </w:r>
      </w:hyperlink>
    </w:p>
    <w:p w14:paraId="036268F2" w14:textId="1CAF73F8" w:rsidR="001A7ED5" w:rsidRDefault="00140AAD">
      <w:pPr>
        <w:pStyle w:val="TOC1"/>
        <w:rPr>
          <w:rFonts w:asciiTheme="minorHAnsi" w:eastAsiaTheme="minorEastAsia" w:hAnsiTheme="minorHAnsi" w:cstheme="minorBidi"/>
          <w:noProof/>
          <w:color w:val="auto"/>
          <w:szCs w:val="22"/>
          <w:lang w:eastAsia="en-AU"/>
        </w:rPr>
      </w:pPr>
      <w:hyperlink w:anchor="_Toc156832074" w:history="1">
        <w:r w:rsidR="001A7ED5" w:rsidRPr="00624468">
          <w:rPr>
            <w:rStyle w:val="Hyperlink"/>
            <w:noProof/>
          </w:rPr>
          <w:t>Next steps</w:t>
        </w:r>
        <w:r w:rsidR="001A7ED5">
          <w:rPr>
            <w:noProof/>
            <w:webHidden/>
          </w:rPr>
          <w:tab/>
        </w:r>
        <w:r w:rsidR="001A7ED5">
          <w:rPr>
            <w:noProof/>
            <w:webHidden/>
          </w:rPr>
          <w:fldChar w:fldCharType="begin"/>
        </w:r>
        <w:r w:rsidR="001A7ED5">
          <w:rPr>
            <w:noProof/>
            <w:webHidden/>
          </w:rPr>
          <w:instrText xml:space="preserve"> PAGEREF _Toc156832074 \h </w:instrText>
        </w:r>
        <w:r w:rsidR="001A7ED5">
          <w:rPr>
            <w:noProof/>
            <w:webHidden/>
          </w:rPr>
        </w:r>
        <w:r w:rsidR="001A7ED5">
          <w:rPr>
            <w:noProof/>
            <w:webHidden/>
          </w:rPr>
          <w:fldChar w:fldCharType="separate"/>
        </w:r>
        <w:r w:rsidR="00E40B08">
          <w:rPr>
            <w:noProof/>
            <w:webHidden/>
          </w:rPr>
          <w:t>30</w:t>
        </w:r>
        <w:r w:rsidR="001A7ED5">
          <w:rPr>
            <w:noProof/>
            <w:webHidden/>
          </w:rPr>
          <w:fldChar w:fldCharType="end"/>
        </w:r>
      </w:hyperlink>
    </w:p>
    <w:p w14:paraId="34BE0C46" w14:textId="13D0A420" w:rsidR="55C3D8EC" w:rsidRDefault="55C3D8EC" w:rsidP="00F13952">
      <w:pPr>
        <w:pStyle w:val="TOC1"/>
      </w:pPr>
      <w:r>
        <w:fldChar w:fldCharType="end"/>
      </w:r>
    </w:p>
    <w:p w14:paraId="2F00B462" w14:textId="59CB18B6" w:rsidR="00100F6D" w:rsidRPr="004D1339" w:rsidRDefault="00100F6D" w:rsidP="00D43E3D"/>
    <w:p w14:paraId="4914E007" w14:textId="77777777" w:rsidR="00CF14A6" w:rsidRPr="004D1339" w:rsidRDefault="00CF14A6" w:rsidP="00346C4A">
      <w:pPr>
        <w:sectPr w:rsidR="00CF14A6" w:rsidRPr="004D1339" w:rsidSect="007F1C45">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709" w:footer="219" w:gutter="0"/>
          <w:pgNumType w:fmt="lowerRoman"/>
          <w:cols w:space="708"/>
          <w:docGrid w:linePitch="360"/>
        </w:sectPr>
      </w:pPr>
    </w:p>
    <w:p w14:paraId="4EDD1283" w14:textId="534C1F1D" w:rsidR="00CF14A6" w:rsidRPr="004D1339" w:rsidRDefault="00CF14A6" w:rsidP="00CF14A6">
      <w:pPr>
        <w:pStyle w:val="Heading1"/>
      </w:pPr>
      <w:bookmarkStart w:id="1" w:name="_Toc156832060"/>
      <w:r>
        <w:lastRenderedPageBreak/>
        <w:t>Acknowledgements</w:t>
      </w:r>
      <w:bookmarkEnd w:id="1"/>
    </w:p>
    <w:p w14:paraId="7CA1D51D" w14:textId="75BB856C" w:rsidR="00D237C5" w:rsidRDefault="00742CB3" w:rsidP="00346C4A">
      <w:pPr>
        <w:rPr>
          <w:highlight w:val="yellow"/>
        </w:rPr>
      </w:pPr>
      <w:r w:rsidRPr="00742CB3">
        <w:t>The Scope of Practice Review team acknowledges the Traditional Owners of Country throughout Australia. We pay our respects to their Ancestors and their descendants, who continue cultural and spiritual connections to Country. We recognise their contributions to Australian and global society.</w:t>
      </w:r>
    </w:p>
    <w:p w14:paraId="3CE8AE90" w14:textId="77777777" w:rsidR="00D237C5" w:rsidRDefault="00D237C5" w:rsidP="00346C4A">
      <w:pPr>
        <w:rPr>
          <w:highlight w:val="yellow"/>
        </w:rPr>
      </w:pPr>
    </w:p>
    <w:p w14:paraId="4DFD5A38" w14:textId="77777777" w:rsidR="000E78BE" w:rsidRDefault="000E78BE" w:rsidP="00346C4A">
      <w:pPr>
        <w:rPr>
          <w:highlight w:val="yellow"/>
        </w:rPr>
        <w:sectPr w:rsidR="000E78BE" w:rsidSect="007F1C45">
          <w:footerReference w:type="default" r:id="rId20"/>
          <w:pgSz w:w="11906" w:h="16838" w:code="9"/>
          <w:pgMar w:top="1701" w:right="1418" w:bottom="1418" w:left="1418" w:header="709" w:footer="221" w:gutter="0"/>
          <w:pgNumType w:start="1"/>
          <w:cols w:space="708"/>
          <w:docGrid w:linePitch="360"/>
        </w:sectPr>
      </w:pPr>
    </w:p>
    <w:p w14:paraId="586ADA3C" w14:textId="3034CC10" w:rsidR="00CF14A6" w:rsidRPr="004D1339" w:rsidRDefault="001918CA" w:rsidP="00CF14A6">
      <w:pPr>
        <w:pStyle w:val="Heading1"/>
      </w:pPr>
      <w:bookmarkStart w:id="2" w:name="_Toc156832061"/>
      <w:r>
        <w:lastRenderedPageBreak/>
        <w:t>Glossary</w:t>
      </w:r>
      <w:bookmarkEnd w:id="2"/>
    </w:p>
    <w:tbl>
      <w:tblPr>
        <w:tblStyle w:val="TableGrid"/>
        <w:tblW w:w="5000" w:type="pct"/>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Look w:val="04A0" w:firstRow="1" w:lastRow="0" w:firstColumn="1" w:lastColumn="0" w:noHBand="0" w:noVBand="1"/>
      </w:tblPr>
      <w:tblGrid>
        <w:gridCol w:w="2122"/>
        <w:gridCol w:w="6938"/>
      </w:tblGrid>
      <w:tr w:rsidR="00530796" w14:paraId="5F41C558" w14:textId="77777777" w:rsidTr="005E08B3">
        <w:trPr>
          <w:trHeight w:val="300"/>
        </w:trPr>
        <w:tc>
          <w:tcPr>
            <w:tcW w:w="1171" w:type="pct"/>
          </w:tcPr>
          <w:p w14:paraId="6A6AD098" w14:textId="07ED3A17" w:rsidR="00530796" w:rsidRDefault="00530796" w:rsidP="2FB1CF19">
            <w:r>
              <w:t>Accreditation</w:t>
            </w:r>
          </w:p>
        </w:tc>
        <w:tc>
          <w:tcPr>
            <w:tcW w:w="3829" w:type="pct"/>
          </w:tcPr>
          <w:p w14:paraId="1ED151F4" w14:textId="76AE5135" w:rsidR="00530796" w:rsidRDefault="004D0106" w:rsidP="2FB1CF19">
            <w:r>
              <w:t>Refers to a formal process of approval for a program of study or training that provides a person who completes that program or training with the knowledge, skills and professional attributes needed to practice their health profession or undertake that activity.</w:t>
            </w:r>
          </w:p>
        </w:tc>
      </w:tr>
      <w:tr w:rsidR="2FB1CF19" w14:paraId="224C40BF" w14:textId="77777777" w:rsidTr="005E08B3">
        <w:trPr>
          <w:trHeight w:val="300"/>
        </w:trPr>
        <w:tc>
          <w:tcPr>
            <w:tcW w:w="1171" w:type="pct"/>
          </w:tcPr>
          <w:p w14:paraId="36A94912" w14:textId="5E256608" w:rsidR="71F9EEF8" w:rsidRDefault="71F9EEF8" w:rsidP="2FB1CF19">
            <w:r>
              <w:t xml:space="preserve">Acute </w:t>
            </w:r>
            <w:r w:rsidR="00AB4808">
              <w:t>care</w:t>
            </w:r>
          </w:p>
        </w:tc>
        <w:tc>
          <w:tcPr>
            <w:tcW w:w="3829" w:type="pct"/>
          </w:tcPr>
          <w:p w14:paraId="0E16BA4B" w14:textId="5BB3E8AB" w:rsidR="2FB1CF19" w:rsidRDefault="00AB4808" w:rsidP="2FB1CF19">
            <w:r>
              <w:t>C</w:t>
            </w:r>
            <w:r w:rsidRPr="00AB4808">
              <w:t>are in which the intent is to perform surgery, diagnostic or therapeutic procedures in the treatment of illness or injury. Management of childbirth is also considered acute care.</w:t>
            </w:r>
          </w:p>
        </w:tc>
      </w:tr>
      <w:tr w:rsidR="00C423F6" w14:paraId="15D8BF6A" w14:textId="77777777" w:rsidTr="005E08B3">
        <w:tc>
          <w:tcPr>
            <w:tcW w:w="1171" w:type="pct"/>
          </w:tcPr>
          <w:p w14:paraId="61C29E98" w14:textId="7437C0AC" w:rsidR="00C423F6" w:rsidRDefault="00C423F6" w:rsidP="00C423F6">
            <w:r>
              <w:t>Collaborative practice (multidisciplinary or team-based care)</w:t>
            </w:r>
          </w:p>
        </w:tc>
        <w:tc>
          <w:tcPr>
            <w:tcW w:w="3829" w:type="pct"/>
          </w:tcPr>
          <w:p w14:paraId="024B17B2" w14:textId="1FF1D1BC" w:rsidR="00C423F6" w:rsidRDefault="00C423F6" w:rsidP="00C423F6">
            <w:r>
              <w:t>Collaborative practice in health</w:t>
            </w:r>
            <w:r w:rsidR="007F55DF">
              <w:t xml:space="preserve"> </w:t>
            </w:r>
            <w:r>
              <w:t xml:space="preserve">care occurs when multiple health </w:t>
            </w:r>
            <w:r w:rsidR="00C51317">
              <w:t xml:space="preserve">professionals </w:t>
            </w:r>
            <w:r>
              <w:t>from different professional backgrounds provide comprehensive services by working with</w:t>
            </w:r>
            <w:r w:rsidR="00B173EA">
              <w:t xml:space="preserve"> each other, and with</w:t>
            </w:r>
            <w:r>
              <w:t xml:space="preserve"> patients, their families, carers and communities to deliver the highest quality of care across settings.</w:t>
            </w:r>
            <w:r>
              <w:rPr>
                <w:rStyle w:val="FootnoteReference"/>
              </w:rPr>
              <w:footnoteReference w:id="2"/>
            </w:r>
            <w:r>
              <w:t xml:space="preserve"> For example, care provided by multidisciplinary care teams. </w:t>
            </w:r>
          </w:p>
        </w:tc>
      </w:tr>
      <w:tr w:rsidR="00C423F6" w14:paraId="76F97454" w14:textId="77777777" w:rsidTr="005E08B3">
        <w:tc>
          <w:tcPr>
            <w:tcW w:w="1171" w:type="pct"/>
          </w:tcPr>
          <w:p w14:paraId="735A5756" w14:textId="5A8E4D95" w:rsidR="00C423F6" w:rsidRDefault="00C423F6" w:rsidP="00C423F6">
            <w:r>
              <w:t>Continuity of care</w:t>
            </w:r>
          </w:p>
        </w:tc>
        <w:tc>
          <w:tcPr>
            <w:tcW w:w="3829" w:type="pct"/>
          </w:tcPr>
          <w:p w14:paraId="6BD57514" w14:textId="6F6DF80A" w:rsidR="00C423F6" w:rsidRPr="00F46C09" w:rsidRDefault="00C423F6" w:rsidP="00C423F6">
            <w:r>
              <w:t>Ability to provide uninterrupted, coordinated care or service across programs, practitioners, organisations and levels over time.</w:t>
            </w:r>
          </w:p>
        </w:tc>
      </w:tr>
      <w:tr w:rsidR="00C423F6" w14:paraId="42A3F64F" w14:textId="77777777" w:rsidTr="005E08B3">
        <w:tc>
          <w:tcPr>
            <w:tcW w:w="1171" w:type="pct"/>
          </w:tcPr>
          <w:p w14:paraId="0A727199" w14:textId="487C29AB" w:rsidR="00C423F6" w:rsidRDefault="00C423F6" w:rsidP="00C423F6">
            <w:r>
              <w:t xml:space="preserve">Credentialling </w:t>
            </w:r>
          </w:p>
        </w:tc>
        <w:tc>
          <w:tcPr>
            <w:tcW w:w="3829" w:type="pct"/>
          </w:tcPr>
          <w:p w14:paraId="637CB7CC" w14:textId="01EBD66E" w:rsidR="00C423F6" w:rsidRDefault="00C423F6" w:rsidP="00C423F6">
            <w:r>
              <w:t xml:space="preserve">A formal </w:t>
            </w:r>
            <w:r w:rsidRPr="0074452E">
              <w:t xml:space="preserve">process used to verify the qualifications </w:t>
            </w:r>
            <w:r>
              <w:t>and experience of health professionals</w:t>
            </w:r>
            <w:r w:rsidR="0064464B">
              <w:t xml:space="preserve"> </w:t>
            </w:r>
            <w:r w:rsidR="0064464B" w:rsidRPr="0064464B">
              <w:t>within a specific health care setting and role</w:t>
            </w:r>
            <w:r>
              <w:t xml:space="preserve">, used predominantly in the acute health system. </w:t>
            </w:r>
          </w:p>
        </w:tc>
      </w:tr>
      <w:tr w:rsidR="00C423F6" w14:paraId="7C54082B" w14:textId="77777777" w:rsidTr="005E08B3">
        <w:tc>
          <w:tcPr>
            <w:tcW w:w="1171" w:type="pct"/>
          </w:tcPr>
          <w:p w14:paraId="38402944" w14:textId="484EE72E" w:rsidR="00C423F6" w:rsidRDefault="00C423F6" w:rsidP="00C423F6">
            <w:r>
              <w:t>Endorsement</w:t>
            </w:r>
          </w:p>
        </w:tc>
        <w:tc>
          <w:tcPr>
            <w:tcW w:w="3829" w:type="pct"/>
          </w:tcPr>
          <w:p w14:paraId="107BE6DB" w14:textId="0C9B42EC" w:rsidR="00C423F6" w:rsidRPr="00F46C09" w:rsidRDefault="00C423F6" w:rsidP="00C423F6">
            <w:r>
              <w:t xml:space="preserve">Recognition by National Boards that a person has additional qualifications and expertise in an approved area of practice and/or for scheduled medicine. </w:t>
            </w:r>
          </w:p>
        </w:tc>
      </w:tr>
      <w:tr w:rsidR="00C423F6" w14:paraId="2D949F51" w14:textId="77777777" w:rsidTr="005E08B3">
        <w:tc>
          <w:tcPr>
            <w:tcW w:w="1171" w:type="pct"/>
          </w:tcPr>
          <w:p w14:paraId="4098789D" w14:textId="06AB636C" w:rsidR="00C423F6" w:rsidRDefault="00C423F6" w:rsidP="00C423F6">
            <w:r>
              <w:t xml:space="preserve">Fee-for-service funding </w:t>
            </w:r>
          </w:p>
        </w:tc>
        <w:tc>
          <w:tcPr>
            <w:tcW w:w="3829" w:type="pct"/>
          </w:tcPr>
          <w:p w14:paraId="3457F667" w14:textId="6F362E13" w:rsidR="00C423F6" w:rsidRPr="00F46C09" w:rsidRDefault="00C423F6" w:rsidP="00C423F6">
            <w:r>
              <w:t xml:space="preserve">The main </w:t>
            </w:r>
            <w:r w:rsidR="007B5713">
              <w:t>payment model</w:t>
            </w:r>
            <w:r>
              <w:t xml:space="preserve"> for primary health care in Australia, in which health care providers are paid per episode of care delivered by a specified type of health professional. </w:t>
            </w:r>
            <w:r w:rsidDel="000C0EE9">
              <w:t xml:space="preserve"> </w:t>
            </w:r>
          </w:p>
        </w:tc>
      </w:tr>
      <w:tr w:rsidR="00C423F6" w14:paraId="1DB34BE6" w14:textId="77777777" w:rsidTr="005E08B3">
        <w:trPr>
          <w:cantSplit/>
        </w:trPr>
        <w:tc>
          <w:tcPr>
            <w:tcW w:w="1171" w:type="pct"/>
          </w:tcPr>
          <w:p w14:paraId="52E21810" w14:textId="06975D37" w:rsidR="00C423F6" w:rsidRDefault="00C423F6" w:rsidP="00C423F6">
            <w:r>
              <w:t>Full scope of practice</w:t>
            </w:r>
          </w:p>
        </w:tc>
        <w:tc>
          <w:tcPr>
            <w:tcW w:w="3829" w:type="pct"/>
          </w:tcPr>
          <w:p w14:paraId="41422825" w14:textId="77777777" w:rsidR="00C423F6" w:rsidRPr="00B122A2" w:rsidRDefault="00C423F6" w:rsidP="00C423F6">
            <w:r w:rsidRPr="00B122A2">
              <w:t xml:space="preserve">Professional activities that a practitioner is educated (skill / knowledge), competent and authorised to perform, and for which they are accountable. </w:t>
            </w:r>
          </w:p>
          <w:p w14:paraId="46C20E81" w14:textId="2C469184" w:rsidR="00C423F6" w:rsidRDefault="00C423F6" w:rsidP="00C423F6">
            <w:pPr>
              <w:rPr>
                <w:rFonts w:eastAsia="Arial" w:cs="Arial"/>
                <w:szCs w:val="22"/>
              </w:rPr>
            </w:pPr>
            <w:r w:rsidRPr="00B122A2">
              <w:t xml:space="preserve">Individual scope is time-sensitive and dynamic. Scope of </w:t>
            </w:r>
            <w:r>
              <w:t>p</w:t>
            </w:r>
            <w:r w:rsidRPr="00B122A2">
              <w:t xml:space="preserve">ractice for individual practitioners is influenced by the settings in which they practice, the health needs of people, the level of their individual competence and confidence and the policy requirements (authority / governance) of the service provider. </w:t>
            </w:r>
          </w:p>
        </w:tc>
      </w:tr>
      <w:tr w:rsidR="00C423F6" w14:paraId="6E7874ED" w14:textId="77777777" w:rsidTr="005E08B3">
        <w:trPr>
          <w:trHeight w:val="300"/>
        </w:trPr>
        <w:tc>
          <w:tcPr>
            <w:tcW w:w="1171" w:type="pct"/>
          </w:tcPr>
          <w:p w14:paraId="0523C29E" w14:textId="18471713" w:rsidR="00C423F6" w:rsidRDefault="00C423F6" w:rsidP="00C423F6">
            <w:r>
              <w:lastRenderedPageBreak/>
              <w:t>GP</w:t>
            </w:r>
            <w:r w:rsidR="00B173EA">
              <w:t xml:space="preserve">-centred primary health care </w:t>
            </w:r>
            <w:r>
              <w:t xml:space="preserve">model </w:t>
            </w:r>
          </w:p>
        </w:tc>
        <w:tc>
          <w:tcPr>
            <w:tcW w:w="3829" w:type="pct"/>
          </w:tcPr>
          <w:p w14:paraId="05B3D3A1" w14:textId="75B621FC" w:rsidR="00C423F6" w:rsidRDefault="00C423F6" w:rsidP="00C423F6">
            <w:r>
              <w:t>Refers to the central role that general practitioners play in primary care by facilitating referrals to care provided by other health professionals or service providers.</w:t>
            </w:r>
          </w:p>
        </w:tc>
      </w:tr>
      <w:tr w:rsidR="00C423F6" w14:paraId="1B5DFCC1" w14:textId="77777777" w:rsidTr="005E08B3">
        <w:trPr>
          <w:trHeight w:val="300"/>
        </w:trPr>
        <w:tc>
          <w:tcPr>
            <w:tcW w:w="1171" w:type="pct"/>
          </w:tcPr>
          <w:p w14:paraId="733BBD1D" w14:textId="1AD02060" w:rsidR="00C423F6" w:rsidRDefault="00C423F6" w:rsidP="00C423F6">
            <w:r>
              <w:t xml:space="preserve">Primary health care </w:t>
            </w:r>
          </w:p>
        </w:tc>
        <w:tc>
          <w:tcPr>
            <w:tcW w:w="3829" w:type="pct"/>
          </w:tcPr>
          <w:p w14:paraId="55D3046F" w14:textId="43F4C073" w:rsidR="00C423F6" w:rsidRDefault="00C423F6" w:rsidP="00C423F6">
            <w:r w:rsidRPr="00AF4D52">
              <w:t xml:space="preserve">Primary </w:t>
            </w:r>
            <w:r>
              <w:t xml:space="preserve">health </w:t>
            </w:r>
            <w:r w:rsidRPr="00AF4D52">
              <w:t>care is health care people seek first in their community, such as GPs, pharmacies and allied health professionals.</w:t>
            </w:r>
            <w:r>
              <w:t xml:space="preserve"> Generally, this is health care outside of a hospital or specialist.</w:t>
            </w:r>
            <w:r>
              <w:rPr>
                <w:rStyle w:val="FootnoteReference"/>
              </w:rPr>
              <w:footnoteReference w:id="3"/>
            </w:r>
          </w:p>
        </w:tc>
      </w:tr>
    </w:tbl>
    <w:p w14:paraId="12808BE9" w14:textId="6ED2344C" w:rsidR="2062EBAB" w:rsidRDefault="2062EBAB"/>
    <w:p w14:paraId="6C2EAC04" w14:textId="20901A77" w:rsidR="00CF14A6" w:rsidRDefault="7DA5F6BB" w:rsidP="00346C4A">
      <w:pPr>
        <w:rPr>
          <w:rFonts w:cs="Arial"/>
          <w:b/>
          <w:color w:val="076DA0" w:themeColor="accent2"/>
          <w:sz w:val="44"/>
          <w:szCs w:val="44"/>
        </w:rPr>
      </w:pPr>
      <w:r w:rsidRPr="00B122A2">
        <w:rPr>
          <w:rFonts w:cs="Arial"/>
          <w:b/>
          <w:bCs/>
          <w:color w:val="076DA0" w:themeColor="accent2"/>
          <w:sz w:val="44"/>
          <w:szCs w:val="44"/>
        </w:rPr>
        <w:t>Acronyms</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Look w:val="04A0" w:firstRow="1" w:lastRow="0" w:firstColumn="1" w:lastColumn="0" w:noHBand="0" w:noVBand="1"/>
      </w:tblPr>
      <w:tblGrid>
        <w:gridCol w:w="2122"/>
        <w:gridCol w:w="6938"/>
      </w:tblGrid>
      <w:tr w:rsidR="4569F95C" w14:paraId="5584164F" w14:textId="77777777" w:rsidTr="005E08B3">
        <w:trPr>
          <w:trHeight w:val="300"/>
        </w:trPr>
        <w:tc>
          <w:tcPr>
            <w:tcW w:w="2122" w:type="dxa"/>
          </w:tcPr>
          <w:p w14:paraId="795487B8" w14:textId="0D8018E3" w:rsidR="1F4D0D00" w:rsidRDefault="1F4D0D00" w:rsidP="1F4D0D00">
            <w:r>
              <w:t>ACCHO</w:t>
            </w:r>
          </w:p>
        </w:tc>
        <w:tc>
          <w:tcPr>
            <w:tcW w:w="6938" w:type="dxa"/>
          </w:tcPr>
          <w:p w14:paraId="437EE7E6" w14:textId="697B36DD" w:rsidR="1F4D0D00" w:rsidRDefault="1F4D0D00" w:rsidP="1F4D0D00">
            <w:r>
              <w:t>Aboriginal Community Controlled Health Organisations</w:t>
            </w:r>
          </w:p>
        </w:tc>
      </w:tr>
      <w:tr w:rsidR="01FFC58E" w14:paraId="63EAF88A" w14:textId="77777777" w:rsidTr="005E08B3">
        <w:trPr>
          <w:trHeight w:val="300"/>
        </w:trPr>
        <w:tc>
          <w:tcPr>
            <w:tcW w:w="2122" w:type="dxa"/>
          </w:tcPr>
          <w:p w14:paraId="7A9DD943" w14:textId="7095BF72" w:rsidR="01FFC58E" w:rsidRDefault="01FFC58E">
            <w:r>
              <w:t xml:space="preserve">Ahpra </w:t>
            </w:r>
          </w:p>
        </w:tc>
        <w:tc>
          <w:tcPr>
            <w:tcW w:w="6938" w:type="dxa"/>
          </w:tcPr>
          <w:p w14:paraId="2F61217A" w14:textId="18C05E91" w:rsidR="3B961929" w:rsidRDefault="3B961929">
            <w:r>
              <w:t>Australian Health Practitioner Regulation Agency</w:t>
            </w:r>
          </w:p>
        </w:tc>
      </w:tr>
      <w:tr w:rsidR="5DA1630B" w14:paraId="3171FFB7" w14:textId="77777777" w:rsidTr="005E08B3">
        <w:trPr>
          <w:trHeight w:val="300"/>
        </w:trPr>
        <w:tc>
          <w:tcPr>
            <w:tcW w:w="2122" w:type="dxa"/>
          </w:tcPr>
          <w:p w14:paraId="6C07A3A1" w14:textId="60744490" w:rsidR="5DA1630B" w:rsidRDefault="27BA89D0" w:rsidP="5DA1630B">
            <w:r>
              <w:t>EBA</w:t>
            </w:r>
          </w:p>
        </w:tc>
        <w:tc>
          <w:tcPr>
            <w:tcW w:w="6938" w:type="dxa"/>
          </w:tcPr>
          <w:p w14:paraId="4AB24020" w14:textId="4828690A" w:rsidR="5DA1630B" w:rsidRDefault="27BA89D0" w:rsidP="5DA1630B">
            <w:pPr>
              <w:rPr>
                <w:rFonts w:eastAsia="Arial"/>
              </w:rPr>
            </w:pPr>
            <w:r w:rsidRPr="743BFF3F">
              <w:rPr>
                <w:rFonts w:eastAsia="Arial" w:cs="Arial"/>
                <w:szCs w:val="22"/>
              </w:rPr>
              <w:t>Enterprise Bargaining Agreement</w:t>
            </w:r>
          </w:p>
        </w:tc>
      </w:tr>
      <w:tr w:rsidR="61DCD2A7" w14:paraId="3CD11ECC" w14:textId="77777777" w:rsidTr="005E08B3">
        <w:trPr>
          <w:trHeight w:val="300"/>
        </w:trPr>
        <w:tc>
          <w:tcPr>
            <w:tcW w:w="2122" w:type="dxa"/>
          </w:tcPr>
          <w:p w14:paraId="6E2D87DD" w14:textId="5EDC369C" w:rsidR="768D5D27" w:rsidRDefault="768D5D27" w:rsidP="61DCD2A7">
            <w:r>
              <w:t>FHT</w:t>
            </w:r>
          </w:p>
        </w:tc>
        <w:tc>
          <w:tcPr>
            <w:tcW w:w="6938" w:type="dxa"/>
          </w:tcPr>
          <w:p w14:paraId="4BA7A6F8" w14:textId="379AEAAB" w:rsidR="61DCD2A7" w:rsidRDefault="768D5D27" w:rsidP="61DCD2A7">
            <w:r>
              <w:t>Family Health Team</w:t>
            </w:r>
          </w:p>
        </w:tc>
      </w:tr>
      <w:tr w:rsidR="01FFC58E" w14:paraId="32EE8D32" w14:textId="77777777" w:rsidTr="005E08B3">
        <w:trPr>
          <w:trHeight w:val="300"/>
        </w:trPr>
        <w:tc>
          <w:tcPr>
            <w:tcW w:w="2122" w:type="dxa"/>
          </w:tcPr>
          <w:p w14:paraId="7047A142" w14:textId="15DA89EC" w:rsidR="43E2FB3C" w:rsidRDefault="43E2FB3C" w:rsidP="01FFC58E">
            <w:r>
              <w:t>GP</w:t>
            </w:r>
          </w:p>
        </w:tc>
        <w:tc>
          <w:tcPr>
            <w:tcW w:w="6938" w:type="dxa"/>
          </w:tcPr>
          <w:p w14:paraId="2D7A6DE5" w14:textId="08DC5E73" w:rsidR="43E2FB3C" w:rsidRDefault="43E2FB3C" w:rsidP="01FFC58E">
            <w:r>
              <w:t>General Practitioner</w:t>
            </w:r>
          </w:p>
        </w:tc>
      </w:tr>
      <w:tr w:rsidR="01FFC58E" w14:paraId="015C43B7" w14:textId="77777777" w:rsidTr="005E08B3">
        <w:trPr>
          <w:trHeight w:val="300"/>
        </w:trPr>
        <w:tc>
          <w:tcPr>
            <w:tcW w:w="2122" w:type="dxa"/>
          </w:tcPr>
          <w:p w14:paraId="083DF54B" w14:textId="113EB72F" w:rsidR="689E8650" w:rsidRDefault="689E8650" w:rsidP="01FFC58E">
            <w:r>
              <w:t>IRL</w:t>
            </w:r>
          </w:p>
        </w:tc>
        <w:tc>
          <w:tcPr>
            <w:tcW w:w="6938" w:type="dxa"/>
          </w:tcPr>
          <w:p w14:paraId="00539AB8" w14:textId="470EB7B2" w:rsidR="01FFC58E" w:rsidRDefault="21C96538" w:rsidP="01FFC58E">
            <w:r>
              <w:t xml:space="preserve">Independent Review Lead </w:t>
            </w:r>
          </w:p>
        </w:tc>
      </w:tr>
      <w:tr w:rsidR="01FFC58E" w14:paraId="2C75FF5D" w14:textId="77777777" w:rsidTr="005E08B3">
        <w:trPr>
          <w:trHeight w:val="300"/>
        </w:trPr>
        <w:tc>
          <w:tcPr>
            <w:tcW w:w="2122" w:type="dxa"/>
          </w:tcPr>
          <w:p w14:paraId="13946EBB" w14:textId="2D3E5819" w:rsidR="43E2FB3C" w:rsidRDefault="43E2FB3C" w:rsidP="01FFC58E">
            <w:r>
              <w:t>MBS</w:t>
            </w:r>
          </w:p>
        </w:tc>
        <w:tc>
          <w:tcPr>
            <w:tcW w:w="6938" w:type="dxa"/>
          </w:tcPr>
          <w:p w14:paraId="451E5E71" w14:textId="2719C61D" w:rsidR="43E2FB3C" w:rsidRDefault="43E2FB3C" w:rsidP="01FFC58E">
            <w:r>
              <w:t>Medica</w:t>
            </w:r>
            <w:r w:rsidR="00234A36">
              <w:t>re</w:t>
            </w:r>
            <w:r>
              <w:t xml:space="preserve"> Benefits Schedule</w:t>
            </w:r>
          </w:p>
        </w:tc>
      </w:tr>
      <w:tr w:rsidR="2207A49D" w14:paraId="0ED7561F" w14:textId="77777777" w:rsidTr="005E08B3">
        <w:trPr>
          <w:trHeight w:val="300"/>
        </w:trPr>
        <w:tc>
          <w:tcPr>
            <w:tcW w:w="2122" w:type="dxa"/>
          </w:tcPr>
          <w:p w14:paraId="1359ADAE" w14:textId="7FC1C071" w:rsidR="2207A49D" w:rsidRDefault="797ED822" w:rsidP="2207A49D">
            <w:r>
              <w:t>NIPVIP</w:t>
            </w:r>
          </w:p>
        </w:tc>
        <w:tc>
          <w:tcPr>
            <w:tcW w:w="6938" w:type="dxa"/>
          </w:tcPr>
          <w:p w14:paraId="11BB88E0" w14:textId="647C8A7F" w:rsidR="2207A49D" w:rsidRDefault="797ED822" w:rsidP="2207A49D">
            <w:r>
              <w:t>National Immunisation Program Vaccinations in Pharmacy</w:t>
            </w:r>
          </w:p>
        </w:tc>
      </w:tr>
      <w:tr w:rsidR="00D234DD" w14:paraId="5F4E2AAB" w14:textId="77777777" w:rsidTr="005E08B3">
        <w:trPr>
          <w:trHeight w:val="300"/>
        </w:trPr>
        <w:tc>
          <w:tcPr>
            <w:tcW w:w="2122" w:type="dxa"/>
          </w:tcPr>
          <w:p w14:paraId="390F1783" w14:textId="40993FEF" w:rsidR="00D234DD" w:rsidRDefault="00D234DD" w:rsidP="01FFC58E">
            <w:r>
              <w:t>NRAS</w:t>
            </w:r>
          </w:p>
        </w:tc>
        <w:tc>
          <w:tcPr>
            <w:tcW w:w="6938" w:type="dxa"/>
          </w:tcPr>
          <w:p w14:paraId="1305C473" w14:textId="2B2E9AE5" w:rsidR="00D234DD" w:rsidRDefault="00420CEF" w:rsidP="01FFC58E">
            <w:r>
              <w:t>National Registration and Accreditation Scheme</w:t>
            </w:r>
          </w:p>
        </w:tc>
      </w:tr>
      <w:tr w:rsidR="00F2507F" w14:paraId="0345CDAC" w14:textId="77777777" w:rsidTr="005E08B3">
        <w:trPr>
          <w:trHeight w:val="300"/>
        </w:trPr>
        <w:tc>
          <w:tcPr>
            <w:tcW w:w="2122" w:type="dxa"/>
          </w:tcPr>
          <w:p w14:paraId="6227F366" w14:textId="2AE51326" w:rsidR="00F2507F" w:rsidRDefault="00F2507F" w:rsidP="00F2507F">
            <w:r>
              <w:t>PBS</w:t>
            </w:r>
          </w:p>
        </w:tc>
        <w:tc>
          <w:tcPr>
            <w:tcW w:w="6938" w:type="dxa"/>
          </w:tcPr>
          <w:p w14:paraId="31B18B9D" w14:textId="311C6DA0" w:rsidR="00F2507F" w:rsidRDefault="00F2507F" w:rsidP="00F2507F">
            <w:r>
              <w:t>Pharmaceutical Benefits Scheme</w:t>
            </w:r>
          </w:p>
        </w:tc>
      </w:tr>
      <w:tr w:rsidR="01FFC58E" w14:paraId="6D859696" w14:textId="77777777" w:rsidTr="005E08B3">
        <w:trPr>
          <w:trHeight w:val="300"/>
        </w:trPr>
        <w:tc>
          <w:tcPr>
            <w:tcW w:w="2122" w:type="dxa"/>
          </w:tcPr>
          <w:p w14:paraId="40B97DF7" w14:textId="7A4CF323" w:rsidR="01FFC58E" w:rsidRDefault="00F2507F">
            <w:r>
              <w:t>PHN</w:t>
            </w:r>
          </w:p>
        </w:tc>
        <w:tc>
          <w:tcPr>
            <w:tcW w:w="6938" w:type="dxa"/>
          </w:tcPr>
          <w:p w14:paraId="215F0998" w14:textId="7518919A" w:rsidR="478B1C38" w:rsidRDefault="00F2507F" w:rsidP="01FFC58E">
            <w:r>
              <w:t>Primary Health Network</w:t>
            </w:r>
          </w:p>
        </w:tc>
      </w:tr>
    </w:tbl>
    <w:p w14:paraId="5C461772" w14:textId="055DE565" w:rsidR="4DBACC79" w:rsidRDefault="4DBACC79"/>
    <w:p w14:paraId="1C96C4FD" w14:textId="4619DCE7" w:rsidR="009F46B8" w:rsidRDefault="009F46B8">
      <w:pPr>
        <w:spacing w:before="0" w:after="0" w:line="240" w:lineRule="auto"/>
      </w:pPr>
    </w:p>
    <w:p w14:paraId="5D97D6C3" w14:textId="77777777" w:rsidR="00B122A2" w:rsidRDefault="00B122A2">
      <w:pPr>
        <w:spacing w:before="0" w:after="0" w:line="240" w:lineRule="auto"/>
        <w:rPr>
          <w:rFonts w:cs="Arial"/>
          <w:b/>
          <w:bCs/>
          <w:color w:val="076DA0"/>
          <w:kern w:val="28"/>
          <w:sz w:val="44"/>
          <w:szCs w:val="36"/>
        </w:rPr>
      </w:pPr>
      <w:r>
        <w:br w:type="page"/>
      </w:r>
    </w:p>
    <w:p w14:paraId="71A2A6A8" w14:textId="0BC020E3" w:rsidR="00CF14A6" w:rsidRPr="004D1339" w:rsidRDefault="001918CA" w:rsidP="00CF14A6">
      <w:pPr>
        <w:pStyle w:val="Heading1"/>
      </w:pPr>
      <w:bookmarkStart w:id="3" w:name="_Toc156832062"/>
      <w:r>
        <w:lastRenderedPageBreak/>
        <w:t>Executive Summary</w:t>
      </w:r>
      <w:bookmarkEnd w:id="3"/>
    </w:p>
    <w:p w14:paraId="0D96DCBB" w14:textId="1DC29A96" w:rsidR="005F0746" w:rsidRDefault="005F0746" w:rsidP="001267DF">
      <w:r>
        <w:t xml:space="preserve">This Issues Paper has been developed as part of the Unleashing the Potential of our Health Workforce </w:t>
      </w:r>
      <w:r w:rsidR="00591551">
        <w:t xml:space="preserve">– </w:t>
      </w:r>
      <w:r>
        <w:t>Scope of Practice Review</w:t>
      </w:r>
      <w:r w:rsidR="00591551">
        <w:t xml:space="preserve"> (</w:t>
      </w:r>
      <w:r>
        <w:t xml:space="preserve">‘the Review’). This </w:t>
      </w:r>
      <w:r w:rsidR="00AA30D1">
        <w:t>i</w:t>
      </w:r>
      <w:r>
        <w:t>ndependent</w:t>
      </w:r>
      <w:r w:rsidR="00F03AFC" w:rsidRPr="00F03AFC" w:rsidDel="008D5AB3">
        <w:t xml:space="preserve"> Review </w:t>
      </w:r>
      <w:r w:rsidR="00F03AFC" w:rsidRPr="00F03AFC">
        <w:t>focuses on health professionals who currently provide or have the potential to provide primary care, and explores the available evidence of the benefits, risks</w:t>
      </w:r>
      <w:r w:rsidR="00683293">
        <w:t>, barriers</w:t>
      </w:r>
      <w:r w:rsidR="00F03AFC" w:rsidRPr="00F03AFC">
        <w:t xml:space="preserve"> and enablers associated with health practitioners working to their full scope of practice. </w:t>
      </w:r>
      <w:r w:rsidR="003C330A">
        <w:t>F</w:t>
      </w:r>
      <w:r w:rsidR="00D81B59" w:rsidRPr="00D81B59">
        <w:t xml:space="preserve">ull scope of practice means </w:t>
      </w:r>
      <w:r w:rsidR="003C330A">
        <w:t xml:space="preserve">the </w:t>
      </w:r>
      <w:r w:rsidR="003C330A" w:rsidRPr="003C330A">
        <w:t>professional activities that a practitioner is educated (skill/knowledge), competent and authorised to perform, and for which they are accountable</w:t>
      </w:r>
      <w:r w:rsidR="00D81B59" w:rsidRPr="00D81B59">
        <w:t>.</w:t>
      </w:r>
    </w:p>
    <w:p w14:paraId="134944C9" w14:textId="2060708B" w:rsidR="00A6635C" w:rsidRDefault="00194359" w:rsidP="0085676B">
      <w:r>
        <w:t xml:space="preserve">A process of literature review and stakeholder consultation and analysis has been undertaken to date to collect evidence to support the Review. </w:t>
      </w:r>
      <w:r w:rsidR="00F03AFC">
        <w:t>The purpose of this Issues Paper is to provide an overview of the evidence collected to date, outline the emerging themes from this evidence, and describe the direction and next steps for this Review.</w:t>
      </w:r>
      <w:r w:rsidR="00A6635C">
        <w:t xml:space="preserve"> </w:t>
      </w:r>
    </w:p>
    <w:p w14:paraId="70686648" w14:textId="6D0FEF24" w:rsidR="00F03AFC" w:rsidRDefault="00A6635C" w:rsidP="0085676B">
      <w:r>
        <w:t xml:space="preserve">This is the first Issues Paper of two to be developed through this Review. This Issues Paper will directly inform upcoming consultation during Phase 2 of the Review and into the Final Report. </w:t>
      </w:r>
    </w:p>
    <w:p w14:paraId="36434554" w14:textId="6678D30F" w:rsidR="00ED2036" w:rsidRDefault="003C1FAB" w:rsidP="00A83FE8">
      <w:r>
        <w:t>F</w:t>
      </w:r>
      <w:r w:rsidR="00194359">
        <w:t>ive</w:t>
      </w:r>
      <w:r>
        <w:t xml:space="preserve"> key themes emerged from a synthesis of evidence to date and are</w:t>
      </w:r>
      <w:r w:rsidR="00194359">
        <w:t xml:space="preserve"> explored within this </w:t>
      </w:r>
      <w:r w:rsidR="0085676B" w:rsidDel="00F03AFC">
        <w:t>Issues Paper</w:t>
      </w:r>
      <w:r w:rsidR="00194359">
        <w:t xml:space="preserve">. </w:t>
      </w:r>
      <w:r>
        <w:t>Key findings for each of these emerging themes</w:t>
      </w:r>
      <w:r w:rsidR="00194359">
        <w:t xml:space="preserve"> are presented below.</w:t>
      </w:r>
    </w:p>
    <w:p w14:paraId="12EB3A7F" w14:textId="55A239D7" w:rsidR="00194359" w:rsidRDefault="00194359" w:rsidP="00194359">
      <w:r w:rsidRPr="00194359">
        <w:rPr>
          <w:b/>
          <w:bCs/>
        </w:rPr>
        <w:t>Legislation and regulation</w:t>
      </w:r>
      <w:r>
        <w:t xml:space="preserve">: </w:t>
      </w:r>
      <w:r w:rsidRPr="00194359">
        <w:rPr>
          <w:rFonts w:cs="Arial"/>
        </w:rPr>
        <w:t xml:space="preserve">legislation or regulation </w:t>
      </w:r>
      <w:r w:rsidR="00B71AD6">
        <w:rPr>
          <w:rFonts w:cs="Arial"/>
        </w:rPr>
        <w:t xml:space="preserve">may </w:t>
      </w:r>
      <w:r w:rsidRPr="00194359">
        <w:rPr>
          <w:rFonts w:cs="Arial"/>
        </w:rPr>
        <w:t xml:space="preserve">authorise or inhibit health professionals in performing a particular </w:t>
      </w:r>
      <w:r w:rsidR="00D457B1">
        <w:rPr>
          <w:rFonts w:cs="Arial"/>
        </w:rPr>
        <w:t>activity</w:t>
      </w:r>
      <w:r>
        <w:rPr>
          <w:rFonts w:cs="Arial"/>
        </w:rPr>
        <w:t>.</w:t>
      </w:r>
      <w:r w:rsidR="0077722F">
        <w:rPr>
          <w:rFonts w:cs="Arial"/>
        </w:rPr>
        <w:t xml:space="preserve"> Evidence </w:t>
      </w:r>
      <w:r w:rsidR="003A2D9F">
        <w:rPr>
          <w:rFonts w:cs="Arial"/>
        </w:rPr>
        <w:t xml:space="preserve">to date </w:t>
      </w:r>
      <w:r w:rsidR="00D82236">
        <w:rPr>
          <w:rFonts w:cs="Arial"/>
        </w:rPr>
        <w:t xml:space="preserve">revealed inconsistencies in the regulatory approaches across primary health </w:t>
      </w:r>
      <w:r w:rsidR="00B639E4">
        <w:rPr>
          <w:rFonts w:cs="Arial"/>
        </w:rPr>
        <w:t xml:space="preserve">care </w:t>
      </w:r>
      <w:r w:rsidR="00D82236">
        <w:rPr>
          <w:rFonts w:cs="Arial"/>
        </w:rPr>
        <w:t xml:space="preserve">professions, and barriers relating to inconsistent State and Territory legislation and the practice of named professions in specific pieces of legislation or regulation. Greater harmonisation of legislation and a more risk-based approach to regulation are among the potential policy solutions for further exploration.  </w:t>
      </w:r>
    </w:p>
    <w:p w14:paraId="7C251AFC" w14:textId="5C742BC5" w:rsidR="00194359" w:rsidRPr="004C1916" w:rsidRDefault="00194359" w:rsidP="00194359">
      <w:r w:rsidRPr="00194359">
        <w:rPr>
          <w:b/>
          <w:bCs/>
        </w:rPr>
        <w:t>Employer practices and settings</w:t>
      </w:r>
      <w:r>
        <w:t xml:space="preserve">: </w:t>
      </w:r>
      <w:r w:rsidR="00D82236">
        <w:t xml:space="preserve">practices and settings </w:t>
      </w:r>
      <w:r w:rsidR="005846C6">
        <w:t xml:space="preserve">at the individual service level </w:t>
      </w:r>
      <w:r w:rsidR="00D82236">
        <w:t xml:space="preserve">which influence health professionals’ ability to work to full scope of practice, </w:t>
      </w:r>
      <w:r w:rsidRPr="004C1916">
        <w:t>including role design</w:t>
      </w:r>
      <w:r w:rsidR="005A5BD0">
        <w:t xml:space="preserve"> </w:t>
      </w:r>
      <w:r w:rsidRPr="004C1916">
        <w:t>and employment models</w:t>
      </w:r>
      <w:r>
        <w:t>.</w:t>
      </w:r>
      <w:r w:rsidRPr="004C1916">
        <w:t xml:space="preserve"> </w:t>
      </w:r>
      <w:r w:rsidR="003A2D9F">
        <w:t xml:space="preserve">Evidence to date emphasised the inherent challenges in </w:t>
      </w:r>
      <w:r w:rsidR="00763FF2">
        <w:t xml:space="preserve">progressing scope of practice reform over a dispersed primary health care sector in which individual employers hold significant influence over health professionals’ authority to practice individually and as multidisciplinary care teams. Targeting leadership and culture to promote enabling and authorising environments at the service level emerged as a critical complement to other system-level reform. </w:t>
      </w:r>
    </w:p>
    <w:p w14:paraId="1FE71B62" w14:textId="00F1B389" w:rsidR="00194359" w:rsidRDefault="00194359" w:rsidP="00194359">
      <w:pPr>
        <w:rPr>
          <w:rFonts w:cs="Arial"/>
        </w:rPr>
      </w:pPr>
      <w:r w:rsidRPr="00194359">
        <w:rPr>
          <w:b/>
          <w:bCs/>
        </w:rPr>
        <w:t>Education and training</w:t>
      </w:r>
      <w:r>
        <w:t xml:space="preserve">: </w:t>
      </w:r>
      <w:r w:rsidR="001A7ED5">
        <w:t>pre-</w:t>
      </w:r>
      <w:r w:rsidR="00D82236">
        <w:t xml:space="preserve"> and post-</w:t>
      </w:r>
      <w:r w:rsidR="00283628">
        <w:t xml:space="preserve">professional entry </w:t>
      </w:r>
      <w:r w:rsidR="00D82236">
        <w:t xml:space="preserve">learning and qualifications, including </w:t>
      </w:r>
      <w:r w:rsidRPr="00194359">
        <w:rPr>
          <w:rFonts w:cs="Arial"/>
        </w:rPr>
        <w:t xml:space="preserve">opportunities for professional development, mentoring, supervision and upskilling, </w:t>
      </w:r>
      <w:r w:rsidR="00D82236">
        <w:rPr>
          <w:rFonts w:cs="Arial"/>
        </w:rPr>
        <w:t xml:space="preserve">and </w:t>
      </w:r>
      <w:r w:rsidRPr="00194359">
        <w:rPr>
          <w:rFonts w:cs="Arial"/>
        </w:rPr>
        <w:t>interprofessional learning</w:t>
      </w:r>
      <w:r>
        <w:rPr>
          <w:rFonts w:cs="Arial"/>
        </w:rPr>
        <w:t>.</w:t>
      </w:r>
      <w:r w:rsidR="00763FF2">
        <w:rPr>
          <w:rFonts w:cs="Arial"/>
        </w:rPr>
        <w:t xml:space="preserve"> Unclear and inconsistent requirements were highlighted through evidence to date, particularly relating to post-</w:t>
      </w:r>
      <w:r w:rsidR="00976CAC">
        <w:rPr>
          <w:rFonts w:cs="Arial"/>
        </w:rPr>
        <w:t xml:space="preserve">professional entry </w:t>
      </w:r>
      <w:r w:rsidR="00763FF2">
        <w:rPr>
          <w:rFonts w:cs="Arial"/>
        </w:rPr>
        <w:t>skills, specialities and endorsements</w:t>
      </w:r>
      <w:r w:rsidR="004E26B7">
        <w:rPr>
          <w:rFonts w:cs="Arial"/>
        </w:rPr>
        <w:t>. T</w:t>
      </w:r>
      <w:r w:rsidR="00763FF2">
        <w:rPr>
          <w:rFonts w:cs="Arial"/>
        </w:rPr>
        <w:t>here are further opportunities for</w:t>
      </w:r>
      <w:r w:rsidR="008971C9">
        <w:rPr>
          <w:rFonts w:cs="Arial"/>
        </w:rPr>
        <w:t xml:space="preserve"> common</w:t>
      </w:r>
      <w:r w:rsidR="00763FF2">
        <w:rPr>
          <w:rFonts w:cs="Arial"/>
        </w:rPr>
        <w:t xml:space="preserve"> interprofessional competencies to be developed. </w:t>
      </w:r>
    </w:p>
    <w:p w14:paraId="02A64E7A" w14:textId="3FB24F0A" w:rsidR="00263E26" w:rsidRDefault="00263E26" w:rsidP="00263E26">
      <w:r w:rsidRPr="00194359">
        <w:rPr>
          <w:b/>
          <w:bCs/>
        </w:rPr>
        <w:t xml:space="preserve">Funding </w:t>
      </w:r>
      <w:r w:rsidR="00794221">
        <w:rPr>
          <w:b/>
          <w:bCs/>
        </w:rPr>
        <w:t>policy</w:t>
      </w:r>
      <w:r>
        <w:t xml:space="preserve">: </w:t>
      </w:r>
      <w:r w:rsidR="00084663" w:rsidRPr="00194359">
        <w:rPr>
          <w:rFonts w:cs="Arial"/>
        </w:rPr>
        <w:t xml:space="preserve">the way funding </w:t>
      </w:r>
      <w:r w:rsidR="00084663">
        <w:rPr>
          <w:rFonts w:cs="Arial"/>
        </w:rPr>
        <w:t xml:space="preserve">and payment </w:t>
      </w:r>
      <w:r w:rsidR="00084663" w:rsidRPr="00194359">
        <w:rPr>
          <w:rFonts w:cs="Arial"/>
        </w:rPr>
        <w:t xml:space="preserve">is </w:t>
      </w:r>
      <w:r w:rsidR="00084663">
        <w:rPr>
          <w:rFonts w:cs="Arial"/>
        </w:rPr>
        <w:t>made</w:t>
      </w:r>
      <w:r w:rsidR="00084663" w:rsidRPr="00194359">
        <w:rPr>
          <w:rFonts w:cs="Arial"/>
        </w:rPr>
        <w:t xml:space="preserve"> for delivery of health care</w:t>
      </w:r>
      <w:r w:rsidR="00084663">
        <w:rPr>
          <w:rFonts w:cs="Arial"/>
        </w:rPr>
        <w:t>. Evidence to date highlighted opportunities to better enable connected and multidisciplinary care across professions, through alternatives to the existing fee-for-service model (for example, block or bundled funding).</w:t>
      </w:r>
    </w:p>
    <w:p w14:paraId="2CBEAC23" w14:textId="505FBD65" w:rsidR="005736FB" w:rsidRDefault="005736FB" w:rsidP="00194359">
      <w:r w:rsidRPr="00194359">
        <w:rPr>
          <w:b/>
          <w:bCs/>
        </w:rPr>
        <w:lastRenderedPageBreak/>
        <w:t>Technology</w:t>
      </w:r>
      <w:r w:rsidR="00194359">
        <w:t xml:space="preserve">: </w:t>
      </w:r>
      <w:r w:rsidRPr="004C1916">
        <w:t>integrated and accessible digital tools, communication and information sharing</w:t>
      </w:r>
      <w:r w:rsidR="00194359">
        <w:t>.</w:t>
      </w:r>
      <w:r w:rsidRPr="004C1916">
        <w:t xml:space="preserve"> </w:t>
      </w:r>
      <w:r w:rsidR="001C51CB">
        <w:t xml:space="preserve">Acknowledging this as a key policy direction for the broader health system, </w:t>
      </w:r>
      <w:r w:rsidR="00EA42F2">
        <w:t xml:space="preserve">the evidence indicated significant barriers relating to </w:t>
      </w:r>
      <w:r w:rsidR="00D41664">
        <w:t xml:space="preserve">health information sharing and digital infrastructure, which if resolved could significantly support continuity of care and multidisciplinary care teams. </w:t>
      </w:r>
    </w:p>
    <w:p w14:paraId="7F262CA8" w14:textId="581D5A34" w:rsidR="00ED1712" w:rsidRDefault="00ED1712" w:rsidP="00194359">
      <w:r>
        <w:t xml:space="preserve">Across all emerging themes, a number of common potential benefits emerged including: </w:t>
      </w:r>
    </w:p>
    <w:p w14:paraId="20C5B8FF" w14:textId="6A98AADB" w:rsidR="00ED1712" w:rsidRDefault="00ED1712" w:rsidP="001A2DBA">
      <w:pPr>
        <w:pStyle w:val="ListParagraph"/>
        <w:numPr>
          <w:ilvl w:val="0"/>
          <w:numId w:val="25"/>
        </w:numPr>
      </w:pPr>
      <w:r w:rsidRPr="001267DF">
        <w:rPr>
          <w:b/>
        </w:rPr>
        <w:t>Improved consumer access to care and continuity of care</w:t>
      </w:r>
      <w:r w:rsidR="00D41664">
        <w:t xml:space="preserve">, minimising delays and cost of receiving </w:t>
      </w:r>
      <w:r w:rsidR="00214D6B">
        <w:t>care.</w:t>
      </w:r>
      <w:r w:rsidR="00D41664">
        <w:t xml:space="preserve"> </w:t>
      </w:r>
    </w:p>
    <w:p w14:paraId="27A4E185" w14:textId="7DDF9555" w:rsidR="00D41664" w:rsidRDefault="00D41664" w:rsidP="001A2DBA">
      <w:pPr>
        <w:pStyle w:val="ListParagraph"/>
        <w:numPr>
          <w:ilvl w:val="0"/>
          <w:numId w:val="25"/>
        </w:numPr>
      </w:pPr>
      <w:r w:rsidRPr="001267DF">
        <w:rPr>
          <w:b/>
        </w:rPr>
        <w:t>Improved multidisciplinary practice, interprofessional collaboration and trust</w:t>
      </w:r>
      <w:r w:rsidR="0095537C">
        <w:t xml:space="preserve"> as the primary health care system supports </w:t>
      </w:r>
      <w:r w:rsidR="00D922BD">
        <w:t xml:space="preserve">enabling environments </w:t>
      </w:r>
      <w:r w:rsidR="00BA2AE7">
        <w:t xml:space="preserve">for collaborative care delivery and overlapping scopes of </w:t>
      </w:r>
      <w:r w:rsidR="00214D6B">
        <w:t>practice.</w:t>
      </w:r>
    </w:p>
    <w:p w14:paraId="6EF17887" w14:textId="53BA37C2" w:rsidR="00D41664" w:rsidRDefault="00D41664" w:rsidP="001A2DBA">
      <w:pPr>
        <w:pStyle w:val="ListParagraph"/>
        <w:numPr>
          <w:ilvl w:val="0"/>
          <w:numId w:val="25"/>
        </w:numPr>
      </w:pPr>
      <w:r w:rsidRPr="001267DF">
        <w:rPr>
          <w:b/>
        </w:rPr>
        <w:t>Improved consumer outcomes</w:t>
      </w:r>
      <w:r w:rsidR="0095537C">
        <w:t>,</w:t>
      </w:r>
      <w:r>
        <w:t xml:space="preserve"> </w:t>
      </w:r>
      <w:r w:rsidR="0095537C">
        <w:t xml:space="preserve">as primary health care is delivered in a more multidisciplinary way, tailored to the consumer’s individual </w:t>
      </w:r>
      <w:r w:rsidR="00214D6B">
        <w:t>needs.</w:t>
      </w:r>
      <w:r w:rsidR="0095537C">
        <w:t xml:space="preserve"> </w:t>
      </w:r>
    </w:p>
    <w:p w14:paraId="77E064AD" w14:textId="3AD8B01C" w:rsidR="00D41664" w:rsidRPr="004C1916" w:rsidRDefault="00D41664" w:rsidP="001A2DBA">
      <w:pPr>
        <w:pStyle w:val="ListParagraph"/>
        <w:numPr>
          <w:ilvl w:val="0"/>
          <w:numId w:val="25"/>
        </w:numPr>
      </w:pPr>
      <w:r w:rsidRPr="001267DF">
        <w:rPr>
          <w:b/>
        </w:rPr>
        <w:t>Improved workfor</w:t>
      </w:r>
      <w:r w:rsidR="00E072F8" w:rsidRPr="001267DF">
        <w:rPr>
          <w:b/>
        </w:rPr>
        <w:t>c</w:t>
      </w:r>
      <w:r w:rsidRPr="001267DF">
        <w:rPr>
          <w:b/>
        </w:rPr>
        <w:t>e satisfaction and retention</w:t>
      </w:r>
      <w:r w:rsidR="0095537C">
        <w:t>, as health professionals are enabled to work to their full scope of practice</w:t>
      </w:r>
      <w:r w:rsidR="00BA2AE7">
        <w:t>.</w:t>
      </w:r>
      <w:r>
        <w:t xml:space="preserve"> </w:t>
      </w:r>
    </w:p>
    <w:p w14:paraId="1D799967" w14:textId="0D0D6C65" w:rsidR="00194359" w:rsidRDefault="00194359" w:rsidP="00194359">
      <w:r>
        <w:t xml:space="preserve">The document is divided into four sections: </w:t>
      </w:r>
    </w:p>
    <w:p w14:paraId="5CFED903" w14:textId="29F9EA8A" w:rsidR="00194359" w:rsidRPr="00842D42" w:rsidRDefault="00194359" w:rsidP="001A2DBA">
      <w:pPr>
        <w:pStyle w:val="ListParagraph"/>
        <w:numPr>
          <w:ilvl w:val="0"/>
          <w:numId w:val="10"/>
        </w:numPr>
        <w:rPr>
          <w:b/>
          <w:bCs/>
        </w:rPr>
      </w:pPr>
      <w:r w:rsidRPr="00842D42">
        <w:rPr>
          <w:b/>
          <w:bCs/>
        </w:rPr>
        <w:t xml:space="preserve">Background and </w:t>
      </w:r>
      <w:r>
        <w:rPr>
          <w:b/>
          <w:bCs/>
        </w:rPr>
        <w:t>p</w:t>
      </w:r>
      <w:r w:rsidRPr="00842D42">
        <w:rPr>
          <w:b/>
          <w:bCs/>
        </w:rPr>
        <w:t xml:space="preserve">urpose </w:t>
      </w:r>
      <w:r w:rsidR="00BA2AE7">
        <w:t>– presents the context for the Review</w:t>
      </w:r>
      <w:r w:rsidR="00793C85">
        <w:t>, overview of approach to date, and purpose of this document</w:t>
      </w:r>
      <w:r w:rsidR="00613DF4">
        <w:t>.</w:t>
      </w:r>
    </w:p>
    <w:p w14:paraId="37D824B4" w14:textId="665A80E6" w:rsidR="00194359" w:rsidRPr="00842D42" w:rsidRDefault="00194359" w:rsidP="001A2DBA">
      <w:pPr>
        <w:pStyle w:val="ListParagraph"/>
        <w:numPr>
          <w:ilvl w:val="0"/>
          <w:numId w:val="10"/>
        </w:numPr>
        <w:rPr>
          <w:b/>
          <w:bCs/>
        </w:rPr>
      </w:pPr>
      <w:r w:rsidRPr="00842D42">
        <w:rPr>
          <w:b/>
          <w:bCs/>
        </w:rPr>
        <w:t>Summary of evidence</w:t>
      </w:r>
      <w:r w:rsidR="00793C85">
        <w:rPr>
          <w:b/>
          <w:bCs/>
        </w:rPr>
        <w:t xml:space="preserve"> </w:t>
      </w:r>
      <w:r w:rsidR="00793C85">
        <w:t xml:space="preserve">– </w:t>
      </w:r>
      <w:r w:rsidR="002503DF">
        <w:t xml:space="preserve">provides an overview of key findings to date through </w:t>
      </w:r>
      <w:r w:rsidR="00613DF4">
        <w:t>evidence and</w:t>
      </w:r>
      <w:r w:rsidR="00A120C6">
        <w:t xml:space="preserve"> introduc</w:t>
      </w:r>
      <w:r w:rsidR="00026E12">
        <w:t>es</w:t>
      </w:r>
      <w:r w:rsidR="00A120C6">
        <w:t xml:space="preserve"> the five emerging </w:t>
      </w:r>
      <w:r w:rsidR="00613DF4">
        <w:t>themes.</w:t>
      </w:r>
    </w:p>
    <w:p w14:paraId="7A04D458" w14:textId="3A4E9F04" w:rsidR="00194359" w:rsidRPr="00842D42" w:rsidRDefault="00194359" w:rsidP="001A2DBA">
      <w:pPr>
        <w:pStyle w:val="ListParagraph"/>
        <w:numPr>
          <w:ilvl w:val="0"/>
          <w:numId w:val="10"/>
        </w:numPr>
        <w:rPr>
          <w:b/>
          <w:bCs/>
        </w:rPr>
      </w:pPr>
      <w:r w:rsidRPr="00842D42">
        <w:rPr>
          <w:b/>
          <w:bCs/>
        </w:rPr>
        <w:t>Emerging themes from analysis</w:t>
      </w:r>
      <w:r w:rsidR="00A120C6">
        <w:rPr>
          <w:b/>
          <w:bCs/>
        </w:rPr>
        <w:t xml:space="preserve"> </w:t>
      </w:r>
      <w:r w:rsidR="00A120C6">
        <w:t>– provides detail for each of the five emerging themes</w:t>
      </w:r>
      <w:r w:rsidR="00861AAE">
        <w:t xml:space="preserve">, including the key policy problems, </w:t>
      </w:r>
      <w:r w:rsidR="00E71B8B">
        <w:t xml:space="preserve">potential policy solutions for ongoing exploration, </w:t>
      </w:r>
      <w:r w:rsidR="00861AAE">
        <w:t xml:space="preserve">case studies and exemplars, </w:t>
      </w:r>
      <w:r w:rsidR="00E71B8B">
        <w:t xml:space="preserve">and a series of questions to support further consultation during Phase 2 of the Review. </w:t>
      </w:r>
    </w:p>
    <w:p w14:paraId="0E29F04D" w14:textId="4DB2EFDF" w:rsidR="00194359" w:rsidRPr="001267DF" w:rsidRDefault="00194359" w:rsidP="001A2DBA">
      <w:pPr>
        <w:pStyle w:val="ListParagraph"/>
        <w:numPr>
          <w:ilvl w:val="0"/>
          <w:numId w:val="10"/>
        </w:numPr>
        <w:rPr>
          <w:b/>
        </w:rPr>
      </w:pPr>
      <w:r w:rsidRPr="00842D42">
        <w:rPr>
          <w:b/>
          <w:bCs/>
        </w:rPr>
        <w:t xml:space="preserve">Next steps </w:t>
      </w:r>
      <w:r w:rsidR="00E71B8B">
        <w:rPr>
          <w:b/>
          <w:bCs/>
        </w:rPr>
        <w:t xml:space="preserve">– </w:t>
      </w:r>
      <w:r w:rsidR="00E71B8B" w:rsidRPr="001267DF">
        <w:t xml:space="preserve">presents an overview of upcoming consultation </w:t>
      </w:r>
      <w:r w:rsidR="00A6635C" w:rsidRPr="001267DF">
        <w:t xml:space="preserve">during Phase 2 of the Review </w:t>
      </w:r>
      <w:r w:rsidR="00E71B8B" w:rsidRPr="001267DF">
        <w:t>and</w:t>
      </w:r>
      <w:r w:rsidR="00526038" w:rsidRPr="001267DF">
        <w:t xml:space="preserve"> </w:t>
      </w:r>
      <w:r w:rsidR="00A6635C" w:rsidRPr="001267DF">
        <w:t xml:space="preserve">the </w:t>
      </w:r>
      <w:r w:rsidR="00526038" w:rsidRPr="001267DF">
        <w:t xml:space="preserve">process for developing </w:t>
      </w:r>
      <w:r w:rsidR="00A6635C" w:rsidRPr="001267DF">
        <w:t>Issues Paper 2</w:t>
      </w:r>
      <w:r w:rsidR="00A6635C">
        <w:t xml:space="preserve"> and Final Report</w:t>
      </w:r>
      <w:r w:rsidR="00A6635C" w:rsidRPr="001267DF">
        <w:t>.</w:t>
      </w:r>
      <w:r w:rsidR="00A6635C">
        <w:rPr>
          <w:b/>
          <w:bCs/>
        </w:rPr>
        <w:t xml:space="preserve"> </w:t>
      </w:r>
    </w:p>
    <w:p w14:paraId="3F115F52" w14:textId="21360CD4" w:rsidR="001413EE" w:rsidRPr="004D1339" w:rsidRDefault="00745C5C" w:rsidP="001413EE">
      <w:pPr>
        <w:pStyle w:val="Heading1"/>
      </w:pPr>
      <w:bookmarkStart w:id="4" w:name="_Toc156832063"/>
      <w:r w:rsidRPr="008A1ECC">
        <w:t>Background</w:t>
      </w:r>
      <w:r>
        <w:t xml:space="preserve"> and </w:t>
      </w:r>
      <w:r w:rsidR="00F03AFC">
        <w:t>p</w:t>
      </w:r>
      <w:r>
        <w:t>urpose</w:t>
      </w:r>
      <w:bookmarkEnd w:id="4"/>
    </w:p>
    <w:p w14:paraId="00D829D1" w14:textId="2E1D6B26" w:rsidR="004C36BD" w:rsidRPr="00810936" w:rsidRDefault="004C36BD" w:rsidP="004C36BD">
      <w:pPr>
        <w:shd w:val="clear" w:color="auto" w:fill="FFFFFF" w:themeFill="background1"/>
        <w:spacing w:after="0"/>
      </w:pPr>
      <w:r>
        <w:t>The Strengthening Medicare Taskforce began work in July 2022 to provide concrete recommendations to the Australian Government by the end of 2022 in relation to:</w:t>
      </w:r>
    </w:p>
    <w:p w14:paraId="7FC8F530" w14:textId="384DA8C8" w:rsidR="004C36BD" w:rsidRPr="00810936" w:rsidRDefault="004C36BD" w:rsidP="001A2DBA">
      <w:pPr>
        <w:pStyle w:val="ListParagraph"/>
        <w:numPr>
          <w:ilvl w:val="0"/>
          <w:numId w:val="14"/>
        </w:numPr>
      </w:pPr>
      <w:r>
        <w:t>improving patient access to general practice, including after hours</w:t>
      </w:r>
      <w:r w:rsidR="005D2D5B">
        <w:t>;</w:t>
      </w:r>
    </w:p>
    <w:p w14:paraId="5B733077" w14:textId="19168094" w:rsidR="004C36BD" w:rsidRPr="00810936" w:rsidRDefault="004C36BD" w:rsidP="001A2DBA">
      <w:pPr>
        <w:pStyle w:val="ListParagraph"/>
        <w:numPr>
          <w:ilvl w:val="0"/>
          <w:numId w:val="14"/>
        </w:numPr>
      </w:pPr>
      <w:r>
        <w:t>improving patient access to GP-led multidisciplinary team care, including nursing and allied health</w:t>
      </w:r>
      <w:r w:rsidR="005D2D5B">
        <w:t>;</w:t>
      </w:r>
    </w:p>
    <w:p w14:paraId="6D173E89" w14:textId="18ED66EB" w:rsidR="004C36BD" w:rsidRPr="00810936" w:rsidRDefault="004C36BD" w:rsidP="001A2DBA">
      <w:pPr>
        <w:pStyle w:val="ListParagraph"/>
        <w:numPr>
          <w:ilvl w:val="0"/>
          <w:numId w:val="14"/>
        </w:numPr>
      </w:pPr>
      <w:r>
        <w:t>making primary care more affordable for patients</w:t>
      </w:r>
      <w:r w:rsidR="005D2D5B">
        <w:t>;</w:t>
      </w:r>
    </w:p>
    <w:p w14:paraId="2FC710E5" w14:textId="204AF209" w:rsidR="004C36BD" w:rsidRPr="00810936" w:rsidRDefault="004C36BD" w:rsidP="001A2DBA">
      <w:pPr>
        <w:pStyle w:val="ListParagraph"/>
        <w:numPr>
          <w:ilvl w:val="0"/>
          <w:numId w:val="14"/>
        </w:numPr>
      </w:pPr>
      <w:r>
        <w:t>improving prevention and management of ongoing and chronic conditions</w:t>
      </w:r>
      <w:r w:rsidR="005D2D5B">
        <w:t>;</w:t>
      </w:r>
    </w:p>
    <w:p w14:paraId="02DFF63D" w14:textId="2F656A0B" w:rsidR="004C36BD" w:rsidRPr="00810936" w:rsidRDefault="004C36BD" w:rsidP="001A2DBA">
      <w:pPr>
        <w:pStyle w:val="ListParagraph"/>
        <w:numPr>
          <w:ilvl w:val="0"/>
          <w:numId w:val="14"/>
        </w:numPr>
      </w:pPr>
      <w:r>
        <w:t>reducing pressure on hospitals</w:t>
      </w:r>
      <w:r w:rsidR="005D2D5B">
        <w:t>.</w:t>
      </w:r>
    </w:p>
    <w:p w14:paraId="1C4A6D30" w14:textId="381088B7" w:rsidR="00BF3410" w:rsidRDefault="004C36BD" w:rsidP="004C36BD">
      <w:r>
        <w:t xml:space="preserve">In </w:t>
      </w:r>
      <w:r w:rsidR="4B842002">
        <w:t>December 2022</w:t>
      </w:r>
      <w:r>
        <w:t>, the Strengthening Medicare Taskforce Report outlined priority recommendations to improve primary care</w:t>
      </w:r>
      <w:r w:rsidR="00BF3410">
        <w:t xml:space="preserve">, including a </w:t>
      </w:r>
      <w:r>
        <w:t xml:space="preserve">review </w:t>
      </w:r>
      <w:r w:rsidR="00BF3410">
        <w:t>of</w:t>
      </w:r>
      <w:r>
        <w:t xml:space="preserve"> barriers and incentives for all health practitioners to work to their full scope of practice.</w:t>
      </w:r>
      <w:r w:rsidR="00BF3410">
        <w:t xml:space="preserve"> </w:t>
      </w:r>
      <w:r>
        <w:t>In April 2023, National Cabinet</w:t>
      </w:r>
      <w:r w:rsidR="00B6575C">
        <w:t>, which includes the Prime Minister</w:t>
      </w:r>
      <w:r w:rsidR="00931D88">
        <w:t xml:space="preserve"> and the </w:t>
      </w:r>
      <w:r w:rsidR="00AB637D">
        <w:t>F</w:t>
      </w:r>
      <w:r w:rsidR="00931D88">
        <w:t xml:space="preserve">irst </w:t>
      </w:r>
      <w:r w:rsidR="00AB637D">
        <w:t>Mi</w:t>
      </w:r>
      <w:r w:rsidR="00931D88">
        <w:t>nister from each state and territory,</w:t>
      </w:r>
      <w:r w:rsidR="00C97A2A">
        <w:t xml:space="preserve"> supported the Taskforce recommendation</w:t>
      </w:r>
      <w:r w:rsidR="00147E6A">
        <w:t>s. As a result, the Australian Government</w:t>
      </w:r>
      <w:r w:rsidR="00C97A2A">
        <w:t xml:space="preserve"> provided funding to conduct a scope of practice review</w:t>
      </w:r>
      <w:r w:rsidR="00695794">
        <w:t xml:space="preserve"> focussing on primary care in the </w:t>
      </w:r>
      <w:r w:rsidR="004401DD">
        <w:t>2023-2024 Budget</w:t>
      </w:r>
      <w:r w:rsidR="00222FEC">
        <w:t>,</w:t>
      </w:r>
      <w:r w:rsidR="00222FEC" w:rsidRPr="00222FEC">
        <w:t xml:space="preserve"> </w:t>
      </w:r>
      <w:r w:rsidR="00222FEC">
        <w:t>which commenced in September 2023</w:t>
      </w:r>
      <w:r w:rsidR="00C97A2A">
        <w:t xml:space="preserve">. </w:t>
      </w:r>
    </w:p>
    <w:p w14:paraId="5F00FE91" w14:textId="6DE99990" w:rsidR="00730542" w:rsidRDefault="004C36BD" w:rsidP="004C36BD">
      <w:pPr>
        <w:rPr>
          <w:rFonts w:cs="Arial"/>
        </w:rPr>
      </w:pPr>
      <w:r>
        <w:lastRenderedPageBreak/>
        <w:t xml:space="preserve">Professor Mark Cormack is leading this intensive, </w:t>
      </w:r>
      <w:r w:rsidR="00E33295">
        <w:t>i</w:t>
      </w:r>
      <w:r>
        <w:t xml:space="preserve">ndependent </w:t>
      </w:r>
      <w:r w:rsidR="005923EA">
        <w:t>R</w:t>
      </w:r>
      <w:r>
        <w:t>eview</w:t>
      </w:r>
      <w:r w:rsidR="00222FEC">
        <w:t xml:space="preserve">. </w:t>
      </w:r>
      <w:r w:rsidR="00A43A1F">
        <w:t xml:space="preserve">The Review focuses on </w:t>
      </w:r>
      <w:r w:rsidR="72650012">
        <w:t>key</w:t>
      </w:r>
      <w:r w:rsidR="00A43A1F">
        <w:t xml:space="preserve"> health professionals </w:t>
      </w:r>
      <w:r w:rsidR="003F76E8">
        <w:t xml:space="preserve">who currently provide or have the potential to </w:t>
      </w:r>
      <w:r w:rsidR="00A83E1D">
        <w:t>provide primary</w:t>
      </w:r>
      <w:r w:rsidR="00A43A1F">
        <w:t xml:space="preserve"> care, and explores</w:t>
      </w:r>
      <w:r>
        <w:t xml:space="preserve"> the available evidence of the benefits, risks and enablers associated with health practitioners working to their full scope of practice</w:t>
      </w:r>
      <w:r w:rsidR="00A43A1F">
        <w:t>.</w:t>
      </w:r>
      <w:r w:rsidR="00730542" w:rsidRPr="00730542">
        <w:rPr>
          <w:rFonts w:cs="Arial"/>
        </w:rPr>
        <w:t xml:space="preserve"> </w:t>
      </w:r>
    </w:p>
    <w:p w14:paraId="03A75FB8" w14:textId="35B50D6B" w:rsidR="008A365B" w:rsidRDefault="00E132E3" w:rsidP="00E132E3">
      <w:pPr>
        <w:rPr>
          <w:rFonts w:cs="Arial"/>
        </w:rPr>
      </w:pPr>
      <w:r>
        <w:rPr>
          <w:rFonts w:cs="Arial"/>
        </w:rPr>
        <w:t xml:space="preserve">The </w:t>
      </w:r>
      <w:r w:rsidR="00C50764">
        <w:rPr>
          <w:rFonts w:cs="Arial"/>
        </w:rPr>
        <w:t>R</w:t>
      </w:r>
      <w:r>
        <w:rPr>
          <w:rFonts w:cs="Arial"/>
        </w:rPr>
        <w:t>eview</w:t>
      </w:r>
      <w:r w:rsidR="004D298C">
        <w:rPr>
          <w:rFonts w:cs="Arial"/>
        </w:rPr>
        <w:t xml:space="preserve"> </w:t>
      </w:r>
      <w:r w:rsidR="00F02717">
        <w:rPr>
          <w:rFonts w:cs="Arial"/>
        </w:rPr>
        <w:t xml:space="preserve">will </w:t>
      </w:r>
      <w:r>
        <w:rPr>
          <w:rFonts w:cs="Arial"/>
        </w:rPr>
        <w:t xml:space="preserve">capture a broad range of </w:t>
      </w:r>
      <w:r w:rsidR="00254968">
        <w:rPr>
          <w:rFonts w:cs="Arial"/>
        </w:rPr>
        <w:t xml:space="preserve">perspectives </w:t>
      </w:r>
      <w:r w:rsidR="00944B93">
        <w:rPr>
          <w:rFonts w:cs="Arial"/>
        </w:rPr>
        <w:t>through multiple opportunities for consultation</w:t>
      </w:r>
      <w:r w:rsidR="00365FD1">
        <w:rPr>
          <w:rFonts w:cs="Arial"/>
        </w:rPr>
        <w:t>. Thi</w:t>
      </w:r>
      <w:r w:rsidR="00AE2F9D">
        <w:rPr>
          <w:rFonts w:cs="Arial"/>
        </w:rPr>
        <w:t xml:space="preserve">s will ensure the Review findings and recommendations are </w:t>
      </w:r>
      <w:r w:rsidR="00F2672F">
        <w:rPr>
          <w:rFonts w:cs="Arial"/>
        </w:rPr>
        <w:t xml:space="preserve">comprehensive </w:t>
      </w:r>
      <w:r w:rsidR="00F2672F" w:rsidRPr="149B2704">
        <w:rPr>
          <w:rFonts w:cs="Arial"/>
        </w:rPr>
        <w:t>and</w:t>
      </w:r>
      <w:r w:rsidR="00F2672F">
        <w:rPr>
          <w:rFonts w:cs="Arial"/>
        </w:rPr>
        <w:t xml:space="preserve"> </w:t>
      </w:r>
      <w:r w:rsidR="00673F5F">
        <w:rPr>
          <w:rFonts w:cs="Arial"/>
        </w:rPr>
        <w:t xml:space="preserve">well-informed by </w:t>
      </w:r>
      <w:r w:rsidR="00F2672F">
        <w:rPr>
          <w:rFonts w:cs="Arial"/>
        </w:rPr>
        <w:t>health system</w:t>
      </w:r>
      <w:r w:rsidR="00AB351B">
        <w:rPr>
          <w:rFonts w:cs="Arial"/>
        </w:rPr>
        <w:t xml:space="preserve"> stakeholders.</w:t>
      </w:r>
      <w:r w:rsidR="00AE2F9D">
        <w:rPr>
          <w:rFonts w:cs="Arial"/>
        </w:rPr>
        <w:t xml:space="preserve"> </w:t>
      </w:r>
      <w:r w:rsidR="00254968">
        <w:rPr>
          <w:rFonts w:cs="Arial"/>
        </w:rPr>
        <w:t xml:space="preserve"> </w:t>
      </w:r>
    </w:p>
    <w:p w14:paraId="566DC677" w14:textId="466DAE49" w:rsidR="00DA3A09" w:rsidRDefault="00AB351B" w:rsidP="00E132E3">
      <w:pPr>
        <w:rPr>
          <w:rFonts w:cs="Arial"/>
        </w:rPr>
      </w:pPr>
      <w:r w:rsidRPr="001267DF">
        <w:rPr>
          <w:rFonts w:cs="Arial"/>
          <w:b/>
        </w:rPr>
        <w:t>Phase 1</w:t>
      </w:r>
      <w:r>
        <w:rPr>
          <w:rFonts w:cs="Arial"/>
        </w:rPr>
        <w:t xml:space="preserve"> </w:t>
      </w:r>
      <w:r w:rsidR="00563105">
        <w:rPr>
          <w:rFonts w:cs="Arial"/>
        </w:rPr>
        <w:t>of the Review</w:t>
      </w:r>
      <w:r w:rsidR="00FB5072">
        <w:rPr>
          <w:rFonts w:cs="Arial"/>
        </w:rPr>
        <w:t xml:space="preserve"> consultation was </w:t>
      </w:r>
      <w:r w:rsidR="008A365B">
        <w:rPr>
          <w:rFonts w:cs="Arial"/>
        </w:rPr>
        <w:t>undertaken</w:t>
      </w:r>
      <w:r w:rsidR="00FB5072">
        <w:rPr>
          <w:rFonts w:cs="Arial"/>
        </w:rPr>
        <w:t xml:space="preserve"> </w:t>
      </w:r>
      <w:r w:rsidR="00790E0D">
        <w:rPr>
          <w:rFonts w:cs="Arial"/>
        </w:rPr>
        <w:t>in September</w:t>
      </w:r>
      <w:r w:rsidR="00742B54">
        <w:rPr>
          <w:rFonts w:cs="Arial"/>
        </w:rPr>
        <w:t>-December</w:t>
      </w:r>
      <w:r w:rsidR="00790E0D">
        <w:rPr>
          <w:rFonts w:cs="Arial"/>
        </w:rPr>
        <w:t xml:space="preserve"> 2023. </w:t>
      </w:r>
      <w:r w:rsidR="6A9F3500" w:rsidRPr="2F8A0896">
        <w:rPr>
          <w:rFonts w:cs="Arial"/>
        </w:rPr>
        <w:t>M</w:t>
      </w:r>
      <w:r w:rsidR="00A519E1" w:rsidRPr="2F8A0896">
        <w:rPr>
          <w:rFonts w:cs="Arial"/>
        </w:rPr>
        <w:t>ore</w:t>
      </w:r>
      <w:r w:rsidR="00A519E1">
        <w:rPr>
          <w:rFonts w:cs="Arial"/>
        </w:rPr>
        <w:t xml:space="preserve"> than 700 submissions</w:t>
      </w:r>
      <w:r>
        <w:rPr>
          <w:rFonts w:cs="Arial"/>
        </w:rPr>
        <w:t xml:space="preserve"> </w:t>
      </w:r>
      <w:r w:rsidR="00A16638">
        <w:rPr>
          <w:rFonts w:cs="Arial"/>
        </w:rPr>
        <w:t>to targeted questions on scope of practice</w:t>
      </w:r>
      <w:r w:rsidR="62E829D2" w:rsidRPr="2F8A0896">
        <w:rPr>
          <w:rFonts w:cs="Arial"/>
        </w:rPr>
        <w:t xml:space="preserve"> were received</w:t>
      </w:r>
      <w:r w:rsidR="00007549">
        <w:rPr>
          <w:rFonts w:cs="Arial"/>
        </w:rPr>
        <w:t xml:space="preserve">, </w:t>
      </w:r>
      <w:r w:rsidR="00FB1A91">
        <w:rPr>
          <w:rFonts w:cs="Arial"/>
        </w:rPr>
        <w:t xml:space="preserve">and </w:t>
      </w:r>
      <w:r w:rsidR="00DA3A09">
        <w:rPr>
          <w:rFonts w:cs="Arial"/>
        </w:rPr>
        <w:t xml:space="preserve">meetings </w:t>
      </w:r>
      <w:r w:rsidR="37306F6A" w:rsidRPr="2F8A0896">
        <w:rPr>
          <w:rFonts w:cs="Arial"/>
        </w:rPr>
        <w:t xml:space="preserve">held </w:t>
      </w:r>
      <w:r w:rsidR="00DA3A09">
        <w:rPr>
          <w:rFonts w:cs="Arial"/>
        </w:rPr>
        <w:t xml:space="preserve">with over 90 organisations from across the health system. </w:t>
      </w:r>
      <w:r w:rsidR="0023678C">
        <w:rPr>
          <w:rFonts w:cs="Arial"/>
        </w:rPr>
        <w:t xml:space="preserve">Insights shared by these </w:t>
      </w:r>
      <w:r w:rsidR="000D49F0">
        <w:rPr>
          <w:rFonts w:cs="Arial"/>
        </w:rPr>
        <w:t xml:space="preserve">groups </w:t>
      </w:r>
      <w:r w:rsidR="00F345BC">
        <w:rPr>
          <w:rFonts w:cs="Arial"/>
        </w:rPr>
        <w:t xml:space="preserve">explored </w:t>
      </w:r>
      <w:r w:rsidR="00C47B0C">
        <w:rPr>
          <w:rFonts w:cs="Arial"/>
        </w:rPr>
        <w:t>current barriers to</w:t>
      </w:r>
      <w:r w:rsidR="00F345BC">
        <w:rPr>
          <w:rFonts w:cs="Arial"/>
        </w:rPr>
        <w:t xml:space="preserve"> </w:t>
      </w:r>
      <w:r w:rsidR="00920CEF">
        <w:rPr>
          <w:rFonts w:cs="Arial"/>
        </w:rPr>
        <w:t xml:space="preserve">health </w:t>
      </w:r>
      <w:r w:rsidR="00A75864">
        <w:rPr>
          <w:rFonts w:cs="Arial"/>
        </w:rPr>
        <w:t xml:space="preserve">professionals working to full scope of practice </w:t>
      </w:r>
      <w:r w:rsidR="00EB1600">
        <w:rPr>
          <w:rFonts w:cs="Arial"/>
        </w:rPr>
        <w:t xml:space="preserve">and </w:t>
      </w:r>
      <w:r w:rsidR="003A21EF">
        <w:rPr>
          <w:rFonts w:cs="Arial"/>
        </w:rPr>
        <w:t xml:space="preserve">how these barriers could be overcome </w:t>
      </w:r>
      <w:r w:rsidR="000B2218">
        <w:rPr>
          <w:rFonts w:cs="Arial"/>
        </w:rPr>
        <w:t xml:space="preserve">to provide </w:t>
      </w:r>
      <w:r w:rsidR="004A0924">
        <w:rPr>
          <w:rFonts w:cs="Arial"/>
        </w:rPr>
        <w:t xml:space="preserve">improved access </w:t>
      </w:r>
      <w:r w:rsidR="00C77BE0">
        <w:rPr>
          <w:rFonts w:cs="Arial"/>
        </w:rPr>
        <w:t xml:space="preserve">to quality primary health </w:t>
      </w:r>
      <w:r w:rsidR="009A0F94">
        <w:rPr>
          <w:rFonts w:cs="Arial"/>
        </w:rPr>
        <w:t xml:space="preserve">care </w:t>
      </w:r>
      <w:r w:rsidR="00C77BE0">
        <w:rPr>
          <w:rFonts w:cs="Arial"/>
        </w:rPr>
        <w:t>services for all Australians.</w:t>
      </w:r>
      <w:r w:rsidR="00A947AD">
        <w:rPr>
          <w:rFonts w:cs="Arial"/>
        </w:rPr>
        <w:t xml:space="preserve"> </w:t>
      </w:r>
      <w:r w:rsidR="00FC1E5F">
        <w:rPr>
          <w:rFonts w:cs="Arial"/>
        </w:rPr>
        <w:t xml:space="preserve">This Issues Paper </w:t>
      </w:r>
      <w:r w:rsidR="005758CE">
        <w:rPr>
          <w:rFonts w:cs="Arial"/>
        </w:rPr>
        <w:t>dra</w:t>
      </w:r>
      <w:r w:rsidR="00827D93">
        <w:rPr>
          <w:rFonts w:cs="Arial"/>
        </w:rPr>
        <w:t>ws</w:t>
      </w:r>
      <w:r w:rsidR="005758CE">
        <w:rPr>
          <w:rFonts w:cs="Arial"/>
        </w:rPr>
        <w:t xml:space="preserve"> from </w:t>
      </w:r>
      <w:r w:rsidR="00B177CE">
        <w:rPr>
          <w:rFonts w:cs="Arial"/>
        </w:rPr>
        <w:t xml:space="preserve">the </w:t>
      </w:r>
      <w:r w:rsidR="00E43911">
        <w:rPr>
          <w:rFonts w:cs="Arial"/>
        </w:rPr>
        <w:t xml:space="preserve">initial </w:t>
      </w:r>
      <w:r w:rsidR="004D78DA">
        <w:rPr>
          <w:rFonts w:cs="Arial"/>
        </w:rPr>
        <w:t xml:space="preserve">themes that </w:t>
      </w:r>
      <w:r w:rsidR="004E47A7">
        <w:rPr>
          <w:rFonts w:cs="Arial"/>
        </w:rPr>
        <w:t xml:space="preserve">have </w:t>
      </w:r>
      <w:r w:rsidR="004D78DA">
        <w:rPr>
          <w:rFonts w:cs="Arial"/>
        </w:rPr>
        <w:t xml:space="preserve">emerged from </w:t>
      </w:r>
      <w:r w:rsidR="00E43911">
        <w:rPr>
          <w:rFonts w:cs="Arial"/>
        </w:rPr>
        <w:t xml:space="preserve">the Phase 1 </w:t>
      </w:r>
      <w:r w:rsidR="0013365E">
        <w:rPr>
          <w:rFonts w:cs="Arial"/>
        </w:rPr>
        <w:t>consultation</w:t>
      </w:r>
      <w:r w:rsidR="004D78DA">
        <w:rPr>
          <w:rFonts w:cs="Arial"/>
        </w:rPr>
        <w:t>.</w:t>
      </w:r>
      <w:r w:rsidR="00C77BE0">
        <w:rPr>
          <w:rFonts w:cs="Arial"/>
        </w:rPr>
        <w:t xml:space="preserve"> </w:t>
      </w:r>
    </w:p>
    <w:p w14:paraId="52A0D0F8" w14:textId="78C404A0" w:rsidR="00600397" w:rsidRDefault="00777C33" w:rsidP="00E132E3">
      <w:pPr>
        <w:rPr>
          <w:rFonts w:cs="Arial"/>
        </w:rPr>
      </w:pPr>
      <w:r w:rsidRPr="001267DF">
        <w:rPr>
          <w:rFonts w:cs="Arial"/>
          <w:b/>
        </w:rPr>
        <w:t>Phase 2</w:t>
      </w:r>
      <w:r>
        <w:rPr>
          <w:rFonts w:cs="Arial"/>
        </w:rPr>
        <w:t xml:space="preserve"> of </w:t>
      </w:r>
      <w:r w:rsidR="00D300D0">
        <w:rPr>
          <w:rFonts w:cs="Arial"/>
        </w:rPr>
        <w:t>R</w:t>
      </w:r>
      <w:r>
        <w:rPr>
          <w:rFonts w:cs="Arial"/>
        </w:rPr>
        <w:t xml:space="preserve">eview consultations </w:t>
      </w:r>
      <w:r w:rsidR="00086272">
        <w:rPr>
          <w:rFonts w:cs="Arial"/>
        </w:rPr>
        <w:t xml:space="preserve">will be </w:t>
      </w:r>
      <w:r w:rsidR="00E42E7D">
        <w:rPr>
          <w:rFonts w:cs="Arial"/>
        </w:rPr>
        <w:t>undertaken</w:t>
      </w:r>
      <w:r w:rsidR="00086272">
        <w:rPr>
          <w:rFonts w:cs="Arial"/>
        </w:rPr>
        <w:t xml:space="preserve"> </w:t>
      </w:r>
      <w:r w:rsidR="00065231">
        <w:rPr>
          <w:rFonts w:cs="Arial"/>
        </w:rPr>
        <w:t>from January</w:t>
      </w:r>
      <w:r w:rsidR="00A83E1D">
        <w:rPr>
          <w:rFonts w:cs="Arial"/>
        </w:rPr>
        <w:t>-</w:t>
      </w:r>
      <w:r w:rsidR="00065231">
        <w:rPr>
          <w:rFonts w:cs="Arial"/>
        </w:rPr>
        <w:t>March 2024</w:t>
      </w:r>
      <w:r w:rsidR="00F74EC3">
        <w:rPr>
          <w:rFonts w:cs="Arial"/>
        </w:rPr>
        <w:t>. It will</w:t>
      </w:r>
      <w:r w:rsidR="001B7804" w:rsidDel="001422BB">
        <w:rPr>
          <w:rFonts w:cs="Arial"/>
        </w:rPr>
        <w:t xml:space="preserve"> </w:t>
      </w:r>
      <w:r w:rsidR="001B7804">
        <w:rPr>
          <w:rFonts w:cs="Arial"/>
        </w:rPr>
        <w:t>enable feedback from</w:t>
      </w:r>
      <w:r w:rsidR="00CC35D3">
        <w:rPr>
          <w:rFonts w:cs="Arial"/>
        </w:rPr>
        <w:t xml:space="preserve"> </w:t>
      </w:r>
      <w:r w:rsidR="004D7296">
        <w:rPr>
          <w:rFonts w:cs="Arial"/>
        </w:rPr>
        <w:t>various perspectives on the emerging themes</w:t>
      </w:r>
      <w:r w:rsidR="00CC35D3">
        <w:rPr>
          <w:rFonts w:cs="Arial"/>
        </w:rPr>
        <w:t xml:space="preserve"> </w:t>
      </w:r>
      <w:r w:rsidR="00FC6DE8">
        <w:rPr>
          <w:rFonts w:cs="Arial"/>
        </w:rPr>
        <w:t xml:space="preserve">raised in this Issues Paper. </w:t>
      </w:r>
      <w:r w:rsidR="006671B0">
        <w:rPr>
          <w:rFonts w:cs="Arial"/>
        </w:rPr>
        <w:t xml:space="preserve">Consultations will occur </w:t>
      </w:r>
      <w:r w:rsidR="00B4602E">
        <w:rPr>
          <w:rFonts w:cs="Arial"/>
        </w:rPr>
        <w:t xml:space="preserve">via </w:t>
      </w:r>
      <w:r w:rsidR="001F256D">
        <w:rPr>
          <w:rFonts w:cs="Arial"/>
        </w:rPr>
        <w:t xml:space="preserve">a </w:t>
      </w:r>
      <w:r w:rsidR="00B4602E">
        <w:rPr>
          <w:rFonts w:cs="Arial"/>
        </w:rPr>
        <w:t xml:space="preserve">public submissions portal, </w:t>
      </w:r>
      <w:r w:rsidR="0033263D">
        <w:rPr>
          <w:rFonts w:cs="Arial"/>
        </w:rPr>
        <w:t xml:space="preserve">face-to-face workshops across Australia </w:t>
      </w:r>
      <w:r w:rsidR="00085C63">
        <w:rPr>
          <w:rFonts w:cs="Arial"/>
        </w:rPr>
        <w:t xml:space="preserve">and targeted stakeholder meetings. </w:t>
      </w:r>
      <w:r w:rsidR="00471AEF">
        <w:rPr>
          <w:rFonts w:cs="Arial"/>
        </w:rPr>
        <w:t xml:space="preserve">Consultations will be </w:t>
      </w:r>
      <w:r w:rsidR="003473BA">
        <w:rPr>
          <w:rFonts w:cs="Arial"/>
        </w:rPr>
        <w:t xml:space="preserve">informed by </w:t>
      </w:r>
      <w:r w:rsidR="001D4A9B">
        <w:rPr>
          <w:rFonts w:cs="Arial"/>
        </w:rPr>
        <w:t xml:space="preserve">questions raised throughout this Issues Paper. </w:t>
      </w:r>
      <w:r w:rsidR="00635697">
        <w:rPr>
          <w:rFonts w:cs="Arial"/>
        </w:rPr>
        <w:t>Phase 2 consultation</w:t>
      </w:r>
      <w:r w:rsidR="00DB4BB2">
        <w:rPr>
          <w:rFonts w:cs="Arial"/>
        </w:rPr>
        <w:t xml:space="preserve"> feedback will be synthesised with other evidence to produce Issues Paper 2, </w:t>
      </w:r>
      <w:r w:rsidR="00480B38">
        <w:rPr>
          <w:rFonts w:cs="Arial"/>
        </w:rPr>
        <w:t xml:space="preserve">which will explore the specific policy </w:t>
      </w:r>
      <w:r w:rsidR="001B4E5D">
        <w:rPr>
          <w:rFonts w:cs="Arial"/>
        </w:rPr>
        <w:t>and system reforms</w:t>
      </w:r>
      <w:r w:rsidR="00B75826">
        <w:rPr>
          <w:rFonts w:cs="Arial"/>
        </w:rPr>
        <w:t xml:space="preserve"> available</w:t>
      </w:r>
      <w:r w:rsidR="004F76C1">
        <w:rPr>
          <w:rFonts w:cs="Arial"/>
        </w:rPr>
        <w:t xml:space="preserve"> to address identified barriers</w:t>
      </w:r>
      <w:r w:rsidR="00562B71">
        <w:rPr>
          <w:rFonts w:cs="Arial"/>
        </w:rPr>
        <w:t xml:space="preserve"> associated with health professionals working to full scope of practice. </w:t>
      </w:r>
    </w:p>
    <w:p w14:paraId="42DDA122" w14:textId="25041FB1" w:rsidR="00FC249A" w:rsidRDefault="00D87BCF" w:rsidP="00E132E3">
      <w:pPr>
        <w:rPr>
          <w:rFonts w:cs="Arial"/>
        </w:rPr>
      </w:pPr>
      <w:r w:rsidRPr="001267DF">
        <w:rPr>
          <w:rFonts w:cs="Arial"/>
          <w:b/>
        </w:rPr>
        <w:t>Phase 3</w:t>
      </w:r>
      <w:r>
        <w:rPr>
          <w:rFonts w:cs="Arial"/>
        </w:rPr>
        <w:t xml:space="preserve"> of </w:t>
      </w:r>
      <w:r w:rsidR="001110C7">
        <w:rPr>
          <w:rFonts w:cs="Arial"/>
        </w:rPr>
        <w:t xml:space="preserve">the Review </w:t>
      </w:r>
      <w:r w:rsidR="0006422C">
        <w:rPr>
          <w:rFonts w:cs="Arial"/>
        </w:rPr>
        <w:t>c</w:t>
      </w:r>
      <w:r>
        <w:rPr>
          <w:rFonts w:cs="Arial"/>
        </w:rPr>
        <w:t>onsultations</w:t>
      </w:r>
      <w:r w:rsidR="0033263D">
        <w:rPr>
          <w:rFonts w:cs="Arial"/>
        </w:rPr>
        <w:t xml:space="preserve"> </w:t>
      </w:r>
      <w:r w:rsidR="002754DE">
        <w:rPr>
          <w:rFonts w:cs="Arial"/>
        </w:rPr>
        <w:t xml:space="preserve">will </w:t>
      </w:r>
      <w:r w:rsidR="00CB7D74">
        <w:rPr>
          <w:rFonts w:cs="Arial"/>
        </w:rPr>
        <w:t>be</w:t>
      </w:r>
      <w:r w:rsidR="00003F34">
        <w:rPr>
          <w:rFonts w:cs="Arial"/>
        </w:rPr>
        <w:t xml:space="preserve"> </w:t>
      </w:r>
      <w:r w:rsidR="004D6716">
        <w:rPr>
          <w:rFonts w:cs="Arial"/>
        </w:rPr>
        <w:t>undertaken from April</w:t>
      </w:r>
      <w:r w:rsidR="007C753B">
        <w:rPr>
          <w:rFonts w:cs="Arial"/>
        </w:rPr>
        <w:t>-June 2024</w:t>
      </w:r>
      <w:r w:rsidR="00062B47">
        <w:rPr>
          <w:rFonts w:cs="Arial"/>
        </w:rPr>
        <w:t>, to provide</w:t>
      </w:r>
      <w:r w:rsidR="00CF2CF6">
        <w:rPr>
          <w:rFonts w:cs="Arial"/>
        </w:rPr>
        <w:t xml:space="preserve"> stakeholder insights</w:t>
      </w:r>
      <w:r w:rsidR="00062B47">
        <w:rPr>
          <w:rFonts w:cs="Arial"/>
        </w:rPr>
        <w:t xml:space="preserve"> on the content from Issues Paper 2</w:t>
      </w:r>
      <w:r w:rsidR="00B83CF4">
        <w:rPr>
          <w:rFonts w:cs="Arial"/>
        </w:rPr>
        <w:t xml:space="preserve"> and inform the summation of </w:t>
      </w:r>
      <w:r w:rsidR="004B7ED4">
        <w:rPr>
          <w:rFonts w:cs="Arial"/>
        </w:rPr>
        <w:t xml:space="preserve">findings into a </w:t>
      </w:r>
      <w:r w:rsidR="000F7AF8">
        <w:rPr>
          <w:rFonts w:cs="Arial"/>
        </w:rPr>
        <w:t>d</w:t>
      </w:r>
      <w:r w:rsidR="004B7ED4">
        <w:rPr>
          <w:rFonts w:cs="Arial"/>
        </w:rPr>
        <w:t xml:space="preserve">raft </w:t>
      </w:r>
      <w:r w:rsidR="000F7AF8">
        <w:rPr>
          <w:rFonts w:cs="Arial"/>
        </w:rPr>
        <w:t xml:space="preserve">Final </w:t>
      </w:r>
      <w:r w:rsidR="004B7ED4">
        <w:rPr>
          <w:rFonts w:cs="Arial"/>
        </w:rPr>
        <w:t>Report</w:t>
      </w:r>
      <w:r w:rsidR="000F7AF8">
        <w:rPr>
          <w:rFonts w:cs="Arial"/>
        </w:rPr>
        <w:t xml:space="preserve"> to Govern</w:t>
      </w:r>
      <w:r w:rsidR="00550C8F">
        <w:rPr>
          <w:rFonts w:cs="Arial"/>
        </w:rPr>
        <w:t>ment</w:t>
      </w:r>
      <w:r w:rsidR="007C753B">
        <w:rPr>
          <w:rFonts w:cs="Arial"/>
        </w:rPr>
        <w:t xml:space="preserve">. </w:t>
      </w:r>
    </w:p>
    <w:p w14:paraId="188A25DD" w14:textId="07C6070C" w:rsidR="005C1BF6" w:rsidRDefault="00EE4BC5" w:rsidP="00E132E3">
      <w:pPr>
        <w:rPr>
          <w:rFonts w:cs="Arial"/>
        </w:rPr>
      </w:pPr>
      <w:r>
        <w:rPr>
          <w:rFonts w:cs="Arial"/>
        </w:rPr>
        <w:t xml:space="preserve">During </w:t>
      </w:r>
      <w:r w:rsidRPr="001E149A">
        <w:rPr>
          <w:rFonts w:cs="Arial"/>
          <w:b/>
          <w:bCs/>
        </w:rPr>
        <w:t>P</w:t>
      </w:r>
      <w:r w:rsidR="00CA0D1D" w:rsidRPr="001E149A">
        <w:rPr>
          <w:rFonts w:cs="Arial"/>
          <w:b/>
          <w:bCs/>
        </w:rPr>
        <w:t xml:space="preserve">hase </w:t>
      </w:r>
      <w:r w:rsidR="000C4BDF" w:rsidRPr="001E149A">
        <w:rPr>
          <w:rFonts w:cs="Arial"/>
          <w:b/>
          <w:bCs/>
        </w:rPr>
        <w:t>4</w:t>
      </w:r>
      <w:r w:rsidR="000C4BDF">
        <w:rPr>
          <w:rFonts w:cs="Arial"/>
        </w:rPr>
        <w:t xml:space="preserve"> of the Review, f</w:t>
      </w:r>
      <w:r w:rsidR="00CA2DD3">
        <w:rPr>
          <w:rFonts w:cs="Arial"/>
        </w:rPr>
        <w:t xml:space="preserve">rom July </w:t>
      </w:r>
      <w:r w:rsidR="004D6716">
        <w:rPr>
          <w:rFonts w:cs="Arial"/>
        </w:rPr>
        <w:t xml:space="preserve">to September </w:t>
      </w:r>
      <w:r w:rsidR="00CA2DD3">
        <w:rPr>
          <w:rFonts w:cs="Arial"/>
        </w:rPr>
        <w:t>2024</w:t>
      </w:r>
      <w:r w:rsidR="00A33F87">
        <w:rPr>
          <w:rFonts w:cs="Arial"/>
        </w:rPr>
        <w:t>,</w:t>
      </w:r>
      <w:r w:rsidR="00CA2DD3">
        <w:rPr>
          <w:rFonts w:cs="Arial"/>
        </w:rPr>
        <w:t xml:space="preserve"> a draft Final Report and Implementation Plan will be developed, </w:t>
      </w:r>
      <w:r w:rsidR="0040432A">
        <w:rPr>
          <w:rFonts w:cs="Arial"/>
        </w:rPr>
        <w:t xml:space="preserve">drawing together all evidence received through previous consultations, Issues Papers and literature review. </w:t>
      </w:r>
      <w:r w:rsidR="001B769F">
        <w:rPr>
          <w:rFonts w:cs="Arial"/>
        </w:rPr>
        <w:t xml:space="preserve">A final </w:t>
      </w:r>
      <w:r w:rsidR="00DF1308">
        <w:rPr>
          <w:rFonts w:cs="Arial"/>
        </w:rPr>
        <w:t xml:space="preserve">phase of public </w:t>
      </w:r>
      <w:r w:rsidR="006A65B3">
        <w:rPr>
          <w:rFonts w:cs="Arial"/>
        </w:rPr>
        <w:t xml:space="preserve">consultation </w:t>
      </w:r>
      <w:r w:rsidR="00ED6926">
        <w:rPr>
          <w:rFonts w:cs="Arial"/>
        </w:rPr>
        <w:t xml:space="preserve">on this report will be </w:t>
      </w:r>
      <w:r w:rsidR="004D6716">
        <w:rPr>
          <w:rFonts w:cs="Arial"/>
        </w:rPr>
        <w:t>undertaken from</w:t>
      </w:r>
      <w:r w:rsidR="000C65D6">
        <w:rPr>
          <w:rFonts w:cs="Arial"/>
        </w:rPr>
        <w:t xml:space="preserve"> </w:t>
      </w:r>
      <w:r w:rsidR="00372056">
        <w:rPr>
          <w:rFonts w:cs="Arial"/>
        </w:rPr>
        <w:t xml:space="preserve">July-September 2024. </w:t>
      </w:r>
      <w:r w:rsidR="009836E4">
        <w:rPr>
          <w:rFonts w:cs="Arial"/>
        </w:rPr>
        <w:t xml:space="preserve">The final Review </w:t>
      </w:r>
      <w:r w:rsidR="00333B55">
        <w:rPr>
          <w:rFonts w:cs="Arial"/>
        </w:rPr>
        <w:t>R</w:t>
      </w:r>
      <w:r w:rsidR="009836E4">
        <w:rPr>
          <w:rFonts w:cs="Arial"/>
        </w:rPr>
        <w:t xml:space="preserve">eport will be prepared and submitted to the Minister for Health and Aged Care by end of October 2024. </w:t>
      </w:r>
    </w:p>
    <w:p w14:paraId="2E7DD1AB" w14:textId="63607F84" w:rsidR="00A12625" w:rsidRPr="00D83D98" w:rsidRDefault="00126A61" w:rsidP="00E132E3">
      <w:pPr>
        <w:rPr>
          <w:rFonts w:cs="Arial"/>
        </w:rPr>
      </w:pPr>
      <w:r>
        <w:rPr>
          <w:rFonts w:cs="Arial"/>
        </w:rPr>
        <w:t xml:space="preserve">An </w:t>
      </w:r>
      <w:r w:rsidR="00D83D98">
        <w:rPr>
          <w:rFonts w:cs="Arial"/>
          <w:b/>
          <w:bCs/>
        </w:rPr>
        <w:t xml:space="preserve">Expert Advisory Committee (EAC) </w:t>
      </w:r>
      <w:r w:rsidR="00D83D98">
        <w:rPr>
          <w:rFonts w:cs="Arial"/>
        </w:rPr>
        <w:t xml:space="preserve">has also been convened </w:t>
      </w:r>
      <w:r w:rsidR="0054756F">
        <w:rPr>
          <w:rFonts w:cs="Arial"/>
        </w:rPr>
        <w:t xml:space="preserve">to provide </w:t>
      </w:r>
      <w:r w:rsidR="00433204">
        <w:rPr>
          <w:rFonts w:cs="Arial"/>
        </w:rPr>
        <w:t xml:space="preserve">subject matter expertise, </w:t>
      </w:r>
      <w:r w:rsidR="00AF78CE">
        <w:rPr>
          <w:rFonts w:cs="Arial"/>
        </w:rPr>
        <w:t xml:space="preserve">insights and advice </w:t>
      </w:r>
      <w:r w:rsidR="005E51A0">
        <w:rPr>
          <w:rFonts w:cs="Arial"/>
        </w:rPr>
        <w:t xml:space="preserve">throughout the Review. </w:t>
      </w:r>
      <w:r w:rsidR="00C976CB">
        <w:rPr>
          <w:rFonts w:cs="Arial"/>
        </w:rPr>
        <w:t xml:space="preserve">The EAC met for the first time </w:t>
      </w:r>
      <w:r w:rsidR="004D6716">
        <w:rPr>
          <w:rFonts w:cs="Arial"/>
        </w:rPr>
        <w:t>in</w:t>
      </w:r>
      <w:r w:rsidR="001075CC">
        <w:rPr>
          <w:rFonts w:cs="Arial"/>
        </w:rPr>
        <w:t xml:space="preserve"> November and December 2023</w:t>
      </w:r>
      <w:r w:rsidR="00326B37">
        <w:rPr>
          <w:rFonts w:cs="Arial"/>
        </w:rPr>
        <w:t xml:space="preserve">, and will </w:t>
      </w:r>
      <w:r w:rsidR="001A1419">
        <w:rPr>
          <w:rFonts w:cs="Arial"/>
        </w:rPr>
        <w:t>meet in each Review Phase</w:t>
      </w:r>
      <w:r w:rsidR="00326B37">
        <w:rPr>
          <w:rFonts w:cs="Arial"/>
        </w:rPr>
        <w:t>.</w:t>
      </w:r>
      <w:r w:rsidR="005E51A0">
        <w:rPr>
          <w:rFonts w:cs="Arial"/>
        </w:rPr>
        <w:t xml:space="preserve"> </w:t>
      </w:r>
      <w:r w:rsidR="002D62BE">
        <w:rPr>
          <w:rFonts w:cs="Arial"/>
        </w:rPr>
        <w:t xml:space="preserve">This </w:t>
      </w:r>
      <w:r w:rsidR="005C36DA">
        <w:rPr>
          <w:rFonts w:cs="Arial"/>
        </w:rPr>
        <w:t>committee includes representatives from many areas of the health workforce</w:t>
      </w:r>
      <w:r w:rsidR="00C47E44">
        <w:rPr>
          <w:rFonts w:cs="Arial"/>
        </w:rPr>
        <w:t xml:space="preserve">, </w:t>
      </w:r>
      <w:r w:rsidR="00F169AC">
        <w:rPr>
          <w:rFonts w:cs="Arial"/>
        </w:rPr>
        <w:t>education and training sector</w:t>
      </w:r>
      <w:r w:rsidR="00571CCB">
        <w:rPr>
          <w:rFonts w:cs="Arial"/>
        </w:rPr>
        <w:t>, academia</w:t>
      </w:r>
      <w:r w:rsidR="00030964">
        <w:rPr>
          <w:rFonts w:cs="Arial"/>
        </w:rPr>
        <w:t xml:space="preserve"> and consumers</w:t>
      </w:r>
      <w:r w:rsidR="00F169AC">
        <w:rPr>
          <w:rFonts w:cs="Arial"/>
        </w:rPr>
        <w:t xml:space="preserve">. </w:t>
      </w:r>
      <w:r w:rsidR="00F87C83">
        <w:rPr>
          <w:rFonts w:cs="Arial"/>
        </w:rPr>
        <w:t xml:space="preserve">Each member </w:t>
      </w:r>
      <w:r w:rsidR="009817ED">
        <w:rPr>
          <w:rFonts w:cs="Arial"/>
        </w:rPr>
        <w:t>provides a wealth of exper</w:t>
      </w:r>
      <w:r w:rsidR="0001429A">
        <w:rPr>
          <w:rFonts w:cs="Arial"/>
        </w:rPr>
        <w:t xml:space="preserve">ience, knowledge, skills and </w:t>
      </w:r>
      <w:r w:rsidR="00571CCB">
        <w:rPr>
          <w:rFonts w:cs="Arial"/>
        </w:rPr>
        <w:t>perspectives</w:t>
      </w:r>
      <w:r w:rsidR="004A1700">
        <w:rPr>
          <w:rFonts w:cs="Arial"/>
        </w:rPr>
        <w:t xml:space="preserve"> </w:t>
      </w:r>
      <w:r w:rsidR="000A5614">
        <w:rPr>
          <w:rFonts w:cs="Arial"/>
        </w:rPr>
        <w:t>in the area of innovative</w:t>
      </w:r>
      <w:r w:rsidR="00E87DF4">
        <w:rPr>
          <w:rFonts w:cs="Arial"/>
        </w:rPr>
        <w:t xml:space="preserve"> and</w:t>
      </w:r>
      <w:r w:rsidR="000A5614">
        <w:rPr>
          <w:rFonts w:cs="Arial"/>
        </w:rPr>
        <w:t xml:space="preserve"> multidisciplinary</w:t>
      </w:r>
      <w:r w:rsidR="00E87DF4">
        <w:rPr>
          <w:rFonts w:cs="Arial"/>
        </w:rPr>
        <w:t xml:space="preserve"> primary </w:t>
      </w:r>
      <w:r w:rsidR="00571CCB">
        <w:rPr>
          <w:rFonts w:cs="Arial"/>
        </w:rPr>
        <w:t xml:space="preserve">health </w:t>
      </w:r>
      <w:r w:rsidR="00E87DF4">
        <w:rPr>
          <w:rFonts w:cs="Arial"/>
        </w:rPr>
        <w:t xml:space="preserve">care for consumers. </w:t>
      </w:r>
    </w:p>
    <w:p w14:paraId="7F1F8E7E" w14:textId="37E58114" w:rsidR="00143A36" w:rsidRDefault="00143A36" w:rsidP="00143A36">
      <w:pPr>
        <w:pStyle w:val="Caption"/>
        <w:keepNext/>
      </w:pPr>
      <w:r w:rsidRPr="00143A36">
        <w:rPr>
          <w:color w:val="076DA0"/>
        </w:rPr>
        <w:lastRenderedPageBreak/>
        <w:t xml:space="preserve">Figure </w:t>
      </w:r>
      <w:r w:rsidRPr="00143A36">
        <w:rPr>
          <w:color w:val="076DA0"/>
        </w:rPr>
        <w:fldChar w:fldCharType="begin"/>
      </w:r>
      <w:r w:rsidRPr="00143A36">
        <w:rPr>
          <w:color w:val="076DA0"/>
        </w:rPr>
        <w:instrText xml:space="preserve"> SEQ Figure \* ARABIC </w:instrText>
      </w:r>
      <w:r w:rsidRPr="00143A36">
        <w:rPr>
          <w:color w:val="076DA0"/>
        </w:rPr>
        <w:fldChar w:fldCharType="separate"/>
      </w:r>
      <w:r w:rsidR="00E40B08">
        <w:rPr>
          <w:noProof/>
          <w:color w:val="076DA0"/>
        </w:rPr>
        <w:t>1</w:t>
      </w:r>
      <w:r w:rsidRPr="00143A36">
        <w:rPr>
          <w:color w:val="076DA0"/>
        </w:rPr>
        <w:fldChar w:fldCharType="end"/>
      </w:r>
      <w:r w:rsidRPr="00143A36">
        <w:rPr>
          <w:color w:val="076DA0"/>
        </w:rPr>
        <w:t xml:space="preserve">: </w:t>
      </w:r>
      <w:r w:rsidRPr="008A1ECC">
        <w:rPr>
          <w:color w:val="076DA0"/>
        </w:rPr>
        <w:t>How stakeholders can be involved throughout the Review</w:t>
      </w:r>
    </w:p>
    <w:p w14:paraId="048CD895" w14:textId="282F3DF9" w:rsidR="00AA3E09" w:rsidRDefault="00143A36" w:rsidP="00554D83">
      <w:r w:rsidRPr="00143A36">
        <w:rPr>
          <w:noProof/>
        </w:rPr>
        <w:drawing>
          <wp:inline distT="0" distB="0" distL="0" distR="0" wp14:anchorId="7F61D708" wp14:editId="54B0E61E">
            <wp:extent cx="5759450" cy="3164840"/>
            <wp:effectExtent l="0" t="0" r="0" b="0"/>
            <wp:docPr id="4" name="Picture 4" descr="Diagram detailing how stakeholders can be involved through the Review. It lists four phases, 1 through 4, where the Expert Advisory Committee can provide input. From left to right, phase 1,September to November 2023, Project establishment, Public Submissions – Closed 16 October, Initial stakeholder consultation. Phase 2, December 2023 to March 2024, Issues Paper 1: key themes, evidence base and legislative context, Public Submissions – February to March 2024, Stakeholder forums and consultation. Phase 3, April to July 2024, Issues Paper 2: barriers and enablers, Stakeholder forums and consultation. Phase 4, July to September 2024, Draft Final Report and Implementation Plan, Stakeholder forums and consultation, Final report and implementation plan by Octo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detailing how stakeholders can be involved through the Review. It lists four phases, 1 through 4, where the Expert Advisory Committee can provide input. From left to right, phase 1,September to November 2023, Project establishment, Public Submissions – Closed 16 October, Initial stakeholder consultation. Phase 2, December 2023 to March 2024, Issues Paper 1: key themes, evidence base and legislative context, Public Submissions – February to March 2024, Stakeholder forums and consultation. Phase 3, April to July 2024, Issues Paper 2: barriers and enablers, Stakeholder forums and consultation. Phase 4, July to September 2024, Draft Final Report and Implementation Plan, Stakeholder forums and consultation, Final report and implementation plan by October 20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3164840"/>
                    </a:xfrm>
                    <a:prstGeom prst="rect">
                      <a:avLst/>
                    </a:prstGeom>
                    <a:noFill/>
                    <a:ln>
                      <a:noFill/>
                    </a:ln>
                  </pic:spPr>
                </pic:pic>
              </a:graphicData>
            </a:graphic>
          </wp:inline>
        </w:drawing>
      </w:r>
    </w:p>
    <w:p w14:paraId="6611DE9E" w14:textId="729A3046" w:rsidR="009D0403" w:rsidRDefault="009D0403" w:rsidP="009D0403">
      <w:r w:rsidRPr="00E83A17">
        <w:t>The purpose of this Issues Paper is to provide an overview of the evidence collected to date through literature review, submissions and consultations, outline the emerging themes from this evidence that require further exploration through the next phase of consultations, and describe the direction and next steps for this Review.</w:t>
      </w:r>
    </w:p>
    <w:p w14:paraId="4A3ABBA8" w14:textId="6F2EAFA2" w:rsidR="005736FB" w:rsidRDefault="00382073" w:rsidP="000479D5">
      <w:r>
        <w:t>This</w:t>
      </w:r>
      <w:r w:rsidR="00F36DBB">
        <w:t xml:space="preserve"> document provides</w:t>
      </w:r>
      <w:r w:rsidR="005736FB">
        <w:t xml:space="preserve">: </w:t>
      </w:r>
    </w:p>
    <w:p w14:paraId="469D9641" w14:textId="112067F4" w:rsidR="005736FB" w:rsidRDefault="00F36DBB" w:rsidP="001A2DBA">
      <w:pPr>
        <w:pStyle w:val="ListParagraph"/>
        <w:numPr>
          <w:ilvl w:val="0"/>
          <w:numId w:val="9"/>
        </w:numPr>
      </w:pPr>
      <w:r>
        <w:t>a concise summary of evidence gathered to date</w:t>
      </w:r>
      <w:r w:rsidR="00A75BC8">
        <w:t>;</w:t>
      </w:r>
    </w:p>
    <w:p w14:paraId="6CC823A9" w14:textId="656F91CA" w:rsidR="005736FB" w:rsidRDefault="00D947EC" w:rsidP="001A2DBA">
      <w:pPr>
        <w:pStyle w:val="ListParagraph"/>
        <w:numPr>
          <w:ilvl w:val="0"/>
          <w:numId w:val="9"/>
        </w:numPr>
      </w:pPr>
      <w:r>
        <w:t>a summary of the emerging themes based on consultation to date</w:t>
      </w:r>
      <w:r w:rsidR="005736FB">
        <w:t>;</w:t>
      </w:r>
      <w:r w:rsidR="00F36DBB">
        <w:t xml:space="preserve"> </w:t>
      </w:r>
    </w:p>
    <w:p w14:paraId="66625462" w14:textId="0367E378" w:rsidR="006D0B1C" w:rsidRDefault="00491EEB" w:rsidP="001A2DBA">
      <w:pPr>
        <w:pStyle w:val="ListParagraph"/>
        <w:numPr>
          <w:ilvl w:val="0"/>
          <w:numId w:val="9"/>
        </w:numPr>
      </w:pPr>
      <w:r>
        <w:t>discussion questions to guide Phase 2 consultations</w:t>
      </w:r>
      <w:r w:rsidR="00A75BC8">
        <w:t>.</w:t>
      </w:r>
      <w:r>
        <w:t xml:space="preserve"> </w:t>
      </w:r>
    </w:p>
    <w:p w14:paraId="55E1DD0F" w14:textId="6E8B0597" w:rsidR="001413EE" w:rsidRPr="00536C97" w:rsidRDefault="001413EE" w:rsidP="00536C97">
      <w:r w:rsidRPr="00536C97">
        <w:br w:type="page"/>
      </w:r>
    </w:p>
    <w:p w14:paraId="26B7DD71" w14:textId="40F784B3" w:rsidR="00CF14A6" w:rsidRPr="004D1339" w:rsidRDefault="001557DA" w:rsidP="00CF14A6">
      <w:pPr>
        <w:pStyle w:val="Heading1"/>
      </w:pPr>
      <w:bookmarkStart w:id="5" w:name="_Toc156832064"/>
      <w:r>
        <w:lastRenderedPageBreak/>
        <w:t>Summary of e</w:t>
      </w:r>
      <w:r w:rsidR="4BA23A75">
        <w:t>vidence</w:t>
      </w:r>
      <w:bookmarkEnd w:id="5"/>
      <w:r>
        <w:t xml:space="preserve"> </w:t>
      </w:r>
    </w:p>
    <w:p w14:paraId="64BD454C" w14:textId="45C81A4E" w:rsidR="0083203A" w:rsidRDefault="00617D77" w:rsidP="0022188D">
      <w:r>
        <w:t xml:space="preserve">This section summarises the key </w:t>
      </w:r>
      <w:r w:rsidR="00E11805">
        <w:t xml:space="preserve">evidence </w:t>
      </w:r>
      <w:r w:rsidR="00B251C9">
        <w:t xml:space="preserve">drawn </w:t>
      </w:r>
      <w:r w:rsidR="004732A2">
        <w:t xml:space="preserve">to date </w:t>
      </w:r>
      <w:r>
        <w:t xml:space="preserve">from </w:t>
      </w:r>
      <w:r w:rsidR="006D0B1C">
        <w:t xml:space="preserve">a </w:t>
      </w:r>
      <w:r w:rsidR="003902C4">
        <w:t>range of sources</w:t>
      </w:r>
      <w:r w:rsidR="00E64AE6">
        <w:t xml:space="preserve"> including</w:t>
      </w:r>
      <w:r w:rsidR="00EE40D8">
        <w:t xml:space="preserve"> analysis of the Phase 1 consultation findings</w:t>
      </w:r>
      <w:r w:rsidR="00373640">
        <w:t xml:space="preserve"> </w:t>
      </w:r>
      <w:r w:rsidR="00EE40D8">
        <w:t xml:space="preserve">and </w:t>
      </w:r>
      <w:r w:rsidR="00373640">
        <w:t>a review of the literature</w:t>
      </w:r>
      <w:r w:rsidR="0083203A">
        <w:t>.</w:t>
      </w:r>
    </w:p>
    <w:p w14:paraId="282C1D09" w14:textId="5F26E217" w:rsidR="0022188D" w:rsidRDefault="00FD7F49" w:rsidP="0022188D">
      <w:r>
        <w:t xml:space="preserve">The literature review examined </w:t>
      </w:r>
      <w:r w:rsidR="004721D3">
        <w:t xml:space="preserve">relevant </w:t>
      </w:r>
      <w:r w:rsidR="4EE02ADD">
        <w:t>academic journal articles</w:t>
      </w:r>
      <w:r w:rsidR="4EE02ADD" w:rsidDel="00C41EB4">
        <w:t>,</w:t>
      </w:r>
      <w:r w:rsidR="4EE02ADD">
        <w:t xml:space="preserve"> grey literature and international policy and practice example</w:t>
      </w:r>
      <w:r w:rsidR="004E2B71">
        <w:t>s</w:t>
      </w:r>
      <w:r>
        <w:t xml:space="preserve">. </w:t>
      </w:r>
      <w:r w:rsidR="15D36670">
        <w:t xml:space="preserve">Literature was considered </w:t>
      </w:r>
      <w:r w:rsidR="00ED3D98">
        <w:t xml:space="preserve">for </w:t>
      </w:r>
      <w:r w:rsidR="15D36670">
        <w:t>in-scope primary care professions (Aboriginal and Torres Strait Islander Health Practitioners/Health Workers, allied health, medical, midwifery, nursing, paramedics and pharmacy) from Australia, New Zealand, Canada, U</w:t>
      </w:r>
      <w:r w:rsidR="5170A455">
        <w:t xml:space="preserve">nited </w:t>
      </w:r>
      <w:r w:rsidR="15D36670">
        <w:t>S</w:t>
      </w:r>
      <w:r w:rsidR="353DCAC6">
        <w:t xml:space="preserve">tates of </w:t>
      </w:r>
      <w:r w:rsidR="15D36670">
        <w:t>A</w:t>
      </w:r>
      <w:r w:rsidR="528B707D">
        <w:t>merica</w:t>
      </w:r>
      <w:r w:rsidR="15D36670">
        <w:t>, United Kingdom and Western Europe</w:t>
      </w:r>
      <w:r w:rsidR="00617D77" w:rsidDel="006D0B1C">
        <w:t>.</w:t>
      </w:r>
      <w:r w:rsidR="0022188D">
        <w:t xml:space="preserve">  </w:t>
      </w:r>
    </w:p>
    <w:p w14:paraId="0E5169CE" w14:textId="203AE58B" w:rsidR="0039321B" w:rsidRPr="00E83A17" w:rsidRDefault="0039321B" w:rsidP="0039321B">
      <w:r w:rsidRPr="00E83A17">
        <w:t>Broadly, the review of the evidence supports two key findings:</w:t>
      </w:r>
    </w:p>
    <w:p w14:paraId="6454C014" w14:textId="77777777" w:rsidR="0039321B" w:rsidRPr="00E83A17" w:rsidRDefault="0039321B" w:rsidP="001A2DBA">
      <w:pPr>
        <w:pStyle w:val="ListParagraph"/>
        <w:numPr>
          <w:ilvl w:val="0"/>
          <w:numId w:val="7"/>
        </w:numPr>
      </w:pPr>
      <w:r w:rsidRPr="00E83A17">
        <w:t>Enabling health professionals to work to full scope of practice supports a stronger primary health care system;</w:t>
      </w:r>
    </w:p>
    <w:p w14:paraId="22599A9B" w14:textId="77777777" w:rsidR="0039321B" w:rsidRPr="00E83A17" w:rsidRDefault="0039321B" w:rsidP="001A2DBA">
      <w:pPr>
        <w:pStyle w:val="ListParagraph"/>
        <w:numPr>
          <w:ilvl w:val="0"/>
          <w:numId w:val="7"/>
        </w:numPr>
      </w:pPr>
      <w:r w:rsidRPr="00E83A17">
        <w:t>A range of barriers are currently preventing the primary health care workforce from working at full scope of practice.</w:t>
      </w:r>
    </w:p>
    <w:p w14:paraId="2C5978C3" w14:textId="71BC7853" w:rsidR="009E05B3" w:rsidRDefault="0006519D" w:rsidP="0006519D">
      <w:pPr>
        <w:pStyle w:val="Heading2"/>
      </w:pPr>
      <w:bookmarkStart w:id="6" w:name="_Toc156832065"/>
      <w:r>
        <w:t xml:space="preserve">Overview of </w:t>
      </w:r>
      <w:r w:rsidR="64B6A757">
        <w:t>evidence</w:t>
      </w:r>
      <w:bookmarkEnd w:id="6"/>
    </w:p>
    <w:p w14:paraId="04C4F1F8" w14:textId="3B3F530A" w:rsidR="00C57AB5" w:rsidRPr="001267DF" w:rsidRDefault="00C57AB5" w:rsidP="002F0C84">
      <w:r w:rsidRPr="001267DF">
        <w:t>The purpose of the literature review was t</w:t>
      </w:r>
      <w:r w:rsidR="009515B3" w:rsidRPr="001267DF">
        <w:t xml:space="preserve">o </w:t>
      </w:r>
      <w:r w:rsidR="003B7283" w:rsidRPr="001267DF">
        <w:t xml:space="preserve">examine the evidence supporting </w:t>
      </w:r>
      <w:r w:rsidR="001B795C" w:rsidRPr="001267DF">
        <w:t xml:space="preserve">(or not supporting) the value of </w:t>
      </w:r>
      <w:r w:rsidR="00F10DD3" w:rsidRPr="001267DF">
        <w:t>health professionals working to their full scope of practice</w:t>
      </w:r>
      <w:r w:rsidR="007729E8" w:rsidRPr="001267DF">
        <w:t xml:space="preserve"> in the primary care setting. </w:t>
      </w:r>
      <w:r w:rsidR="00254246" w:rsidRPr="001267DF">
        <w:t xml:space="preserve">This included determining the current status of </w:t>
      </w:r>
      <w:r w:rsidR="006C5296" w:rsidRPr="001267DF">
        <w:t xml:space="preserve">full scope of practice by </w:t>
      </w:r>
      <w:r w:rsidR="003B7659" w:rsidRPr="001267DF">
        <w:t xml:space="preserve">major </w:t>
      </w:r>
      <w:r w:rsidR="006C5296" w:rsidRPr="001267DF">
        <w:t xml:space="preserve">professional groups </w:t>
      </w:r>
      <w:r w:rsidR="003B7659" w:rsidRPr="001267DF">
        <w:t xml:space="preserve">in Australia, </w:t>
      </w:r>
      <w:r w:rsidR="00A85520" w:rsidRPr="001267DF">
        <w:t>best practice international examples</w:t>
      </w:r>
      <w:r w:rsidR="002200B1" w:rsidRPr="001267DF">
        <w:t xml:space="preserve"> and the </w:t>
      </w:r>
      <w:r w:rsidR="003C149E" w:rsidRPr="001267DF">
        <w:t>barriers, risk</w:t>
      </w:r>
      <w:r w:rsidR="00CD67B8">
        <w:t>s</w:t>
      </w:r>
      <w:r w:rsidR="003C149E" w:rsidRPr="001267DF">
        <w:t xml:space="preserve">, enablers and </w:t>
      </w:r>
      <w:r w:rsidR="003E2356" w:rsidRPr="001267DF">
        <w:t xml:space="preserve">benefits to full scope of practice. </w:t>
      </w:r>
    </w:p>
    <w:p w14:paraId="7C98B718" w14:textId="126CB378" w:rsidR="00EA7E51" w:rsidRDefault="3F07F853" w:rsidP="002F0C84">
      <w:r w:rsidRPr="001267DF">
        <w:t xml:space="preserve">While the </w:t>
      </w:r>
      <w:r w:rsidR="2B4A9FF3" w:rsidRPr="006420CE">
        <w:t>greatest</w:t>
      </w:r>
      <w:r w:rsidR="2B4A9FF3">
        <w:t xml:space="preserve"> </w:t>
      </w:r>
      <w:r w:rsidR="7C1B9079">
        <w:t xml:space="preserve">volume of literature </w:t>
      </w:r>
      <w:r w:rsidR="4AC13833">
        <w:t xml:space="preserve">related to scope of practice </w:t>
      </w:r>
      <w:r w:rsidR="5FE7C9E5">
        <w:t xml:space="preserve">came </w:t>
      </w:r>
      <w:r w:rsidR="2D0E72A0">
        <w:t>from</w:t>
      </w:r>
      <w:r w:rsidR="4AC13833">
        <w:t xml:space="preserve"> nursing, midwifery, pharmacy and medical professionals</w:t>
      </w:r>
      <w:r w:rsidR="66A8BBA3">
        <w:t xml:space="preserve">, </w:t>
      </w:r>
      <w:r w:rsidR="2088BBF7">
        <w:t>all</w:t>
      </w:r>
      <w:r w:rsidR="3F96DD64">
        <w:t xml:space="preserve"> of the key</w:t>
      </w:r>
      <w:r w:rsidR="2088BBF7">
        <w:t xml:space="preserve"> </w:t>
      </w:r>
      <w:r w:rsidR="17890073">
        <w:t>a</w:t>
      </w:r>
      <w:r w:rsidR="66A8BBA3">
        <w:t xml:space="preserve">llied </w:t>
      </w:r>
      <w:r w:rsidR="3A22FC2A">
        <w:t>h</w:t>
      </w:r>
      <w:r w:rsidR="66A8BBA3">
        <w:t>ealth professions</w:t>
      </w:r>
      <w:r w:rsidR="14F3C206">
        <w:t xml:space="preserve"> were identified</w:t>
      </w:r>
      <w:r w:rsidR="55FA677A">
        <w:t xml:space="preserve">. </w:t>
      </w:r>
      <w:r w:rsidR="2836DD80">
        <w:t xml:space="preserve">In all groups </w:t>
      </w:r>
      <w:r w:rsidR="5CBEA82A">
        <w:t xml:space="preserve">a focus on </w:t>
      </w:r>
      <w:r w:rsidR="5F1E63D9">
        <w:t xml:space="preserve">patient outcomes, health service delivery and </w:t>
      </w:r>
      <w:r w:rsidR="446A4E87">
        <w:t>system implications were considered</w:t>
      </w:r>
      <w:r w:rsidR="5CBEA82A">
        <w:t xml:space="preserve">. </w:t>
      </w:r>
      <w:r w:rsidR="7F1CFBEA">
        <w:t xml:space="preserve">The </w:t>
      </w:r>
      <w:r w:rsidR="006368DF">
        <w:t xml:space="preserve">majority </w:t>
      </w:r>
      <w:r w:rsidR="00837458">
        <w:t>of relevant material</w:t>
      </w:r>
      <w:r w:rsidR="00897CC9" w:rsidDel="399FF9FA">
        <w:t xml:space="preserve"> </w:t>
      </w:r>
      <w:r w:rsidR="55743544">
        <w:t xml:space="preserve">for professions in the literature came from the </w:t>
      </w:r>
      <w:r w:rsidR="399FF9FA">
        <w:t xml:space="preserve">United States, </w:t>
      </w:r>
      <w:r w:rsidR="5BA8AEDD">
        <w:t xml:space="preserve">followed by </w:t>
      </w:r>
      <w:r w:rsidR="399FF9FA">
        <w:t xml:space="preserve">Australia, New Zealand, Canada and the UK. Policy and practice examples from the UK and Canada </w:t>
      </w:r>
      <w:r w:rsidR="5BA8AEDD">
        <w:t xml:space="preserve">were also </w:t>
      </w:r>
      <w:r w:rsidR="6784D999">
        <w:t xml:space="preserve">found to be </w:t>
      </w:r>
      <w:r w:rsidR="5BA8AEDD">
        <w:t xml:space="preserve">highly relevant to the Australian context. </w:t>
      </w:r>
    </w:p>
    <w:p w14:paraId="7C02F6D1" w14:textId="333E3564" w:rsidR="000D6191" w:rsidRDefault="004F2047" w:rsidP="002F0C84">
      <w:r>
        <w:t>The</w:t>
      </w:r>
      <w:r w:rsidR="000D6191">
        <w:t xml:space="preserve"> purpose of the</w:t>
      </w:r>
      <w:r>
        <w:t xml:space="preserve"> </w:t>
      </w:r>
      <w:r w:rsidR="00962050">
        <w:t>Phase 1</w:t>
      </w:r>
      <w:r>
        <w:t xml:space="preserve"> consultations </w:t>
      </w:r>
      <w:r w:rsidR="000D6191">
        <w:t xml:space="preserve">was to </w:t>
      </w:r>
      <w:r w:rsidR="000507F7">
        <w:t>complement th</w:t>
      </w:r>
      <w:r w:rsidR="007E11ED">
        <w:t>is</w:t>
      </w:r>
      <w:r w:rsidR="000507F7">
        <w:t xml:space="preserve"> literature evidence </w:t>
      </w:r>
      <w:r w:rsidR="00080644">
        <w:t xml:space="preserve">to understand the experience and perspective of Australian </w:t>
      </w:r>
      <w:r w:rsidR="00FA5088">
        <w:t xml:space="preserve">stakeholders </w:t>
      </w:r>
      <w:r w:rsidR="00D40999">
        <w:t>on</w:t>
      </w:r>
      <w:r w:rsidR="005D60D7">
        <w:t xml:space="preserve"> th</w:t>
      </w:r>
      <w:r w:rsidR="0010147C">
        <w:t>e</w:t>
      </w:r>
      <w:r w:rsidR="005D60D7">
        <w:t xml:space="preserve"> status of</w:t>
      </w:r>
      <w:r w:rsidR="00D40999">
        <w:t xml:space="preserve"> scope of practice of health professionals in primary care. </w:t>
      </w:r>
      <w:r w:rsidR="00011B22">
        <w:t xml:space="preserve">Respondents </w:t>
      </w:r>
      <w:r w:rsidR="00FA7C20">
        <w:t>provided insights into</w:t>
      </w:r>
      <w:r w:rsidR="006420CE">
        <w:t xml:space="preserve"> </w:t>
      </w:r>
      <w:r w:rsidR="00FA7C20">
        <w:t>who could benefit</w:t>
      </w:r>
      <w:r w:rsidR="005B1A21">
        <w:t xml:space="preserve">, risks, barriers and enablers through a series of targeted questions. </w:t>
      </w:r>
      <w:r w:rsidR="000C1765">
        <w:t xml:space="preserve">A large volume of </w:t>
      </w:r>
      <w:r w:rsidR="00D81F3B">
        <w:t xml:space="preserve">best practice examples </w:t>
      </w:r>
      <w:r w:rsidR="002C3D94">
        <w:t xml:space="preserve">was </w:t>
      </w:r>
      <w:r w:rsidR="00D81F3B">
        <w:t xml:space="preserve">also submitted </w:t>
      </w:r>
      <w:r w:rsidR="00A57B06">
        <w:t xml:space="preserve">by stakeholders </w:t>
      </w:r>
      <w:r w:rsidR="00D81F3B">
        <w:t xml:space="preserve">and </w:t>
      </w:r>
      <w:r w:rsidR="00A57B06">
        <w:t xml:space="preserve">consolidated </w:t>
      </w:r>
      <w:r w:rsidR="00865546">
        <w:t xml:space="preserve">as part of </w:t>
      </w:r>
      <w:r w:rsidR="005F6C10">
        <w:t>the literature review</w:t>
      </w:r>
      <w:r w:rsidR="00A57B06">
        <w:t xml:space="preserve">. </w:t>
      </w:r>
    </w:p>
    <w:p w14:paraId="6847C49D" w14:textId="47999D16" w:rsidR="001D328A" w:rsidRDefault="000D25F4" w:rsidP="001D328A">
      <w:pPr>
        <w:pStyle w:val="Heading2"/>
      </w:pPr>
      <w:bookmarkStart w:id="7" w:name="_Toc156832066"/>
      <w:r>
        <w:t>Key findings</w:t>
      </w:r>
      <w:bookmarkEnd w:id="7"/>
      <w:r>
        <w:t xml:space="preserve"> </w:t>
      </w:r>
    </w:p>
    <w:p w14:paraId="3911822A" w14:textId="6B43C5B2" w:rsidR="00266E11" w:rsidRDefault="00CC5E80" w:rsidP="002F0C84">
      <w:r>
        <w:t xml:space="preserve">Scope of practice reforms </w:t>
      </w:r>
      <w:r w:rsidR="00390912">
        <w:t>are</w:t>
      </w:r>
      <w:r>
        <w:t xml:space="preserve"> considered valu</w:t>
      </w:r>
      <w:r w:rsidR="00007CC9">
        <w:t xml:space="preserve">able to enable </w:t>
      </w:r>
      <w:r>
        <w:t xml:space="preserve">the whole health workforce </w:t>
      </w:r>
      <w:r w:rsidR="00007CC9">
        <w:t>to be utilised effectively</w:t>
      </w:r>
      <w:r w:rsidR="0057121A">
        <w:t>. Previous reforms</w:t>
      </w:r>
      <w:r w:rsidR="00675D19">
        <w:t xml:space="preserve"> identified in literature and international case examples</w:t>
      </w:r>
      <w:r w:rsidR="0057121A">
        <w:t xml:space="preserve"> </w:t>
      </w:r>
      <w:r w:rsidR="00C30AC2">
        <w:t xml:space="preserve">have helped to address challenges in access to care and health system efficiency, </w:t>
      </w:r>
      <w:r w:rsidR="00BB6B32">
        <w:t xml:space="preserve">related to </w:t>
      </w:r>
      <w:r w:rsidR="00F61D43">
        <w:t>maldistribution of health professionals in regional and remote areas</w:t>
      </w:r>
      <w:r w:rsidR="00C90719">
        <w:t xml:space="preserve"> or inequities in access related to socioeconomic status, culture or other social determinants of health. </w:t>
      </w:r>
      <w:r w:rsidR="00E46871">
        <w:t>Consultation</w:t>
      </w:r>
      <w:r w:rsidR="002B66E0">
        <w:t xml:space="preserve"> respondents</w:t>
      </w:r>
      <w:r w:rsidR="00E46871">
        <w:t xml:space="preserve"> </w:t>
      </w:r>
      <w:r w:rsidR="002B66E0">
        <w:t xml:space="preserve">agreed </w:t>
      </w:r>
      <w:r w:rsidR="007D2C08">
        <w:t xml:space="preserve">that </w:t>
      </w:r>
      <w:r w:rsidR="006B0CA0">
        <w:t xml:space="preserve">scope of practice </w:t>
      </w:r>
      <w:r w:rsidR="007D2C08">
        <w:t xml:space="preserve">reform in Australia </w:t>
      </w:r>
      <w:r w:rsidR="007530A7">
        <w:t xml:space="preserve">would also </w:t>
      </w:r>
      <w:r w:rsidR="005E24A6">
        <w:t>bring</w:t>
      </w:r>
      <w:r w:rsidR="002B66E0">
        <w:t xml:space="preserve"> benefits </w:t>
      </w:r>
      <w:r w:rsidR="006600A9">
        <w:t>for improved</w:t>
      </w:r>
      <w:r w:rsidR="002C3D94">
        <w:t xml:space="preserve"> multidisciplinary</w:t>
      </w:r>
      <w:r w:rsidR="006600A9">
        <w:t xml:space="preserve"> health team functioning and </w:t>
      </w:r>
      <w:r w:rsidR="007919D7">
        <w:t>consumer experience.</w:t>
      </w:r>
    </w:p>
    <w:p w14:paraId="7ECF81C8" w14:textId="08DADC32" w:rsidR="00F25E0C" w:rsidRDefault="00F17655" w:rsidP="002F0C84">
      <w:r>
        <w:lastRenderedPageBreak/>
        <w:t>Inconsistent p</w:t>
      </w:r>
      <w:r w:rsidR="006038D3">
        <w:t xml:space="preserve">olicy and regulatory frameworks </w:t>
      </w:r>
      <w:r w:rsidR="00AC4269">
        <w:t>ha</w:t>
      </w:r>
      <w:r w:rsidR="00D03873">
        <w:t>ve</w:t>
      </w:r>
      <w:r w:rsidR="00EA0571" w:rsidDel="0002170C">
        <w:t xml:space="preserve"> </w:t>
      </w:r>
      <w:r w:rsidR="00EA0571">
        <w:t xml:space="preserve">significant </w:t>
      </w:r>
      <w:r w:rsidR="009D5FD2">
        <w:t xml:space="preserve">impact </w:t>
      </w:r>
      <w:r w:rsidR="00EA0571">
        <w:t xml:space="preserve">on </w:t>
      </w:r>
      <w:r w:rsidR="009D5FD2">
        <w:t xml:space="preserve">the scope of practice </w:t>
      </w:r>
      <w:r w:rsidR="00EA0571">
        <w:t xml:space="preserve">of health professionals between locations (i.e., between states) </w:t>
      </w:r>
      <w:r w:rsidR="00C77117">
        <w:t>and practice environment</w:t>
      </w:r>
      <w:r w:rsidR="00825670">
        <w:t>s</w:t>
      </w:r>
      <w:r w:rsidR="00C77117">
        <w:t xml:space="preserve"> (i.e., between acute and primary care, or between different </w:t>
      </w:r>
      <w:r w:rsidR="00F503C2">
        <w:t>practices</w:t>
      </w:r>
      <w:r w:rsidR="00C77117">
        <w:t>).</w:t>
      </w:r>
      <w:r>
        <w:t xml:space="preserve"> This restricts the </w:t>
      </w:r>
      <w:r w:rsidR="009C0F4F">
        <w:t xml:space="preserve">treatments that can be performed, access to funding for providing such treatments, or the level of autonomy </w:t>
      </w:r>
      <w:r w:rsidR="00D81C48">
        <w:t xml:space="preserve">to determine that these treatments are required. </w:t>
      </w:r>
      <w:r w:rsidR="00090156">
        <w:t xml:space="preserve">Consultation respondents </w:t>
      </w:r>
      <w:r w:rsidR="008B5090">
        <w:t xml:space="preserve">also </w:t>
      </w:r>
      <w:r w:rsidR="00090156">
        <w:t>identified th</w:t>
      </w:r>
      <w:r w:rsidR="008B5090">
        <w:t>is</w:t>
      </w:r>
      <w:r w:rsidR="00090156">
        <w:t xml:space="preserve"> barrier</w:t>
      </w:r>
      <w:r w:rsidR="00A839AE">
        <w:t xml:space="preserve">, </w:t>
      </w:r>
      <w:r w:rsidR="006E27CA">
        <w:t xml:space="preserve">noting the importance of consistency </w:t>
      </w:r>
      <w:r w:rsidR="00CB4DCC">
        <w:t xml:space="preserve">in terminology, </w:t>
      </w:r>
      <w:r w:rsidR="00432E06">
        <w:t>competencies, education and practice expectations around scope</w:t>
      </w:r>
      <w:r w:rsidR="009F7E3F">
        <w:t xml:space="preserve"> of practice</w:t>
      </w:r>
      <w:r w:rsidR="00432E06">
        <w:t xml:space="preserve">. Respondents </w:t>
      </w:r>
      <w:r w:rsidR="00090156">
        <w:t xml:space="preserve">expressed frustration </w:t>
      </w:r>
      <w:r w:rsidR="00184BFB">
        <w:t xml:space="preserve">that </w:t>
      </w:r>
      <w:r w:rsidR="00432E06">
        <w:t>this barrier</w:t>
      </w:r>
      <w:r w:rsidR="00184BFB">
        <w:t xml:space="preserve"> results in</w:t>
      </w:r>
      <w:r w:rsidR="00883531">
        <w:t xml:space="preserve"> co</w:t>
      </w:r>
      <w:r w:rsidR="00412C5C">
        <w:t>mpromised care and</w:t>
      </w:r>
      <w:r w:rsidR="00184BFB">
        <w:t xml:space="preserve"> highly skilled professionals leaving the</w:t>
      </w:r>
      <w:r w:rsidR="008B5090">
        <w:t xml:space="preserve">ir roles. </w:t>
      </w:r>
    </w:p>
    <w:p w14:paraId="66B62F40" w14:textId="450E4AE2" w:rsidR="009A1C08" w:rsidRDefault="009A1C08" w:rsidP="009A1C08">
      <w:r>
        <w:t xml:space="preserve">Access to funding for treatments influences the scope of practice that health professionals are enabled to perform. The broader funding model, such as fee-for-service, can also reward procedural care over preventative and comprehensive, team-based care. Lower reimbursement rates in primary care settings compared with </w:t>
      </w:r>
      <w:r w:rsidR="003644BB">
        <w:t xml:space="preserve">other </w:t>
      </w:r>
      <w:r>
        <w:t>specialties can also worsen health workforce shortages by encouraging professionals to leave</w:t>
      </w:r>
      <w:r w:rsidR="001B31D5">
        <w:t xml:space="preserve"> or not choose to work in</w:t>
      </w:r>
      <w:r>
        <w:t xml:space="preserve"> primary care. Reforms to address these challenges may incentivise comprehensive team-based care or improve workforce retention by increased staff satisfaction. The challenge is to balance this in an environment where overall funding is limited and without creating inefficiencies or added complexity. </w:t>
      </w:r>
    </w:p>
    <w:p w14:paraId="1F0C16D5" w14:textId="30E79EDD" w:rsidR="003A3829" w:rsidRDefault="00921A2D" w:rsidP="002F0C84">
      <w:r>
        <w:t>Interprofessional collaboration and communication is crucial</w:t>
      </w:r>
      <w:r w:rsidR="00190D85">
        <w:t xml:space="preserve"> for providing team-based care that optimises outcomes for consumers. </w:t>
      </w:r>
      <w:r w:rsidR="00060B7A">
        <w:t xml:space="preserve">Identified </w:t>
      </w:r>
      <w:r w:rsidR="00162B63">
        <w:t>b</w:t>
      </w:r>
      <w:r w:rsidR="00190D85">
        <w:t xml:space="preserve">arriers to this include communication challenges, </w:t>
      </w:r>
      <w:r w:rsidR="00C374B2">
        <w:t>traditional professional hierarchies</w:t>
      </w:r>
      <w:r w:rsidR="00F4698F">
        <w:t xml:space="preserve">, perceived </w:t>
      </w:r>
      <w:r w:rsidR="00863030">
        <w:t xml:space="preserve">scope overlap or </w:t>
      </w:r>
      <w:r w:rsidR="00F4698F">
        <w:t>role threat,</w:t>
      </w:r>
      <w:r w:rsidR="00C83ED6">
        <w:t xml:space="preserve"> </w:t>
      </w:r>
      <w:r w:rsidR="00863030">
        <w:t xml:space="preserve">and </w:t>
      </w:r>
      <w:r w:rsidR="00ED4ED9">
        <w:t xml:space="preserve">resistance </w:t>
      </w:r>
      <w:r w:rsidR="000C0882">
        <w:t>based on</w:t>
      </w:r>
      <w:r w:rsidR="00C374B2">
        <w:t xml:space="preserve"> poor understanding of each other’s roles</w:t>
      </w:r>
      <w:r w:rsidR="00C83ED6">
        <w:t>.</w:t>
      </w:r>
      <w:r w:rsidR="00B81608">
        <w:t xml:space="preserve"> </w:t>
      </w:r>
      <w:r w:rsidR="007B3462">
        <w:t xml:space="preserve">In other countries, these barriers have been tackled through digital enablement, evidence-based </w:t>
      </w:r>
      <w:proofErr w:type="gramStart"/>
      <w:r w:rsidR="007B3462">
        <w:t>reorganisation</w:t>
      </w:r>
      <w:proofErr w:type="gramEnd"/>
      <w:r w:rsidR="007B3462">
        <w:t xml:space="preserve"> and funding of collaborative care teams, and enhanced professional awareness of team roles</w:t>
      </w:r>
      <w:r w:rsidR="005B5070">
        <w:t>, explored in greater depth in the following section</w:t>
      </w:r>
      <w:r w:rsidR="001E149A">
        <w:t xml:space="preserve">, </w:t>
      </w:r>
      <w:r w:rsidR="001E149A" w:rsidRPr="001E149A">
        <w:rPr>
          <w:u w:val="single"/>
        </w:rPr>
        <w:fldChar w:fldCharType="begin"/>
      </w:r>
      <w:r w:rsidR="001E149A" w:rsidRPr="001E149A">
        <w:rPr>
          <w:u w:val="single"/>
        </w:rPr>
        <w:instrText xml:space="preserve"> REF _Ref156400880 \h </w:instrText>
      </w:r>
      <w:r w:rsidR="001E149A">
        <w:rPr>
          <w:u w:val="single"/>
        </w:rPr>
        <w:instrText xml:space="preserve"> \* MERGEFORMAT </w:instrText>
      </w:r>
      <w:r w:rsidR="001E149A" w:rsidRPr="001E149A">
        <w:rPr>
          <w:u w:val="single"/>
        </w:rPr>
      </w:r>
      <w:r w:rsidR="001E149A" w:rsidRPr="001E149A">
        <w:rPr>
          <w:u w:val="single"/>
        </w:rPr>
        <w:fldChar w:fldCharType="separate"/>
      </w:r>
      <w:r w:rsidR="00E40B08" w:rsidRPr="00E40B08">
        <w:rPr>
          <w:u w:val="single"/>
        </w:rPr>
        <w:t>Emerging themes from analysis</w:t>
      </w:r>
      <w:r w:rsidR="001E149A" w:rsidRPr="001E149A">
        <w:rPr>
          <w:u w:val="single"/>
        </w:rPr>
        <w:fldChar w:fldCharType="end"/>
      </w:r>
      <w:r w:rsidR="007B3462">
        <w:t xml:space="preserve">. </w:t>
      </w:r>
      <w:r w:rsidR="00AC6B16">
        <w:t>This has led to innovative models of care that</w:t>
      </w:r>
      <w:r w:rsidR="00CB52C4">
        <w:t xml:space="preserve"> are well accepted by health professionals and consumers, and</w:t>
      </w:r>
      <w:r w:rsidR="00AC6B16">
        <w:t xml:space="preserve"> </w:t>
      </w:r>
      <w:r w:rsidR="00CB52C4">
        <w:t>improve</w:t>
      </w:r>
      <w:r w:rsidR="002D7AAA">
        <w:t>d</w:t>
      </w:r>
      <w:r w:rsidR="00CB52C4">
        <w:t xml:space="preserve"> health outcomes. </w:t>
      </w:r>
      <w:r w:rsidR="00D9452F">
        <w:t xml:space="preserve">Consultation respondents often </w:t>
      </w:r>
      <w:r w:rsidR="007233A4">
        <w:t xml:space="preserve">identified </w:t>
      </w:r>
      <w:r w:rsidR="00CB2BDB">
        <w:t xml:space="preserve">these innovative models from other countries </w:t>
      </w:r>
      <w:r w:rsidR="007233A4">
        <w:t>or local practice examples</w:t>
      </w:r>
      <w:r w:rsidR="001C3EA7">
        <w:t xml:space="preserve">, particularly in regional </w:t>
      </w:r>
      <w:r w:rsidR="006325F3">
        <w:t xml:space="preserve">and remote </w:t>
      </w:r>
      <w:r w:rsidR="001C3EA7">
        <w:t xml:space="preserve">areas to overcome workforce shortages. </w:t>
      </w:r>
    </w:p>
    <w:p w14:paraId="664393D5" w14:textId="18635D76" w:rsidR="000D35E2" w:rsidRDefault="003169F2" w:rsidP="000D35E2">
      <w:r>
        <w:t xml:space="preserve">The poor understanding of </w:t>
      </w:r>
      <w:r w:rsidR="00864F48">
        <w:t>various health professional role</w:t>
      </w:r>
      <w:r w:rsidR="008B08F2">
        <w:t xml:space="preserve">s </w:t>
      </w:r>
      <w:r w:rsidR="0008285C">
        <w:t>and/</w:t>
      </w:r>
      <w:r w:rsidR="00DB5794">
        <w:t xml:space="preserve">or trust in competency </w:t>
      </w:r>
      <w:r w:rsidR="008B08F2">
        <w:t xml:space="preserve">occurs amongst both </w:t>
      </w:r>
      <w:r w:rsidR="00294A38">
        <w:t xml:space="preserve">health professionals and administrators. </w:t>
      </w:r>
      <w:r w:rsidR="00350318">
        <w:t>This can lead to a culture of resistance amongst policymakers to acknowledge</w:t>
      </w:r>
      <w:r w:rsidR="0008285C">
        <w:t>, support</w:t>
      </w:r>
      <w:r w:rsidR="00350318">
        <w:t xml:space="preserve"> and fund health professional activities at full scope of practice</w:t>
      </w:r>
      <w:r w:rsidR="00FA1443">
        <w:t>.</w:t>
      </w:r>
      <w:r w:rsidR="0045225A">
        <w:t xml:space="preserve"> </w:t>
      </w:r>
      <w:r w:rsidR="00FA1443">
        <w:t xml:space="preserve">To overcome this resistance requires </w:t>
      </w:r>
      <w:r w:rsidR="00A919F6">
        <w:t xml:space="preserve">clear evidence of improved outcomes when </w:t>
      </w:r>
      <w:r w:rsidR="00194445">
        <w:t xml:space="preserve">all </w:t>
      </w:r>
      <w:r w:rsidR="00A919F6">
        <w:t>health professionals are able to contribute fully to the health</w:t>
      </w:r>
      <w:r w:rsidR="007F55DF">
        <w:t xml:space="preserve"> </w:t>
      </w:r>
      <w:r w:rsidR="00A919F6">
        <w:t>care team</w:t>
      </w:r>
      <w:r w:rsidR="00480459">
        <w:t>, education and advocacy</w:t>
      </w:r>
      <w:r w:rsidR="00A919F6">
        <w:t>.</w:t>
      </w:r>
      <w:r w:rsidR="0070230C">
        <w:t xml:space="preserve"> </w:t>
      </w:r>
      <w:r w:rsidR="000E0AAB">
        <w:t>Consultation respondents also encouraged wider recognition of existing clinical and professional governance structures that are effective.</w:t>
      </w:r>
    </w:p>
    <w:p w14:paraId="3DCF3FA4" w14:textId="21246436" w:rsidR="00182635" w:rsidRDefault="00A3231B" w:rsidP="000D35E2">
      <w:pPr>
        <w:pStyle w:val="Heading2"/>
      </w:pPr>
      <w:bookmarkStart w:id="8" w:name="_Toc156832067"/>
      <w:r>
        <w:t>Conclusions</w:t>
      </w:r>
      <w:bookmarkEnd w:id="8"/>
    </w:p>
    <w:p w14:paraId="7836E2D8" w14:textId="6DDB72C7" w:rsidR="082D299A" w:rsidRDefault="082D299A" w:rsidP="752812E0">
      <w:r>
        <w:t>The literature review provided strong evidence of improved consumer access to care, consumer experience of care and health outcomes when health professionals are enabled to work to full scope of practice.</w:t>
      </w:r>
      <w:r w:rsidR="00AA5A59" w:rsidRPr="00AA5A59">
        <w:t xml:space="preserve"> </w:t>
      </w:r>
      <w:r w:rsidR="00AA5A59" w:rsidRPr="004536F0">
        <w:t>Health professionals working to full scope of practice reduces workload for the acute care sector, increases health professional utilisation and retention and creates efficiencies at a system level.</w:t>
      </w:r>
      <w:r w:rsidR="00AA5A59">
        <w:t xml:space="preserve"> </w:t>
      </w:r>
      <w:r w:rsidR="344BC42D">
        <w:t>Many</w:t>
      </w:r>
      <w:r>
        <w:t xml:space="preserve"> </w:t>
      </w:r>
      <w:r w:rsidR="00A17843">
        <w:t xml:space="preserve">consultation </w:t>
      </w:r>
      <w:r>
        <w:t>respondents</w:t>
      </w:r>
      <w:r w:rsidR="00A17843">
        <w:t xml:space="preserve"> </w:t>
      </w:r>
      <w:r>
        <w:t>agreed with the benefits identified in the literature</w:t>
      </w:r>
      <w:r w:rsidR="00FD6FA9">
        <w:t>;</w:t>
      </w:r>
      <w:r>
        <w:t xml:space="preserve"> that a highly functional, collaborative interprofessional team provides an array of benefits to the system, health professionals and consumers. </w:t>
      </w:r>
      <w:r>
        <w:lastRenderedPageBreak/>
        <w:t>Consultation respondents were broadly divided along professional lines about whether non-medical professionals working to full scope of practice would offer benefits compared with the existing GP</w:t>
      </w:r>
      <w:r w:rsidR="00BA5516">
        <w:t xml:space="preserve">-centred primary health care </w:t>
      </w:r>
      <w:r>
        <w:t xml:space="preserve">model. </w:t>
      </w:r>
    </w:p>
    <w:p w14:paraId="1BA90EEC" w14:textId="16CF4138" w:rsidR="009A07AD" w:rsidRDefault="082D299A" w:rsidP="009A07AD">
      <w:r>
        <w:t xml:space="preserve">There are potential </w:t>
      </w:r>
      <w:r w:rsidR="2C6997D5">
        <w:t xml:space="preserve">real and </w:t>
      </w:r>
      <w:r w:rsidR="64B802F9">
        <w:t>perceived</w:t>
      </w:r>
      <w:r w:rsidR="2C6997D5">
        <w:t xml:space="preserve"> </w:t>
      </w:r>
      <w:r>
        <w:t>risks to consumers, the health</w:t>
      </w:r>
      <w:r w:rsidR="007F55DF">
        <w:t xml:space="preserve"> </w:t>
      </w:r>
      <w:r>
        <w:t>care team and the health</w:t>
      </w:r>
      <w:r w:rsidR="007F55DF">
        <w:t xml:space="preserve"> </w:t>
      </w:r>
      <w:r>
        <w:t>care system if changes to health professionals</w:t>
      </w:r>
      <w:r w:rsidR="006C4F68">
        <w:t>’</w:t>
      </w:r>
      <w:r>
        <w:t xml:space="preserve"> scope of practice are not appropriately supported or implemented. </w:t>
      </w:r>
      <w:r w:rsidR="00D43B7C">
        <w:t xml:space="preserve">However, many of these risks are well identified, understood and can be minimised or managed. </w:t>
      </w:r>
      <w:r>
        <w:t>These</w:t>
      </w:r>
      <w:r w:rsidR="007470C4">
        <w:t xml:space="preserve"> risks</w:t>
      </w:r>
      <w:r>
        <w:t xml:space="preserve"> were reflected in both literature review and consultation evidence, demonstrating a balanced understanding o</w:t>
      </w:r>
      <w:r w:rsidR="00252BCE">
        <w:t>f</w:t>
      </w:r>
      <w:r>
        <w:t xml:space="preserve"> risks and benefits amongst stakeholders. For example, if collaboration </w:t>
      </w:r>
      <w:r w:rsidR="00A93EF2">
        <w:t xml:space="preserve">across </w:t>
      </w:r>
      <w:r>
        <w:t xml:space="preserve">health professionals is not appropriately enabled through funding </w:t>
      </w:r>
      <w:r w:rsidR="00A205F9">
        <w:t>policy</w:t>
      </w:r>
      <w:r>
        <w:t xml:space="preserve">, technology and leadership, then health professionals may be resistant to working at full scope or operate within siloes, resulting in reduced consumer access or fragmentation of care. </w:t>
      </w:r>
      <w:r w:rsidR="00D02779">
        <w:t>Similarly, there are risks if the quality and safety of care is not maintained throughout adoption of changes, which highlights the need for small-scale trial of reforms and strong ongoing research and evaluation mechanisms.</w:t>
      </w:r>
      <w:r w:rsidR="00D45CE3">
        <w:t xml:space="preserve"> </w:t>
      </w:r>
      <w:r>
        <w:t>Within written submissions, there was divergence along professional lines about whether health professionals working to full scope of practice represented an unacceptable level of risk. Many expressed that this was associated with few major risks,</w:t>
      </w:r>
      <w:r w:rsidR="006C4F68">
        <w:t xml:space="preserve"> and that maintaining current barriers</w:t>
      </w:r>
      <w:r w:rsidR="00785D3E">
        <w:t xml:space="preserve"> actually</w:t>
      </w:r>
      <w:r w:rsidR="006C4F68">
        <w:t xml:space="preserve"> presented a greater risk </w:t>
      </w:r>
      <w:r w:rsidR="009F57C9">
        <w:t>through suboptimal care,</w:t>
      </w:r>
      <w:r w:rsidR="00D14A5D">
        <w:t xml:space="preserve"> underutilisation of the workforce,</w:t>
      </w:r>
      <w:r w:rsidR="009F57C9">
        <w:t xml:space="preserve"> increased health</w:t>
      </w:r>
      <w:r w:rsidR="007F55DF">
        <w:t xml:space="preserve"> </w:t>
      </w:r>
      <w:r w:rsidR="009F57C9">
        <w:t>care costs</w:t>
      </w:r>
      <w:r w:rsidR="00E31A4F">
        <w:t xml:space="preserve"> and existing siloes. </w:t>
      </w:r>
      <w:r w:rsidR="003D144F">
        <w:t>Some</w:t>
      </w:r>
      <w:r>
        <w:t xml:space="preserve"> disagreed and expressed that current professional boundaries should be maintained. </w:t>
      </w:r>
      <w:r w:rsidR="009A07AD">
        <w:t xml:space="preserve"> </w:t>
      </w:r>
    </w:p>
    <w:p w14:paraId="0652ABA9" w14:textId="3EE78F69" w:rsidR="082D299A" w:rsidRDefault="082D299A" w:rsidP="752812E0">
      <w:r>
        <w:t xml:space="preserve">The barriers, enablers, risks and benefits identified through the above </w:t>
      </w:r>
      <w:r w:rsidR="001E149A">
        <w:t>evidence</w:t>
      </w:r>
      <w:r>
        <w:t xml:space="preserve"> have been broadly grouped into five emerging themes, which form the foundation for further discussion in this Issues Paper</w:t>
      </w:r>
      <w:r w:rsidR="005022B9">
        <w:t>:</w:t>
      </w:r>
    </w:p>
    <w:p w14:paraId="27EED96D" w14:textId="441B9385" w:rsidR="00215F94" w:rsidRDefault="00215F94" w:rsidP="001A2DBA">
      <w:pPr>
        <w:pStyle w:val="ListParagraph"/>
        <w:numPr>
          <w:ilvl w:val="0"/>
          <w:numId w:val="26"/>
        </w:numPr>
        <w:rPr>
          <w:rFonts w:cs="Arial"/>
          <w:szCs w:val="22"/>
        </w:rPr>
      </w:pPr>
      <w:r w:rsidRPr="24150B43">
        <w:rPr>
          <w:b/>
          <w:bCs/>
        </w:rPr>
        <w:t>Legislation and regulation</w:t>
      </w:r>
      <w:r>
        <w:t xml:space="preserve"> </w:t>
      </w:r>
      <w:r w:rsidR="00B04704">
        <w:t>–</w:t>
      </w:r>
      <w:r>
        <w:t xml:space="preserve"> </w:t>
      </w:r>
      <w:r w:rsidRPr="24150B43">
        <w:rPr>
          <w:rFonts w:cs="Arial"/>
        </w:rPr>
        <w:t xml:space="preserve">where legislation or regulation authorise or inhibit health professionals in performing a particular </w:t>
      </w:r>
      <w:r w:rsidR="00D457B1">
        <w:rPr>
          <w:rFonts w:cs="Arial"/>
        </w:rPr>
        <w:t>activity</w:t>
      </w:r>
      <w:r w:rsidRPr="24150B43">
        <w:rPr>
          <w:rFonts w:cs="Arial"/>
        </w:rPr>
        <w:t>;</w:t>
      </w:r>
    </w:p>
    <w:p w14:paraId="2B9D9C39" w14:textId="70F72CC1" w:rsidR="00215F94" w:rsidRDefault="00215F94" w:rsidP="001A2DBA">
      <w:pPr>
        <w:pStyle w:val="ListParagraph"/>
        <w:numPr>
          <w:ilvl w:val="0"/>
          <w:numId w:val="26"/>
        </w:numPr>
        <w:rPr>
          <w:szCs w:val="22"/>
        </w:rPr>
      </w:pPr>
      <w:r w:rsidRPr="51FB3FA6">
        <w:rPr>
          <w:b/>
          <w:bCs/>
        </w:rPr>
        <w:t>Employer practices and settings</w:t>
      </w:r>
      <w:r>
        <w:t xml:space="preserve"> </w:t>
      </w:r>
      <w:r w:rsidR="00B04704">
        <w:t>–</w:t>
      </w:r>
      <w:r>
        <w:t xml:space="preserve"> service-level practices and settings which influence health professionals’ ability to work to full scope of practice, including credentialling, role design, and employment models; </w:t>
      </w:r>
    </w:p>
    <w:p w14:paraId="41A98153" w14:textId="54758250" w:rsidR="00215F94" w:rsidRDefault="00215F94" w:rsidP="001A2DBA">
      <w:pPr>
        <w:pStyle w:val="ListParagraph"/>
        <w:numPr>
          <w:ilvl w:val="0"/>
          <w:numId w:val="26"/>
        </w:numPr>
        <w:rPr>
          <w:rFonts w:cs="Arial"/>
        </w:rPr>
      </w:pPr>
      <w:r w:rsidRPr="51FB3FA6">
        <w:rPr>
          <w:b/>
          <w:bCs/>
        </w:rPr>
        <w:t>Education and training</w:t>
      </w:r>
      <w:r>
        <w:t xml:space="preserve"> </w:t>
      </w:r>
      <w:r w:rsidR="00B04704">
        <w:t>–</w:t>
      </w:r>
      <w:r>
        <w:t xml:space="preserve"> pre- and post-</w:t>
      </w:r>
      <w:r w:rsidR="00E60FFB">
        <w:t xml:space="preserve">professional entry </w:t>
      </w:r>
      <w:r>
        <w:t xml:space="preserve">learning and qualifications, including professional entry requirements and </w:t>
      </w:r>
      <w:r w:rsidRPr="51FB3FA6">
        <w:rPr>
          <w:rFonts w:cs="Arial"/>
        </w:rPr>
        <w:t xml:space="preserve">opportunities for professional development, mentoring, supervision and upskilling, </w:t>
      </w:r>
      <w:r>
        <w:rPr>
          <w:rFonts w:cs="Arial"/>
        </w:rPr>
        <w:t>and</w:t>
      </w:r>
      <w:r w:rsidRPr="51FB3FA6">
        <w:rPr>
          <w:rFonts w:cs="Arial"/>
        </w:rPr>
        <w:t xml:space="preserve"> interprofessional learning</w:t>
      </w:r>
      <w:r w:rsidRPr="24150B43">
        <w:rPr>
          <w:rFonts w:cs="Arial"/>
        </w:rPr>
        <w:t>;</w:t>
      </w:r>
    </w:p>
    <w:p w14:paraId="5CA5CB73" w14:textId="7F4F9E70" w:rsidR="45B3D07E" w:rsidRPr="00215F94" w:rsidRDefault="45B3D07E" w:rsidP="001A2DBA">
      <w:pPr>
        <w:pStyle w:val="ListParagraph"/>
        <w:numPr>
          <w:ilvl w:val="0"/>
          <w:numId w:val="26"/>
        </w:numPr>
        <w:rPr>
          <w:rFonts w:cs="Arial"/>
        </w:rPr>
      </w:pPr>
      <w:r w:rsidRPr="00215F94">
        <w:rPr>
          <w:b/>
          <w:bCs/>
        </w:rPr>
        <w:t xml:space="preserve">Funding </w:t>
      </w:r>
      <w:r w:rsidR="00A205F9">
        <w:rPr>
          <w:b/>
          <w:bCs/>
        </w:rPr>
        <w:t>policy</w:t>
      </w:r>
      <w:r w:rsidR="00A205F9">
        <w:t xml:space="preserve"> </w:t>
      </w:r>
      <w:r w:rsidR="00B04704">
        <w:t>–</w:t>
      </w:r>
      <w:r>
        <w:t xml:space="preserve"> </w:t>
      </w:r>
      <w:r w:rsidRPr="00215F94">
        <w:rPr>
          <w:rFonts w:cs="Arial"/>
        </w:rPr>
        <w:t xml:space="preserve">the way funding </w:t>
      </w:r>
      <w:r w:rsidR="00A205F9">
        <w:rPr>
          <w:rFonts w:cs="Arial"/>
        </w:rPr>
        <w:t xml:space="preserve">and payment </w:t>
      </w:r>
      <w:r w:rsidRPr="00215F94">
        <w:rPr>
          <w:rFonts w:cs="Arial"/>
        </w:rPr>
        <w:t>is provided for delivery of health care;</w:t>
      </w:r>
    </w:p>
    <w:p w14:paraId="0FB4FADA" w14:textId="635B3198" w:rsidR="00CF2060" w:rsidRDefault="2C1710A6" w:rsidP="001A2DBA">
      <w:pPr>
        <w:pStyle w:val="ListParagraph"/>
        <w:numPr>
          <w:ilvl w:val="0"/>
          <w:numId w:val="26"/>
        </w:numPr>
        <w:rPr>
          <w:szCs w:val="22"/>
        </w:rPr>
      </w:pPr>
      <w:r w:rsidRPr="2C1710A6">
        <w:rPr>
          <w:b/>
          <w:bCs/>
        </w:rPr>
        <w:t>Technology</w:t>
      </w:r>
      <w:r>
        <w:t xml:space="preserve"> </w:t>
      </w:r>
      <w:r w:rsidR="00B04704">
        <w:t>–</w:t>
      </w:r>
      <w:r>
        <w:t xml:space="preserve"> integrated and accessible digital tools, communication and information sharing.</w:t>
      </w:r>
    </w:p>
    <w:p w14:paraId="15C827F0" w14:textId="3B1528BB" w:rsidR="45B3D07E" w:rsidRDefault="45B3D07E" w:rsidP="00CF2060">
      <w:r>
        <w:t>Barriers or enablers within any theme may overlap with those in other themes and are cross-referenced accordingly in the following sections. Action in one area may inhibit or support health professionals working to full scope of practice.</w:t>
      </w:r>
    </w:p>
    <w:p w14:paraId="4A105862" w14:textId="77777777" w:rsidR="001C20A1" w:rsidRDefault="001C20A1">
      <w:pPr>
        <w:spacing w:before="0" w:after="0" w:line="240" w:lineRule="auto"/>
        <w:rPr>
          <w:rFonts w:cs="Arial"/>
          <w:b/>
          <w:bCs/>
          <w:color w:val="009DBB"/>
          <w:sz w:val="32"/>
          <w:szCs w:val="26"/>
        </w:rPr>
      </w:pPr>
      <w:r>
        <w:br w:type="page"/>
      </w:r>
    </w:p>
    <w:p w14:paraId="70B92AB3" w14:textId="23BA0CED" w:rsidR="00F10496" w:rsidRDefault="00FA5B50" w:rsidP="008B2520">
      <w:pPr>
        <w:pStyle w:val="Heading1"/>
      </w:pPr>
      <w:bookmarkStart w:id="9" w:name="_Ref156400880"/>
      <w:bookmarkStart w:id="10" w:name="_Toc156832068"/>
      <w:r>
        <w:lastRenderedPageBreak/>
        <w:t>Emerging t</w:t>
      </w:r>
      <w:r w:rsidR="00F10496">
        <w:t>hemes from analysis</w:t>
      </w:r>
      <w:bookmarkEnd w:id="9"/>
      <w:bookmarkEnd w:id="10"/>
      <w:r w:rsidR="00F10496">
        <w:t xml:space="preserve"> </w:t>
      </w:r>
    </w:p>
    <w:p w14:paraId="4CBCB369" w14:textId="717D5E94" w:rsidR="008C20A2" w:rsidRDefault="00F23927" w:rsidP="00F10496">
      <w:r>
        <w:t xml:space="preserve">This section </w:t>
      </w:r>
      <w:r w:rsidR="00C53008">
        <w:t>summarises</w:t>
      </w:r>
      <w:r>
        <w:t xml:space="preserve"> key findings from Phase 1 consultation</w:t>
      </w:r>
      <w:r w:rsidR="008C20A2">
        <w:t>,</w:t>
      </w:r>
      <w:r>
        <w:t xml:space="preserve"> and </w:t>
      </w:r>
      <w:r w:rsidR="00C53008">
        <w:t xml:space="preserve">highlights where these findings </w:t>
      </w:r>
      <w:r w:rsidR="008C20A2">
        <w:t>accord with</w:t>
      </w:r>
      <w:r>
        <w:t xml:space="preserve"> </w:t>
      </w:r>
      <w:r w:rsidR="008C20A2">
        <w:t xml:space="preserve">findings from the </w:t>
      </w:r>
      <w:r>
        <w:t xml:space="preserve">literature review </w:t>
      </w:r>
      <w:r w:rsidR="008C20A2">
        <w:t>undertaken as part of this Review.</w:t>
      </w:r>
    </w:p>
    <w:p w14:paraId="4A696BE8" w14:textId="52D14614" w:rsidR="00215F94" w:rsidRDefault="00215F94" w:rsidP="001A2DBA">
      <w:pPr>
        <w:pStyle w:val="Heading2"/>
        <w:numPr>
          <w:ilvl w:val="0"/>
          <w:numId w:val="27"/>
        </w:numPr>
      </w:pPr>
      <w:bookmarkStart w:id="11" w:name="_Ref156390866"/>
      <w:bookmarkStart w:id="12" w:name="_Toc156832069"/>
      <w:r w:rsidRPr="00600F25">
        <w:t>Legislation</w:t>
      </w:r>
      <w:r>
        <w:t xml:space="preserve"> and regulation</w:t>
      </w:r>
      <w:bookmarkEnd w:id="11"/>
      <w:bookmarkEnd w:id="12"/>
      <w:r>
        <w:t xml:space="preserve"> </w:t>
      </w:r>
    </w:p>
    <w:p w14:paraId="4B9BF7EE" w14:textId="7F5007BC" w:rsidR="0039009E" w:rsidRDefault="000E3EA8" w:rsidP="001A7ED5">
      <w:pPr>
        <w:pStyle w:val="Heading4"/>
      </w:pPr>
      <w:r>
        <w:t>Context</w:t>
      </w:r>
    </w:p>
    <w:p w14:paraId="495D916D" w14:textId="73D84A01" w:rsidR="00215F94" w:rsidRDefault="00215F94" w:rsidP="00215F94">
      <w:r>
        <w:t>Legislative and regulatory settings are an essential underpinning for all health professionals’ authority and ability to work to full scope of practice. Legislation and regulation therefore become natural policy levers with the potential to promote significant practice change. In the context of enabling health professionals to work closer to their full scope of practice, regulation is essential to build trust and confidence across the primary health care system, health professionals and consumers that services will be delivered safely and effectively. This section sets out key policy issues and potential areas of policy change relating to legislation and regulation, noting that this will be a key area of additional focus in Phase 2 consultations</w:t>
      </w:r>
      <w:r w:rsidR="00822DD1">
        <w:t xml:space="preserve"> and Issues Paper 2</w:t>
      </w:r>
      <w:r>
        <w:t xml:space="preserve">. </w:t>
      </w:r>
    </w:p>
    <w:p w14:paraId="18483F39" w14:textId="095D87F3" w:rsidR="003B3264" w:rsidRDefault="003B3264" w:rsidP="003B3264">
      <w:r>
        <w:t>The primary health care workforce is regulated through a range of means, with a key mechanism being the National Registration and Accreditation Scheme (NRAS). The NRAS regulates 16 professions and is a broadly trusted regulatory mechanism among stakeholders consulted. Responses received during consultations indicated it was not, in itself, a key barrier to reform. However, as summarised below, NRAS does not regulate all primary health care workforces. Furthermore, regulatory approaches used within self-regulated primary health professions do not fully align with NRAS.</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Look w:val="04A0" w:firstRow="1" w:lastRow="0" w:firstColumn="1" w:lastColumn="0" w:noHBand="0" w:noVBand="1"/>
      </w:tblPr>
      <w:tblGrid>
        <w:gridCol w:w="9060"/>
      </w:tblGrid>
      <w:tr w:rsidR="00215F94" w14:paraId="7F1E6259" w14:textId="77777777" w:rsidTr="00CD4446">
        <w:tc>
          <w:tcPr>
            <w:tcW w:w="9060" w:type="dxa"/>
          </w:tcPr>
          <w:p w14:paraId="5E653919" w14:textId="77777777" w:rsidR="002A78F0" w:rsidRDefault="002A78F0" w:rsidP="001A2DBA">
            <w:pPr>
              <w:keepNext/>
              <w:keepLines/>
            </w:pPr>
            <w:r w:rsidRPr="00147A41">
              <w:rPr>
                <w:b/>
                <w:bCs/>
              </w:rPr>
              <w:t>Regulated professions</w:t>
            </w:r>
            <w:r>
              <w:t>: professions regulated under the</w:t>
            </w:r>
            <w:r w:rsidRPr="00044150">
              <w:t xml:space="preserve"> National Registration and Accreditation Scheme</w:t>
            </w:r>
            <w:r>
              <w:t xml:space="preserve"> (NRAS) as per the Health Practitioner Regulation National Law that applies in each State and Territory.</w:t>
            </w:r>
          </w:p>
          <w:p w14:paraId="6C4C50D7" w14:textId="77777777" w:rsidR="002A78F0" w:rsidRDefault="002A78F0" w:rsidP="001A2DBA">
            <w:pPr>
              <w:keepNext/>
              <w:keepLines/>
            </w:pPr>
            <w:r w:rsidRPr="7D32E3DE">
              <w:rPr>
                <w:b/>
                <w:bCs/>
              </w:rPr>
              <w:t>Self-regulated professions</w:t>
            </w:r>
            <w:r>
              <w:t xml:space="preserve">: regulated by profession-specific colleges and associations. Examples include </w:t>
            </w:r>
            <w:r w:rsidRPr="7D32E3DE">
              <w:rPr>
                <w:rFonts w:eastAsia="Arial" w:cs="Arial"/>
              </w:rPr>
              <w:t>speech pathology, social work, genetic counselling, exercise physiology and dietetics.</w:t>
            </w:r>
            <w:r>
              <w:rPr>
                <w:rFonts w:eastAsia="Arial" w:cs="Arial"/>
              </w:rPr>
              <w:t xml:space="preserve"> These professions may be subject to laws and regulatory codes such as the National Code of Conduct for Health Care Workers, the requirements to work within the National Disability Insurance Scheme, etc.</w:t>
            </w:r>
          </w:p>
          <w:p w14:paraId="42A2EB01" w14:textId="38F73599" w:rsidR="00215F94" w:rsidRDefault="002A78F0" w:rsidP="001A2DBA">
            <w:pPr>
              <w:keepNext/>
              <w:keepLines/>
            </w:pPr>
            <w:r>
              <w:rPr>
                <w:b/>
                <w:bCs/>
              </w:rPr>
              <w:t>Unregulated</w:t>
            </w:r>
            <w:r w:rsidRPr="7D32E3DE">
              <w:rPr>
                <w:b/>
                <w:bCs/>
              </w:rPr>
              <w:t xml:space="preserve"> health </w:t>
            </w:r>
            <w:r>
              <w:rPr>
                <w:b/>
                <w:bCs/>
              </w:rPr>
              <w:t>workforce</w:t>
            </w:r>
            <w:r>
              <w:t>: other health workers not regulated under the NRAS, subject to legislation and regulation including laws regulating specific activities (</w:t>
            </w:r>
            <w:r w:rsidR="005E08B3">
              <w:t>e.g.,</w:t>
            </w:r>
            <w:r>
              <w:t xml:space="preserve"> use of medicines and therapeutic goods), health complaints laws, consumer protection laws, or codes such as </w:t>
            </w:r>
            <w:r>
              <w:rPr>
                <w:rFonts w:eastAsia="Arial" w:cs="Arial"/>
              </w:rPr>
              <w:t>National Code of Conduct for Health Care Workers, the requirements to work within the National Disability Insurance Scheme, etc.</w:t>
            </w:r>
            <w:r>
              <w:t xml:space="preserve"> These </w:t>
            </w:r>
            <w:r w:rsidRPr="00CB60EF">
              <w:t xml:space="preserve">include </w:t>
            </w:r>
            <w:r w:rsidRPr="001267DF">
              <w:t>allied health assistants, personal care workers</w:t>
            </w:r>
            <w:r>
              <w:t xml:space="preserve"> and technicians (including pharmacy, dental and anaesthetic technicians).</w:t>
            </w:r>
          </w:p>
        </w:tc>
      </w:tr>
    </w:tbl>
    <w:p w14:paraId="5C4D0238" w14:textId="6663961E" w:rsidR="00C66C41" w:rsidRDefault="00C66C41" w:rsidP="00C66C41">
      <w:r w:rsidRPr="007B34D0">
        <w:t xml:space="preserve">Outside of the NRAS a range of legislation and regulations include protected titles or ‘named’ professions who alone are authorised to carry out the function described in that Act or regulation. Examples in the Australian context include at the Commonwealth level, the Therapeutic Goods Act; and at the State and Territory level, legislation governing drugs and </w:t>
      </w:r>
      <w:r w:rsidRPr="007B34D0">
        <w:lastRenderedPageBreak/>
        <w:t>poisons, mental health, radiation safety, Voluntary Assisted Dying, road accident compensation, and termination of pregnancy. The inclusion of named professions in legislation restricts the authorisation to a group of health professions and may exclude others with the competency and qualification to carry out these activities. An example of international practice, which differs from the profession-specific approach taken in Australia</w:t>
      </w:r>
      <w:r w:rsidR="00732E97">
        <w:t>,</w:t>
      </w:r>
      <w:r w:rsidRPr="007B34D0">
        <w:t xml:space="preserve"> is illustrated above in the UK non-medical prescribing framework, with a similar model also used in New Zealand.</w:t>
      </w:r>
      <w:r>
        <w:t xml:space="preserve"> This is discussed below.</w:t>
      </w:r>
    </w:p>
    <w:p w14:paraId="7FAD9407" w14:textId="24BBDC77" w:rsidR="00A35CA8" w:rsidRDefault="00A35CA8" w:rsidP="001A7ED5">
      <w:pPr>
        <w:pStyle w:val="Heading4"/>
      </w:pPr>
      <w:r>
        <w:t>Challenges</w:t>
      </w:r>
    </w:p>
    <w:p w14:paraId="4BAFDA21" w14:textId="51BA3ECA" w:rsidR="00215F94" w:rsidRDefault="00215F94" w:rsidP="00215F94">
      <w:r>
        <w:t xml:space="preserve">There are known inconsistencies and barriers within the current legislative and regulatory systems governing the primary health care system which prevent health professionals from </w:t>
      </w:r>
      <w:r w:rsidR="002C2073">
        <w:t xml:space="preserve">working at </w:t>
      </w:r>
      <w:r>
        <w:t xml:space="preserve">their full scope of practice. One contributing factor is that </w:t>
      </w:r>
      <w:r w:rsidRPr="00367A65">
        <w:t xml:space="preserve">while a health profession may be competent and qualified to perform a particular </w:t>
      </w:r>
      <w:r w:rsidR="00D457B1">
        <w:t>activity</w:t>
      </w:r>
      <w:r>
        <w:t>,</w:t>
      </w:r>
      <w:r w:rsidRPr="00367A65">
        <w:t xml:space="preserve"> they are impeded </w:t>
      </w:r>
      <w:r>
        <w:t>if</w:t>
      </w:r>
      <w:r w:rsidRPr="00367A65">
        <w:t xml:space="preserve"> the relevant legislation or regulation does not explicitly authorise th</w:t>
      </w:r>
      <w:r>
        <w:t>at</w:t>
      </w:r>
      <w:r w:rsidRPr="00367A65">
        <w:t xml:space="preserve"> profession to perform th</w:t>
      </w:r>
      <w:r>
        <w:t>at</w:t>
      </w:r>
      <w:r w:rsidRPr="00367A65">
        <w:t xml:space="preserve"> </w:t>
      </w:r>
      <w:r w:rsidR="00D457B1">
        <w:t>activity</w:t>
      </w:r>
      <w:r w:rsidRPr="00367A65">
        <w:t xml:space="preserve">. </w:t>
      </w:r>
      <w:r w:rsidR="004421D1" w:rsidRPr="00E83A17">
        <w:t>This is often a result of legislation and regulation recognising a named profession as able to undertake the activity, rather than identifying the activity and recognising all professions competent and qualified to undertake that activity.</w:t>
      </w:r>
    </w:p>
    <w:p w14:paraId="3450101C" w14:textId="430DC758" w:rsidR="00215F94" w:rsidRDefault="00215F94" w:rsidP="00215F94">
      <w:r>
        <w:t xml:space="preserve">Other </w:t>
      </w:r>
      <w:r w:rsidR="009202B5">
        <w:t xml:space="preserve">perceived </w:t>
      </w:r>
      <w:r>
        <w:t xml:space="preserve">barriers result from </w:t>
      </w:r>
      <w:r w:rsidR="005D0323">
        <w:t>processes for gaining endorsement for advanced or specialised practice</w:t>
      </w:r>
      <w:r w:rsidR="009757DD">
        <w:t xml:space="preserve"> (</w:t>
      </w:r>
      <w:r w:rsidR="005E08B3">
        <w:t>e.g.,</w:t>
      </w:r>
      <w:r w:rsidR="009757DD">
        <w:t xml:space="preserve"> prescribing) among NRAS-regulated professions</w:t>
      </w:r>
      <w:r w:rsidR="005D0323">
        <w:t xml:space="preserve">, </w:t>
      </w:r>
      <w:r>
        <w:t>particularly among non-medical professions. Consultation feedback indicates health professionals perceive overly arduous and inconsistent (even arbitrary) means of a</w:t>
      </w:r>
      <w:r w:rsidR="009202B5">
        <w:t>cc</w:t>
      </w:r>
      <w:r>
        <w:t xml:space="preserve">essing endorsement </w:t>
      </w:r>
      <w:r w:rsidR="009202B5">
        <w:t xml:space="preserve">across </w:t>
      </w:r>
      <w:r>
        <w:t xml:space="preserve">professions as a key barrier to operating at full scope of practice. </w:t>
      </w:r>
      <w:r w:rsidR="008A144A">
        <w:t>For instance, midwifery endorsement</w:t>
      </w:r>
      <w:r w:rsidR="009202B5">
        <w:t xml:space="preserve"> for scheduled medicines </w:t>
      </w:r>
      <w:r w:rsidR="008A144A">
        <w:t>requires accumulation of 5000 practice hours</w:t>
      </w:r>
      <w:r>
        <w:t>, amongst other requirements</w:t>
      </w:r>
      <w:r w:rsidR="007306E4">
        <w:t>. O</w:t>
      </w:r>
      <w:r>
        <w:t xml:space="preserve">ther </w:t>
      </w:r>
      <w:r w:rsidR="007D68E5">
        <w:t>authorisations</w:t>
      </w:r>
      <w:r>
        <w:t>, such as vaccination</w:t>
      </w:r>
      <w:r w:rsidR="00CD6DB1">
        <w:t xml:space="preserve"> (managed by State and Territory governmen</w:t>
      </w:r>
      <w:r w:rsidR="00444E75">
        <w:t>ts</w:t>
      </w:r>
      <w:r w:rsidR="00CD6DB1">
        <w:t>)</w:t>
      </w:r>
      <w:r>
        <w:t xml:space="preserve">, are granted through completion of </w:t>
      </w:r>
      <w:r w:rsidRPr="001267DF">
        <w:t>specific courses</w:t>
      </w:r>
      <w:r w:rsidRPr="004E54E6">
        <w:t xml:space="preserve"> </w:t>
      </w:r>
      <w:r>
        <w:t xml:space="preserve">which themselves differ </w:t>
      </w:r>
      <w:r w:rsidR="009202B5">
        <w:t xml:space="preserve">across </w:t>
      </w:r>
      <w:r>
        <w:t>professions.</w:t>
      </w:r>
    </w:p>
    <w:p w14:paraId="7E86E021" w14:textId="49E7DD7D" w:rsidR="00215F94" w:rsidRDefault="000613E1" w:rsidP="00215F94">
      <w:pPr>
        <w:tabs>
          <w:tab w:val="num" w:pos="680"/>
        </w:tabs>
      </w:pPr>
      <w:r>
        <w:t>C</w:t>
      </w:r>
      <w:r w:rsidR="00215F94">
        <w:t xml:space="preserve">onsultation feedback identified a need for an appropriate regulatory approach for the unregulated workforces, who are becoming an increasingly important segment of the primary health workforce now and more so into the future. Regulation of the various unregulated </w:t>
      </w:r>
      <w:r w:rsidR="009202B5">
        <w:t xml:space="preserve">workers </w:t>
      </w:r>
      <w:r w:rsidR="00215F94">
        <w:t xml:space="preserve">does not align with the approach taken under NRAS, nor within self-regulated professions. The employer-level authorising environment should also be noted as a key barrier or enabler to legislative and regulatory reform, and can itself be inconsistent with NRAS, as discussed further in </w:t>
      </w:r>
      <w:r w:rsidR="002F366E" w:rsidRPr="001E149A">
        <w:rPr>
          <w:u w:val="single"/>
        </w:rPr>
        <w:fldChar w:fldCharType="begin"/>
      </w:r>
      <w:r w:rsidR="002F366E" w:rsidRPr="001E149A">
        <w:rPr>
          <w:u w:val="single"/>
        </w:rPr>
        <w:instrText xml:space="preserve"> REF _Ref156397163 \h </w:instrText>
      </w:r>
      <w:r w:rsidR="002F366E">
        <w:rPr>
          <w:u w:val="single"/>
        </w:rPr>
        <w:instrText xml:space="preserve"> \* MERGEFORMAT </w:instrText>
      </w:r>
      <w:r w:rsidR="002F366E" w:rsidRPr="001E149A">
        <w:rPr>
          <w:u w:val="single"/>
        </w:rPr>
      </w:r>
      <w:r w:rsidR="002F366E" w:rsidRPr="001E149A">
        <w:rPr>
          <w:u w:val="single"/>
        </w:rPr>
        <w:fldChar w:fldCharType="separate"/>
      </w:r>
      <w:r w:rsidR="00E40B08" w:rsidRPr="00E40B08">
        <w:rPr>
          <w:u w:val="single"/>
        </w:rPr>
        <w:t>Employer practices and settings</w:t>
      </w:r>
      <w:r w:rsidR="002F366E" w:rsidRPr="001E149A">
        <w:rPr>
          <w:u w:val="single"/>
        </w:rPr>
        <w:fldChar w:fldCharType="end"/>
      </w:r>
      <w:r w:rsidR="00215F94">
        <w:rPr>
          <w:u w:val="single"/>
        </w:rPr>
        <w:t xml:space="preserve">. </w:t>
      </w:r>
    </w:p>
    <w:p w14:paraId="175149A7" w14:textId="1D864C31" w:rsidR="00215F94" w:rsidRPr="005D2440" w:rsidRDefault="00215F94" w:rsidP="00215F94">
      <w:r>
        <w:t xml:space="preserve">A further challenge arises when national programs or regulation are enacted under State and Territory legislation, leading to a disjointed or disparate impact on scope of practice for health professionals. A key example of this ‘patchwork’ effect is Drugs and Poisons legislation, considered through evidence to date to be the major legislative barrier to health professionals working to full scope of practice. A practitioner may have endorsement to prescribe through their </w:t>
      </w:r>
      <w:r w:rsidR="00282C8E">
        <w:t xml:space="preserve">national </w:t>
      </w:r>
      <w:r>
        <w:t xml:space="preserve">board, however, </w:t>
      </w:r>
      <w:r w:rsidR="00282C8E">
        <w:t>be restricted from doing</w:t>
      </w:r>
      <w:r>
        <w:t xml:space="preserve"> so through their jurisdiction’s Drugs and Poisons legislation. Harmonisation of the various State and Territory Acts is a key policy lever to ensure relevant professions have the same authority for prescribing across different jurisdictions, without which Commonwealth-level changes to the PBS for example will continue to be dependent on state-level decision making, which may impede certain authorisations to prescribe in practice. For example, discrepancies remain in the vaccines pharmacists are authorised to administer between jurisdictions under the </w:t>
      </w:r>
      <w:r>
        <w:lastRenderedPageBreak/>
        <w:t xml:space="preserve">National Immunisation Program Vaccinations in Pharmacy (NIPVIP) despite </w:t>
      </w:r>
      <w:r w:rsidR="00294E46">
        <w:t xml:space="preserve">ongoing </w:t>
      </w:r>
      <w:r>
        <w:t>intergovernmental engagement and advocacy by peak bodies.</w:t>
      </w:r>
      <w:r w:rsidR="00F76B67" w:rsidRPr="00F76B67">
        <w:t xml:space="preserve"> </w:t>
      </w:r>
      <w:r w:rsidR="00F76B67">
        <w:t>Similar such authorisations are granted through completion of specific courses which themselves differ between professions.</w:t>
      </w:r>
      <w:r>
        <w:t xml:space="preserve"> This example illustrates the potential for delayed consumer access and potentially poorer consumer outcomes.</w:t>
      </w:r>
      <w:r w:rsidDel="00CF5FDB">
        <w:t xml:space="preserve"> </w:t>
      </w:r>
      <w:r>
        <w:t>This is contrasted with the national prescribing framework used in the UK, as presented below.</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CellMar>
          <w:top w:w="113" w:type="dxa"/>
          <w:bottom w:w="113" w:type="dxa"/>
        </w:tblCellMar>
        <w:tblLook w:val="04A0" w:firstRow="1" w:lastRow="0" w:firstColumn="1" w:lastColumn="0" w:noHBand="0" w:noVBand="1"/>
      </w:tblPr>
      <w:tblGrid>
        <w:gridCol w:w="9060"/>
      </w:tblGrid>
      <w:tr w:rsidR="00CD4446" w14:paraId="783B6901" w14:textId="77777777" w:rsidTr="00D61F48">
        <w:tc>
          <w:tcPr>
            <w:tcW w:w="9060" w:type="dxa"/>
          </w:tcPr>
          <w:p w14:paraId="337B9DE5" w14:textId="28652F29" w:rsidR="00CD4446" w:rsidRDefault="00CD4446">
            <w:pPr>
              <w:keepNext/>
              <w:keepLines/>
            </w:pPr>
            <w:r w:rsidRPr="00CD4446">
              <w:rPr>
                <w:b/>
                <w:bCs/>
                <w:caps/>
                <w:color w:val="076DA0"/>
                <w:szCs w:val="20"/>
                <w:lang w:val="en"/>
              </w:rPr>
              <w:t>Non</w:t>
            </w:r>
            <w:r>
              <w:t>-</w:t>
            </w:r>
            <w:r w:rsidRPr="00CD4446">
              <w:rPr>
                <w:b/>
                <w:bCs/>
                <w:caps/>
                <w:color w:val="076DA0"/>
                <w:szCs w:val="20"/>
                <w:lang w:val="en"/>
              </w:rPr>
              <w:t>medical</w:t>
            </w:r>
            <w:r w:rsidRPr="0053758A">
              <w:t xml:space="preserve"> </w:t>
            </w:r>
            <w:r w:rsidRPr="00CD4446">
              <w:rPr>
                <w:b/>
                <w:bCs/>
                <w:caps/>
                <w:color w:val="076DA0"/>
                <w:szCs w:val="20"/>
                <w:lang w:val="en"/>
              </w:rPr>
              <w:t>prescribing</w:t>
            </w:r>
            <w:r w:rsidRPr="0053758A">
              <w:t xml:space="preserve"> </w:t>
            </w:r>
            <w:r w:rsidRPr="00CD4446">
              <w:rPr>
                <w:b/>
                <w:bCs/>
                <w:caps/>
                <w:color w:val="076DA0"/>
                <w:szCs w:val="20"/>
                <w:lang w:val="en"/>
              </w:rPr>
              <w:t>framework (UK)</w:t>
            </w:r>
          </w:p>
          <w:p w14:paraId="7AE9D91F" w14:textId="66C52079" w:rsidR="00CD4446" w:rsidRDefault="00CD4446">
            <w:pPr>
              <w:keepNext/>
              <w:keepLines/>
            </w:pPr>
            <w:r>
              <w:t xml:space="preserve">The non-medical prescribing framework which has been adopted in the UK, has evolved from the traditional perception that only medical professionals and dentists can have full prescribing rights. Two seminal reports, Cumberland and Crown, challenged this view and recommended extending prescribing rights to other health professionals. In 2002, non-medical prescribing was introduced, requiring non-medical prescribers to complete a certified training course, </w:t>
            </w:r>
            <w:r w:rsidRPr="38F4A60A">
              <w:rPr>
                <w:rFonts w:eastAsia="Arial"/>
              </w:rPr>
              <w:t>be registered with their professional regulator, and to only prescribe within their professional expertise and competence. This training is underpinned by a national competency framework for all prescribers. As a result, nurses, midwives, pharmacists, optometrists, paramedics, diagnostic radiographers, podiatrists, physician associates, physiotherapists, therapeutic radiographers and most recently dietitians now have prescribing authority in the UK.</w:t>
            </w:r>
            <w:r w:rsidRPr="71795193">
              <w:rPr>
                <w:rFonts w:eastAsia="Arial"/>
              </w:rPr>
              <w:t xml:space="preserve"> </w:t>
            </w:r>
            <w:r w:rsidRPr="73308921">
              <w:rPr>
                <w:rFonts w:eastAsia="Arial"/>
              </w:rPr>
              <w:t xml:space="preserve">This has created efficiencies in the </w:t>
            </w:r>
            <w:r w:rsidRPr="17E26240">
              <w:rPr>
                <w:rFonts w:eastAsia="Arial"/>
              </w:rPr>
              <w:t>health</w:t>
            </w:r>
            <w:r>
              <w:rPr>
                <w:rFonts w:eastAsia="Arial"/>
              </w:rPr>
              <w:t xml:space="preserve"> </w:t>
            </w:r>
            <w:r w:rsidRPr="17E26240">
              <w:rPr>
                <w:rFonts w:eastAsia="Arial"/>
              </w:rPr>
              <w:t xml:space="preserve">care system and </w:t>
            </w:r>
            <w:r w:rsidRPr="4B28D5D4">
              <w:rPr>
                <w:rFonts w:eastAsia="Arial"/>
              </w:rPr>
              <w:t>facilitated</w:t>
            </w:r>
            <w:r w:rsidRPr="17E26240">
              <w:rPr>
                <w:rFonts w:eastAsia="Arial"/>
              </w:rPr>
              <w:t xml:space="preserve"> improved </w:t>
            </w:r>
            <w:r w:rsidRPr="198B7C01">
              <w:rPr>
                <w:rFonts w:eastAsia="Arial"/>
              </w:rPr>
              <w:t xml:space="preserve">access to medicines for </w:t>
            </w:r>
            <w:r w:rsidRPr="6869B0AF">
              <w:rPr>
                <w:rFonts w:eastAsia="Arial"/>
              </w:rPr>
              <w:t>c</w:t>
            </w:r>
            <w:r>
              <w:rPr>
                <w:rFonts w:eastAsia="Arial"/>
              </w:rPr>
              <w:t>onsumers.</w:t>
            </w:r>
          </w:p>
        </w:tc>
      </w:tr>
    </w:tbl>
    <w:p w14:paraId="681687D6" w14:textId="2ECC194E" w:rsidR="00215F94" w:rsidRDefault="009502BD" w:rsidP="00215F94">
      <w:pPr>
        <w:tabs>
          <w:tab w:val="num" w:pos="680"/>
        </w:tabs>
      </w:pPr>
      <w:r>
        <w:t xml:space="preserve">There is a known interplay between legislation and regulation, funding </w:t>
      </w:r>
      <w:r w:rsidR="00FC1489">
        <w:t xml:space="preserve">policy </w:t>
      </w:r>
      <w:r>
        <w:t xml:space="preserve">and employer practices which may combine to influence a health professional’s ability to </w:t>
      </w:r>
      <w:r w:rsidR="00926790">
        <w:t xml:space="preserve">work to full scope of practice. </w:t>
      </w:r>
      <w:r w:rsidR="00215F94">
        <w:t xml:space="preserve">A key focus of consultation responses was the potential for expanded referral authority to significantly improve health professionals’ ability to work to full scope, and for more consistent authorisation of referrals, with the potential to improve consumer outcomes. However, it is noted that barriers to referral authority frequently sit at the level of funding </w:t>
      </w:r>
      <w:r w:rsidR="00FC1489">
        <w:t xml:space="preserve">policy </w:t>
      </w:r>
      <w:r w:rsidR="00215F94">
        <w:t>(i.e. MBS benefits for specialist consultations are generally restricted to referrals from a GP, disadvantaging patients who are referred directly by non-medical health professionals)</w:t>
      </w:r>
      <w:r w:rsidR="006667B8">
        <w:t xml:space="preserve">, </w:t>
      </w:r>
      <w:r w:rsidR="00215F94">
        <w:t>as explored in greater depth in</w:t>
      </w:r>
      <w:r w:rsidR="00134BF0">
        <w:t xml:space="preserve"> </w:t>
      </w:r>
      <w:r w:rsidR="00134BF0" w:rsidRPr="001A7ED5">
        <w:rPr>
          <w:u w:val="single"/>
        </w:rPr>
        <w:fldChar w:fldCharType="begin"/>
      </w:r>
      <w:r w:rsidR="00134BF0" w:rsidRPr="00134BF0">
        <w:rPr>
          <w:u w:val="single"/>
        </w:rPr>
        <w:instrText xml:space="preserve"> REF _Ref156830341 \h </w:instrText>
      </w:r>
      <w:r w:rsidR="00134BF0">
        <w:rPr>
          <w:u w:val="single"/>
        </w:rPr>
        <w:instrText xml:space="preserve"> \* MERGEFORMAT </w:instrText>
      </w:r>
      <w:r w:rsidR="00134BF0" w:rsidRPr="001A7ED5">
        <w:rPr>
          <w:u w:val="single"/>
        </w:rPr>
      </w:r>
      <w:r w:rsidR="00134BF0" w:rsidRPr="001A7ED5">
        <w:rPr>
          <w:u w:val="single"/>
        </w:rPr>
        <w:fldChar w:fldCharType="separate"/>
      </w:r>
      <w:r w:rsidR="00E40B08" w:rsidRPr="00E40B08">
        <w:rPr>
          <w:u w:val="single"/>
        </w:rPr>
        <w:t>Funding policy</w:t>
      </w:r>
      <w:r w:rsidR="00134BF0" w:rsidRPr="001A7ED5">
        <w:rPr>
          <w:u w:val="single"/>
        </w:rPr>
        <w:fldChar w:fldCharType="end"/>
      </w:r>
      <w:r w:rsidR="00134BF0" w:rsidRPr="001A7ED5">
        <w:t xml:space="preserve"> </w:t>
      </w:r>
      <w:r w:rsidR="00215F94" w:rsidRPr="001A7ED5">
        <w:t>.</w:t>
      </w:r>
      <w:r w:rsidR="00215F94">
        <w:t xml:space="preserve"> In other </w:t>
      </w:r>
      <w:r w:rsidR="005E08B3">
        <w:t>instances,</w:t>
      </w:r>
      <w:r w:rsidR="00215F94">
        <w:t xml:space="preserve"> employer-level practices </w:t>
      </w:r>
      <w:r w:rsidR="006667B8">
        <w:t xml:space="preserve">can be more significant barriers than legislation and regulation </w:t>
      </w:r>
      <w:r w:rsidR="00215F94">
        <w:t>(</w:t>
      </w:r>
      <w:r w:rsidR="005E08B3">
        <w:t>i.e.,</w:t>
      </w:r>
      <w:r w:rsidR="00215F94">
        <w:t xml:space="preserve"> when health professionals are impeded by their employer from making referrals</w:t>
      </w:r>
      <w:r w:rsidR="00AB4BE4">
        <w:t xml:space="preserve"> for specialist consultations and diagnostics</w:t>
      </w:r>
      <w:r w:rsidR="00215F94">
        <w:t xml:space="preserve">).  </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CellMar>
          <w:top w:w="113" w:type="dxa"/>
          <w:left w:w="113" w:type="dxa"/>
          <w:bottom w:w="113" w:type="dxa"/>
          <w:right w:w="113" w:type="dxa"/>
        </w:tblCellMar>
        <w:tblLook w:val="04A0" w:firstRow="1" w:lastRow="0" w:firstColumn="1" w:lastColumn="0" w:noHBand="0" w:noVBand="1"/>
      </w:tblPr>
      <w:tblGrid>
        <w:gridCol w:w="9060"/>
      </w:tblGrid>
      <w:tr w:rsidR="00CD4446" w14:paraId="23D9ACBF" w14:textId="77777777" w:rsidTr="00D61F48">
        <w:tc>
          <w:tcPr>
            <w:tcW w:w="9060" w:type="dxa"/>
          </w:tcPr>
          <w:p w14:paraId="1E1DF3D4" w14:textId="1566E8E6" w:rsidR="00CD4446" w:rsidRDefault="00CD4446">
            <w:pPr>
              <w:keepNext/>
              <w:keepLines/>
            </w:pPr>
            <w:r w:rsidRPr="00CD4446">
              <w:rPr>
                <w:b/>
                <w:bCs/>
                <w:caps/>
                <w:color w:val="076DA0"/>
                <w:szCs w:val="20"/>
                <w:lang w:val="en"/>
              </w:rPr>
              <w:lastRenderedPageBreak/>
              <w:t>RISK BASED FRAMEWORK (ONTARIO, CANADA)</w:t>
            </w:r>
          </w:p>
          <w:p w14:paraId="7E1FC51C" w14:textId="3E336968" w:rsidR="00CD4446" w:rsidRDefault="00CD4446">
            <w:pPr>
              <w:keepNext/>
              <w:keepLines/>
            </w:pPr>
            <w:r w:rsidRPr="00CD4446">
              <w:t>Health care in Canada has traditionally been regulated through separate statutes and exclusive scopes of practice for each profession. However, Canada has seen a shift towards umbrella frameworks with overlapping scopes of practice, starting with the Regulated Health Professions Act 1991 in Ontario. These frameworks apply uniform standards to health professions, setting out consistent provisions for government, registration, and by-law making powers. They also include specific regulations for individual professions that confer title protection and broad, non-exclusive scope of practice statements. In addition, the umbrella legislative frameworks list several controlled or restricted acts (such as vaccination), aimed at balancing the promotion of interdisciplinary care while still restricting higher risk activities to specific professional groups. The introduction of overlapping scopes of practice through these frameworks has resulted in enhanced flexibility for providers and has encouraged interprofessional practice</w:t>
            </w:r>
            <w:r>
              <w:rPr>
                <w:rFonts w:eastAsia="Arial"/>
              </w:rPr>
              <w:t>.</w:t>
            </w:r>
          </w:p>
        </w:tc>
      </w:tr>
    </w:tbl>
    <w:p w14:paraId="361FCC83" w14:textId="77777777" w:rsidR="007B3172" w:rsidRDefault="007B3172" w:rsidP="007B3172">
      <w:pPr>
        <w:pStyle w:val="Heading4"/>
      </w:pPr>
      <w:r>
        <w:t>Opportunities for improvement</w:t>
      </w:r>
    </w:p>
    <w:p w14:paraId="5B92C958" w14:textId="264F562D" w:rsidR="00215F94" w:rsidRDefault="00215F94" w:rsidP="001A7ED5">
      <w:pPr>
        <w:tabs>
          <w:tab w:val="num" w:pos="680"/>
        </w:tabs>
        <w:spacing w:before="0"/>
      </w:pPr>
      <w:r>
        <w:t xml:space="preserve">A range of potential policy solutions have been raised through evidence gathered to date and will be the key focus of Phase 2 consultations which will follow this paper. It is further noted that any legislative or regulatory policy solution would need to be accompanied by actions targeting leadership, culture and employer practices to ensure reform is implemented consistently and at the service level. For self-regulated professions, this would require engagement with the relevant regulatory bodies, in order to ensure true system-wide implementation. Potential policy solutions may include: </w:t>
      </w:r>
    </w:p>
    <w:p w14:paraId="29432537" w14:textId="04904D74" w:rsidR="00215F94" w:rsidRPr="006C54CF" w:rsidRDefault="00215F94" w:rsidP="001A2DBA">
      <w:pPr>
        <w:pStyle w:val="ListParagraph"/>
        <w:numPr>
          <w:ilvl w:val="0"/>
          <w:numId w:val="22"/>
        </w:numPr>
        <w:tabs>
          <w:tab w:val="num" w:pos="680"/>
        </w:tabs>
      </w:pPr>
      <w:r w:rsidRPr="00DC4774">
        <w:rPr>
          <w:b/>
        </w:rPr>
        <w:t>Harmonis</w:t>
      </w:r>
      <w:r>
        <w:rPr>
          <w:b/>
        </w:rPr>
        <w:t>ing</w:t>
      </w:r>
      <w:r w:rsidRPr="00DC4774">
        <w:rPr>
          <w:b/>
        </w:rPr>
        <w:t xml:space="preserve"> Drugs and Poisons legislation </w:t>
      </w:r>
      <w:r>
        <w:rPr>
          <w:b/>
        </w:rPr>
        <w:t>across</w:t>
      </w:r>
      <w:r w:rsidRPr="00DC4774">
        <w:rPr>
          <w:b/>
        </w:rPr>
        <w:t xml:space="preserve"> </w:t>
      </w:r>
      <w:r w:rsidRPr="00DC4774">
        <w:rPr>
          <w:b/>
          <w:bCs/>
        </w:rPr>
        <w:t xml:space="preserve">states and </w:t>
      </w:r>
      <w:r w:rsidRPr="00DC4774">
        <w:rPr>
          <w:b/>
        </w:rPr>
        <w:t>territories</w:t>
      </w:r>
      <w:r>
        <w:t xml:space="preserve">, with a view to </w:t>
      </w:r>
      <w:r w:rsidR="00F226CF">
        <w:t xml:space="preserve">better </w:t>
      </w:r>
      <w:r>
        <w:t>alignment. A key goal of this harmonisation would be to ensure clarity and consistency of prescribing rights across health professions and across jurisdictions. This would be key to ensure that any changes to the PBS</w:t>
      </w:r>
      <w:r w:rsidR="00C41FB0">
        <w:t>, for example,</w:t>
      </w:r>
      <w:r>
        <w:t xml:space="preserve"> filter into practice consistently across jurisdictions. </w:t>
      </w:r>
      <w:r w:rsidRPr="00453F8E">
        <w:t xml:space="preserve"> </w:t>
      </w:r>
    </w:p>
    <w:p w14:paraId="2787B346" w14:textId="2AA28454" w:rsidR="00D61F48" w:rsidRDefault="00215F94" w:rsidP="001A2DBA">
      <w:pPr>
        <w:pStyle w:val="ListParagraph"/>
        <w:numPr>
          <w:ilvl w:val="0"/>
          <w:numId w:val="20"/>
        </w:numPr>
        <w:sectPr w:rsidR="00D61F48" w:rsidSect="007F1C45">
          <w:pgSz w:w="11906" w:h="16838" w:code="9"/>
          <w:pgMar w:top="1701" w:right="1418" w:bottom="1418" w:left="1418" w:header="709" w:footer="221" w:gutter="0"/>
          <w:cols w:space="708"/>
          <w:docGrid w:linePitch="360"/>
        </w:sectPr>
      </w:pPr>
      <w:r>
        <w:rPr>
          <w:b/>
          <w:bCs/>
        </w:rPr>
        <w:t>A</w:t>
      </w:r>
      <w:r w:rsidRPr="00DC4774">
        <w:rPr>
          <w:b/>
          <w:bCs/>
        </w:rPr>
        <w:t>cknowledg</w:t>
      </w:r>
      <w:r>
        <w:rPr>
          <w:b/>
          <w:bCs/>
        </w:rPr>
        <w:t>ing</w:t>
      </w:r>
      <w:r w:rsidRPr="00DC4774" w:rsidDel="0055291B">
        <w:rPr>
          <w:b/>
          <w:bCs/>
        </w:rPr>
        <w:t xml:space="preserve"> </w:t>
      </w:r>
      <w:r w:rsidRPr="00DC4774">
        <w:rPr>
          <w:b/>
          <w:bCs/>
        </w:rPr>
        <w:t>the overlapping nature of scope of practice through legislation and regulation</w:t>
      </w:r>
      <w:r>
        <w:t xml:space="preserve">, such as through a more risk-based and/or </w:t>
      </w:r>
      <w:r w:rsidR="00B12449">
        <w:t>activity</w:t>
      </w:r>
      <w:r>
        <w:t xml:space="preserve">-based process of regulation. This would involve shifting scope of practice regulation to focus on specific </w:t>
      </w:r>
      <w:r w:rsidR="00A43427">
        <w:t>activities</w:t>
      </w:r>
      <w:r>
        <w:t xml:space="preserve">, then mapping to health professionals who are already competent (or could become competent) to perform that </w:t>
      </w:r>
      <w:r w:rsidR="00807882">
        <w:t>activity</w:t>
      </w:r>
      <w:r>
        <w:t xml:space="preserve"> (</w:t>
      </w:r>
      <w:r w:rsidR="0071125A">
        <w:t>task</w:t>
      </w:r>
      <w:r>
        <w:t xml:space="preserve">-based regulation process), rather than </w:t>
      </w:r>
      <w:r w:rsidR="00917C9B">
        <w:t xml:space="preserve">solely through </w:t>
      </w:r>
      <w:r>
        <w:t xml:space="preserve">named professions. An </w:t>
      </w:r>
      <w:r w:rsidR="008478F9">
        <w:t>exemplar</w:t>
      </w:r>
      <w:r>
        <w:t xml:space="preserve"> risk-based framework </w:t>
      </w:r>
      <w:r w:rsidR="008478F9">
        <w:t>from Ontario, Canada</w:t>
      </w:r>
      <w:r>
        <w:t xml:space="preserve"> is presented above, </w:t>
      </w:r>
      <w:r w:rsidR="008478F9">
        <w:t xml:space="preserve">in which vaccination is an example of </w:t>
      </w:r>
      <w:r w:rsidR="001A192C">
        <w:t xml:space="preserve">an activity </w:t>
      </w:r>
      <w:r w:rsidR="00687571">
        <w:t xml:space="preserve">which falls under non-specific scope of practice. </w:t>
      </w:r>
      <w:r w:rsidR="00192BE8">
        <w:t>In the Australian context, a similar approach was applied</w:t>
      </w:r>
      <w:r w:rsidR="0071125A">
        <w:t xml:space="preserve"> in some jurisdictions</w:t>
      </w:r>
      <w:r w:rsidR="00192BE8">
        <w:t xml:space="preserve"> during the COVID-19 pandemic, in which vaccination authorisa</w:t>
      </w:r>
      <w:r w:rsidR="00AE3449">
        <w:t>tion was granted across professions that met certain competency criteria.</w:t>
      </w:r>
    </w:p>
    <w:p w14:paraId="2118ADB6" w14:textId="63195AB9" w:rsidR="00215F94" w:rsidRDefault="00215F94" w:rsidP="001A2DBA">
      <w:pPr>
        <w:pStyle w:val="ListParagraph"/>
        <w:numPr>
          <w:ilvl w:val="0"/>
          <w:numId w:val="20"/>
        </w:numPr>
      </w:pPr>
      <w:r>
        <w:rPr>
          <w:b/>
          <w:bCs/>
        </w:rPr>
        <w:lastRenderedPageBreak/>
        <w:t xml:space="preserve">Reviewing the approach to named professions or protected titles in Commonwealth, state and territory legislation, </w:t>
      </w:r>
      <w:r>
        <w:t xml:space="preserve">based on the risk-based approach referred to above. The aim of reform would be to create a consistent authorising environment across jurisdictions for all health professionals competent and qualified to perform relevant </w:t>
      </w:r>
      <w:r w:rsidR="00644DB1">
        <w:t>activities</w:t>
      </w:r>
      <w:r>
        <w:t xml:space="preserve"> to be enabled to perform that </w:t>
      </w:r>
      <w:r w:rsidR="00644DB1">
        <w:t>activity</w:t>
      </w:r>
      <w:r>
        <w:t xml:space="preserve">. Relevant legislation could include the Therapeutic Goods Act and Veterans’ Affairs Legislation (Commonwealth); and legislation governing </w:t>
      </w:r>
      <w:r w:rsidR="00E62092">
        <w:t xml:space="preserve">drugs and poisons, </w:t>
      </w:r>
      <w:r>
        <w:t xml:space="preserve">mental health, radiation safety, </w:t>
      </w:r>
      <w:r w:rsidR="00E62092">
        <w:t>v</w:t>
      </w:r>
      <w:r>
        <w:t xml:space="preserve">oluntary </w:t>
      </w:r>
      <w:r w:rsidR="00E62092">
        <w:t>a</w:t>
      </w:r>
      <w:r>
        <w:t xml:space="preserve">ssisted </w:t>
      </w:r>
      <w:r w:rsidR="00E62092">
        <w:t>d</w:t>
      </w:r>
      <w:r>
        <w:t xml:space="preserve">ying, </w:t>
      </w:r>
      <w:r w:rsidR="00E62092">
        <w:t>r</w:t>
      </w:r>
      <w:r>
        <w:t xml:space="preserve">oad </w:t>
      </w:r>
      <w:r w:rsidR="00E62092">
        <w:t>a</w:t>
      </w:r>
      <w:r>
        <w:t xml:space="preserve">ccident </w:t>
      </w:r>
      <w:r w:rsidR="00E62092">
        <w:t>c</w:t>
      </w:r>
      <w:r>
        <w:t>ompensation, and termination of pregnancy (state and territory level).</w:t>
      </w:r>
    </w:p>
    <w:p w14:paraId="4ACCEA45" w14:textId="5296F5BD" w:rsidR="00215F94" w:rsidRPr="00083F54" w:rsidRDefault="00215F94" w:rsidP="001A2DBA">
      <w:pPr>
        <w:pStyle w:val="ListParagraph"/>
        <w:numPr>
          <w:ilvl w:val="0"/>
          <w:numId w:val="20"/>
        </w:numPr>
      </w:pPr>
      <w:r w:rsidRPr="00725B8A">
        <w:rPr>
          <w:b/>
          <w:bCs/>
        </w:rPr>
        <w:t>Introduc</w:t>
      </w:r>
      <w:r>
        <w:rPr>
          <w:b/>
          <w:bCs/>
        </w:rPr>
        <w:t>ing</w:t>
      </w:r>
      <w:r w:rsidRPr="00725B8A">
        <w:rPr>
          <w:b/>
          <w:bCs/>
        </w:rPr>
        <w:t xml:space="preserve"> greater harmonisation in referral authority</w:t>
      </w:r>
      <w:r>
        <w:t xml:space="preserve"> between primary health care professions, for example to</w:t>
      </w:r>
      <w:r w:rsidRPr="00083F54">
        <w:t xml:space="preserve"> diagnostics</w:t>
      </w:r>
      <w:r>
        <w:t xml:space="preserve">, specialists, and </w:t>
      </w:r>
      <w:r w:rsidRPr="00083F54">
        <w:t xml:space="preserve">other </w:t>
      </w:r>
      <w:r>
        <w:t>health professionals. A combination of regulatory and funding</w:t>
      </w:r>
      <w:r w:rsidR="007E6004">
        <w:t xml:space="preserve"> policy</w:t>
      </w:r>
      <w:r>
        <w:t xml:space="preserve"> changes will likely be required to maximise access to referrals across all professions, including non-medical professions, with this being a priority for further exploration in the next round of consultation. </w:t>
      </w:r>
    </w:p>
    <w:p w14:paraId="32443A06" w14:textId="045E2DBA" w:rsidR="00215F94" w:rsidRPr="00FA0631" w:rsidRDefault="00215F94" w:rsidP="001A2DBA">
      <w:pPr>
        <w:pStyle w:val="ListParagraph"/>
        <w:numPr>
          <w:ilvl w:val="0"/>
          <w:numId w:val="20"/>
        </w:numPr>
      </w:pPr>
      <w:r w:rsidRPr="00725B8A">
        <w:rPr>
          <w:b/>
          <w:bCs/>
        </w:rPr>
        <w:t>Review</w:t>
      </w:r>
      <w:r>
        <w:rPr>
          <w:b/>
          <w:bCs/>
        </w:rPr>
        <w:t>ing</w:t>
      </w:r>
      <w:r w:rsidRPr="00725B8A">
        <w:rPr>
          <w:b/>
          <w:bCs/>
        </w:rPr>
        <w:t xml:space="preserve"> </w:t>
      </w:r>
      <w:r>
        <w:rPr>
          <w:b/>
          <w:bCs/>
        </w:rPr>
        <w:t xml:space="preserve">self-regulated and </w:t>
      </w:r>
      <w:r w:rsidRPr="00725B8A">
        <w:rPr>
          <w:b/>
          <w:bCs/>
        </w:rPr>
        <w:t xml:space="preserve">unregulated </w:t>
      </w:r>
      <w:r w:rsidR="007E6004">
        <w:rPr>
          <w:b/>
          <w:bCs/>
        </w:rPr>
        <w:t>workforces</w:t>
      </w:r>
      <w:r w:rsidR="007E6004" w:rsidRPr="00725B8A">
        <w:rPr>
          <w:b/>
          <w:bCs/>
        </w:rPr>
        <w:t xml:space="preserve"> </w:t>
      </w:r>
      <w:r w:rsidRPr="00725B8A">
        <w:rPr>
          <w:b/>
          <w:bCs/>
        </w:rPr>
        <w:t>to ensure an appropriate regulatory and authorising environment</w:t>
      </w:r>
      <w:r w:rsidRPr="00FA0631">
        <w:t xml:space="preserve">. In the presence of above policy solutions around risk-based regulation approaches, there would be a likely need to consider the scope of practice of </w:t>
      </w:r>
      <w:r>
        <w:t xml:space="preserve">self-regulated </w:t>
      </w:r>
      <w:r w:rsidR="00D8091B">
        <w:t xml:space="preserve">professions </w:t>
      </w:r>
      <w:r>
        <w:t xml:space="preserve">and </w:t>
      </w:r>
      <w:r w:rsidRPr="00FA0631">
        <w:t xml:space="preserve">unregulated </w:t>
      </w:r>
      <w:r w:rsidR="00D8091B">
        <w:t>workforces</w:t>
      </w:r>
      <w:r w:rsidR="00D8091B" w:rsidRPr="00FA0631">
        <w:t xml:space="preserve"> </w:t>
      </w:r>
      <w:r w:rsidRPr="00FA0631">
        <w:t xml:space="preserve">to ensure consistency and equity in ability to work to full scope. An alternative policy option is for </w:t>
      </w:r>
      <w:r>
        <w:t xml:space="preserve">additional </w:t>
      </w:r>
      <w:r w:rsidRPr="00FA0631">
        <w:t>unregulated</w:t>
      </w:r>
      <w:r w:rsidR="00C34FD8">
        <w:t xml:space="preserve"> workforces</w:t>
      </w:r>
      <w:r w:rsidRPr="00FA0631">
        <w:t xml:space="preserve"> or self-regulated professions to become regulated under </w:t>
      </w:r>
      <w:r w:rsidR="00C34FD8">
        <w:t>the NRAS</w:t>
      </w:r>
      <w:r w:rsidRPr="00FA0631">
        <w:t xml:space="preserve">, noting that different </w:t>
      </w:r>
      <w:r w:rsidR="00D57F9B">
        <w:t>models of</w:t>
      </w:r>
      <w:r w:rsidRPr="00FA0631">
        <w:t xml:space="preserve"> regulation were subject to in-depth </w:t>
      </w:r>
      <w:r w:rsidR="00D57F9B">
        <w:t>consideration</w:t>
      </w:r>
      <w:r w:rsidR="00D57F9B" w:rsidRPr="00FA0631">
        <w:t xml:space="preserve"> </w:t>
      </w:r>
      <w:r w:rsidRPr="00FA0631">
        <w:t xml:space="preserve">and negotiation during the establishment of </w:t>
      </w:r>
      <w:r w:rsidR="00D57F9B">
        <w:t xml:space="preserve">NRAS </w:t>
      </w:r>
      <w:r w:rsidR="00F657B1">
        <w:t>in 2010</w:t>
      </w:r>
      <w:r w:rsidRPr="00FA0631">
        <w:t xml:space="preserve">. </w:t>
      </w:r>
    </w:p>
    <w:p w14:paraId="7E72D3AA" w14:textId="4A683D75" w:rsidR="00215F94" w:rsidRDefault="00215F94" w:rsidP="001A2DBA">
      <w:pPr>
        <w:pStyle w:val="ListParagraph"/>
        <w:numPr>
          <w:ilvl w:val="0"/>
          <w:numId w:val="20"/>
        </w:numPr>
      </w:pPr>
      <w:r w:rsidRPr="00725B8A">
        <w:rPr>
          <w:b/>
        </w:rPr>
        <w:t>Streamlin</w:t>
      </w:r>
      <w:r>
        <w:rPr>
          <w:b/>
        </w:rPr>
        <w:t>ing</w:t>
      </w:r>
      <w:r w:rsidRPr="00725B8A">
        <w:rPr>
          <w:b/>
        </w:rPr>
        <w:t xml:space="preserve"> processes for </w:t>
      </w:r>
      <w:r w:rsidR="00F1348C" w:rsidRPr="00725B8A">
        <w:rPr>
          <w:b/>
        </w:rPr>
        <w:t>endorsement</w:t>
      </w:r>
      <w:r w:rsidR="00F1348C">
        <w:t xml:space="preserve"> for advanced or specialised practice roles for non-medical professions</w:t>
      </w:r>
      <w:r>
        <w:t xml:space="preserve">, seeking to enact a more consistent approach to assessing health professionals’ readiness to achieve endorsements </w:t>
      </w:r>
      <w:r w:rsidR="00196D05">
        <w:t xml:space="preserve">across </w:t>
      </w:r>
      <w:r>
        <w:t>professions</w:t>
      </w:r>
      <w:r w:rsidRPr="00E01A56">
        <w:t xml:space="preserve">. For instance, the appropriateness of </w:t>
      </w:r>
      <w:r w:rsidR="0077451C">
        <w:t xml:space="preserve">minimum </w:t>
      </w:r>
      <w:r w:rsidRPr="00E01A56">
        <w:t>practice hour requirements applying to some professions but not others could be consider</w:t>
      </w:r>
      <w:r w:rsidR="0077451C">
        <w:t>ed</w:t>
      </w:r>
      <w:r w:rsidRPr="00E01A56">
        <w:t>.</w:t>
      </w:r>
      <w:r w:rsidRPr="00E01A56" w:rsidDel="00082428">
        <w:t xml:space="preserve"> </w:t>
      </w:r>
      <w:r w:rsidR="00A22C78" w:rsidRPr="00E01A56">
        <w:t>This</w:t>
      </w:r>
      <w:r w:rsidR="00A22C78">
        <w:t xml:space="preserve"> is particularly pertinent where different health professionals have different qualification requirements for the same competency</w:t>
      </w:r>
      <w:r w:rsidR="0077451C">
        <w:t>,</w:t>
      </w:r>
      <w:r w:rsidR="009C3F2A">
        <w:t xml:space="preserve"> noting that p</w:t>
      </w:r>
      <w:r w:rsidR="009C3F2A" w:rsidRPr="009C3F2A">
        <w:t>ost-</w:t>
      </w:r>
      <w:r w:rsidR="004F1DCF">
        <w:t>professional entry</w:t>
      </w:r>
      <w:r w:rsidR="009C3F2A" w:rsidRPr="009C3F2A">
        <w:t xml:space="preserve"> learning may vary depending on what is covered in </w:t>
      </w:r>
      <w:r w:rsidR="004F1DCF">
        <w:t>professional entry</w:t>
      </w:r>
      <w:r w:rsidR="004F1DCF" w:rsidRPr="009C3F2A">
        <w:t xml:space="preserve"> </w:t>
      </w:r>
      <w:r w:rsidR="009C3F2A" w:rsidRPr="009C3F2A">
        <w:t>qualification</w:t>
      </w:r>
      <w:r>
        <w:t xml:space="preserve">. There may be further opportunity to standardise methods of </w:t>
      </w:r>
      <w:r w:rsidR="004F1DCF">
        <w:t xml:space="preserve">endorsements </w:t>
      </w:r>
      <w:r>
        <w:t xml:space="preserve">where competencies apply across multiple professions, using evidence-based evaluation and assessment approaches. </w:t>
      </w:r>
    </w:p>
    <w:p w14:paraId="05873CD2" w14:textId="450E1B7E" w:rsidR="007B3172" w:rsidRDefault="007B3172" w:rsidP="001A7ED5">
      <w:pPr>
        <w:pStyle w:val="Heading4"/>
      </w:pPr>
      <w:r>
        <w:t>Potential benefits</w:t>
      </w:r>
    </w:p>
    <w:p w14:paraId="162F18A5" w14:textId="15C6C52E" w:rsidR="00215F94" w:rsidRDefault="00215F94" w:rsidP="00215F94">
      <w:r>
        <w:t xml:space="preserve">Evidence to date suggests there are potential benefits to legislative and regulatory reform to enable health professionals to work to full scope of practice, including:  </w:t>
      </w:r>
    </w:p>
    <w:p w14:paraId="27D13D65" w14:textId="77777777" w:rsidR="00215F94" w:rsidRDefault="00215F94" w:rsidP="001A2DBA">
      <w:pPr>
        <w:pStyle w:val="ListParagraph"/>
        <w:numPr>
          <w:ilvl w:val="0"/>
          <w:numId w:val="21"/>
        </w:numPr>
      </w:pPr>
      <w:r w:rsidRPr="00C50941">
        <w:rPr>
          <w:b/>
          <w:bCs/>
        </w:rPr>
        <w:t xml:space="preserve">Better access to care and </w:t>
      </w:r>
      <w:r>
        <w:rPr>
          <w:b/>
          <w:bCs/>
        </w:rPr>
        <w:t>improved</w:t>
      </w:r>
      <w:r w:rsidRPr="00C50941">
        <w:rPr>
          <w:b/>
          <w:bCs/>
        </w:rPr>
        <w:t xml:space="preserve"> continuity of care</w:t>
      </w:r>
      <w:r>
        <w:t xml:space="preserve"> for consumers, as regulatory and legislative barriers are removed for certain health professionals to provide certain services. This is likely to result in consumers being more consistently able to receive the care they need at lower cost, potentially leading to improved consumer outcomes. </w:t>
      </w:r>
    </w:p>
    <w:p w14:paraId="212D2229" w14:textId="77777777" w:rsidR="00215F94" w:rsidRDefault="00215F94" w:rsidP="001A2DBA">
      <w:pPr>
        <w:pStyle w:val="ListParagraph"/>
        <w:numPr>
          <w:ilvl w:val="0"/>
          <w:numId w:val="21"/>
        </w:numPr>
      </w:pPr>
      <w:r w:rsidRPr="00C50941">
        <w:rPr>
          <w:b/>
          <w:bCs/>
        </w:rPr>
        <w:t>Improved workforce satisfaction</w:t>
      </w:r>
      <w:r>
        <w:rPr>
          <w:b/>
          <w:bCs/>
        </w:rPr>
        <w:t xml:space="preserve"> and retention</w:t>
      </w:r>
      <w:r>
        <w:t xml:space="preserve">, as health professionals are enabled to work to their full scope of practice without the presence of arbitrary or inequitable legislative and regulatory barriers. </w:t>
      </w:r>
    </w:p>
    <w:p w14:paraId="5B8449E5" w14:textId="77777777" w:rsidR="00215F94" w:rsidRDefault="00215F94" w:rsidP="001A2DBA">
      <w:pPr>
        <w:pStyle w:val="ListParagraph"/>
        <w:numPr>
          <w:ilvl w:val="0"/>
          <w:numId w:val="21"/>
        </w:numPr>
      </w:pPr>
      <w:r w:rsidRPr="00C50941">
        <w:rPr>
          <w:b/>
        </w:rPr>
        <w:t>Improved interprofessional trust</w:t>
      </w:r>
      <w:r>
        <w:t xml:space="preserve">, where the system enables and promotes a shared understanding of overlapping scope of practice across professions. This relates primarily </w:t>
      </w:r>
      <w:r>
        <w:lastRenderedPageBreak/>
        <w:t>to the potential of service-level culture to promote shared understanding, respect and trust, which support the delivery of multidisciplinary care.</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shd w:val="clear" w:color="auto" w:fill="D9F9FF"/>
        <w:tblCellMar>
          <w:top w:w="113" w:type="dxa"/>
          <w:bottom w:w="113" w:type="dxa"/>
        </w:tblCellMar>
        <w:tblLook w:val="04A0" w:firstRow="1" w:lastRow="0" w:firstColumn="1" w:lastColumn="0" w:noHBand="0" w:noVBand="1"/>
      </w:tblPr>
      <w:tblGrid>
        <w:gridCol w:w="9060"/>
      </w:tblGrid>
      <w:tr w:rsidR="00215F94" w14:paraId="4D0D6DFC" w14:textId="77777777" w:rsidTr="00D61F48">
        <w:tc>
          <w:tcPr>
            <w:tcW w:w="9060" w:type="dxa"/>
            <w:shd w:val="clear" w:color="auto" w:fill="D9F9FF"/>
            <w:vAlign w:val="center"/>
          </w:tcPr>
          <w:p w14:paraId="7D13CF92" w14:textId="77777777" w:rsidR="00215F94" w:rsidRPr="00282C00" w:rsidRDefault="00215F94">
            <w:pPr>
              <w:keepNext/>
              <w:keepLines/>
              <w:spacing w:before="0" w:after="0"/>
              <w:rPr>
                <w:b/>
                <w:bCs/>
                <w:szCs w:val="22"/>
              </w:rPr>
            </w:pPr>
            <w:r w:rsidRPr="00282C00">
              <w:rPr>
                <w:b/>
                <w:bCs/>
                <w:szCs w:val="22"/>
              </w:rPr>
              <w:t>Questions for further consultation:</w:t>
            </w:r>
          </w:p>
          <w:p w14:paraId="6B03CF32" w14:textId="77777777" w:rsidR="00215F94" w:rsidRPr="00282C00" w:rsidRDefault="00215F94" w:rsidP="001A2DBA">
            <w:pPr>
              <w:pStyle w:val="ListParagraph"/>
              <w:keepNext/>
              <w:keepLines/>
              <w:numPr>
                <w:ilvl w:val="0"/>
                <w:numId w:val="23"/>
              </w:numPr>
              <w:spacing w:before="0" w:after="0"/>
              <w:rPr>
                <w:szCs w:val="22"/>
              </w:rPr>
            </w:pPr>
            <w:r w:rsidRPr="00282C00">
              <w:rPr>
                <w:szCs w:val="22"/>
              </w:rPr>
              <w:t>What do you believe are the key legislative and regulatory reforms which have the potential to most significantly impact health professionals’ ability to work to full scope of practice?</w:t>
            </w:r>
          </w:p>
          <w:p w14:paraId="0C30B112" w14:textId="66E36FAC" w:rsidR="00215F94" w:rsidRPr="00282C00" w:rsidRDefault="00215F94" w:rsidP="001A2DBA">
            <w:pPr>
              <w:pStyle w:val="ListParagraph"/>
              <w:keepNext/>
              <w:keepLines/>
              <w:numPr>
                <w:ilvl w:val="0"/>
                <w:numId w:val="23"/>
              </w:numPr>
              <w:spacing w:before="0" w:after="0"/>
            </w:pPr>
            <w:r>
              <w:t xml:space="preserve">To what extent do you </w:t>
            </w:r>
            <w:r w:rsidR="006A0255">
              <w:t>think a</w:t>
            </w:r>
            <w:r>
              <w:t xml:space="preserve"> risk-based approach </w:t>
            </w:r>
            <w:r w:rsidR="006A0255">
              <w:t xml:space="preserve">is useful </w:t>
            </w:r>
            <w:r>
              <w:t>to regulat</w:t>
            </w:r>
            <w:r w:rsidR="006A0255">
              <w:t>e</w:t>
            </w:r>
            <w:r>
              <w:t xml:space="preserve"> scope of practice (</w:t>
            </w:r>
            <w:r w:rsidR="005E08B3">
              <w:t>i.e.,</w:t>
            </w:r>
            <w:r>
              <w:t xml:space="preserve"> one which names core competencies, skills or knowledge capabilities required to authorise a health professional to perform a particular </w:t>
            </w:r>
            <w:r w:rsidR="00805BFA">
              <w:t>activity</w:t>
            </w:r>
            <w:r>
              <w:t>, rather than named professions or protected titles)?</w:t>
            </w:r>
          </w:p>
          <w:p w14:paraId="4305B56A" w14:textId="77777777" w:rsidR="00215F94" w:rsidRPr="00282C00" w:rsidRDefault="00215F94" w:rsidP="001A2DBA">
            <w:pPr>
              <w:pStyle w:val="ListParagraph"/>
              <w:keepNext/>
              <w:keepLines/>
              <w:numPr>
                <w:ilvl w:val="0"/>
                <w:numId w:val="23"/>
              </w:numPr>
              <w:spacing w:before="0" w:after="0"/>
              <w:rPr>
                <w:szCs w:val="22"/>
              </w:rPr>
            </w:pPr>
            <w:r w:rsidRPr="00282C00">
              <w:rPr>
                <w:szCs w:val="22"/>
              </w:rPr>
              <w:t>What do you see as the key barriers to consistent and equitable referral authorities between health professions?</w:t>
            </w:r>
          </w:p>
        </w:tc>
      </w:tr>
    </w:tbl>
    <w:p w14:paraId="7D171B4C" w14:textId="09B5BF48" w:rsidR="004B232C" w:rsidRDefault="004B232C" w:rsidP="001A2DBA">
      <w:pPr>
        <w:pStyle w:val="Heading2"/>
        <w:numPr>
          <w:ilvl w:val="0"/>
          <w:numId w:val="27"/>
        </w:numPr>
      </w:pPr>
      <w:bookmarkStart w:id="13" w:name="_Ref156397163"/>
      <w:bookmarkStart w:id="14" w:name="_Toc156832070"/>
      <w:r>
        <w:t>Employer practices and settings</w:t>
      </w:r>
      <w:bookmarkEnd w:id="13"/>
      <w:bookmarkEnd w:id="14"/>
      <w:r>
        <w:t xml:space="preserve"> </w:t>
      </w:r>
    </w:p>
    <w:p w14:paraId="3CF1A327" w14:textId="50EB27D1" w:rsidR="002200A5" w:rsidRDefault="002200A5" w:rsidP="001A7ED5">
      <w:pPr>
        <w:pStyle w:val="Heading4"/>
      </w:pPr>
      <w:r>
        <w:t>Context</w:t>
      </w:r>
    </w:p>
    <w:p w14:paraId="7A7F1CC8" w14:textId="4B740506" w:rsidR="004B232C" w:rsidRDefault="004B232C" w:rsidP="004B232C">
      <w:r>
        <w:t xml:space="preserve">Employer settings, teams and structures have significant impacts on the extent to which health professionals are able to work to full scope of practice. Employer practices and settings interface with system-wide factors, such as legislation and regulation, funding models and digital infrastructure, to enable or restrict health professionals from working to their full scope of practice. While system-wide factors are critical for overall authorisation to perform particular </w:t>
      </w:r>
      <w:r w:rsidR="00165AC0">
        <w:t>activities</w:t>
      </w:r>
      <w:r>
        <w:t>, they must be accompanied by authorising environments within individual practices and other primary health care settings</w:t>
      </w:r>
      <w:r w:rsidR="004A7F16">
        <w:t xml:space="preserve"> (that is, </w:t>
      </w:r>
      <w:r w:rsidR="00A916C5">
        <w:t>environments which provide legitimacy and support to enable health professionals to work to full scope of practice).</w:t>
      </w:r>
    </w:p>
    <w:p w14:paraId="79800D54" w14:textId="6F544811" w:rsidR="004B232C" w:rsidRDefault="004B232C" w:rsidP="004B232C">
      <w:r>
        <w:t xml:space="preserve">The Australian primary care landscape is </w:t>
      </w:r>
      <w:r w:rsidR="007F7EE7">
        <w:t>comprised of</w:t>
      </w:r>
      <w:r>
        <w:t xml:space="preserve"> a large number of services and employers, including predominantly sole or small group practitioners. </w:t>
      </w:r>
      <w:r w:rsidR="00DC6991">
        <w:t xml:space="preserve">It is dispersed across public, private and non-government sectors, and </w:t>
      </w:r>
      <w:r>
        <w:t>lack</w:t>
      </w:r>
      <w:r w:rsidR="00DC6991">
        <w:t>s</w:t>
      </w:r>
      <w:r>
        <w:t xml:space="preserve"> a single employer (compared to, for example, public acute services at the State and Territory level)</w:t>
      </w:r>
      <w:r w:rsidR="002646DE">
        <w:t>. This</w:t>
      </w:r>
      <w:r>
        <w:t xml:space="preserve"> </w:t>
      </w:r>
      <w:r w:rsidR="00650EF7">
        <w:t>inherently introduces</w:t>
      </w:r>
      <w:r>
        <w:t xml:space="preserve"> </w:t>
      </w:r>
      <w:r w:rsidR="00650EF7">
        <w:t>complexity</w:t>
      </w:r>
      <w:r>
        <w:t xml:space="preserve"> in implementing reform across the primary health care </w:t>
      </w:r>
      <w:r w:rsidR="00AD18EC">
        <w:t xml:space="preserve">sector where no single level of government has the legislative and policy authority to mandate such </w:t>
      </w:r>
      <w:r w:rsidR="00540299">
        <w:t>change.</w:t>
      </w:r>
      <w:r>
        <w:t xml:space="preserve"> This context also creates a barrier to different health professionals working together when they work under different employers. </w:t>
      </w:r>
    </w:p>
    <w:p w14:paraId="015CFB45" w14:textId="6C55FFE4" w:rsidR="00B84910" w:rsidRDefault="00B84910" w:rsidP="001A7ED5">
      <w:pPr>
        <w:pStyle w:val="Heading4"/>
      </w:pPr>
      <w:r>
        <w:t>Challenges</w:t>
      </w:r>
    </w:p>
    <w:p w14:paraId="408C4647" w14:textId="1CCE1F51" w:rsidR="004B232C" w:rsidRPr="00983CFC" w:rsidRDefault="004B232C" w:rsidP="004B232C">
      <w:r>
        <w:t xml:space="preserve">Reform related to scope of practice, needs to be supported by the presence of enabling and authorising environments at the individual service level and across multi-service care teams. Consultation feedback identified that the authorising environment which allows practitioners to operate at full scope in primary care across different employers and settings is unclear, inconsistent, and sometimes appears arbitrary. In particular, a lack of consistency was highlighted in terms of which </w:t>
      </w:r>
      <w:r w:rsidR="00165AC0">
        <w:t>activities</w:t>
      </w:r>
      <w:r>
        <w:t xml:space="preserve"> health professionals are </w:t>
      </w:r>
      <w:r w:rsidR="00A9617A">
        <w:t>supported</w:t>
      </w:r>
      <w:r>
        <w:t xml:space="preserve"> to perform</w:t>
      </w:r>
      <w:r w:rsidR="0005364F">
        <w:t>,</w:t>
      </w:r>
      <w:r w:rsidR="00A9617A">
        <w:t xml:space="preserve"> at </w:t>
      </w:r>
      <w:r w:rsidR="002C272D">
        <w:t xml:space="preserve">both </w:t>
      </w:r>
      <w:r w:rsidR="00A9617A">
        <w:t>the health service level</w:t>
      </w:r>
      <w:r w:rsidR="0005364F">
        <w:t xml:space="preserve"> and jurisdictional level. That is, </w:t>
      </w:r>
      <w:r>
        <w:t xml:space="preserve">the same health professional may be authorised to perform a particular </w:t>
      </w:r>
      <w:r w:rsidR="00124A71">
        <w:t>activity</w:t>
      </w:r>
      <w:r>
        <w:t xml:space="preserve"> (such as vaccination) at one health service and not another</w:t>
      </w:r>
      <w:r w:rsidR="002C272D">
        <w:t xml:space="preserve"> depending on the jurisdiction and individual employer</w:t>
      </w:r>
      <w:r w:rsidR="00B84BFB">
        <w:t>s</w:t>
      </w:r>
      <w:r>
        <w:t xml:space="preserve">. In some </w:t>
      </w:r>
      <w:r w:rsidR="005E08B3">
        <w:t>cases,</w:t>
      </w:r>
      <w:r>
        <w:t xml:space="preserve"> this may </w:t>
      </w:r>
      <w:r>
        <w:lastRenderedPageBreak/>
        <w:t xml:space="preserve">relate to concerns about professional indemnity and public liability insurances. This is despite nationally consistent </w:t>
      </w:r>
      <w:r w:rsidR="00B6062D">
        <w:t xml:space="preserve">accreditation </w:t>
      </w:r>
      <w:r>
        <w:t xml:space="preserve">of training and </w:t>
      </w:r>
      <w:r w:rsidR="00B6062D">
        <w:t xml:space="preserve">regulation of </w:t>
      </w:r>
      <w:r>
        <w:t xml:space="preserve">practice standards. The midwifery example below illustrates this effect. </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CellMar>
          <w:top w:w="113" w:type="dxa"/>
          <w:left w:w="113" w:type="dxa"/>
          <w:bottom w:w="113" w:type="dxa"/>
          <w:right w:w="113" w:type="dxa"/>
        </w:tblCellMar>
        <w:tblLook w:val="04A0" w:firstRow="1" w:lastRow="0" w:firstColumn="1" w:lastColumn="0" w:noHBand="0" w:noVBand="1"/>
      </w:tblPr>
      <w:tblGrid>
        <w:gridCol w:w="9060"/>
      </w:tblGrid>
      <w:tr w:rsidR="00D61F48" w14:paraId="7C6EB076" w14:textId="77777777">
        <w:tc>
          <w:tcPr>
            <w:tcW w:w="9060" w:type="dxa"/>
          </w:tcPr>
          <w:p w14:paraId="1AF117C2" w14:textId="4E8B1BFA" w:rsidR="00D61F48" w:rsidRDefault="00D61F48">
            <w:pPr>
              <w:keepNext/>
              <w:keepLines/>
            </w:pPr>
            <w:r w:rsidRPr="00D61F48">
              <w:rPr>
                <w:b/>
                <w:bCs/>
                <w:caps/>
                <w:color w:val="076DA0"/>
                <w:szCs w:val="20"/>
                <w:lang w:val="en"/>
              </w:rPr>
              <w:t>MIDWIFERY CONTINUITY OF CARE</w:t>
            </w:r>
          </w:p>
          <w:p w14:paraId="2E292B4B" w14:textId="3DADDA20" w:rsidR="00D61F48" w:rsidRDefault="00D61F48">
            <w:pPr>
              <w:keepNext/>
              <w:keepLines/>
            </w:pPr>
            <w:r w:rsidRPr="00D61F48">
              <w:t xml:space="preserve">Employment practices are especially relevant for continuity of care for models such as midwifery-led care. This model provides mothers with a continuous midwife relationship across health care settings and is strongly associated with optimal consumer outcomes and improved experience. Midwifery-led care is established best practice internationally and a core National Health Service (NHS) policy in the UK. In an Australian context, barriers were raised through consultation relating to midwives’ scope of practice being inconsistently recognised by different health services at which they work. </w:t>
            </w:r>
            <w:r w:rsidR="00137CEF" w:rsidRPr="00D61F48">
              <w:t xml:space="preserve">Removing employer-level barriers to ensure midwives are able to consistently perform activities they are trained to do, regardless of the setting in which they are providing care, has the potential to </w:t>
            </w:r>
            <w:r w:rsidR="00137CEF">
              <w:t>increase the provision of midwifery-led</w:t>
            </w:r>
            <w:r w:rsidR="00137CEF" w:rsidRPr="00D61F48">
              <w:t xml:space="preserve"> continuity of care </w:t>
            </w:r>
            <w:r w:rsidR="00137CEF">
              <w:t xml:space="preserve">models </w:t>
            </w:r>
            <w:r w:rsidR="00137CEF" w:rsidRPr="00D61F48">
              <w:t xml:space="preserve">and therefore significantly </w:t>
            </w:r>
            <w:r w:rsidR="00137CEF">
              <w:t xml:space="preserve">improve </w:t>
            </w:r>
            <w:r w:rsidR="00137CEF" w:rsidRPr="00D61F48">
              <w:t xml:space="preserve">patient </w:t>
            </w:r>
            <w:r w:rsidR="00540299" w:rsidRPr="00D61F48">
              <w:t>outcomes</w:t>
            </w:r>
            <w:r w:rsidR="00540299">
              <w:rPr>
                <w:rFonts w:eastAsia="Arial"/>
              </w:rPr>
              <w:t>.</w:t>
            </w:r>
          </w:p>
        </w:tc>
      </w:tr>
    </w:tbl>
    <w:p w14:paraId="2CBE9B75" w14:textId="58997ACF" w:rsidR="00137CEF" w:rsidRDefault="00137CEF" w:rsidP="001A7ED5">
      <w:pPr>
        <w:pStyle w:val="Heading4"/>
      </w:pPr>
      <w:r>
        <w:t>Opportunities for improvement</w:t>
      </w:r>
    </w:p>
    <w:p w14:paraId="5A917A89" w14:textId="21A7CFB0" w:rsidR="004B232C" w:rsidRDefault="004B232C" w:rsidP="00125039">
      <w:pPr>
        <w:spacing w:before="360"/>
      </w:pPr>
      <w:r>
        <w:t>A range of potential solutions have been put forward, including targeting leadership and culture to increase employers’ understanding and recognition of health professionals’ endorsement</w:t>
      </w:r>
      <w:r w:rsidR="00DE4B88">
        <w:t>s and specialised skills</w:t>
      </w:r>
      <w:r>
        <w:t xml:space="preserve">, as well as strengthening local clinical governance mechanisms to build assurance. The introduction of a more consistent </w:t>
      </w:r>
      <w:r w:rsidRPr="00380EEB">
        <w:t>credentialing</w:t>
      </w:r>
      <w:r>
        <w:t xml:space="preserve"> model, appropriately aligned with health facility role delineation (similar to that used in the acute health system) has also been suggested. These and other enablers would seek to build acceptance that a qualified and </w:t>
      </w:r>
      <w:r w:rsidR="00137CEF">
        <w:t xml:space="preserve">regulated </w:t>
      </w:r>
      <w:r>
        <w:t xml:space="preserve">health professional should be permitted to work to full scope </w:t>
      </w:r>
      <w:r w:rsidR="00B6062D">
        <w:t>across effectively identical care settings.</w:t>
      </w:r>
      <w:r>
        <w:t xml:space="preserve"> </w:t>
      </w:r>
    </w:p>
    <w:p w14:paraId="1A16BBA1" w14:textId="2BFBA1EE" w:rsidR="004B232C" w:rsidRDefault="004B232C" w:rsidP="004B232C">
      <w:r>
        <w:t xml:space="preserve">As health policy direction moves towards multidisciplinary care teams in primary health care settings, it is critical that these teams be adequately supported and promoted at the employer level for coordinated and collaborative care to flourish. A fundamental underlying enabler for health professionals to work to full scope of practice is the need for trusted relationships between all health professionals involved in care, regardless of employer and setting. In the absence of interprofessional trust that each member of the multidisciplinary care team members is competent to perform </w:t>
      </w:r>
      <w:r w:rsidR="00165AC0">
        <w:t>activities</w:t>
      </w:r>
      <w:r>
        <w:t xml:space="preserve"> they are experienced and trained to do, there will remain a barrier to health professionals working to full scope of practice at the service delivery level. </w:t>
      </w:r>
    </w:p>
    <w:p w14:paraId="7528CB81" w14:textId="2E0C3A28" w:rsidR="004B232C" w:rsidRDefault="004B232C" w:rsidP="004B232C">
      <w:r>
        <w:t>Likewise, without appropriate enabling employer practices and settings, there is the potential for multidisciplinary care teams to result in the formation of new siloes rather than working in a truly connected way. This is particularly pertinent as the population develops more complex and chronic health needs, for which existing episodic, single-</w:t>
      </w:r>
      <w:r w:rsidR="00FD4232">
        <w:t>discipline</w:t>
      </w:r>
      <w:r>
        <w:t xml:space="preserve"> models of care are not appropriate and are unlikely to achieve good outcomes for the consumer.</w:t>
      </w:r>
    </w:p>
    <w:p w14:paraId="391400A9" w14:textId="3FC4E71F" w:rsidR="004B232C" w:rsidRDefault="004B232C" w:rsidP="004B232C">
      <w:r>
        <w:t xml:space="preserve">The community paramedicine case study below presents an exemplar for delivery of multidisciplinary care between small rural health services and paramedic response. Efforts to significantly increase the presence and role of community paramedics in primary care have </w:t>
      </w:r>
      <w:r>
        <w:lastRenderedPageBreak/>
        <w:t>recently been undertaken in the UK. However, t</w:t>
      </w:r>
      <w:r w:rsidRPr="0020782E">
        <w:t xml:space="preserve">here are </w:t>
      </w:r>
      <w:r>
        <w:t>currently several</w:t>
      </w:r>
      <w:r w:rsidRPr="0020782E">
        <w:t xml:space="preserve"> barriers to enable paramedics to work to full scope of practice</w:t>
      </w:r>
      <w:r>
        <w:t xml:space="preserve"> in the Australian context.</w:t>
      </w:r>
      <w:r w:rsidRPr="0020782E">
        <w:t xml:space="preserve"> Paramedic competencies are overseen by </w:t>
      </w:r>
      <w:r>
        <w:t xml:space="preserve">both the National Paramedicine Board and </w:t>
      </w:r>
      <w:r w:rsidRPr="0020782E">
        <w:t xml:space="preserve">Jurisdictional Ambulance Services, which between them </w:t>
      </w:r>
      <w:r>
        <w:t xml:space="preserve">may </w:t>
      </w:r>
      <w:r w:rsidRPr="0020782E">
        <w:t xml:space="preserve">hold different definitions of </w:t>
      </w:r>
      <w:r>
        <w:t xml:space="preserve">work roles to be performed. </w:t>
      </w:r>
      <w:r w:rsidRPr="0020782E">
        <w:t>Moreover, dual-qualified paramedics (such as nurse-paramedics) are only able to be employed as one role or the other under exi</w:t>
      </w:r>
      <w:r w:rsidRPr="00066DBF">
        <w:t>sting</w:t>
      </w:r>
      <w:r w:rsidRPr="005F3934">
        <w:t xml:space="preserve"> </w:t>
      </w:r>
      <w:r>
        <w:t>Enterprise Bargaining Agreement</w:t>
      </w:r>
      <w:r w:rsidDel="006B3977">
        <w:t xml:space="preserve"> </w:t>
      </w:r>
      <w:r>
        <w:t xml:space="preserve">(EBA) </w:t>
      </w:r>
      <w:r w:rsidRPr="0020782E">
        <w:t xml:space="preserve">settings. </w:t>
      </w:r>
      <w:r>
        <w:t>These employer-level challenges would need to be overcome to ensure community paramedics are enabled to work to their full scope.</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CellMar>
          <w:top w:w="113" w:type="dxa"/>
          <w:left w:w="113" w:type="dxa"/>
          <w:bottom w:w="113" w:type="dxa"/>
          <w:right w:w="113" w:type="dxa"/>
        </w:tblCellMar>
        <w:tblLook w:val="04A0" w:firstRow="1" w:lastRow="0" w:firstColumn="1" w:lastColumn="0" w:noHBand="0" w:noVBand="1"/>
      </w:tblPr>
      <w:tblGrid>
        <w:gridCol w:w="9060"/>
      </w:tblGrid>
      <w:tr w:rsidR="00D61F48" w14:paraId="3E8B2C8A" w14:textId="77777777">
        <w:tc>
          <w:tcPr>
            <w:tcW w:w="9060" w:type="dxa"/>
          </w:tcPr>
          <w:p w14:paraId="29AA15C7" w14:textId="77371B60" w:rsidR="00D61F48" w:rsidRDefault="00D61F48">
            <w:pPr>
              <w:keepNext/>
              <w:keepLines/>
            </w:pPr>
            <w:r w:rsidRPr="00D61F48">
              <w:rPr>
                <w:b/>
                <w:bCs/>
                <w:caps/>
                <w:color w:val="076DA0"/>
                <w:szCs w:val="20"/>
                <w:lang w:val="en"/>
              </w:rPr>
              <w:t>COMMUNITY PARAMEDICINE</w:t>
            </w:r>
          </w:p>
          <w:p w14:paraId="7D123514" w14:textId="35780229" w:rsidR="00D61F48" w:rsidRDefault="00D61F48">
            <w:pPr>
              <w:keepNext/>
              <w:keepLines/>
            </w:pPr>
            <w:r w:rsidRPr="00D61F48">
              <w:t>Paramedics are trained to perform a broad scope of practice that could benefit the community by providing consumer care in their home or in community settings, rather than via the acute care system. Consumers with chronic illnesses could particularly benefit from a community paramedic service model. However, it is well established that what paramedics are credentialled to do in their specific clinical setting often excludes certain activities they are trained and able to do, such as wound management, vaccination, testing to support chronic disease management, catheterisation, prescribing or providing medicines. There is particular importance placed on community paramedic roles in regional and remote communities. For example, by adapting their usual work role the Ngangganawili Aboriginal Health Service community paramedicine service (Martu Country, Western Australia) has seen initial positive outcomes including improved primary care availability over the wide geographic area and improved continuity of care from on-site primary care to inpatient settings where required.</w:t>
            </w:r>
          </w:p>
        </w:tc>
      </w:tr>
    </w:tbl>
    <w:p w14:paraId="2D80E75A" w14:textId="0F41AB14" w:rsidR="0052649A" w:rsidRDefault="009A28AC" w:rsidP="00125039">
      <w:pPr>
        <w:spacing w:before="360"/>
      </w:pPr>
      <w:r>
        <w:rPr>
          <w:rStyle w:val="ui-provider"/>
        </w:rPr>
        <w:t>The importance of a consistent national approach to scope of practice is illustrated</w:t>
      </w:r>
      <w:r w:rsidR="00B900F4">
        <w:rPr>
          <w:rStyle w:val="ui-provider"/>
        </w:rPr>
        <w:t xml:space="preserve"> by the example of inconsistent </w:t>
      </w:r>
      <w:r w:rsidR="006C7F15">
        <w:rPr>
          <w:rStyle w:val="ui-provider"/>
        </w:rPr>
        <w:t xml:space="preserve">non-medical prescribing </w:t>
      </w:r>
      <w:r w:rsidR="00D54A3A">
        <w:rPr>
          <w:rStyle w:val="ui-provider"/>
        </w:rPr>
        <w:t xml:space="preserve">across jurisdictions. </w:t>
      </w:r>
      <w:r w:rsidR="0052649A">
        <w:rPr>
          <w:rStyle w:val="ui-provider"/>
        </w:rPr>
        <w:t>For instance, Queensland Health have determined that the pharmacist registration process is sufficient for pharmacists to prescribe for Urinary Tract Infections in primary care statewide, and other jurisdictions are currently trialling or implementing similar programs. However, Queensland pharmacists would not currently be able to undertake the same role in other Australian jurisdictions, as they require different training and practice processes. These variations in scope recognition impact not only the health professional but also consumers who cannot access consistent care locally, or in this case nationally.</w:t>
      </w:r>
    </w:p>
    <w:p w14:paraId="230CC36B" w14:textId="0EFA2598" w:rsidR="004B232C" w:rsidRDefault="004B232C" w:rsidP="004B232C">
      <w:r>
        <w:t xml:space="preserve">Potential enablers to create the conditions at an employer level for health professionals to work to full scope of practice are provided below. These are non-exhaustive and will be subject to further exploration throughout future phases of consultation. </w:t>
      </w:r>
    </w:p>
    <w:p w14:paraId="3BB1A302" w14:textId="33290C59" w:rsidR="004B232C" w:rsidRDefault="004B232C" w:rsidP="001A2DBA">
      <w:pPr>
        <w:pStyle w:val="ListParagraph"/>
        <w:numPr>
          <w:ilvl w:val="0"/>
          <w:numId w:val="15"/>
        </w:numPr>
      </w:pPr>
      <w:r>
        <w:rPr>
          <w:rStyle w:val="Strong"/>
        </w:rPr>
        <w:t>More consistent approaches to recognition of health professionals’ qualifications across settings</w:t>
      </w:r>
      <w:r>
        <w:rPr>
          <w:rStyle w:val="ui-provider"/>
        </w:rPr>
        <w:t xml:space="preserve">. A consistent national approach to the authorising environment for primary health care professionals’ scope of practice is important to ensure they are able to use the full extent of their skills regardless of their employer. A culture of interprofessional trust, driven by leadership, is critical to underpin this. Potential policy options include </w:t>
      </w:r>
      <w:r w:rsidRPr="00C639B7">
        <w:t xml:space="preserve">introduction of minimum practice standards or introduction of credentialling to primary health </w:t>
      </w:r>
      <w:r>
        <w:t>care</w:t>
      </w:r>
      <w:r w:rsidRPr="00C639B7">
        <w:t xml:space="preserve"> settings, with a goal of consistency with the </w:t>
      </w:r>
      <w:r w:rsidR="002A0504">
        <w:t>NRAS</w:t>
      </w:r>
      <w:r w:rsidRPr="00C639B7">
        <w:t>.</w:t>
      </w:r>
      <w:r>
        <w:t xml:space="preserve"> Training requirements are explored further in</w:t>
      </w:r>
      <w:r w:rsidR="00383E71">
        <w:t xml:space="preserve"> </w:t>
      </w:r>
      <w:r w:rsidR="00383E71" w:rsidRPr="00383E71">
        <w:rPr>
          <w:u w:val="single"/>
        </w:rPr>
        <w:fldChar w:fldCharType="begin"/>
      </w:r>
      <w:r w:rsidR="00383E71" w:rsidRPr="00383E71">
        <w:rPr>
          <w:u w:val="single"/>
        </w:rPr>
        <w:instrText xml:space="preserve"> REF _Ref156397496 \h </w:instrText>
      </w:r>
      <w:r w:rsidR="00383E71">
        <w:rPr>
          <w:u w:val="single"/>
        </w:rPr>
        <w:instrText xml:space="preserve"> \* MERGEFORMAT </w:instrText>
      </w:r>
      <w:r w:rsidR="00383E71" w:rsidRPr="00383E71">
        <w:rPr>
          <w:u w:val="single"/>
        </w:rPr>
      </w:r>
      <w:r w:rsidR="00383E71" w:rsidRPr="00383E71">
        <w:rPr>
          <w:u w:val="single"/>
        </w:rPr>
        <w:fldChar w:fldCharType="separate"/>
      </w:r>
      <w:r w:rsidR="00E40B08" w:rsidRPr="00E40B08">
        <w:rPr>
          <w:u w:val="single"/>
        </w:rPr>
        <w:t>Education and training</w:t>
      </w:r>
      <w:r w:rsidR="00383E71" w:rsidRPr="00383E71">
        <w:rPr>
          <w:u w:val="single"/>
        </w:rPr>
        <w:fldChar w:fldCharType="end"/>
      </w:r>
      <w:r w:rsidR="00383E71">
        <w:t>.</w:t>
      </w:r>
      <w:r>
        <w:t xml:space="preserve">  </w:t>
      </w:r>
    </w:p>
    <w:p w14:paraId="28C753FA" w14:textId="0E702CA1" w:rsidR="004B232C" w:rsidRPr="00E2717D" w:rsidRDefault="004B232C" w:rsidP="001A2DBA">
      <w:pPr>
        <w:pStyle w:val="ListParagraph"/>
        <w:numPr>
          <w:ilvl w:val="0"/>
          <w:numId w:val="15"/>
        </w:numPr>
      </w:pPr>
      <w:r>
        <w:rPr>
          <w:b/>
          <w:bCs/>
        </w:rPr>
        <w:lastRenderedPageBreak/>
        <w:t xml:space="preserve">Enabling environments for primary health care professionals to work together across different employers </w:t>
      </w:r>
      <w:r w:rsidRPr="006C3A50">
        <w:t xml:space="preserve">to deliver care to </w:t>
      </w:r>
      <w:r>
        <w:t>individual</w:t>
      </w:r>
      <w:r w:rsidRPr="006C3A50">
        <w:t xml:space="preserve"> patients</w:t>
      </w:r>
      <w:r>
        <w:t>.</w:t>
      </w:r>
      <w:r w:rsidRPr="006C3A50">
        <w:t xml:space="preserve"> </w:t>
      </w:r>
      <w:r>
        <w:t>Health professionals need to be supported by appropriate policies and procedures to form and deliver care as multidisciplinary teams, which should aim to break down siloes between disciplines and prevent the formation of new siloes. Employer-level leadership should actively promote a culture of interprofessional trust to support this. It is noted that health services are currently not consistently funded directly to provide care coordination or other collaborative functions. This is discussed in</w:t>
      </w:r>
      <w:r w:rsidR="00134BF0" w:rsidRPr="001A7ED5">
        <w:t xml:space="preserve"> </w:t>
      </w:r>
      <w:r w:rsidR="00134BF0" w:rsidRPr="00134BF0">
        <w:rPr>
          <w:u w:val="single"/>
        </w:rPr>
        <w:fldChar w:fldCharType="begin"/>
      </w:r>
      <w:r w:rsidR="00134BF0" w:rsidRPr="00134BF0">
        <w:rPr>
          <w:u w:val="single"/>
        </w:rPr>
        <w:instrText xml:space="preserve"> REF _Ref156830341 \h </w:instrText>
      </w:r>
      <w:r w:rsidR="00134BF0" w:rsidRPr="001A7ED5">
        <w:rPr>
          <w:u w:val="single"/>
        </w:rPr>
        <w:instrText xml:space="preserve"> \* MERGEFORMAT </w:instrText>
      </w:r>
      <w:r w:rsidR="00134BF0" w:rsidRPr="00134BF0">
        <w:rPr>
          <w:u w:val="single"/>
        </w:rPr>
      </w:r>
      <w:r w:rsidR="00134BF0" w:rsidRPr="00134BF0">
        <w:rPr>
          <w:u w:val="single"/>
        </w:rPr>
        <w:fldChar w:fldCharType="separate"/>
      </w:r>
      <w:r w:rsidR="00E40B08" w:rsidRPr="00E40B08">
        <w:rPr>
          <w:u w:val="single"/>
        </w:rPr>
        <w:t>Funding policy</w:t>
      </w:r>
      <w:r w:rsidR="00134BF0" w:rsidRPr="00134BF0">
        <w:rPr>
          <w:u w:val="single"/>
        </w:rPr>
        <w:fldChar w:fldCharType="end"/>
      </w:r>
      <w:r w:rsidRPr="001A7ED5">
        <w:t>.</w:t>
      </w:r>
      <w:r>
        <w:t xml:space="preserve"> </w:t>
      </w:r>
    </w:p>
    <w:p w14:paraId="01ED65E8" w14:textId="0CF55BA2" w:rsidR="004B232C" w:rsidRPr="004E4164" w:rsidRDefault="004B232C" w:rsidP="001A2DBA">
      <w:pPr>
        <w:pStyle w:val="ListParagraph"/>
        <w:numPr>
          <w:ilvl w:val="0"/>
          <w:numId w:val="15"/>
        </w:numPr>
      </w:pPr>
      <w:r>
        <w:rPr>
          <w:b/>
          <w:bCs/>
        </w:rPr>
        <w:t xml:space="preserve">Establishing models of multidisciplinary care for target patient cohorts </w:t>
      </w:r>
      <w:r w:rsidRPr="006C3A50">
        <w:t xml:space="preserve">which identify the patient need, the activities </w:t>
      </w:r>
      <w:r>
        <w:t xml:space="preserve">required </w:t>
      </w:r>
      <w:r w:rsidRPr="006C3A50">
        <w:t>to meet this need and roles and scope for different members of the care team</w:t>
      </w:r>
      <w:r>
        <w:t xml:space="preserve">. Cohort-based teams are established for particular conditions, such as diabetes and cancer care, in Australia and elsewhere. It is critical that trust and responsibility for care are appropriately shared across the team and that all members understand and respect </w:t>
      </w:r>
      <w:r w:rsidR="00123A7F">
        <w:t>each other’s</w:t>
      </w:r>
      <w:r>
        <w:t xml:space="preserve"> qualifications and competencies. </w:t>
      </w:r>
    </w:p>
    <w:p w14:paraId="0B6B1EB8" w14:textId="3E2D9AA7" w:rsidR="004B232C" w:rsidRDefault="00123A7F" w:rsidP="001A2DBA">
      <w:pPr>
        <w:pStyle w:val="ListParagraph"/>
        <w:numPr>
          <w:ilvl w:val="0"/>
          <w:numId w:val="15"/>
        </w:numPr>
      </w:pPr>
      <w:r>
        <w:rPr>
          <w:b/>
        </w:rPr>
        <w:t>Strengthening</w:t>
      </w:r>
      <w:r w:rsidRPr="001267DF">
        <w:rPr>
          <w:b/>
        </w:rPr>
        <w:t xml:space="preserve"> </w:t>
      </w:r>
      <w:r w:rsidR="004B232C" w:rsidRPr="001267DF">
        <w:rPr>
          <w:b/>
        </w:rPr>
        <w:t xml:space="preserve">clinical governance mechanisms in primary health </w:t>
      </w:r>
      <w:r w:rsidR="004B232C">
        <w:rPr>
          <w:b/>
          <w:bCs/>
        </w:rPr>
        <w:t>care</w:t>
      </w:r>
      <w:r w:rsidR="004B232C" w:rsidRPr="001267DF">
        <w:rPr>
          <w:b/>
          <w:bCs/>
        </w:rPr>
        <w:t xml:space="preserve"> setting</w:t>
      </w:r>
      <w:r w:rsidR="004B232C">
        <w:rPr>
          <w:b/>
          <w:bCs/>
        </w:rPr>
        <w:t>s</w:t>
      </w:r>
      <w:r w:rsidR="004B232C" w:rsidRPr="005E03AC">
        <w:rPr>
          <w:b/>
          <w:bCs/>
        </w:rPr>
        <w:t xml:space="preserve">, </w:t>
      </w:r>
      <w:r w:rsidR="007C0243">
        <w:t xml:space="preserve">which </w:t>
      </w:r>
      <w:r w:rsidR="004B232C" w:rsidRPr="005D359A">
        <w:t xml:space="preserve">could </w:t>
      </w:r>
      <w:r w:rsidR="000C5A52">
        <w:t xml:space="preserve">build trust, confidence and assurance </w:t>
      </w:r>
      <w:r w:rsidR="000C5A52" w:rsidRPr="005D359A">
        <w:t xml:space="preserve">in </w:t>
      </w:r>
      <w:r w:rsidR="000C5A52">
        <w:t xml:space="preserve">care delivery </w:t>
      </w:r>
      <w:r w:rsidR="000C5A52" w:rsidRPr="005D359A">
        <w:t>systems and transdisciplinary processes</w:t>
      </w:r>
      <w:r w:rsidR="000C5A52">
        <w:t>, as it has done in the acute care sector for decades</w:t>
      </w:r>
      <w:r w:rsidR="004B232C" w:rsidRPr="005D359A">
        <w:t xml:space="preserve">. </w:t>
      </w:r>
      <w:r w:rsidR="004B232C">
        <w:t>Primary Health Networks (PHN</w:t>
      </w:r>
      <w:r w:rsidR="000C5A52">
        <w:t>s</w:t>
      </w:r>
      <w:r w:rsidR="004B232C">
        <w:t>)</w:t>
      </w:r>
      <w:r w:rsidR="004B232C" w:rsidRPr="005D359A">
        <w:t xml:space="preserve"> </w:t>
      </w:r>
      <w:r w:rsidR="00C27921">
        <w:t xml:space="preserve">for example </w:t>
      </w:r>
      <w:r w:rsidR="004B232C" w:rsidRPr="005D359A">
        <w:t>could be well placed to provide local and regional support and consistency for primary care clinical governance</w:t>
      </w:r>
      <w:r w:rsidR="00C27921">
        <w:t xml:space="preserve"> mechanisms</w:t>
      </w:r>
      <w:r w:rsidR="004B232C" w:rsidRPr="005D359A">
        <w:t xml:space="preserve">.  </w:t>
      </w:r>
    </w:p>
    <w:p w14:paraId="27863D7B" w14:textId="1BFDAB3E" w:rsidR="004B232C" w:rsidRDefault="004B232C" w:rsidP="001A2DBA">
      <w:pPr>
        <w:pStyle w:val="ListParagraph"/>
        <w:numPr>
          <w:ilvl w:val="0"/>
          <w:numId w:val="15"/>
        </w:numPr>
      </w:pPr>
      <w:r>
        <w:rPr>
          <w:b/>
          <w:bCs/>
        </w:rPr>
        <w:t>Progressing d</w:t>
      </w:r>
      <w:r w:rsidRPr="001267DF">
        <w:rPr>
          <w:b/>
          <w:bCs/>
        </w:rPr>
        <w:t>igital</w:t>
      </w:r>
      <w:r w:rsidRPr="001267DF">
        <w:rPr>
          <w:b/>
        </w:rPr>
        <w:t xml:space="preserve"> enablement at the employer level</w:t>
      </w:r>
      <w:r>
        <w:t xml:space="preserve">, a complement to broader system-wide digital enablement discussed in </w:t>
      </w:r>
      <w:r w:rsidRPr="001267DF">
        <w:rPr>
          <w:u w:val="single"/>
        </w:rPr>
        <w:fldChar w:fldCharType="begin"/>
      </w:r>
      <w:r w:rsidRPr="001267DF">
        <w:rPr>
          <w:u w:val="single"/>
        </w:rPr>
        <w:instrText xml:space="preserve"> REF _Ref155881817 \h </w:instrText>
      </w:r>
      <w:r>
        <w:rPr>
          <w:u w:val="single"/>
        </w:rPr>
        <w:instrText xml:space="preserve"> \* MERGEFORMAT</w:instrText>
      </w:r>
      <w:r w:rsidRPr="008F0799">
        <w:rPr>
          <w:u w:val="single"/>
        </w:rPr>
        <w:instrText xml:space="preserve"> </w:instrText>
      </w:r>
      <w:r w:rsidRPr="001267DF">
        <w:rPr>
          <w:u w:val="single"/>
        </w:rPr>
      </w:r>
      <w:r w:rsidRPr="001267DF">
        <w:rPr>
          <w:u w:val="single"/>
        </w:rPr>
        <w:fldChar w:fldCharType="separate"/>
      </w:r>
      <w:r w:rsidR="00E40B08" w:rsidRPr="00E40B08">
        <w:rPr>
          <w:u w:val="single"/>
        </w:rPr>
        <w:t>Technology</w:t>
      </w:r>
      <w:r w:rsidRPr="001267DF">
        <w:rPr>
          <w:u w:val="single"/>
        </w:rPr>
        <w:fldChar w:fldCharType="end"/>
      </w:r>
      <w:r>
        <w:t xml:space="preserve">. It is the responsibility of the employer to ensure the service is appropriately interconnected with broader digital infrastructure, and that health professionals are equipped to use it and have equitable access. </w:t>
      </w:r>
    </w:p>
    <w:p w14:paraId="6B4840AD" w14:textId="1EFE44C4" w:rsidR="008C7B6D" w:rsidRDefault="008C7B6D" w:rsidP="001A7ED5">
      <w:pPr>
        <w:pStyle w:val="Heading4"/>
      </w:pPr>
      <w:r>
        <w:t>Potential benefits</w:t>
      </w:r>
    </w:p>
    <w:p w14:paraId="63F170D6" w14:textId="0B4EDB85" w:rsidR="004B232C" w:rsidRDefault="004B232C" w:rsidP="004B232C">
      <w:r>
        <w:t xml:space="preserve">Evidence to date suggests the following key potential benefits of policy changes in this area: </w:t>
      </w:r>
    </w:p>
    <w:p w14:paraId="4082B88B" w14:textId="77777777" w:rsidR="004B232C" w:rsidRPr="001267DF" w:rsidRDefault="004B232C" w:rsidP="001A2DBA">
      <w:pPr>
        <w:pStyle w:val="ListParagraph"/>
        <w:numPr>
          <w:ilvl w:val="0"/>
          <w:numId w:val="17"/>
        </w:numPr>
      </w:pPr>
      <w:r w:rsidRPr="001267DF">
        <w:rPr>
          <w:b/>
        </w:rPr>
        <w:t>Improved consumer access</w:t>
      </w:r>
      <w:r>
        <w:t xml:space="preserve"> to consistent primary health care services across settings and health professionals, and increased continuity of care resulting in greater capacity for positive consumer outcomes.</w:t>
      </w:r>
    </w:p>
    <w:p w14:paraId="71EE72C7" w14:textId="77777777" w:rsidR="004B232C" w:rsidRDefault="004B232C" w:rsidP="001A2DBA">
      <w:pPr>
        <w:pStyle w:val="ListParagraph"/>
        <w:numPr>
          <w:ilvl w:val="0"/>
          <w:numId w:val="17"/>
        </w:numPr>
      </w:pPr>
      <w:r w:rsidRPr="001267DF">
        <w:rPr>
          <w:b/>
        </w:rPr>
        <w:t>Improved workforce satisfaction</w:t>
      </w:r>
      <w:r>
        <w:rPr>
          <w:b/>
        </w:rPr>
        <w:t xml:space="preserve"> and retention</w:t>
      </w:r>
      <w:r>
        <w:t xml:space="preserve"> as health professionals’ competencies are consistently recognised regardless of health care setting.</w:t>
      </w:r>
    </w:p>
    <w:p w14:paraId="63B624AB" w14:textId="77777777" w:rsidR="004B232C" w:rsidRDefault="004B232C" w:rsidP="001A2DBA">
      <w:pPr>
        <w:pStyle w:val="ListParagraph"/>
        <w:numPr>
          <w:ilvl w:val="0"/>
          <w:numId w:val="17"/>
        </w:numPr>
      </w:pPr>
      <w:r w:rsidRPr="001267DF">
        <w:rPr>
          <w:b/>
        </w:rPr>
        <w:t>Improved capacity to work effectively as multidisciplinary teams</w:t>
      </w:r>
      <w:r>
        <w:t xml:space="preserve"> if supported by appropriate workplace practices, enabling confidence and trust to be built across the multidisciplinary team.</w:t>
      </w:r>
    </w:p>
    <w:p w14:paraId="5DA98F02" w14:textId="77777777" w:rsidR="004B232C" w:rsidRDefault="004B232C" w:rsidP="001A2DBA">
      <w:pPr>
        <w:pStyle w:val="ListParagraph"/>
        <w:numPr>
          <w:ilvl w:val="0"/>
          <w:numId w:val="17"/>
        </w:numPr>
      </w:pPr>
      <w:r w:rsidRPr="001267DF">
        <w:rPr>
          <w:b/>
        </w:rPr>
        <w:t>Improved accountability, quality and safety</w:t>
      </w:r>
      <w:r>
        <w:t xml:space="preserve"> related to strengthened clinical governance mechanisms and rigour, including support from PHNs. </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shd w:val="clear" w:color="auto" w:fill="D9F9FF"/>
        <w:tblLook w:val="04A0" w:firstRow="1" w:lastRow="0" w:firstColumn="1" w:lastColumn="0" w:noHBand="0" w:noVBand="1"/>
      </w:tblPr>
      <w:tblGrid>
        <w:gridCol w:w="9060"/>
      </w:tblGrid>
      <w:tr w:rsidR="004B232C" w14:paraId="0060B271" w14:textId="77777777" w:rsidTr="001A7ED5">
        <w:trPr>
          <w:cantSplit/>
          <w:trHeight w:val="300"/>
        </w:trPr>
        <w:tc>
          <w:tcPr>
            <w:tcW w:w="9060" w:type="dxa"/>
            <w:shd w:val="clear" w:color="auto" w:fill="D9F9FF"/>
          </w:tcPr>
          <w:p w14:paraId="4CE0263A" w14:textId="77777777" w:rsidR="004B232C" w:rsidRPr="001267DF" w:rsidRDefault="004B232C" w:rsidP="001A7ED5">
            <w:pPr>
              <w:keepNext/>
              <w:keepLines/>
              <w:rPr>
                <w:b/>
              </w:rPr>
            </w:pPr>
            <w:r w:rsidRPr="001267DF">
              <w:rPr>
                <w:b/>
              </w:rPr>
              <w:lastRenderedPageBreak/>
              <w:t xml:space="preserve">Questions for further consultation </w:t>
            </w:r>
          </w:p>
          <w:p w14:paraId="4E276B7E" w14:textId="77777777" w:rsidR="004B232C" w:rsidRDefault="004B232C" w:rsidP="001A2DBA">
            <w:pPr>
              <w:pStyle w:val="ListParagraph"/>
              <w:keepNext/>
              <w:keepLines/>
              <w:numPr>
                <w:ilvl w:val="0"/>
                <w:numId w:val="16"/>
              </w:numPr>
            </w:pPr>
            <w:r>
              <w:t>What changes at the employer level would you like to see to enable health professionals to work to full scope of practice? (For example, changes to credentialling, practice standards, clinical governance mechanisms or industrial agreements)</w:t>
            </w:r>
          </w:p>
          <w:p w14:paraId="50AE6363" w14:textId="77777777" w:rsidR="00772F71" w:rsidRDefault="00772F71" w:rsidP="001A2DBA">
            <w:pPr>
              <w:pStyle w:val="ListParagraph"/>
              <w:keepNext/>
              <w:keepLines/>
              <w:numPr>
                <w:ilvl w:val="0"/>
                <w:numId w:val="16"/>
              </w:numPr>
            </w:pPr>
            <w:r w:rsidRPr="00E34BFF">
              <w:t>Which particular activities or tasks within health professionals’ scope of practice would you particularly like to see increased employer support for?</w:t>
            </w:r>
          </w:p>
          <w:p w14:paraId="766AF5B2" w14:textId="1AD40180" w:rsidR="004B232C" w:rsidRDefault="004B232C" w:rsidP="001A2DBA">
            <w:pPr>
              <w:pStyle w:val="ListParagraph"/>
              <w:keepNext/>
              <w:keepLines/>
              <w:numPr>
                <w:ilvl w:val="0"/>
                <w:numId w:val="16"/>
              </w:numPr>
            </w:pPr>
            <w:r>
              <w:t xml:space="preserve">How can multidisciplinary care teams be better supported at the employer level, in terms of specific workplace policies, procedures, or practices? </w:t>
            </w:r>
          </w:p>
        </w:tc>
      </w:tr>
    </w:tbl>
    <w:p w14:paraId="639E0D5B" w14:textId="17DDCE3F" w:rsidR="004B232C" w:rsidRDefault="004B232C" w:rsidP="001A2DBA">
      <w:pPr>
        <w:pStyle w:val="Heading2"/>
        <w:numPr>
          <w:ilvl w:val="0"/>
          <w:numId w:val="27"/>
        </w:numPr>
      </w:pPr>
      <w:bookmarkStart w:id="15" w:name="_Ref156397496"/>
      <w:bookmarkStart w:id="16" w:name="_Toc156832071"/>
      <w:r>
        <w:t>Education and training</w:t>
      </w:r>
      <w:bookmarkEnd w:id="15"/>
      <w:bookmarkEnd w:id="16"/>
      <w:r>
        <w:t xml:space="preserve"> </w:t>
      </w:r>
    </w:p>
    <w:p w14:paraId="1DBBF06D" w14:textId="6E4DE104" w:rsidR="00751DCC" w:rsidRDefault="00751DCC" w:rsidP="001A7ED5">
      <w:pPr>
        <w:pStyle w:val="Heading4"/>
      </w:pPr>
      <w:r>
        <w:t>Context</w:t>
      </w:r>
    </w:p>
    <w:p w14:paraId="41734868" w14:textId="5E3476BC" w:rsidR="004B232C" w:rsidRDefault="004B232C" w:rsidP="004B232C">
      <w:r>
        <w:t xml:space="preserve">Education and training are essential </w:t>
      </w:r>
      <w:r w:rsidR="005E34E1">
        <w:t xml:space="preserve">elements in </w:t>
      </w:r>
      <w:r>
        <w:t xml:space="preserve">supporting the ability of primary health care professionals to work to full scope of practice. As summarised elsewhere in this document, health professionals </w:t>
      </w:r>
      <w:r w:rsidR="006302FC">
        <w:t>complete training that is accredited to</w:t>
      </w:r>
      <w:r>
        <w:t xml:space="preserve"> </w:t>
      </w:r>
      <w:r w:rsidR="005E34E1">
        <w:t>national</w:t>
      </w:r>
      <w:r>
        <w:t xml:space="preserve"> </w:t>
      </w:r>
      <w:r w:rsidR="006302FC">
        <w:t xml:space="preserve">standards </w:t>
      </w:r>
      <w:r>
        <w:t xml:space="preserve">in order to enter their profession, defined by NRAS (for </w:t>
      </w:r>
      <w:r w:rsidR="00394B55">
        <w:t>NRAS-regulated</w:t>
      </w:r>
      <w:r>
        <w:t xml:space="preserve"> professions) and national colleges and professional associations (for other </w:t>
      </w:r>
      <w:r w:rsidR="00E951D6">
        <w:t xml:space="preserve">self-regulated </w:t>
      </w:r>
      <w:r>
        <w:t xml:space="preserve">professions). </w:t>
      </w:r>
      <w:r w:rsidR="00127E92" w:rsidRPr="005758C1">
        <w:t xml:space="preserve">NRAS defines clear requirements for </w:t>
      </w:r>
      <w:r w:rsidR="00127E92">
        <w:t xml:space="preserve">registration </w:t>
      </w:r>
      <w:r w:rsidR="00E951D6">
        <w:t xml:space="preserve">of </w:t>
      </w:r>
      <w:r w:rsidR="00127E92">
        <w:t>professions</w:t>
      </w:r>
      <w:r w:rsidR="00127E92" w:rsidRPr="005758C1">
        <w:t xml:space="preserve"> </w:t>
      </w:r>
      <w:r w:rsidR="00127E92">
        <w:t>including</w:t>
      </w:r>
      <w:r w:rsidR="00127E92" w:rsidRPr="005758C1">
        <w:t xml:space="preserve"> medical specialities</w:t>
      </w:r>
      <w:r w:rsidR="00127E92">
        <w:t xml:space="preserve">, and an </w:t>
      </w:r>
      <w:r w:rsidR="00E951D6">
        <w:t xml:space="preserve">accredited </w:t>
      </w:r>
      <w:r w:rsidR="00127E92">
        <w:t>qualification is one of these requirements.</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CellMar>
          <w:top w:w="113" w:type="dxa"/>
          <w:left w:w="113" w:type="dxa"/>
          <w:bottom w:w="113" w:type="dxa"/>
          <w:right w:w="113" w:type="dxa"/>
        </w:tblCellMar>
        <w:tblLook w:val="04A0" w:firstRow="1" w:lastRow="0" w:firstColumn="1" w:lastColumn="0" w:noHBand="0" w:noVBand="1"/>
      </w:tblPr>
      <w:tblGrid>
        <w:gridCol w:w="9060"/>
      </w:tblGrid>
      <w:tr w:rsidR="00D61F48" w14:paraId="04F8A60A" w14:textId="77777777">
        <w:tc>
          <w:tcPr>
            <w:tcW w:w="9060" w:type="dxa"/>
          </w:tcPr>
          <w:p w14:paraId="3B904FB0" w14:textId="77777777" w:rsidR="00D61F48" w:rsidRDefault="00D61F48" w:rsidP="00D61F48">
            <w:pPr>
              <w:keepNext/>
              <w:keepLines/>
            </w:pPr>
            <w:r w:rsidRPr="00D61F48">
              <w:rPr>
                <w:b/>
                <w:bCs/>
                <w:color w:val="076DA0"/>
              </w:rPr>
              <w:t>Accreditation:</w:t>
            </w:r>
            <w:r>
              <w:t xml:space="preserve"> Refers to a formal process of approval for a program of study or training that provides a person who completes that program or training with the knowledge, skills and professional attributes needed to practice their health profession or undertake that activity. </w:t>
            </w:r>
          </w:p>
          <w:p w14:paraId="2A4DE3A3" w14:textId="77777777" w:rsidR="00D61F48" w:rsidRDefault="00D61F48" w:rsidP="00D61F48">
            <w:pPr>
              <w:keepNext/>
              <w:keepLines/>
            </w:pPr>
            <w:r w:rsidRPr="00D61F48">
              <w:rPr>
                <w:b/>
                <w:bCs/>
                <w:color w:val="076DA0"/>
              </w:rPr>
              <w:t>Registration:</w:t>
            </w:r>
            <w:r>
              <w:t xml:space="preserve"> Formal approval for a person to practice as a health professional in Australia.</w:t>
            </w:r>
          </w:p>
          <w:p w14:paraId="12208771" w14:textId="5EEE4863" w:rsidR="00D61F48" w:rsidRDefault="00D61F48" w:rsidP="00D61F48">
            <w:pPr>
              <w:keepNext/>
              <w:keepLines/>
            </w:pPr>
            <w:r w:rsidRPr="00D61F48">
              <w:rPr>
                <w:b/>
                <w:bCs/>
                <w:color w:val="076DA0"/>
              </w:rPr>
              <w:t>Endorsement:</w:t>
            </w:r>
            <w:r>
              <w:t xml:space="preserve"> Recognition by National Boards that a person has additional qualifications and expertise in an approved area of practice.</w:t>
            </w:r>
          </w:p>
        </w:tc>
      </w:tr>
    </w:tbl>
    <w:p w14:paraId="7EAD8A48" w14:textId="1F2D9CB1" w:rsidR="004B232C" w:rsidRDefault="004B232C" w:rsidP="00D61F48">
      <w:pPr>
        <w:spacing w:before="360"/>
      </w:pPr>
      <w:r>
        <w:t xml:space="preserve">Continuous professional development standards are defined by </w:t>
      </w:r>
      <w:r w:rsidR="008B088C">
        <w:t xml:space="preserve">National Boards </w:t>
      </w:r>
      <w:r>
        <w:t xml:space="preserve">(for </w:t>
      </w:r>
      <w:r w:rsidR="008B088C">
        <w:t>NRAS-regulated</w:t>
      </w:r>
      <w:r>
        <w:t xml:space="preserve"> professions)</w:t>
      </w:r>
      <w:r w:rsidR="005B1A4B">
        <w:t>.</w:t>
      </w:r>
      <w:r>
        <w:t xml:space="preserve"> </w:t>
      </w:r>
      <w:r w:rsidR="004D6565">
        <w:t>However, requirements for post-registration</w:t>
      </w:r>
      <w:r w:rsidR="00DE4B88">
        <w:t xml:space="preserve">/profession entry </w:t>
      </w:r>
      <w:r w:rsidR="004D6565">
        <w:t xml:space="preserve">authorisations and endorsements (such as diabetes educator or scheduled medicines endorsement for podiatrists) are less clearly defined. </w:t>
      </w:r>
      <w:r w:rsidR="009C26E7">
        <w:t>U</w:t>
      </w:r>
      <w:r w:rsidR="009C26E7" w:rsidRPr="009C26E7">
        <w:t>nder NRAS</w:t>
      </w:r>
      <w:r w:rsidR="009C26E7">
        <w:t>,</w:t>
      </w:r>
      <w:r w:rsidR="009C26E7" w:rsidRPr="009C26E7">
        <w:t xml:space="preserve"> obtaining a speciality or endorsement require</w:t>
      </w:r>
      <w:r w:rsidR="009C26E7">
        <w:t>s</w:t>
      </w:r>
      <w:r w:rsidR="009C26E7" w:rsidRPr="009C26E7">
        <w:t xml:space="preserve"> a formal qualification</w:t>
      </w:r>
      <w:r w:rsidR="009C26E7">
        <w:t>.</w:t>
      </w:r>
    </w:p>
    <w:p w14:paraId="2AC94B21" w14:textId="23051D91" w:rsidR="009D3FF2" w:rsidRDefault="004B232C" w:rsidP="004B232C">
      <w:r>
        <w:t xml:space="preserve">Access to ongoing training and education is important to ensure health professionals are able to work to the full scope of </w:t>
      </w:r>
      <w:r w:rsidR="00830386">
        <w:t>practice</w:t>
      </w:r>
      <w:r>
        <w:t>, as well as to develop new skills</w:t>
      </w:r>
      <w:r w:rsidR="00830386">
        <w:t>.</w:t>
      </w:r>
      <w:r>
        <w:t xml:space="preserve"> R</w:t>
      </w:r>
      <w:r w:rsidRPr="002C2E44">
        <w:t xml:space="preserve">esponsibility is placed on the individual health professional to access </w:t>
      </w:r>
      <w:r>
        <w:t xml:space="preserve">continuous professional development and ongoing </w:t>
      </w:r>
      <w:r w:rsidRPr="002C2E44">
        <w:t>training</w:t>
      </w:r>
      <w:r>
        <w:t>. There are increasing opportunities to deliver technology-assisted education and training, including virtual supervision, to increase access.</w:t>
      </w:r>
    </w:p>
    <w:p w14:paraId="629ED774" w14:textId="0F0C2EF3" w:rsidR="004B232C" w:rsidRDefault="009D3FF2" w:rsidP="001A7ED5">
      <w:pPr>
        <w:pStyle w:val="Heading4"/>
      </w:pPr>
      <w:r>
        <w:lastRenderedPageBreak/>
        <w:t>Challenges</w:t>
      </w:r>
      <w:r w:rsidR="004B232C">
        <w:t xml:space="preserve"> </w:t>
      </w:r>
    </w:p>
    <w:p w14:paraId="02BC5B2E" w14:textId="3093E461" w:rsidR="004B232C" w:rsidRDefault="009D3FF2" w:rsidP="004B232C">
      <w:r>
        <w:t>A</w:t>
      </w:r>
      <w:r w:rsidR="00893C47">
        <w:t>lthough endorsements of NRAS professions appear on a public register</w:t>
      </w:r>
      <w:r w:rsidR="00045A98">
        <w:t xml:space="preserve">, </w:t>
      </w:r>
      <w:r w:rsidR="004B232C">
        <w:t xml:space="preserve">there are known gaps in </w:t>
      </w:r>
      <w:r w:rsidR="00045A98">
        <w:t>consistent practical</w:t>
      </w:r>
      <w:r w:rsidR="004B232C">
        <w:t xml:space="preserve"> recognition of their endorsements at the employer level, as discussed in </w:t>
      </w:r>
      <w:r w:rsidR="00C17F8E" w:rsidRPr="001E149A">
        <w:rPr>
          <w:u w:val="single"/>
        </w:rPr>
        <w:fldChar w:fldCharType="begin"/>
      </w:r>
      <w:r w:rsidR="00C17F8E" w:rsidRPr="001E149A">
        <w:rPr>
          <w:u w:val="single"/>
        </w:rPr>
        <w:instrText xml:space="preserve"> REF _Ref156397163 \h </w:instrText>
      </w:r>
      <w:r w:rsidR="00C17F8E">
        <w:rPr>
          <w:u w:val="single"/>
        </w:rPr>
        <w:instrText xml:space="preserve"> \* MERGEFORMAT </w:instrText>
      </w:r>
      <w:r w:rsidR="00C17F8E" w:rsidRPr="001E149A">
        <w:rPr>
          <w:u w:val="single"/>
        </w:rPr>
      </w:r>
      <w:r w:rsidR="00C17F8E" w:rsidRPr="001E149A">
        <w:rPr>
          <w:u w:val="single"/>
        </w:rPr>
        <w:fldChar w:fldCharType="separate"/>
      </w:r>
      <w:r w:rsidR="00E40B08" w:rsidRPr="00E40B08">
        <w:rPr>
          <w:u w:val="single"/>
        </w:rPr>
        <w:t>Employer practices and settings</w:t>
      </w:r>
      <w:r w:rsidR="00C17F8E" w:rsidRPr="001E149A">
        <w:rPr>
          <w:u w:val="single"/>
        </w:rPr>
        <w:fldChar w:fldCharType="end"/>
      </w:r>
      <w:r w:rsidR="004B232C" w:rsidRPr="005E08B3">
        <w:t xml:space="preserve">. </w:t>
      </w:r>
      <w:r w:rsidR="004B232C" w:rsidRPr="001267DF">
        <w:t xml:space="preserve">This is </w:t>
      </w:r>
      <w:r w:rsidR="007F5444">
        <w:t>even more problematic for</w:t>
      </w:r>
      <w:r w:rsidR="007F5444" w:rsidRPr="001267DF">
        <w:t xml:space="preserve"> </w:t>
      </w:r>
      <w:r w:rsidR="004B232C">
        <w:t>additional</w:t>
      </w:r>
      <w:r w:rsidR="004F14A1">
        <w:t xml:space="preserve"> </w:t>
      </w:r>
      <w:r w:rsidR="004B232C">
        <w:t xml:space="preserve">authorisations and endorsements </w:t>
      </w:r>
      <w:r w:rsidR="00A86EC4">
        <w:t xml:space="preserve">for </w:t>
      </w:r>
      <w:r w:rsidR="00056131">
        <w:t xml:space="preserve">self-regulated </w:t>
      </w:r>
      <w:r w:rsidR="00A86EC4">
        <w:t xml:space="preserve">professions </w:t>
      </w:r>
      <w:r w:rsidR="00056131">
        <w:t xml:space="preserve">and unregulated </w:t>
      </w:r>
      <w:r w:rsidR="00A86EC4">
        <w:t>workforces</w:t>
      </w:r>
      <w:r w:rsidR="00056131">
        <w:t xml:space="preserve">. </w:t>
      </w:r>
    </w:p>
    <w:p w14:paraId="0F02A59E" w14:textId="3A30BA6B" w:rsidR="004B232C" w:rsidRDefault="004B232C" w:rsidP="004B232C">
      <w:r>
        <w:t>As previously discussed, recognition of health professionals’ scope of practice rests on interprofessional trust, which is not</w:t>
      </w:r>
      <w:r w:rsidR="003330B2">
        <w:t xml:space="preserve"> always</w:t>
      </w:r>
      <w:r>
        <w:t xml:space="preserve"> within the individual health professional’s direct control and relies on leadership and team culture. </w:t>
      </w:r>
      <w:r w:rsidR="003330B2">
        <w:t xml:space="preserve">Notwithstanding that </w:t>
      </w:r>
      <w:r w:rsidR="00BD0427">
        <w:t xml:space="preserve">endorsements </w:t>
      </w:r>
      <w:r w:rsidR="003330B2">
        <w:t xml:space="preserve">for </w:t>
      </w:r>
      <w:r w:rsidR="00FE5B18">
        <w:t>NRAS-regulated professions appear on a public register</w:t>
      </w:r>
      <w:r w:rsidR="00BD0427">
        <w:t>, there are known</w:t>
      </w:r>
      <w:r w:rsidR="003330B2">
        <w:t xml:space="preserve"> ‘custom and practice’</w:t>
      </w:r>
      <w:r w:rsidR="00BD0427">
        <w:t xml:space="preserve"> issues with </w:t>
      </w:r>
      <w:r w:rsidR="003330B2">
        <w:t xml:space="preserve">practical </w:t>
      </w:r>
      <w:r>
        <w:t xml:space="preserve">recognition of </w:t>
      </w:r>
      <w:r w:rsidR="00BD0427">
        <w:t xml:space="preserve">these </w:t>
      </w:r>
      <w:r>
        <w:t xml:space="preserve">endorsements </w:t>
      </w:r>
      <w:r w:rsidR="00BD0427">
        <w:t>across NRAS professions. This</w:t>
      </w:r>
      <w:r>
        <w:t xml:space="preserve"> means that</w:t>
      </w:r>
      <w:r w:rsidR="00DE4B88">
        <w:t xml:space="preserve"> a</w:t>
      </w:r>
      <w:r>
        <w:t xml:space="preserve"> health professional may have skills that are unrecognised </w:t>
      </w:r>
      <w:r w:rsidR="00342A57">
        <w:t xml:space="preserve">by employers and colleagues </w:t>
      </w:r>
      <w:r>
        <w:t xml:space="preserve">and may go unused, meaning they are </w:t>
      </w:r>
      <w:r w:rsidR="00243261">
        <w:t>not able to work</w:t>
      </w:r>
      <w:r>
        <w:t xml:space="preserve"> to their full scope of practice. </w:t>
      </w:r>
      <w:r w:rsidR="00BE6179">
        <w:t>Conversely</w:t>
      </w:r>
      <w:r w:rsidR="00A348C1">
        <w:t xml:space="preserve">, </w:t>
      </w:r>
      <w:r>
        <w:t>overly prescriptive regulatory requirements for accreditation of micro-credentials and additional skills training can reduce overall workforce flexibility.</w:t>
      </w:r>
    </w:p>
    <w:p w14:paraId="739850D3" w14:textId="41417A6A" w:rsidR="004B232C" w:rsidRDefault="004B232C" w:rsidP="004B232C">
      <w:r>
        <w:t xml:space="preserve">The Australian primary health care system features a proliferation of education and training requirements for particular competencies, which differ </w:t>
      </w:r>
      <w:r w:rsidR="00220BAE">
        <w:t>across health professions</w:t>
      </w:r>
      <w:r>
        <w:t xml:space="preserve">. </w:t>
      </w:r>
      <w:r w:rsidRPr="001E149A">
        <w:t xml:space="preserve">Some </w:t>
      </w:r>
      <w:r w:rsidR="00A348C1" w:rsidRPr="001E149A">
        <w:t>international jurisdictions have dealt with this complexity through consolidation of health professions into a smaller number of national boards, as taken</w:t>
      </w:r>
      <w:r w:rsidR="00E316B5" w:rsidRPr="001E149A">
        <w:t xml:space="preserve"> by the NHS in the UK</w:t>
      </w:r>
      <w:r w:rsidR="008754A5">
        <w:t xml:space="preserve"> who regulate </w:t>
      </w:r>
      <w:r w:rsidR="009B012E">
        <w:t>15 healthcare professionals under a combined Health and Care Professionals Council</w:t>
      </w:r>
      <w:r w:rsidRPr="001E149A">
        <w:t>.</w:t>
      </w:r>
      <w:r>
        <w:t xml:space="preserve"> </w:t>
      </w:r>
      <w:r w:rsidR="00215FCF">
        <w:t>Training requirements</w:t>
      </w:r>
      <w:r w:rsidRPr="00EE5091">
        <w:t xml:space="preserve"> </w:t>
      </w:r>
      <w:r>
        <w:t xml:space="preserve">also </w:t>
      </w:r>
      <w:r w:rsidR="00215FCF">
        <w:t>apply inconsistently across</w:t>
      </w:r>
      <w:r w:rsidRPr="00EE5091">
        <w:t xml:space="preserve"> professions</w:t>
      </w:r>
      <w:r w:rsidR="00215FCF">
        <w:t xml:space="preserve"> in some cases</w:t>
      </w:r>
      <w:r>
        <w:t xml:space="preserve">; for example, different vaccination training applies to </w:t>
      </w:r>
      <w:r w:rsidRPr="00EE5091">
        <w:t xml:space="preserve">nursing and pharmacy </w:t>
      </w:r>
      <w:r>
        <w:t>professions</w:t>
      </w:r>
      <w:r w:rsidR="00753BE4">
        <w:t xml:space="preserve"> (noting different requirements could be influenced by</w:t>
      </w:r>
      <w:r w:rsidR="00753BE4" w:rsidRPr="00753BE4">
        <w:t xml:space="preserve"> different professional capabilities, setting and role</w:t>
      </w:r>
      <w:r w:rsidR="00753BE4">
        <w:t>)</w:t>
      </w:r>
      <w:r>
        <w:t xml:space="preserve">. In consultation feedback, health professionals raised several examples of endorsements they perceived as overly arduous to obtain, such as endorsed status in midwifery.  </w:t>
      </w:r>
    </w:p>
    <w:p w14:paraId="3561A8DD" w14:textId="29BA2964" w:rsidR="004B232C" w:rsidRDefault="004B232C" w:rsidP="004B232C">
      <w:r>
        <w:t>There is potential to introduce more</w:t>
      </w:r>
      <w:r w:rsidR="00295E17">
        <w:t xml:space="preserve"> common</w:t>
      </w:r>
      <w:r>
        <w:t xml:space="preserve"> interprofessional competencies and skill sets, particularly those related to multidisciplinary care. For instance, Australia has national standards under which health professionals are endorsed for prescribing, and there is significant work, led by Ahpra and the National Boards towards</w:t>
      </w:r>
      <w:r w:rsidR="00295E17">
        <w:t xml:space="preserve"> common</w:t>
      </w:r>
      <w:r>
        <w:t xml:space="preserve"> interprofessional competencies in the area of cultural safety. In other countries, such as Canada, there are more defined national competencies </w:t>
      </w:r>
      <w:proofErr w:type="gramStart"/>
      <w:r>
        <w:t>in the area of</w:t>
      </w:r>
      <w:proofErr w:type="gramEnd"/>
      <w:r>
        <w:t xml:space="preserve"> interprofessional practice</w:t>
      </w:r>
      <w:r w:rsidR="00D441B7">
        <w:t xml:space="preserve">, as </w:t>
      </w:r>
      <w:r w:rsidR="00EA6C95">
        <w:t xml:space="preserve">illustrated in the risk-based framework used in Ontario (see </w:t>
      </w:r>
      <w:r w:rsidR="00EA6C95" w:rsidRPr="001E149A">
        <w:rPr>
          <w:u w:val="single"/>
        </w:rPr>
        <w:fldChar w:fldCharType="begin"/>
      </w:r>
      <w:r w:rsidR="00EA6C95" w:rsidRPr="001E149A">
        <w:rPr>
          <w:u w:val="single"/>
        </w:rPr>
        <w:instrText xml:space="preserve"> REF _Ref156390866 \h </w:instrText>
      </w:r>
      <w:r w:rsidR="00EA6C95">
        <w:rPr>
          <w:u w:val="single"/>
        </w:rPr>
        <w:instrText xml:space="preserve"> \* MERGEFORMAT </w:instrText>
      </w:r>
      <w:r w:rsidR="00EA6C95" w:rsidRPr="001E149A">
        <w:rPr>
          <w:u w:val="single"/>
        </w:rPr>
      </w:r>
      <w:r w:rsidR="00EA6C95" w:rsidRPr="001E149A">
        <w:rPr>
          <w:u w:val="single"/>
        </w:rPr>
        <w:fldChar w:fldCharType="separate"/>
      </w:r>
      <w:r w:rsidR="00E40B08" w:rsidRPr="00E40B08">
        <w:rPr>
          <w:u w:val="single"/>
        </w:rPr>
        <w:t>Legislation and regulation</w:t>
      </w:r>
      <w:r w:rsidR="00EA6C95" w:rsidRPr="001E149A">
        <w:rPr>
          <w:u w:val="single"/>
        </w:rPr>
        <w:fldChar w:fldCharType="end"/>
      </w:r>
      <w:r w:rsidR="00EA6C95">
        <w:t>)</w:t>
      </w:r>
      <w:r>
        <w:t xml:space="preserve">. While it is important to maintain the core skills within professions, interprofessional education plays a key role in allowing different health professionals to increase their exposure to primary care and to other professionals, allowing care teams to build understanding and recognition of </w:t>
      </w:r>
      <w:r w:rsidR="0022284A">
        <w:t>each other’s</w:t>
      </w:r>
      <w:r>
        <w:t xml:space="preserve"> capability and scope of practice. </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CellMar>
          <w:top w:w="113" w:type="dxa"/>
          <w:bottom w:w="113" w:type="dxa"/>
        </w:tblCellMar>
        <w:tblLook w:val="04A0" w:firstRow="1" w:lastRow="0" w:firstColumn="1" w:lastColumn="0" w:noHBand="0" w:noVBand="1"/>
      </w:tblPr>
      <w:tblGrid>
        <w:gridCol w:w="9060"/>
      </w:tblGrid>
      <w:tr w:rsidR="00125039" w14:paraId="666CEA7E" w14:textId="77777777">
        <w:tc>
          <w:tcPr>
            <w:tcW w:w="9060" w:type="dxa"/>
          </w:tcPr>
          <w:p w14:paraId="2C953FD9" w14:textId="4BBDD40B" w:rsidR="00125039" w:rsidRDefault="00125039">
            <w:pPr>
              <w:keepNext/>
              <w:keepLines/>
            </w:pPr>
            <w:r w:rsidRPr="00125039">
              <w:rPr>
                <w:b/>
                <w:bCs/>
                <w:caps/>
                <w:color w:val="076DA0"/>
                <w:szCs w:val="20"/>
                <w:lang w:val="en"/>
              </w:rPr>
              <w:lastRenderedPageBreak/>
              <w:t>NHS HEALTH EDUCATION ENGLAND – UNITED KINGDOM</w:t>
            </w:r>
          </w:p>
          <w:p w14:paraId="74BF354E" w14:textId="630A23A6" w:rsidR="00125039" w:rsidRDefault="00125039">
            <w:pPr>
              <w:keepNext/>
              <w:keepLines/>
            </w:pPr>
            <w:r w:rsidRPr="00125039">
              <w:t>The NHS has developed a consolidated national education for primary care, including a toolkit which provides practical guidance on effective implementation of multidisciplinary teams (part of a suite of resources and supports offered by Health Education England to support workforce design). The toolkit is a step-by-step guide to help progress a ‘one-workforce’ approach across health and care organisations, drawn from a range of health and social care disciplines, designed to work together in a multi-functional team across clinical pathways for the benefits of patients/service users. It focuses on six enablers to effective multidisciplinary teams: skill mix and learning, planning and design, working across boundaries, shared goals and objectives, communication and culture.</w:t>
            </w:r>
          </w:p>
        </w:tc>
      </w:tr>
    </w:tbl>
    <w:p w14:paraId="2BAEFA5C" w14:textId="545DBC1B" w:rsidR="00062FFC" w:rsidRDefault="00062FFC" w:rsidP="001A7ED5">
      <w:pPr>
        <w:pStyle w:val="Heading4"/>
      </w:pPr>
      <w:r>
        <w:t>Opportunities for improvement</w:t>
      </w:r>
    </w:p>
    <w:p w14:paraId="24F0252C" w14:textId="7636E92E" w:rsidR="005F3F2F" w:rsidRDefault="004B232C" w:rsidP="001A7ED5">
      <w:r>
        <w:t xml:space="preserve">A range of potential solutions </w:t>
      </w:r>
      <w:r w:rsidR="002C4942">
        <w:t>may apply to progress reform in the area of education and training. These would broadly seek</w:t>
      </w:r>
      <w:r>
        <w:t xml:space="preserve"> to</w:t>
      </w:r>
      <w:r w:rsidR="002C4942">
        <w:t xml:space="preserve"> implement</w:t>
      </w:r>
      <w:r>
        <w:t xml:space="preserve"> better access to education and training, more consistent expectations and recognition of learning, and better promotion of multidisciplinary and interprofessional forms of training. </w:t>
      </w:r>
    </w:p>
    <w:p w14:paraId="7A9F17B2" w14:textId="073F5D6F" w:rsidR="004B232C" w:rsidRDefault="004B232C" w:rsidP="00125039">
      <w:pPr>
        <w:spacing w:before="0"/>
      </w:pPr>
      <w:r>
        <w:t>These include:</w:t>
      </w:r>
    </w:p>
    <w:p w14:paraId="445CEEEA" w14:textId="325B1BC6" w:rsidR="004B232C" w:rsidRDefault="004B232C" w:rsidP="001A2DBA">
      <w:pPr>
        <w:pStyle w:val="ListParagraph"/>
        <w:numPr>
          <w:ilvl w:val="0"/>
          <w:numId w:val="19"/>
        </w:numPr>
      </w:pPr>
      <w:r>
        <w:rPr>
          <w:b/>
          <w:bCs/>
        </w:rPr>
        <w:t>Establishing g</w:t>
      </w:r>
      <w:r w:rsidRPr="001267DF">
        <w:rPr>
          <w:b/>
          <w:bCs/>
        </w:rPr>
        <w:t>reater</w:t>
      </w:r>
      <w:r w:rsidRPr="001267DF">
        <w:rPr>
          <w:b/>
        </w:rPr>
        <w:t xml:space="preserve"> clarity at the system level</w:t>
      </w:r>
      <w:r>
        <w:t xml:space="preserve"> about expectations and requirements of post-</w:t>
      </w:r>
      <w:r w:rsidR="00DB5B3D">
        <w:t>profession entry</w:t>
      </w:r>
      <w:r>
        <w:t xml:space="preserve"> learning. This may include harmonisation of education and training requirements for the same competency between different professions, to ensure requirements are reasonable and equitable</w:t>
      </w:r>
      <w:r w:rsidR="00AB36AF">
        <w:t>, noting previous education undertaken</w:t>
      </w:r>
      <w:r>
        <w:t xml:space="preserve">. As stated in </w:t>
      </w:r>
      <w:r w:rsidR="00856560" w:rsidRPr="001E149A">
        <w:rPr>
          <w:u w:val="single"/>
        </w:rPr>
        <w:fldChar w:fldCharType="begin"/>
      </w:r>
      <w:r w:rsidR="00856560" w:rsidRPr="001E149A">
        <w:rPr>
          <w:u w:val="single"/>
        </w:rPr>
        <w:instrText xml:space="preserve"> REF _Ref156397163 \h </w:instrText>
      </w:r>
      <w:r w:rsidR="00856560">
        <w:rPr>
          <w:u w:val="single"/>
        </w:rPr>
        <w:instrText xml:space="preserve"> \* MERGEFORMAT </w:instrText>
      </w:r>
      <w:r w:rsidR="00856560" w:rsidRPr="001E149A">
        <w:rPr>
          <w:u w:val="single"/>
        </w:rPr>
      </w:r>
      <w:r w:rsidR="00856560" w:rsidRPr="001E149A">
        <w:rPr>
          <w:u w:val="single"/>
        </w:rPr>
        <w:fldChar w:fldCharType="separate"/>
      </w:r>
      <w:r w:rsidR="00E40B08" w:rsidRPr="00E40B08">
        <w:rPr>
          <w:u w:val="single"/>
        </w:rPr>
        <w:t>Employer practices and settings</w:t>
      </w:r>
      <w:r w:rsidR="00856560" w:rsidRPr="001E149A">
        <w:rPr>
          <w:u w:val="single"/>
        </w:rPr>
        <w:fldChar w:fldCharType="end"/>
      </w:r>
      <w:r w:rsidRPr="001267DF">
        <w:t xml:space="preserve">, </w:t>
      </w:r>
      <w:r>
        <w:t>this needs to be accompanied by more consistent employer level-recognition of learning and skills post-</w:t>
      </w:r>
      <w:r w:rsidR="00DB5B3D">
        <w:t>profession entry</w:t>
      </w:r>
      <w:r>
        <w:t xml:space="preserve">. </w:t>
      </w:r>
    </w:p>
    <w:p w14:paraId="3C466C89" w14:textId="1C45D199" w:rsidR="004B232C" w:rsidRDefault="004B232C" w:rsidP="001A2DBA">
      <w:pPr>
        <w:pStyle w:val="ListParagraph"/>
        <w:numPr>
          <w:ilvl w:val="0"/>
          <w:numId w:val="19"/>
        </w:numPr>
      </w:pPr>
      <w:r>
        <w:rPr>
          <w:b/>
        </w:rPr>
        <w:t>Establishing a n</w:t>
      </w:r>
      <w:r w:rsidRPr="001267DF">
        <w:rPr>
          <w:b/>
        </w:rPr>
        <w:t xml:space="preserve">ationally consistent approach in promoting and implementing </w:t>
      </w:r>
      <w:r w:rsidR="00F61D0A" w:rsidRPr="001267DF">
        <w:rPr>
          <w:b/>
        </w:rPr>
        <w:t xml:space="preserve">common </w:t>
      </w:r>
      <w:r w:rsidRPr="001267DF">
        <w:rPr>
          <w:b/>
        </w:rPr>
        <w:t>interprofessional competencies</w:t>
      </w:r>
      <w:r>
        <w:t xml:space="preserve">, </w:t>
      </w:r>
      <w:r w:rsidR="00FF0288">
        <w:t xml:space="preserve">to equip health professionals with specific skills common across </w:t>
      </w:r>
      <w:r w:rsidR="00F61D0A">
        <w:t xml:space="preserve">multiple </w:t>
      </w:r>
      <w:r w:rsidR="00FF0288">
        <w:t xml:space="preserve">professions. These common competencies could </w:t>
      </w:r>
      <w:r>
        <w:t xml:space="preserve">follow the example of the national standards for prescribing which </w:t>
      </w:r>
      <w:r w:rsidR="00F61D0A">
        <w:t xml:space="preserve">equip </w:t>
      </w:r>
      <w:r>
        <w:t>health professionals who meet these competencies (</w:t>
      </w:r>
      <w:r w:rsidR="000369ED">
        <w:t>e.g.,</w:t>
      </w:r>
      <w:r>
        <w:t xml:space="preserve"> nurse practitioners, and pharmacists in some jurisdictions) to prescribe medicines without undergoing additional training. </w:t>
      </w:r>
    </w:p>
    <w:p w14:paraId="74BEA253" w14:textId="74E7C163" w:rsidR="004B232C" w:rsidRDefault="004B232C" w:rsidP="001A2DBA">
      <w:pPr>
        <w:pStyle w:val="ListParagraph"/>
        <w:numPr>
          <w:ilvl w:val="0"/>
          <w:numId w:val="19"/>
        </w:numPr>
      </w:pPr>
      <w:r>
        <w:rPr>
          <w:b/>
          <w:bCs/>
        </w:rPr>
        <w:t xml:space="preserve">Promoting </w:t>
      </w:r>
      <w:r w:rsidRPr="001267DF">
        <w:rPr>
          <w:b/>
        </w:rPr>
        <w:t>multi-professional learning</w:t>
      </w:r>
      <w:r>
        <w:t>, as exemplified by the UK example above. In Australia, an exemplar of this approach is found in the Queensland Allied Health Leadership and Advancing Practice Framework, which promotes a blended approach to recognition of Advancing Practice across allied health professions, and practice which contributes to the development of the wider health care team and broader</w:t>
      </w:r>
      <w:r w:rsidR="009B1380">
        <w:t>.</w:t>
      </w:r>
      <w:r>
        <w:t xml:space="preserve"> </w:t>
      </w:r>
      <w:r w:rsidR="007A4D12">
        <w:t xml:space="preserve">Existing progress in this area is noted, such as </w:t>
      </w:r>
      <w:r w:rsidR="00C46312">
        <w:t>an</w:t>
      </w:r>
      <w:r w:rsidR="007A4D12">
        <w:t xml:space="preserve"> </w:t>
      </w:r>
      <w:r w:rsidR="007A4D12" w:rsidRPr="007A4D12">
        <w:t xml:space="preserve">Ahpra Board Accreditation Committee statement </w:t>
      </w:r>
      <w:r w:rsidR="00C46312">
        <w:t>to</w:t>
      </w:r>
      <w:r w:rsidR="007A4D12" w:rsidRPr="007A4D12">
        <w:t xml:space="preserve"> embed interprofessional education</w:t>
      </w:r>
      <w:r w:rsidR="00C46312">
        <w:t xml:space="preserve"> as a priority area of work. </w:t>
      </w:r>
    </w:p>
    <w:p w14:paraId="50665332" w14:textId="3D86AA75" w:rsidR="004B232C" w:rsidRDefault="004B232C" w:rsidP="001A2DBA">
      <w:pPr>
        <w:pStyle w:val="ListParagraph"/>
        <w:numPr>
          <w:ilvl w:val="0"/>
          <w:numId w:val="19"/>
        </w:numPr>
      </w:pPr>
      <w:r w:rsidRPr="001267DF">
        <w:rPr>
          <w:b/>
          <w:bCs/>
        </w:rPr>
        <w:t>Ensur</w:t>
      </w:r>
      <w:r>
        <w:rPr>
          <w:b/>
          <w:bCs/>
        </w:rPr>
        <w:t>ing</w:t>
      </w:r>
      <w:r w:rsidRPr="001267DF">
        <w:rPr>
          <w:b/>
        </w:rPr>
        <w:t xml:space="preserve"> </w:t>
      </w:r>
      <w:r>
        <w:rPr>
          <w:b/>
          <w:bCs/>
        </w:rPr>
        <w:t xml:space="preserve">ongoing </w:t>
      </w:r>
      <w:r w:rsidRPr="001267DF">
        <w:rPr>
          <w:b/>
        </w:rPr>
        <w:t>education and training are accessible</w:t>
      </w:r>
      <w:r>
        <w:t>, including through protected time for education and training, more technology-assisted support, supervision and mentoring. Consultation participants also voiced a desire for more incentives to undertake education and training including on entry into professions (</w:t>
      </w:r>
      <w:r w:rsidR="000369ED">
        <w:t>e.g.,</w:t>
      </w:r>
      <w:r>
        <w:t xml:space="preserve"> through scholarships). </w:t>
      </w:r>
    </w:p>
    <w:p w14:paraId="3599B65F" w14:textId="2D9F690F" w:rsidR="0027778F" w:rsidRDefault="0027778F" w:rsidP="001A7ED5">
      <w:pPr>
        <w:pStyle w:val="Heading4"/>
      </w:pPr>
      <w:r>
        <w:t>Potential benefits</w:t>
      </w:r>
    </w:p>
    <w:p w14:paraId="0092878D" w14:textId="6FFC1AB6" w:rsidR="004B232C" w:rsidRDefault="004B232C" w:rsidP="004B232C">
      <w:r>
        <w:t xml:space="preserve">Benefits of strengthened education and training are likely wide-ranging and may include: </w:t>
      </w:r>
    </w:p>
    <w:p w14:paraId="1066CC4C" w14:textId="7246161B" w:rsidR="004B232C" w:rsidRDefault="004B232C" w:rsidP="001A2DBA">
      <w:pPr>
        <w:pStyle w:val="ListParagraph"/>
        <w:numPr>
          <w:ilvl w:val="0"/>
          <w:numId w:val="18"/>
        </w:numPr>
      </w:pPr>
      <w:r w:rsidRPr="001267DF">
        <w:rPr>
          <w:b/>
          <w:bCs/>
        </w:rPr>
        <w:lastRenderedPageBreak/>
        <w:t>Improved</w:t>
      </w:r>
      <w:r w:rsidRPr="001267DF">
        <w:rPr>
          <w:b/>
        </w:rPr>
        <w:t xml:space="preserve"> consumer outcomes</w:t>
      </w:r>
      <w:r>
        <w:t xml:space="preserve"> as care is delivered by a more highly</w:t>
      </w:r>
      <w:r w:rsidR="00B132EA">
        <w:t xml:space="preserve"> </w:t>
      </w:r>
      <w:r>
        <w:t>skilled workforce and more multidisciplinary care delivered by teams trained to work together effectively;</w:t>
      </w:r>
    </w:p>
    <w:p w14:paraId="52B82932" w14:textId="77777777" w:rsidR="004B232C" w:rsidRDefault="004B232C" w:rsidP="001A2DBA">
      <w:pPr>
        <w:pStyle w:val="ListParagraph"/>
        <w:numPr>
          <w:ilvl w:val="0"/>
          <w:numId w:val="18"/>
        </w:numPr>
      </w:pPr>
      <w:r w:rsidRPr="001267DF">
        <w:rPr>
          <w:b/>
        </w:rPr>
        <w:t>Improved workforce satisfaction</w:t>
      </w:r>
      <w:r>
        <w:rPr>
          <w:b/>
          <w:bCs/>
        </w:rPr>
        <w:t xml:space="preserve"> and retention</w:t>
      </w:r>
      <w:r>
        <w:t xml:space="preserve"> due to increased access to ongoing education and training to increase their skills and competencies;  </w:t>
      </w:r>
    </w:p>
    <w:p w14:paraId="7E11413C" w14:textId="77777777" w:rsidR="004B232C" w:rsidRDefault="004B232C" w:rsidP="001A2DBA">
      <w:pPr>
        <w:pStyle w:val="ListParagraph"/>
        <w:numPr>
          <w:ilvl w:val="0"/>
          <w:numId w:val="18"/>
        </w:numPr>
        <w:rPr>
          <w:szCs w:val="22"/>
        </w:rPr>
      </w:pPr>
      <w:r w:rsidRPr="001267DF">
        <w:rPr>
          <w:b/>
        </w:rPr>
        <w:t>Improved interprofessional</w:t>
      </w:r>
      <w:r>
        <w:t xml:space="preserve"> </w:t>
      </w:r>
      <w:r w:rsidRPr="001267DF">
        <w:rPr>
          <w:b/>
        </w:rPr>
        <w:t>trust</w:t>
      </w:r>
      <w:r>
        <w:t xml:space="preserve"> as health professionals are enabled to gain experience working collaboratively as multidisciplinary care teams, increasing their exposure and understanding of other primary health care professionals’ competencies and scope of practice.  </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shd w:val="clear" w:color="auto" w:fill="D9F9FF"/>
        <w:tblCellMar>
          <w:top w:w="57" w:type="dxa"/>
          <w:left w:w="57" w:type="dxa"/>
          <w:bottom w:w="57" w:type="dxa"/>
          <w:right w:w="57" w:type="dxa"/>
        </w:tblCellMar>
        <w:tblLook w:val="04A0" w:firstRow="1" w:lastRow="0" w:firstColumn="1" w:lastColumn="0" w:noHBand="0" w:noVBand="1"/>
      </w:tblPr>
      <w:tblGrid>
        <w:gridCol w:w="9060"/>
      </w:tblGrid>
      <w:tr w:rsidR="004B232C" w14:paraId="5953ED59" w14:textId="77777777" w:rsidTr="00125039">
        <w:tc>
          <w:tcPr>
            <w:tcW w:w="9060" w:type="dxa"/>
            <w:shd w:val="clear" w:color="auto" w:fill="D9F9FF"/>
          </w:tcPr>
          <w:p w14:paraId="770089B0" w14:textId="77777777" w:rsidR="004B232C" w:rsidRPr="00A2779D" w:rsidRDefault="004B232C" w:rsidP="001A2DBA">
            <w:pPr>
              <w:keepNext/>
              <w:keepLines/>
              <w:rPr>
                <w:b/>
                <w:bCs/>
              </w:rPr>
            </w:pPr>
            <w:r w:rsidRPr="00A2779D">
              <w:rPr>
                <w:b/>
                <w:bCs/>
              </w:rPr>
              <w:t xml:space="preserve">Questions for further consultation </w:t>
            </w:r>
          </w:p>
          <w:p w14:paraId="57FBB2EE" w14:textId="77777777" w:rsidR="00514F2C" w:rsidRDefault="00514F2C" w:rsidP="001A2DBA">
            <w:pPr>
              <w:pStyle w:val="ListParagraph"/>
              <w:keepNext/>
              <w:keepLines/>
              <w:numPr>
                <w:ilvl w:val="0"/>
                <w:numId w:val="24"/>
              </w:numPr>
            </w:pPr>
            <w:r>
              <w:t xml:space="preserve">What are the key barriers health professionals experience in accessing ongoing education and training or additional skills, authorities or endorsements needed to practice at full scope? </w:t>
            </w:r>
          </w:p>
          <w:p w14:paraId="696EC3A1" w14:textId="569B7BD2" w:rsidR="004B232C" w:rsidRDefault="00514F2C" w:rsidP="001A2DBA">
            <w:pPr>
              <w:pStyle w:val="ListParagraph"/>
              <w:keepNext/>
              <w:keepLines/>
              <w:numPr>
                <w:ilvl w:val="0"/>
                <w:numId w:val="24"/>
              </w:numPr>
            </w:pPr>
            <w:r>
              <w:t>How could recognition of health professionals’ competencies in their everyday practice (including existing or new additional skills, endorsements or advanced practice) be improved?</w:t>
            </w:r>
          </w:p>
        </w:tc>
      </w:tr>
    </w:tbl>
    <w:p w14:paraId="3D5D6A70" w14:textId="1D9CAB48" w:rsidR="00356C80" w:rsidRDefault="00356C80" w:rsidP="001A2DBA">
      <w:pPr>
        <w:pStyle w:val="Heading2"/>
        <w:numPr>
          <w:ilvl w:val="0"/>
          <w:numId w:val="27"/>
        </w:numPr>
      </w:pPr>
      <w:bookmarkStart w:id="17" w:name="_Ref156397249"/>
      <w:bookmarkStart w:id="18" w:name="_Ref156830341"/>
      <w:bookmarkStart w:id="19" w:name="_Toc156832072"/>
      <w:r>
        <w:t xml:space="preserve">Funding </w:t>
      </w:r>
      <w:bookmarkEnd w:id="17"/>
      <w:r w:rsidR="00E179CF" w:rsidRPr="00E179CF">
        <w:t>policy</w:t>
      </w:r>
      <w:bookmarkEnd w:id="18"/>
      <w:bookmarkEnd w:id="19"/>
      <w:r w:rsidR="00E179CF">
        <w:t xml:space="preserve"> </w:t>
      </w:r>
    </w:p>
    <w:p w14:paraId="116C8088" w14:textId="517FDBA4" w:rsidR="00CC0B73" w:rsidRDefault="00CC0B73" w:rsidP="001A7ED5">
      <w:pPr>
        <w:pStyle w:val="Heading4"/>
      </w:pPr>
      <w:r>
        <w:t>Context</w:t>
      </w:r>
    </w:p>
    <w:p w14:paraId="3ECC2F6A" w14:textId="77777777" w:rsidR="006B1DE4" w:rsidRDefault="006B1DE4" w:rsidP="006B1DE4">
      <w:r>
        <w:t xml:space="preserve">Primary health care in Australia is funded and paid primarily through the Medicare Benefits Schedule (MBS). The MBS operates through a fee-for-service mechanism, meaning that primary health care providers are paid per episode of care delivered by a specified type of health professional. </w:t>
      </w:r>
    </w:p>
    <w:p w14:paraId="3A43CA8D" w14:textId="77777777" w:rsidR="006B1DE4" w:rsidRDefault="006B1DE4" w:rsidP="006B1DE4">
      <w:r>
        <w:t>The Medical Services Advisory Committee (</w:t>
      </w:r>
      <w:r w:rsidRPr="008B4F39">
        <w:t>MSAC</w:t>
      </w:r>
      <w:r>
        <w:t xml:space="preserve">) is an independent non-statutory committee which </w:t>
      </w:r>
      <w:r w:rsidRPr="008B4F39">
        <w:t>makes recommendations to Gov</w:t>
      </w:r>
      <w:r>
        <w:t>ernmen</w:t>
      </w:r>
      <w:r w:rsidRPr="008B4F39">
        <w:t xml:space="preserve">t about </w:t>
      </w:r>
      <w:r>
        <w:t xml:space="preserve">new or amended </w:t>
      </w:r>
      <w:r w:rsidRPr="008B4F39">
        <w:t xml:space="preserve">services </w:t>
      </w:r>
      <w:r>
        <w:t xml:space="preserve">proposed for </w:t>
      </w:r>
      <w:r w:rsidRPr="008B4F39">
        <w:t>fund</w:t>
      </w:r>
      <w:r>
        <w:t>ing</w:t>
      </w:r>
      <w:r w:rsidRPr="008B4F39">
        <w:t xml:space="preserve"> under the MBS</w:t>
      </w:r>
      <w:r>
        <w:t>. Proposals for new or amended services are assessed on the basis of comparative safety, clinical effectiveness, cost effectiveness and total cost based of best available evidence. MSAC also advises</w:t>
      </w:r>
      <w:r w:rsidRPr="008B4F39">
        <w:t xml:space="preserve"> </w:t>
      </w:r>
      <w:r>
        <w:t>on</w:t>
      </w:r>
      <w:r w:rsidRPr="008B4F39">
        <w:t xml:space="preserve"> the </w:t>
      </w:r>
      <w:r>
        <w:t>circumstances and rules associated with listing items on the MBS.</w:t>
      </w:r>
    </w:p>
    <w:p w14:paraId="55BE6348" w14:textId="77777777" w:rsidR="006B1DE4" w:rsidRDefault="006B1DE4" w:rsidP="006B1DE4">
      <w:r>
        <w:t xml:space="preserve">There are also a number of alternative funding and payment models to fee-for-service, including block, bundled, delegated, blended &amp; capitation, program grants, and salaried workforce. These mechanisms are already used in Australian primary health care settings, including Aboriginal Community Controlled Health Organisations (ACCHOs) and smaller State and Territory Government operated rural health services. Additionally, blended funding (referring to a blend of flexible lump-sum payments attached to the patient, in addition to fee-for-service funding for each visit made) is anticipated to be introduced into the broader primary health care system as part of upcoming </w:t>
      </w:r>
      <w:hyperlink r:id="rId22" w:history="1">
        <w:r w:rsidRPr="00092F01">
          <w:rPr>
            <w:rStyle w:val="Hyperlink"/>
          </w:rPr>
          <w:t>MyMedicare reforms</w:t>
        </w:r>
      </w:hyperlink>
      <w:r>
        <w:t xml:space="preserve">.  </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CellMar>
          <w:top w:w="113" w:type="dxa"/>
          <w:bottom w:w="113" w:type="dxa"/>
        </w:tblCellMar>
        <w:tblLook w:val="04A0" w:firstRow="1" w:lastRow="0" w:firstColumn="1" w:lastColumn="0" w:noHBand="0" w:noVBand="1"/>
      </w:tblPr>
      <w:tblGrid>
        <w:gridCol w:w="9060"/>
      </w:tblGrid>
      <w:tr w:rsidR="00125039" w14:paraId="6811CF8C" w14:textId="77777777" w:rsidTr="001A2DBA">
        <w:trPr>
          <w:cantSplit/>
        </w:trPr>
        <w:tc>
          <w:tcPr>
            <w:tcW w:w="9060" w:type="dxa"/>
          </w:tcPr>
          <w:p w14:paraId="59289A77" w14:textId="0576123A" w:rsidR="00125039" w:rsidRDefault="00125039">
            <w:pPr>
              <w:keepNext/>
              <w:keepLines/>
            </w:pPr>
            <w:r w:rsidRPr="00125039">
              <w:rPr>
                <w:b/>
                <w:bCs/>
                <w:caps/>
                <w:color w:val="076DA0"/>
                <w:szCs w:val="20"/>
                <w:lang w:val="en"/>
              </w:rPr>
              <w:lastRenderedPageBreak/>
              <w:t>PRIMARY HEALTH CARE FUNDING TYPES</w:t>
            </w:r>
          </w:p>
          <w:p w14:paraId="5FED189D" w14:textId="77777777" w:rsidR="00125039" w:rsidRDefault="00125039" w:rsidP="00125039">
            <w:pPr>
              <w:keepNext/>
              <w:keepLines/>
            </w:pPr>
            <w:r w:rsidRPr="00125039">
              <w:rPr>
                <w:b/>
                <w:bCs/>
              </w:rPr>
              <w:t>Fee-for-service:</w:t>
            </w:r>
            <w:r>
              <w:t xml:space="preserve"> payment for each episode of care.</w:t>
            </w:r>
          </w:p>
          <w:p w14:paraId="25D63294" w14:textId="77777777" w:rsidR="00125039" w:rsidRDefault="00125039" w:rsidP="00125039">
            <w:pPr>
              <w:keepNext/>
              <w:keepLines/>
            </w:pPr>
            <w:r w:rsidRPr="00125039">
              <w:rPr>
                <w:b/>
                <w:bCs/>
              </w:rPr>
              <w:t>Block funding:</w:t>
            </w:r>
            <w:r>
              <w:t xml:space="preserve"> lump sum payment allocated to service provider.  </w:t>
            </w:r>
          </w:p>
          <w:p w14:paraId="255F0EB1" w14:textId="77777777" w:rsidR="00125039" w:rsidRDefault="00125039" w:rsidP="00125039">
            <w:pPr>
              <w:keepNext/>
              <w:keepLines/>
            </w:pPr>
            <w:r w:rsidRPr="00125039">
              <w:rPr>
                <w:b/>
                <w:bCs/>
              </w:rPr>
              <w:t>Bundled funding:</w:t>
            </w:r>
            <w:r>
              <w:t xml:space="preserve"> single payment for all services related to a specific treatment, condition or patient parameter, possibly spanning multiple providers in multiple settings.</w:t>
            </w:r>
          </w:p>
          <w:p w14:paraId="4AC3553F" w14:textId="77777777" w:rsidR="00125039" w:rsidRDefault="00125039" w:rsidP="00125039">
            <w:pPr>
              <w:keepNext/>
              <w:keepLines/>
            </w:pPr>
            <w:r w:rsidRPr="00125039">
              <w:rPr>
                <w:b/>
                <w:bCs/>
              </w:rPr>
              <w:t>Blended funding:</w:t>
            </w:r>
            <w:r>
              <w:t xml:space="preserve"> combination of funding streams, such as block/bundled plus fee-for-service.</w:t>
            </w:r>
          </w:p>
          <w:p w14:paraId="42AA2D86" w14:textId="77777777" w:rsidR="00125039" w:rsidRDefault="00125039" w:rsidP="00125039">
            <w:pPr>
              <w:keepNext/>
              <w:keepLines/>
            </w:pPr>
            <w:r w:rsidRPr="00125039">
              <w:rPr>
                <w:b/>
                <w:bCs/>
              </w:rPr>
              <w:t>Capitation:</w:t>
            </w:r>
            <w:r>
              <w:t xml:space="preserve"> payment based on the number of patients enrolled or registered with the practice.</w:t>
            </w:r>
          </w:p>
          <w:p w14:paraId="15A14D24" w14:textId="77777777" w:rsidR="00125039" w:rsidRDefault="00125039" w:rsidP="00125039">
            <w:pPr>
              <w:keepNext/>
              <w:keepLines/>
            </w:pPr>
            <w:r w:rsidRPr="00125039">
              <w:rPr>
                <w:b/>
                <w:bCs/>
              </w:rPr>
              <w:t>Value-based care:</w:t>
            </w:r>
            <w:r>
              <w:t xml:space="preserve"> Payments which link clinician, hospital, or health system compensation to performance on specific cost, quality, and equity metrics. </w:t>
            </w:r>
          </w:p>
          <w:p w14:paraId="68192149" w14:textId="77777777" w:rsidR="00125039" w:rsidRDefault="00125039" w:rsidP="00125039">
            <w:pPr>
              <w:keepNext/>
              <w:keepLines/>
            </w:pPr>
            <w:r w:rsidRPr="00125039">
              <w:rPr>
                <w:b/>
                <w:bCs/>
              </w:rPr>
              <w:t>Program grants:</w:t>
            </w:r>
            <w:r>
              <w:t xml:space="preserve"> lump sum payment allocated to a specific program.</w:t>
            </w:r>
          </w:p>
          <w:p w14:paraId="271EEB1A" w14:textId="72617856" w:rsidR="00125039" w:rsidRDefault="00125039" w:rsidP="00125039">
            <w:pPr>
              <w:keepNext/>
              <w:keepLines/>
            </w:pPr>
            <w:r w:rsidRPr="00125039">
              <w:rPr>
                <w:b/>
                <w:bCs/>
              </w:rPr>
              <w:t>Salaried workforce:</w:t>
            </w:r>
            <w:r>
              <w:t xml:space="preserve"> health professionals earn a salary rather than being funded through one of the above funding </w:t>
            </w:r>
            <w:r w:rsidR="00134BF0">
              <w:t>models</w:t>
            </w:r>
            <w:r>
              <w:t xml:space="preserve">. </w:t>
            </w:r>
          </w:p>
          <w:p w14:paraId="05BABDD9" w14:textId="7FD52ACA" w:rsidR="00125039" w:rsidRDefault="00125039" w:rsidP="00125039">
            <w:pPr>
              <w:keepNext/>
              <w:keepLines/>
            </w:pPr>
            <w:r w:rsidRPr="00125039">
              <w:rPr>
                <w:b/>
                <w:bCs/>
              </w:rPr>
              <w:t>Delegated funding:</w:t>
            </w:r>
            <w:r>
              <w:t xml:space="preserve"> a term which appeared through consultations, which refers to practices where a named health professional delegates activities related to care to another health professional</w:t>
            </w:r>
            <w:r w:rsidR="00ED7080">
              <w:t xml:space="preserve"> </w:t>
            </w:r>
            <w:r>
              <w:t>but receives payment for that service</w:t>
            </w:r>
            <w:r w:rsidRPr="00125039">
              <w:t>.</w:t>
            </w:r>
          </w:p>
        </w:tc>
      </w:tr>
    </w:tbl>
    <w:p w14:paraId="7025B7A8" w14:textId="2052723C" w:rsidR="006D7D67" w:rsidRDefault="00CC4C35" w:rsidP="006D7D67">
      <w:r>
        <w:t>T</w:t>
      </w:r>
      <w:r w:rsidR="006D7D67">
        <w:t xml:space="preserve">here are examples internationally where alternative funding models are used to specifically drive multidisciplinary collaboration and care teams. A Canadian example is presented below, which illustrates how the choice of funding </w:t>
      </w:r>
      <w:r w:rsidR="00DF2086">
        <w:t xml:space="preserve">model </w:t>
      </w:r>
      <w:r w:rsidR="006D7D67">
        <w:t xml:space="preserve">can create incentives to strengthen primary care. </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CellMar>
          <w:top w:w="113" w:type="dxa"/>
          <w:bottom w:w="113" w:type="dxa"/>
        </w:tblCellMar>
        <w:tblLook w:val="04A0" w:firstRow="1" w:lastRow="0" w:firstColumn="1" w:lastColumn="0" w:noHBand="0" w:noVBand="1"/>
      </w:tblPr>
      <w:tblGrid>
        <w:gridCol w:w="9060"/>
      </w:tblGrid>
      <w:tr w:rsidR="00125039" w14:paraId="3A02B2CF" w14:textId="77777777" w:rsidTr="001A2DBA">
        <w:trPr>
          <w:cantSplit/>
        </w:trPr>
        <w:tc>
          <w:tcPr>
            <w:tcW w:w="9060" w:type="dxa"/>
          </w:tcPr>
          <w:p w14:paraId="3CAB203D" w14:textId="55857586" w:rsidR="00125039" w:rsidRDefault="00125039">
            <w:pPr>
              <w:keepNext/>
              <w:keepLines/>
            </w:pPr>
            <w:r w:rsidRPr="00125039">
              <w:rPr>
                <w:b/>
                <w:bCs/>
                <w:caps/>
                <w:color w:val="076DA0"/>
                <w:szCs w:val="20"/>
                <w:lang w:val="en"/>
              </w:rPr>
              <w:t>FAMILY HEALTH TEAM (FHT) – ONTARIO, CANADA</w:t>
            </w:r>
          </w:p>
          <w:p w14:paraId="09A27F84" w14:textId="2FD78A6F" w:rsidR="00125039" w:rsidRDefault="00125039">
            <w:pPr>
              <w:keepNext/>
              <w:keepLines/>
            </w:pPr>
            <w:r w:rsidRPr="00125039">
              <w:t xml:space="preserve">The FHT model was introduced in 2005 as a part of the Ontario government's strategy to improve access to team-based primary care. Most FHTs consist of family physicians, nurses, and other health care providers (such as allied health and pharmacists) who share responsibility and work collaboratively to provide comprehensive primary care. The FHT collaborative practice model has required significant changes in the delivery of primary health care services. Medical professionals in FHTs are compensated via blended capitation and salary, to encourage the delivery of comprehensive primary health care to patients. This funding model has facilitated team-based care that allows </w:t>
            </w:r>
            <w:r w:rsidR="0030561E">
              <w:t>each</w:t>
            </w:r>
            <w:r w:rsidR="0030561E" w:rsidRPr="00125039">
              <w:t xml:space="preserve"> </w:t>
            </w:r>
            <w:r w:rsidRPr="00125039">
              <w:t>health professional in the team to work at their full scope of practice, enabling efficient collaborations that meet patient needs, when and where they need it.</w:t>
            </w:r>
          </w:p>
        </w:tc>
      </w:tr>
    </w:tbl>
    <w:p w14:paraId="085A37C5" w14:textId="69472778" w:rsidR="00DF2086" w:rsidRDefault="00DF2086" w:rsidP="001A7ED5">
      <w:pPr>
        <w:pStyle w:val="Heading4"/>
      </w:pPr>
      <w:r>
        <w:t>Challenges</w:t>
      </w:r>
    </w:p>
    <w:p w14:paraId="47DF280D" w14:textId="77777777" w:rsidR="00CD12ED" w:rsidRDefault="00CD12ED" w:rsidP="00CD12ED">
      <w:r w:rsidRPr="00726F5B">
        <w:t xml:space="preserve">Evidence to date highlights that funding </w:t>
      </w:r>
      <w:r>
        <w:t xml:space="preserve">and payment </w:t>
      </w:r>
      <w:r w:rsidRPr="00726F5B">
        <w:t xml:space="preserve">policy </w:t>
      </w:r>
      <w:r>
        <w:t xml:space="preserve">settings </w:t>
      </w:r>
      <w:r w:rsidRPr="00726F5B">
        <w:t xml:space="preserve">underpinning the primary health care system are a significant issue with wide-ranging impacts on the ability of health professionals to work to full scope of practice, and for consumers to get timely access to optimal multidisciplinary care. Reform to primary health care funding </w:t>
      </w:r>
      <w:r>
        <w:t xml:space="preserve">and payment </w:t>
      </w:r>
      <w:r w:rsidRPr="00726F5B">
        <w:t xml:space="preserve">could </w:t>
      </w:r>
      <w:r w:rsidRPr="00726F5B">
        <w:lastRenderedPageBreak/>
        <w:t>yield benefits in terms of improved quality, safety, connectivity, collaboration and consumer outcomes.</w:t>
      </w:r>
    </w:p>
    <w:p w14:paraId="5710589B" w14:textId="77777777" w:rsidR="00CD12ED" w:rsidRDefault="00CD12ED" w:rsidP="00CD12ED">
      <w:r>
        <w:t>While consultations raised some concern about the amount of funding available through the MBS, there were greater concerns that overall model for funding and payment of primary health care (not just the MBS) is not flexible or broad enough to effectively support long-term care relationships, continuity of care or multidisciplinary care. In other words, if payment rules do not explicitly support co-ordinated multidisciplinary care delivered by health professionals working to their full scope of practice, there is the potential for consumer outcomes to be negatively impacted.</w:t>
      </w:r>
    </w:p>
    <w:p w14:paraId="26003D29" w14:textId="4E4E45CF" w:rsidR="00DF2086" w:rsidRDefault="00CD12ED" w:rsidP="001A7ED5">
      <w:pPr>
        <w:pStyle w:val="Heading4"/>
      </w:pPr>
      <w:r>
        <w:t>Opportunities for improvement</w:t>
      </w:r>
    </w:p>
    <w:p w14:paraId="7AA55B5C" w14:textId="77777777" w:rsidR="00B8623C" w:rsidRDefault="00B8623C" w:rsidP="00B8623C">
      <w:r>
        <w:t xml:space="preserve">There are opportunities to make policy changes to primary health care funding and payment models, which could enable both individual health professionals and multidisciplinary care teams to work more effectively to full scope of practice. It should be noted that a number of reviews including the </w:t>
      </w:r>
      <w:r>
        <w:rPr>
          <w:i/>
          <w:iCs/>
        </w:rPr>
        <w:t>Strengthening Medicare Taskforce</w:t>
      </w:r>
      <w:r>
        <w:t xml:space="preserve"> </w:t>
      </w:r>
      <w:r>
        <w:rPr>
          <w:i/>
          <w:iCs/>
        </w:rPr>
        <w:t xml:space="preserve">Report (2022) </w:t>
      </w:r>
      <w:r>
        <w:t xml:space="preserve">have not only identified funding policy as a key barrier to reforming the Australian primary health care system, but also led to major policy changes to funding to rectify them, i.e., MyMedicare. </w:t>
      </w:r>
    </w:p>
    <w:p w14:paraId="7D476A47" w14:textId="4A7D8A48" w:rsidR="00A55E4A" w:rsidRDefault="007325E3" w:rsidP="00857138">
      <w:r>
        <w:t xml:space="preserve">The key </w:t>
      </w:r>
      <w:r w:rsidR="00A7037C">
        <w:t xml:space="preserve">funding-related </w:t>
      </w:r>
      <w:r>
        <w:t>solutions</w:t>
      </w:r>
      <w:r w:rsidR="002F4E32">
        <w:t xml:space="preserve"> </w:t>
      </w:r>
      <w:r w:rsidR="00A7037C">
        <w:t xml:space="preserve">relevant to the Australian context, and </w:t>
      </w:r>
      <w:r w:rsidR="002F4E32">
        <w:t>discussed at length in the evidence</w:t>
      </w:r>
      <w:r w:rsidR="00A7037C">
        <w:t xml:space="preserve">, </w:t>
      </w:r>
      <w:r w:rsidR="00625485">
        <w:t xml:space="preserve">serve to increase the flexibility in how </w:t>
      </w:r>
      <w:r w:rsidR="00DC25B0">
        <w:t>primary care is funded and delivered, and by whom</w:t>
      </w:r>
      <w:r w:rsidR="00E44D40">
        <w:t>. They also promote more</w:t>
      </w:r>
      <w:r w:rsidR="00C81ADD">
        <w:t xml:space="preserve"> multidisciplinary </w:t>
      </w:r>
      <w:r w:rsidR="00E44D40">
        <w:t xml:space="preserve">delivery of primary </w:t>
      </w:r>
      <w:r w:rsidR="00C81ADD">
        <w:t xml:space="preserve">care. </w:t>
      </w:r>
      <w:r w:rsidR="00C7783F">
        <w:t xml:space="preserve">Potential policy solutions </w:t>
      </w:r>
      <w:r w:rsidR="00C7783F" w:rsidDel="00E1211E">
        <w:t xml:space="preserve">which may achieve these aims </w:t>
      </w:r>
      <w:r w:rsidR="00C7783F">
        <w:t xml:space="preserve">include: </w:t>
      </w:r>
    </w:p>
    <w:p w14:paraId="4C3130C0" w14:textId="163D9237" w:rsidR="00857138" w:rsidRDefault="00857138" w:rsidP="001A2DBA">
      <w:pPr>
        <w:pStyle w:val="ListParagraph"/>
        <w:numPr>
          <w:ilvl w:val="0"/>
          <w:numId w:val="14"/>
        </w:numPr>
        <w:rPr>
          <w:b/>
          <w:bCs/>
        </w:rPr>
      </w:pPr>
      <w:r>
        <w:rPr>
          <w:b/>
          <w:bCs/>
        </w:rPr>
        <w:t xml:space="preserve">Block, bundled and blended funding </w:t>
      </w:r>
      <w:r>
        <w:t xml:space="preserve">which enable care to be delivered more flexibly, across different care settings and health professionals. As stated above, MyMedicare reforms are expected to introduce more blended funding into GP clinics. </w:t>
      </w:r>
    </w:p>
    <w:p w14:paraId="16281609" w14:textId="38BE4C75" w:rsidR="00857138" w:rsidRDefault="00857138" w:rsidP="001A2DBA">
      <w:pPr>
        <w:pStyle w:val="ListParagraph"/>
        <w:numPr>
          <w:ilvl w:val="0"/>
          <w:numId w:val="14"/>
        </w:numPr>
        <w:rPr>
          <w:b/>
          <w:bCs/>
        </w:rPr>
      </w:pPr>
      <w:r>
        <w:rPr>
          <w:b/>
          <w:bCs/>
        </w:rPr>
        <w:t xml:space="preserve">Funding </w:t>
      </w:r>
      <w:r w:rsidR="00C805DA">
        <w:rPr>
          <w:b/>
          <w:bCs/>
        </w:rPr>
        <w:t xml:space="preserve">policy and payment </w:t>
      </w:r>
      <w:r>
        <w:rPr>
          <w:b/>
          <w:bCs/>
        </w:rPr>
        <w:t>which incentivise</w:t>
      </w:r>
      <w:r w:rsidR="00C805DA">
        <w:rPr>
          <w:b/>
          <w:bCs/>
        </w:rPr>
        <w:t>s</w:t>
      </w:r>
      <w:r>
        <w:rPr>
          <w:b/>
          <w:bCs/>
        </w:rPr>
        <w:t xml:space="preserve"> multidisciplinary care teams, </w:t>
      </w:r>
      <w:r>
        <w:t xml:space="preserve">such as in the Canadian example above, and with other international examples including </w:t>
      </w:r>
      <w:r>
        <w:rPr>
          <w:color w:val="1F1F1F"/>
        </w:rPr>
        <w:t xml:space="preserve">patient-centred medical homes in the US and primary care homes in the UK. </w:t>
      </w:r>
      <w:r>
        <w:t xml:space="preserve">Evidence to date also suggests capitated and blended funding are </w:t>
      </w:r>
      <w:r w:rsidR="00C805DA">
        <w:t xml:space="preserve">able </w:t>
      </w:r>
      <w:r>
        <w:t xml:space="preserve">to </w:t>
      </w:r>
      <w:r w:rsidR="00C805DA">
        <w:t xml:space="preserve">better </w:t>
      </w:r>
      <w:r>
        <w:t xml:space="preserve">support primary care for people with complex health needs, who are most in need of multidisciplinary care teams and for whom current GP Management Plan arrangements are often inadequate. </w:t>
      </w:r>
    </w:p>
    <w:p w14:paraId="1AE21A68" w14:textId="338F11AC" w:rsidR="00857138" w:rsidRDefault="00857138" w:rsidP="001A2DBA">
      <w:pPr>
        <w:pStyle w:val="ListParagraph"/>
        <w:numPr>
          <w:ilvl w:val="0"/>
          <w:numId w:val="14"/>
        </w:numPr>
        <w:rPr>
          <w:b/>
          <w:bCs/>
        </w:rPr>
      </w:pPr>
      <w:r>
        <w:rPr>
          <w:b/>
          <w:bCs/>
        </w:rPr>
        <w:t xml:space="preserve">Enabling non-medical professionals to make referrals by </w:t>
      </w:r>
      <w:r w:rsidR="007B1907">
        <w:rPr>
          <w:b/>
          <w:bCs/>
        </w:rPr>
        <w:t>reviewing</w:t>
      </w:r>
      <w:r>
        <w:rPr>
          <w:b/>
          <w:bCs/>
        </w:rPr>
        <w:t xml:space="preserve"> MBS </w:t>
      </w:r>
      <w:r w:rsidR="007B1907">
        <w:rPr>
          <w:b/>
          <w:bCs/>
        </w:rPr>
        <w:t>payment</w:t>
      </w:r>
      <w:r w:rsidR="007B1907" w:rsidRPr="4973C6DC">
        <w:rPr>
          <w:b/>
          <w:bCs/>
        </w:rPr>
        <w:t xml:space="preserve"> </w:t>
      </w:r>
      <w:r>
        <w:rPr>
          <w:b/>
          <w:bCs/>
        </w:rPr>
        <w:t>rules</w:t>
      </w:r>
      <w:r>
        <w:t xml:space="preserve">. Opening up access beyond the medical profession to referrals for </w:t>
      </w:r>
      <w:r w:rsidR="00F5089D">
        <w:t xml:space="preserve">certain </w:t>
      </w:r>
      <w:r>
        <w:t>MBS subsidised specialist services addresses a widely</w:t>
      </w:r>
      <w:r w:rsidR="00F5089D">
        <w:t xml:space="preserve"> </w:t>
      </w:r>
      <w:r>
        <w:t xml:space="preserve">discussed gap in the primary health </w:t>
      </w:r>
      <w:r w:rsidR="002F76F2">
        <w:t>care</w:t>
      </w:r>
      <w:r>
        <w:t xml:space="preserve"> system and overreliance on GPs to manage all referrals. A range of examples were raised through the evidence of opportunities for non-medical professionals to make direct referrals to specialists and other health professionals, as well as for GPs to make particular types of referrals (such as to MRIs) and prescribe a wider range of medications. This would need to be accompanied by corresponding changes to </w:t>
      </w:r>
      <w:r w:rsidR="00F5089D">
        <w:t>MBS payment rules</w:t>
      </w:r>
      <w:r w:rsidR="00810C04">
        <w:t>,</w:t>
      </w:r>
      <w:r>
        <w:t xml:space="preserve"> where required</w:t>
      </w:r>
      <w:r w:rsidR="00810C04">
        <w:t>,</w:t>
      </w:r>
      <w:r>
        <w:t xml:space="preserve"> as well as more systematic use of digital health support through My Health Record for all team based professional interactions. </w:t>
      </w:r>
    </w:p>
    <w:p w14:paraId="12C9F74E" w14:textId="6AB8588F" w:rsidR="00656CFC" w:rsidRDefault="00A55E4A" w:rsidP="001A2DBA">
      <w:pPr>
        <w:pStyle w:val="ListParagraph"/>
        <w:numPr>
          <w:ilvl w:val="0"/>
          <w:numId w:val="14"/>
        </w:numPr>
        <w:tabs>
          <w:tab w:val="clear" w:pos="340"/>
          <w:tab w:val="num" w:pos="2257"/>
        </w:tabs>
        <w:rPr>
          <w:b/>
          <w:bCs/>
        </w:rPr>
      </w:pPr>
      <w:r>
        <w:rPr>
          <w:b/>
          <w:bCs/>
        </w:rPr>
        <w:t>F</w:t>
      </w:r>
      <w:r w:rsidR="00656CFC">
        <w:rPr>
          <w:b/>
          <w:bCs/>
        </w:rPr>
        <w:t>unding episodes of care regardless of profession</w:t>
      </w:r>
      <w:r w:rsidR="00656CFC">
        <w:t xml:space="preserve">. </w:t>
      </w:r>
      <w:r>
        <w:t>In consultations, many health professionals raised that they wished to see more parity in how professional services are funded</w:t>
      </w:r>
      <w:r w:rsidR="00501DA0">
        <w:t xml:space="preserve">, </w:t>
      </w:r>
      <w:r w:rsidR="001063B0">
        <w:t>i.e.,</w:t>
      </w:r>
      <w:r w:rsidR="00501DA0">
        <w:t xml:space="preserve"> a single MBS rate for a particular activity irrespective of who delivers it. </w:t>
      </w:r>
      <w:r w:rsidR="002253B2">
        <w:t>T</w:t>
      </w:r>
      <w:r w:rsidR="00656CFC">
        <w:t xml:space="preserve">his approach </w:t>
      </w:r>
      <w:r w:rsidR="00116710">
        <w:t xml:space="preserve">is based on the existing fee-for-service model and </w:t>
      </w:r>
      <w:r w:rsidR="00AD4006">
        <w:t xml:space="preserve">may </w:t>
      </w:r>
      <w:r w:rsidR="00C04FEE">
        <w:t xml:space="preserve">need to be </w:t>
      </w:r>
      <w:r w:rsidR="00C04FEE">
        <w:lastRenderedPageBreak/>
        <w:t>accompanied by additional reforms in order to achieve improvements in</w:t>
      </w:r>
      <w:r w:rsidR="00656CFC">
        <w:t xml:space="preserve"> continuity of care or collaborative care</w:t>
      </w:r>
      <w:r w:rsidR="002253B2">
        <w:t>.</w:t>
      </w:r>
      <w:r w:rsidR="00656CFC">
        <w:t xml:space="preserve">  </w:t>
      </w:r>
    </w:p>
    <w:p w14:paraId="3CD23E79" w14:textId="7D330149" w:rsidR="00E42E7D" w:rsidRDefault="00E42E7D" w:rsidP="00E42E7D">
      <w:r>
        <w:t xml:space="preserve">Reform to funding </w:t>
      </w:r>
      <w:r w:rsidR="005717C6">
        <w:t xml:space="preserve">policy </w:t>
      </w:r>
      <w:r>
        <w:t xml:space="preserve">is not without risks, and any </w:t>
      </w:r>
      <w:r w:rsidR="005717C6">
        <w:t>change</w:t>
      </w:r>
      <w:r>
        <w:t xml:space="preserve"> may carry the risk of incentivising or disincentivising certain types of care delivery. For instance, delegated funding models reinforce the status quo GP-centred model of care to a greater extent than alternatives such as blended or block funding, potentially limiting the flexibility of non-medical professions to work to full scope of practice. Other risks, such as poor team cohesion, scope overlap</w:t>
      </w:r>
      <w:r w:rsidR="00141BE1">
        <w:t xml:space="preserve"> and </w:t>
      </w:r>
      <w:r>
        <w:t>perceived role threat, could potentially result from a move away from the current GP</w:t>
      </w:r>
      <w:r w:rsidR="00501DA0">
        <w:t>-</w:t>
      </w:r>
      <w:r>
        <w:t>centred model and towards more multidisciplinary and collaborative care.</w:t>
      </w:r>
      <w:r w:rsidR="00390A27" w:rsidRPr="00390A27">
        <w:t xml:space="preserve"> </w:t>
      </w:r>
      <w:r w:rsidR="00390A27">
        <w:t xml:space="preserve">Policy reforms to funding should also be considered carefully as a supporting and enabling component of reforms in legislation and regulation, education and training, and employer practices and setting, rather than in isolation. </w:t>
      </w:r>
      <w:r>
        <w:t xml:space="preserve"> </w:t>
      </w:r>
    </w:p>
    <w:p w14:paraId="3CE2F329" w14:textId="77777777" w:rsidR="00390A27" w:rsidRDefault="00390A27" w:rsidP="001A7ED5">
      <w:pPr>
        <w:pStyle w:val="Heading4"/>
      </w:pPr>
      <w:r>
        <w:t xml:space="preserve">Potential benefits </w:t>
      </w:r>
    </w:p>
    <w:p w14:paraId="39F21D58" w14:textId="28C55B83" w:rsidR="00656CFC" w:rsidRDefault="00656CFC" w:rsidP="00656CFC">
      <w:r>
        <w:t xml:space="preserve">Initial evidence suggests that reform to primary health </w:t>
      </w:r>
      <w:r w:rsidR="002F76F2">
        <w:t>care</w:t>
      </w:r>
      <w:r>
        <w:t xml:space="preserve"> funding </w:t>
      </w:r>
      <w:r w:rsidR="00390A27">
        <w:t xml:space="preserve">policy </w:t>
      </w:r>
      <w:r>
        <w:t xml:space="preserve">could yield benefits including: </w:t>
      </w:r>
    </w:p>
    <w:p w14:paraId="185C8027" w14:textId="46199E13" w:rsidR="00E4634C" w:rsidRDefault="00180803" w:rsidP="001A2DBA">
      <w:pPr>
        <w:pStyle w:val="ListParagraph"/>
        <w:numPr>
          <w:ilvl w:val="0"/>
          <w:numId w:val="8"/>
        </w:numPr>
      </w:pPr>
      <w:r>
        <w:rPr>
          <w:b/>
          <w:bCs/>
        </w:rPr>
        <w:t>Greater continuity of care</w:t>
      </w:r>
      <w:r w:rsidR="001877FA">
        <w:t xml:space="preserve"> by </w:t>
      </w:r>
      <w:r w:rsidRPr="00C4664B">
        <w:t xml:space="preserve">making it easier for </w:t>
      </w:r>
      <w:r w:rsidR="00C4664B">
        <w:t xml:space="preserve">people to </w:t>
      </w:r>
      <w:r w:rsidR="00A37D26" w:rsidRPr="00C4664B">
        <w:t xml:space="preserve">receive primary health care </w:t>
      </w:r>
      <w:r w:rsidR="001877FA">
        <w:t>across or within health</w:t>
      </w:r>
      <w:r w:rsidR="007F55DF">
        <w:t xml:space="preserve"> </w:t>
      </w:r>
      <w:r w:rsidR="001877FA">
        <w:t xml:space="preserve">care settings, </w:t>
      </w:r>
      <w:r w:rsidR="00A37D26" w:rsidRPr="00C4664B">
        <w:t>where and when they need</w:t>
      </w:r>
      <w:r w:rsidR="00A37D26" w:rsidRPr="00A37D26">
        <w:t xml:space="preserve"> it.</w:t>
      </w:r>
      <w:r w:rsidR="009937EF">
        <w:t xml:space="preserve"> </w:t>
      </w:r>
    </w:p>
    <w:p w14:paraId="3315BCF6" w14:textId="77777777" w:rsidR="00E42E7D" w:rsidRDefault="00E42E7D" w:rsidP="001A2DBA">
      <w:pPr>
        <w:pStyle w:val="ListParagraph"/>
        <w:numPr>
          <w:ilvl w:val="0"/>
          <w:numId w:val="8"/>
        </w:numPr>
      </w:pPr>
      <w:r>
        <w:rPr>
          <w:b/>
          <w:bCs/>
        </w:rPr>
        <w:t>Reduced time and cost burden along the care pathway</w:t>
      </w:r>
      <w:r>
        <w:t xml:space="preserve"> by enabling consumers to access referrals to specialist and some diagnostic services through the relevant health professional, not only via their GP. </w:t>
      </w:r>
    </w:p>
    <w:p w14:paraId="1FDAA5A1" w14:textId="77777777" w:rsidR="00180E42" w:rsidRDefault="001877FA" w:rsidP="001A2DBA">
      <w:pPr>
        <w:pStyle w:val="ListParagraph"/>
        <w:numPr>
          <w:ilvl w:val="0"/>
          <w:numId w:val="8"/>
        </w:numPr>
      </w:pPr>
      <w:r>
        <w:rPr>
          <w:b/>
          <w:bCs/>
        </w:rPr>
        <w:t>Reduced</w:t>
      </w:r>
      <w:r w:rsidR="0026673C">
        <w:rPr>
          <w:b/>
        </w:rPr>
        <w:t xml:space="preserve"> burden on </w:t>
      </w:r>
      <w:r>
        <w:rPr>
          <w:b/>
          <w:bCs/>
        </w:rPr>
        <w:t>GP workforce</w:t>
      </w:r>
      <w:r w:rsidR="009F090E">
        <w:rPr>
          <w:b/>
        </w:rPr>
        <w:t xml:space="preserve"> </w:t>
      </w:r>
      <w:r w:rsidR="009F090E">
        <w:t>as other health professionals are enabled to work closer to full scope of practice</w:t>
      </w:r>
      <w:r>
        <w:t xml:space="preserve"> and in a more collaborative way</w:t>
      </w:r>
      <w:r w:rsidR="004B2610">
        <w:t>.</w:t>
      </w:r>
      <w:r w:rsidR="0026673C">
        <w:t xml:space="preserve"> </w:t>
      </w:r>
    </w:p>
    <w:p w14:paraId="2210CF28" w14:textId="36546C29" w:rsidR="00E573A2" w:rsidRDefault="003B7665" w:rsidP="001A2DBA">
      <w:pPr>
        <w:pStyle w:val="ListParagraph"/>
        <w:numPr>
          <w:ilvl w:val="0"/>
          <w:numId w:val="8"/>
        </w:numPr>
      </w:pPr>
      <w:r>
        <w:rPr>
          <w:b/>
          <w:bCs/>
        </w:rPr>
        <w:t>More effective c</w:t>
      </w:r>
      <w:r w:rsidR="00E573A2" w:rsidRPr="000660D9">
        <w:rPr>
          <w:b/>
          <w:bCs/>
        </w:rPr>
        <w:t>hronic</w:t>
      </w:r>
      <w:r w:rsidR="00E573A2" w:rsidRPr="547657DD">
        <w:rPr>
          <w:b/>
          <w:bCs/>
        </w:rPr>
        <w:t xml:space="preserve"> illness </w:t>
      </w:r>
      <w:r w:rsidR="00E573A2" w:rsidRPr="000660D9">
        <w:rPr>
          <w:b/>
          <w:bCs/>
        </w:rPr>
        <w:t>management</w:t>
      </w:r>
      <w:r w:rsidR="009D1B28">
        <w:rPr>
          <w:b/>
          <w:bCs/>
        </w:rPr>
        <w:t xml:space="preserve"> </w:t>
      </w:r>
      <w:r w:rsidR="009D1B28" w:rsidRPr="009D1B28">
        <w:t>by</w:t>
      </w:r>
      <w:r w:rsidR="00586ECC">
        <w:rPr>
          <w:b/>
          <w:bCs/>
        </w:rPr>
        <w:t xml:space="preserve"> </w:t>
      </w:r>
      <w:r w:rsidR="00881257">
        <w:t>address</w:t>
      </w:r>
      <w:r w:rsidR="009D1B28">
        <w:t>ing</w:t>
      </w:r>
      <w:r w:rsidR="00881257">
        <w:t xml:space="preserve"> disincentives to</w:t>
      </w:r>
      <w:r w:rsidR="002E1098">
        <w:t xml:space="preserve"> </w:t>
      </w:r>
      <w:r w:rsidR="00196703">
        <w:t>long-</w:t>
      </w:r>
      <w:r w:rsidR="00E573A2">
        <w:t xml:space="preserve">term </w:t>
      </w:r>
      <w:r w:rsidR="00196703">
        <w:t xml:space="preserve">and team-based </w:t>
      </w:r>
      <w:r w:rsidR="00E573A2">
        <w:t>care relationships</w:t>
      </w:r>
      <w:r w:rsidR="00196703">
        <w:t xml:space="preserve">, </w:t>
      </w:r>
      <w:r w:rsidR="009D1B28">
        <w:t>which are to an extent</w:t>
      </w:r>
      <w:r w:rsidR="00586ECC">
        <w:t xml:space="preserve"> inherent to fee-for-service </w:t>
      </w:r>
      <w:r w:rsidR="00390A27">
        <w:t>models</w:t>
      </w:r>
      <w:r w:rsidR="00E573A2">
        <w:t xml:space="preserve">. </w:t>
      </w:r>
    </w:p>
    <w:p w14:paraId="79E7F7D0" w14:textId="77777777" w:rsidR="00180E42" w:rsidRDefault="00E44605" w:rsidP="001A2DBA">
      <w:pPr>
        <w:pStyle w:val="ListParagraph"/>
        <w:numPr>
          <w:ilvl w:val="0"/>
          <w:numId w:val="8"/>
        </w:numPr>
      </w:pPr>
      <w:r>
        <w:rPr>
          <w:b/>
          <w:bCs/>
        </w:rPr>
        <w:t>More</w:t>
      </w:r>
      <w:r w:rsidR="00180E42" w:rsidRPr="009A4970">
        <w:rPr>
          <w:b/>
          <w:bCs/>
        </w:rPr>
        <w:t xml:space="preserve"> collaboration</w:t>
      </w:r>
      <w:r>
        <w:rPr>
          <w:b/>
          <w:bCs/>
        </w:rPr>
        <w:t xml:space="preserve"> between</w:t>
      </w:r>
      <w:r w:rsidR="00E1614B">
        <w:rPr>
          <w:b/>
        </w:rPr>
        <w:t xml:space="preserve"> health </w:t>
      </w:r>
      <w:r>
        <w:rPr>
          <w:b/>
          <w:bCs/>
        </w:rPr>
        <w:t>professionals</w:t>
      </w:r>
      <w:r w:rsidR="00180E42" w:rsidRPr="009A4970">
        <w:rPr>
          <w:b/>
          <w:bCs/>
        </w:rPr>
        <w:t xml:space="preserve"> </w:t>
      </w:r>
      <w:r w:rsidR="00057A8E">
        <w:t>by streamlining care pathways, with</w:t>
      </w:r>
      <w:r w:rsidR="008F7ED1">
        <w:t xml:space="preserve"> the potential to improve i</w:t>
      </w:r>
      <w:r w:rsidR="00E573A2">
        <w:t>nterprofessional trust, confidence</w:t>
      </w:r>
      <w:r w:rsidR="00E1614B">
        <w:t xml:space="preserve"> and </w:t>
      </w:r>
      <w:r w:rsidR="00E573A2">
        <w:t>respect</w:t>
      </w:r>
      <w:r w:rsidR="00E1614B">
        <w:t>, workforce satisfaction and stability</w:t>
      </w:r>
      <w:r w:rsidR="00E573A2">
        <w:t>.</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shd w:val="clear" w:color="auto" w:fill="D9F9FF"/>
        <w:tblCellMar>
          <w:top w:w="113" w:type="dxa"/>
          <w:bottom w:w="113" w:type="dxa"/>
        </w:tblCellMar>
        <w:tblLook w:val="04A0" w:firstRow="1" w:lastRow="0" w:firstColumn="1" w:lastColumn="0" w:noHBand="0" w:noVBand="1"/>
      </w:tblPr>
      <w:tblGrid>
        <w:gridCol w:w="9060"/>
      </w:tblGrid>
      <w:tr w:rsidR="00521E9C" w14:paraId="4207F9A3" w14:textId="77777777" w:rsidTr="001A7ED5">
        <w:trPr>
          <w:cantSplit/>
        </w:trPr>
        <w:tc>
          <w:tcPr>
            <w:tcW w:w="9060" w:type="dxa"/>
            <w:shd w:val="clear" w:color="auto" w:fill="D9F9FF"/>
          </w:tcPr>
          <w:p w14:paraId="1F262A55" w14:textId="77777777" w:rsidR="00521E9C" w:rsidRPr="00C4258A" w:rsidRDefault="00521E9C" w:rsidP="001A7ED5">
            <w:pPr>
              <w:keepNext/>
              <w:keepLines/>
              <w:rPr>
                <w:b/>
                <w:bCs/>
              </w:rPr>
            </w:pPr>
            <w:r w:rsidRPr="00C4258A">
              <w:rPr>
                <w:b/>
                <w:bCs/>
              </w:rPr>
              <w:lastRenderedPageBreak/>
              <w:t xml:space="preserve">Questions for further consultation </w:t>
            </w:r>
          </w:p>
          <w:p w14:paraId="5FB11D06" w14:textId="37D81D52" w:rsidR="00AB13BD" w:rsidRDefault="00AB13BD" w:rsidP="001A2DBA">
            <w:pPr>
              <w:pStyle w:val="ListParagraph"/>
              <w:keepNext/>
              <w:keepLines/>
              <w:numPr>
                <w:ilvl w:val="0"/>
                <w:numId w:val="11"/>
              </w:numPr>
            </w:pPr>
            <w:r>
              <w:t>How could</w:t>
            </w:r>
            <w:r w:rsidRPr="003801BC">
              <w:t xml:space="preserve"> funding </w:t>
            </w:r>
            <w:r>
              <w:t xml:space="preserve">and payment </w:t>
            </w:r>
            <w:r w:rsidRPr="003801BC">
              <w:t>be provided differently to enhanc</w:t>
            </w:r>
            <w:r w:rsidR="00273AA3">
              <w:t>e</w:t>
            </w:r>
            <w:r w:rsidRPr="003801BC">
              <w:t xml:space="preserve"> </w:t>
            </w:r>
            <w:r>
              <w:t xml:space="preserve">health professionals’ ability to work to </w:t>
            </w:r>
            <w:r w:rsidRPr="003801BC">
              <w:t>full scope of practice</w:t>
            </w:r>
            <w:r w:rsidR="00273AA3">
              <w:t>,</w:t>
            </w:r>
            <w:r w:rsidRPr="003801BC">
              <w:t xml:space="preserve"> and how </w:t>
            </w:r>
            <w:r w:rsidR="00273AA3">
              <w:t xml:space="preserve">could the funding model </w:t>
            </w:r>
            <w:r w:rsidRPr="003801BC">
              <w:t>work?</w:t>
            </w:r>
          </w:p>
          <w:p w14:paraId="28B34726" w14:textId="77777777" w:rsidR="00AB13BD" w:rsidRDefault="00AB13BD" w:rsidP="001A2DBA">
            <w:pPr>
              <w:pStyle w:val="ListParagraph"/>
              <w:keepNext/>
              <w:keepLines/>
              <w:numPr>
                <w:ilvl w:val="0"/>
                <w:numId w:val="11"/>
              </w:numPr>
            </w:pPr>
            <w:r>
              <w:t xml:space="preserve">Which alternative funding and payment types do you believe have the most potential to strengthen multidisciplinary care in the primary health care system? </w:t>
            </w:r>
          </w:p>
          <w:p w14:paraId="3BA4F2EB" w14:textId="78EE211F" w:rsidR="002E59DB" w:rsidRPr="00521E9C" w:rsidRDefault="00AB13BD" w:rsidP="001A2DBA">
            <w:pPr>
              <w:pStyle w:val="ListParagraph"/>
              <w:keepNext/>
              <w:keepLines/>
              <w:numPr>
                <w:ilvl w:val="0"/>
                <w:numId w:val="11"/>
              </w:numPr>
            </w:pPr>
            <w:r>
              <w:t>What risks do you foresee in introducing alternative funding and payment types to support health professionals to work to full scope of practice, how do these risks compare to the risks of remaining at status quo</w:t>
            </w:r>
            <w:r w:rsidR="00E740AC">
              <w:t>,</w:t>
            </w:r>
            <w:r>
              <w:t xml:space="preserve"> and how might these risks be managed?</w:t>
            </w:r>
          </w:p>
        </w:tc>
      </w:tr>
    </w:tbl>
    <w:p w14:paraId="2EC2CC8C" w14:textId="13193C09" w:rsidR="005717F6" w:rsidRDefault="005717F6" w:rsidP="001A2DBA">
      <w:pPr>
        <w:pStyle w:val="Heading2"/>
        <w:numPr>
          <w:ilvl w:val="0"/>
          <w:numId w:val="27"/>
        </w:numPr>
      </w:pPr>
      <w:bookmarkStart w:id="20" w:name="_Ref155881817"/>
      <w:bookmarkStart w:id="21" w:name="_Toc156832073"/>
      <w:r>
        <w:t>Technology</w:t>
      </w:r>
      <w:bookmarkEnd w:id="20"/>
      <w:bookmarkEnd w:id="21"/>
    </w:p>
    <w:p w14:paraId="022DE1CB" w14:textId="43DD1E37" w:rsidR="005717F6" w:rsidRDefault="005717F6" w:rsidP="005717F6">
      <w:r>
        <w:t xml:space="preserve">Technology is recognised as a significant factor enabling primary health </w:t>
      </w:r>
      <w:r w:rsidR="00E42E7D">
        <w:t xml:space="preserve">care </w:t>
      </w:r>
      <w:r>
        <w:t xml:space="preserve">providers and care teams to work in a connected way. Robust digital health infrastructure </w:t>
      </w:r>
      <w:r w:rsidR="250631ED">
        <w:t xml:space="preserve">may </w:t>
      </w:r>
      <w:r>
        <w:t xml:space="preserve">enable consumers and health professionals to access and share information, and to work together more collaboratively and equitably, by ensuring all health professionals have visibility over the same information. In this way, technology is a key enabler for both individual health professionals and multidisciplinary care teams to work to full scope of practice and achieve better consumer outcomes. </w:t>
      </w:r>
    </w:p>
    <w:p w14:paraId="353BCE70" w14:textId="211C5247" w:rsidR="005717F6" w:rsidRDefault="005717F6" w:rsidP="005717F6">
      <w:r>
        <w:t xml:space="preserve">The Strengthening Medicare Taskforce, in their final report, emphasised the importance of modernising data and digital technology to support safe and quality consumer-centred care. Australia’s </w:t>
      </w:r>
      <w:r w:rsidRPr="009A504F">
        <w:rPr>
          <w:i/>
          <w:iCs/>
        </w:rPr>
        <w:t>Digital Health Blueprint 2023-33</w:t>
      </w:r>
      <w:r>
        <w:t xml:space="preserve"> echoes this vision, seeking to implement system-wide digital reform to enable health care to be delivered more effectively, including in the primary health </w:t>
      </w:r>
      <w:r w:rsidR="00144E8D">
        <w:t xml:space="preserve">care </w:t>
      </w:r>
      <w:r>
        <w:t>system.</w:t>
      </w:r>
    </w:p>
    <w:p w14:paraId="4DF64012" w14:textId="5DFD1C10" w:rsidR="00786CB2" w:rsidRDefault="00786CB2" w:rsidP="001A7ED5">
      <w:pPr>
        <w:pStyle w:val="Heading4"/>
      </w:pPr>
      <w:r>
        <w:t>Challenges</w:t>
      </w:r>
    </w:p>
    <w:p w14:paraId="526B602D" w14:textId="40A95C6D" w:rsidR="005717F6" w:rsidRDefault="005717F6" w:rsidP="005717F6">
      <w:r>
        <w:t xml:space="preserve">Evidence from consultation highlighted key issues with the existing primary health </w:t>
      </w:r>
      <w:r w:rsidR="00144E8D">
        <w:t>care</w:t>
      </w:r>
      <w:r>
        <w:t xml:space="preserve"> IT infrastructure, which frequently impacts practitioners</w:t>
      </w:r>
      <w:r w:rsidR="00D27685">
        <w:t>’</w:t>
      </w:r>
      <w:r>
        <w:t xml:space="preserve"> ability to work to their full scope of practice. Consultation participants voiced frustration with barriers to information sharing between health services, due to siloed systems which are not interoperable (</w:t>
      </w:r>
      <w:r w:rsidR="001063B0">
        <w:t>i.e.,</w:t>
      </w:r>
      <w:r>
        <w:t xml:space="preserve"> are unable to communicate with each other). Underuse of My Health Record, inconsistent information sharing processes and lack of secure messaging solutions were all specifically recognised as contributing to this problem.   </w:t>
      </w:r>
    </w:p>
    <w:p w14:paraId="418930CF" w14:textId="775F7284" w:rsidR="00786CB2" w:rsidRDefault="00786CB2" w:rsidP="001A7ED5">
      <w:pPr>
        <w:pStyle w:val="Heading4"/>
      </w:pPr>
      <w:r>
        <w:t>Opportunities for improvement</w:t>
      </w:r>
    </w:p>
    <w:p w14:paraId="3E214733" w14:textId="02819DA3" w:rsidR="00E42E7D" w:rsidRDefault="00E42E7D" w:rsidP="00E42E7D">
      <w:r>
        <w:t>The Digital Health Blueprint outlines an Action Plan involving Commonwealth, States, Territories, industry, consumers and professions to address these concerns and work is currently underway to strengthen the use of My Health Record to support these reforms. In addition, a range of digital health solutions, such as embedding telehealth models, have been implemented at jurisdiction-specific levels across Australia, helping to remove barriers to health professionals working to their full scope of practice and improving access to care. Th</w:t>
      </w:r>
      <w:r w:rsidR="00B36DBB">
        <w:t>is</w:t>
      </w:r>
      <w:r>
        <w:t xml:space="preserve"> Review seeks to build on these existing policies and reforms to embed and support adoption of robust digital health solutions in primary health </w:t>
      </w:r>
      <w:r w:rsidR="002F76F2">
        <w:t xml:space="preserve">care </w:t>
      </w:r>
      <w:r>
        <w:t xml:space="preserve">settings. In particular, it will </w:t>
      </w:r>
      <w:r>
        <w:lastRenderedPageBreak/>
        <w:t xml:space="preserve">focus on how digital solutions can enable health professionals to operate at full scope and enhance collaboration amongst multidisciplinary care teams, which will become an increasing focus within the primary health care system. </w:t>
      </w:r>
    </w:p>
    <w:p w14:paraId="5B174913" w14:textId="347ABE52" w:rsidR="00E42E7D" w:rsidRDefault="00E42E7D" w:rsidP="00E42E7D">
      <w:r>
        <w:t xml:space="preserve">Evidence to date suggests that a key technology enabler which would strengthen primary health </w:t>
      </w:r>
      <w:r w:rsidR="002F76F2">
        <w:t xml:space="preserve">care </w:t>
      </w:r>
      <w:r>
        <w:t xml:space="preserve">is real-time integrated patient information, including event notifications. Although My Health Record has been implemented in the Australian health system since 2012, there are significant opportunities to improve visibility of the patient environment, such as providing real-time information about patient referrals, diagnostics, prescribing, treatment plans and discharge summaries. Being able to view and use this information in real-time will enable health professionals to </w:t>
      </w:r>
      <w:r w:rsidR="50C802C8">
        <w:t xml:space="preserve">implement team-based care, </w:t>
      </w:r>
      <w:r>
        <w:t xml:space="preserve">make better-informed and safer care decisions, whilst allowing the consumer the choice to become more involved and empowered in their own care. An exemplar from the Canadian context is presented below and provides an example of how dual patient-facing and information sharing systems can strengthen the delivery of primary health care.  </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CellMar>
          <w:top w:w="113" w:type="dxa"/>
          <w:bottom w:w="113" w:type="dxa"/>
        </w:tblCellMar>
        <w:tblLook w:val="04A0" w:firstRow="1" w:lastRow="0" w:firstColumn="1" w:lastColumn="0" w:noHBand="0" w:noVBand="1"/>
      </w:tblPr>
      <w:tblGrid>
        <w:gridCol w:w="9060"/>
      </w:tblGrid>
      <w:tr w:rsidR="00125039" w14:paraId="1A4A2180" w14:textId="77777777" w:rsidTr="001A2DBA">
        <w:trPr>
          <w:cantSplit/>
        </w:trPr>
        <w:tc>
          <w:tcPr>
            <w:tcW w:w="9060" w:type="dxa"/>
          </w:tcPr>
          <w:p w14:paraId="5A2D4B2F" w14:textId="596D3120" w:rsidR="00125039" w:rsidRDefault="00125039">
            <w:pPr>
              <w:keepNext/>
              <w:keepLines/>
            </w:pPr>
            <w:r w:rsidRPr="00125039">
              <w:rPr>
                <w:b/>
                <w:bCs/>
                <w:caps/>
                <w:color w:val="076DA0"/>
                <w:szCs w:val="20"/>
                <w:lang w:val="en"/>
              </w:rPr>
              <w:t>MYHEALTH RECORD AND MYAHS CONNECT – ALBERTA, CANADA</w:t>
            </w:r>
          </w:p>
          <w:p w14:paraId="16AA31ED" w14:textId="54FD85F2" w:rsidR="00125039" w:rsidRDefault="00125039">
            <w:pPr>
              <w:keepNext/>
              <w:keepLines/>
            </w:pPr>
            <w:r w:rsidRPr="00125039">
              <w:t>Alberta Health Services (AHS) is Canada’s first and largest province-wide, integrated health system, responsible for delivering health services at more than 900 facilities, including primary health care facilities. The MyHealth Record enables consumers to access, add to and track their personal health information, such as diagnostics and prescribing, which are visible to their health providers. The platform also enables health care providers to securely exchange messages with one another. MyAHS Connect is a complementary tool that enables patients to interact directly with the AHS, to manage appointments, securely message their health care team, and request prescriptions among other user functionalities. The dual systems have connected health professionals and consumers to AHS to a greater extent, allowing for interoperability between health services, greater consumer participation, and ultimately contributing to better primary health care services.</w:t>
            </w:r>
          </w:p>
        </w:tc>
      </w:tr>
    </w:tbl>
    <w:p w14:paraId="41784D6F" w14:textId="79886054" w:rsidR="005717F6" w:rsidRDefault="005717F6" w:rsidP="005717F6">
      <w:r>
        <w:t xml:space="preserve">Potential policy solutions which have emerged through evidence to date are largely consistent with the </w:t>
      </w:r>
      <w:r w:rsidR="00E42E7D">
        <w:t xml:space="preserve">current </w:t>
      </w:r>
      <w:r>
        <w:t xml:space="preserve">broader policy direction and specific strategies relating to digital health technology. These include: </w:t>
      </w:r>
    </w:p>
    <w:p w14:paraId="3F3F819A" w14:textId="63E424D5" w:rsidR="005717F6" w:rsidRPr="004D7D20" w:rsidRDefault="002E4DCA" w:rsidP="001A2DBA">
      <w:pPr>
        <w:pStyle w:val="ListParagraph"/>
        <w:numPr>
          <w:ilvl w:val="0"/>
          <w:numId w:val="12"/>
        </w:numPr>
        <w:rPr>
          <w:b/>
          <w:bCs/>
        </w:rPr>
      </w:pPr>
      <w:r>
        <w:rPr>
          <w:rFonts w:eastAsia="Arial"/>
          <w:b/>
          <w:bCs/>
        </w:rPr>
        <w:t xml:space="preserve">Enabling </w:t>
      </w:r>
      <w:r w:rsidR="00CB60EF">
        <w:rPr>
          <w:rFonts w:eastAsia="Arial"/>
          <w:b/>
          <w:bCs/>
        </w:rPr>
        <w:t>a</w:t>
      </w:r>
      <w:r w:rsidR="005717F6" w:rsidRPr="00EE6F08">
        <w:rPr>
          <w:rFonts w:eastAsia="Arial"/>
          <w:b/>
          <w:bCs/>
        </w:rPr>
        <w:t>ccess to real-time patient info</w:t>
      </w:r>
      <w:r w:rsidR="005717F6">
        <w:rPr>
          <w:rFonts w:eastAsia="Arial"/>
          <w:b/>
          <w:bCs/>
        </w:rPr>
        <w:t xml:space="preserve">rmation, </w:t>
      </w:r>
      <w:r w:rsidR="005717F6">
        <w:rPr>
          <w:rFonts w:eastAsia="Arial"/>
        </w:rPr>
        <w:t xml:space="preserve">a key dependency for broader actions to strengthen primary health </w:t>
      </w:r>
      <w:r w:rsidR="00404D0D">
        <w:rPr>
          <w:rFonts w:eastAsia="Arial"/>
        </w:rPr>
        <w:t xml:space="preserve">care </w:t>
      </w:r>
      <w:r w:rsidR="005717F6">
        <w:rPr>
          <w:rFonts w:eastAsia="Arial"/>
        </w:rPr>
        <w:t xml:space="preserve">and highlighted by the Strengthening Medicare Taskforce as a key action to modernising primary health </w:t>
      </w:r>
      <w:r w:rsidR="00404D0D">
        <w:rPr>
          <w:rFonts w:eastAsia="Arial"/>
        </w:rPr>
        <w:t xml:space="preserve">care </w:t>
      </w:r>
      <w:r w:rsidR="005717F6">
        <w:rPr>
          <w:rFonts w:eastAsia="Arial"/>
        </w:rPr>
        <w:t xml:space="preserve">digital systems. The Canadian example presented above presents </w:t>
      </w:r>
      <w:r>
        <w:rPr>
          <w:rFonts w:eastAsia="Arial"/>
        </w:rPr>
        <w:t>a model</w:t>
      </w:r>
      <w:r w:rsidR="005717F6">
        <w:rPr>
          <w:rFonts w:eastAsia="Arial"/>
        </w:rPr>
        <w:t xml:space="preserve"> where health providers and consumer have visibility over consumer information in real-time, and where complementing information sharing functions are embedded into the tool to enable multidisciplinary care across the AHS. Numerous health professionals shared views that My Health Record may offer a platform to do so but is currently not being used to its full effect. For instance, in the evaluation of the Health Care Homes trial (a multidisciplinary care team-based program and part of the Australian Government’s Healthier Medicare initiative), there were opportunities identified for increased My Health Record functionality which was used as the basis of information sharing between providers. </w:t>
      </w:r>
    </w:p>
    <w:p w14:paraId="0FE7DFD9" w14:textId="7ECBBA32" w:rsidR="00E42E7D" w:rsidRPr="0088176F" w:rsidRDefault="00E42E7D" w:rsidP="001A2DBA">
      <w:pPr>
        <w:pStyle w:val="ListParagraph"/>
        <w:numPr>
          <w:ilvl w:val="0"/>
          <w:numId w:val="12"/>
        </w:numPr>
        <w:rPr>
          <w:b/>
          <w:bCs/>
        </w:rPr>
      </w:pPr>
      <w:r>
        <w:rPr>
          <w:rFonts w:eastAsia="Arial"/>
          <w:b/>
          <w:bCs/>
        </w:rPr>
        <w:lastRenderedPageBreak/>
        <w:t>Introduc</w:t>
      </w:r>
      <w:r w:rsidR="00CB60EF">
        <w:rPr>
          <w:rFonts w:eastAsia="Arial"/>
          <w:b/>
          <w:bCs/>
        </w:rPr>
        <w:t>ing platforms for</w:t>
      </w:r>
      <w:r>
        <w:rPr>
          <w:rFonts w:eastAsia="Arial"/>
          <w:b/>
          <w:bCs/>
        </w:rPr>
        <w:t xml:space="preserve"> secure messaging </w:t>
      </w:r>
      <w:r w:rsidRPr="0088176F">
        <w:rPr>
          <w:rFonts w:eastAsia="Arial"/>
          <w:b/>
          <w:bCs/>
        </w:rPr>
        <w:t>and digital referrals</w:t>
      </w:r>
      <w:r>
        <w:rPr>
          <w:rFonts w:eastAsia="Arial"/>
        </w:rPr>
        <w:t xml:space="preserve">. </w:t>
      </w:r>
      <w:r w:rsidRPr="003556CE">
        <w:rPr>
          <w:rFonts w:eastAsia="Arial"/>
        </w:rPr>
        <w:t xml:space="preserve">Comprehensive implementation of these solutions </w:t>
      </w:r>
      <w:r w:rsidR="002E4DCA">
        <w:rPr>
          <w:rFonts w:eastAsia="Arial"/>
        </w:rPr>
        <w:t>was</w:t>
      </w:r>
      <w:r w:rsidR="002E4DCA" w:rsidRPr="003556CE">
        <w:rPr>
          <w:rFonts w:eastAsia="Arial"/>
        </w:rPr>
        <w:t xml:space="preserve"> </w:t>
      </w:r>
      <w:r w:rsidRPr="003556CE">
        <w:rPr>
          <w:rFonts w:eastAsia="Arial"/>
        </w:rPr>
        <w:t>described by consultation participants as critical to streamlining care pathways and protecting the security of consumer information.</w:t>
      </w:r>
      <w:r>
        <w:rPr>
          <w:rFonts w:eastAsia="Arial"/>
        </w:rPr>
        <w:t xml:space="preserve"> Secure messaging models are established international best practice, including the MedCom messaging system which has been implemented across Denmark for over a decade, and the Canadian example above. In Victoria, the eReferral program enables referrals between providers through an encrypted digital format, managed at </w:t>
      </w:r>
      <w:r w:rsidRPr="17CF7F66">
        <w:rPr>
          <w:rFonts w:eastAsia="Arial"/>
        </w:rPr>
        <w:t>the</w:t>
      </w:r>
      <w:r>
        <w:rPr>
          <w:rFonts w:eastAsia="Arial"/>
        </w:rPr>
        <w:t xml:space="preserve"> PHN catchment level. </w:t>
      </w:r>
    </w:p>
    <w:p w14:paraId="162636B4" w14:textId="26B5EE7B" w:rsidR="005717F6" w:rsidRPr="005947A9" w:rsidRDefault="00123C6A" w:rsidP="001A2DBA">
      <w:pPr>
        <w:pStyle w:val="ListParagraph"/>
        <w:numPr>
          <w:ilvl w:val="0"/>
          <w:numId w:val="12"/>
        </w:numPr>
      </w:pPr>
      <w:r>
        <w:rPr>
          <w:rFonts w:eastAsia="Arial" w:cs="Arial"/>
          <w:b/>
          <w:bCs/>
        </w:rPr>
        <w:t>Using</w:t>
      </w:r>
      <w:r w:rsidR="005717F6" w:rsidRPr="00723CF5">
        <w:rPr>
          <w:rFonts w:eastAsia="Arial" w:cs="Arial"/>
          <w:b/>
          <w:bCs/>
        </w:rPr>
        <w:t xml:space="preserve"> decision support software</w:t>
      </w:r>
      <w:r w:rsidR="005717F6" w:rsidRPr="00AC5D1B">
        <w:rPr>
          <w:rFonts w:eastAsia="Arial" w:cs="Arial"/>
        </w:rPr>
        <w:t xml:space="preserve">, to assist with </w:t>
      </w:r>
      <w:r w:rsidR="005717F6">
        <w:rPr>
          <w:rFonts w:eastAsia="Arial" w:cs="Arial"/>
        </w:rPr>
        <w:t xml:space="preserve">the </w:t>
      </w:r>
      <w:r w:rsidR="005717F6" w:rsidRPr="00AC5D1B">
        <w:rPr>
          <w:rFonts w:eastAsia="Arial" w:cs="Arial"/>
        </w:rPr>
        <w:t xml:space="preserve">safe delivery of </w:t>
      </w:r>
      <w:r w:rsidR="005717F6">
        <w:rPr>
          <w:rFonts w:eastAsia="Arial" w:cs="Arial"/>
        </w:rPr>
        <w:t xml:space="preserve">primary health </w:t>
      </w:r>
      <w:r w:rsidR="005717F6" w:rsidRPr="00AC5D1B">
        <w:rPr>
          <w:rFonts w:eastAsia="Arial" w:cs="Arial"/>
        </w:rPr>
        <w:t>care</w:t>
      </w:r>
      <w:r w:rsidR="005717F6">
        <w:rPr>
          <w:rFonts w:eastAsia="Arial" w:cs="Arial"/>
        </w:rPr>
        <w:t xml:space="preserve">. This solution was also referenced in the </w:t>
      </w:r>
      <w:r w:rsidR="005717F6" w:rsidRPr="00855D0F">
        <w:rPr>
          <w:rFonts w:eastAsia="Arial" w:cs="Arial"/>
          <w:i/>
          <w:iCs/>
        </w:rPr>
        <w:t>Digital Health Blueprint</w:t>
      </w:r>
      <w:r w:rsidR="005717F6">
        <w:rPr>
          <w:rFonts w:eastAsia="Arial" w:cs="Arial"/>
        </w:rPr>
        <w:t xml:space="preserve">, although is dependent on the available of reliable clinical data and streamlined information sharing pathways. </w:t>
      </w:r>
    </w:p>
    <w:p w14:paraId="530D5715" w14:textId="77777777" w:rsidR="005717F6" w:rsidRDefault="005717F6" w:rsidP="001A2DBA">
      <w:pPr>
        <w:pStyle w:val="ListParagraph"/>
        <w:numPr>
          <w:ilvl w:val="0"/>
          <w:numId w:val="12"/>
        </w:numPr>
      </w:pPr>
      <w:r>
        <w:rPr>
          <w:b/>
          <w:bCs/>
        </w:rPr>
        <w:t>Mandating</w:t>
      </w:r>
      <w:r w:rsidRPr="009F75AC">
        <w:rPr>
          <w:b/>
          <w:bCs/>
        </w:rPr>
        <w:t xml:space="preserve"> participation in a multidisciplinary care team for primary care providers</w:t>
      </w:r>
      <w:r>
        <w:t>, a potential reform which would further extend the criticality of robust digital health infrastructure. This model exists in some jurisdictions, such as in cancer care teams in the United Kingdom. However, because it is reliant on a mature digital ecosystem, implementing such a model in the Australian context may carry risks if multidisciplinary care teams are required to rely initially on non-functional or non-digital systems.</w:t>
      </w:r>
    </w:p>
    <w:p w14:paraId="41D29A3E" w14:textId="0E7539B8" w:rsidR="005717F6" w:rsidRDefault="005717F6" w:rsidP="005717F6">
      <w:r>
        <w:rPr>
          <w:rFonts w:eastAsia="Arial" w:cs="Arial"/>
        </w:rPr>
        <w:t>Data security continue</w:t>
      </w:r>
      <w:r w:rsidR="00E506EB">
        <w:rPr>
          <w:rFonts w:eastAsia="Arial" w:cs="Arial"/>
        </w:rPr>
        <w:t>s</w:t>
      </w:r>
      <w:r>
        <w:rPr>
          <w:rFonts w:eastAsia="Arial" w:cs="Arial"/>
        </w:rPr>
        <w:t xml:space="preserve"> to be a key risk </w:t>
      </w:r>
      <w:r w:rsidR="002E4DCA">
        <w:rPr>
          <w:rFonts w:eastAsia="Arial" w:cs="Arial"/>
        </w:rPr>
        <w:t xml:space="preserve">associated </w:t>
      </w:r>
      <w:r>
        <w:rPr>
          <w:rFonts w:eastAsia="Arial" w:cs="Arial"/>
        </w:rPr>
        <w:t xml:space="preserve">with digital technology, and any collection of sensitive personal data </w:t>
      </w:r>
      <w:r w:rsidR="002E4DCA">
        <w:rPr>
          <w:rFonts w:eastAsia="Arial" w:cs="Arial"/>
        </w:rPr>
        <w:t>carries</w:t>
      </w:r>
      <w:r>
        <w:rPr>
          <w:rFonts w:eastAsia="Arial" w:cs="Arial"/>
        </w:rPr>
        <w:t xml:space="preserve"> the risk of data breaches. It is critical these continue to be managed to the full extent possible in order to enable any of the above solutions involving the storing or sharing of consumer data. </w:t>
      </w:r>
      <w:r>
        <w:t xml:space="preserve">Risks of inconsistent or unclear advice from official channels, such as AskMBS, were </w:t>
      </w:r>
      <w:r w:rsidR="008B1990">
        <w:t xml:space="preserve">also </w:t>
      </w:r>
      <w:r>
        <w:t xml:space="preserve">raised within consultations. Furthermore, there were calls to ensure that access to digital systems was equitable between all relevant members of the care team (for example, nurse practitioners with prescribing authority to have the same access to prescribing software as GPs). </w:t>
      </w:r>
      <w:r w:rsidR="00144C44">
        <w:t>Consumers</w:t>
      </w:r>
      <w:r w:rsidR="54BA760C">
        <w:t xml:space="preserve"> should continue to be consulted about possible changes. </w:t>
      </w:r>
    </w:p>
    <w:p w14:paraId="46BAEF09" w14:textId="707CA624" w:rsidR="0061183E" w:rsidRDefault="0061183E" w:rsidP="001A7ED5">
      <w:pPr>
        <w:pStyle w:val="Heading4"/>
      </w:pPr>
      <w:r>
        <w:t>Potential benefits</w:t>
      </w:r>
    </w:p>
    <w:p w14:paraId="47741FA7" w14:textId="032BE9F4" w:rsidR="005717F6" w:rsidRDefault="005717F6" w:rsidP="005717F6">
      <w:r>
        <w:t xml:space="preserve">Evidence to date suggests that the benefits of modernising digital health technology in the primary health </w:t>
      </w:r>
      <w:r w:rsidR="00404D0D">
        <w:t xml:space="preserve">care </w:t>
      </w:r>
      <w:r>
        <w:t xml:space="preserve">system may include: </w:t>
      </w:r>
    </w:p>
    <w:p w14:paraId="4CEF2F6C" w14:textId="5195DC69" w:rsidR="005717F6" w:rsidRDefault="005717F6" w:rsidP="001A2DBA">
      <w:pPr>
        <w:pStyle w:val="ListParagraph"/>
        <w:numPr>
          <w:ilvl w:val="0"/>
          <w:numId w:val="13"/>
        </w:numPr>
      </w:pPr>
      <w:r w:rsidRPr="001267DF">
        <w:rPr>
          <w:b/>
        </w:rPr>
        <w:t>Enhanced care coordination</w:t>
      </w:r>
      <w:r>
        <w:t xml:space="preserve"> between and within services, as health providers are able to share consumer information efficiently and effectively and have visibility over the same information. </w:t>
      </w:r>
    </w:p>
    <w:p w14:paraId="0EFB0F57" w14:textId="47F1A65A" w:rsidR="005717F6" w:rsidRDefault="005717F6" w:rsidP="001A2DBA">
      <w:pPr>
        <w:pStyle w:val="ListParagraph"/>
        <w:numPr>
          <w:ilvl w:val="0"/>
          <w:numId w:val="13"/>
        </w:numPr>
      </w:pPr>
      <w:r w:rsidRPr="001267DF">
        <w:rPr>
          <w:b/>
        </w:rPr>
        <w:t>Improved continuity of care</w:t>
      </w:r>
      <w:r>
        <w:t xml:space="preserve"> and experience of care for consumers, in terms of streamlined referral pathways, lack of reliance on their repeatedly sharing their story to different health professionals, and the ability to engage more actively with their health</w:t>
      </w:r>
      <w:r w:rsidR="007F55DF">
        <w:t xml:space="preserve"> </w:t>
      </w:r>
      <w:r>
        <w:t xml:space="preserve">care and health data. </w:t>
      </w:r>
    </w:p>
    <w:p w14:paraId="50882C8F" w14:textId="77777777" w:rsidR="005717F6" w:rsidRDefault="005717F6" w:rsidP="001A2DBA">
      <w:pPr>
        <w:pStyle w:val="ListParagraph"/>
        <w:numPr>
          <w:ilvl w:val="0"/>
          <w:numId w:val="13"/>
        </w:numPr>
      </w:pPr>
      <w:r w:rsidRPr="001267DF">
        <w:rPr>
          <w:b/>
        </w:rPr>
        <w:t>Improved quality and safety of health care</w:t>
      </w:r>
      <w:r>
        <w:t>, as decision-making occurs with the knowledge of the consumer’s context and health needs, regardless of which health provider is delivering care.</w:t>
      </w:r>
    </w:p>
    <w:p w14:paraId="13224D62" w14:textId="77777777" w:rsidR="005717F6" w:rsidRDefault="005717F6" w:rsidP="001A2DBA">
      <w:pPr>
        <w:pStyle w:val="ListParagraph"/>
        <w:numPr>
          <w:ilvl w:val="0"/>
          <w:numId w:val="13"/>
        </w:numPr>
      </w:pPr>
      <w:r w:rsidRPr="001267DF">
        <w:rPr>
          <w:b/>
        </w:rPr>
        <w:t xml:space="preserve">Reduced time and cost burden </w:t>
      </w:r>
      <w:r w:rsidRPr="003577EE">
        <w:t xml:space="preserve">to </w:t>
      </w:r>
      <w:r>
        <w:t xml:space="preserve">consumers, </w:t>
      </w:r>
      <w:r w:rsidRPr="003577EE">
        <w:t>health services</w:t>
      </w:r>
      <w:r>
        <w:t xml:space="preserve"> and the broader health system, due to reduced reliance on inefficient referral and information sharing systems. </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shd w:val="clear" w:color="auto" w:fill="D9F9FF"/>
        <w:tblLook w:val="04A0" w:firstRow="1" w:lastRow="0" w:firstColumn="1" w:lastColumn="0" w:noHBand="0" w:noVBand="1"/>
      </w:tblPr>
      <w:tblGrid>
        <w:gridCol w:w="9060"/>
      </w:tblGrid>
      <w:tr w:rsidR="005717F6" w14:paraId="4E4A831C" w14:textId="77777777" w:rsidTr="001A2DBA">
        <w:trPr>
          <w:cantSplit/>
        </w:trPr>
        <w:tc>
          <w:tcPr>
            <w:tcW w:w="9060" w:type="dxa"/>
            <w:shd w:val="clear" w:color="auto" w:fill="D9F9FF"/>
          </w:tcPr>
          <w:p w14:paraId="25FF5D81" w14:textId="77777777" w:rsidR="005717F6" w:rsidRPr="00C4258A" w:rsidRDefault="005717F6" w:rsidP="001A2DBA">
            <w:pPr>
              <w:keepNext/>
              <w:keepLines/>
              <w:rPr>
                <w:b/>
                <w:bCs/>
              </w:rPr>
            </w:pPr>
            <w:r w:rsidRPr="00C4258A">
              <w:rPr>
                <w:b/>
                <w:bCs/>
              </w:rPr>
              <w:lastRenderedPageBreak/>
              <w:t xml:space="preserve">Questions for further consultation </w:t>
            </w:r>
          </w:p>
          <w:p w14:paraId="50B2DA7B" w14:textId="249B868B" w:rsidR="005717F6" w:rsidRDefault="005717F6" w:rsidP="001A2DBA">
            <w:pPr>
              <w:pStyle w:val="ListParagraph"/>
              <w:keepNext/>
              <w:keepLines/>
              <w:numPr>
                <w:ilvl w:val="0"/>
                <w:numId w:val="11"/>
              </w:numPr>
            </w:pPr>
            <w:r>
              <w:t xml:space="preserve">How do you think technology could be used better or differently in primary health </w:t>
            </w:r>
            <w:r w:rsidR="00144E8D">
              <w:t xml:space="preserve">care </w:t>
            </w:r>
            <w:r>
              <w:t xml:space="preserve">settings to enable health professionals to work to full scope? </w:t>
            </w:r>
          </w:p>
          <w:p w14:paraId="7874787F" w14:textId="080A0208" w:rsidR="005717F6" w:rsidRDefault="005717F6" w:rsidP="001A2DBA">
            <w:pPr>
              <w:pStyle w:val="ListParagraph"/>
              <w:keepNext/>
              <w:keepLines/>
              <w:numPr>
                <w:ilvl w:val="0"/>
                <w:numId w:val="11"/>
              </w:numPr>
            </w:pPr>
            <w:r>
              <w:t xml:space="preserve">If existing digital health infrastructure </w:t>
            </w:r>
            <w:r w:rsidR="002E4DCA">
              <w:t xml:space="preserve">was </w:t>
            </w:r>
            <w:r>
              <w:t xml:space="preserve">to be improved, what specific changes or new functions do you think are most necessary to enable health professionals to work to full scope?  </w:t>
            </w:r>
          </w:p>
          <w:p w14:paraId="273F9BD8" w14:textId="69A290C2" w:rsidR="005717F6" w:rsidRPr="00521E9C" w:rsidRDefault="005717F6" w:rsidP="001A2DBA">
            <w:pPr>
              <w:pStyle w:val="ListParagraph"/>
              <w:keepNext/>
              <w:keepLines/>
              <w:numPr>
                <w:ilvl w:val="0"/>
                <w:numId w:val="11"/>
              </w:numPr>
            </w:pPr>
            <w:r>
              <w:t xml:space="preserve">What risks do you foresee in technology-based strategies to strengthen primary </w:t>
            </w:r>
            <w:r w:rsidR="00144E8D">
              <w:t xml:space="preserve">health </w:t>
            </w:r>
            <w:r>
              <w:t xml:space="preserve">care providers’ ability to work to full scope, and how could these be mitigated?   </w:t>
            </w:r>
          </w:p>
        </w:tc>
      </w:tr>
    </w:tbl>
    <w:p w14:paraId="7BCCF9A5" w14:textId="3C75A88A" w:rsidR="00F1402E" w:rsidRDefault="00983CFC" w:rsidP="00983CFC">
      <w:pPr>
        <w:pStyle w:val="Heading1"/>
      </w:pPr>
      <w:bookmarkStart w:id="22" w:name="_Toc156832074"/>
      <w:r>
        <w:t>Next steps</w:t>
      </w:r>
      <w:bookmarkEnd w:id="22"/>
      <w:r>
        <w:t xml:space="preserve"> </w:t>
      </w:r>
    </w:p>
    <w:p w14:paraId="04427A92" w14:textId="4BFCA72F" w:rsidR="00CE22A3" w:rsidRDefault="003E37B7" w:rsidP="00F1402E">
      <w:pPr>
        <w:rPr>
          <w:rFonts w:cs="Arial"/>
        </w:rPr>
      </w:pPr>
      <w:r>
        <w:rPr>
          <w:rFonts w:cs="Arial"/>
        </w:rPr>
        <w:t xml:space="preserve">Ongoing stakeholder feedback </w:t>
      </w:r>
      <w:r w:rsidR="007B7410">
        <w:rPr>
          <w:rFonts w:cs="Arial"/>
        </w:rPr>
        <w:t xml:space="preserve">and continued collection of evidence </w:t>
      </w:r>
      <w:r>
        <w:rPr>
          <w:rFonts w:cs="Arial"/>
        </w:rPr>
        <w:t xml:space="preserve">on the </w:t>
      </w:r>
      <w:r w:rsidR="00214320">
        <w:rPr>
          <w:rFonts w:cs="Arial"/>
        </w:rPr>
        <w:t>barrier</w:t>
      </w:r>
      <w:r w:rsidR="00650562">
        <w:rPr>
          <w:rFonts w:cs="Arial"/>
        </w:rPr>
        <w:t xml:space="preserve">s, enablers, risks and benefits of health professionals working to full scope of practice in the Australian context is vital to this Review. </w:t>
      </w:r>
      <w:r w:rsidR="007A35B6">
        <w:rPr>
          <w:rFonts w:cs="Arial"/>
        </w:rPr>
        <w:t xml:space="preserve">In particular, </w:t>
      </w:r>
      <w:r w:rsidR="00370C73">
        <w:rPr>
          <w:rFonts w:cs="Arial"/>
        </w:rPr>
        <w:t xml:space="preserve">review of the legislation and regulatory environment will form a critical piece of </w:t>
      </w:r>
      <w:r w:rsidR="0012261C">
        <w:rPr>
          <w:rFonts w:cs="Arial"/>
        </w:rPr>
        <w:t xml:space="preserve">upcoming </w:t>
      </w:r>
      <w:r w:rsidR="009901FB">
        <w:rPr>
          <w:rFonts w:cs="Arial"/>
        </w:rPr>
        <w:t xml:space="preserve">analysis. </w:t>
      </w:r>
    </w:p>
    <w:p w14:paraId="1F022460" w14:textId="0E176D4E" w:rsidR="00AD32A7" w:rsidRDefault="00AD32A7" w:rsidP="00F1402E">
      <w:pPr>
        <w:rPr>
          <w:rFonts w:cs="Arial"/>
        </w:rPr>
      </w:pPr>
      <w:r>
        <w:rPr>
          <w:rFonts w:cs="Arial"/>
        </w:rPr>
        <w:t xml:space="preserve">A </w:t>
      </w:r>
      <w:r w:rsidR="002E4DCA">
        <w:rPr>
          <w:rFonts w:cs="Arial"/>
        </w:rPr>
        <w:t>call for</w:t>
      </w:r>
      <w:r>
        <w:rPr>
          <w:rFonts w:cs="Arial"/>
        </w:rPr>
        <w:t xml:space="preserve"> public submissions will occur </w:t>
      </w:r>
      <w:r w:rsidR="00CA5037">
        <w:rPr>
          <w:rFonts w:cs="Arial"/>
        </w:rPr>
        <w:t xml:space="preserve">from </w:t>
      </w:r>
      <w:r w:rsidR="002E4DCA">
        <w:rPr>
          <w:rFonts w:cs="Arial"/>
        </w:rPr>
        <w:t>23 January</w:t>
      </w:r>
      <w:r w:rsidR="00C22080">
        <w:rPr>
          <w:rFonts w:cs="Arial"/>
        </w:rPr>
        <w:t xml:space="preserve"> </w:t>
      </w:r>
      <w:r w:rsidR="005A1B88">
        <w:rPr>
          <w:rFonts w:cs="Arial"/>
        </w:rPr>
        <w:t xml:space="preserve">to </w:t>
      </w:r>
      <w:r w:rsidR="00E62E52">
        <w:rPr>
          <w:rFonts w:cs="Arial"/>
        </w:rPr>
        <w:t>8 March 2024</w:t>
      </w:r>
      <w:r w:rsidR="00E012C0">
        <w:rPr>
          <w:rFonts w:cs="Arial"/>
        </w:rPr>
        <w:t xml:space="preserve">, </w:t>
      </w:r>
      <w:r w:rsidR="009A4C11">
        <w:rPr>
          <w:rFonts w:cs="Arial"/>
        </w:rPr>
        <w:t>for stakeholders to</w:t>
      </w:r>
      <w:r w:rsidR="00AC1096">
        <w:rPr>
          <w:rFonts w:cs="Arial"/>
        </w:rPr>
        <w:t xml:space="preserve"> provide written</w:t>
      </w:r>
      <w:r w:rsidR="009A4C11">
        <w:rPr>
          <w:rFonts w:cs="Arial"/>
        </w:rPr>
        <w:t xml:space="preserve"> </w:t>
      </w:r>
      <w:r w:rsidR="00EE69FB">
        <w:rPr>
          <w:rFonts w:cs="Arial"/>
        </w:rPr>
        <w:t>respon</w:t>
      </w:r>
      <w:r w:rsidR="00AC1096">
        <w:rPr>
          <w:rFonts w:cs="Arial"/>
        </w:rPr>
        <w:t xml:space="preserve">ses </w:t>
      </w:r>
      <w:r w:rsidR="00EE69FB">
        <w:rPr>
          <w:rFonts w:cs="Arial"/>
        </w:rPr>
        <w:t xml:space="preserve">to </w:t>
      </w:r>
      <w:r w:rsidR="006B4D5C">
        <w:rPr>
          <w:rFonts w:cs="Arial"/>
        </w:rPr>
        <w:t xml:space="preserve">the </w:t>
      </w:r>
      <w:r w:rsidR="00937B97">
        <w:rPr>
          <w:rFonts w:cs="Arial"/>
        </w:rPr>
        <w:t>themes and</w:t>
      </w:r>
      <w:r w:rsidR="006B4D5C">
        <w:rPr>
          <w:rFonts w:cs="Arial"/>
        </w:rPr>
        <w:t xml:space="preserve"> consultation question</w:t>
      </w:r>
      <w:r w:rsidR="009A4C11">
        <w:rPr>
          <w:rFonts w:cs="Arial"/>
        </w:rPr>
        <w:t>s</w:t>
      </w:r>
      <w:r w:rsidR="006B4D5C">
        <w:rPr>
          <w:rFonts w:cs="Arial"/>
        </w:rPr>
        <w:t xml:space="preserve"> raised in this Issues Paper.</w:t>
      </w:r>
      <w:r w:rsidR="009A4C11">
        <w:rPr>
          <w:rFonts w:cs="Arial"/>
        </w:rPr>
        <w:t xml:space="preserve"> </w:t>
      </w:r>
      <w:r w:rsidR="001319B7">
        <w:rPr>
          <w:rFonts w:cs="Arial"/>
        </w:rPr>
        <w:t xml:space="preserve">A series of </w:t>
      </w:r>
      <w:r w:rsidR="003F13EE">
        <w:rPr>
          <w:rFonts w:cs="Arial"/>
        </w:rPr>
        <w:t xml:space="preserve">stakeholder workshops </w:t>
      </w:r>
      <w:r w:rsidR="00870C68">
        <w:rPr>
          <w:rFonts w:cs="Arial"/>
        </w:rPr>
        <w:t xml:space="preserve">and discussions </w:t>
      </w:r>
      <w:r w:rsidR="003F13EE">
        <w:rPr>
          <w:rFonts w:cs="Arial"/>
        </w:rPr>
        <w:t xml:space="preserve">will </w:t>
      </w:r>
      <w:r w:rsidR="00331C48">
        <w:rPr>
          <w:rFonts w:cs="Arial"/>
        </w:rPr>
        <w:t xml:space="preserve">also </w:t>
      </w:r>
      <w:r w:rsidR="003F13EE">
        <w:rPr>
          <w:rFonts w:cs="Arial"/>
        </w:rPr>
        <w:t xml:space="preserve">be held across Australia in February 2024 </w:t>
      </w:r>
      <w:r w:rsidR="005E10C5">
        <w:rPr>
          <w:rFonts w:cs="Arial"/>
        </w:rPr>
        <w:t xml:space="preserve">to provide opportunity for </w:t>
      </w:r>
      <w:r w:rsidR="00981FA0">
        <w:rPr>
          <w:rFonts w:cs="Arial"/>
        </w:rPr>
        <w:t xml:space="preserve">deeper </w:t>
      </w:r>
      <w:r w:rsidR="000E4EC1">
        <w:rPr>
          <w:rFonts w:cs="Arial"/>
        </w:rPr>
        <w:t>engagement</w:t>
      </w:r>
      <w:r w:rsidR="005B02B6">
        <w:rPr>
          <w:rFonts w:cs="Arial"/>
        </w:rPr>
        <w:t xml:space="preserve"> and exploration</w:t>
      </w:r>
      <w:r w:rsidR="000E4EC1">
        <w:rPr>
          <w:rFonts w:cs="Arial"/>
        </w:rPr>
        <w:t xml:space="preserve"> </w:t>
      </w:r>
      <w:r w:rsidR="002B4B18">
        <w:rPr>
          <w:rFonts w:cs="Arial"/>
        </w:rPr>
        <w:t xml:space="preserve">on the key issues raised. </w:t>
      </w:r>
    </w:p>
    <w:p w14:paraId="73F01E93" w14:textId="77777777" w:rsidR="00530796" w:rsidRDefault="006E3A27" w:rsidP="00F1402E">
      <w:pPr>
        <w:rPr>
          <w:rFonts w:cs="Arial"/>
        </w:rPr>
      </w:pPr>
      <w:r>
        <w:rPr>
          <w:rFonts w:cs="Arial"/>
        </w:rPr>
        <w:t>The</w:t>
      </w:r>
      <w:r w:rsidR="00097570">
        <w:rPr>
          <w:rFonts w:cs="Arial"/>
        </w:rPr>
        <w:t xml:space="preserve"> feedback from this </w:t>
      </w:r>
      <w:r w:rsidR="00D1434F">
        <w:rPr>
          <w:rFonts w:cs="Arial"/>
        </w:rPr>
        <w:t>second phase</w:t>
      </w:r>
      <w:r w:rsidR="00636809">
        <w:rPr>
          <w:rFonts w:cs="Arial"/>
        </w:rPr>
        <w:t xml:space="preserve"> of </w:t>
      </w:r>
      <w:r w:rsidR="00F1402E">
        <w:rPr>
          <w:rFonts w:cs="Arial"/>
        </w:rPr>
        <w:t xml:space="preserve">consultation will be synthesised with </w:t>
      </w:r>
      <w:r w:rsidR="0014168A">
        <w:rPr>
          <w:rFonts w:cs="Arial"/>
        </w:rPr>
        <w:t>a</w:t>
      </w:r>
      <w:r w:rsidR="00DB058A">
        <w:rPr>
          <w:rFonts w:cs="Arial"/>
        </w:rPr>
        <w:t xml:space="preserve"> review</w:t>
      </w:r>
      <w:r w:rsidR="0014168A">
        <w:rPr>
          <w:rFonts w:cs="Arial"/>
        </w:rPr>
        <w:t xml:space="preserve"> of relevant </w:t>
      </w:r>
      <w:r w:rsidR="00DB058A">
        <w:rPr>
          <w:rFonts w:cs="Arial"/>
        </w:rPr>
        <w:t xml:space="preserve">legislation </w:t>
      </w:r>
      <w:r w:rsidR="0014168A">
        <w:rPr>
          <w:rFonts w:cs="Arial"/>
        </w:rPr>
        <w:t>and regulation</w:t>
      </w:r>
      <w:r w:rsidR="00DB058A">
        <w:rPr>
          <w:rFonts w:cs="Arial"/>
        </w:rPr>
        <w:t xml:space="preserve"> </w:t>
      </w:r>
      <w:r w:rsidR="00F1402E">
        <w:rPr>
          <w:rFonts w:cs="Arial"/>
        </w:rPr>
        <w:t>to produce Issues Paper 2</w:t>
      </w:r>
      <w:r w:rsidR="00DB058A">
        <w:rPr>
          <w:rFonts w:cs="Arial"/>
        </w:rPr>
        <w:t>, which will be released in April 2024. Issues Paper 2</w:t>
      </w:r>
      <w:r w:rsidR="00F1402E">
        <w:rPr>
          <w:rFonts w:cs="Arial"/>
        </w:rPr>
        <w:t xml:space="preserve"> will explore the specific policy and system reforms available to address identified barriers associated with health professionals working to full scope of practice</w:t>
      </w:r>
      <w:r w:rsidR="001E1D73">
        <w:rPr>
          <w:rFonts w:cs="Arial"/>
        </w:rPr>
        <w:t xml:space="preserve">. </w:t>
      </w:r>
      <w:r w:rsidR="00971EAE">
        <w:rPr>
          <w:rFonts w:cs="Arial"/>
        </w:rPr>
        <w:t xml:space="preserve">Consultation will occur </w:t>
      </w:r>
      <w:r w:rsidR="00B457F1">
        <w:rPr>
          <w:rFonts w:cs="Arial"/>
        </w:rPr>
        <w:t xml:space="preserve">on the </w:t>
      </w:r>
      <w:r w:rsidR="00F41231">
        <w:rPr>
          <w:rFonts w:cs="Arial"/>
        </w:rPr>
        <w:t xml:space="preserve">issues and questions raised in </w:t>
      </w:r>
      <w:r w:rsidR="001E1D73">
        <w:rPr>
          <w:rFonts w:cs="Arial"/>
        </w:rPr>
        <w:t>Issues Paper 2</w:t>
      </w:r>
      <w:r w:rsidR="00033B52">
        <w:rPr>
          <w:rFonts w:cs="Arial"/>
        </w:rPr>
        <w:t xml:space="preserve">, before the </w:t>
      </w:r>
      <w:r w:rsidR="001E1D73">
        <w:rPr>
          <w:rFonts w:cs="Arial"/>
        </w:rPr>
        <w:t xml:space="preserve">draft </w:t>
      </w:r>
      <w:r w:rsidR="00371A33">
        <w:rPr>
          <w:rFonts w:cs="Arial"/>
        </w:rPr>
        <w:t>F</w:t>
      </w:r>
      <w:r w:rsidR="00033B52">
        <w:rPr>
          <w:rFonts w:cs="Arial"/>
        </w:rPr>
        <w:t xml:space="preserve">inal </w:t>
      </w:r>
      <w:r w:rsidR="00371A33">
        <w:rPr>
          <w:rFonts w:cs="Arial"/>
        </w:rPr>
        <w:t>R</w:t>
      </w:r>
      <w:r w:rsidR="00033B52">
        <w:rPr>
          <w:rFonts w:cs="Arial"/>
        </w:rPr>
        <w:t xml:space="preserve">eport and </w:t>
      </w:r>
      <w:r w:rsidR="00333B55">
        <w:rPr>
          <w:rFonts w:cs="Arial"/>
        </w:rPr>
        <w:t>I</w:t>
      </w:r>
      <w:r w:rsidR="00033B52">
        <w:rPr>
          <w:rFonts w:cs="Arial"/>
        </w:rPr>
        <w:t xml:space="preserve">mplementation </w:t>
      </w:r>
      <w:r w:rsidR="00333B55">
        <w:rPr>
          <w:rFonts w:cs="Arial"/>
        </w:rPr>
        <w:t>P</w:t>
      </w:r>
      <w:r w:rsidR="00033B52">
        <w:rPr>
          <w:rFonts w:cs="Arial"/>
        </w:rPr>
        <w:t>lan is produced</w:t>
      </w:r>
      <w:r w:rsidR="001E1D73">
        <w:rPr>
          <w:rFonts w:cs="Arial"/>
        </w:rPr>
        <w:t xml:space="preserve"> in July 2024. The </w:t>
      </w:r>
      <w:r w:rsidR="00371A33">
        <w:rPr>
          <w:rFonts w:cs="Arial"/>
        </w:rPr>
        <w:t>F</w:t>
      </w:r>
      <w:r w:rsidR="001E1D73">
        <w:rPr>
          <w:rFonts w:cs="Arial"/>
        </w:rPr>
        <w:t xml:space="preserve">inal </w:t>
      </w:r>
      <w:r w:rsidR="00371A33">
        <w:rPr>
          <w:rFonts w:cs="Arial"/>
        </w:rPr>
        <w:t>R</w:t>
      </w:r>
      <w:r w:rsidR="001E1D73">
        <w:rPr>
          <w:rFonts w:cs="Arial"/>
        </w:rPr>
        <w:t xml:space="preserve">eport and </w:t>
      </w:r>
      <w:r w:rsidR="00333B55">
        <w:rPr>
          <w:rFonts w:cs="Arial"/>
        </w:rPr>
        <w:t>I</w:t>
      </w:r>
      <w:r w:rsidR="001E1D73">
        <w:rPr>
          <w:rFonts w:cs="Arial"/>
        </w:rPr>
        <w:t xml:space="preserve">mplementation </w:t>
      </w:r>
      <w:r w:rsidR="00333B55">
        <w:rPr>
          <w:rFonts w:cs="Arial"/>
        </w:rPr>
        <w:t>P</w:t>
      </w:r>
      <w:r w:rsidR="001E1D73">
        <w:rPr>
          <w:rFonts w:cs="Arial"/>
        </w:rPr>
        <w:t xml:space="preserve">lan will be </w:t>
      </w:r>
      <w:r w:rsidR="006814AC">
        <w:rPr>
          <w:rFonts w:cs="Arial"/>
        </w:rPr>
        <w:t xml:space="preserve">submitted to the Minister for Health and Aged Care in October 2024. </w:t>
      </w:r>
    </w:p>
    <w:p w14:paraId="49F9E908" w14:textId="77777777" w:rsidR="00451607" w:rsidRDefault="00451607" w:rsidP="00451607">
      <w:pPr>
        <w:rPr>
          <w:rFonts w:ascii="Calibri" w:hAnsi="Calibri"/>
          <w:color w:val="auto"/>
          <w:szCs w:val="22"/>
        </w:rPr>
      </w:pPr>
      <w:r>
        <w:t xml:space="preserve">If you would like to provide further feedback, or if you have any questions or difficulties accessing the survey on- line please contact </w:t>
      </w:r>
      <w:hyperlink r:id="rId23" w:history="1">
        <w:r>
          <w:rPr>
            <w:rStyle w:val="Hyperlink"/>
          </w:rPr>
          <w:t>scopeofpracticereview@health.gov.au</w:t>
        </w:r>
      </w:hyperlink>
    </w:p>
    <w:p w14:paraId="4E86376E" w14:textId="33C8F060" w:rsidR="00451607" w:rsidRDefault="00451607" w:rsidP="00F1402E">
      <w:pPr>
        <w:rPr>
          <w:rFonts w:cs="Arial"/>
        </w:rPr>
        <w:sectPr w:rsidR="00451607" w:rsidSect="007F1C45">
          <w:pgSz w:w="11906" w:h="16838" w:code="9"/>
          <w:pgMar w:top="1701" w:right="1418" w:bottom="1418" w:left="1418" w:header="709" w:footer="221" w:gutter="0"/>
          <w:cols w:space="708"/>
          <w:docGrid w:linePitch="360"/>
        </w:sectPr>
      </w:pPr>
    </w:p>
    <w:p w14:paraId="102DCCF8" w14:textId="0CCA8B11" w:rsidR="00B501EB" w:rsidRDefault="00B501EB" w:rsidP="001267DF">
      <w:pPr>
        <w:pStyle w:val="BodyText"/>
      </w:pPr>
    </w:p>
    <w:p w14:paraId="76ED8531" w14:textId="77777777" w:rsidR="00205A93" w:rsidRPr="004D1339" w:rsidRDefault="00205A93" w:rsidP="001267DF">
      <w:pPr>
        <w:tabs>
          <w:tab w:val="left" w:pos="665"/>
        </w:tabs>
      </w:pPr>
    </w:p>
    <w:sectPr w:rsidR="00205A93" w:rsidRPr="004D1339" w:rsidSect="007F1C45">
      <w:headerReference w:type="default" r:id="rId24"/>
      <w:footerReference w:type="default" r:id="rId25"/>
      <w:pgSz w:w="11906" w:h="16838" w:code="9"/>
      <w:pgMar w:top="1701" w:right="1418" w:bottom="1418" w:left="1418" w:header="709" w:footer="2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8C8A" w14:textId="77777777" w:rsidR="001039EF" w:rsidRDefault="001039EF" w:rsidP="00346C4A">
      <w:r>
        <w:separator/>
      </w:r>
    </w:p>
    <w:p w14:paraId="606D6266" w14:textId="77777777" w:rsidR="001039EF" w:rsidRDefault="001039EF" w:rsidP="00346C4A"/>
  </w:endnote>
  <w:endnote w:type="continuationSeparator" w:id="0">
    <w:p w14:paraId="368730AD" w14:textId="77777777" w:rsidR="001039EF" w:rsidRDefault="001039EF" w:rsidP="00346C4A">
      <w:r>
        <w:continuationSeparator/>
      </w:r>
    </w:p>
    <w:p w14:paraId="7B632334" w14:textId="77777777" w:rsidR="001039EF" w:rsidRDefault="001039EF" w:rsidP="00346C4A"/>
  </w:endnote>
  <w:endnote w:type="continuationNotice" w:id="1">
    <w:p w14:paraId="33E6E1A4" w14:textId="77777777" w:rsidR="001039EF" w:rsidRDefault="001039EF"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assic4"/>
      <w:tblW w:w="0" w:type="auto"/>
      <w:tblLayout w:type="fixed"/>
      <w:tblLook w:val="06A0" w:firstRow="1" w:lastRow="0" w:firstColumn="1" w:lastColumn="0" w:noHBand="1" w:noVBand="1"/>
    </w:tblPr>
    <w:tblGrid>
      <w:gridCol w:w="3020"/>
      <w:gridCol w:w="3020"/>
      <w:gridCol w:w="3020"/>
    </w:tblGrid>
    <w:tr w:rsidR="32F094E1" w14:paraId="667DF719" w14:textId="77777777" w:rsidTr="0022698E">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20" w:type="dxa"/>
        </w:tcPr>
        <w:p w14:paraId="65457A09" w14:textId="1FA8FD39" w:rsidR="32F094E1" w:rsidRDefault="32F094E1" w:rsidP="32F094E1">
          <w:pPr>
            <w:pStyle w:val="Header"/>
            <w:ind w:left="-115"/>
          </w:pPr>
        </w:p>
      </w:tc>
      <w:tc>
        <w:tcPr>
          <w:tcW w:w="3020" w:type="dxa"/>
        </w:tcPr>
        <w:p w14:paraId="583C2213" w14:textId="0695BC21" w:rsidR="32F094E1" w:rsidRDefault="32F094E1" w:rsidP="32F094E1">
          <w:pPr>
            <w:pStyle w:val="Header"/>
            <w:jc w:val="center"/>
            <w:cnfStyle w:val="100000000000" w:firstRow="1" w:lastRow="0" w:firstColumn="0" w:lastColumn="0" w:oddVBand="0" w:evenVBand="0" w:oddHBand="0" w:evenHBand="0" w:firstRowFirstColumn="0" w:firstRowLastColumn="0" w:lastRowFirstColumn="0" w:lastRowLastColumn="0"/>
          </w:pPr>
        </w:p>
      </w:tc>
      <w:tc>
        <w:tcPr>
          <w:tcW w:w="3020" w:type="dxa"/>
        </w:tcPr>
        <w:p w14:paraId="7E5C64B8" w14:textId="0A39E2A1" w:rsidR="32F094E1" w:rsidRDefault="32F094E1" w:rsidP="32F094E1">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456AB39" w14:textId="6C2D30F4" w:rsidR="007B492A" w:rsidRDefault="007B4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B5CB"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0814" w14:textId="251C5D30" w:rsidR="00FD072E" w:rsidRDefault="00FD072E">
    <w:pPr>
      <w:pStyle w:val="Footer"/>
    </w:pPr>
    <w:r>
      <w:fldChar w:fldCharType="begin"/>
    </w:r>
    <w:r>
      <w:instrText xml:space="preserve"> PAGE   \* MERGEFORMAT </w:instrText>
    </w:r>
    <w:r>
      <w:fldChar w:fldCharType="separate"/>
    </w:r>
    <w:r w:rsidR="00700DAC">
      <w:t>ii</w:t>
    </w:r>
    <w:r>
      <w:fldChar w:fldCharType="end"/>
    </w:r>
  </w:p>
  <w:p w14:paraId="2B4C9F77" w14:textId="4DAA39EF" w:rsidR="00236073" w:rsidRPr="00FD072E" w:rsidRDefault="00236073" w:rsidP="00FD072E">
    <w:pPr>
      <w:pStyle w:val="Footer"/>
      <w:tabs>
        <w:tab w:val="clear" w:pos="0"/>
        <w:tab w:val="clear" w:pos="9026"/>
      </w:tabs>
      <w:ind w:left="-993" w:right="-711"/>
      <w:jc w:val="left"/>
      <w:rPr>
        <w:b/>
        <w:bCs/>
        <w:color w:val="FFFFFF" w:themeColor="background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7476160F"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869717"/>
      <w:docPartObj>
        <w:docPartGallery w:val="Page Numbers (Bottom of Page)"/>
        <w:docPartUnique/>
      </w:docPartObj>
    </w:sdtPr>
    <w:sdtEndPr>
      <w:rPr>
        <w:noProof/>
      </w:rPr>
    </w:sdtEndPr>
    <w:sdtContent>
      <w:p w14:paraId="3CDFC140" w14:textId="77777777" w:rsidR="00834203" w:rsidRDefault="00834203" w:rsidP="00F968D8">
        <w:pPr>
          <w:pStyle w:val="Footer"/>
          <w:spacing w:after="240"/>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8964" w14:textId="124385E6" w:rsidR="00CD4446" w:rsidRDefault="00CD4446" w:rsidP="00CD4446">
    <w:pPr>
      <w:pStyle w:val="Footer"/>
      <w:spacing w:after="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84A2" w14:textId="77777777" w:rsidR="001039EF" w:rsidRDefault="001039EF" w:rsidP="00346C4A">
      <w:r>
        <w:separator/>
      </w:r>
    </w:p>
    <w:p w14:paraId="29C71524" w14:textId="77777777" w:rsidR="001039EF" w:rsidRDefault="001039EF" w:rsidP="00346C4A"/>
  </w:footnote>
  <w:footnote w:type="continuationSeparator" w:id="0">
    <w:p w14:paraId="181FF431" w14:textId="77777777" w:rsidR="001039EF" w:rsidRDefault="001039EF" w:rsidP="00346C4A">
      <w:r>
        <w:continuationSeparator/>
      </w:r>
    </w:p>
    <w:p w14:paraId="1CE7CC47" w14:textId="77777777" w:rsidR="001039EF" w:rsidRDefault="001039EF" w:rsidP="00346C4A"/>
  </w:footnote>
  <w:footnote w:type="continuationNotice" w:id="1">
    <w:p w14:paraId="718FAA4E" w14:textId="77777777" w:rsidR="001039EF" w:rsidRDefault="001039EF" w:rsidP="00346C4A"/>
  </w:footnote>
  <w:footnote w:id="2">
    <w:p w14:paraId="624F1DDF" w14:textId="77777777" w:rsidR="00C423F6" w:rsidRDefault="00C423F6" w:rsidP="00932215">
      <w:pPr>
        <w:pStyle w:val="FootnoteText"/>
      </w:pPr>
      <w:r w:rsidRPr="00B122A2">
        <w:rPr>
          <w:rStyle w:val="FootnoteReference"/>
          <w:sz w:val="16"/>
          <w:szCs w:val="16"/>
        </w:rPr>
        <w:footnoteRef/>
      </w:r>
      <w:r w:rsidRPr="00B122A2">
        <w:rPr>
          <w:sz w:val="16"/>
          <w:szCs w:val="16"/>
        </w:rPr>
        <w:t xml:space="preserve"> World Health Organization. Framework for action on interprofessional education and collaborative practice. Accessed from: </w:t>
      </w:r>
      <w:hyperlink r:id="rId1" w:history="1">
        <w:r w:rsidRPr="00B122A2">
          <w:rPr>
            <w:rStyle w:val="Hyperlink"/>
            <w:sz w:val="16"/>
            <w:szCs w:val="16"/>
          </w:rPr>
          <w:t>https://www.who.int/publications/i/item/framework-for-action-on-interprofessional-education-collaborative-practice</w:t>
        </w:r>
      </w:hyperlink>
      <w:r w:rsidRPr="00B122A2">
        <w:rPr>
          <w:sz w:val="16"/>
          <w:szCs w:val="16"/>
        </w:rPr>
        <w:t xml:space="preserve">. </w:t>
      </w:r>
    </w:p>
  </w:footnote>
  <w:footnote w:id="3">
    <w:p w14:paraId="145FFA1D" w14:textId="72C4B115" w:rsidR="00C423F6" w:rsidRDefault="00C423F6" w:rsidP="00932215">
      <w:pPr>
        <w:pStyle w:val="FootnoteText"/>
      </w:pPr>
      <w:r w:rsidRPr="00B122A2">
        <w:rPr>
          <w:rStyle w:val="FootnoteReference"/>
          <w:sz w:val="16"/>
          <w:szCs w:val="16"/>
        </w:rPr>
        <w:footnoteRef/>
      </w:r>
      <w:r w:rsidRPr="00B122A2">
        <w:rPr>
          <w:sz w:val="16"/>
          <w:szCs w:val="16"/>
        </w:rPr>
        <w:t xml:space="preserve"> Australian Government Department of Health and Aged Care. Primary Care. Accessed from: https://www.health.gov.au/topics/primary-care#:~:text=Primary%20care%20is%20health%20care,pharmacies%20and%20allied%20health%20professionals.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60D0" w14:textId="77777777" w:rsidR="008E0C77" w:rsidRDefault="00CA79CF" w:rsidP="008E0C77">
    <w:pPr>
      <w:pStyle w:val="Headertext"/>
      <w:spacing w:after="180"/>
      <w:jc w:val="left"/>
    </w:pPr>
    <w:r>
      <w:rPr>
        <w:noProof/>
        <w:lang w:eastAsia="en-AU"/>
      </w:rPr>
      <w:drawing>
        <wp:anchor distT="0" distB="0" distL="114300" distR="114300" simplePos="0" relativeHeight="251658240" behindDoc="1" locked="0" layoutInCell="1" allowOverlap="1" wp14:anchorId="1D074814" wp14:editId="3B64E203">
          <wp:simplePos x="0" y="0"/>
          <wp:positionH relativeFrom="page">
            <wp:align>center</wp:align>
          </wp:positionH>
          <wp:positionV relativeFrom="page">
            <wp:align>center</wp:align>
          </wp:positionV>
          <wp:extent cx="7560000" cy="106920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3710"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1" behindDoc="1" locked="0" layoutInCell="1" allowOverlap="1" wp14:anchorId="283F5027" wp14:editId="1FF2B173">
          <wp:simplePos x="0" y="0"/>
          <wp:positionH relativeFrom="page">
            <wp:align>center</wp:align>
          </wp:positionH>
          <wp:positionV relativeFrom="page">
            <wp:align>center</wp:align>
          </wp:positionV>
          <wp:extent cx="7558768" cy="1068390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90795" name="Picture 14923907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39A2" w14:textId="62370A41"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76B4" w14:textId="77777777" w:rsidR="000D56E4" w:rsidRDefault="00FD072E" w:rsidP="008E0C77">
    <w:pPr>
      <w:pStyle w:val="Headertext"/>
      <w:spacing w:after="180"/>
      <w:jc w:val="left"/>
    </w:pPr>
    <w:r>
      <w:rPr>
        <w:noProof/>
      </w:rPr>
      <w:drawing>
        <wp:anchor distT="0" distB="0" distL="114300" distR="114300" simplePos="0" relativeHeight="251658242" behindDoc="1" locked="0" layoutInCell="1" allowOverlap="1" wp14:anchorId="16A74689" wp14:editId="19E54F83">
          <wp:simplePos x="0" y="0"/>
          <wp:positionH relativeFrom="page">
            <wp:align>left</wp:align>
          </wp:positionH>
          <wp:positionV relativeFrom="page">
            <wp:align>top</wp:align>
          </wp:positionV>
          <wp:extent cx="7577229" cy="10710000"/>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612B"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8DBE" w14:textId="77777777" w:rsidR="00A34530" w:rsidRDefault="00530796">
    <w:pPr>
      <w:pStyle w:val="Header"/>
    </w:pPr>
    <w:r>
      <w:rPr>
        <w:noProof/>
      </w:rPr>
      <w:drawing>
        <wp:anchor distT="0" distB="0" distL="114300" distR="114300" simplePos="0" relativeHeight="251658243" behindDoc="1" locked="0" layoutInCell="1" allowOverlap="1" wp14:anchorId="0984B048" wp14:editId="0D280B4A">
          <wp:simplePos x="0" y="0"/>
          <wp:positionH relativeFrom="page">
            <wp:align>left</wp:align>
          </wp:positionH>
          <wp:positionV relativeFrom="page">
            <wp:align>top</wp:align>
          </wp:positionV>
          <wp:extent cx="7578000" cy="10710000"/>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rpZwKcJXB4iXb" int2:id="hA9QrOw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2F10B9"/>
    <w:multiLevelType w:val="multilevel"/>
    <w:tmpl w:val="ED40775E"/>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 w15:restartNumberingAfterBreak="0">
    <w:nsid w:val="096C1E5C"/>
    <w:multiLevelType w:val="singleLevel"/>
    <w:tmpl w:val="FE0E1E7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121611CB"/>
    <w:multiLevelType w:val="singleLevel"/>
    <w:tmpl w:val="AA8C280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AA6342"/>
    <w:multiLevelType w:val="singleLevel"/>
    <w:tmpl w:val="E482CE0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29F718FB"/>
    <w:multiLevelType w:val="singleLevel"/>
    <w:tmpl w:val="03F6401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2B4B1F88"/>
    <w:multiLevelType w:val="singleLevel"/>
    <w:tmpl w:val="A13CF1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30E167FC"/>
    <w:multiLevelType w:val="hybridMultilevel"/>
    <w:tmpl w:val="0488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D71AD7"/>
    <w:multiLevelType w:val="singleLevel"/>
    <w:tmpl w:val="9ED0F81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8AE1C1C"/>
    <w:multiLevelType w:val="singleLevel"/>
    <w:tmpl w:val="BE6A6B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3E28509A"/>
    <w:multiLevelType w:val="singleLevel"/>
    <w:tmpl w:val="C1FA452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3F86457A"/>
    <w:multiLevelType w:val="singleLevel"/>
    <w:tmpl w:val="578C15E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423E0D2B"/>
    <w:multiLevelType w:val="singleLevel"/>
    <w:tmpl w:val="D62E4E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DBD6AE7"/>
    <w:multiLevelType w:val="singleLevel"/>
    <w:tmpl w:val="C0BA401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65FA7E10"/>
    <w:multiLevelType w:val="multilevel"/>
    <w:tmpl w:val="ED40775E"/>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8" w15:restartNumberingAfterBreak="0">
    <w:nsid w:val="68DF04BC"/>
    <w:multiLevelType w:val="hybridMultilevel"/>
    <w:tmpl w:val="E4E4BA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4B4D97"/>
    <w:multiLevelType w:val="singleLevel"/>
    <w:tmpl w:val="B020680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76E617F6"/>
    <w:multiLevelType w:val="singleLevel"/>
    <w:tmpl w:val="1C80A4E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77456B54"/>
    <w:multiLevelType w:val="singleLevel"/>
    <w:tmpl w:val="FDBEF8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3" w15:restartNumberingAfterBreak="0">
    <w:nsid w:val="77777417"/>
    <w:multiLevelType w:val="singleLevel"/>
    <w:tmpl w:val="7848DF4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EC656A8"/>
    <w:multiLevelType w:val="singleLevel"/>
    <w:tmpl w:val="3B7EAD3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7EF12675"/>
    <w:multiLevelType w:val="singleLevel"/>
    <w:tmpl w:val="0AF24CB0"/>
    <w:lvl w:ilvl="0">
      <w:start w:val="1"/>
      <w:numFmt w:val="bullet"/>
      <w:lvlText w:val="•"/>
      <w:lvlJc w:val="left"/>
      <w:pPr>
        <w:tabs>
          <w:tab w:val="num" w:pos="340"/>
        </w:tabs>
        <w:ind w:left="340" w:hanging="340"/>
      </w:pPr>
      <w:rPr>
        <w:rFonts w:ascii="Arial" w:hAnsi="Arial" w:cs="Arial" w:hint="default"/>
        <w:color w:val="auto"/>
        <w:sz w:val="24"/>
      </w:rPr>
    </w:lvl>
  </w:abstractNum>
  <w:num w:numId="1" w16cid:durableId="1735272860">
    <w:abstractNumId w:val="15"/>
  </w:num>
  <w:num w:numId="2" w16cid:durableId="1196383769">
    <w:abstractNumId w:val="19"/>
  </w:num>
  <w:num w:numId="3" w16cid:durableId="1072969161">
    <w:abstractNumId w:val="0"/>
  </w:num>
  <w:num w:numId="4" w16cid:durableId="2037726617">
    <w:abstractNumId w:val="24"/>
  </w:num>
  <w:num w:numId="5" w16cid:durableId="1093162511">
    <w:abstractNumId w:val="4"/>
  </w:num>
  <w:num w:numId="6" w16cid:durableId="683167219">
    <w:abstractNumId w:val="10"/>
  </w:num>
  <w:num w:numId="7" w16cid:durableId="428279380">
    <w:abstractNumId w:val="23"/>
  </w:num>
  <w:num w:numId="8" w16cid:durableId="1083184624">
    <w:abstractNumId w:val="8"/>
  </w:num>
  <w:num w:numId="9" w16cid:durableId="678167573">
    <w:abstractNumId w:val="11"/>
  </w:num>
  <w:num w:numId="10" w16cid:durableId="494731410">
    <w:abstractNumId w:val="1"/>
  </w:num>
  <w:num w:numId="11" w16cid:durableId="1089081144">
    <w:abstractNumId w:val="2"/>
  </w:num>
  <w:num w:numId="12" w16cid:durableId="92824173">
    <w:abstractNumId w:val="5"/>
  </w:num>
  <w:num w:numId="13" w16cid:durableId="1128548890">
    <w:abstractNumId w:val="13"/>
  </w:num>
  <w:num w:numId="14" w16cid:durableId="53819938">
    <w:abstractNumId w:val="21"/>
  </w:num>
  <w:num w:numId="15" w16cid:durableId="232862580">
    <w:abstractNumId w:val="25"/>
  </w:num>
  <w:num w:numId="16" w16cid:durableId="968435923">
    <w:abstractNumId w:val="7"/>
  </w:num>
  <w:num w:numId="17" w16cid:durableId="698047727">
    <w:abstractNumId w:val="3"/>
  </w:num>
  <w:num w:numId="18" w16cid:durableId="1145051587">
    <w:abstractNumId w:val="12"/>
  </w:num>
  <w:num w:numId="19" w16cid:durableId="337660059">
    <w:abstractNumId w:val="6"/>
  </w:num>
  <w:num w:numId="20" w16cid:durableId="1365251789">
    <w:abstractNumId w:val="20"/>
  </w:num>
  <w:num w:numId="21" w16cid:durableId="2068604107">
    <w:abstractNumId w:val="26"/>
  </w:num>
  <w:num w:numId="22" w16cid:durableId="516427828">
    <w:abstractNumId w:val="16"/>
  </w:num>
  <w:num w:numId="23" w16cid:durableId="1339770996">
    <w:abstractNumId w:val="22"/>
  </w:num>
  <w:num w:numId="24" w16cid:durableId="185366133">
    <w:abstractNumId w:val="14"/>
  </w:num>
  <w:num w:numId="25" w16cid:durableId="2051487354">
    <w:abstractNumId w:val="9"/>
  </w:num>
  <w:num w:numId="26" w16cid:durableId="947857872">
    <w:abstractNumId w:val="17"/>
  </w:num>
  <w:num w:numId="27" w16cid:durableId="2136219105">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39"/>
    <w:rsid w:val="000001DE"/>
    <w:rsid w:val="0000027A"/>
    <w:rsid w:val="00000286"/>
    <w:rsid w:val="000005E0"/>
    <w:rsid w:val="000012A1"/>
    <w:rsid w:val="00001A0F"/>
    <w:rsid w:val="00001AAC"/>
    <w:rsid w:val="00001E56"/>
    <w:rsid w:val="00002290"/>
    <w:rsid w:val="0000284D"/>
    <w:rsid w:val="00002B11"/>
    <w:rsid w:val="0000318E"/>
    <w:rsid w:val="00003743"/>
    <w:rsid w:val="00003967"/>
    <w:rsid w:val="00003A6D"/>
    <w:rsid w:val="00003BF9"/>
    <w:rsid w:val="00003D5C"/>
    <w:rsid w:val="00003E2F"/>
    <w:rsid w:val="00003EA1"/>
    <w:rsid w:val="00003F34"/>
    <w:rsid w:val="00003FCA"/>
    <w:rsid w:val="00004260"/>
    <w:rsid w:val="00004366"/>
    <w:rsid w:val="00004694"/>
    <w:rsid w:val="000047B4"/>
    <w:rsid w:val="0000548C"/>
    <w:rsid w:val="000056B9"/>
    <w:rsid w:val="00005712"/>
    <w:rsid w:val="00005CCF"/>
    <w:rsid w:val="00005CFF"/>
    <w:rsid w:val="00006290"/>
    <w:rsid w:val="000062C1"/>
    <w:rsid w:val="00006357"/>
    <w:rsid w:val="00006557"/>
    <w:rsid w:val="000068F5"/>
    <w:rsid w:val="00006979"/>
    <w:rsid w:val="00006E16"/>
    <w:rsid w:val="00007549"/>
    <w:rsid w:val="000079EC"/>
    <w:rsid w:val="00007B6A"/>
    <w:rsid w:val="00007CC9"/>
    <w:rsid w:val="00007FD8"/>
    <w:rsid w:val="0001002A"/>
    <w:rsid w:val="000105FD"/>
    <w:rsid w:val="0001082E"/>
    <w:rsid w:val="0001087D"/>
    <w:rsid w:val="00010899"/>
    <w:rsid w:val="00011100"/>
    <w:rsid w:val="000113E9"/>
    <w:rsid w:val="00011734"/>
    <w:rsid w:val="000117F8"/>
    <w:rsid w:val="000118AA"/>
    <w:rsid w:val="00011B22"/>
    <w:rsid w:val="00011D41"/>
    <w:rsid w:val="00011DD2"/>
    <w:rsid w:val="0001226E"/>
    <w:rsid w:val="00012628"/>
    <w:rsid w:val="00012AD4"/>
    <w:rsid w:val="00012C52"/>
    <w:rsid w:val="00012CA6"/>
    <w:rsid w:val="000130A6"/>
    <w:rsid w:val="000131C7"/>
    <w:rsid w:val="00013444"/>
    <w:rsid w:val="00013473"/>
    <w:rsid w:val="00013912"/>
    <w:rsid w:val="00013AD3"/>
    <w:rsid w:val="0001429A"/>
    <w:rsid w:val="000146A4"/>
    <w:rsid w:val="00014A73"/>
    <w:rsid w:val="00014D60"/>
    <w:rsid w:val="00014E4C"/>
    <w:rsid w:val="00015054"/>
    <w:rsid w:val="0001508A"/>
    <w:rsid w:val="00015423"/>
    <w:rsid w:val="0001590F"/>
    <w:rsid w:val="000160AE"/>
    <w:rsid w:val="000162C7"/>
    <w:rsid w:val="000164B5"/>
    <w:rsid w:val="0001667B"/>
    <w:rsid w:val="00016E7B"/>
    <w:rsid w:val="000177BB"/>
    <w:rsid w:val="00017920"/>
    <w:rsid w:val="0002039B"/>
    <w:rsid w:val="00020A7F"/>
    <w:rsid w:val="00020B2F"/>
    <w:rsid w:val="00020B5D"/>
    <w:rsid w:val="0002111E"/>
    <w:rsid w:val="0002125C"/>
    <w:rsid w:val="0002170C"/>
    <w:rsid w:val="00021A76"/>
    <w:rsid w:val="00021AD4"/>
    <w:rsid w:val="00021CB2"/>
    <w:rsid w:val="00022626"/>
    <w:rsid w:val="00022A99"/>
    <w:rsid w:val="00022DBA"/>
    <w:rsid w:val="00022EAF"/>
    <w:rsid w:val="00023077"/>
    <w:rsid w:val="00023229"/>
    <w:rsid w:val="0002333C"/>
    <w:rsid w:val="00023795"/>
    <w:rsid w:val="00023924"/>
    <w:rsid w:val="00023D4B"/>
    <w:rsid w:val="000245E0"/>
    <w:rsid w:val="00024CA4"/>
    <w:rsid w:val="00025070"/>
    <w:rsid w:val="00025ACE"/>
    <w:rsid w:val="00026139"/>
    <w:rsid w:val="000263FE"/>
    <w:rsid w:val="0002640C"/>
    <w:rsid w:val="00026634"/>
    <w:rsid w:val="00026E12"/>
    <w:rsid w:val="00026EB4"/>
    <w:rsid w:val="00027071"/>
    <w:rsid w:val="000270D0"/>
    <w:rsid w:val="0002717C"/>
    <w:rsid w:val="00027328"/>
    <w:rsid w:val="00027355"/>
    <w:rsid w:val="0002742A"/>
    <w:rsid w:val="00027526"/>
    <w:rsid w:val="00027601"/>
    <w:rsid w:val="00027669"/>
    <w:rsid w:val="00027A19"/>
    <w:rsid w:val="00027ED7"/>
    <w:rsid w:val="000307BB"/>
    <w:rsid w:val="00030964"/>
    <w:rsid w:val="00030B7D"/>
    <w:rsid w:val="00030D49"/>
    <w:rsid w:val="00030EF4"/>
    <w:rsid w:val="00030F4E"/>
    <w:rsid w:val="000313B9"/>
    <w:rsid w:val="000319EA"/>
    <w:rsid w:val="00031D48"/>
    <w:rsid w:val="00031E09"/>
    <w:rsid w:val="00031E81"/>
    <w:rsid w:val="00032036"/>
    <w:rsid w:val="000321CF"/>
    <w:rsid w:val="000322B1"/>
    <w:rsid w:val="00032346"/>
    <w:rsid w:val="0003272F"/>
    <w:rsid w:val="0003274E"/>
    <w:rsid w:val="00032995"/>
    <w:rsid w:val="00032F84"/>
    <w:rsid w:val="00033153"/>
    <w:rsid w:val="00033321"/>
    <w:rsid w:val="000338E5"/>
    <w:rsid w:val="00033AFB"/>
    <w:rsid w:val="00033B52"/>
    <w:rsid w:val="00033ECC"/>
    <w:rsid w:val="0003422F"/>
    <w:rsid w:val="00034654"/>
    <w:rsid w:val="00034668"/>
    <w:rsid w:val="00034759"/>
    <w:rsid w:val="00034F8E"/>
    <w:rsid w:val="00034FE1"/>
    <w:rsid w:val="000352C7"/>
    <w:rsid w:val="000353EA"/>
    <w:rsid w:val="00035589"/>
    <w:rsid w:val="000355BA"/>
    <w:rsid w:val="000358CC"/>
    <w:rsid w:val="00036186"/>
    <w:rsid w:val="0003643B"/>
    <w:rsid w:val="000368B0"/>
    <w:rsid w:val="000369ED"/>
    <w:rsid w:val="00036A67"/>
    <w:rsid w:val="00036E4A"/>
    <w:rsid w:val="00036E66"/>
    <w:rsid w:val="00037821"/>
    <w:rsid w:val="00037899"/>
    <w:rsid w:val="00037BB3"/>
    <w:rsid w:val="0004041A"/>
    <w:rsid w:val="00040A23"/>
    <w:rsid w:val="000414E1"/>
    <w:rsid w:val="000415CF"/>
    <w:rsid w:val="000417FC"/>
    <w:rsid w:val="00041C7A"/>
    <w:rsid w:val="00041DF2"/>
    <w:rsid w:val="00041E2F"/>
    <w:rsid w:val="00042310"/>
    <w:rsid w:val="0004261D"/>
    <w:rsid w:val="00042814"/>
    <w:rsid w:val="000429AC"/>
    <w:rsid w:val="00042AD2"/>
    <w:rsid w:val="00042D1A"/>
    <w:rsid w:val="00042D29"/>
    <w:rsid w:val="00043BBF"/>
    <w:rsid w:val="00043F47"/>
    <w:rsid w:val="00044150"/>
    <w:rsid w:val="00044510"/>
    <w:rsid w:val="00044711"/>
    <w:rsid w:val="0004495F"/>
    <w:rsid w:val="000449A9"/>
    <w:rsid w:val="00045125"/>
    <w:rsid w:val="0004541C"/>
    <w:rsid w:val="0004573C"/>
    <w:rsid w:val="000457B9"/>
    <w:rsid w:val="00045A98"/>
    <w:rsid w:val="00045AE6"/>
    <w:rsid w:val="00045F2A"/>
    <w:rsid w:val="00046334"/>
    <w:rsid w:val="00046CA5"/>
    <w:rsid w:val="00046EED"/>
    <w:rsid w:val="00046FB4"/>
    <w:rsid w:val="00046FF0"/>
    <w:rsid w:val="0004771F"/>
    <w:rsid w:val="00047757"/>
    <w:rsid w:val="00047970"/>
    <w:rsid w:val="000479D5"/>
    <w:rsid w:val="00047CEA"/>
    <w:rsid w:val="00050176"/>
    <w:rsid w:val="000505C3"/>
    <w:rsid w:val="000506CF"/>
    <w:rsid w:val="000507F4"/>
    <w:rsid w:val="000507F7"/>
    <w:rsid w:val="00050C85"/>
    <w:rsid w:val="00050E5D"/>
    <w:rsid w:val="00050F9A"/>
    <w:rsid w:val="00050FE4"/>
    <w:rsid w:val="00051379"/>
    <w:rsid w:val="00051405"/>
    <w:rsid w:val="00051E02"/>
    <w:rsid w:val="00052AEA"/>
    <w:rsid w:val="00052C08"/>
    <w:rsid w:val="00052C50"/>
    <w:rsid w:val="000533DD"/>
    <w:rsid w:val="0005364F"/>
    <w:rsid w:val="00053AEA"/>
    <w:rsid w:val="00053D74"/>
    <w:rsid w:val="00053E4F"/>
    <w:rsid w:val="00054024"/>
    <w:rsid w:val="00054238"/>
    <w:rsid w:val="00054596"/>
    <w:rsid w:val="0005479C"/>
    <w:rsid w:val="000549E0"/>
    <w:rsid w:val="0005502B"/>
    <w:rsid w:val="000550A2"/>
    <w:rsid w:val="000556CF"/>
    <w:rsid w:val="000557A2"/>
    <w:rsid w:val="00056131"/>
    <w:rsid w:val="000569D8"/>
    <w:rsid w:val="00056C9F"/>
    <w:rsid w:val="00057144"/>
    <w:rsid w:val="0005743A"/>
    <w:rsid w:val="00057A8E"/>
    <w:rsid w:val="00057B13"/>
    <w:rsid w:val="00057F31"/>
    <w:rsid w:val="0005BF9F"/>
    <w:rsid w:val="0006018B"/>
    <w:rsid w:val="00060B7A"/>
    <w:rsid w:val="00060C57"/>
    <w:rsid w:val="00060FF4"/>
    <w:rsid w:val="000613E1"/>
    <w:rsid w:val="000613F0"/>
    <w:rsid w:val="00061631"/>
    <w:rsid w:val="00061749"/>
    <w:rsid w:val="00061A5F"/>
    <w:rsid w:val="00061AF1"/>
    <w:rsid w:val="00061D28"/>
    <w:rsid w:val="0006207B"/>
    <w:rsid w:val="00062164"/>
    <w:rsid w:val="00062369"/>
    <w:rsid w:val="00062668"/>
    <w:rsid w:val="00062A49"/>
    <w:rsid w:val="00062A59"/>
    <w:rsid w:val="00062AE5"/>
    <w:rsid w:val="00062B47"/>
    <w:rsid w:val="00062B55"/>
    <w:rsid w:val="00062B65"/>
    <w:rsid w:val="00062FFC"/>
    <w:rsid w:val="00063005"/>
    <w:rsid w:val="00063290"/>
    <w:rsid w:val="00063A55"/>
    <w:rsid w:val="00063AD7"/>
    <w:rsid w:val="00063EE3"/>
    <w:rsid w:val="00064081"/>
    <w:rsid w:val="0006422C"/>
    <w:rsid w:val="000649A6"/>
    <w:rsid w:val="00065101"/>
    <w:rsid w:val="0006519D"/>
    <w:rsid w:val="00065231"/>
    <w:rsid w:val="0006538D"/>
    <w:rsid w:val="00065AAD"/>
    <w:rsid w:val="00065E3C"/>
    <w:rsid w:val="0006660C"/>
    <w:rsid w:val="0006668D"/>
    <w:rsid w:val="00066BF9"/>
    <w:rsid w:val="00066DBF"/>
    <w:rsid w:val="00067456"/>
    <w:rsid w:val="0006749F"/>
    <w:rsid w:val="000678EA"/>
    <w:rsid w:val="00067D49"/>
    <w:rsid w:val="000702E1"/>
    <w:rsid w:val="000703E1"/>
    <w:rsid w:val="000704EC"/>
    <w:rsid w:val="00070605"/>
    <w:rsid w:val="00070AA2"/>
    <w:rsid w:val="00070C44"/>
    <w:rsid w:val="00070D71"/>
    <w:rsid w:val="00071072"/>
    <w:rsid w:val="00071506"/>
    <w:rsid w:val="0007151D"/>
    <w:rsid w:val="0007154F"/>
    <w:rsid w:val="000717A6"/>
    <w:rsid w:val="00071871"/>
    <w:rsid w:val="000718E4"/>
    <w:rsid w:val="00071A6E"/>
    <w:rsid w:val="00071FB7"/>
    <w:rsid w:val="00071FF0"/>
    <w:rsid w:val="0007264B"/>
    <w:rsid w:val="00072802"/>
    <w:rsid w:val="00072847"/>
    <w:rsid w:val="00072A51"/>
    <w:rsid w:val="00072E7E"/>
    <w:rsid w:val="00073125"/>
    <w:rsid w:val="000731A8"/>
    <w:rsid w:val="00073221"/>
    <w:rsid w:val="00073FA7"/>
    <w:rsid w:val="00074099"/>
    <w:rsid w:val="00074264"/>
    <w:rsid w:val="00074846"/>
    <w:rsid w:val="00074C95"/>
    <w:rsid w:val="00074F46"/>
    <w:rsid w:val="0007563B"/>
    <w:rsid w:val="00075AB4"/>
    <w:rsid w:val="00075F12"/>
    <w:rsid w:val="00076507"/>
    <w:rsid w:val="00076BF5"/>
    <w:rsid w:val="000774F0"/>
    <w:rsid w:val="00077629"/>
    <w:rsid w:val="000776CE"/>
    <w:rsid w:val="00077AB7"/>
    <w:rsid w:val="00077C53"/>
    <w:rsid w:val="00077C76"/>
    <w:rsid w:val="00080644"/>
    <w:rsid w:val="0008116C"/>
    <w:rsid w:val="0008144A"/>
    <w:rsid w:val="000814AC"/>
    <w:rsid w:val="000818F8"/>
    <w:rsid w:val="00081AB1"/>
    <w:rsid w:val="00081AFC"/>
    <w:rsid w:val="000820F2"/>
    <w:rsid w:val="00082428"/>
    <w:rsid w:val="000826CA"/>
    <w:rsid w:val="00082775"/>
    <w:rsid w:val="0008285C"/>
    <w:rsid w:val="00082AAC"/>
    <w:rsid w:val="00082BB4"/>
    <w:rsid w:val="000830FC"/>
    <w:rsid w:val="00083211"/>
    <w:rsid w:val="00083255"/>
    <w:rsid w:val="0008332D"/>
    <w:rsid w:val="0008376C"/>
    <w:rsid w:val="0008383D"/>
    <w:rsid w:val="00083B1C"/>
    <w:rsid w:val="00083C98"/>
    <w:rsid w:val="00083F54"/>
    <w:rsid w:val="00084483"/>
    <w:rsid w:val="00084550"/>
    <w:rsid w:val="00084663"/>
    <w:rsid w:val="00084830"/>
    <w:rsid w:val="00084879"/>
    <w:rsid w:val="000848E6"/>
    <w:rsid w:val="00085129"/>
    <w:rsid w:val="00085A05"/>
    <w:rsid w:val="00085A43"/>
    <w:rsid w:val="00085C63"/>
    <w:rsid w:val="00085FD6"/>
    <w:rsid w:val="00086272"/>
    <w:rsid w:val="00086DDC"/>
    <w:rsid w:val="00086F7C"/>
    <w:rsid w:val="0008723A"/>
    <w:rsid w:val="00087A19"/>
    <w:rsid w:val="00090155"/>
    <w:rsid w:val="00090156"/>
    <w:rsid w:val="000902A9"/>
    <w:rsid w:val="00090316"/>
    <w:rsid w:val="0009067F"/>
    <w:rsid w:val="000908F2"/>
    <w:rsid w:val="000909EF"/>
    <w:rsid w:val="0009113D"/>
    <w:rsid w:val="000916E9"/>
    <w:rsid w:val="000917AB"/>
    <w:rsid w:val="00091888"/>
    <w:rsid w:val="000919D2"/>
    <w:rsid w:val="00092251"/>
    <w:rsid w:val="00092370"/>
    <w:rsid w:val="0009245A"/>
    <w:rsid w:val="00092B06"/>
    <w:rsid w:val="00092C4B"/>
    <w:rsid w:val="00092DF6"/>
    <w:rsid w:val="00092EA5"/>
    <w:rsid w:val="00092F01"/>
    <w:rsid w:val="0009311F"/>
    <w:rsid w:val="00093693"/>
    <w:rsid w:val="000937DE"/>
    <w:rsid w:val="00093981"/>
    <w:rsid w:val="00093CD9"/>
    <w:rsid w:val="00093E43"/>
    <w:rsid w:val="00094B1E"/>
    <w:rsid w:val="00094D3B"/>
    <w:rsid w:val="000951A7"/>
    <w:rsid w:val="000954BE"/>
    <w:rsid w:val="000955A1"/>
    <w:rsid w:val="000955E1"/>
    <w:rsid w:val="000955E6"/>
    <w:rsid w:val="00095F21"/>
    <w:rsid w:val="00095FD9"/>
    <w:rsid w:val="000960BD"/>
    <w:rsid w:val="00096CB2"/>
    <w:rsid w:val="0009700C"/>
    <w:rsid w:val="00097020"/>
    <w:rsid w:val="0009710C"/>
    <w:rsid w:val="00097348"/>
    <w:rsid w:val="00097503"/>
    <w:rsid w:val="00097570"/>
    <w:rsid w:val="00097747"/>
    <w:rsid w:val="000978A9"/>
    <w:rsid w:val="000A0416"/>
    <w:rsid w:val="000A081B"/>
    <w:rsid w:val="000A08E1"/>
    <w:rsid w:val="000A0A2E"/>
    <w:rsid w:val="000A0BBE"/>
    <w:rsid w:val="000A1539"/>
    <w:rsid w:val="000A15F2"/>
    <w:rsid w:val="000A18F8"/>
    <w:rsid w:val="000A1C96"/>
    <w:rsid w:val="000A1CFE"/>
    <w:rsid w:val="000A2064"/>
    <w:rsid w:val="000A27B1"/>
    <w:rsid w:val="000A2D2A"/>
    <w:rsid w:val="000A3200"/>
    <w:rsid w:val="000A34BC"/>
    <w:rsid w:val="000A3DCE"/>
    <w:rsid w:val="000A4260"/>
    <w:rsid w:val="000A42E3"/>
    <w:rsid w:val="000A44C0"/>
    <w:rsid w:val="000A4B02"/>
    <w:rsid w:val="000A4E72"/>
    <w:rsid w:val="000A5206"/>
    <w:rsid w:val="000A541D"/>
    <w:rsid w:val="000A546A"/>
    <w:rsid w:val="000A5589"/>
    <w:rsid w:val="000A55AA"/>
    <w:rsid w:val="000A5614"/>
    <w:rsid w:val="000A5F6B"/>
    <w:rsid w:val="000A6015"/>
    <w:rsid w:val="000A603A"/>
    <w:rsid w:val="000A66C4"/>
    <w:rsid w:val="000A7259"/>
    <w:rsid w:val="000A73C4"/>
    <w:rsid w:val="000A7549"/>
    <w:rsid w:val="000A7A1B"/>
    <w:rsid w:val="000A7BF7"/>
    <w:rsid w:val="000A7C34"/>
    <w:rsid w:val="000A7FC8"/>
    <w:rsid w:val="000B0342"/>
    <w:rsid w:val="000B067A"/>
    <w:rsid w:val="000B08D2"/>
    <w:rsid w:val="000B0A83"/>
    <w:rsid w:val="000B0AC9"/>
    <w:rsid w:val="000B0CD2"/>
    <w:rsid w:val="000B10D7"/>
    <w:rsid w:val="000B131D"/>
    <w:rsid w:val="000B1540"/>
    <w:rsid w:val="000B16B8"/>
    <w:rsid w:val="000B1F1E"/>
    <w:rsid w:val="000B2218"/>
    <w:rsid w:val="000B227E"/>
    <w:rsid w:val="000B242D"/>
    <w:rsid w:val="000B24D1"/>
    <w:rsid w:val="000B27EF"/>
    <w:rsid w:val="000B2872"/>
    <w:rsid w:val="000B2969"/>
    <w:rsid w:val="000B300C"/>
    <w:rsid w:val="000B33FD"/>
    <w:rsid w:val="000B35D9"/>
    <w:rsid w:val="000B38CF"/>
    <w:rsid w:val="000B3AF5"/>
    <w:rsid w:val="000B3E4C"/>
    <w:rsid w:val="000B40A4"/>
    <w:rsid w:val="000B424D"/>
    <w:rsid w:val="000B4451"/>
    <w:rsid w:val="000B4477"/>
    <w:rsid w:val="000B46A8"/>
    <w:rsid w:val="000B4ABA"/>
    <w:rsid w:val="000B4BFA"/>
    <w:rsid w:val="000B4DE7"/>
    <w:rsid w:val="000B4E28"/>
    <w:rsid w:val="000B4FEC"/>
    <w:rsid w:val="000B5102"/>
    <w:rsid w:val="000B5105"/>
    <w:rsid w:val="000B5606"/>
    <w:rsid w:val="000B5897"/>
    <w:rsid w:val="000B5930"/>
    <w:rsid w:val="000B5B0B"/>
    <w:rsid w:val="000B5B46"/>
    <w:rsid w:val="000B5B49"/>
    <w:rsid w:val="000B5B7B"/>
    <w:rsid w:val="000B6361"/>
    <w:rsid w:val="000B6557"/>
    <w:rsid w:val="000B6628"/>
    <w:rsid w:val="000B66D9"/>
    <w:rsid w:val="000B73AB"/>
    <w:rsid w:val="000C0667"/>
    <w:rsid w:val="000C0882"/>
    <w:rsid w:val="000C0BC1"/>
    <w:rsid w:val="000C0CA0"/>
    <w:rsid w:val="000C0EE9"/>
    <w:rsid w:val="000C0F91"/>
    <w:rsid w:val="000C1025"/>
    <w:rsid w:val="000C117F"/>
    <w:rsid w:val="000C12D1"/>
    <w:rsid w:val="000C12E5"/>
    <w:rsid w:val="000C1483"/>
    <w:rsid w:val="000C173E"/>
    <w:rsid w:val="000C1765"/>
    <w:rsid w:val="000C18DD"/>
    <w:rsid w:val="000C1908"/>
    <w:rsid w:val="000C1A7B"/>
    <w:rsid w:val="000C1FAC"/>
    <w:rsid w:val="000C2048"/>
    <w:rsid w:val="000C208D"/>
    <w:rsid w:val="000C2271"/>
    <w:rsid w:val="000C2293"/>
    <w:rsid w:val="000C2694"/>
    <w:rsid w:val="000C2A76"/>
    <w:rsid w:val="000C2C5D"/>
    <w:rsid w:val="000C2CDE"/>
    <w:rsid w:val="000C2F73"/>
    <w:rsid w:val="000C3199"/>
    <w:rsid w:val="000C32C7"/>
    <w:rsid w:val="000C3939"/>
    <w:rsid w:val="000C39EE"/>
    <w:rsid w:val="000C465A"/>
    <w:rsid w:val="000C4B16"/>
    <w:rsid w:val="000C4BDF"/>
    <w:rsid w:val="000C4D1F"/>
    <w:rsid w:val="000C50C3"/>
    <w:rsid w:val="000C51C1"/>
    <w:rsid w:val="000C53B9"/>
    <w:rsid w:val="000C563A"/>
    <w:rsid w:val="000C5A52"/>
    <w:rsid w:val="000C65D6"/>
    <w:rsid w:val="000C6FA3"/>
    <w:rsid w:val="000C70F9"/>
    <w:rsid w:val="000C720A"/>
    <w:rsid w:val="000C7B2E"/>
    <w:rsid w:val="000C7F37"/>
    <w:rsid w:val="000D054C"/>
    <w:rsid w:val="000D094B"/>
    <w:rsid w:val="000D0967"/>
    <w:rsid w:val="000D0B8B"/>
    <w:rsid w:val="000D13C8"/>
    <w:rsid w:val="000D13FC"/>
    <w:rsid w:val="000D1BF0"/>
    <w:rsid w:val="000D1CFC"/>
    <w:rsid w:val="000D1D22"/>
    <w:rsid w:val="000D2071"/>
    <w:rsid w:val="000D21F6"/>
    <w:rsid w:val="000D2351"/>
    <w:rsid w:val="000D2513"/>
    <w:rsid w:val="000D25F4"/>
    <w:rsid w:val="000D2645"/>
    <w:rsid w:val="000D2A36"/>
    <w:rsid w:val="000D3171"/>
    <w:rsid w:val="000D31B9"/>
    <w:rsid w:val="000D3424"/>
    <w:rsid w:val="000D35E2"/>
    <w:rsid w:val="000D36A7"/>
    <w:rsid w:val="000D3706"/>
    <w:rsid w:val="000D381D"/>
    <w:rsid w:val="000D3A7D"/>
    <w:rsid w:val="000D3C4E"/>
    <w:rsid w:val="000D3EA9"/>
    <w:rsid w:val="000D3F75"/>
    <w:rsid w:val="000D403A"/>
    <w:rsid w:val="000D42C3"/>
    <w:rsid w:val="000D4500"/>
    <w:rsid w:val="000D4576"/>
    <w:rsid w:val="000D4593"/>
    <w:rsid w:val="000D49F0"/>
    <w:rsid w:val="000D4E4A"/>
    <w:rsid w:val="000D4E78"/>
    <w:rsid w:val="000D56E4"/>
    <w:rsid w:val="000D5C8C"/>
    <w:rsid w:val="000D5DF8"/>
    <w:rsid w:val="000D6191"/>
    <w:rsid w:val="000D6C08"/>
    <w:rsid w:val="000D6C85"/>
    <w:rsid w:val="000D740D"/>
    <w:rsid w:val="000D761C"/>
    <w:rsid w:val="000D764E"/>
    <w:rsid w:val="000D76D0"/>
    <w:rsid w:val="000D7AEA"/>
    <w:rsid w:val="000D7AF7"/>
    <w:rsid w:val="000D7C54"/>
    <w:rsid w:val="000D7CEC"/>
    <w:rsid w:val="000E01A9"/>
    <w:rsid w:val="000E0597"/>
    <w:rsid w:val="000E08FE"/>
    <w:rsid w:val="000E0AAB"/>
    <w:rsid w:val="000E0F0B"/>
    <w:rsid w:val="000E103A"/>
    <w:rsid w:val="000E1261"/>
    <w:rsid w:val="000E13EB"/>
    <w:rsid w:val="000E16F6"/>
    <w:rsid w:val="000E1BD4"/>
    <w:rsid w:val="000E1C4D"/>
    <w:rsid w:val="000E1D04"/>
    <w:rsid w:val="000E1EF8"/>
    <w:rsid w:val="000E22AE"/>
    <w:rsid w:val="000E2A2E"/>
    <w:rsid w:val="000E2A50"/>
    <w:rsid w:val="000E2C66"/>
    <w:rsid w:val="000E2D7B"/>
    <w:rsid w:val="000E2DD2"/>
    <w:rsid w:val="000E2ED4"/>
    <w:rsid w:val="000E2F96"/>
    <w:rsid w:val="000E35A3"/>
    <w:rsid w:val="000E376F"/>
    <w:rsid w:val="000E3DC7"/>
    <w:rsid w:val="000E3EA8"/>
    <w:rsid w:val="000E4EC1"/>
    <w:rsid w:val="000E523E"/>
    <w:rsid w:val="000E53C8"/>
    <w:rsid w:val="000E5508"/>
    <w:rsid w:val="000E5706"/>
    <w:rsid w:val="000E592F"/>
    <w:rsid w:val="000E5AC8"/>
    <w:rsid w:val="000E5DE0"/>
    <w:rsid w:val="000E62E1"/>
    <w:rsid w:val="000E6333"/>
    <w:rsid w:val="000E63BC"/>
    <w:rsid w:val="000E6502"/>
    <w:rsid w:val="000E690F"/>
    <w:rsid w:val="000E6A3F"/>
    <w:rsid w:val="000E6E7D"/>
    <w:rsid w:val="000E71BC"/>
    <w:rsid w:val="000E7265"/>
    <w:rsid w:val="000E78BE"/>
    <w:rsid w:val="000E7B0A"/>
    <w:rsid w:val="000E7C7D"/>
    <w:rsid w:val="000E7D49"/>
    <w:rsid w:val="000EBF2F"/>
    <w:rsid w:val="000F017F"/>
    <w:rsid w:val="000F01CE"/>
    <w:rsid w:val="000F032A"/>
    <w:rsid w:val="000F05F2"/>
    <w:rsid w:val="000F072B"/>
    <w:rsid w:val="000F08CE"/>
    <w:rsid w:val="000F0A2D"/>
    <w:rsid w:val="000F0F4A"/>
    <w:rsid w:val="000F123C"/>
    <w:rsid w:val="000F19E8"/>
    <w:rsid w:val="000F1E91"/>
    <w:rsid w:val="000F23E1"/>
    <w:rsid w:val="000F255E"/>
    <w:rsid w:val="000F2F0B"/>
    <w:rsid w:val="000F2FDB"/>
    <w:rsid w:val="000F2FED"/>
    <w:rsid w:val="000F307C"/>
    <w:rsid w:val="000F334F"/>
    <w:rsid w:val="000F3536"/>
    <w:rsid w:val="000F35FC"/>
    <w:rsid w:val="000F360A"/>
    <w:rsid w:val="000F365C"/>
    <w:rsid w:val="000F3BB2"/>
    <w:rsid w:val="000F3CE6"/>
    <w:rsid w:val="000F3FAF"/>
    <w:rsid w:val="000F438C"/>
    <w:rsid w:val="000F4A92"/>
    <w:rsid w:val="000F4C16"/>
    <w:rsid w:val="000F510C"/>
    <w:rsid w:val="000F5A52"/>
    <w:rsid w:val="000F6151"/>
    <w:rsid w:val="000F62C7"/>
    <w:rsid w:val="000F6332"/>
    <w:rsid w:val="000F6D34"/>
    <w:rsid w:val="000F6F73"/>
    <w:rsid w:val="000F700B"/>
    <w:rsid w:val="000F7341"/>
    <w:rsid w:val="000F7418"/>
    <w:rsid w:val="000F78C6"/>
    <w:rsid w:val="000F7AF8"/>
    <w:rsid w:val="000F7D6E"/>
    <w:rsid w:val="000F7DAF"/>
    <w:rsid w:val="001003A0"/>
    <w:rsid w:val="00100A5D"/>
    <w:rsid w:val="00100F6D"/>
    <w:rsid w:val="001010A7"/>
    <w:rsid w:val="0010147C"/>
    <w:rsid w:val="00101637"/>
    <w:rsid w:val="00101CE7"/>
    <w:rsid w:val="0010225B"/>
    <w:rsid w:val="001024C5"/>
    <w:rsid w:val="00102720"/>
    <w:rsid w:val="0010275B"/>
    <w:rsid w:val="00102865"/>
    <w:rsid w:val="00102F0F"/>
    <w:rsid w:val="00102FDC"/>
    <w:rsid w:val="001039EF"/>
    <w:rsid w:val="00103B40"/>
    <w:rsid w:val="00103BEF"/>
    <w:rsid w:val="00103BFF"/>
    <w:rsid w:val="00103C91"/>
    <w:rsid w:val="00103F40"/>
    <w:rsid w:val="00103F99"/>
    <w:rsid w:val="0010451A"/>
    <w:rsid w:val="0010474F"/>
    <w:rsid w:val="00104C28"/>
    <w:rsid w:val="00104E96"/>
    <w:rsid w:val="00104FBE"/>
    <w:rsid w:val="00105153"/>
    <w:rsid w:val="00105AA2"/>
    <w:rsid w:val="00105CD3"/>
    <w:rsid w:val="00105F75"/>
    <w:rsid w:val="001060B6"/>
    <w:rsid w:val="0010616D"/>
    <w:rsid w:val="00106283"/>
    <w:rsid w:val="001063B0"/>
    <w:rsid w:val="001064B4"/>
    <w:rsid w:val="0010678B"/>
    <w:rsid w:val="00106832"/>
    <w:rsid w:val="00106984"/>
    <w:rsid w:val="001075CC"/>
    <w:rsid w:val="001076C9"/>
    <w:rsid w:val="001077FB"/>
    <w:rsid w:val="001078F8"/>
    <w:rsid w:val="001079DC"/>
    <w:rsid w:val="00107C31"/>
    <w:rsid w:val="00107D74"/>
    <w:rsid w:val="00107F53"/>
    <w:rsid w:val="001100E2"/>
    <w:rsid w:val="00110147"/>
    <w:rsid w:val="00110209"/>
    <w:rsid w:val="00110478"/>
    <w:rsid w:val="001104D3"/>
    <w:rsid w:val="00110DCD"/>
    <w:rsid w:val="00110FC2"/>
    <w:rsid w:val="001110C7"/>
    <w:rsid w:val="001113DD"/>
    <w:rsid w:val="00111BE0"/>
    <w:rsid w:val="00112297"/>
    <w:rsid w:val="0011252A"/>
    <w:rsid w:val="001126C5"/>
    <w:rsid w:val="00112905"/>
    <w:rsid w:val="00112932"/>
    <w:rsid w:val="00112F50"/>
    <w:rsid w:val="001131F4"/>
    <w:rsid w:val="001132AD"/>
    <w:rsid w:val="001134EB"/>
    <w:rsid w:val="001136E5"/>
    <w:rsid w:val="001144D0"/>
    <w:rsid w:val="001149B0"/>
    <w:rsid w:val="00115122"/>
    <w:rsid w:val="001153F1"/>
    <w:rsid w:val="0011550A"/>
    <w:rsid w:val="0011583C"/>
    <w:rsid w:val="00115F3B"/>
    <w:rsid w:val="00116710"/>
    <w:rsid w:val="0011673B"/>
    <w:rsid w:val="00116877"/>
    <w:rsid w:val="0011711B"/>
    <w:rsid w:val="001175F6"/>
    <w:rsid w:val="001175F8"/>
    <w:rsid w:val="00117762"/>
    <w:rsid w:val="001177D3"/>
    <w:rsid w:val="00117F8A"/>
    <w:rsid w:val="001203F0"/>
    <w:rsid w:val="00120B43"/>
    <w:rsid w:val="00120C00"/>
    <w:rsid w:val="00120D6F"/>
    <w:rsid w:val="00120EA5"/>
    <w:rsid w:val="0012100C"/>
    <w:rsid w:val="00121336"/>
    <w:rsid w:val="001214E9"/>
    <w:rsid w:val="00121541"/>
    <w:rsid w:val="0012168F"/>
    <w:rsid w:val="001216AD"/>
    <w:rsid w:val="00121A42"/>
    <w:rsid w:val="00121B9B"/>
    <w:rsid w:val="0012210E"/>
    <w:rsid w:val="001222B5"/>
    <w:rsid w:val="0012261C"/>
    <w:rsid w:val="001228B3"/>
    <w:rsid w:val="00122ADC"/>
    <w:rsid w:val="001233F1"/>
    <w:rsid w:val="001236DD"/>
    <w:rsid w:val="001236E5"/>
    <w:rsid w:val="0012383D"/>
    <w:rsid w:val="00123982"/>
    <w:rsid w:val="001239EC"/>
    <w:rsid w:val="00123A7F"/>
    <w:rsid w:val="00123BCE"/>
    <w:rsid w:val="00123C6A"/>
    <w:rsid w:val="00123F81"/>
    <w:rsid w:val="001245B2"/>
    <w:rsid w:val="001246AB"/>
    <w:rsid w:val="001246B3"/>
    <w:rsid w:val="001246EE"/>
    <w:rsid w:val="0012488C"/>
    <w:rsid w:val="001248FC"/>
    <w:rsid w:val="00124A71"/>
    <w:rsid w:val="00124AE7"/>
    <w:rsid w:val="00124D83"/>
    <w:rsid w:val="00124FC1"/>
    <w:rsid w:val="00125039"/>
    <w:rsid w:val="00125093"/>
    <w:rsid w:val="0012513D"/>
    <w:rsid w:val="001253F7"/>
    <w:rsid w:val="00125A68"/>
    <w:rsid w:val="001262B3"/>
    <w:rsid w:val="001265C0"/>
    <w:rsid w:val="00126649"/>
    <w:rsid w:val="00126792"/>
    <w:rsid w:val="001267DF"/>
    <w:rsid w:val="001267E2"/>
    <w:rsid w:val="00126941"/>
    <w:rsid w:val="00126A61"/>
    <w:rsid w:val="00126C29"/>
    <w:rsid w:val="00126DD5"/>
    <w:rsid w:val="00126E81"/>
    <w:rsid w:val="00126ECD"/>
    <w:rsid w:val="00126EF2"/>
    <w:rsid w:val="001273BE"/>
    <w:rsid w:val="001273E6"/>
    <w:rsid w:val="00127439"/>
    <w:rsid w:val="00127B6A"/>
    <w:rsid w:val="00127E92"/>
    <w:rsid w:val="00127F33"/>
    <w:rsid w:val="001300B1"/>
    <w:rsid w:val="00130455"/>
    <w:rsid w:val="00130478"/>
    <w:rsid w:val="00130871"/>
    <w:rsid w:val="00130991"/>
    <w:rsid w:val="00130A02"/>
    <w:rsid w:val="00130B91"/>
    <w:rsid w:val="00130BF3"/>
    <w:rsid w:val="00130C22"/>
    <w:rsid w:val="00130F59"/>
    <w:rsid w:val="00131158"/>
    <w:rsid w:val="001313DA"/>
    <w:rsid w:val="00131952"/>
    <w:rsid w:val="001319B7"/>
    <w:rsid w:val="00131C0F"/>
    <w:rsid w:val="00131DD2"/>
    <w:rsid w:val="001324E1"/>
    <w:rsid w:val="00132928"/>
    <w:rsid w:val="00132AE7"/>
    <w:rsid w:val="001330B8"/>
    <w:rsid w:val="00133114"/>
    <w:rsid w:val="001333E6"/>
    <w:rsid w:val="0013365E"/>
    <w:rsid w:val="001336BC"/>
    <w:rsid w:val="0013375A"/>
    <w:rsid w:val="00133847"/>
    <w:rsid w:val="00133953"/>
    <w:rsid w:val="00133C04"/>
    <w:rsid w:val="00133EC0"/>
    <w:rsid w:val="001340FD"/>
    <w:rsid w:val="00134350"/>
    <w:rsid w:val="00134BF0"/>
    <w:rsid w:val="00134C08"/>
    <w:rsid w:val="00135359"/>
    <w:rsid w:val="001353AE"/>
    <w:rsid w:val="00135668"/>
    <w:rsid w:val="00135D99"/>
    <w:rsid w:val="00136539"/>
    <w:rsid w:val="001365D0"/>
    <w:rsid w:val="001369F0"/>
    <w:rsid w:val="00136A0F"/>
    <w:rsid w:val="00136CC7"/>
    <w:rsid w:val="00137053"/>
    <w:rsid w:val="001372A6"/>
    <w:rsid w:val="001373E6"/>
    <w:rsid w:val="00137474"/>
    <w:rsid w:val="001374D8"/>
    <w:rsid w:val="00137583"/>
    <w:rsid w:val="00137760"/>
    <w:rsid w:val="001377C2"/>
    <w:rsid w:val="0013794A"/>
    <w:rsid w:val="00137B70"/>
    <w:rsid w:val="00137CEF"/>
    <w:rsid w:val="00137D5A"/>
    <w:rsid w:val="00140085"/>
    <w:rsid w:val="00140181"/>
    <w:rsid w:val="00140221"/>
    <w:rsid w:val="00140852"/>
    <w:rsid w:val="001409C8"/>
    <w:rsid w:val="00140AAD"/>
    <w:rsid w:val="00140FA2"/>
    <w:rsid w:val="00141229"/>
    <w:rsid w:val="00141284"/>
    <w:rsid w:val="00141291"/>
    <w:rsid w:val="001413EE"/>
    <w:rsid w:val="0014143B"/>
    <w:rsid w:val="0014168A"/>
    <w:rsid w:val="00141BE1"/>
    <w:rsid w:val="00141CE5"/>
    <w:rsid w:val="00142042"/>
    <w:rsid w:val="0014217F"/>
    <w:rsid w:val="0014218F"/>
    <w:rsid w:val="001422BB"/>
    <w:rsid w:val="00142332"/>
    <w:rsid w:val="001423DE"/>
    <w:rsid w:val="00142AE0"/>
    <w:rsid w:val="00142B6D"/>
    <w:rsid w:val="0014329C"/>
    <w:rsid w:val="001432BA"/>
    <w:rsid w:val="001433EB"/>
    <w:rsid w:val="001435A2"/>
    <w:rsid w:val="00143A36"/>
    <w:rsid w:val="00143DF0"/>
    <w:rsid w:val="00143FA9"/>
    <w:rsid w:val="00144705"/>
    <w:rsid w:val="001447D2"/>
    <w:rsid w:val="001448A6"/>
    <w:rsid w:val="00144908"/>
    <w:rsid w:val="00144C44"/>
    <w:rsid w:val="00144DC9"/>
    <w:rsid w:val="00144E8D"/>
    <w:rsid w:val="00144EC1"/>
    <w:rsid w:val="0014572C"/>
    <w:rsid w:val="00145878"/>
    <w:rsid w:val="0014594E"/>
    <w:rsid w:val="001463F4"/>
    <w:rsid w:val="00146508"/>
    <w:rsid w:val="001467FC"/>
    <w:rsid w:val="00146AFD"/>
    <w:rsid w:val="00146FA3"/>
    <w:rsid w:val="00147220"/>
    <w:rsid w:val="00147A41"/>
    <w:rsid w:val="00147D63"/>
    <w:rsid w:val="00147DFB"/>
    <w:rsid w:val="00147E6A"/>
    <w:rsid w:val="00147FB3"/>
    <w:rsid w:val="00150213"/>
    <w:rsid w:val="00150238"/>
    <w:rsid w:val="00150242"/>
    <w:rsid w:val="001506AC"/>
    <w:rsid w:val="001508D1"/>
    <w:rsid w:val="00150994"/>
    <w:rsid w:val="00150A48"/>
    <w:rsid w:val="00150B41"/>
    <w:rsid w:val="001510E9"/>
    <w:rsid w:val="001516DF"/>
    <w:rsid w:val="00151B30"/>
    <w:rsid w:val="00151CDC"/>
    <w:rsid w:val="00151CE1"/>
    <w:rsid w:val="00151F5E"/>
    <w:rsid w:val="00152031"/>
    <w:rsid w:val="001526A0"/>
    <w:rsid w:val="00152CDB"/>
    <w:rsid w:val="00152D1B"/>
    <w:rsid w:val="00153407"/>
    <w:rsid w:val="00153559"/>
    <w:rsid w:val="001537FC"/>
    <w:rsid w:val="00153816"/>
    <w:rsid w:val="00154449"/>
    <w:rsid w:val="00154594"/>
    <w:rsid w:val="0015461C"/>
    <w:rsid w:val="001548B8"/>
    <w:rsid w:val="00154979"/>
    <w:rsid w:val="00154C14"/>
    <w:rsid w:val="00154CAE"/>
    <w:rsid w:val="001554E9"/>
    <w:rsid w:val="001554EB"/>
    <w:rsid w:val="00155552"/>
    <w:rsid w:val="001557DA"/>
    <w:rsid w:val="001558D6"/>
    <w:rsid w:val="00155901"/>
    <w:rsid w:val="001561B5"/>
    <w:rsid w:val="00156D92"/>
    <w:rsid w:val="00156E0F"/>
    <w:rsid w:val="00156E31"/>
    <w:rsid w:val="001570AD"/>
    <w:rsid w:val="001570B5"/>
    <w:rsid w:val="001571B9"/>
    <w:rsid w:val="001571C7"/>
    <w:rsid w:val="00157987"/>
    <w:rsid w:val="00160204"/>
    <w:rsid w:val="001606A5"/>
    <w:rsid w:val="001609C7"/>
    <w:rsid w:val="00160F38"/>
    <w:rsid w:val="00161094"/>
    <w:rsid w:val="00161D79"/>
    <w:rsid w:val="00161E16"/>
    <w:rsid w:val="00161ECE"/>
    <w:rsid w:val="00161EEF"/>
    <w:rsid w:val="001621FB"/>
    <w:rsid w:val="001623C3"/>
    <w:rsid w:val="001625D7"/>
    <w:rsid w:val="00162B63"/>
    <w:rsid w:val="00162E12"/>
    <w:rsid w:val="00163104"/>
    <w:rsid w:val="0016345A"/>
    <w:rsid w:val="00163591"/>
    <w:rsid w:val="001639D1"/>
    <w:rsid w:val="00163A86"/>
    <w:rsid w:val="00163ABE"/>
    <w:rsid w:val="001640BA"/>
    <w:rsid w:val="0016423D"/>
    <w:rsid w:val="00164274"/>
    <w:rsid w:val="00164B4F"/>
    <w:rsid w:val="00165538"/>
    <w:rsid w:val="00165771"/>
    <w:rsid w:val="00165AC0"/>
    <w:rsid w:val="00165E29"/>
    <w:rsid w:val="00165E3F"/>
    <w:rsid w:val="00165F25"/>
    <w:rsid w:val="0016632F"/>
    <w:rsid w:val="001663FD"/>
    <w:rsid w:val="00166454"/>
    <w:rsid w:val="00166462"/>
    <w:rsid w:val="001665B0"/>
    <w:rsid w:val="0016683A"/>
    <w:rsid w:val="00166B94"/>
    <w:rsid w:val="001670EA"/>
    <w:rsid w:val="001674C6"/>
    <w:rsid w:val="00167807"/>
    <w:rsid w:val="0016780F"/>
    <w:rsid w:val="001678D6"/>
    <w:rsid w:val="00167957"/>
    <w:rsid w:val="00167FD5"/>
    <w:rsid w:val="0017026C"/>
    <w:rsid w:val="001705CE"/>
    <w:rsid w:val="00170ED4"/>
    <w:rsid w:val="00171021"/>
    <w:rsid w:val="00171399"/>
    <w:rsid w:val="001716C8"/>
    <w:rsid w:val="001716E6"/>
    <w:rsid w:val="0017239F"/>
    <w:rsid w:val="0017248F"/>
    <w:rsid w:val="00172880"/>
    <w:rsid w:val="00172A55"/>
    <w:rsid w:val="00172CBA"/>
    <w:rsid w:val="00172E95"/>
    <w:rsid w:val="00173227"/>
    <w:rsid w:val="0017326E"/>
    <w:rsid w:val="00173275"/>
    <w:rsid w:val="00173285"/>
    <w:rsid w:val="001734B6"/>
    <w:rsid w:val="00173D8B"/>
    <w:rsid w:val="00173E99"/>
    <w:rsid w:val="001744B8"/>
    <w:rsid w:val="0017464C"/>
    <w:rsid w:val="00174821"/>
    <w:rsid w:val="0017507E"/>
    <w:rsid w:val="0017508D"/>
    <w:rsid w:val="001755F2"/>
    <w:rsid w:val="00175743"/>
    <w:rsid w:val="001758CD"/>
    <w:rsid w:val="00175951"/>
    <w:rsid w:val="00175ABE"/>
    <w:rsid w:val="00175B5F"/>
    <w:rsid w:val="00175D0F"/>
    <w:rsid w:val="00176212"/>
    <w:rsid w:val="00176371"/>
    <w:rsid w:val="001763AE"/>
    <w:rsid w:val="0017665C"/>
    <w:rsid w:val="0017676F"/>
    <w:rsid w:val="00177441"/>
    <w:rsid w:val="00177652"/>
    <w:rsid w:val="00177AD2"/>
    <w:rsid w:val="00177B2F"/>
    <w:rsid w:val="001800CB"/>
    <w:rsid w:val="00180803"/>
    <w:rsid w:val="0018088C"/>
    <w:rsid w:val="00180E33"/>
    <w:rsid w:val="00180E42"/>
    <w:rsid w:val="00180E99"/>
    <w:rsid w:val="00180EA8"/>
    <w:rsid w:val="00180F17"/>
    <w:rsid w:val="0018103C"/>
    <w:rsid w:val="0018119F"/>
    <w:rsid w:val="00181280"/>
    <w:rsid w:val="001815A8"/>
    <w:rsid w:val="001823E0"/>
    <w:rsid w:val="001825C9"/>
    <w:rsid w:val="00182635"/>
    <w:rsid w:val="0018264F"/>
    <w:rsid w:val="00182800"/>
    <w:rsid w:val="00182B21"/>
    <w:rsid w:val="0018343B"/>
    <w:rsid w:val="001838F7"/>
    <w:rsid w:val="00183A68"/>
    <w:rsid w:val="00183C6F"/>
    <w:rsid w:val="00183D1C"/>
    <w:rsid w:val="001840FA"/>
    <w:rsid w:val="00184264"/>
    <w:rsid w:val="00184665"/>
    <w:rsid w:val="00184A94"/>
    <w:rsid w:val="00184BC9"/>
    <w:rsid w:val="00184BFB"/>
    <w:rsid w:val="00184C91"/>
    <w:rsid w:val="00184E7D"/>
    <w:rsid w:val="0018565F"/>
    <w:rsid w:val="00185ABF"/>
    <w:rsid w:val="00185C1C"/>
    <w:rsid w:val="00185D8B"/>
    <w:rsid w:val="001860F4"/>
    <w:rsid w:val="0018612B"/>
    <w:rsid w:val="00186211"/>
    <w:rsid w:val="00186561"/>
    <w:rsid w:val="00186D7D"/>
    <w:rsid w:val="00186E61"/>
    <w:rsid w:val="001872B0"/>
    <w:rsid w:val="001877FA"/>
    <w:rsid w:val="00187ADA"/>
    <w:rsid w:val="00187BB3"/>
    <w:rsid w:val="00187DD9"/>
    <w:rsid w:val="00187F87"/>
    <w:rsid w:val="00190079"/>
    <w:rsid w:val="001901CF"/>
    <w:rsid w:val="00190275"/>
    <w:rsid w:val="00190397"/>
    <w:rsid w:val="00190C64"/>
    <w:rsid w:val="00190D85"/>
    <w:rsid w:val="00191443"/>
    <w:rsid w:val="001918CA"/>
    <w:rsid w:val="00191A57"/>
    <w:rsid w:val="00191E17"/>
    <w:rsid w:val="00191EFC"/>
    <w:rsid w:val="00191F0B"/>
    <w:rsid w:val="00191FE8"/>
    <w:rsid w:val="001922C0"/>
    <w:rsid w:val="0019236C"/>
    <w:rsid w:val="0019275F"/>
    <w:rsid w:val="00192BB4"/>
    <w:rsid w:val="00192BE8"/>
    <w:rsid w:val="00192D1E"/>
    <w:rsid w:val="00192EB0"/>
    <w:rsid w:val="00193416"/>
    <w:rsid w:val="00193A07"/>
    <w:rsid w:val="00193E26"/>
    <w:rsid w:val="00193E6C"/>
    <w:rsid w:val="001941E9"/>
    <w:rsid w:val="00194359"/>
    <w:rsid w:val="00194445"/>
    <w:rsid w:val="00194FBD"/>
    <w:rsid w:val="00195934"/>
    <w:rsid w:val="00195A1F"/>
    <w:rsid w:val="0019622E"/>
    <w:rsid w:val="0019647F"/>
    <w:rsid w:val="001966A7"/>
    <w:rsid w:val="00196703"/>
    <w:rsid w:val="00196B1F"/>
    <w:rsid w:val="00196B4A"/>
    <w:rsid w:val="00196D05"/>
    <w:rsid w:val="00196F1D"/>
    <w:rsid w:val="001971DC"/>
    <w:rsid w:val="00197455"/>
    <w:rsid w:val="00197AE3"/>
    <w:rsid w:val="001A0CE7"/>
    <w:rsid w:val="001A0FE9"/>
    <w:rsid w:val="001A1419"/>
    <w:rsid w:val="001A192C"/>
    <w:rsid w:val="001A1D98"/>
    <w:rsid w:val="001A20CD"/>
    <w:rsid w:val="001A2735"/>
    <w:rsid w:val="001A2A9C"/>
    <w:rsid w:val="001A2DBA"/>
    <w:rsid w:val="001A31F0"/>
    <w:rsid w:val="001A3866"/>
    <w:rsid w:val="001A3937"/>
    <w:rsid w:val="001A3ABC"/>
    <w:rsid w:val="001A3D5C"/>
    <w:rsid w:val="001A3D9E"/>
    <w:rsid w:val="001A3F05"/>
    <w:rsid w:val="001A4195"/>
    <w:rsid w:val="001A4269"/>
    <w:rsid w:val="001A429F"/>
    <w:rsid w:val="001A4627"/>
    <w:rsid w:val="001A46CD"/>
    <w:rsid w:val="001A4979"/>
    <w:rsid w:val="001A4AE1"/>
    <w:rsid w:val="001A4CDE"/>
    <w:rsid w:val="001A51D0"/>
    <w:rsid w:val="001A5617"/>
    <w:rsid w:val="001A5813"/>
    <w:rsid w:val="001A5C12"/>
    <w:rsid w:val="001A5DB4"/>
    <w:rsid w:val="001A5FFF"/>
    <w:rsid w:val="001A6167"/>
    <w:rsid w:val="001A68A7"/>
    <w:rsid w:val="001A68A9"/>
    <w:rsid w:val="001A718F"/>
    <w:rsid w:val="001A71CB"/>
    <w:rsid w:val="001A7ED5"/>
    <w:rsid w:val="001A7EEA"/>
    <w:rsid w:val="001A7F99"/>
    <w:rsid w:val="001B0A9A"/>
    <w:rsid w:val="001B0AB1"/>
    <w:rsid w:val="001B0AF3"/>
    <w:rsid w:val="001B0D7A"/>
    <w:rsid w:val="001B10BC"/>
    <w:rsid w:val="001B15D3"/>
    <w:rsid w:val="001B193A"/>
    <w:rsid w:val="001B196D"/>
    <w:rsid w:val="001B1B8A"/>
    <w:rsid w:val="001B1DC4"/>
    <w:rsid w:val="001B1F8D"/>
    <w:rsid w:val="001B27C0"/>
    <w:rsid w:val="001B27CB"/>
    <w:rsid w:val="001B31AF"/>
    <w:rsid w:val="001B31D5"/>
    <w:rsid w:val="001B32B1"/>
    <w:rsid w:val="001B3443"/>
    <w:rsid w:val="001B3464"/>
    <w:rsid w:val="001B39B8"/>
    <w:rsid w:val="001B3C1B"/>
    <w:rsid w:val="001B4018"/>
    <w:rsid w:val="001B4019"/>
    <w:rsid w:val="001B4050"/>
    <w:rsid w:val="001B454B"/>
    <w:rsid w:val="001B49D0"/>
    <w:rsid w:val="001B4B72"/>
    <w:rsid w:val="001B4E5D"/>
    <w:rsid w:val="001B4ED4"/>
    <w:rsid w:val="001B4F3E"/>
    <w:rsid w:val="001B518C"/>
    <w:rsid w:val="001B5296"/>
    <w:rsid w:val="001B56E0"/>
    <w:rsid w:val="001B5792"/>
    <w:rsid w:val="001B58C4"/>
    <w:rsid w:val="001B5A00"/>
    <w:rsid w:val="001B6298"/>
    <w:rsid w:val="001B63BB"/>
    <w:rsid w:val="001B6426"/>
    <w:rsid w:val="001B6A85"/>
    <w:rsid w:val="001B6AEB"/>
    <w:rsid w:val="001B6CD2"/>
    <w:rsid w:val="001B6EE7"/>
    <w:rsid w:val="001B71A1"/>
    <w:rsid w:val="001B7476"/>
    <w:rsid w:val="001B7529"/>
    <w:rsid w:val="001B769F"/>
    <w:rsid w:val="001B7804"/>
    <w:rsid w:val="001B795C"/>
    <w:rsid w:val="001B7A50"/>
    <w:rsid w:val="001B7B5C"/>
    <w:rsid w:val="001B7B90"/>
    <w:rsid w:val="001B7FAF"/>
    <w:rsid w:val="001C0017"/>
    <w:rsid w:val="001C0326"/>
    <w:rsid w:val="001C0696"/>
    <w:rsid w:val="001C09B3"/>
    <w:rsid w:val="001C0C03"/>
    <w:rsid w:val="001C165F"/>
    <w:rsid w:val="001C192F"/>
    <w:rsid w:val="001C1A9D"/>
    <w:rsid w:val="001C1AAD"/>
    <w:rsid w:val="001C1C3B"/>
    <w:rsid w:val="001C1CA9"/>
    <w:rsid w:val="001C1F0F"/>
    <w:rsid w:val="001C20A1"/>
    <w:rsid w:val="001C286F"/>
    <w:rsid w:val="001C28BB"/>
    <w:rsid w:val="001C2C6A"/>
    <w:rsid w:val="001C2CAC"/>
    <w:rsid w:val="001C2D2D"/>
    <w:rsid w:val="001C3014"/>
    <w:rsid w:val="001C319E"/>
    <w:rsid w:val="001C354A"/>
    <w:rsid w:val="001C368A"/>
    <w:rsid w:val="001C3932"/>
    <w:rsid w:val="001C3C42"/>
    <w:rsid w:val="001C3C87"/>
    <w:rsid w:val="001C3EA7"/>
    <w:rsid w:val="001C4061"/>
    <w:rsid w:val="001C48F0"/>
    <w:rsid w:val="001C4E42"/>
    <w:rsid w:val="001C504C"/>
    <w:rsid w:val="001C51CB"/>
    <w:rsid w:val="001C6796"/>
    <w:rsid w:val="001C68A7"/>
    <w:rsid w:val="001C6E8D"/>
    <w:rsid w:val="001C71EC"/>
    <w:rsid w:val="001C71EF"/>
    <w:rsid w:val="001C7216"/>
    <w:rsid w:val="001D0430"/>
    <w:rsid w:val="001D052A"/>
    <w:rsid w:val="001D0940"/>
    <w:rsid w:val="001D102E"/>
    <w:rsid w:val="001D1738"/>
    <w:rsid w:val="001D1786"/>
    <w:rsid w:val="001D17D8"/>
    <w:rsid w:val="001D1AC5"/>
    <w:rsid w:val="001D1DD6"/>
    <w:rsid w:val="001D2448"/>
    <w:rsid w:val="001D247A"/>
    <w:rsid w:val="001D2867"/>
    <w:rsid w:val="001D2F51"/>
    <w:rsid w:val="001D328A"/>
    <w:rsid w:val="001D36AF"/>
    <w:rsid w:val="001D396A"/>
    <w:rsid w:val="001D3D6E"/>
    <w:rsid w:val="001D414B"/>
    <w:rsid w:val="001D44A2"/>
    <w:rsid w:val="001D44AB"/>
    <w:rsid w:val="001D489C"/>
    <w:rsid w:val="001D4A9B"/>
    <w:rsid w:val="001D4F0B"/>
    <w:rsid w:val="001D4F7E"/>
    <w:rsid w:val="001D5008"/>
    <w:rsid w:val="001D5498"/>
    <w:rsid w:val="001D58AE"/>
    <w:rsid w:val="001D5D8E"/>
    <w:rsid w:val="001D6355"/>
    <w:rsid w:val="001D6974"/>
    <w:rsid w:val="001D69DE"/>
    <w:rsid w:val="001D7285"/>
    <w:rsid w:val="001D7617"/>
    <w:rsid w:val="001D7869"/>
    <w:rsid w:val="001D7B9B"/>
    <w:rsid w:val="001D7D16"/>
    <w:rsid w:val="001D7D51"/>
    <w:rsid w:val="001D7D64"/>
    <w:rsid w:val="001E0011"/>
    <w:rsid w:val="001E01F7"/>
    <w:rsid w:val="001E036A"/>
    <w:rsid w:val="001E0694"/>
    <w:rsid w:val="001E093D"/>
    <w:rsid w:val="001E0AB3"/>
    <w:rsid w:val="001E149A"/>
    <w:rsid w:val="001E1D0D"/>
    <w:rsid w:val="001E1D73"/>
    <w:rsid w:val="001E245D"/>
    <w:rsid w:val="001E2935"/>
    <w:rsid w:val="001E29D5"/>
    <w:rsid w:val="001E2D9B"/>
    <w:rsid w:val="001E3259"/>
    <w:rsid w:val="001E328B"/>
    <w:rsid w:val="001E3297"/>
    <w:rsid w:val="001E407C"/>
    <w:rsid w:val="001E4CF7"/>
    <w:rsid w:val="001E4FDB"/>
    <w:rsid w:val="001E5A74"/>
    <w:rsid w:val="001E5D40"/>
    <w:rsid w:val="001E5D4D"/>
    <w:rsid w:val="001E5E58"/>
    <w:rsid w:val="001E5F83"/>
    <w:rsid w:val="001E63F5"/>
    <w:rsid w:val="001E64AE"/>
    <w:rsid w:val="001E6770"/>
    <w:rsid w:val="001E6E17"/>
    <w:rsid w:val="001E6F0A"/>
    <w:rsid w:val="001E78ED"/>
    <w:rsid w:val="001E7BE6"/>
    <w:rsid w:val="001E7C75"/>
    <w:rsid w:val="001F0187"/>
    <w:rsid w:val="001F0427"/>
    <w:rsid w:val="001F04B7"/>
    <w:rsid w:val="001F1122"/>
    <w:rsid w:val="001F12ED"/>
    <w:rsid w:val="001F12FD"/>
    <w:rsid w:val="001F1997"/>
    <w:rsid w:val="001F1B18"/>
    <w:rsid w:val="001F2564"/>
    <w:rsid w:val="001F2565"/>
    <w:rsid w:val="001F256D"/>
    <w:rsid w:val="001F28CF"/>
    <w:rsid w:val="001F2E86"/>
    <w:rsid w:val="001F2E8A"/>
    <w:rsid w:val="001F2F78"/>
    <w:rsid w:val="001F3235"/>
    <w:rsid w:val="001F38A5"/>
    <w:rsid w:val="001F38CA"/>
    <w:rsid w:val="001F3A42"/>
    <w:rsid w:val="001F3B47"/>
    <w:rsid w:val="001F4126"/>
    <w:rsid w:val="001F41B6"/>
    <w:rsid w:val="001F48D1"/>
    <w:rsid w:val="001F4D24"/>
    <w:rsid w:val="001F4ED0"/>
    <w:rsid w:val="001F5119"/>
    <w:rsid w:val="001F5376"/>
    <w:rsid w:val="001F54F6"/>
    <w:rsid w:val="001F56E8"/>
    <w:rsid w:val="001F5C4D"/>
    <w:rsid w:val="001F5DF9"/>
    <w:rsid w:val="001F5FBE"/>
    <w:rsid w:val="001F6AC2"/>
    <w:rsid w:val="001F6C40"/>
    <w:rsid w:val="001F7097"/>
    <w:rsid w:val="001F73E8"/>
    <w:rsid w:val="001F7649"/>
    <w:rsid w:val="002001D7"/>
    <w:rsid w:val="00200292"/>
    <w:rsid w:val="00200787"/>
    <w:rsid w:val="00200BB4"/>
    <w:rsid w:val="00200E20"/>
    <w:rsid w:val="00201162"/>
    <w:rsid w:val="002011E9"/>
    <w:rsid w:val="00201326"/>
    <w:rsid w:val="002013A0"/>
    <w:rsid w:val="0020178B"/>
    <w:rsid w:val="00201860"/>
    <w:rsid w:val="00201A9D"/>
    <w:rsid w:val="00201AD2"/>
    <w:rsid w:val="00201D8E"/>
    <w:rsid w:val="00202671"/>
    <w:rsid w:val="002026CD"/>
    <w:rsid w:val="00203048"/>
    <w:rsid w:val="002030BE"/>
    <w:rsid w:val="002033FC"/>
    <w:rsid w:val="0020351F"/>
    <w:rsid w:val="00203B3C"/>
    <w:rsid w:val="00203DF2"/>
    <w:rsid w:val="00203F18"/>
    <w:rsid w:val="00203FF2"/>
    <w:rsid w:val="002040A1"/>
    <w:rsid w:val="002040FB"/>
    <w:rsid w:val="002043C6"/>
    <w:rsid w:val="0020447E"/>
    <w:rsid w:val="002044BB"/>
    <w:rsid w:val="00204E9C"/>
    <w:rsid w:val="0020510A"/>
    <w:rsid w:val="00205112"/>
    <w:rsid w:val="00205184"/>
    <w:rsid w:val="0020549A"/>
    <w:rsid w:val="00205A93"/>
    <w:rsid w:val="00205D94"/>
    <w:rsid w:val="00205E51"/>
    <w:rsid w:val="00205FBB"/>
    <w:rsid w:val="002060D8"/>
    <w:rsid w:val="00206357"/>
    <w:rsid w:val="00206368"/>
    <w:rsid w:val="002064B2"/>
    <w:rsid w:val="00206986"/>
    <w:rsid w:val="00206B88"/>
    <w:rsid w:val="00206EA6"/>
    <w:rsid w:val="00207509"/>
    <w:rsid w:val="00207793"/>
    <w:rsid w:val="0020782E"/>
    <w:rsid w:val="00207990"/>
    <w:rsid w:val="00207D9E"/>
    <w:rsid w:val="00207EA4"/>
    <w:rsid w:val="00210043"/>
    <w:rsid w:val="0021061D"/>
    <w:rsid w:val="0021079E"/>
    <w:rsid w:val="00210AE8"/>
    <w:rsid w:val="00210B09"/>
    <w:rsid w:val="00210B2B"/>
    <w:rsid w:val="00210C9E"/>
    <w:rsid w:val="00210CEE"/>
    <w:rsid w:val="00211169"/>
    <w:rsid w:val="00211454"/>
    <w:rsid w:val="00211553"/>
    <w:rsid w:val="00211840"/>
    <w:rsid w:val="00212064"/>
    <w:rsid w:val="00212362"/>
    <w:rsid w:val="00212631"/>
    <w:rsid w:val="00212701"/>
    <w:rsid w:val="0021297B"/>
    <w:rsid w:val="0021298A"/>
    <w:rsid w:val="002133F0"/>
    <w:rsid w:val="002136AB"/>
    <w:rsid w:val="00213BA7"/>
    <w:rsid w:val="00213DDA"/>
    <w:rsid w:val="0021411C"/>
    <w:rsid w:val="00214320"/>
    <w:rsid w:val="00214A6D"/>
    <w:rsid w:val="00214AF2"/>
    <w:rsid w:val="00214CAA"/>
    <w:rsid w:val="00214D40"/>
    <w:rsid w:val="00214D6B"/>
    <w:rsid w:val="00215540"/>
    <w:rsid w:val="00215A92"/>
    <w:rsid w:val="00215F84"/>
    <w:rsid w:val="00215F94"/>
    <w:rsid w:val="00215FCF"/>
    <w:rsid w:val="0021654F"/>
    <w:rsid w:val="002166E1"/>
    <w:rsid w:val="002168C9"/>
    <w:rsid w:val="00216AE7"/>
    <w:rsid w:val="00216C63"/>
    <w:rsid w:val="00217363"/>
    <w:rsid w:val="00217CD3"/>
    <w:rsid w:val="00217DAB"/>
    <w:rsid w:val="002200A5"/>
    <w:rsid w:val="002200B1"/>
    <w:rsid w:val="002201AC"/>
    <w:rsid w:val="00220BAE"/>
    <w:rsid w:val="00220DFF"/>
    <w:rsid w:val="00220E1D"/>
    <w:rsid w:val="00220E5F"/>
    <w:rsid w:val="002212B5"/>
    <w:rsid w:val="0022150C"/>
    <w:rsid w:val="00221666"/>
    <w:rsid w:val="0022188D"/>
    <w:rsid w:val="00221B2C"/>
    <w:rsid w:val="00221B6A"/>
    <w:rsid w:val="00221D2B"/>
    <w:rsid w:val="00221ECA"/>
    <w:rsid w:val="002224CB"/>
    <w:rsid w:val="002226BD"/>
    <w:rsid w:val="002227EC"/>
    <w:rsid w:val="0022284A"/>
    <w:rsid w:val="00222FEC"/>
    <w:rsid w:val="0022301C"/>
    <w:rsid w:val="002230AD"/>
    <w:rsid w:val="00223A4A"/>
    <w:rsid w:val="00223CB0"/>
    <w:rsid w:val="00223E70"/>
    <w:rsid w:val="002241FC"/>
    <w:rsid w:val="0022476A"/>
    <w:rsid w:val="00224B2D"/>
    <w:rsid w:val="00224CFA"/>
    <w:rsid w:val="00224FAF"/>
    <w:rsid w:val="00225102"/>
    <w:rsid w:val="00225301"/>
    <w:rsid w:val="002253B2"/>
    <w:rsid w:val="002256E1"/>
    <w:rsid w:val="00225929"/>
    <w:rsid w:val="00225C12"/>
    <w:rsid w:val="0022616A"/>
    <w:rsid w:val="0022638F"/>
    <w:rsid w:val="002263EB"/>
    <w:rsid w:val="00226668"/>
    <w:rsid w:val="00226672"/>
    <w:rsid w:val="0022698E"/>
    <w:rsid w:val="00226A56"/>
    <w:rsid w:val="00226B9D"/>
    <w:rsid w:val="00226E21"/>
    <w:rsid w:val="002271F8"/>
    <w:rsid w:val="00227476"/>
    <w:rsid w:val="0022776F"/>
    <w:rsid w:val="00227CC4"/>
    <w:rsid w:val="00227F65"/>
    <w:rsid w:val="0023025C"/>
    <w:rsid w:val="00230620"/>
    <w:rsid w:val="002308D8"/>
    <w:rsid w:val="0023097B"/>
    <w:rsid w:val="002309EB"/>
    <w:rsid w:val="00230A3B"/>
    <w:rsid w:val="00231A59"/>
    <w:rsid w:val="00231F0C"/>
    <w:rsid w:val="002323D8"/>
    <w:rsid w:val="0023247D"/>
    <w:rsid w:val="002325C6"/>
    <w:rsid w:val="002325ED"/>
    <w:rsid w:val="00232670"/>
    <w:rsid w:val="00232841"/>
    <w:rsid w:val="002328CA"/>
    <w:rsid w:val="00232928"/>
    <w:rsid w:val="00232D5F"/>
    <w:rsid w:val="00232F5E"/>
    <w:rsid w:val="0023346A"/>
    <w:rsid w:val="00233809"/>
    <w:rsid w:val="00233949"/>
    <w:rsid w:val="00234528"/>
    <w:rsid w:val="002345C8"/>
    <w:rsid w:val="002348CF"/>
    <w:rsid w:val="002348F0"/>
    <w:rsid w:val="00234951"/>
    <w:rsid w:val="00234A36"/>
    <w:rsid w:val="00235B65"/>
    <w:rsid w:val="00235C27"/>
    <w:rsid w:val="00236073"/>
    <w:rsid w:val="00236418"/>
    <w:rsid w:val="0023678C"/>
    <w:rsid w:val="00237338"/>
    <w:rsid w:val="002377A5"/>
    <w:rsid w:val="00237816"/>
    <w:rsid w:val="00237BA1"/>
    <w:rsid w:val="00237C5B"/>
    <w:rsid w:val="00237C6B"/>
    <w:rsid w:val="00240046"/>
    <w:rsid w:val="0024027B"/>
    <w:rsid w:val="002403E6"/>
    <w:rsid w:val="0024065B"/>
    <w:rsid w:val="002409C9"/>
    <w:rsid w:val="00240A35"/>
    <w:rsid w:val="00240F7C"/>
    <w:rsid w:val="002415A6"/>
    <w:rsid w:val="00241B71"/>
    <w:rsid w:val="00241CC7"/>
    <w:rsid w:val="00241D60"/>
    <w:rsid w:val="00242120"/>
    <w:rsid w:val="00242389"/>
    <w:rsid w:val="00242A39"/>
    <w:rsid w:val="00242E19"/>
    <w:rsid w:val="0024301F"/>
    <w:rsid w:val="00243261"/>
    <w:rsid w:val="002437AF"/>
    <w:rsid w:val="0024390A"/>
    <w:rsid w:val="00243C70"/>
    <w:rsid w:val="00244254"/>
    <w:rsid w:val="00244281"/>
    <w:rsid w:val="002443BE"/>
    <w:rsid w:val="00244A7A"/>
    <w:rsid w:val="00244E50"/>
    <w:rsid w:val="00244F9A"/>
    <w:rsid w:val="0024573F"/>
    <w:rsid w:val="00245A14"/>
    <w:rsid w:val="00245CA1"/>
    <w:rsid w:val="00246068"/>
    <w:rsid w:val="00246414"/>
    <w:rsid w:val="00246896"/>
    <w:rsid w:val="002468BB"/>
    <w:rsid w:val="00246B27"/>
    <w:rsid w:val="00247113"/>
    <w:rsid w:val="00247430"/>
    <w:rsid w:val="00247536"/>
    <w:rsid w:val="002477F8"/>
    <w:rsid w:val="002478D9"/>
    <w:rsid w:val="0024797F"/>
    <w:rsid w:val="00247B1A"/>
    <w:rsid w:val="00250142"/>
    <w:rsid w:val="002503DF"/>
    <w:rsid w:val="002504D6"/>
    <w:rsid w:val="002504D7"/>
    <w:rsid w:val="00250C49"/>
    <w:rsid w:val="00250CFD"/>
    <w:rsid w:val="00250F6A"/>
    <w:rsid w:val="002510C0"/>
    <w:rsid w:val="0025119E"/>
    <w:rsid w:val="002511D1"/>
    <w:rsid w:val="00251269"/>
    <w:rsid w:val="00251D0A"/>
    <w:rsid w:val="00251DC9"/>
    <w:rsid w:val="00251DD5"/>
    <w:rsid w:val="0025200D"/>
    <w:rsid w:val="002523BD"/>
    <w:rsid w:val="002524E8"/>
    <w:rsid w:val="002524FA"/>
    <w:rsid w:val="002525ED"/>
    <w:rsid w:val="0025278E"/>
    <w:rsid w:val="00252BCE"/>
    <w:rsid w:val="002535C0"/>
    <w:rsid w:val="00253B11"/>
    <w:rsid w:val="00253EC1"/>
    <w:rsid w:val="00254246"/>
    <w:rsid w:val="002545F0"/>
    <w:rsid w:val="002545FC"/>
    <w:rsid w:val="00254968"/>
    <w:rsid w:val="00254B2D"/>
    <w:rsid w:val="00255DD8"/>
    <w:rsid w:val="00255E87"/>
    <w:rsid w:val="00255EC7"/>
    <w:rsid w:val="00255F25"/>
    <w:rsid w:val="00255FA6"/>
    <w:rsid w:val="00256053"/>
    <w:rsid w:val="00256125"/>
    <w:rsid w:val="0025621B"/>
    <w:rsid w:val="00256706"/>
    <w:rsid w:val="002567B1"/>
    <w:rsid w:val="00256B41"/>
    <w:rsid w:val="00256D05"/>
    <w:rsid w:val="00257537"/>
    <w:rsid w:val="002579FE"/>
    <w:rsid w:val="00257BB6"/>
    <w:rsid w:val="00257E88"/>
    <w:rsid w:val="00257F58"/>
    <w:rsid w:val="00260017"/>
    <w:rsid w:val="00260238"/>
    <w:rsid w:val="0026069D"/>
    <w:rsid w:val="002606D4"/>
    <w:rsid w:val="002606DC"/>
    <w:rsid w:val="00260923"/>
    <w:rsid w:val="00260A06"/>
    <w:rsid w:val="00260DCE"/>
    <w:rsid w:val="00260F98"/>
    <w:rsid w:val="0026135D"/>
    <w:rsid w:val="002614EF"/>
    <w:rsid w:val="00261E95"/>
    <w:rsid w:val="002623DD"/>
    <w:rsid w:val="002625E3"/>
    <w:rsid w:val="00262D2A"/>
    <w:rsid w:val="00262F26"/>
    <w:rsid w:val="002630E6"/>
    <w:rsid w:val="0026311C"/>
    <w:rsid w:val="002634DD"/>
    <w:rsid w:val="00263C96"/>
    <w:rsid w:val="00263E26"/>
    <w:rsid w:val="0026419C"/>
    <w:rsid w:val="00264461"/>
    <w:rsid w:val="002645B1"/>
    <w:rsid w:val="002646DE"/>
    <w:rsid w:val="00264EA7"/>
    <w:rsid w:val="00264F3F"/>
    <w:rsid w:val="00265468"/>
    <w:rsid w:val="00265509"/>
    <w:rsid w:val="002657D1"/>
    <w:rsid w:val="0026599A"/>
    <w:rsid w:val="00265DCD"/>
    <w:rsid w:val="00266270"/>
    <w:rsid w:val="002664C4"/>
    <w:rsid w:val="0026668C"/>
    <w:rsid w:val="0026673C"/>
    <w:rsid w:val="00266AC1"/>
    <w:rsid w:val="00266DFD"/>
    <w:rsid w:val="00266E11"/>
    <w:rsid w:val="00267197"/>
    <w:rsid w:val="002673A7"/>
    <w:rsid w:val="00267C5B"/>
    <w:rsid w:val="00270183"/>
    <w:rsid w:val="00270393"/>
    <w:rsid w:val="002703EA"/>
    <w:rsid w:val="00270892"/>
    <w:rsid w:val="0027178C"/>
    <w:rsid w:val="002719FA"/>
    <w:rsid w:val="002720B5"/>
    <w:rsid w:val="002721D1"/>
    <w:rsid w:val="00272668"/>
    <w:rsid w:val="002726E5"/>
    <w:rsid w:val="002727BD"/>
    <w:rsid w:val="00272DC3"/>
    <w:rsid w:val="00272FE6"/>
    <w:rsid w:val="0027324D"/>
    <w:rsid w:val="00273294"/>
    <w:rsid w:val="0027330B"/>
    <w:rsid w:val="0027376F"/>
    <w:rsid w:val="002739E2"/>
    <w:rsid w:val="00273AA3"/>
    <w:rsid w:val="00274084"/>
    <w:rsid w:val="0027422D"/>
    <w:rsid w:val="0027458F"/>
    <w:rsid w:val="00274B2F"/>
    <w:rsid w:val="002753E4"/>
    <w:rsid w:val="002754DE"/>
    <w:rsid w:val="00275F54"/>
    <w:rsid w:val="00276017"/>
    <w:rsid w:val="0027611C"/>
    <w:rsid w:val="0027639F"/>
    <w:rsid w:val="002768CF"/>
    <w:rsid w:val="00276A07"/>
    <w:rsid w:val="00276A33"/>
    <w:rsid w:val="00276C12"/>
    <w:rsid w:val="00276F54"/>
    <w:rsid w:val="00277104"/>
    <w:rsid w:val="0027758B"/>
    <w:rsid w:val="0027762E"/>
    <w:rsid w:val="0027778F"/>
    <w:rsid w:val="00277CB3"/>
    <w:rsid w:val="00277DB9"/>
    <w:rsid w:val="0028008D"/>
    <w:rsid w:val="002803AD"/>
    <w:rsid w:val="00280992"/>
    <w:rsid w:val="00280AB4"/>
    <w:rsid w:val="00280BDC"/>
    <w:rsid w:val="00280F6E"/>
    <w:rsid w:val="00281D5A"/>
    <w:rsid w:val="00282052"/>
    <w:rsid w:val="00282662"/>
    <w:rsid w:val="0028269B"/>
    <w:rsid w:val="00282A6B"/>
    <w:rsid w:val="00282C00"/>
    <w:rsid w:val="00282C8E"/>
    <w:rsid w:val="00282F33"/>
    <w:rsid w:val="00283156"/>
    <w:rsid w:val="00283628"/>
    <w:rsid w:val="00283D39"/>
    <w:rsid w:val="0028440B"/>
    <w:rsid w:val="00284452"/>
    <w:rsid w:val="0028453D"/>
    <w:rsid w:val="0028455E"/>
    <w:rsid w:val="00284692"/>
    <w:rsid w:val="00284DC2"/>
    <w:rsid w:val="0028501E"/>
    <w:rsid w:val="00285137"/>
    <w:rsid w:val="0028519E"/>
    <w:rsid w:val="002854FB"/>
    <w:rsid w:val="002856A5"/>
    <w:rsid w:val="00286454"/>
    <w:rsid w:val="002866C1"/>
    <w:rsid w:val="00286817"/>
    <w:rsid w:val="002869F3"/>
    <w:rsid w:val="00287116"/>
    <w:rsid w:val="002871CE"/>
    <w:rsid w:val="002872ED"/>
    <w:rsid w:val="0028735E"/>
    <w:rsid w:val="002874C8"/>
    <w:rsid w:val="00287972"/>
    <w:rsid w:val="00287C19"/>
    <w:rsid w:val="00287D75"/>
    <w:rsid w:val="002901C6"/>
    <w:rsid w:val="002905C2"/>
    <w:rsid w:val="00290647"/>
    <w:rsid w:val="00290971"/>
    <w:rsid w:val="00290BB7"/>
    <w:rsid w:val="00290BF4"/>
    <w:rsid w:val="00290C1F"/>
    <w:rsid w:val="00290DA7"/>
    <w:rsid w:val="0029106D"/>
    <w:rsid w:val="002910A7"/>
    <w:rsid w:val="00291386"/>
    <w:rsid w:val="0029141C"/>
    <w:rsid w:val="00291656"/>
    <w:rsid w:val="002916C0"/>
    <w:rsid w:val="00291733"/>
    <w:rsid w:val="00291B2C"/>
    <w:rsid w:val="00291D05"/>
    <w:rsid w:val="002924CC"/>
    <w:rsid w:val="0029268A"/>
    <w:rsid w:val="00292A4B"/>
    <w:rsid w:val="00292B55"/>
    <w:rsid w:val="00292E2B"/>
    <w:rsid w:val="00292F97"/>
    <w:rsid w:val="00292FA9"/>
    <w:rsid w:val="0029323B"/>
    <w:rsid w:val="0029327B"/>
    <w:rsid w:val="002935FB"/>
    <w:rsid w:val="0029369E"/>
    <w:rsid w:val="002939BB"/>
    <w:rsid w:val="002939C3"/>
    <w:rsid w:val="00293CE0"/>
    <w:rsid w:val="00293ED0"/>
    <w:rsid w:val="00294095"/>
    <w:rsid w:val="0029419C"/>
    <w:rsid w:val="0029422B"/>
    <w:rsid w:val="002949DD"/>
    <w:rsid w:val="00294A38"/>
    <w:rsid w:val="00294E46"/>
    <w:rsid w:val="00295314"/>
    <w:rsid w:val="00295409"/>
    <w:rsid w:val="0029544D"/>
    <w:rsid w:val="00295957"/>
    <w:rsid w:val="00295AF2"/>
    <w:rsid w:val="00295C91"/>
    <w:rsid w:val="00295E17"/>
    <w:rsid w:val="00295ED2"/>
    <w:rsid w:val="00295F82"/>
    <w:rsid w:val="00296692"/>
    <w:rsid w:val="002966BC"/>
    <w:rsid w:val="0029681B"/>
    <w:rsid w:val="00297151"/>
    <w:rsid w:val="00297153"/>
    <w:rsid w:val="002971A5"/>
    <w:rsid w:val="002971CE"/>
    <w:rsid w:val="0029744F"/>
    <w:rsid w:val="00297981"/>
    <w:rsid w:val="00297C76"/>
    <w:rsid w:val="00297D6D"/>
    <w:rsid w:val="00297ECC"/>
    <w:rsid w:val="00297FAE"/>
    <w:rsid w:val="002A00C5"/>
    <w:rsid w:val="002A018F"/>
    <w:rsid w:val="002A02BA"/>
    <w:rsid w:val="002A0352"/>
    <w:rsid w:val="002A0382"/>
    <w:rsid w:val="002A0504"/>
    <w:rsid w:val="002A0615"/>
    <w:rsid w:val="002A0BA6"/>
    <w:rsid w:val="002A0DA4"/>
    <w:rsid w:val="002A0F5E"/>
    <w:rsid w:val="002A1867"/>
    <w:rsid w:val="002A26DF"/>
    <w:rsid w:val="002A2A38"/>
    <w:rsid w:val="002A3225"/>
    <w:rsid w:val="002A33C8"/>
    <w:rsid w:val="002A3768"/>
    <w:rsid w:val="002A38F7"/>
    <w:rsid w:val="002A3B76"/>
    <w:rsid w:val="002A3BC9"/>
    <w:rsid w:val="002A4170"/>
    <w:rsid w:val="002A427F"/>
    <w:rsid w:val="002A4569"/>
    <w:rsid w:val="002A4F56"/>
    <w:rsid w:val="002A53CE"/>
    <w:rsid w:val="002A5432"/>
    <w:rsid w:val="002A5C9C"/>
    <w:rsid w:val="002A6551"/>
    <w:rsid w:val="002A6AF1"/>
    <w:rsid w:val="002A6C6C"/>
    <w:rsid w:val="002A6DDA"/>
    <w:rsid w:val="002A6E23"/>
    <w:rsid w:val="002A78F0"/>
    <w:rsid w:val="002A79B6"/>
    <w:rsid w:val="002A7CF8"/>
    <w:rsid w:val="002B0085"/>
    <w:rsid w:val="002B04AA"/>
    <w:rsid w:val="002B0C44"/>
    <w:rsid w:val="002B0C94"/>
    <w:rsid w:val="002B0CE9"/>
    <w:rsid w:val="002B0F8F"/>
    <w:rsid w:val="002B1248"/>
    <w:rsid w:val="002B15A3"/>
    <w:rsid w:val="002B15B7"/>
    <w:rsid w:val="002B1B5B"/>
    <w:rsid w:val="002B1CED"/>
    <w:rsid w:val="002B1E91"/>
    <w:rsid w:val="002B1FE1"/>
    <w:rsid w:val="002B20E6"/>
    <w:rsid w:val="002B221A"/>
    <w:rsid w:val="002B246E"/>
    <w:rsid w:val="002B2ACE"/>
    <w:rsid w:val="002B2CEA"/>
    <w:rsid w:val="002B316C"/>
    <w:rsid w:val="002B33A6"/>
    <w:rsid w:val="002B34EB"/>
    <w:rsid w:val="002B3701"/>
    <w:rsid w:val="002B397B"/>
    <w:rsid w:val="002B3E5B"/>
    <w:rsid w:val="002B42A3"/>
    <w:rsid w:val="002B42BE"/>
    <w:rsid w:val="002B483E"/>
    <w:rsid w:val="002B4B18"/>
    <w:rsid w:val="002B4D72"/>
    <w:rsid w:val="002B5080"/>
    <w:rsid w:val="002B54B2"/>
    <w:rsid w:val="002B56EE"/>
    <w:rsid w:val="002B5D99"/>
    <w:rsid w:val="002B61A1"/>
    <w:rsid w:val="002B66E0"/>
    <w:rsid w:val="002B6854"/>
    <w:rsid w:val="002B6B13"/>
    <w:rsid w:val="002B6BA5"/>
    <w:rsid w:val="002B6CA6"/>
    <w:rsid w:val="002B6D11"/>
    <w:rsid w:val="002B6FB8"/>
    <w:rsid w:val="002B7850"/>
    <w:rsid w:val="002B7B46"/>
    <w:rsid w:val="002B7B8B"/>
    <w:rsid w:val="002B7C2D"/>
    <w:rsid w:val="002B7FCB"/>
    <w:rsid w:val="002BFF86"/>
    <w:rsid w:val="002C05AE"/>
    <w:rsid w:val="002C0CDD"/>
    <w:rsid w:val="002C0D2B"/>
    <w:rsid w:val="002C0F54"/>
    <w:rsid w:val="002C16D2"/>
    <w:rsid w:val="002C18EE"/>
    <w:rsid w:val="002C1CED"/>
    <w:rsid w:val="002C1E79"/>
    <w:rsid w:val="002C1EF0"/>
    <w:rsid w:val="002C2073"/>
    <w:rsid w:val="002C20DD"/>
    <w:rsid w:val="002C20ED"/>
    <w:rsid w:val="002C21BC"/>
    <w:rsid w:val="002C272D"/>
    <w:rsid w:val="002C2B68"/>
    <w:rsid w:val="002C2C8E"/>
    <w:rsid w:val="002C2E44"/>
    <w:rsid w:val="002C2E6D"/>
    <w:rsid w:val="002C3446"/>
    <w:rsid w:val="002C3610"/>
    <w:rsid w:val="002C39CC"/>
    <w:rsid w:val="002C3B01"/>
    <w:rsid w:val="002C3D94"/>
    <w:rsid w:val="002C3E61"/>
    <w:rsid w:val="002C407A"/>
    <w:rsid w:val="002C4596"/>
    <w:rsid w:val="002C4725"/>
    <w:rsid w:val="002C4942"/>
    <w:rsid w:val="002C4BF1"/>
    <w:rsid w:val="002C52D6"/>
    <w:rsid w:val="002C5541"/>
    <w:rsid w:val="002C575D"/>
    <w:rsid w:val="002C577D"/>
    <w:rsid w:val="002C5891"/>
    <w:rsid w:val="002C5B78"/>
    <w:rsid w:val="002C5C46"/>
    <w:rsid w:val="002C5CD4"/>
    <w:rsid w:val="002C5CFB"/>
    <w:rsid w:val="002C5D48"/>
    <w:rsid w:val="002C5DB1"/>
    <w:rsid w:val="002C643E"/>
    <w:rsid w:val="002C715C"/>
    <w:rsid w:val="002C71DE"/>
    <w:rsid w:val="002C7681"/>
    <w:rsid w:val="002C79BC"/>
    <w:rsid w:val="002C7A17"/>
    <w:rsid w:val="002C7B95"/>
    <w:rsid w:val="002D0030"/>
    <w:rsid w:val="002D00C9"/>
    <w:rsid w:val="002D05E7"/>
    <w:rsid w:val="002D0A27"/>
    <w:rsid w:val="002D0B7F"/>
    <w:rsid w:val="002D0CBC"/>
    <w:rsid w:val="002D0DE7"/>
    <w:rsid w:val="002D0F0A"/>
    <w:rsid w:val="002D12E7"/>
    <w:rsid w:val="002D130A"/>
    <w:rsid w:val="002D1A59"/>
    <w:rsid w:val="002D1B26"/>
    <w:rsid w:val="002D2004"/>
    <w:rsid w:val="002D21A5"/>
    <w:rsid w:val="002D2566"/>
    <w:rsid w:val="002D28F6"/>
    <w:rsid w:val="002D2B4E"/>
    <w:rsid w:val="002D2E2E"/>
    <w:rsid w:val="002D2EFB"/>
    <w:rsid w:val="002D36FC"/>
    <w:rsid w:val="002D3D05"/>
    <w:rsid w:val="002D4156"/>
    <w:rsid w:val="002D4499"/>
    <w:rsid w:val="002D4516"/>
    <w:rsid w:val="002D4A52"/>
    <w:rsid w:val="002D5507"/>
    <w:rsid w:val="002D5ABB"/>
    <w:rsid w:val="002D62BE"/>
    <w:rsid w:val="002D64E0"/>
    <w:rsid w:val="002D6694"/>
    <w:rsid w:val="002D6698"/>
    <w:rsid w:val="002D6995"/>
    <w:rsid w:val="002D6B55"/>
    <w:rsid w:val="002D755C"/>
    <w:rsid w:val="002D789A"/>
    <w:rsid w:val="002D7937"/>
    <w:rsid w:val="002D7AAA"/>
    <w:rsid w:val="002E0459"/>
    <w:rsid w:val="002E06BC"/>
    <w:rsid w:val="002E0804"/>
    <w:rsid w:val="002E0B5B"/>
    <w:rsid w:val="002E0E82"/>
    <w:rsid w:val="002E0F23"/>
    <w:rsid w:val="002E108F"/>
    <w:rsid w:val="002E1098"/>
    <w:rsid w:val="002E136B"/>
    <w:rsid w:val="002E156E"/>
    <w:rsid w:val="002E179A"/>
    <w:rsid w:val="002E1824"/>
    <w:rsid w:val="002E18E1"/>
    <w:rsid w:val="002E19CE"/>
    <w:rsid w:val="002E1A06"/>
    <w:rsid w:val="002E1A1D"/>
    <w:rsid w:val="002E1D9F"/>
    <w:rsid w:val="002E1F6F"/>
    <w:rsid w:val="002E1FB6"/>
    <w:rsid w:val="002E2635"/>
    <w:rsid w:val="002E281B"/>
    <w:rsid w:val="002E29C6"/>
    <w:rsid w:val="002E2EBE"/>
    <w:rsid w:val="002E2EC9"/>
    <w:rsid w:val="002E314B"/>
    <w:rsid w:val="002E3871"/>
    <w:rsid w:val="002E38FE"/>
    <w:rsid w:val="002E3A7A"/>
    <w:rsid w:val="002E3AE8"/>
    <w:rsid w:val="002E3FE3"/>
    <w:rsid w:val="002E4081"/>
    <w:rsid w:val="002E49C6"/>
    <w:rsid w:val="002E4A49"/>
    <w:rsid w:val="002E4AB4"/>
    <w:rsid w:val="002E4AE1"/>
    <w:rsid w:val="002E4DCA"/>
    <w:rsid w:val="002E518C"/>
    <w:rsid w:val="002E51E4"/>
    <w:rsid w:val="002E59A0"/>
    <w:rsid w:val="002E59DB"/>
    <w:rsid w:val="002E5A8C"/>
    <w:rsid w:val="002E5B78"/>
    <w:rsid w:val="002E679B"/>
    <w:rsid w:val="002E7094"/>
    <w:rsid w:val="002E77C3"/>
    <w:rsid w:val="002E77E9"/>
    <w:rsid w:val="002E7813"/>
    <w:rsid w:val="002E785F"/>
    <w:rsid w:val="002E7D0D"/>
    <w:rsid w:val="002E7DDC"/>
    <w:rsid w:val="002E7F13"/>
    <w:rsid w:val="002E7FDD"/>
    <w:rsid w:val="002F03AA"/>
    <w:rsid w:val="002F0517"/>
    <w:rsid w:val="002F0779"/>
    <w:rsid w:val="002F07CF"/>
    <w:rsid w:val="002F09D7"/>
    <w:rsid w:val="002F0C6C"/>
    <w:rsid w:val="002F0C84"/>
    <w:rsid w:val="002F11C3"/>
    <w:rsid w:val="002F140D"/>
    <w:rsid w:val="002F1534"/>
    <w:rsid w:val="002F1CE9"/>
    <w:rsid w:val="002F21A5"/>
    <w:rsid w:val="002F256C"/>
    <w:rsid w:val="002F27BB"/>
    <w:rsid w:val="002F28B1"/>
    <w:rsid w:val="002F2996"/>
    <w:rsid w:val="002F2B6B"/>
    <w:rsid w:val="002F2CF8"/>
    <w:rsid w:val="002F2F56"/>
    <w:rsid w:val="002F3007"/>
    <w:rsid w:val="002F347B"/>
    <w:rsid w:val="002F366E"/>
    <w:rsid w:val="002F3A03"/>
    <w:rsid w:val="002F3ACA"/>
    <w:rsid w:val="002F3AE3"/>
    <w:rsid w:val="002F3E35"/>
    <w:rsid w:val="002F3F18"/>
    <w:rsid w:val="002F3F24"/>
    <w:rsid w:val="002F40C4"/>
    <w:rsid w:val="002F4292"/>
    <w:rsid w:val="002F4BA0"/>
    <w:rsid w:val="002F4C58"/>
    <w:rsid w:val="002F4E32"/>
    <w:rsid w:val="002F54AD"/>
    <w:rsid w:val="002F58F9"/>
    <w:rsid w:val="002F5B88"/>
    <w:rsid w:val="002F5B98"/>
    <w:rsid w:val="002F5CDF"/>
    <w:rsid w:val="002F60A7"/>
    <w:rsid w:val="002F6239"/>
    <w:rsid w:val="002F623C"/>
    <w:rsid w:val="002F65BF"/>
    <w:rsid w:val="002F68D2"/>
    <w:rsid w:val="002F6A96"/>
    <w:rsid w:val="002F6C77"/>
    <w:rsid w:val="002F6FDA"/>
    <w:rsid w:val="002F71E5"/>
    <w:rsid w:val="002F7267"/>
    <w:rsid w:val="002F7328"/>
    <w:rsid w:val="002F74B4"/>
    <w:rsid w:val="002F76F2"/>
    <w:rsid w:val="00300CB3"/>
    <w:rsid w:val="003014EF"/>
    <w:rsid w:val="00301AB9"/>
    <w:rsid w:val="00301C16"/>
    <w:rsid w:val="00301EA8"/>
    <w:rsid w:val="003022F8"/>
    <w:rsid w:val="00302497"/>
    <w:rsid w:val="00302AF0"/>
    <w:rsid w:val="003032AA"/>
    <w:rsid w:val="00303783"/>
    <w:rsid w:val="003037EC"/>
    <w:rsid w:val="00303A94"/>
    <w:rsid w:val="003040AB"/>
    <w:rsid w:val="003040BD"/>
    <w:rsid w:val="0030416E"/>
    <w:rsid w:val="0030445A"/>
    <w:rsid w:val="0030464B"/>
    <w:rsid w:val="0030472C"/>
    <w:rsid w:val="0030491E"/>
    <w:rsid w:val="0030495F"/>
    <w:rsid w:val="00304969"/>
    <w:rsid w:val="00304BA0"/>
    <w:rsid w:val="00304F3D"/>
    <w:rsid w:val="0030551E"/>
    <w:rsid w:val="0030561E"/>
    <w:rsid w:val="00305667"/>
    <w:rsid w:val="00305CF1"/>
    <w:rsid w:val="0030648F"/>
    <w:rsid w:val="0030652E"/>
    <w:rsid w:val="0030675A"/>
    <w:rsid w:val="00306DFC"/>
    <w:rsid w:val="003077A5"/>
    <w:rsid w:val="0030786C"/>
    <w:rsid w:val="00307A73"/>
    <w:rsid w:val="00307CF6"/>
    <w:rsid w:val="00310B09"/>
    <w:rsid w:val="00310BD7"/>
    <w:rsid w:val="00310DF0"/>
    <w:rsid w:val="00311430"/>
    <w:rsid w:val="00311E04"/>
    <w:rsid w:val="003121E6"/>
    <w:rsid w:val="003124DA"/>
    <w:rsid w:val="0031301E"/>
    <w:rsid w:val="003134F2"/>
    <w:rsid w:val="003135D1"/>
    <w:rsid w:val="00313BE4"/>
    <w:rsid w:val="00313F7B"/>
    <w:rsid w:val="00313FA9"/>
    <w:rsid w:val="00314034"/>
    <w:rsid w:val="003140C9"/>
    <w:rsid w:val="00314893"/>
    <w:rsid w:val="003148E1"/>
    <w:rsid w:val="0031500C"/>
    <w:rsid w:val="003158E6"/>
    <w:rsid w:val="00315AE3"/>
    <w:rsid w:val="00315DA3"/>
    <w:rsid w:val="003165A6"/>
    <w:rsid w:val="003165F2"/>
    <w:rsid w:val="003169F2"/>
    <w:rsid w:val="00316A12"/>
    <w:rsid w:val="00316AEF"/>
    <w:rsid w:val="0031728B"/>
    <w:rsid w:val="003176E9"/>
    <w:rsid w:val="003178F9"/>
    <w:rsid w:val="00317A69"/>
    <w:rsid w:val="00317DE3"/>
    <w:rsid w:val="00317EA7"/>
    <w:rsid w:val="00320103"/>
    <w:rsid w:val="003206CB"/>
    <w:rsid w:val="00320875"/>
    <w:rsid w:val="00320DE7"/>
    <w:rsid w:val="00320F2C"/>
    <w:rsid w:val="0032141E"/>
    <w:rsid w:val="0032143C"/>
    <w:rsid w:val="0032196C"/>
    <w:rsid w:val="00321C2B"/>
    <w:rsid w:val="00321EE7"/>
    <w:rsid w:val="003227EF"/>
    <w:rsid w:val="003233DE"/>
    <w:rsid w:val="003235CB"/>
    <w:rsid w:val="003236FB"/>
    <w:rsid w:val="003238AA"/>
    <w:rsid w:val="00323958"/>
    <w:rsid w:val="003240A0"/>
    <w:rsid w:val="0032466B"/>
    <w:rsid w:val="00324A30"/>
    <w:rsid w:val="00324AC4"/>
    <w:rsid w:val="00325193"/>
    <w:rsid w:val="003252EF"/>
    <w:rsid w:val="00325864"/>
    <w:rsid w:val="00325BA8"/>
    <w:rsid w:val="00326084"/>
    <w:rsid w:val="003261EE"/>
    <w:rsid w:val="003262BD"/>
    <w:rsid w:val="0032630C"/>
    <w:rsid w:val="003264F8"/>
    <w:rsid w:val="00326834"/>
    <w:rsid w:val="00326B37"/>
    <w:rsid w:val="00326B4A"/>
    <w:rsid w:val="00326C6B"/>
    <w:rsid w:val="00326E8B"/>
    <w:rsid w:val="00326EBC"/>
    <w:rsid w:val="003277C2"/>
    <w:rsid w:val="00327A31"/>
    <w:rsid w:val="00327B44"/>
    <w:rsid w:val="00327C9D"/>
    <w:rsid w:val="003305A6"/>
    <w:rsid w:val="00330779"/>
    <w:rsid w:val="00330952"/>
    <w:rsid w:val="003309AE"/>
    <w:rsid w:val="003309FE"/>
    <w:rsid w:val="00330B84"/>
    <w:rsid w:val="00330CBD"/>
    <w:rsid w:val="00330F1A"/>
    <w:rsid w:val="00331452"/>
    <w:rsid w:val="00331764"/>
    <w:rsid w:val="003317F5"/>
    <w:rsid w:val="0033190A"/>
    <w:rsid w:val="00331B8C"/>
    <w:rsid w:val="00331C48"/>
    <w:rsid w:val="00332317"/>
    <w:rsid w:val="0033263D"/>
    <w:rsid w:val="003329CD"/>
    <w:rsid w:val="00332AE9"/>
    <w:rsid w:val="00332BF0"/>
    <w:rsid w:val="00332C5F"/>
    <w:rsid w:val="00332C78"/>
    <w:rsid w:val="00332FD5"/>
    <w:rsid w:val="003330B2"/>
    <w:rsid w:val="003330EB"/>
    <w:rsid w:val="00333104"/>
    <w:rsid w:val="00333242"/>
    <w:rsid w:val="003339D4"/>
    <w:rsid w:val="00333B55"/>
    <w:rsid w:val="00333BBC"/>
    <w:rsid w:val="00333D33"/>
    <w:rsid w:val="00334719"/>
    <w:rsid w:val="00334B10"/>
    <w:rsid w:val="00334CBD"/>
    <w:rsid w:val="003352B5"/>
    <w:rsid w:val="00335380"/>
    <w:rsid w:val="00335FC4"/>
    <w:rsid w:val="003361D6"/>
    <w:rsid w:val="00336605"/>
    <w:rsid w:val="00336B35"/>
    <w:rsid w:val="003372C2"/>
    <w:rsid w:val="00337489"/>
    <w:rsid w:val="003374CD"/>
    <w:rsid w:val="00337694"/>
    <w:rsid w:val="00337B61"/>
    <w:rsid w:val="00337E4E"/>
    <w:rsid w:val="00340982"/>
    <w:rsid w:val="00340A70"/>
    <w:rsid w:val="00340B56"/>
    <w:rsid w:val="00340E61"/>
    <w:rsid w:val="003415FD"/>
    <w:rsid w:val="0034176B"/>
    <w:rsid w:val="00341938"/>
    <w:rsid w:val="003419F4"/>
    <w:rsid w:val="00341A68"/>
    <w:rsid w:val="00341C2B"/>
    <w:rsid w:val="00341EA3"/>
    <w:rsid w:val="00341FF7"/>
    <w:rsid w:val="0034293C"/>
    <w:rsid w:val="003429F0"/>
    <w:rsid w:val="00342A57"/>
    <w:rsid w:val="00342AEF"/>
    <w:rsid w:val="00342DCF"/>
    <w:rsid w:val="00342EB7"/>
    <w:rsid w:val="00343103"/>
    <w:rsid w:val="0034335C"/>
    <w:rsid w:val="003433E8"/>
    <w:rsid w:val="003434B3"/>
    <w:rsid w:val="0034354C"/>
    <w:rsid w:val="0034390D"/>
    <w:rsid w:val="00343ECD"/>
    <w:rsid w:val="0034431C"/>
    <w:rsid w:val="00344485"/>
    <w:rsid w:val="003449E9"/>
    <w:rsid w:val="00344AA5"/>
    <w:rsid w:val="00344C44"/>
    <w:rsid w:val="00344C55"/>
    <w:rsid w:val="0034582F"/>
    <w:rsid w:val="00345BDD"/>
    <w:rsid w:val="003463DE"/>
    <w:rsid w:val="0034642A"/>
    <w:rsid w:val="003464A2"/>
    <w:rsid w:val="00346578"/>
    <w:rsid w:val="00346A10"/>
    <w:rsid w:val="00346A6E"/>
    <w:rsid w:val="00346B0D"/>
    <w:rsid w:val="00346C4A"/>
    <w:rsid w:val="00346E07"/>
    <w:rsid w:val="003473BA"/>
    <w:rsid w:val="0034760F"/>
    <w:rsid w:val="00347787"/>
    <w:rsid w:val="00347874"/>
    <w:rsid w:val="00347915"/>
    <w:rsid w:val="00347939"/>
    <w:rsid w:val="00347AD4"/>
    <w:rsid w:val="00347D26"/>
    <w:rsid w:val="00347DF9"/>
    <w:rsid w:val="00350002"/>
    <w:rsid w:val="00350299"/>
    <w:rsid w:val="00350318"/>
    <w:rsid w:val="00350520"/>
    <w:rsid w:val="003506D9"/>
    <w:rsid w:val="003507D2"/>
    <w:rsid w:val="0035097A"/>
    <w:rsid w:val="00350A8A"/>
    <w:rsid w:val="00350B93"/>
    <w:rsid w:val="00350BD0"/>
    <w:rsid w:val="00351426"/>
    <w:rsid w:val="003517E4"/>
    <w:rsid w:val="00351A8F"/>
    <w:rsid w:val="00351BC0"/>
    <w:rsid w:val="003522CE"/>
    <w:rsid w:val="0035232F"/>
    <w:rsid w:val="00352778"/>
    <w:rsid w:val="003527AE"/>
    <w:rsid w:val="00352F1E"/>
    <w:rsid w:val="00352F8F"/>
    <w:rsid w:val="00352F93"/>
    <w:rsid w:val="00353065"/>
    <w:rsid w:val="003530D0"/>
    <w:rsid w:val="00353288"/>
    <w:rsid w:val="0035358F"/>
    <w:rsid w:val="0035363A"/>
    <w:rsid w:val="00353989"/>
    <w:rsid w:val="003539A4"/>
    <w:rsid w:val="00354028"/>
    <w:rsid w:val="003540A4"/>
    <w:rsid w:val="00354507"/>
    <w:rsid w:val="0035498E"/>
    <w:rsid w:val="00354B94"/>
    <w:rsid w:val="00354BD7"/>
    <w:rsid w:val="0035500E"/>
    <w:rsid w:val="0035538F"/>
    <w:rsid w:val="00355417"/>
    <w:rsid w:val="003556CE"/>
    <w:rsid w:val="00355D2B"/>
    <w:rsid w:val="00355D7F"/>
    <w:rsid w:val="00356214"/>
    <w:rsid w:val="00356309"/>
    <w:rsid w:val="00356329"/>
    <w:rsid w:val="003563B9"/>
    <w:rsid w:val="0035654B"/>
    <w:rsid w:val="00356993"/>
    <w:rsid w:val="00356C80"/>
    <w:rsid w:val="003570A9"/>
    <w:rsid w:val="003577D8"/>
    <w:rsid w:val="003577EE"/>
    <w:rsid w:val="00357D24"/>
    <w:rsid w:val="00357DCB"/>
    <w:rsid w:val="00357F99"/>
    <w:rsid w:val="0036077A"/>
    <w:rsid w:val="00360B41"/>
    <w:rsid w:val="00360E4E"/>
    <w:rsid w:val="003612AA"/>
    <w:rsid w:val="00361443"/>
    <w:rsid w:val="00361C87"/>
    <w:rsid w:val="00361DF3"/>
    <w:rsid w:val="00362238"/>
    <w:rsid w:val="00362294"/>
    <w:rsid w:val="00362637"/>
    <w:rsid w:val="00362841"/>
    <w:rsid w:val="00362B97"/>
    <w:rsid w:val="00362CD4"/>
    <w:rsid w:val="00363B0E"/>
    <w:rsid w:val="00363EBC"/>
    <w:rsid w:val="003644BB"/>
    <w:rsid w:val="00364839"/>
    <w:rsid w:val="00364AB4"/>
    <w:rsid w:val="00365047"/>
    <w:rsid w:val="003656D3"/>
    <w:rsid w:val="003659DE"/>
    <w:rsid w:val="00365A0B"/>
    <w:rsid w:val="00365CE8"/>
    <w:rsid w:val="00365D85"/>
    <w:rsid w:val="00365FAF"/>
    <w:rsid w:val="00365FD1"/>
    <w:rsid w:val="00365FF8"/>
    <w:rsid w:val="0036619B"/>
    <w:rsid w:val="0036637B"/>
    <w:rsid w:val="00366712"/>
    <w:rsid w:val="0036681C"/>
    <w:rsid w:val="00366A8A"/>
    <w:rsid w:val="00366CA0"/>
    <w:rsid w:val="00367622"/>
    <w:rsid w:val="00367699"/>
    <w:rsid w:val="00367A65"/>
    <w:rsid w:val="00367C2D"/>
    <w:rsid w:val="00367D1B"/>
    <w:rsid w:val="00367E06"/>
    <w:rsid w:val="00367FF3"/>
    <w:rsid w:val="003708D9"/>
    <w:rsid w:val="00370AAA"/>
    <w:rsid w:val="00370C73"/>
    <w:rsid w:val="00370DB3"/>
    <w:rsid w:val="0037104C"/>
    <w:rsid w:val="00371183"/>
    <w:rsid w:val="003718DA"/>
    <w:rsid w:val="00371A33"/>
    <w:rsid w:val="00371ACF"/>
    <w:rsid w:val="00371B09"/>
    <w:rsid w:val="00371BE7"/>
    <w:rsid w:val="00372056"/>
    <w:rsid w:val="003720E1"/>
    <w:rsid w:val="00372116"/>
    <w:rsid w:val="0037234B"/>
    <w:rsid w:val="0037284E"/>
    <w:rsid w:val="00372857"/>
    <w:rsid w:val="00372C14"/>
    <w:rsid w:val="00373450"/>
    <w:rsid w:val="003735B1"/>
    <w:rsid w:val="003735D2"/>
    <w:rsid w:val="00373640"/>
    <w:rsid w:val="00373711"/>
    <w:rsid w:val="00373985"/>
    <w:rsid w:val="00373B46"/>
    <w:rsid w:val="00373D45"/>
    <w:rsid w:val="00373FF4"/>
    <w:rsid w:val="003742C0"/>
    <w:rsid w:val="00374799"/>
    <w:rsid w:val="00374808"/>
    <w:rsid w:val="00374CFC"/>
    <w:rsid w:val="00374D77"/>
    <w:rsid w:val="00374E89"/>
    <w:rsid w:val="00374F17"/>
    <w:rsid w:val="00375108"/>
    <w:rsid w:val="0037542D"/>
    <w:rsid w:val="00375AEA"/>
    <w:rsid w:val="00375D35"/>
    <w:rsid w:val="00375F77"/>
    <w:rsid w:val="00376993"/>
    <w:rsid w:val="00376CAA"/>
    <w:rsid w:val="003770B2"/>
    <w:rsid w:val="00377142"/>
    <w:rsid w:val="00377A78"/>
    <w:rsid w:val="00377A7E"/>
    <w:rsid w:val="00377BEC"/>
    <w:rsid w:val="003801BC"/>
    <w:rsid w:val="00380896"/>
    <w:rsid w:val="00381242"/>
    <w:rsid w:val="00381447"/>
    <w:rsid w:val="0038175C"/>
    <w:rsid w:val="00381A29"/>
    <w:rsid w:val="00381BBE"/>
    <w:rsid w:val="00381C3D"/>
    <w:rsid w:val="00382073"/>
    <w:rsid w:val="003822FD"/>
    <w:rsid w:val="00382358"/>
    <w:rsid w:val="00382587"/>
    <w:rsid w:val="003828E2"/>
    <w:rsid w:val="00382903"/>
    <w:rsid w:val="003829EF"/>
    <w:rsid w:val="00382F26"/>
    <w:rsid w:val="00383E71"/>
    <w:rsid w:val="00384157"/>
    <w:rsid w:val="003841DC"/>
    <w:rsid w:val="003846FF"/>
    <w:rsid w:val="0038471C"/>
    <w:rsid w:val="0038472D"/>
    <w:rsid w:val="0038485A"/>
    <w:rsid w:val="0038485B"/>
    <w:rsid w:val="00384970"/>
    <w:rsid w:val="00384CCF"/>
    <w:rsid w:val="00384D6D"/>
    <w:rsid w:val="003851B3"/>
    <w:rsid w:val="003851F1"/>
    <w:rsid w:val="00385415"/>
    <w:rsid w:val="0038572F"/>
    <w:rsid w:val="00385AC7"/>
    <w:rsid w:val="00385AD4"/>
    <w:rsid w:val="00385DA7"/>
    <w:rsid w:val="00385DD7"/>
    <w:rsid w:val="00385E42"/>
    <w:rsid w:val="00386056"/>
    <w:rsid w:val="00386126"/>
    <w:rsid w:val="00386368"/>
    <w:rsid w:val="00386533"/>
    <w:rsid w:val="00386A55"/>
    <w:rsid w:val="003871C4"/>
    <w:rsid w:val="00387662"/>
    <w:rsid w:val="00387924"/>
    <w:rsid w:val="00389C3E"/>
    <w:rsid w:val="00390009"/>
    <w:rsid w:val="0039009E"/>
    <w:rsid w:val="003901A6"/>
    <w:rsid w:val="003902C4"/>
    <w:rsid w:val="003903E4"/>
    <w:rsid w:val="003903F5"/>
    <w:rsid w:val="0039046F"/>
    <w:rsid w:val="00390912"/>
    <w:rsid w:val="00390A27"/>
    <w:rsid w:val="00390F96"/>
    <w:rsid w:val="00391214"/>
    <w:rsid w:val="00391426"/>
    <w:rsid w:val="00391A4A"/>
    <w:rsid w:val="00391B3B"/>
    <w:rsid w:val="00391E09"/>
    <w:rsid w:val="003920F6"/>
    <w:rsid w:val="0039257B"/>
    <w:rsid w:val="00392720"/>
    <w:rsid w:val="00392994"/>
    <w:rsid w:val="0039299F"/>
    <w:rsid w:val="00392D5F"/>
    <w:rsid w:val="0039321B"/>
    <w:rsid w:val="003932ED"/>
    <w:rsid w:val="00393467"/>
    <w:rsid w:val="0039384D"/>
    <w:rsid w:val="003938AB"/>
    <w:rsid w:val="00393B4F"/>
    <w:rsid w:val="00393CC0"/>
    <w:rsid w:val="00393E89"/>
    <w:rsid w:val="00394824"/>
    <w:rsid w:val="00394B55"/>
    <w:rsid w:val="00394D78"/>
    <w:rsid w:val="0039536D"/>
    <w:rsid w:val="003958E4"/>
    <w:rsid w:val="00395ABB"/>
    <w:rsid w:val="00395C23"/>
    <w:rsid w:val="00396072"/>
    <w:rsid w:val="00396165"/>
    <w:rsid w:val="00396434"/>
    <w:rsid w:val="0039648E"/>
    <w:rsid w:val="0039697B"/>
    <w:rsid w:val="00396B93"/>
    <w:rsid w:val="00397606"/>
    <w:rsid w:val="003979CA"/>
    <w:rsid w:val="00397C5F"/>
    <w:rsid w:val="00397F37"/>
    <w:rsid w:val="003A005F"/>
    <w:rsid w:val="003A01E0"/>
    <w:rsid w:val="003A0509"/>
    <w:rsid w:val="003A0693"/>
    <w:rsid w:val="003A080A"/>
    <w:rsid w:val="003A0CC7"/>
    <w:rsid w:val="003A0D89"/>
    <w:rsid w:val="003A0EE6"/>
    <w:rsid w:val="003A1224"/>
    <w:rsid w:val="003A12EB"/>
    <w:rsid w:val="003A14FA"/>
    <w:rsid w:val="003A14FE"/>
    <w:rsid w:val="003A19B8"/>
    <w:rsid w:val="003A21EF"/>
    <w:rsid w:val="003A29FE"/>
    <w:rsid w:val="003A2D29"/>
    <w:rsid w:val="003A2D59"/>
    <w:rsid w:val="003A2D9F"/>
    <w:rsid w:val="003A2E4F"/>
    <w:rsid w:val="003A360F"/>
    <w:rsid w:val="003A3723"/>
    <w:rsid w:val="003A3829"/>
    <w:rsid w:val="003A38C5"/>
    <w:rsid w:val="003A3E43"/>
    <w:rsid w:val="003A3F82"/>
    <w:rsid w:val="003A4005"/>
    <w:rsid w:val="003A4159"/>
    <w:rsid w:val="003A4438"/>
    <w:rsid w:val="003A4642"/>
    <w:rsid w:val="003A4D5F"/>
    <w:rsid w:val="003A4DF6"/>
    <w:rsid w:val="003A5013"/>
    <w:rsid w:val="003A5078"/>
    <w:rsid w:val="003A50BD"/>
    <w:rsid w:val="003A5161"/>
    <w:rsid w:val="003A595A"/>
    <w:rsid w:val="003A61D8"/>
    <w:rsid w:val="003A62DD"/>
    <w:rsid w:val="003A63EC"/>
    <w:rsid w:val="003A694B"/>
    <w:rsid w:val="003A6A95"/>
    <w:rsid w:val="003A71AA"/>
    <w:rsid w:val="003A724C"/>
    <w:rsid w:val="003A7257"/>
    <w:rsid w:val="003A775A"/>
    <w:rsid w:val="003A7B08"/>
    <w:rsid w:val="003A7B70"/>
    <w:rsid w:val="003A7BFE"/>
    <w:rsid w:val="003B0015"/>
    <w:rsid w:val="003B0243"/>
    <w:rsid w:val="003B07BF"/>
    <w:rsid w:val="003B0DAB"/>
    <w:rsid w:val="003B0FA3"/>
    <w:rsid w:val="003B1493"/>
    <w:rsid w:val="003B1993"/>
    <w:rsid w:val="003B1F2D"/>
    <w:rsid w:val="003B1FAB"/>
    <w:rsid w:val="003B213A"/>
    <w:rsid w:val="003B2596"/>
    <w:rsid w:val="003B2BED"/>
    <w:rsid w:val="003B3264"/>
    <w:rsid w:val="003B3395"/>
    <w:rsid w:val="003B3796"/>
    <w:rsid w:val="003B3FBE"/>
    <w:rsid w:val="003B43AD"/>
    <w:rsid w:val="003B4573"/>
    <w:rsid w:val="003B4584"/>
    <w:rsid w:val="003B4AFC"/>
    <w:rsid w:val="003B572C"/>
    <w:rsid w:val="003B5894"/>
    <w:rsid w:val="003B5BB8"/>
    <w:rsid w:val="003B5EE9"/>
    <w:rsid w:val="003B657E"/>
    <w:rsid w:val="003B663A"/>
    <w:rsid w:val="003B6D0E"/>
    <w:rsid w:val="003B6FAE"/>
    <w:rsid w:val="003B7283"/>
    <w:rsid w:val="003B730D"/>
    <w:rsid w:val="003B7552"/>
    <w:rsid w:val="003B7659"/>
    <w:rsid w:val="003B7665"/>
    <w:rsid w:val="003B795D"/>
    <w:rsid w:val="003B79E3"/>
    <w:rsid w:val="003B7AB6"/>
    <w:rsid w:val="003C018D"/>
    <w:rsid w:val="003C01F5"/>
    <w:rsid w:val="003C067F"/>
    <w:rsid w:val="003C0698"/>
    <w:rsid w:val="003C06F4"/>
    <w:rsid w:val="003C08D9"/>
    <w:rsid w:val="003C0C30"/>
    <w:rsid w:val="003C0FEC"/>
    <w:rsid w:val="003C13E0"/>
    <w:rsid w:val="003C149E"/>
    <w:rsid w:val="003C15B8"/>
    <w:rsid w:val="003C1D71"/>
    <w:rsid w:val="003C1FAB"/>
    <w:rsid w:val="003C27AB"/>
    <w:rsid w:val="003C294B"/>
    <w:rsid w:val="003C2AC8"/>
    <w:rsid w:val="003C2AD3"/>
    <w:rsid w:val="003C2B62"/>
    <w:rsid w:val="003C2C56"/>
    <w:rsid w:val="003C2DDF"/>
    <w:rsid w:val="003C32B8"/>
    <w:rsid w:val="003C32E3"/>
    <w:rsid w:val="003C330A"/>
    <w:rsid w:val="003C3454"/>
    <w:rsid w:val="003C369E"/>
    <w:rsid w:val="003C3AF2"/>
    <w:rsid w:val="003C41B5"/>
    <w:rsid w:val="003C42F6"/>
    <w:rsid w:val="003C48B3"/>
    <w:rsid w:val="003C4973"/>
    <w:rsid w:val="003C4A39"/>
    <w:rsid w:val="003C4E4D"/>
    <w:rsid w:val="003C5B4C"/>
    <w:rsid w:val="003C5C0E"/>
    <w:rsid w:val="003C5FF9"/>
    <w:rsid w:val="003C6059"/>
    <w:rsid w:val="003C6A4A"/>
    <w:rsid w:val="003C6FD1"/>
    <w:rsid w:val="003C714D"/>
    <w:rsid w:val="003C76BA"/>
    <w:rsid w:val="003C7A42"/>
    <w:rsid w:val="003D0349"/>
    <w:rsid w:val="003D0F14"/>
    <w:rsid w:val="003D0FA6"/>
    <w:rsid w:val="003D1282"/>
    <w:rsid w:val="003D144F"/>
    <w:rsid w:val="003D17E0"/>
    <w:rsid w:val="003D17F9"/>
    <w:rsid w:val="003D19B1"/>
    <w:rsid w:val="003D1A1C"/>
    <w:rsid w:val="003D1AA4"/>
    <w:rsid w:val="003D1ADB"/>
    <w:rsid w:val="003D22DD"/>
    <w:rsid w:val="003D24B7"/>
    <w:rsid w:val="003D2B71"/>
    <w:rsid w:val="003D2D88"/>
    <w:rsid w:val="003D33AE"/>
    <w:rsid w:val="003D33F6"/>
    <w:rsid w:val="003D3A8E"/>
    <w:rsid w:val="003D3B6E"/>
    <w:rsid w:val="003D3BB9"/>
    <w:rsid w:val="003D3FC1"/>
    <w:rsid w:val="003D41EA"/>
    <w:rsid w:val="003D4369"/>
    <w:rsid w:val="003D4593"/>
    <w:rsid w:val="003D45BE"/>
    <w:rsid w:val="003D4672"/>
    <w:rsid w:val="003D4850"/>
    <w:rsid w:val="003D4975"/>
    <w:rsid w:val="003D4E83"/>
    <w:rsid w:val="003D535A"/>
    <w:rsid w:val="003D5481"/>
    <w:rsid w:val="003D568E"/>
    <w:rsid w:val="003D5A26"/>
    <w:rsid w:val="003D5A54"/>
    <w:rsid w:val="003D5B79"/>
    <w:rsid w:val="003D5D5F"/>
    <w:rsid w:val="003D610E"/>
    <w:rsid w:val="003D6816"/>
    <w:rsid w:val="003D699C"/>
    <w:rsid w:val="003D6A56"/>
    <w:rsid w:val="003D6D62"/>
    <w:rsid w:val="003D6DD8"/>
    <w:rsid w:val="003D6EA1"/>
    <w:rsid w:val="003D6FD3"/>
    <w:rsid w:val="003D702E"/>
    <w:rsid w:val="003D70E5"/>
    <w:rsid w:val="003D7273"/>
    <w:rsid w:val="003D7509"/>
    <w:rsid w:val="003D7594"/>
    <w:rsid w:val="003D797F"/>
    <w:rsid w:val="003D7DBD"/>
    <w:rsid w:val="003D7F58"/>
    <w:rsid w:val="003E0713"/>
    <w:rsid w:val="003E095B"/>
    <w:rsid w:val="003E10B8"/>
    <w:rsid w:val="003E15E4"/>
    <w:rsid w:val="003E1983"/>
    <w:rsid w:val="003E2356"/>
    <w:rsid w:val="003E2A86"/>
    <w:rsid w:val="003E2A9A"/>
    <w:rsid w:val="003E31E3"/>
    <w:rsid w:val="003E325C"/>
    <w:rsid w:val="003E3360"/>
    <w:rsid w:val="003E3593"/>
    <w:rsid w:val="003E37B7"/>
    <w:rsid w:val="003E37EA"/>
    <w:rsid w:val="003E3D11"/>
    <w:rsid w:val="003E3FF5"/>
    <w:rsid w:val="003E41EC"/>
    <w:rsid w:val="003E42A7"/>
    <w:rsid w:val="003E458E"/>
    <w:rsid w:val="003E4634"/>
    <w:rsid w:val="003E488E"/>
    <w:rsid w:val="003E4B10"/>
    <w:rsid w:val="003E5105"/>
    <w:rsid w:val="003E5265"/>
    <w:rsid w:val="003E553B"/>
    <w:rsid w:val="003E5881"/>
    <w:rsid w:val="003E588F"/>
    <w:rsid w:val="003E5DE9"/>
    <w:rsid w:val="003E6024"/>
    <w:rsid w:val="003E6098"/>
    <w:rsid w:val="003E619B"/>
    <w:rsid w:val="003E6371"/>
    <w:rsid w:val="003E63CE"/>
    <w:rsid w:val="003E648B"/>
    <w:rsid w:val="003E66E6"/>
    <w:rsid w:val="003E6EE8"/>
    <w:rsid w:val="003E6FEA"/>
    <w:rsid w:val="003E721A"/>
    <w:rsid w:val="003E7445"/>
    <w:rsid w:val="003E746C"/>
    <w:rsid w:val="003E798E"/>
    <w:rsid w:val="003E7AF9"/>
    <w:rsid w:val="003F0052"/>
    <w:rsid w:val="003F0066"/>
    <w:rsid w:val="003F00BD"/>
    <w:rsid w:val="003F02BC"/>
    <w:rsid w:val="003F036B"/>
    <w:rsid w:val="003F041D"/>
    <w:rsid w:val="003F0955"/>
    <w:rsid w:val="003F09C5"/>
    <w:rsid w:val="003F0A68"/>
    <w:rsid w:val="003F0D80"/>
    <w:rsid w:val="003F11C4"/>
    <w:rsid w:val="003F126F"/>
    <w:rsid w:val="003F13EE"/>
    <w:rsid w:val="003F1687"/>
    <w:rsid w:val="003F1BD3"/>
    <w:rsid w:val="003F1E3A"/>
    <w:rsid w:val="003F1FA2"/>
    <w:rsid w:val="003F26DB"/>
    <w:rsid w:val="003F26F6"/>
    <w:rsid w:val="003F287E"/>
    <w:rsid w:val="003F2D87"/>
    <w:rsid w:val="003F33C0"/>
    <w:rsid w:val="003F3553"/>
    <w:rsid w:val="003F36A2"/>
    <w:rsid w:val="003F373B"/>
    <w:rsid w:val="003F3A8C"/>
    <w:rsid w:val="003F43C5"/>
    <w:rsid w:val="003F463C"/>
    <w:rsid w:val="003F496D"/>
    <w:rsid w:val="003F54EF"/>
    <w:rsid w:val="003F570B"/>
    <w:rsid w:val="003F59F2"/>
    <w:rsid w:val="003F5B94"/>
    <w:rsid w:val="003F6037"/>
    <w:rsid w:val="003F61C5"/>
    <w:rsid w:val="003F61D5"/>
    <w:rsid w:val="003F637B"/>
    <w:rsid w:val="003F6408"/>
    <w:rsid w:val="003F643C"/>
    <w:rsid w:val="003F699B"/>
    <w:rsid w:val="003F6FE1"/>
    <w:rsid w:val="003F73C4"/>
    <w:rsid w:val="003F73E3"/>
    <w:rsid w:val="003F7447"/>
    <w:rsid w:val="003F74E1"/>
    <w:rsid w:val="003F76E8"/>
    <w:rsid w:val="003F799A"/>
    <w:rsid w:val="003F7A06"/>
    <w:rsid w:val="004002BE"/>
    <w:rsid w:val="004008A2"/>
    <w:rsid w:val="00400F00"/>
    <w:rsid w:val="004014CB"/>
    <w:rsid w:val="00401687"/>
    <w:rsid w:val="00401B0A"/>
    <w:rsid w:val="004025B8"/>
    <w:rsid w:val="004029A0"/>
    <w:rsid w:val="00403555"/>
    <w:rsid w:val="00403D12"/>
    <w:rsid w:val="0040432A"/>
    <w:rsid w:val="00404556"/>
    <w:rsid w:val="00404D0D"/>
    <w:rsid w:val="00404F8B"/>
    <w:rsid w:val="00405256"/>
    <w:rsid w:val="00405311"/>
    <w:rsid w:val="00405B1E"/>
    <w:rsid w:val="00405B86"/>
    <w:rsid w:val="00405D8E"/>
    <w:rsid w:val="00405FCE"/>
    <w:rsid w:val="004060C1"/>
    <w:rsid w:val="00406605"/>
    <w:rsid w:val="00406674"/>
    <w:rsid w:val="0040677E"/>
    <w:rsid w:val="00406B1E"/>
    <w:rsid w:val="004070C2"/>
    <w:rsid w:val="00407435"/>
    <w:rsid w:val="004075BE"/>
    <w:rsid w:val="00407B8F"/>
    <w:rsid w:val="00407F93"/>
    <w:rsid w:val="0040B333"/>
    <w:rsid w:val="00410031"/>
    <w:rsid w:val="00410523"/>
    <w:rsid w:val="0041057C"/>
    <w:rsid w:val="004112A0"/>
    <w:rsid w:val="00411399"/>
    <w:rsid w:val="004115A2"/>
    <w:rsid w:val="0041160B"/>
    <w:rsid w:val="004119F5"/>
    <w:rsid w:val="00411D39"/>
    <w:rsid w:val="00412379"/>
    <w:rsid w:val="0041257A"/>
    <w:rsid w:val="00412AD3"/>
    <w:rsid w:val="00412C5C"/>
    <w:rsid w:val="00412CD2"/>
    <w:rsid w:val="00412E6D"/>
    <w:rsid w:val="00412FA2"/>
    <w:rsid w:val="00412FFB"/>
    <w:rsid w:val="004131C8"/>
    <w:rsid w:val="00413921"/>
    <w:rsid w:val="0041392B"/>
    <w:rsid w:val="00413D87"/>
    <w:rsid w:val="00414134"/>
    <w:rsid w:val="00414AC7"/>
    <w:rsid w:val="00414CA0"/>
    <w:rsid w:val="0041588C"/>
    <w:rsid w:val="00415C81"/>
    <w:rsid w:val="00415F0C"/>
    <w:rsid w:val="00416731"/>
    <w:rsid w:val="00416946"/>
    <w:rsid w:val="0041694A"/>
    <w:rsid w:val="00416CB7"/>
    <w:rsid w:val="00416DE8"/>
    <w:rsid w:val="00416F55"/>
    <w:rsid w:val="004172D0"/>
    <w:rsid w:val="004174EF"/>
    <w:rsid w:val="004178DD"/>
    <w:rsid w:val="004205C9"/>
    <w:rsid w:val="0042060C"/>
    <w:rsid w:val="004208BF"/>
    <w:rsid w:val="00420907"/>
    <w:rsid w:val="00420943"/>
    <w:rsid w:val="004209AA"/>
    <w:rsid w:val="00420CEF"/>
    <w:rsid w:val="00420F26"/>
    <w:rsid w:val="00421962"/>
    <w:rsid w:val="00421AEB"/>
    <w:rsid w:val="00421EB0"/>
    <w:rsid w:val="00422057"/>
    <w:rsid w:val="004223B2"/>
    <w:rsid w:val="0042294E"/>
    <w:rsid w:val="00422C2F"/>
    <w:rsid w:val="00423911"/>
    <w:rsid w:val="00423980"/>
    <w:rsid w:val="00423DBB"/>
    <w:rsid w:val="00423EC3"/>
    <w:rsid w:val="004241A2"/>
    <w:rsid w:val="004243E4"/>
    <w:rsid w:val="00424B1F"/>
    <w:rsid w:val="0042589F"/>
    <w:rsid w:val="00425BB7"/>
    <w:rsid w:val="00426055"/>
    <w:rsid w:val="004263EC"/>
    <w:rsid w:val="0042677F"/>
    <w:rsid w:val="00426B27"/>
    <w:rsid w:val="00426E5C"/>
    <w:rsid w:val="00427567"/>
    <w:rsid w:val="00427DBD"/>
    <w:rsid w:val="00427E7D"/>
    <w:rsid w:val="00430307"/>
    <w:rsid w:val="00430902"/>
    <w:rsid w:val="00430A04"/>
    <w:rsid w:val="00430C32"/>
    <w:rsid w:val="00430E18"/>
    <w:rsid w:val="00430F7A"/>
    <w:rsid w:val="0043103F"/>
    <w:rsid w:val="0043192B"/>
    <w:rsid w:val="00431AA1"/>
    <w:rsid w:val="00432378"/>
    <w:rsid w:val="00432742"/>
    <w:rsid w:val="00432B0E"/>
    <w:rsid w:val="00432D04"/>
    <w:rsid w:val="00432E06"/>
    <w:rsid w:val="00432E7F"/>
    <w:rsid w:val="00432FC4"/>
    <w:rsid w:val="00433204"/>
    <w:rsid w:val="00433350"/>
    <w:rsid w:val="00433372"/>
    <w:rsid w:val="004334C7"/>
    <w:rsid w:val="00433C68"/>
    <w:rsid w:val="00434063"/>
    <w:rsid w:val="004340AB"/>
    <w:rsid w:val="00434661"/>
    <w:rsid w:val="0043494E"/>
    <w:rsid w:val="00434D90"/>
    <w:rsid w:val="0043542C"/>
    <w:rsid w:val="004354CD"/>
    <w:rsid w:val="00435847"/>
    <w:rsid w:val="00435894"/>
    <w:rsid w:val="00435D74"/>
    <w:rsid w:val="00436211"/>
    <w:rsid w:val="004364AB"/>
    <w:rsid w:val="0043687B"/>
    <w:rsid w:val="00436929"/>
    <w:rsid w:val="00436D3C"/>
    <w:rsid w:val="0043720F"/>
    <w:rsid w:val="00437260"/>
    <w:rsid w:val="0043765F"/>
    <w:rsid w:val="00437798"/>
    <w:rsid w:val="00437856"/>
    <w:rsid w:val="00437BB7"/>
    <w:rsid w:val="00440090"/>
    <w:rsid w:val="004401DD"/>
    <w:rsid w:val="004402C8"/>
    <w:rsid w:val="0044036C"/>
    <w:rsid w:val="00440ACD"/>
    <w:rsid w:val="00440B63"/>
    <w:rsid w:val="00440D65"/>
    <w:rsid w:val="0044120E"/>
    <w:rsid w:val="00441382"/>
    <w:rsid w:val="00441A20"/>
    <w:rsid w:val="00441C30"/>
    <w:rsid w:val="00441D4C"/>
    <w:rsid w:val="004421D1"/>
    <w:rsid w:val="00442292"/>
    <w:rsid w:val="004424B1"/>
    <w:rsid w:val="00442690"/>
    <w:rsid w:val="00442A87"/>
    <w:rsid w:val="00442B36"/>
    <w:rsid w:val="004435E6"/>
    <w:rsid w:val="00443A8F"/>
    <w:rsid w:val="00443C9F"/>
    <w:rsid w:val="00443D06"/>
    <w:rsid w:val="00443E4C"/>
    <w:rsid w:val="004440CE"/>
    <w:rsid w:val="004442EB"/>
    <w:rsid w:val="0044483C"/>
    <w:rsid w:val="00444A37"/>
    <w:rsid w:val="00444D4D"/>
    <w:rsid w:val="00444E75"/>
    <w:rsid w:val="0044511A"/>
    <w:rsid w:val="00445884"/>
    <w:rsid w:val="00445DB5"/>
    <w:rsid w:val="00445EDE"/>
    <w:rsid w:val="00445FAD"/>
    <w:rsid w:val="0044603A"/>
    <w:rsid w:val="00446492"/>
    <w:rsid w:val="004464E6"/>
    <w:rsid w:val="00446AD5"/>
    <w:rsid w:val="00446B06"/>
    <w:rsid w:val="00446D2F"/>
    <w:rsid w:val="00446F57"/>
    <w:rsid w:val="00447349"/>
    <w:rsid w:val="00447768"/>
    <w:rsid w:val="00447787"/>
    <w:rsid w:val="0044796E"/>
    <w:rsid w:val="00447A41"/>
    <w:rsid w:val="00447B5F"/>
    <w:rsid w:val="00447E31"/>
    <w:rsid w:val="004500E1"/>
    <w:rsid w:val="00450424"/>
    <w:rsid w:val="00450961"/>
    <w:rsid w:val="00451562"/>
    <w:rsid w:val="00451607"/>
    <w:rsid w:val="00451AAB"/>
    <w:rsid w:val="0045225A"/>
    <w:rsid w:val="004522DD"/>
    <w:rsid w:val="004524AA"/>
    <w:rsid w:val="004524CA"/>
    <w:rsid w:val="00452A2F"/>
    <w:rsid w:val="00452D86"/>
    <w:rsid w:val="00453319"/>
    <w:rsid w:val="00453543"/>
    <w:rsid w:val="004536C6"/>
    <w:rsid w:val="004538B1"/>
    <w:rsid w:val="00453923"/>
    <w:rsid w:val="00453B42"/>
    <w:rsid w:val="00453CBA"/>
    <w:rsid w:val="00453EEA"/>
    <w:rsid w:val="00453F8E"/>
    <w:rsid w:val="0045438A"/>
    <w:rsid w:val="00454436"/>
    <w:rsid w:val="004544C8"/>
    <w:rsid w:val="0045472C"/>
    <w:rsid w:val="00454B9B"/>
    <w:rsid w:val="00454CE3"/>
    <w:rsid w:val="00455096"/>
    <w:rsid w:val="00455756"/>
    <w:rsid w:val="0045582B"/>
    <w:rsid w:val="00455D98"/>
    <w:rsid w:val="004560EC"/>
    <w:rsid w:val="004561BA"/>
    <w:rsid w:val="004561EE"/>
    <w:rsid w:val="00456C8B"/>
    <w:rsid w:val="00457564"/>
    <w:rsid w:val="0045756A"/>
    <w:rsid w:val="0045768F"/>
    <w:rsid w:val="004576A4"/>
    <w:rsid w:val="00457858"/>
    <w:rsid w:val="00457984"/>
    <w:rsid w:val="00457A89"/>
    <w:rsid w:val="00457D64"/>
    <w:rsid w:val="00457E2C"/>
    <w:rsid w:val="0046013C"/>
    <w:rsid w:val="00460524"/>
    <w:rsid w:val="004605B6"/>
    <w:rsid w:val="00460864"/>
    <w:rsid w:val="00460867"/>
    <w:rsid w:val="00460B0B"/>
    <w:rsid w:val="00460B2A"/>
    <w:rsid w:val="00460B84"/>
    <w:rsid w:val="00460CA0"/>
    <w:rsid w:val="00461023"/>
    <w:rsid w:val="004616C5"/>
    <w:rsid w:val="00461814"/>
    <w:rsid w:val="004618A0"/>
    <w:rsid w:val="00461D0D"/>
    <w:rsid w:val="0046243B"/>
    <w:rsid w:val="00462D1D"/>
    <w:rsid w:val="00462D7D"/>
    <w:rsid w:val="00462F9A"/>
    <w:rsid w:val="00462FAC"/>
    <w:rsid w:val="004631F6"/>
    <w:rsid w:val="004632D3"/>
    <w:rsid w:val="004633EE"/>
    <w:rsid w:val="00463407"/>
    <w:rsid w:val="0046395D"/>
    <w:rsid w:val="004639E8"/>
    <w:rsid w:val="00463C24"/>
    <w:rsid w:val="00463D81"/>
    <w:rsid w:val="004643EB"/>
    <w:rsid w:val="00464468"/>
    <w:rsid w:val="00464631"/>
    <w:rsid w:val="00464970"/>
    <w:rsid w:val="00464B79"/>
    <w:rsid w:val="00464DC9"/>
    <w:rsid w:val="00464E3E"/>
    <w:rsid w:val="00465242"/>
    <w:rsid w:val="00465AAC"/>
    <w:rsid w:val="00465C76"/>
    <w:rsid w:val="00465D44"/>
    <w:rsid w:val="00465E9A"/>
    <w:rsid w:val="00466D67"/>
    <w:rsid w:val="00466E08"/>
    <w:rsid w:val="00466F02"/>
    <w:rsid w:val="00467564"/>
    <w:rsid w:val="00467874"/>
    <w:rsid w:val="004678BE"/>
    <w:rsid w:val="00467BBF"/>
    <w:rsid w:val="00467F14"/>
    <w:rsid w:val="00470144"/>
    <w:rsid w:val="00470150"/>
    <w:rsid w:val="00470325"/>
    <w:rsid w:val="0047044E"/>
    <w:rsid w:val="00470C13"/>
    <w:rsid w:val="004710AF"/>
    <w:rsid w:val="0047196A"/>
    <w:rsid w:val="00471A3D"/>
    <w:rsid w:val="00471AEF"/>
    <w:rsid w:val="00471FEC"/>
    <w:rsid w:val="004721D3"/>
    <w:rsid w:val="004721D7"/>
    <w:rsid w:val="0047232F"/>
    <w:rsid w:val="00472464"/>
    <w:rsid w:val="00472862"/>
    <w:rsid w:val="004728A9"/>
    <w:rsid w:val="004728C0"/>
    <w:rsid w:val="004729ED"/>
    <w:rsid w:val="004732A2"/>
    <w:rsid w:val="00473553"/>
    <w:rsid w:val="00473868"/>
    <w:rsid w:val="0047389F"/>
    <w:rsid w:val="00473A57"/>
    <w:rsid w:val="00473E87"/>
    <w:rsid w:val="0047434E"/>
    <w:rsid w:val="0047448C"/>
    <w:rsid w:val="0047484E"/>
    <w:rsid w:val="00474852"/>
    <w:rsid w:val="00474F00"/>
    <w:rsid w:val="00474F16"/>
    <w:rsid w:val="004754E3"/>
    <w:rsid w:val="0047563E"/>
    <w:rsid w:val="00475BDC"/>
    <w:rsid w:val="00475C74"/>
    <w:rsid w:val="00476171"/>
    <w:rsid w:val="00476878"/>
    <w:rsid w:val="00476FD0"/>
    <w:rsid w:val="0047707D"/>
    <w:rsid w:val="0047748B"/>
    <w:rsid w:val="004776FE"/>
    <w:rsid w:val="004778A9"/>
    <w:rsid w:val="004778E1"/>
    <w:rsid w:val="00477AA6"/>
    <w:rsid w:val="004801EA"/>
    <w:rsid w:val="00480459"/>
    <w:rsid w:val="004806A3"/>
    <w:rsid w:val="004808EF"/>
    <w:rsid w:val="00480934"/>
    <w:rsid w:val="00480B38"/>
    <w:rsid w:val="00480E72"/>
    <w:rsid w:val="0048122A"/>
    <w:rsid w:val="00481915"/>
    <w:rsid w:val="00481B6A"/>
    <w:rsid w:val="00481C40"/>
    <w:rsid w:val="00481FAC"/>
    <w:rsid w:val="00482110"/>
    <w:rsid w:val="00482D16"/>
    <w:rsid w:val="00483136"/>
    <w:rsid w:val="0048320F"/>
    <w:rsid w:val="004832C9"/>
    <w:rsid w:val="004835BE"/>
    <w:rsid w:val="004838C4"/>
    <w:rsid w:val="004842BA"/>
    <w:rsid w:val="004849C0"/>
    <w:rsid w:val="00484D0E"/>
    <w:rsid w:val="00484F32"/>
    <w:rsid w:val="00484F56"/>
    <w:rsid w:val="004854F5"/>
    <w:rsid w:val="0048584B"/>
    <w:rsid w:val="0048586E"/>
    <w:rsid w:val="004859F8"/>
    <w:rsid w:val="004860FA"/>
    <w:rsid w:val="004864BA"/>
    <w:rsid w:val="00486648"/>
    <w:rsid w:val="00486747"/>
    <w:rsid w:val="004867E2"/>
    <w:rsid w:val="0048702D"/>
    <w:rsid w:val="0048730F"/>
    <w:rsid w:val="0048736B"/>
    <w:rsid w:val="004875F0"/>
    <w:rsid w:val="00487E3D"/>
    <w:rsid w:val="00487EFF"/>
    <w:rsid w:val="00490AC3"/>
    <w:rsid w:val="00490C3F"/>
    <w:rsid w:val="00490F2B"/>
    <w:rsid w:val="0049104F"/>
    <w:rsid w:val="004917DA"/>
    <w:rsid w:val="00491B3C"/>
    <w:rsid w:val="00491EEB"/>
    <w:rsid w:val="0049218D"/>
    <w:rsid w:val="004923F7"/>
    <w:rsid w:val="0049249F"/>
    <w:rsid w:val="004929A9"/>
    <w:rsid w:val="00492C2E"/>
    <w:rsid w:val="00492D9A"/>
    <w:rsid w:val="00493503"/>
    <w:rsid w:val="00493637"/>
    <w:rsid w:val="0049382B"/>
    <w:rsid w:val="0049398F"/>
    <w:rsid w:val="00493A7C"/>
    <w:rsid w:val="00493BA7"/>
    <w:rsid w:val="00493BF4"/>
    <w:rsid w:val="00493DB8"/>
    <w:rsid w:val="0049401C"/>
    <w:rsid w:val="0049410A"/>
    <w:rsid w:val="004941A4"/>
    <w:rsid w:val="00494591"/>
    <w:rsid w:val="004948E3"/>
    <w:rsid w:val="004961E0"/>
    <w:rsid w:val="004962A2"/>
    <w:rsid w:val="00496319"/>
    <w:rsid w:val="00496531"/>
    <w:rsid w:val="00496A64"/>
    <w:rsid w:val="00496FFD"/>
    <w:rsid w:val="004973D1"/>
    <w:rsid w:val="0049743B"/>
    <w:rsid w:val="0049768C"/>
    <w:rsid w:val="00497828"/>
    <w:rsid w:val="004978FC"/>
    <w:rsid w:val="00497955"/>
    <w:rsid w:val="00497B57"/>
    <w:rsid w:val="004A022B"/>
    <w:rsid w:val="004A0601"/>
    <w:rsid w:val="004A0924"/>
    <w:rsid w:val="004A0960"/>
    <w:rsid w:val="004A0AEE"/>
    <w:rsid w:val="004A0C8F"/>
    <w:rsid w:val="004A0DE5"/>
    <w:rsid w:val="004A1362"/>
    <w:rsid w:val="004A1700"/>
    <w:rsid w:val="004A1860"/>
    <w:rsid w:val="004A1993"/>
    <w:rsid w:val="004A1C31"/>
    <w:rsid w:val="004A1E81"/>
    <w:rsid w:val="004A230C"/>
    <w:rsid w:val="004A2406"/>
    <w:rsid w:val="004A28F7"/>
    <w:rsid w:val="004A3488"/>
    <w:rsid w:val="004A3E14"/>
    <w:rsid w:val="004A3E50"/>
    <w:rsid w:val="004A40D1"/>
    <w:rsid w:val="004A4A7A"/>
    <w:rsid w:val="004A4B3E"/>
    <w:rsid w:val="004A4BD6"/>
    <w:rsid w:val="004A5023"/>
    <w:rsid w:val="004A5256"/>
    <w:rsid w:val="004A5956"/>
    <w:rsid w:val="004A6653"/>
    <w:rsid w:val="004A6697"/>
    <w:rsid w:val="004A677E"/>
    <w:rsid w:val="004A6CB7"/>
    <w:rsid w:val="004A6F03"/>
    <w:rsid w:val="004A70F4"/>
    <w:rsid w:val="004A768C"/>
    <w:rsid w:val="004A77B6"/>
    <w:rsid w:val="004A7B4E"/>
    <w:rsid w:val="004A7DAD"/>
    <w:rsid w:val="004A7DBD"/>
    <w:rsid w:val="004A7F16"/>
    <w:rsid w:val="004B06DA"/>
    <w:rsid w:val="004B0D75"/>
    <w:rsid w:val="004B1894"/>
    <w:rsid w:val="004B223B"/>
    <w:rsid w:val="004B232C"/>
    <w:rsid w:val="004B2610"/>
    <w:rsid w:val="004B28EE"/>
    <w:rsid w:val="004B3046"/>
    <w:rsid w:val="004B357F"/>
    <w:rsid w:val="004B36B6"/>
    <w:rsid w:val="004B4054"/>
    <w:rsid w:val="004B4271"/>
    <w:rsid w:val="004B4388"/>
    <w:rsid w:val="004B4699"/>
    <w:rsid w:val="004B47E0"/>
    <w:rsid w:val="004B4A24"/>
    <w:rsid w:val="004B4BB5"/>
    <w:rsid w:val="004B4BEE"/>
    <w:rsid w:val="004B4C95"/>
    <w:rsid w:val="004B4D46"/>
    <w:rsid w:val="004B4FD3"/>
    <w:rsid w:val="004B618A"/>
    <w:rsid w:val="004B6384"/>
    <w:rsid w:val="004B6427"/>
    <w:rsid w:val="004B64DD"/>
    <w:rsid w:val="004B6B8E"/>
    <w:rsid w:val="004B6CCE"/>
    <w:rsid w:val="004B6F85"/>
    <w:rsid w:val="004B7449"/>
    <w:rsid w:val="004B7537"/>
    <w:rsid w:val="004B7C61"/>
    <w:rsid w:val="004B7CC4"/>
    <w:rsid w:val="004B7ED4"/>
    <w:rsid w:val="004C00D4"/>
    <w:rsid w:val="004C06E7"/>
    <w:rsid w:val="004C0B95"/>
    <w:rsid w:val="004C0D28"/>
    <w:rsid w:val="004C0D65"/>
    <w:rsid w:val="004C1062"/>
    <w:rsid w:val="004C1916"/>
    <w:rsid w:val="004C1AAE"/>
    <w:rsid w:val="004C1F35"/>
    <w:rsid w:val="004C1FCE"/>
    <w:rsid w:val="004C22E1"/>
    <w:rsid w:val="004C2419"/>
    <w:rsid w:val="004C2ABA"/>
    <w:rsid w:val="004C2D00"/>
    <w:rsid w:val="004C2FEC"/>
    <w:rsid w:val="004C3262"/>
    <w:rsid w:val="004C36BD"/>
    <w:rsid w:val="004C36F6"/>
    <w:rsid w:val="004C3959"/>
    <w:rsid w:val="004C3FC1"/>
    <w:rsid w:val="004C4238"/>
    <w:rsid w:val="004C428E"/>
    <w:rsid w:val="004C452F"/>
    <w:rsid w:val="004C4BBE"/>
    <w:rsid w:val="004C4FA0"/>
    <w:rsid w:val="004C5578"/>
    <w:rsid w:val="004C57CD"/>
    <w:rsid w:val="004C5A10"/>
    <w:rsid w:val="004C5AD7"/>
    <w:rsid w:val="004C5D21"/>
    <w:rsid w:val="004C6BCF"/>
    <w:rsid w:val="004C6C13"/>
    <w:rsid w:val="004C6D52"/>
    <w:rsid w:val="004C745D"/>
    <w:rsid w:val="004C7460"/>
    <w:rsid w:val="004C7976"/>
    <w:rsid w:val="004C79D5"/>
    <w:rsid w:val="004C7A3D"/>
    <w:rsid w:val="004C7DCE"/>
    <w:rsid w:val="004C7E82"/>
    <w:rsid w:val="004D00B2"/>
    <w:rsid w:val="004D0106"/>
    <w:rsid w:val="004D0185"/>
    <w:rsid w:val="004D01DB"/>
    <w:rsid w:val="004D0DA2"/>
    <w:rsid w:val="004D114C"/>
    <w:rsid w:val="004D1339"/>
    <w:rsid w:val="004D1435"/>
    <w:rsid w:val="004D156A"/>
    <w:rsid w:val="004D1749"/>
    <w:rsid w:val="004D1768"/>
    <w:rsid w:val="004D1E95"/>
    <w:rsid w:val="004D1EB2"/>
    <w:rsid w:val="004D2199"/>
    <w:rsid w:val="004D2393"/>
    <w:rsid w:val="004D2760"/>
    <w:rsid w:val="004D2865"/>
    <w:rsid w:val="004D296B"/>
    <w:rsid w:val="004D298C"/>
    <w:rsid w:val="004D2AB2"/>
    <w:rsid w:val="004D2B45"/>
    <w:rsid w:val="004D2BC7"/>
    <w:rsid w:val="004D32F6"/>
    <w:rsid w:val="004D3515"/>
    <w:rsid w:val="004D35C2"/>
    <w:rsid w:val="004D3761"/>
    <w:rsid w:val="004D3782"/>
    <w:rsid w:val="004D3B8B"/>
    <w:rsid w:val="004D451D"/>
    <w:rsid w:val="004D4B19"/>
    <w:rsid w:val="004D4B64"/>
    <w:rsid w:val="004D4C28"/>
    <w:rsid w:val="004D4E08"/>
    <w:rsid w:val="004D4FB8"/>
    <w:rsid w:val="004D5237"/>
    <w:rsid w:val="004D523F"/>
    <w:rsid w:val="004D542D"/>
    <w:rsid w:val="004D5864"/>
    <w:rsid w:val="004D58BF"/>
    <w:rsid w:val="004D5FA2"/>
    <w:rsid w:val="004D6565"/>
    <w:rsid w:val="004D6716"/>
    <w:rsid w:val="004D6AF1"/>
    <w:rsid w:val="004D6D14"/>
    <w:rsid w:val="004D7296"/>
    <w:rsid w:val="004D78A6"/>
    <w:rsid w:val="004D78DA"/>
    <w:rsid w:val="004D7C86"/>
    <w:rsid w:val="004D7D20"/>
    <w:rsid w:val="004D7FD7"/>
    <w:rsid w:val="004E0147"/>
    <w:rsid w:val="004E030E"/>
    <w:rsid w:val="004E124D"/>
    <w:rsid w:val="004E1772"/>
    <w:rsid w:val="004E1A2A"/>
    <w:rsid w:val="004E1B67"/>
    <w:rsid w:val="004E1C82"/>
    <w:rsid w:val="004E1E78"/>
    <w:rsid w:val="004E1F6F"/>
    <w:rsid w:val="004E2152"/>
    <w:rsid w:val="004E22FF"/>
    <w:rsid w:val="004E25E2"/>
    <w:rsid w:val="004E26B7"/>
    <w:rsid w:val="004E2730"/>
    <w:rsid w:val="004E29F0"/>
    <w:rsid w:val="004E2B71"/>
    <w:rsid w:val="004E2E70"/>
    <w:rsid w:val="004E3159"/>
    <w:rsid w:val="004E38FA"/>
    <w:rsid w:val="004E3C24"/>
    <w:rsid w:val="004E3C62"/>
    <w:rsid w:val="004E3CB3"/>
    <w:rsid w:val="004E3CF0"/>
    <w:rsid w:val="004E3E3D"/>
    <w:rsid w:val="004E4164"/>
    <w:rsid w:val="004E4335"/>
    <w:rsid w:val="004E433A"/>
    <w:rsid w:val="004E47A7"/>
    <w:rsid w:val="004E483D"/>
    <w:rsid w:val="004E4849"/>
    <w:rsid w:val="004E4B5D"/>
    <w:rsid w:val="004E4C2E"/>
    <w:rsid w:val="004E5000"/>
    <w:rsid w:val="004E52F0"/>
    <w:rsid w:val="004E54E6"/>
    <w:rsid w:val="004E5538"/>
    <w:rsid w:val="004E55D0"/>
    <w:rsid w:val="004E55E3"/>
    <w:rsid w:val="004E5845"/>
    <w:rsid w:val="004E5ACF"/>
    <w:rsid w:val="004E5DF5"/>
    <w:rsid w:val="004E6329"/>
    <w:rsid w:val="004E63D5"/>
    <w:rsid w:val="004E6AD0"/>
    <w:rsid w:val="004E6B56"/>
    <w:rsid w:val="004E6D6B"/>
    <w:rsid w:val="004E7506"/>
    <w:rsid w:val="004E7616"/>
    <w:rsid w:val="004F0012"/>
    <w:rsid w:val="004F030C"/>
    <w:rsid w:val="004F03D3"/>
    <w:rsid w:val="004F04A7"/>
    <w:rsid w:val="004F08DB"/>
    <w:rsid w:val="004F0CC1"/>
    <w:rsid w:val="004F0D68"/>
    <w:rsid w:val="004F101A"/>
    <w:rsid w:val="004F11DB"/>
    <w:rsid w:val="004F13CC"/>
    <w:rsid w:val="004F13EE"/>
    <w:rsid w:val="004F146F"/>
    <w:rsid w:val="004F14A1"/>
    <w:rsid w:val="004F1775"/>
    <w:rsid w:val="004F17E1"/>
    <w:rsid w:val="004F17EA"/>
    <w:rsid w:val="004F19FF"/>
    <w:rsid w:val="004F1D6D"/>
    <w:rsid w:val="004F1DCF"/>
    <w:rsid w:val="004F1E9E"/>
    <w:rsid w:val="004F2022"/>
    <w:rsid w:val="004F2047"/>
    <w:rsid w:val="004F20F7"/>
    <w:rsid w:val="004F2132"/>
    <w:rsid w:val="004F26C1"/>
    <w:rsid w:val="004F2D64"/>
    <w:rsid w:val="004F2EDF"/>
    <w:rsid w:val="004F317E"/>
    <w:rsid w:val="004F31AD"/>
    <w:rsid w:val="004F35C4"/>
    <w:rsid w:val="004F3CDA"/>
    <w:rsid w:val="004F4171"/>
    <w:rsid w:val="004F4375"/>
    <w:rsid w:val="004F4874"/>
    <w:rsid w:val="004F4E74"/>
    <w:rsid w:val="004F5B88"/>
    <w:rsid w:val="004F5D77"/>
    <w:rsid w:val="004F6221"/>
    <w:rsid w:val="004F65E3"/>
    <w:rsid w:val="004F6B75"/>
    <w:rsid w:val="004F732A"/>
    <w:rsid w:val="004F758B"/>
    <w:rsid w:val="004F7695"/>
    <w:rsid w:val="004F76C1"/>
    <w:rsid w:val="004F76F6"/>
    <w:rsid w:val="004F7C05"/>
    <w:rsid w:val="004F7D6F"/>
    <w:rsid w:val="00500196"/>
    <w:rsid w:val="005001C2"/>
    <w:rsid w:val="0050045E"/>
    <w:rsid w:val="00500D3A"/>
    <w:rsid w:val="005012FE"/>
    <w:rsid w:val="005015B8"/>
    <w:rsid w:val="005017CB"/>
    <w:rsid w:val="00501C94"/>
    <w:rsid w:val="00501DA0"/>
    <w:rsid w:val="00501FB0"/>
    <w:rsid w:val="0050205E"/>
    <w:rsid w:val="0050207C"/>
    <w:rsid w:val="005022B9"/>
    <w:rsid w:val="00502690"/>
    <w:rsid w:val="00502BCB"/>
    <w:rsid w:val="00503427"/>
    <w:rsid w:val="00503800"/>
    <w:rsid w:val="005039E8"/>
    <w:rsid w:val="00504096"/>
    <w:rsid w:val="0050477A"/>
    <w:rsid w:val="0050484A"/>
    <w:rsid w:val="005048BA"/>
    <w:rsid w:val="005057A7"/>
    <w:rsid w:val="00505BF0"/>
    <w:rsid w:val="00505CA3"/>
    <w:rsid w:val="00505E1B"/>
    <w:rsid w:val="00505E70"/>
    <w:rsid w:val="00506432"/>
    <w:rsid w:val="00506792"/>
    <w:rsid w:val="00506D4A"/>
    <w:rsid w:val="00506E74"/>
    <w:rsid w:val="00506F64"/>
    <w:rsid w:val="00506FFB"/>
    <w:rsid w:val="005070BB"/>
    <w:rsid w:val="005073D7"/>
    <w:rsid w:val="005076C0"/>
    <w:rsid w:val="005076F7"/>
    <w:rsid w:val="00507785"/>
    <w:rsid w:val="00510BBF"/>
    <w:rsid w:val="00510C59"/>
    <w:rsid w:val="00510E8E"/>
    <w:rsid w:val="00510EEF"/>
    <w:rsid w:val="005111C7"/>
    <w:rsid w:val="0051153F"/>
    <w:rsid w:val="005116FB"/>
    <w:rsid w:val="00511705"/>
    <w:rsid w:val="005118B8"/>
    <w:rsid w:val="00511AEB"/>
    <w:rsid w:val="00511DFB"/>
    <w:rsid w:val="00511FCD"/>
    <w:rsid w:val="005121D0"/>
    <w:rsid w:val="0051242B"/>
    <w:rsid w:val="00512597"/>
    <w:rsid w:val="005126AA"/>
    <w:rsid w:val="00512816"/>
    <w:rsid w:val="00512BDD"/>
    <w:rsid w:val="00513299"/>
    <w:rsid w:val="005136B5"/>
    <w:rsid w:val="0051375E"/>
    <w:rsid w:val="00513CAC"/>
    <w:rsid w:val="00513E1C"/>
    <w:rsid w:val="005143DF"/>
    <w:rsid w:val="00514784"/>
    <w:rsid w:val="00514A89"/>
    <w:rsid w:val="00514ABD"/>
    <w:rsid w:val="00514F2C"/>
    <w:rsid w:val="005152B3"/>
    <w:rsid w:val="005153FD"/>
    <w:rsid w:val="005154D6"/>
    <w:rsid w:val="0051581B"/>
    <w:rsid w:val="00515AF1"/>
    <w:rsid w:val="00515E9D"/>
    <w:rsid w:val="00515F65"/>
    <w:rsid w:val="005162A4"/>
    <w:rsid w:val="00516489"/>
    <w:rsid w:val="00516760"/>
    <w:rsid w:val="005169B9"/>
    <w:rsid w:val="005175F2"/>
    <w:rsid w:val="005177DB"/>
    <w:rsid w:val="00517990"/>
    <w:rsid w:val="00517A52"/>
    <w:rsid w:val="00517E2D"/>
    <w:rsid w:val="00517E31"/>
    <w:rsid w:val="0051A539"/>
    <w:rsid w:val="00520210"/>
    <w:rsid w:val="0052051D"/>
    <w:rsid w:val="0052110F"/>
    <w:rsid w:val="00521698"/>
    <w:rsid w:val="00521B96"/>
    <w:rsid w:val="00521C34"/>
    <w:rsid w:val="00521E56"/>
    <w:rsid w:val="00521E9C"/>
    <w:rsid w:val="005223A5"/>
    <w:rsid w:val="005223EB"/>
    <w:rsid w:val="005227FF"/>
    <w:rsid w:val="0052280D"/>
    <w:rsid w:val="00522B14"/>
    <w:rsid w:val="00522B73"/>
    <w:rsid w:val="00522CEC"/>
    <w:rsid w:val="00522D4B"/>
    <w:rsid w:val="00522DBE"/>
    <w:rsid w:val="00523507"/>
    <w:rsid w:val="0052369A"/>
    <w:rsid w:val="00523A54"/>
    <w:rsid w:val="00524273"/>
    <w:rsid w:val="00524543"/>
    <w:rsid w:val="00524B8A"/>
    <w:rsid w:val="00524DFA"/>
    <w:rsid w:val="00525050"/>
    <w:rsid w:val="00525337"/>
    <w:rsid w:val="00525C30"/>
    <w:rsid w:val="00526038"/>
    <w:rsid w:val="0052645C"/>
    <w:rsid w:val="0052649A"/>
    <w:rsid w:val="00526EC1"/>
    <w:rsid w:val="0052701E"/>
    <w:rsid w:val="00527246"/>
    <w:rsid w:val="0052793B"/>
    <w:rsid w:val="005302B3"/>
    <w:rsid w:val="00530600"/>
    <w:rsid w:val="00530757"/>
    <w:rsid w:val="00530796"/>
    <w:rsid w:val="00530FBA"/>
    <w:rsid w:val="005314AA"/>
    <w:rsid w:val="005319D8"/>
    <w:rsid w:val="00531DB0"/>
    <w:rsid w:val="0053213C"/>
    <w:rsid w:val="005325CF"/>
    <w:rsid w:val="00532806"/>
    <w:rsid w:val="0053297D"/>
    <w:rsid w:val="00532BFB"/>
    <w:rsid w:val="0053306C"/>
    <w:rsid w:val="00533207"/>
    <w:rsid w:val="005333D3"/>
    <w:rsid w:val="00533437"/>
    <w:rsid w:val="005336A0"/>
    <w:rsid w:val="005336E3"/>
    <w:rsid w:val="005336FD"/>
    <w:rsid w:val="0053376A"/>
    <w:rsid w:val="0053380A"/>
    <w:rsid w:val="0053402E"/>
    <w:rsid w:val="005347CB"/>
    <w:rsid w:val="00534809"/>
    <w:rsid w:val="00534D72"/>
    <w:rsid w:val="005354D0"/>
    <w:rsid w:val="00535568"/>
    <w:rsid w:val="00535821"/>
    <w:rsid w:val="00535860"/>
    <w:rsid w:val="00535DF7"/>
    <w:rsid w:val="0053632B"/>
    <w:rsid w:val="005365EF"/>
    <w:rsid w:val="00536658"/>
    <w:rsid w:val="00536BE6"/>
    <w:rsid w:val="00536C4C"/>
    <w:rsid w:val="00536C97"/>
    <w:rsid w:val="00536CF7"/>
    <w:rsid w:val="0053716B"/>
    <w:rsid w:val="005373BE"/>
    <w:rsid w:val="00537577"/>
    <w:rsid w:val="0053758A"/>
    <w:rsid w:val="00540299"/>
    <w:rsid w:val="005405DB"/>
    <w:rsid w:val="00540791"/>
    <w:rsid w:val="00540A5A"/>
    <w:rsid w:val="00540B42"/>
    <w:rsid w:val="00540B88"/>
    <w:rsid w:val="00540C73"/>
    <w:rsid w:val="0054139A"/>
    <w:rsid w:val="0054145E"/>
    <w:rsid w:val="0054181B"/>
    <w:rsid w:val="00541833"/>
    <w:rsid w:val="005418C2"/>
    <w:rsid w:val="0054218E"/>
    <w:rsid w:val="00542278"/>
    <w:rsid w:val="00542608"/>
    <w:rsid w:val="00542609"/>
    <w:rsid w:val="005427C6"/>
    <w:rsid w:val="005429F8"/>
    <w:rsid w:val="00542D0C"/>
    <w:rsid w:val="00543676"/>
    <w:rsid w:val="005436FC"/>
    <w:rsid w:val="00543AC9"/>
    <w:rsid w:val="0054406D"/>
    <w:rsid w:val="005440FA"/>
    <w:rsid w:val="00544A41"/>
    <w:rsid w:val="00544C4F"/>
    <w:rsid w:val="00545196"/>
    <w:rsid w:val="005451AD"/>
    <w:rsid w:val="005451CA"/>
    <w:rsid w:val="0054544C"/>
    <w:rsid w:val="00545623"/>
    <w:rsid w:val="005458B7"/>
    <w:rsid w:val="00545EE6"/>
    <w:rsid w:val="00546299"/>
    <w:rsid w:val="00546D23"/>
    <w:rsid w:val="00546ECD"/>
    <w:rsid w:val="00546F41"/>
    <w:rsid w:val="0054718A"/>
    <w:rsid w:val="0054756F"/>
    <w:rsid w:val="00547635"/>
    <w:rsid w:val="0054785D"/>
    <w:rsid w:val="00547955"/>
    <w:rsid w:val="00547BE9"/>
    <w:rsid w:val="00547E2E"/>
    <w:rsid w:val="005500F9"/>
    <w:rsid w:val="00550346"/>
    <w:rsid w:val="0055053F"/>
    <w:rsid w:val="00550BFB"/>
    <w:rsid w:val="00550C8F"/>
    <w:rsid w:val="00550CA1"/>
    <w:rsid w:val="005513B1"/>
    <w:rsid w:val="00551495"/>
    <w:rsid w:val="0055194E"/>
    <w:rsid w:val="00551B37"/>
    <w:rsid w:val="00551DD6"/>
    <w:rsid w:val="0055281E"/>
    <w:rsid w:val="0055291B"/>
    <w:rsid w:val="00552A31"/>
    <w:rsid w:val="00552B3A"/>
    <w:rsid w:val="00552C25"/>
    <w:rsid w:val="00552CBE"/>
    <w:rsid w:val="00552CC4"/>
    <w:rsid w:val="00552D72"/>
    <w:rsid w:val="005532F8"/>
    <w:rsid w:val="0055339B"/>
    <w:rsid w:val="00553621"/>
    <w:rsid w:val="00553624"/>
    <w:rsid w:val="00553C30"/>
    <w:rsid w:val="00554370"/>
    <w:rsid w:val="00554A06"/>
    <w:rsid w:val="00554D83"/>
    <w:rsid w:val="00555074"/>
    <w:rsid w:val="00555090"/>
    <w:rsid w:val="005550E7"/>
    <w:rsid w:val="005563C4"/>
    <w:rsid w:val="005564FB"/>
    <w:rsid w:val="00556E85"/>
    <w:rsid w:val="00556EB0"/>
    <w:rsid w:val="00556F99"/>
    <w:rsid w:val="00556FE4"/>
    <w:rsid w:val="005572C7"/>
    <w:rsid w:val="00557921"/>
    <w:rsid w:val="00557A8B"/>
    <w:rsid w:val="00557C5F"/>
    <w:rsid w:val="00557D5A"/>
    <w:rsid w:val="00557D87"/>
    <w:rsid w:val="00557E84"/>
    <w:rsid w:val="0055BE98"/>
    <w:rsid w:val="00560071"/>
    <w:rsid w:val="00560165"/>
    <w:rsid w:val="0056037F"/>
    <w:rsid w:val="0056063A"/>
    <w:rsid w:val="005607EC"/>
    <w:rsid w:val="00560EF1"/>
    <w:rsid w:val="00561208"/>
    <w:rsid w:val="005614BF"/>
    <w:rsid w:val="0056162A"/>
    <w:rsid w:val="00561AF2"/>
    <w:rsid w:val="005622E2"/>
    <w:rsid w:val="005627C8"/>
    <w:rsid w:val="00562919"/>
    <w:rsid w:val="00562A57"/>
    <w:rsid w:val="00562B71"/>
    <w:rsid w:val="00562D9F"/>
    <w:rsid w:val="00563105"/>
    <w:rsid w:val="00563C87"/>
    <w:rsid w:val="00563F99"/>
    <w:rsid w:val="00564319"/>
    <w:rsid w:val="0056486D"/>
    <w:rsid w:val="00564C47"/>
    <w:rsid w:val="005650ED"/>
    <w:rsid w:val="00565227"/>
    <w:rsid w:val="0056612E"/>
    <w:rsid w:val="00566858"/>
    <w:rsid w:val="00566A8E"/>
    <w:rsid w:val="00566B5B"/>
    <w:rsid w:val="00566E38"/>
    <w:rsid w:val="005671F8"/>
    <w:rsid w:val="005677B0"/>
    <w:rsid w:val="00567893"/>
    <w:rsid w:val="005679BB"/>
    <w:rsid w:val="0057020E"/>
    <w:rsid w:val="0057064A"/>
    <w:rsid w:val="00570800"/>
    <w:rsid w:val="00570AF2"/>
    <w:rsid w:val="00570DCA"/>
    <w:rsid w:val="0057121A"/>
    <w:rsid w:val="005717C6"/>
    <w:rsid w:val="005717F6"/>
    <w:rsid w:val="00571AA3"/>
    <w:rsid w:val="00571CCB"/>
    <w:rsid w:val="005725A9"/>
    <w:rsid w:val="00572791"/>
    <w:rsid w:val="005727BE"/>
    <w:rsid w:val="0057295B"/>
    <w:rsid w:val="00572A55"/>
    <w:rsid w:val="00572AD8"/>
    <w:rsid w:val="00572E28"/>
    <w:rsid w:val="00572E75"/>
    <w:rsid w:val="0057328F"/>
    <w:rsid w:val="005736FB"/>
    <w:rsid w:val="00573B30"/>
    <w:rsid w:val="00573D80"/>
    <w:rsid w:val="00573FBE"/>
    <w:rsid w:val="005749C6"/>
    <w:rsid w:val="0057548E"/>
    <w:rsid w:val="00575490"/>
    <w:rsid w:val="00575754"/>
    <w:rsid w:val="0057583D"/>
    <w:rsid w:val="00575889"/>
    <w:rsid w:val="005758C1"/>
    <w:rsid w:val="005758CE"/>
    <w:rsid w:val="00575A57"/>
    <w:rsid w:val="00575D57"/>
    <w:rsid w:val="00575F8D"/>
    <w:rsid w:val="0057611A"/>
    <w:rsid w:val="005762BE"/>
    <w:rsid w:val="005766EA"/>
    <w:rsid w:val="00576DA4"/>
    <w:rsid w:val="00576E3D"/>
    <w:rsid w:val="00576F49"/>
    <w:rsid w:val="005773DD"/>
    <w:rsid w:val="00577737"/>
    <w:rsid w:val="00577C62"/>
    <w:rsid w:val="005804E1"/>
    <w:rsid w:val="0058067F"/>
    <w:rsid w:val="005807B1"/>
    <w:rsid w:val="00580B9E"/>
    <w:rsid w:val="00580C02"/>
    <w:rsid w:val="005810A1"/>
    <w:rsid w:val="005811EC"/>
    <w:rsid w:val="00581A95"/>
    <w:rsid w:val="00581B26"/>
    <w:rsid w:val="00581C94"/>
    <w:rsid w:val="00582175"/>
    <w:rsid w:val="00582276"/>
    <w:rsid w:val="005826DD"/>
    <w:rsid w:val="005828A5"/>
    <w:rsid w:val="005829AD"/>
    <w:rsid w:val="00582D87"/>
    <w:rsid w:val="00582DE9"/>
    <w:rsid w:val="0058306B"/>
    <w:rsid w:val="00583457"/>
    <w:rsid w:val="0058356C"/>
    <w:rsid w:val="00583C50"/>
    <w:rsid w:val="00584487"/>
    <w:rsid w:val="005846C6"/>
    <w:rsid w:val="00584B41"/>
    <w:rsid w:val="005850A4"/>
    <w:rsid w:val="005858CA"/>
    <w:rsid w:val="00585AD6"/>
    <w:rsid w:val="00585B2E"/>
    <w:rsid w:val="00586099"/>
    <w:rsid w:val="005865F3"/>
    <w:rsid w:val="005866CC"/>
    <w:rsid w:val="0058678B"/>
    <w:rsid w:val="00586ECC"/>
    <w:rsid w:val="0058701F"/>
    <w:rsid w:val="00587121"/>
    <w:rsid w:val="00587253"/>
    <w:rsid w:val="00587330"/>
    <w:rsid w:val="00587AE5"/>
    <w:rsid w:val="00587EA0"/>
    <w:rsid w:val="005901C2"/>
    <w:rsid w:val="005901DC"/>
    <w:rsid w:val="00590BBC"/>
    <w:rsid w:val="00590DF6"/>
    <w:rsid w:val="00591215"/>
    <w:rsid w:val="0059139F"/>
    <w:rsid w:val="00591551"/>
    <w:rsid w:val="005918F0"/>
    <w:rsid w:val="005919F3"/>
    <w:rsid w:val="00591B56"/>
    <w:rsid w:val="00591BC6"/>
    <w:rsid w:val="00591C3F"/>
    <w:rsid w:val="00591E20"/>
    <w:rsid w:val="005923EA"/>
    <w:rsid w:val="005926D8"/>
    <w:rsid w:val="00592C78"/>
    <w:rsid w:val="00592E08"/>
    <w:rsid w:val="00592E73"/>
    <w:rsid w:val="00592F38"/>
    <w:rsid w:val="00592FEB"/>
    <w:rsid w:val="00593027"/>
    <w:rsid w:val="00593114"/>
    <w:rsid w:val="0059312A"/>
    <w:rsid w:val="005932BA"/>
    <w:rsid w:val="0059389F"/>
    <w:rsid w:val="00593A19"/>
    <w:rsid w:val="00593BB3"/>
    <w:rsid w:val="005942B5"/>
    <w:rsid w:val="0059451D"/>
    <w:rsid w:val="00594A2B"/>
    <w:rsid w:val="00594D36"/>
    <w:rsid w:val="00594E50"/>
    <w:rsid w:val="00594EAF"/>
    <w:rsid w:val="00595087"/>
    <w:rsid w:val="00595408"/>
    <w:rsid w:val="005959F0"/>
    <w:rsid w:val="00595E72"/>
    <w:rsid w:val="00595E84"/>
    <w:rsid w:val="00596B9A"/>
    <w:rsid w:val="00596D2F"/>
    <w:rsid w:val="00596E2D"/>
    <w:rsid w:val="00596F22"/>
    <w:rsid w:val="00596F39"/>
    <w:rsid w:val="00597C5E"/>
    <w:rsid w:val="005A0212"/>
    <w:rsid w:val="005A026A"/>
    <w:rsid w:val="005A0AB8"/>
    <w:rsid w:val="005A0C59"/>
    <w:rsid w:val="005A0E50"/>
    <w:rsid w:val="005A0F5E"/>
    <w:rsid w:val="005A12DF"/>
    <w:rsid w:val="005A14B9"/>
    <w:rsid w:val="005A17DA"/>
    <w:rsid w:val="005A1B88"/>
    <w:rsid w:val="005A1EE7"/>
    <w:rsid w:val="005A1EF4"/>
    <w:rsid w:val="005A21EE"/>
    <w:rsid w:val="005A2579"/>
    <w:rsid w:val="005A2595"/>
    <w:rsid w:val="005A2AAF"/>
    <w:rsid w:val="005A2B5E"/>
    <w:rsid w:val="005A2E99"/>
    <w:rsid w:val="005A2FC1"/>
    <w:rsid w:val="005A3A63"/>
    <w:rsid w:val="005A3C14"/>
    <w:rsid w:val="005A3CCF"/>
    <w:rsid w:val="005A43FA"/>
    <w:rsid w:val="005A4443"/>
    <w:rsid w:val="005A48EB"/>
    <w:rsid w:val="005A4A6C"/>
    <w:rsid w:val="005A5009"/>
    <w:rsid w:val="005A50F7"/>
    <w:rsid w:val="005A513F"/>
    <w:rsid w:val="005A5ACE"/>
    <w:rsid w:val="005A5BD0"/>
    <w:rsid w:val="005A5F8E"/>
    <w:rsid w:val="005A622A"/>
    <w:rsid w:val="005A6307"/>
    <w:rsid w:val="005A656F"/>
    <w:rsid w:val="005A65C3"/>
    <w:rsid w:val="005A665B"/>
    <w:rsid w:val="005A69AF"/>
    <w:rsid w:val="005A6B9B"/>
    <w:rsid w:val="005A6BB6"/>
    <w:rsid w:val="005A6CFB"/>
    <w:rsid w:val="005A6F4F"/>
    <w:rsid w:val="005A7950"/>
    <w:rsid w:val="005A7C0D"/>
    <w:rsid w:val="005A7C55"/>
    <w:rsid w:val="005A7D7F"/>
    <w:rsid w:val="005AB480"/>
    <w:rsid w:val="005B02B6"/>
    <w:rsid w:val="005B065C"/>
    <w:rsid w:val="005B0C4A"/>
    <w:rsid w:val="005B0E1F"/>
    <w:rsid w:val="005B10F8"/>
    <w:rsid w:val="005B1242"/>
    <w:rsid w:val="005B13FB"/>
    <w:rsid w:val="005B1A21"/>
    <w:rsid w:val="005B1A4B"/>
    <w:rsid w:val="005B1AFD"/>
    <w:rsid w:val="005B1C9C"/>
    <w:rsid w:val="005B1D9A"/>
    <w:rsid w:val="005B1E08"/>
    <w:rsid w:val="005B27C6"/>
    <w:rsid w:val="005B29BF"/>
    <w:rsid w:val="005B3387"/>
    <w:rsid w:val="005B34D2"/>
    <w:rsid w:val="005B3594"/>
    <w:rsid w:val="005B3619"/>
    <w:rsid w:val="005B3E2D"/>
    <w:rsid w:val="005B409F"/>
    <w:rsid w:val="005B4233"/>
    <w:rsid w:val="005B4628"/>
    <w:rsid w:val="005B4697"/>
    <w:rsid w:val="005B47F9"/>
    <w:rsid w:val="005B4949"/>
    <w:rsid w:val="005B495D"/>
    <w:rsid w:val="005B4991"/>
    <w:rsid w:val="005B4AA7"/>
    <w:rsid w:val="005B4B33"/>
    <w:rsid w:val="005B4E98"/>
    <w:rsid w:val="005B5070"/>
    <w:rsid w:val="005B55D0"/>
    <w:rsid w:val="005B59D2"/>
    <w:rsid w:val="005B5C77"/>
    <w:rsid w:val="005B60E1"/>
    <w:rsid w:val="005B63F7"/>
    <w:rsid w:val="005B6674"/>
    <w:rsid w:val="005B6681"/>
    <w:rsid w:val="005B6978"/>
    <w:rsid w:val="005B6EAC"/>
    <w:rsid w:val="005B6FA3"/>
    <w:rsid w:val="005B6FD0"/>
    <w:rsid w:val="005C00C6"/>
    <w:rsid w:val="005C0567"/>
    <w:rsid w:val="005C088A"/>
    <w:rsid w:val="005C1234"/>
    <w:rsid w:val="005C164D"/>
    <w:rsid w:val="005C1AB7"/>
    <w:rsid w:val="005C1BF6"/>
    <w:rsid w:val="005C240A"/>
    <w:rsid w:val="005C265C"/>
    <w:rsid w:val="005C2D03"/>
    <w:rsid w:val="005C304D"/>
    <w:rsid w:val="005C36DA"/>
    <w:rsid w:val="005C3E89"/>
    <w:rsid w:val="005C479C"/>
    <w:rsid w:val="005C4C41"/>
    <w:rsid w:val="005C4C93"/>
    <w:rsid w:val="005C5236"/>
    <w:rsid w:val="005C54AB"/>
    <w:rsid w:val="005C55B4"/>
    <w:rsid w:val="005C5602"/>
    <w:rsid w:val="005C5AEB"/>
    <w:rsid w:val="005C5E95"/>
    <w:rsid w:val="005C618C"/>
    <w:rsid w:val="005C651A"/>
    <w:rsid w:val="005C6A74"/>
    <w:rsid w:val="005C7122"/>
    <w:rsid w:val="005C72DA"/>
    <w:rsid w:val="005C735E"/>
    <w:rsid w:val="005C7397"/>
    <w:rsid w:val="005C786F"/>
    <w:rsid w:val="005C7A43"/>
    <w:rsid w:val="005C7F9A"/>
    <w:rsid w:val="005D0094"/>
    <w:rsid w:val="005D00CD"/>
    <w:rsid w:val="005D0323"/>
    <w:rsid w:val="005D0687"/>
    <w:rsid w:val="005D06A3"/>
    <w:rsid w:val="005D070F"/>
    <w:rsid w:val="005D0778"/>
    <w:rsid w:val="005D0B24"/>
    <w:rsid w:val="005D1783"/>
    <w:rsid w:val="005D1A20"/>
    <w:rsid w:val="005D1C56"/>
    <w:rsid w:val="005D2440"/>
    <w:rsid w:val="005D250F"/>
    <w:rsid w:val="005D2748"/>
    <w:rsid w:val="005D2D5B"/>
    <w:rsid w:val="005D2F2F"/>
    <w:rsid w:val="005D31B4"/>
    <w:rsid w:val="005D3546"/>
    <w:rsid w:val="005D359A"/>
    <w:rsid w:val="005D3C96"/>
    <w:rsid w:val="005D40DA"/>
    <w:rsid w:val="005D4785"/>
    <w:rsid w:val="005D544E"/>
    <w:rsid w:val="005D5E7C"/>
    <w:rsid w:val="005D60D7"/>
    <w:rsid w:val="005D60F1"/>
    <w:rsid w:val="005D6B21"/>
    <w:rsid w:val="005D6D71"/>
    <w:rsid w:val="005D7392"/>
    <w:rsid w:val="005D750C"/>
    <w:rsid w:val="005D7621"/>
    <w:rsid w:val="005D7AAA"/>
    <w:rsid w:val="005D7AB1"/>
    <w:rsid w:val="005E03AC"/>
    <w:rsid w:val="005E0438"/>
    <w:rsid w:val="005E0591"/>
    <w:rsid w:val="005E08B3"/>
    <w:rsid w:val="005E0A3F"/>
    <w:rsid w:val="005E0B82"/>
    <w:rsid w:val="005E0FED"/>
    <w:rsid w:val="005E1028"/>
    <w:rsid w:val="005E10AA"/>
    <w:rsid w:val="005E10C5"/>
    <w:rsid w:val="005E1191"/>
    <w:rsid w:val="005E1946"/>
    <w:rsid w:val="005E1A9C"/>
    <w:rsid w:val="005E24A6"/>
    <w:rsid w:val="005E27B8"/>
    <w:rsid w:val="005E2C1F"/>
    <w:rsid w:val="005E2C8E"/>
    <w:rsid w:val="005E343B"/>
    <w:rsid w:val="005E34BD"/>
    <w:rsid w:val="005E34E1"/>
    <w:rsid w:val="005E3736"/>
    <w:rsid w:val="005E3C0B"/>
    <w:rsid w:val="005E3F0F"/>
    <w:rsid w:val="005E4162"/>
    <w:rsid w:val="005E4390"/>
    <w:rsid w:val="005E46FE"/>
    <w:rsid w:val="005E4931"/>
    <w:rsid w:val="005E498B"/>
    <w:rsid w:val="005E4AD7"/>
    <w:rsid w:val="005E4BF8"/>
    <w:rsid w:val="005E4CF1"/>
    <w:rsid w:val="005E51A0"/>
    <w:rsid w:val="005E51C7"/>
    <w:rsid w:val="005E54CA"/>
    <w:rsid w:val="005E54F7"/>
    <w:rsid w:val="005E5540"/>
    <w:rsid w:val="005E558B"/>
    <w:rsid w:val="005E560F"/>
    <w:rsid w:val="005E6693"/>
    <w:rsid w:val="005E6883"/>
    <w:rsid w:val="005E6BE6"/>
    <w:rsid w:val="005E6E30"/>
    <w:rsid w:val="005E6E5B"/>
    <w:rsid w:val="005E6F25"/>
    <w:rsid w:val="005E757E"/>
    <w:rsid w:val="005E772F"/>
    <w:rsid w:val="005E7CF7"/>
    <w:rsid w:val="005E7E9C"/>
    <w:rsid w:val="005F01B7"/>
    <w:rsid w:val="005F035D"/>
    <w:rsid w:val="005F06DA"/>
    <w:rsid w:val="005F0746"/>
    <w:rsid w:val="005F0857"/>
    <w:rsid w:val="005F0A6A"/>
    <w:rsid w:val="005F0ACA"/>
    <w:rsid w:val="005F0C5D"/>
    <w:rsid w:val="005F0D14"/>
    <w:rsid w:val="005F11DB"/>
    <w:rsid w:val="005F1263"/>
    <w:rsid w:val="005F14E1"/>
    <w:rsid w:val="005F1AFC"/>
    <w:rsid w:val="005F1CAC"/>
    <w:rsid w:val="005F1D6B"/>
    <w:rsid w:val="005F1E66"/>
    <w:rsid w:val="005F1ED1"/>
    <w:rsid w:val="005F1EE3"/>
    <w:rsid w:val="005F2EF2"/>
    <w:rsid w:val="005F303F"/>
    <w:rsid w:val="005F30D4"/>
    <w:rsid w:val="005F3199"/>
    <w:rsid w:val="005F36F5"/>
    <w:rsid w:val="005F382C"/>
    <w:rsid w:val="005F3934"/>
    <w:rsid w:val="005F3F2F"/>
    <w:rsid w:val="005F434B"/>
    <w:rsid w:val="005F46E8"/>
    <w:rsid w:val="005F4953"/>
    <w:rsid w:val="005F4ACE"/>
    <w:rsid w:val="005F4C5D"/>
    <w:rsid w:val="005F4D65"/>
    <w:rsid w:val="005F4ECA"/>
    <w:rsid w:val="005F4FF8"/>
    <w:rsid w:val="005F5238"/>
    <w:rsid w:val="005F5255"/>
    <w:rsid w:val="005F53A6"/>
    <w:rsid w:val="005F58CF"/>
    <w:rsid w:val="005F598E"/>
    <w:rsid w:val="005F5B67"/>
    <w:rsid w:val="005F625A"/>
    <w:rsid w:val="005F63C8"/>
    <w:rsid w:val="005F675E"/>
    <w:rsid w:val="005F676C"/>
    <w:rsid w:val="005F69C6"/>
    <w:rsid w:val="005F6C10"/>
    <w:rsid w:val="005F76A6"/>
    <w:rsid w:val="005F7C91"/>
    <w:rsid w:val="005F7CA2"/>
    <w:rsid w:val="005FED28"/>
    <w:rsid w:val="006000E8"/>
    <w:rsid w:val="00600397"/>
    <w:rsid w:val="00600713"/>
    <w:rsid w:val="006007E4"/>
    <w:rsid w:val="00600E8A"/>
    <w:rsid w:val="00600F25"/>
    <w:rsid w:val="00601025"/>
    <w:rsid w:val="006010C2"/>
    <w:rsid w:val="00601339"/>
    <w:rsid w:val="00601350"/>
    <w:rsid w:val="00601544"/>
    <w:rsid w:val="00601597"/>
    <w:rsid w:val="00601765"/>
    <w:rsid w:val="00601B41"/>
    <w:rsid w:val="00601B98"/>
    <w:rsid w:val="00601CB3"/>
    <w:rsid w:val="00601EE8"/>
    <w:rsid w:val="00601FA6"/>
    <w:rsid w:val="0060202A"/>
    <w:rsid w:val="00602090"/>
    <w:rsid w:val="0060242E"/>
    <w:rsid w:val="00602587"/>
    <w:rsid w:val="006026A5"/>
    <w:rsid w:val="00602ACD"/>
    <w:rsid w:val="00602B1F"/>
    <w:rsid w:val="00602C19"/>
    <w:rsid w:val="00602C77"/>
    <w:rsid w:val="00603246"/>
    <w:rsid w:val="006032F0"/>
    <w:rsid w:val="00603310"/>
    <w:rsid w:val="0060348B"/>
    <w:rsid w:val="0060351B"/>
    <w:rsid w:val="006038D3"/>
    <w:rsid w:val="00603D2C"/>
    <w:rsid w:val="006041BE"/>
    <w:rsid w:val="0060426C"/>
    <w:rsid w:val="006043C7"/>
    <w:rsid w:val="00604687"/>
    <w:rsid w:val="00604707"/>
    <w:rsid w:val="00604BB0"/>
    <w:rsid w:val="00604E74"/>
    <w:rsid w:val="0060514B"/>
    <w:rsid w:val="0060574F"/>
    <w:rsid w:val="00605B4A"/>
    <w:rsid w:val="00605F90"/>
    <w:rsid w:val="006068D7"/>
    <w:rsid w:val="00606A10"/>
    <w:rsid w:val="00606B66"/>
    <w:rsid w:val="00606C70"/>
    <w:rsid w:val="00606CAE"/>
    <w:rsid w:val="00606F25"/>
    <w:rsid w:val="0060724D"/>
    <w:rsid w:val="006077A6"/>
    <w:rsid w:val="00607970"/>
    <w:rsid w:val="00607A0C"/>
    <w:rsid w:val="00607C10"/>
    <w:rsid w:val="00610071"/>
    <w:rsid w:val="0061057E"/>
    <w:rsid w:val="006110E9"/>
    <w:rsid w:val="00611325"/>
    <w:rsid w:val="0061183E"/>
    <w:rsid w:val="00611C00"/>
    <w:rsid w:val="00611C16"/>
    <w:rsid w:val="00611D44"/>
    <w:rsid w:val="00612826"/>
    <w:rsid w:val="00612950"/>
    <w:rsid w:val="00612A11"/>
    <w:rsid w:val="00612B47"/>
    <w:rsid w:val="00612DA5"/>
    <w:rsid w:val="00613057"/>
    <w:rsid w:val="00613269"/>
    <w:rsid w:val="006132B8"/>
    <w:rsid w:val="00613481"/>
    <w:rsid w:val="00613987"/>
    <w:rsid w:val="00613DF4"/>
    <w:rsid w:val="00613F5C"/>
    <w:rsid w:val="00614034"/>
    <w:rsid w:val="006143BB"/>
    <w:rsid w:val="006145FC"/>
    <w:rsid w:val="00614A59"/>
    <w:rsid w:val="00614F88"/>
    <w:rsid w:val="006150F9"/>
    <w:rsid w:val="00615694"/>
    <w:rsid w:val="006156AB"/>
    <w:rsid w:val="00615A7F"/>
    <w:rsid w:val="00616726"/>
    <w:rsid w:val="00616A01"/>
    <w:rsid w:val="00616BC3"/>
    <w:rsid w:val="00616C3B"/>
    <w:rsid w:val="00616F78"/>
    <w:rsid w:val="00617345"/>
    <w:rsid w:val="00617432"/>
    <w:rsid w:val="006177F6"/>
    <w:rsid w:val="00617D77"/>
    <w:rsid w:val="00617EC9"/>
    <w:rsid w:val="0062022E"/>
    <w:rsid w:val="00620579"/>
    <w:rsid w:val="00620612"/>
    <w:rsid w:val="006207CF"/>
    <w:rsid w:val="00620889"/>
    <w:rsid w:val="00620ADD"/>
    <w:rsid w:val="00620CC8"/>
    <w:rsid w:val="006213A0"/>
    <w:rsid w:val="006213CC"/>
    <w:rsid w:val="00621BE1"/>
    <w:rsid w:val="00621DED"/>
    <w:rsid w:val="00621FC4"/>
    <w:rsid w:val="006221D0"/>
    <w:rsid w:val="0062239D"/>
    <w:rsid w:val="0062239F"/>
    <w:rsid w:val="0062281B"/>
    <w:rsid w:val="0062286A"/>
    <w:rsid w:val="006228BF"/>
    <w:rsid w:val="00622ABB"/>
    <w:rsid w:val="00622E9D"/>
    <w:rsid w:val="006230E5"/>
    <w:rsid w:val="0062310C"/>
    <w:rsid w:val="006236C1"/>
    <w:rsid w:val="00623BCA"/>
    <w:rsid w:val="00623D64"/>
    <w:rsid w:val="00623E68"/>
    <w:rsid w:val="0062430F"/>
    <w:rsid w:val="0062454A"/>
    <w:rsid w:val="006245E0"/>
    <w:rsid w:val="00624B52"/>
    <w:rsid w:val="00624CD4"/>
    <w:rsid w:val="006252AA"/>
    <w:rsid w:val="00625485"/>
    <w:rsid w:val="006259EB"/>
    <w:rsid w:val="00625EE7"/>
    <w:rsid w:val="00626128"/>
    <w:rsid w:val="0062641C"/>
    <w:rsid w:val="006267EA"/>
    <w:rsid w:val="00626825"/>
    <w:rsid w:val="00626B69"/>
    <w:rsid w:val="0062701B"/>
    <w:rsid w:val="00627025"/>
    <w:rsid w:val="006270DC"/>
    <w:rsid w:val="006274F6"/>
    <w:rsid w:val="006277C1"/>
    <w:rsid w:val="00627AA9"/>
    <w:rsid w:val="00627D13"/>
    <w:rsid w:val="00627F19"/>
    <w:rsid w:val="006302FC"/>
    <w:rsid w:val="006303E0"/>
    <w:rsid w:val="006307E3"/>
    <w:rsid w:val="00630955"/>
    <w:rsid w:val="00630A7F"/>
    <w:rsid w:val="00630E48"/>
    <w:rsid w:val="006311B3"/>
    <w:rsid w:val="00631716"/>
    <w:rsid w:val="00631789"/>
    <w:rsid w:val="00631DF4"/>
    <w:rsid w:val="00631EF1"/>
    <w:rsid w:val="006320E6"/>
    <w:rsid w:val="00632343"/>
    <w:rsid w:val="006325F3"/>
    <w:rsid w:val="006327C5"/>
    <w:rsid w:val="00632A14"/>
    <w:rsid w:val="00633054"/>
    <w:rsid w:val="00633081"/>
    <w:rsid w:val="0063332A"/>
    <w:rsid w:val="00633601"/>
    <w:rsid w:val="00633902"/>
    <w:rsid w:val="00633B83"/>
    <w:rsid w:val="00633FCB"/>
    <w:rsid w:val="006340C7"/>
    <w:rsid w:val="00634175"/>
    <w:rsid w:val="006344BD"/>
    <w:rsid w:val="0063499E"/>
    <w:rsid w:val="006349A7"/>
    <w:rsid w:val="00634AB6"/>
    <w:rsid w:val="006351BD"/>
    <w:rsid w:val="00635697"/>
    <w:rsid w:val="0063592C"/>
    <w:rsid w:val="00635AA3"/>
    <w:rsid w:val="00635B67"/>
    <w:rsid w:val="00635C24"/>
    <w:rsid w:val="00635C40"/>
    <w:rsid w:val="00635DD3"/>
    <w:rsid w:val="00635F93"/>
    <w:rsid w:val="006365A1"/>
    <w:rsid w:val="00636809"/>
    <w:rsid w:val="00636877"/>
    <w:rsid w:val="006368DF"/>
    <w:rsid w:val="00636BD4"/>
    <w:rsid w:val="00636F77"/>
    <w:rsid w:val="00636FD6"/>
    <w:rsid w:val="006370EF"/>
    <w:rsid w:val="00637238"/>
    <w:rsid w:val="00637260"/>
    <w:rsid w:val="006374E3"/>
    <w:rsid w:val="00637A15"/>
    <w:rsid w:val="00637BEF"/>
    <w:rsid w:val="00637CAC"/>
    <w:rsid w:val="00637E74"/>
    <w:rsid w:val="006400CC"/>
    <w:rsid w:val="00640349"/>
    <w:rsid w:val="006406D1"/>
    <w:rsid w:val="006408AC"/>
    <w:rsid w:val="00640D2C"/>
    <w:rsid w:val="0064179A"/>
    <w:rsid w:val="00641825"/>
    <w:rsid w:val="006418CD"/>
    <w:rsid w:val="00641A47"/>
    <w:rsid w:val="00641CD4"/>
    <w:rsid w:val="006420CE"/>
    <w:rsid w:val="006425B9"/>
    <w:rsid w:val="006426EC"/>
    <w:rsid w:val="0064280D"/>
    <w:rsid w:val="0064282E"/>
    <w:rsid w:val="00642860"/>
    <w:rsid w:val="0064394C"/>
    <w:rsid w:val="00644444"/>
    <w:rsid w:val="0064464B"/>
    <w:rsid w:val="0064472C"/>
    <w:rsid w:val="00644DB1"/>
    <w:rsid w:val="00644DFD"/>
    <w:rsid w:val="00644E90"/>
    <w:rsid w:val="00645447"/>
    <w:rsid w:val="0064550B"/>
    <w:rsid w:val="00645804"/>
    <w:rsid w:val="0064615B"/>
    <w:rsid w:val="006462A0"/>
    <w:rsid w:val="00646D93"/>
    <w:rsid w:val="0064743A"/>
    <w:rsid w:val="00647BF7"/>
    <w:rsid w:val="00647CEE"/>
    <w:rsid w:val="00647D8A"/>
    <w:rsid w:val="00647DD0"/>
    <w:rsid w:val="0065034F"/>
    <w:rsid w:val="00650562"/>
    <w:rsid w:val="00650827"/>
    <w:rsid w:val="00650EF7"/>
    <w:rsid w:val="006511B6"/>
    <w:rsid w:val="0065124F"/>
    <w:rsid w:val="00651280"/>
    <w:rsid w:val="006518E6"/>
    <w:rsid w:val="006519AD"/>
    <w:rsid w:val="0065246C"/>
    <w:rsid w:val="00652742"/>
    <w:rsid w:val="00652B11"/>
    <w:rsid w:val="006533F6"/>
    <w:rsid w:val="00653794"/>
    <w:rsid w:val="00653B4D"/>
    <w:rsid w:val="00653EEB"/>
    <w:rsid w:val="00653FD7"/>
    <w:rsid w:val="00653FDC"/>
    <w:rsid w:val="00654367"/>
    <w:rsid w:val="00654615"/>
    <w:rsid w:val="0065485B"/>
    <w:rsid w:val="00654887"/>
    <w:rsid w:val="00654E07"/>
    <w:rsid w:val="00654F0E"/>
    <w:rsid w:val="00655004"/>
    <w:rsid w:val="006551EE"/>
    <w:rsid w:val="00655715"/>
    <w:rsid w:val="00655A73"/>
    <w:rsid w:val="00655AAC"/>
    <w:rsid w:val="00655D8D"/>
    <w:rsid w:val="00655DC7"/>
    <w:rsid w:val="00655ED9"/>
    <w:rsid w:val="00656217"/>
    <w:rsid w:val="00656CFC"/>
    <w:rsid w:val="006571CC"/>
    <w:rsid w:val="0065727C"/>
    <w:rsid w:val="006572AD"/>
    <w:rsid w:val="00657754"/>
    <w:rsid w:val="00657867"/>
    <w:rsid w:val="006578D3"/>
    <w:rsid w:val="0065795A"/>
    <w:rsid w:val="00657A26"/>
    <w:rsid w:val="00657CB6"/>
    <w:rsid w:val="00657CD7"/>
    <w:rsid w:val="00657FF8"/>
    <w:rsid w:val="006600A9"/>
    <w:rsid w:val="00660284"/>
    <w:rsid w:val="0066055A"/>
    <w:rsid w:val="0066064D"/>
    <w:rsid w:val="006606C5"/>
    <w:rsid w:val="00660D28"/>
    <w:rsid w:val="006613CF"/>
    <w:rsid w:val="00661E54"/>
    <w:rsid w:val="006622D0"/>
    <w:rsid w:val="0066271E"/>
    <w:rsid w:val="00662B46"/>
    <w:rsid w:val="006630B5"/>
    <w:rsid w:val="0066362A"/>
    <w:rsid w:val="0066392C"/>
    <w:rsid w:val="006641C3"/>
    <w:rsid w:val="006641E6"/>
    <w:rsid w:val="00664549"/>
    <w:rsid w:val="0066495D"/>
    <w:rsid w:val="00664CF2"/>
    <w:rsid w:val="00664EA7"/>
    <w:rsid w:val="00664F86"/>
    <w:rsid w:val="00665E77"/>
    <w:rsid w:val="00666155"/>
    <w:rsid w:val="00666379"/>
    <w:rsid w:val="006665A3"/>
    <w:rsid w:val="006667B8"/>
    <w:rsid w:val="00666CB3"/>
    <w:rsid w:val="006671B0"/>
    <w:rsid w:val="006671E4"/>
    <w:rsid w:val="006676C9"/>
    <w:rsid w:val="00667D88"/>
    <w:rsid w:val="00667DB2"/>
    <w:rsid w:val="006702B0"/>
    <w:rsid w:val="0067052A"/>
    <w:rsid w:val="00670716"/>
    <w:rsid w:val="00670898"/>
    <w:rsid w:val="00670D09"/>
    <w:rsid w:val="00670D99"/>
    <w:rsid w:val="00670E2B"/>
    <w:rsid w:val="00670EBC"/>
    <w:rsid w:val="00670EF1"/>
    <w:rsid w:val="006711FB"/>
    <w:rsid w:val="00671379"/>
    <w:rsid w:val="00671A01"/>
    <w:rsid w:val="00671C71"/>
    <w:rsid w:val="006722E6"/>
    <w:rsid w:val="00672449"/>
    <w:rsid w:val="00672776"/>
    <w:rsid w:val="00672BE2"/>
    <w:rsid w:val="006734BB"/>
    <w:rsid w:val="0067366A"/>
    <w:rsid w:val="00673D07"/>
    <w:rsid w:val="00673EDA"/>
    <w:rsid w:val="00673F5F"/>
    <w:rsid w:val="00674DAD"/>
    <w:rsid w:val="00674E60"/>
    <w:rsid w:val="006750CF"/>
    <w:rsid w:val="00675533"/>
    <w:rsid w:val="006757F7"/>
    <w:rsid w:val="00675D19"/>
    <w:rsid w:val="00675D91"/>
    <w:rsid w:val="006767A6"/>
    <w:rsid w:val="00676BBE"/>
    <w:rsid w:val="00676FEA"/>
    <w:rsid w:val="00677097"/>
    <w:rsid w:val="006775F2"/>
    <w:rsid w:val="00677F4C"/>
    <w:rsid w:val="00680005"/>
    <w:rsid w:val="006808A3"/>
    <w:rsid w:val="00680BD0"/>
    <w:rsid w:val="00680F31"/>
    <w:rsid w:val="00681063"/>
    <w:rsid w:val="006814AC"/>
    <w:rsid w:val="006815CD"/>
    <w:rsid w:val="006816CE"/>
    <w:rsid w:val="00681841"/>
    <w:rsid w:val="00681A34"/>
    <w:rsid w:val="00681BF0"/>
    <w:rsid w:val="006820C5"/>
    <w:rsid w:val="006821EB"/>
    <w:rsid w:val="006822E3"/>
    <w:rsid w:val="00682480"/>
    <w:rsid w:val="00682689"/>
    <w:rsid w:val="00682BB6"/>
    <w:rsid w:val="00682DDA"/>
    <w:rsid w:val="00683042"/>
    <w:rsid w:val="00683293"/>
    <w:rsid w:val="00683564"/>
    <w:rsid w:val="0068362D"/>
    <w:rsid w:val="0068363A"/>
    <w:rsid w:val="006838A7"/>
    <w:rsid w:val="006839F9"/>
    <w:rsid w:val="00683D03"/>
    <w:rsid w:val="00683F7C"/>
    <w:rsid w:val="006840D2"/>
    <w:rsid w:val="006847B7"/>
    <w:rsid w:val="006849C6"/>
    <w:rsid w:val="00684AB4"/>
    <w:rsid w:val="00684DA8"/>
    <w:rsid w:val="00684E98"/>
    <w:rsid w:val="00685211"/>
    <w:rsid w:val="00685244"/>
    <w:rsid w:val="006852D2"/>
    <w:rsid w:val="00685633"/>
    <w:rsid w:val="00685701"/>
    <w:rsid w:val="00685C80"/>
    <w:rsid w:val="00685CBE"/>
    <w:rsid w:val="006860C0"/>
    <w:rsid w:val="006866CD"/>
    <w:rsid w:val="00686999"/>
    <w:rsid w:val="00686BC2"/>
    <w:rsid w:val="00686E84"/>
    <w:rsid w:val="0068717C"/>
    <w:rsid w:val="006871AD"/>
    <w:rsid w:val="006873CE"/>
    <w:rsid w:val="00687571"/>
    <w:rsid w:val="00687648"/>
    <w:rsid w:val="006876EA"/>
    <w:rsid w:val="00687853"/>
    <w:rsid w:val="00687B12"/>
    <w:rsid w:val="00690481"/>
    <w:rsid w:val="006905CC"/>
    <w:rsid w:val="006906D4"/>
    <w:rsid w:val="00690A28"/>
    <w:rsid w:val="00690A47"/>
    <w:rsid w:val="00690A63"/>
    <w:rsid w:val="00690C58"/>
    <w:rsid w:val="006912B8"/>
    <w:rsid w:val="006914ED"/>
    <w:rsid w:val="006915EE"/>
    <w:rsid w:val="00691F7E"/>
    <w:rsid w:val="0069286C"/>
    <w:rsid w:val="00692982"/>
    <w:rsid w:val="006929F9"/>
    <w:rsid w:val="00692B28"/>
    <w:rsid w:val="00692C11"/>
    <w:rsid w:val="00692FCD"/>
    <w:rsid w:val="0069348A"/>
    <w:rsid w:val="006936BF"/>
    <w:rsid w:val="0069385C"/>
    <w:rsid w:val="006939BD"/>
    <w:rsid w:val="0069416F"/>
    <w:rsid w:val="0069420D"/>
    <w:rsid w:val="0069480F"/>
    <w:rsid w:val="00694BE1"/>
    <w:rsid w:val="00694F5F"/>
    <w:rsid w:val="00694F9A"/>
    <w:rsid w:val="006952AD"/>
    <w:rsid w:val="0069554D"/>
    <w:rsid w:val="00695794"/>
    <w:rsid w:val="0069590A"/>
    <w:rsid w:val="00695AEE"/>
    <w:rsid w:val="00695B7D"/>
    <w:rsid w:val="00695E32"/>
    <w:rsid w:val="00696542"/>
    <w:rsid w:val="006971BF"/>
    <w:rsid w:val="006974E0"/>
    <w:rsid w:val="0069767C"/>
    <w:rsid w:val="00697727"/>
    <w:rsid w:val="00697797"/>
    <w:rsid w:val="00697BCC"/>
    <w:rsid w:val="00697FC9"/>
    <w:rsid w:val="006A00BE"/>
    <w:rsid w:val="006A0159"/>
    <w:rsid w:val="006A0255"/>
    <w:rsid w:val="006A02B4"/>
    <w:rsid w:val="006A0428"/>
    <w:rsid w:val="006A056D"/>
    <w:rsid w:val="006A0722"/>
    <w:rsid w:val="006A0BE7"/>
    <w:rsid w:val="006A0DF3"/>
    <w:rsid w:val="006A0E35"/>
    <w:rsid w:val="006A11A4"/>
    <w:rsid w:val="006A1DBD"/>
    <w:rsid w:val="006A1E14"/>
    <w:rsid w:val="006A1FA9"/>
    <w:rsid w:val="006A24C7"/>
    <w:rsid w:val="006A270A"/>
    <w:rsid w:val="006A29D7"/>
    <w:rsid w:val="006A2DEB"/>
    <w:rsid w:val="006A2E2C"/>
    <w:rsid w:val="006A2EF2"/>
    <w:rsid w:val="006A3515"/>
    <w:rsid w:val="006A3603"/>
    <w:rsid w:val="006A3DA6"/>
    <w:rsid w:val="006A4000"/>
    <w:rsid w:val="006A4184"/>
    <w:rsid w:val="006A431D"/>
    <w:rsid w:val="006A4838"/>
    <w:rsid w:val="006A4BA3"/>
    <w:rsid w:val="006A4C18"/>
    <w:rsid w:val="006A4C1D"/>
    <w:rsid w:val="006A4DC6"/>
    <w:rsid w:val="006A4EAC"/>
    <w:rsid w:val="006A4EE9"/>
    <w:rsid w:val="006A4F0F"/>
    <w:rsid w:val="006A50EF"/>
    <w:rsid w:val="006A5189"/>
    <w:rsid w:val="006A51B4"/>
    <w:rsid w:val="006A578A"/>
    <w:rsid w:val="006A5917"/>
    <w:rsid w:val="006A5CD6"/>
    <w:rsid w:val="006A5DF9"/>
    <w:rsid w:val="006A60CC"/>
    <w:rsid w:val="006A6148"/>
    <w:rsid w:val="006A6306"/>
    <w:rsid w:val="006A6580"/>
    <w:rsid w:val="006A65B3"/>
    <w:rsid w:val="006A6838"/>
    <w:rsid w:val="006A6846"/>
    <w:rsid w:val="006A73A8"/>
    <w:rsid w:val="006A755A"/>
    <w:rsid w:val="006A7568"/>
    <w:rsid w:val="006A7760"/>
    <w:rsid w:val="006A7D66"/>
    <w:rsid w:val="006B0577"/>
    <w:rsid w:val="006B06FB"/>
    <w:rsid w:val="006B07F2"/>
    <w:rsid w:val="006B0CA0"/>
    <w:rsid w:val="006B121A"/>
    <w:rsid w:val="006B137E"/>
    <w:rsid w:val="006B1462"/>
    <w:rsid w:val="006B1DE4"/>
    <w:rsid w:val="006B20BC"/>
    <w:rsid w:val="006B2165"/>
    <w:rsid w:val="006B2286"/>
    <w:rsid w:val="006B239F"/>
    <w:rsid w:val="006B24AE"/>
    <w:rsid w:val="006B2741"/>
    <w:rsid w:val="006B292B"/>
    <w:rsid w:val="006B29C6"/>
    <w:rsid w:val="006B2B8F"/>
    <w:rsid w:val="006B2C93"/>
    <w:rsid w:val="006B2CD7"/>
    <w:rsid w:val="006B2D1F"/>
    <w:rsid w:val="006B36AE"/>
    <w:rsid w:val="006B37D3"/>
    <w:rsid w:val="006B3977"/>
    <w:rsid w:val="006B3EB3"/>
    <w:rsid w:val="006B4072"/>
    <w:rsid w:val="006B4284"/>
    <w:rsid w:val="006B42FE"/>
    <w:rsid w:val="006B43A7"/>
    <w:rsid w:val="006B4D5C"/>
    <w:rsid w:val="006B4F94"/>
    <w:rsid w:val="006B504D"/>
    <w:rsid w:val="006B520C"/>
    <w:rsid w:val="006B53D1"/>
    <w:rsid w:val="006B542B"/>
    <w:rsid w:val="006B5477"/>
    <w:rsid w:val="006B5685"/>
    <w:rsid w:val="006B56BB"/>
    <w:rsid w:val="006B5BF5"/>
    <w:rsid w:val="006B5D22"/>
    <w:rsid w:val="006B5D52"/>
    <w:rsid w:val="006B5EB5"/>
    <w:rsid w:val="006B5F06"/>
    <w:rsid w:val="006B63C6"/>
    <w:rsid w:val="006B63D5"/>
    <w:rsid w:val="006B65FB"/>
    <w:rsid w:val="006B6647"/>
    <w:rsid w:val="006B68E6"/>
    <w:rsid w:val="006B6917"/>
    <w:rsid w:val="006B6D6C"/>
    <w:rsid w:val="006B6E3D"/>
    <w:rsid w:val="006B71AB"/>
    <w:rsid w:val="006B74D2"/>
    <w:rsid w:val="006B7796"/>
    <w:rsid w:val="006B77C8"/>
    <w:rsid w:val="006B79BF"/>
    <w:rsid w:val="006B7E59"/>
    <w:rsid w:val="006C00F6"/>
    <w:rsid w:val="006C027C"/>
    <w:rsid w:val="006C037B"/>
    <w:rsid w:val="006C09B6"/>
    <w:rsid w:val="006C0BB5"/>
    <w:rsid w:val="006C0EF9"/>
    <w:rsid w:val="006C0F8E"/>
    <w:rsid w:val="006C12F9"/>
    <w:rsid w:val="006C16EF"/>
    <w:rsid w:val="006C189D"/>
    <w:rsid w:val="006C1EBF"/>
    <w:rsid w:val="006C1EE5"/>
    <w:rsid w:val="006C2188"/>
    <w:rsid w:val="006C21F6"/>
    <w:rsid w:val="006C2382"/>
    <w:rsid w:val="006C24E3"/>
    <w:rsid w:val="006C2AAF"/>
    <w:rsid w:val="006C310B"/>
    <w:rsid w:val="006C355A"/>
    <w:rsid w:val="006C3A50"/>
    <w:rsid w:val="006C426B"/>
    <w:rsid w:val="006C4642"/>
    <w:rsid w:val="006C466F"/>
    <w:rsid w:val="006C477B"/>
    <w:rsid w:val="006C4A2D"/>
    <w:rsid w:val="006C4F68"/>
    <w:rsid w:val="006C5296"/>
    <w:rsid w:val="006C541C"/>
    <w:rsid w:val="006C54CF"/>
    <w:rsid w:val="006C5EAE"/>
    <w:rsid w:val="006C63B1"/>
    <w:rsid w:val="006C6B1B"/>
    <w:rsid w:val="006C6FDE"/>
    <w:rsid w:val="006C716B"/>
    <w:rsid w:val="006C72D9"/>
    <w:rsid w:val="006C730C"/>
    <w:rsid w:val="006C77A8"/>
    <w:rsid w:val="006C7821"/>
    <w:rsid w:val="006C7964"/>
    <w:rsid w:val="006C7B00"/>
    <w:rsid w:val="006C7CAF"/>
    <w:rsid w:val="006C7D4A"/>
    <w:rsid w:val="006C7F15"/>
    <w:rsid w:val="006D05D0"/>
    <w:rsid w:val="006D0B1C"/>
    <w:rsid w:val="006D0C0A"/>
    <w:rsid w:val="006D1285"/>
    <w:rsid w:val="006D1391"/>
    <w:rsid w:val="006D18C4"/>
    <w:rsid w:val="006D1B5D"/>
    <w:rsid w:val="006D1DE0"/>
    <w:rsid w:val="006D1F3E"/>
    <w:rsid w:val="006D20A5"/>
    <w:rsid w:val="006D28B9"/>
    <w:rsid w:val="006D363A"/>
    <w:rsid w:val="006D36CC"/>
    <w:rsid w:val="006D3885"/>
    <w:rsid w:val="006D3CC4"/>
    <w:rsid w:val="006D3FA7"/>
    <w:rsid w:val="006D4098"/>
    <w:rsid w:val="006D430F"/>
    <w:rsid w:val="006D456C"/>
    <w:rsid w:val="006D4AF4"/>
    <w:rsid w:val="006D4BD9"/>
    <w:rsid w:val="006D5E08"/>
    <w:rsid w:val="006D603D"/>
    <w:rsid w:val="006D6E93"/>
    <w:rsid w:val="006D71B6"/>
    <w:rsid w:val="006D71E5"/>
    <w:rsid w:val="006D7292"/>
    <w:rsid w:val="006D7349"/>
    <w:rsid w:val="006D7387"/>
    <w:rsid w:val="006D7681"/>
    <w:rsid w:val="006D78FF"/>
    <w:rsid w:val="006D7A1C"/>
    <w:rsid w:val="006D7B2E"/>
    <w:rsid w:val="006D7CDB"/>
    <w:rsid w:val="006D7D67"/>
    <w:rsid w:val="006E0244"/>
    <w:rsid w:val="006E02EA"/>
    <w:rsid w:val="006E04AA"/>
    <w:rsid w:val="006E0968"/>
    <w:rsid w:val="006E0CE4"/>
    <w:rsid w:val="006E0DE7"/>
    <w:rsid w:val="006E0F94"/>
    <w:rsid w:val="006E1069"/>
    <w:rsid w:val="006E18CD"/>
    <w:rsid w:val="006E19EC"/>
    <w:rsid w:val="006E1A11"/>
    <w:rsid w:val="006E2189"/>
    <w:rsid w:val="006E245E"/>
    <w:rsid w:val="006E27CA"/>
    <w:rsid w:val="006E27F1"/>
    <w:rsid w:val="006E2AF6"/>
    <w:rsid w:val="006E2CEF"/>
    <w:rsid w:val="006E2F2A"/>
    <w:rsid w:val="006E3A27"/>
    <w:rsid w:val="006E3A5A"/>
    <w:rsid w:val="006E3A6B"/>
    <w:rsid w:val="006E429C"/>
    <w:rsid w:val="006E4558"/>
    <w:rsid w:val="006E4BC6"/>
    <w:rsid w:val="006E55F9"/>
    <w:rsid w:val="006E5601"/>
    <w:rsid w:val="006E56E8"/>
    <w:rsid w:val="006E56F2"/>
    <w:rsid w:val="006E66C9"/>
    <w:rsid w:val="006E66F3"/>
    <w:rsid w:val="006E690E"/>
    <w:rsid w:val="006E6D0E"/>
    <w:rsid w:val="006E6E80"/>
    <w:rsid w:val="006E7201"/>
    <w:rsid w:val="006E7D58"/>
    <w:rsid w:val="006E7EB5"/>
    <w:rsid w:val="006F0002"/>
    <w:rsid w:val="006F0378"/>
    <w:rsid w:val="006F04AE"/>
    <w:rsid w:val="006F04F1"/>
    <w:rsid w:val="006F076D"/>
    <w:rsid w:val="006F0CEA"/>
    <w:rsid w:val="006F15F1"/>
    <w:rsid w:val="006F17A4"/>
    <w:rsid w:val="006F23D2"/>
    <w:rsid w:val="006F2477"/>
    <w:rsid w:val="006F24F3"/>
    <w:rsid w:val="006F2730"/>
    <w:rsid w:val="006F301F"/>
    <w:rsid w:val="006F3147"/>
    <w:rsid w:val="006F318B"/>
    <w:rsid w:val="006F35B5"/>
    <w:rsid w:val="006F3848"/>
    <w:rsid w:val="006F3F7C"/>
    <w:rsid w:val="006F447A"/>
    <w:rsid w:val="006F47B8"/>
    <w:rsid w:val="006F4CF8"/>
    <w:rsid w:val="006F4D2C"/>
    <w:rsid w:val="006F4DDE"/>
    <w:rsid w:val="006F4EB7"/>
    <w:rsid w:val="006F5157"/>
    <w:rsid w:val="006F5392"/>
    <w:rsid w:val="006F58DC"/>
    <w:rsid w:val="006F60AF"/>
    <w:rsid w:val="006F6C3D"/>
    <w:rsid w:val="006F7057"/>
    <w:rsid w:val="0070001A"/>
    <w:rsid w:val="007001BC"/>
    <w:rsid w:val="00700212"/>
    <w:rsid w:val="007002BE"/>
    <w:rsid w:val="0070055E"/>
    <w:rsid w:val="0070063E"/>
    <w:rsid w:val="007006D7"/>
    <w:rsid w:val="00700A81"/>
    <w:rsid w:val="00700DAC"/>
    <w:rsid w:val="00701067"/>
    <w:rsid w:val="00701175"/>
    <w:rsid w:val="00701275"/>
    <w:rsid w:val="0070185F"/>
    <w:rsid w:val="00701986"/>
    <w:rsid w:val="00702262"/>
    <w:rsid w:val="007022BB"/>
    <w:rsid w:val="0070230C"/>
    <w:rsid w:val="00702C29"/>
    <w:rsid w:val="00702F3F"/>
    <w:rsid w:val="00703089"/>
    <w:rsid w:val="0070310B"/>
    <w:rsid w:val="00703216"/>
    <w:rsid w:val="00703379"/>
    <w:rsid w:val="00703BDA"/>
    <w:rsid w:val="00703C1A"/>
    <w:rsid w:val="00703DB4"/>
    <w:rsid w:val="00703E4A"/>
    <w:rsid w:val="007043DA"/>
    <w:rsid w:val="00704776"/>
    <w:rsid w:val="00704B5A"/>
    <w:rsid w:val="00704D46"/>
    <w:rsid w:val="00704F66"/>
    <w:rsid w:val="007052C2"/>
    <w:rsid w:val="00705413"/>
    <w:rsid w:val="00705C79"/>
    <w:rsid w:val="007062D9"/>
    <w:rsid w:val="007069C6"/>
    <w:rsid w:val="00706BBA"/>
    <w:rsid w:val="00706BCE"/>
    <w:rsid w:val="00706DCC"/>
    <w:rsid w:val="00706F94"/>
    <w:rsid w:val="0070720A"/>
    <w:rsid w:val="0070754B"/>
    <w:rsid w:val="00707729"/>
    <w:rsid w:val="00707AE5"/>
    <w:rsid w:val="00707B3E"/>
    <w:rsid w:val="00707F39"/>
    <w:rsid w:val="00707F56"/>
    <w:rsid w:val="0071076B"/>
    <w:rsid w:val="00710A5A"/>
    <w:rsid w:val="007110EF"/>
    <w:rsid w:val="0071110B"/>
    <w:rsid w:val="0071113A"/>
    <w:rsid w:val="0071125A"/>
    <w:rsid w:val="007112E9"/>
    <w:rsid w:val="007114CA"/>
    <w:rsid w:val="00711818"/>
    <w:rsid w:val="00711913"/>
    <w:rsid w:val="00711A9F"/>
    <w:rsid w:val="00711C8C"/>
    <w:rsid w:val="00711D61"/>
    <w:rsid w:val="00712764"/>
    <w:rsid w:val="00713072"/>
    <w:rsid w:val="00713558"/>
    <w:rsid w:val="007135E4"/>
    <w:rsid w:val="00713DA3"/>
    <w:rsid w:val="00713DE6"/>
    <w:rsid w:val="00713DEA"/>
    <w:rsid w:val="00714177"/>
    <w:rsid w:val="00714266"/>
    <w:rsid w:val="00714396"/>
    <w:rsid w:val="007148BD"/>
    <w:rsid w:val="00714911"/>
    <w:rsid w:val="007149DB"/>
    <w:rsid w:val="00714AAF"/>
    <w:rsid w:val="00714C18"/>
    <w:rsid w:val="00714DE4"/>
    <w:rsid w:val="007154D7"/>
    <w:rsid w:val="00715C1B"/>
    <w:rsid w:val="00715FDC"/>
    <w:rsid w:val="0071600C"/>
    <w:rsid w:val="007160A2"/>
    <w:rsid w:val="0071667F"/>
    <w:rsid w:val="007166AF"/>
    <w:rsid w:val="0071676F"/>
    <w:rsid w:val="00716AF7"/>
    <w:rsid w:val="00716EC4"/>
    <w:rsid w:val="007173F2"/>
    <w:rsid w:val="007176DB"/>
    <w:rsid w:val="00717CAB"/>
    <w:rsid w:val="007200B4"/>
    <w:rsid w:val="00720220"/>
    <w:rsid w:val="00720333"/>
    <w:rsid w:val="00720561"/>
    <w:rsid w:val="00720AE4"/>
    <w:rsid w:val="00720C7F"/>
    <w:rsid w:val="00720C9E"/>
    <w:rsid w:val="00720D08"/>
    <w:rsid w:val="007211DA"/>
    <w:rsid w:val="00721687"/>
    <w:rsid w:val="00721B9A"/>
    <w:rsid w:val="00721F32"/>
    <w:rsid w:val="007222A6"/>
    <w:rsid w:val="00722425"/>
    <w:rsid w:val="00722D16"/>
    <w:rsid w:val="007232C7"/>
    <w:rsid w:val="007233A4"/>
    <w:rsid w:val="007234F3"/>
    <w:rsid w:val="00723946"/>
    <w:rsid w:val="00723CCC"/>
    <w:rsid w:val="00723CF5"/>
    <w:rsid w:val="0072402D"/>
    <w:rsid w:val="00724150"/>
    <w:rsid w:val="00724501"/>
    <w:rsid w:val="00724560"/>
    <w:rsid w:val="0072487C"/>
    <w:rsid w:val="0072514C"/>
    <w:rsid w:val="00725B8A"/>
    <w:rsid w:val="00725DFF"/>
    <w:rsid w:val="00726027"/>
    <w:rsid w:val="007262DF"/>
    <w:rsid w:val="007263B9"/>
    <w:rsid w:val="007267D6"/>
    <w:rsid w:val="0072695F"/>
    <w:rsid w:val="00727361"/>
    <w:rsid w:val="007274DF"/>
    <w:rsid w:val="00727558"/>
    <w:rsid w:val="007275A2"/>
    <w:rsid w:val="00727D10"/>
    <w:rsid w:val="00727FB1"/>
    <w:rsid w:val="007302C9"/>
    <w:rsid w:val="007302E4"/>
    <w:rsid w:val="007302E6"/>
    <w:rsid w:val="00730542"/>
    <w:rsid w:val="007306E4"/>
    <w:rsid w:val="00730B54"/>
    <w:rsid w:val="0073128A"/>
    <w:rsid w:val="007315DA"/>
    <w:rsid w:val="007317F8"/>
    <w:rsid w:val="00731A67"/>
    <w:rsid w:val="00731AC4"/>
    <w:rsid w:val="00731B0F"/>
    <w:rsid w:val="00731D2C"/>
    <w:rsid w:val="00731D49"/>
    <w:rsid w:val="00731E10"/>
    <w:rsid w:val="00731F3A"/>
    <w:rsid w:val="00731FA4"/>
    <w:rsid w:val="007321C6"/>
    <w:rsid w:val="007325E3"/>
    <w:rsid w:val="007325FC"/>
    <w:rsid w:val="00732821"/>
    <w:rsid w:val="00732E97"/>
    <w:rsid w:val="00732F96"/>
    <w:rsid w:val="00733314"/>
    <w:rsid w:val="00733368"/>
    <w:rsid w:val="007334F8"/>
    <w:rsid w:val="0073356E"/>
    <w:rsid w:val="007339CD"/>
    <w:rsid w:val="00733C39"/>
    <w:rsid w:val="00733E31"/>
    <w:rsid w:val="00733EBD"/>
    <w:rsid w:val="007342A6"/>
    <w:rsid w:val="00734D80"/>
    <w:rsid w:val="00734EAC"/>
    <w:rsid w:val="00734EFA"/>
    <w:rsid w:val="00735019"/>
    <w:rsid w:val="00735233"/>
    <w:rsid w:val="00735428"/>
    <w:rsid w:val="00735692"/>
    <w:rsid w:val="007359D8"/>
    <w:rsid w:val="00735A63"/>
    <w:rsid w:val="00735BFC"/>
    <w:rsid w:val="00735D08"/>
    <w:rsid w:val="007362D4"/>
    <w:rsid w:val="00736408"/>
    <w:rsid w:val="007364BE"/>
    <w:rsid w:val="00736B60"/>
    <w:rsid w:val="00736BC6"/>
    <w:rsid w:val="00736CEA"/>
    <w:rsid w:val="00736D85"/>
    <w:rsid w:val="00737353"/>
    <w:rsid w:val="00737566"/>
    <w:rsid w:val="00740215"/>
    <w:rsid w:val="00740801"/>
    <w:rsid w:val="00740DF7"/>
    <w:rsid w:val="00740E7C"/>
    <w:rsid w:val="00740EB1"/>
    <w:rsid w:val="007417AC"/>
    <w:rsid w:val="0074267D"/>
    <w:rsid w:val="00742B54"/>
    <w:rsid w:val="00742CB3"/>
    <w:rsid w:val="007432C2"/>
    <w:rsid w:val="00743BFA"/>
    <w:rsid w:val="00743DDD"/>
    <w:rsid w:val="00744216"/>
    <w:rsid w:val="0074425C"/>
    <w:rsid w:val="0074452E"/>
    <w:rsid w:val="007448C3"/>
    <w:rsid w:val="00744905"/>
    <w:rsid w:val="00744A9A"/>
    <w:rsid w:val="00744F83"/>
    <w:rsid w:val="0074535D"/>
    <w:rsid w:val="0074542B"/>
    <w:rsid w:val="00745AC4"/>
    <w:rsid w:val="00745C5C"/>
    <w:rsid w:val="00745D29"/>
    <w:rsid w:val="00745E94"/>
    <w:rsid w:val="00745F38"/>
    <w:rsid w:val="0074604A"/>
    <w:rsid w:val="0074670A"/>
    <w:rsid w:val="00746729"/>
    <w:rsid w:val="0074686D"/>
    <w:rsid w:val="007470C4"/>
    <w:rsid w:val="00747515"/>
    <w:rsid w:val="00747E24"/>
    <w:rsid w:val="00747FB6"/>
    <w:rsid w:val="007500A6"/>
    <w:rsid w:val="00750332"/>
    <w:rsid w:val="00751140"/>
    <w:rsid w:val="007511AB"/>
    <w:rsid w:val="007513F4"/>
    <w:rsid w:val="0075149B"/>
    <w:rsid w:val="007514E1"/>
    <w:rsid w:val="007519DD"/>
    <w:rsid w:val="00751A23"/>
    <w:rsid w:val="00751DCC"/>
    <w:rsid w:val="00751DE0"/>
    <w:rsid w:val="00751E03"/>
    <w:rsid w:val="0075233D"/>
    <w:rsid w:val="00752AEE"/>
    <w:rsid w:val="00753060"/>
    <w:rsid w:val="007530A7"/>
    <w:rsid w:val="0075331D"/>
    <w:rsid w:val="007533FB"/>
    <w:rsid w:val="0075351E"/>
    <w:rsid w:val="0075354C"/>
    <w:rsid w:val="00753ABE"/>
    <w:rsid w:val="00753BA1"/>
    <w:rsid w:val="00753BE4"/>
    <w:rsid w:val="00754071"/>
    <w:rsid w:val="00754479"/>
    <w:rsid w:val="0075463F"/>
    <w:rsid w:val="00754A2B"/>
    <w:rsid w:val="00754D7D"/>
    <w:rsid w:val="00755375"/>
    <w:rsid w:val="0075564C"/>
    <w:rsid w:val="0075566B"/>
    <w:rsid w:val="007559A1"/>
    <w:rsid w:val="00755FA1"/>
    <w:rsid w:val="007563FF"/>
    <w:rsid w:val="0075696D"/>
    <w:rsid w:val="007570CD"/>
    <w:rsid w:val="007575AA"/>
    <w:rsid w:val="007577F6"/>
    <w:rsid w:val="00757E26"/>
    <w:rsid w:val="00757E28"/>
    <w:rsid w:val="0076002A"/>
    <w:rsid w:val="00760093"/>
    <w:rsid w:val="007604F4"/>
    <w:rsid w:val="007605B8"/>
    <w:rsid w:val="0076099A"/>
    <w:rsid w:val="007609CA"/>
    <w:rsid w:val="00760A3A"/>
    <w:rsid w:val="00760BBF"/>
    <w:rsid w:val="00760F24"/>
    <w:rsid w:val="00760FA3"/>
    <w:rsid w:val="0076184E"/>
    <w:rsid w:val="007623BD"/>
    <w:rsid w:val="0076260E"/>
    <w:rsid w:val="00762AD1"/>
    <w:rsid w:val="00762E76"/>
    <w:rsid w:val="00762EAC"/>
    <w:rsid w:val="007635C9"/>
    <w:rsid w:val="00763BD5"/>
    <w:rsid w:val="00763E32"/>
    <w:rsid w:val="00763FF2"/>
    <w:rsid w:val="007640C4"/>
    <w:rsid w:val="00764159"/>
    <w:rsid w:val="00764494"/>
    <w:rsid w:val="0076482E"/>
    <w:rsid w:val="00765860"/>
    <w:rsid w:val="00765CBB"/>
    <w:rsid w:val="0076672A"/>
    <w:rsid w:val="00766CF4"/>
    <w:rsid w:val="00766D03"/>
    <w:rsid w:val="00766FF1"/>
    <w:rsid w:val="0076716E"/>
    <w:rsid w:val="007672C9"/>
    <w:rsid w:val="00767474"/>
    <w:rsid w:val="0076758F"/>
    <w:rsid w:val="0076765B"/>
    <w:rsid w:val="00767B39"/>
    <w:rsid w:val="00767C72"/>
    <w:rsid w:val="00767C89"/>
    <w:rsid w:val="00767DB3"/>
    <w:rsid w:val="00767DD5"/>
    <w:rsid w:val="00770204"/>
    <w:rsid w:val="007705DD"/>
    <w:rsid w:val="00770BF2"/>
    <w:rsid w:val="00770E4C"/>
    <w:rsid w:val="00771749"/>
    <w:rsid w:val="00772001"/>
    <w:rsid w:val="00772070"/>
    <w:rsid w:val="007720A6"/>
    <w:rsid w:val="007720AA"/>
    <w:rsid w:val="007720FB"/>
    <w:rsid w:val="007721C1"/>
    <w:rsid w:val="00772392"/>
    <w:rsid w:val="0077265E"/>
    <w:rsid w:val="007729E8"/>
    <w:rsid w:val="00772F71"/>
    <w:rsid w:val="00773195"/>
    <w:rsid w:val="00773235"/>
    <w:rsid w:val="007733DB"/>
    <w:rsid w:val="007735B3"/>
    <w:rsid w:val="00773C92"/>
    <w:rsid w:val="00773C95"/>
    <w:rsid w:val="007741C9"/>
    <w:rsid w:val="0077451C"/>
    <w:rsid w:val="0077466B"/>
    <w:rsid w:val="007747EA"/>
    <w:rsid w:val="00774861"/>
    <w:rsid w:val="007754AF"/>
    <w:rsid w:val="0077564A"/>
    <w:rsid w:val="00775965"/>
    <w:rsid w:val="007759B5"/>
    <w:rsid w:val="00775B35"/>
    <w:rsid w:val="00775D47"/>
    <w:rsid w:val="00775E45"/>
    <w:rsid w:val="00775F51"/>
    <w:rsid w:val="00776396"/>
    <w:rsid w:val="007763F5"/>
    <w:rsid w:val="0077652C"/>
    <w:rsid w:val="0077652F"/>
    <w:rsid w:val="0077653A"/>
    <w:rsid w:val="0077672F"/>
    <w:rsid w:val="0077681C"/>
    <w:rsid w:val="007768D5"/>
    <w:rsid w:val="00776B65"/>
    <w:rsid w:val="00776E74"/>
    <w:rsid w:val="0077709A"/>
    <w:rsid w:val="007771B3"/>
    <w:rsid w:val="0077722F"/>
    <w:rsid w:val="00777430"/>
    <w:rsid w:val="00777444"/>
    <w:rsid w:val="0077779A"/>
    <w:rsid w:val="0077794C"/>
    <w:rsid w:val="00777C33"/>
    <w:rsid w:val="00777E7F"/>
    <w:rsid w:val="00777EF7"/>
    <w:rsid w:val="00780055"/>
    <w:rsid w:val="007800AB"/>
    <w:rsid w:val="007808D8"/>
    <w:rsid w:val="007809AC"/>
    <w:rsid w:val="00780C09"/>
    <w:rsid w:val="00781470"/>
    <w:rsid w:val="00781739"/>
    <w:rsid w:val="007817A6"/>
    <w:rsid w:val="00781A6E"/>
    <w:rsid w:val="00781BBC"/>
    <w:rsid w:val="00781F75"/>
    <w:rsid w:val="00781F83"/>
    <w:rsid w:val="007822BF"/>
    <w:rsid w:val="00782CE9"/>
    <w:rsid w:val="00782E70"/>
    <w:rsid w:val="00782EF3"/>
    <w:rsid w:val="0078342B"/>
    <w:rsid w:val="00783755"/>
    <w:rsid w:val="00783764"/>
    <w:rsid w:val="00783769"/>
    <w:rsid w:val="00783988"/>
    <w:rsid w:val="00783E38"/>
    <w:rsid w:val="0078497E"/>
    <w:rsid w:val="00785169"/>
    <w:rsid w:val="00785499"/>
    <w:rsid w:val="00785D3E"/>
    <w:rsid w:val="0078640D"/>
    <w:rsid w:val="0078687D"/>
    <w:rsid w:val="007869D9"/>
    <w:rsid w:val="00786CB2"/>
    <w:rsid w:val="00786EA2"/>
    <w:rsid w:val="00787702"/>
    <w:rsid w:val="00787714"/>
    <w:rsid w:val="00787926"/>
    <w:rsid w:val="00787964"/>
    <w:rsid w:val="00787B68"/>
    <w:rsid w:val="00790138"/>
    <w:rsid w:val="0079024C"/>
    <w:rsid w:val="00790A92"/>
    <w:rsid w:val="00790B4D"/>
    <w:rsid w:val="00790D59"/>
    <w:rsid w:val="00790E0D"/>
    <w:rsid w:val="00790F0D"/>
    <w:rsid w:val="00791843"/>
    <w:rsid w:val="007919D7"/>
    <w:rsid w:val="00791B8A"/>
    <w:rsid w:val="00791D78"/>
    <w:rsid w:val="00791F87"/>
    <w:rsid w:val="0079234A"/>
    <w:rsid w:val="007927C6"/>
    <w:rsid w:val="007927E4"/>
    <w:rsid w:val="00793494"/>
    <w:rsid w:val="00793575"/>
    <w:rsid w:val="007937D3"/>
    <w:rsid w:val="00793A60"/>
    <w:rsid w:val="00793C72"/>
    <w:rsid w:val="00793C85"/>
    <w:rsid w:val="00794221"/>
    <w:rsid w:val="00794306"/>
    <w:rsid w:val="007945AF"/>
    <w:rsid w:val="007946A4"/>
    <w:rsid w:val="00794C9B"/>
    <w:rsid w:val="007954AB"/>
    <w:rsid w:val="007956D5"/>
    <w:rsid w:val="007958DB"/>
    <w:rsid w:val="007966C2"/>
    <w:rsid w:val="00796861"/>
    <w:rsid w:val="0079721D"/>
    <w:rsid w:val="0079747C"/>
    <w:rsid w:val="00797501"/>
    <w:rsid w:val="0079767F"/>
    <w:rsid w:val="007976EB"/>
    <w:rsid w:val="00797743"/>
    <w:rsid w:val="0079778E"/>
    <w:rsid w:val="00797A6C"/>
    <w:rsid w:val="00797E9C"/>
    <w:rsid w:val="00797F29"/>
    <w:rsid w:val="007A0025"/>
    <w:rsid w:val="007A0843"/>
    <w:rsid w:val="007A0B94"/>
    <w:rsid w:val="007A0C05"/>
    <w:rsid w:val="007A1164"/>
    <w:rsid w:val="007A1229"/>
    <w:rsid w:val="007A13FA"/>
    <w:rsid w:val="007A14C5"/>
    <w:rsid w:val="007A1525"/>
    <w:rsid w:val="007A1613"/>
    <w:rsid w:val="007A1665"/>
    <w:rsid w:val="007A16EE"/>
    <w:rsid w:val="007A1A57"/>
    <w:rsid w:val="007A1B59"/>
    <w:rsid w:val="007A1DDB"/>
    <w:rsid w:val="007A2519"/>
    <w:rsid w:val="007A26C8"/>
    <w:rsid w:val="007A2740"/>
    <w:rsid w:val="007A2A24"/>
    <w:rsid w:val="007A2E1E"/>
    <w:rsid w:val="007A2E2F"/>
    <w:rsid w:val="007A2FCF"/>
    <w:rsid w:val="007A35B6"/>
    <w:rsid w:val="007A38BE"/>
    <w:rsid w:val="007A3A00"/>
    <w:rsid w:val="007A3ACA"/>
    <w:rsid w:val="007A3D72"/>
    <w:rsid w:val="007A3DEE"/>
    <w:rsid w:val="007A3E38"/>
    <w:rsid w:val="007A40FD"/>
    <w:rsid w:val="007A43A0"/>
    <w:rsid w:val="007A4404"/>
    <w:rsid w:val="007A44D7"/>
    <w:rsid w:val="007A4847"/>
    <w:rsid w:val="007A484B"/>
    <w:rsid w:val="007A4A06"/>
    <w:rsid w:val="007A4A10"/>
    <w:rsid w:val="007A4D12"/>
    <w:rsid w:val="007A5264"/>
    <w:rsid w:val="007A558B"/>
    <w:rsid w:val="007A58EA"/>
    <w:rsid w:val="007A5AE2"/>
    <w:rsid w:val="007A5CC9"/>
    <w:rsid w:val="007A5F15"/>
    <w:rsid w:val="007A6384"/>
    <w:rsid w:val="007A663C"/>
    <w:rsid w:val="007A6863"/>
    <w:rsid w:val="007A6C7A"/>
    <w:rsid w:val="007A6EB9"/>
    <w:rsid w:val="007A7504"/>
    <w:rsid w:val="007A7C3D"/>
    <w:rsid w:val="007B0160"/>
    <w:rsid w:val="007B0243"/>
    <w:rsid w:val="007B04A1"/>
    <w:rsid w:val="007B0B98"/>
    <w:rsid w:val="007B102A"/>
    <w:rsid w:val="007B1065"/>
    <w:rsid w:val="007B1161"/>
    <w:rsid w:val="007B13C2"/>
    <w:rsid w:val="007B16A3"/>
    <w:rsid w:val="007B1760"/>
    <w:rsid w:val="007B1907"/>
    <w:rsid w:val="007B1CE5"/>
    <w:rsid w:val="007B1E1A"/>
    <w:rsid w:val="007B2464"/>
    <w:rsid w:val="007B2536"/>
    <w:rsid w:val="007B2AAA"/>
    <w:rsid w:val="007B2AF1"/>
    <w:rsid w:val="007B3172"/>
    <w:rsid w:val="007B3462"/>
    <w:rsid w:val="007B3AF2"/>
    <w:rsid w:val="007B3B70"/>
    <w:rsid w:val="007B3CCE"/>
    <w:rsid w:val="007B3EC5"/>
    <w:rsid w:val="007B42B4"/>
    <w:rsid w:val="007B492A"/>
    <w:rsid w:val="007B4AB4"/>
    <w:rsid w:val="007B500C"/>
    <w:rsid w:val="007B50AE"/>
    <w:rsid w:val="007B50BA"/>
    <w:rsid w:val="007B537D"/>
    <w:rsid w:val="007B54BA"/>
    <w:rsid w:val="007B5535"/>
    <w:rsid w:val="007B56F1"/>
    <w:rsid w:val="007B5713"/>
    <w:rsid w:val="007B5888"/>
    <w:rsid w:val="007B5B0B"/>
    <w:rsid w:val="007B5EFA"/>
    <w:rsid w:val="007B6208"/>
    <w:rsid w:val="007B634F"/>
    <w:rsid w:val="007B6396"/>
    <w:rsid w:val="007B6539"/>
    <w:rsid w:val="007B67A3"/>
    <w:rsid w:val="007B7410"/>
    <w:rsid w:val="007B76EE"/>
    <w:rsid w:val="007B7DDC"/>
    <w:rsid w:val="007B7E24"/>
    <w:rsid w:val="007B7EF1"/>
    <w:rsid w:val="007C003F"/>
    <w:rsid w:val="007C0243"/>
    <w:rsid w:val="007C030F"/>
    <w:rsid w:val="007C0321"/>
    <w:rsid w:val="007C03FA"/>
    <w:rsid w:val="007C069C"/>
    <w:rsid w:val="007C0B24"/>
    <w:rsid w:val="007C0FD7"/>
    <w:rsid w:val="007C1439"/>
    <w:rsid w:val="007C14BF"/>
    <w:rsid w:val="007C15B8"/>
    <w:rsid w:val="007C1F68"/>
    <w:rsid w:val="007C240A"/>
    <w:rsid w:val="007C2499"/>
    <w:rsid w:val="007C3091"/>
    <w:rsid w:val="007C3127"/>
    <w:rsid w:val="007C315A"/>
    <w:rsid w:val="007C36AF"/>
    <w:rsid w:val="007C3B3D"/>
    <w:rsid w:val="007C3E7D"/>
    <w:rsid w:val="007C3F53"/>
    <w:rsid w:val="007C465C"/>
    <w:rsid w:val="007C46C3"/>
    <w:rsid w:val="007C4763"/>
    <w:rsid w:val="007C4A1E"/>
    <w:rsid w:val="007C4AFA"/>
    <w:rsid w:val="007C4BF2"/>
    <w:rsid w:val="007C51D6"/>
    <w:rsid w:val="007C5244"/>
    <w:rsid w:val="007C52C8"/>
    <w:rsid w:val="007C582F"/>
    <w:rsid w:val="007C5A6F"/>
    <w:rsid w:val="007C5D20"/>
    <w:rsid w:val="007C5F78"/>
    <w:rsid w:val="007C61F3"/>
    <w:rsid w:val="007C6351"/>
    <w:rsid w:val="007C638C"/>
    <w:rsid w:val="007C6D9C"/>
    <w:rsid w:val="007C6F7A"/>
    <w:rsid w:val="007C6F98"/>
    <w:rsid w:val="007C6FE6"/>
    <w:rsid w:val="007C7046"/>
    <w:rsid w:val="007C753B"/>
    <w:rsid w:val="007C7547"/>
    <w:rsid w:val="007C79FF"/>
    <w:rsid w:val="007C7DDB"/>
    <w:rsid w:val="007C7E31"/>
    <w:rsid w:val="007C7E4A"/>
    <w:rsid w:val="007D00CD"/>
    <w:rsid w:val="007D00CE"/>
    <w:rsid w:val="007D0134"/>
    <w:rsid w:val="007D08E6"/>
    <w:rsid w:val="007D08ED"/>
    <w:rsid w:val="007D0C9A"/>
    <w:rsid w:val="007D131E"/>
    <w:rsid w:val="007D1C75"/>
    <w:rsid w:val="007D1CD4"/>
    <w:rsid w:val="007D203A"/>
    <w:rsid w:val="007D217D"/>
    <w:rsid w:val="007D2BC7"/>
    <w:rsid w:val="007D2C08"/>
    <w:rsid w:val="007D2CC7"/>
    <w:rsid w:val="007D3409"/>
    <w:rsid w:val="007D34E1"/>
    <w:rsid w:val="007D3564"/>
    <w:rsid w:val="007D37A5"/>
    <w:rsid w:val="007D37A8"/>
    <w:rsid w:val="007D3F7A"/>
    <w:rsid w:val="007D4684"/>
    <w:rsid w:val="007D46CB"/>
    <w:rsid w:val="007D491A"/>
    <w:rsid w:val="007D4ACF"/>
    <w:rsid w:val="007D4B4D"/>
    <w:rsid w:val="007D4C2C"/>
    <w:rsid w:val="007D5264"/>
    <w:rsid w:val="007D5A75"/>
    <w:rsid w:val="007D5E9F"/>
    <w:rsid w:val="007D673D"/>
    <w:rsid w:val="007D67E4"/>
    <w:rsid w:val="007D68E5"/>
    <w:rsid w:val="007D6C17"/>
    <w:rsid w:val="007D6C91"/>
    <w:rsid w:val="007D7305"/>
    <w:rsid w:val="007D734B"/>
    <w:rsid w:val="007D7579"/>
    <w:rsid w:val="007D767F"/>
    <w:rsid w:val="007D7D3A"/>
    <w:rsid w:val="007E00EC"/>
    <w:rsid w:val="007E02F5"/>
    <w:rsid w:val="007E046D"/>
    <w:rsid w:val="007E05A7"/>
    <w:rsid w:val="007E0A43"/>
    <w:rsid w:val="007E0AB1"/>
    <w:rsid w:val="007E0E56"/>
    <w:rsid w:val="007E11ED"/>
    <w:rsid w:val="007E1727"/>
    <w:rsid w:val="007E19BC"/>
    <w:rsid w:val="007E1DF1"/>
    <w:rsid w:val="007E257D"/>
    <w:rsid w:val="007E2726"/>
    <w:rsid w:val="007E279B"/>
    <w:rsid w:val="007E2B03"/>
    <w:rsid w:val="007E2D52"/>
    <w:rsid w:val="007E2E53"/>
    <w:rsid w:val="007E3194"/>
    <w:rsid w:val="007E35B0"/>
    <w:rsid w:val="007E3A50"/>
    <w:rsid w:val="007E3C10"/>
    <w:rsid w:val="007E3C22"/>
    <w:rsid w:val="007E3C4B"/>
    <w:rsid w:val="007E4187"/>
    <w:rsid w:val="007E43E8"/>
    <w:rsid w:val="007E46A3"/>
    <w:rsid w:val="007E4865"/>
    <w:rsid w:val="007E498B"/>
    <w:rsid w:val="007E4D7D"/>
    <w:rsid w:val="007E5169"/>
    <w:rsid w:val="007E51C6"/>
    <w:rsid w:val="007E52CE"/>
    <w:rsid w:val="007E5940"/>
    <w:rsid w:val="007E5AD6"/>
    <w:rsid w:val="007E5CDF"/>
    <w:rsid w:val="007E6004"/>
    <w:rsid w:val="007E6082"/>
    <w:rsid w:val="007E616E"/>
    <w:rsid w:val="007E6390"/>
    <w:rsid w:val="007E6409"/>
    <w:rsid w:val="007E640C"/>
    <w:rsid w:val="007E6724"/>
    <w:rsid w:val="007E6F28"/>
    <w:rsid w:val="007E7024"/>
    <w:rsid w:val="007E74EE"/>
    <w:rsid w:val="007E78DF"/>
    <w:rsid w:val="007E7F91"/>
    <w:rsid w:val="007E8F4A"/>
    <w:rsid w:val="007F0217"/>
    <w:rsid w:val="007F0401"/>
    <w:rsid w:val="007F0442"/>
    <w:rsid w:val="007F065D"/>
    <w:rsid w:val="007F0A31"/>
    <w:rsid w:val="007F0D8D"/>
    <w:rsid w:val="007F1359"/>
    <w:rsid w:val="007F135D"/>
    <w:rsid w:val="007F153C"/>
    <w:rsid w:val="007F1A66"/>
    <w:rsid w:val="007F1C45"/>
    <w:rsid w:val="007F1E37"/>
    <w:rsid w:val="007F1E93"/>
    <w:rsid w:val="007F206B"/>
    <w:rsid w:val="007F2220"/>
    <w:rsid w:val="007F2324"/>
    <w:rsid w:val="007F26CB"/>
    <w:rsid w:val="007F2B41"/>
    <w:rsid w:val="007F2BE9"/>
    <w:rsid w:val="007F2DC1"/>
    <w:rsid w:val="007F2EB1"/>
    <w:rsid w:val="007F3442"/>
    <w:rsid w:val="007F369B"/>
    <w:rsid w:val="007F3F43"/>
    <w:rsid w:val="007F4884"/>
    <w:rsid w:val="007F4A7B"/>
    <w:rsid w:val="007F4B3E"/>
    <w:rsid w:val="007F4BC8"/>
    <w:rsid w:val="007F5359"/>
    <w:rsid w:val="007F5444"/>
    <w:rsid w:val="007F55DF"/>
    <w:rsid w:val="007F588A"/>
    <w:rsid w:val="007F5938"/>
    <w:rsid w:val="007F5BC1"/>
    <w:rsid w:val="007F5C91"/>
    <w:rsid w:val="007F5CA5"/>
    <w:rsid w:val="007F5EAB"/>
    <w:rsid w:val="007F6037"/>
    <w:rsid w:val="007F60FA"/>
    <w:rsid w:val="007F6271"/>
    <w:rsid w:val="007F62B7"/>
    <w:rsid w:val="007F70DE"/>
    <w:rsid w:val="007F778D"/>
    <w:rsid w:val="007F7EE7"/>
    <w:rsid w:val="007F7F63"/>
    <w:rsid w:val="007F7FAB"/>
    <w:rsid w:val="007F7FC4"/>
    <w:rsid w:val="00800073"/>
    <w:rsid w:val="00800433"/>
    <w:rsid w:val="008004CE"/>
    <w:rsid w:val="0080053C"/>
    <w:rsid w:val="00800A28"/>
    <w:rsid w:val="00800C26"/>
    <w:rsid w:val="00800CC7"/>
    <w:rsid w:val="008010F2"/>
    <w:rsid w:val="00801563"/>
    <w:rsid w:val="008016F1"/>
    <w:rsid w:val="008019EB"/>
    <w:rsid w:val="00801D5B"/>
    <w:rsid w:val="008024FE"/>
    <w:rsid w:val="00802619"/>
    <w:rsid w:val="00802F0A"/>
    <w:rsid w:val="008034E7"/>
    <w:rsid w:val="00803522"/>
    <w:rsid w:val="008035AE"/>
    <w:rsid w:val="00803701"/>
    <w:rsid w:val="00803C30"/>
    <w:rsid w:val="00803F5B"/>
    <w:rsid w:val="00804D74"/>
    <w:rsid w:val="008057A5"/>
    <w:rsid w:val="00805819"/>
    <w:rsid w:val="00805A2B"/>
    <w:rsid w:val="00805B69"/>
    <w:rsid w:val="00805BFA"/>
    <w:rsid w:val="008060CC"/>
    <w:rsid w:val="0080639E"/>
    <w:rsid w:val="00806914"/>
    <w:rsid w:val="00806ED2"/>
    <w:rsid w:val="00807481"/>
    <w:rsid w:val="008075A9"/>
    <w:rsid w:val="00807882"/>
    <w:rsid w:val="00807966"/>
    <w:rsid w:val="00807B4F"/>
    <w:rsid w:val="00807DCF"/>
    <w:rsid w:val="00809DB5"/>
    <w:rsid w:val="00810229"/>
    <w:rsid w:val="0081050E"/>
    <w:rsid w:val="00810897"/>
    <w:rsid w:val="008109FA"/>
    <w:rsid w:val="00810C04"/>
    <w:rsid w:val="00810D4F"/>
    <w:rsid w:val="00810D55"/>
    <w:rsid w:val="0081119B"/>
    <w:rsid w:val="008113A2"/>
    <w:rsid w:val="008115F2"/>
    <w:rsid w:val="00811B7B"/>
    <w:rsid w:val="00812131"/>
    <w:rsid w:val="00812264"/>
    <w:rsid w:val="008127AF"/>
    <w:rsid w:val="00812B46"/>
    <w:rsid w:val="00812D5A"/>
    <w:rsid w:val="00812ED1"/>
    <w:rsid w:val="00812F7A"/>
    <w:rsid w:val="00813018"/>
    <w:rsid w:val="008130B3"/>
    <w:rsid w:val="008132A9"/>
    <w:rsid w:val="00813341"/>
    <w:rsid w:val="00813601"/>
    <w:rsid w:val="008136A4"/>
    <w:rsid w:val="00813CE3"/>
    <w:rsid w:val="00813D5D"/>
    <w:rsid w:val="0081426C"/>
    <w:rsid w:val="008145C2"/>
    <w:rsid w:val="00814B75"/>
    <w:rsid w:val="00814DA4"/>
    <w:rsid w:val="00815061"/>
    <w:rsid w:val="0081517C"/>
    <w:rsid w:val="00815700"/>
    <w:rsid w:val="00816082"/>
    <w:rsid w:val="008164FA"/>
    <w:rsid w:val="008165C2"/>
    <w:rsid w:val="00816744"/>
    <w:rsid w:val="00816B48"/>
    <w:rsid w:val="0081743B"/>
    <w:rsid w:val="00817445"/>
    <w:rsid w:val="008177DF"/>
    <w:rsid w:val="00817909"/>
    <w:rsid w:val="00817AA6"/>
    <w:rsid w:val="00817B70"/>
    <w:rsid w:val="0081E949"/>
    <w:rsid w:val="008203E5"/>
    <w:rsid w:val="00820D5C"/>
    <w:rsid w:val="00820F9D"/>
    <w:rsid w:val="008212B2"/>
    <w:rsid w:val="00821CB2"/>
    <w:rsid w:val="00821F10"/>
    <w:rsid w:val="00821F8A"/>
    <w:rsid w:val="008220F9"/>
    <w:rsid w:val="00822395"/>
    <w:rsid w:val="00822399"/>
    <w:rsid w:val="00822714"/>
    <w:rsid w:val="00822DD1"/>
    <w:rsid w:val="00822FA0"/>
    <w:rsid w:val="00823332"/>
    <w:rsid w:val="00823457"/>
    <w:rsid w:val="00823688"/>
    <w:rsid w:val="008239C3"/>
    <w:rsid w:val="00823D60"/>
    <w:rsid w:val="008241FD"/>
    <w:rsid w:val="008242C9"/>
    <w:rsid w:val="00824587"/>
    <w:rsid w:val="008245EF"/>
    <w:rsid w:val="008246E4"/>
    <w:rsid w:val="00824717"/>
    <w:rsid w:val="00824B9E"/>
    <w:rsid w:val="00824BC9"/>
    <w:rsid w:val="00825054"/>
    <w:rsid w:val="00825292"/>
    <w:rsid w:val="008255A9"/>
    <w:rsid w:val="00825607"/>
    <w:rsid w:val="00825670"/>
    <w:rsid w:val="008257E9"/>
    <w:rsid w:val="008261DB"/>
    <w:rsid w:val="00826463"/>
    <w:rsid w:val="008264EB"/>
    <w:rsid w:val="00826B8F"/>
    <w:rsid w:val="008277EE"/>
    <w:rsid w:val="0082781D"/>
    <w:rsid w:val="00827841"/>
    <w:rsid w:val="008279BE"/>
    <w:rsid w:val="00827A16"/>
    <w:rsid w:val="00827D93"/>
    <w:rsid w:val="00827F06"/>
    <w:rsid w:val="00830179"/>
    <w:rsid w:val="00830386"/>
    <w:rsid w:val="0083049E"/>
    <w:rsid w:val="00830E2B"/>
    <w:rsid w:val="0083127E"/>
    <w:rsid w:val="0083151A"/>
    <w:rsid w:val="008315AE"/>
    <w:rsid w:val="00831E8A"/>
    <w:rsid w:val="0083203A"/>
    <w:rsid w:val="00832137"/>
    <w:rsid w:val="00832463"/>
    <w:rsid w:val="00832CEB"/>
    <w:rsid w:val="00833094"/>
    <w:rsid w:val="008333FB"/>
    <w:rsid w:val="00833483"/>
    <w:rsid w:val="0083363E"/>
    <w:rsid w:val="0083367C"/>
    <w:rsid w:val="00833938"/>
    <w:rsid w:val="00833B43"/>
    <w:rsid w:val="00833E78"/>
    <w:rsid w:val="00834203"/>
    <w:rsid w:val="008342B1"/>
    <w:rsid w:val="008343AD"/>
    <w:rsid w:val="00835135"/>
    <w:rsid w:val="0083519A"/>
    <w:rsid w:val="00835346"/>
    <w:rsid w:val="00835444"/>
    <w:rsid w:val="00835568"/>
    <w:rsid w:val="00835C76"/>
    <w:rsid w:val="0083658E"/>
    <w:rsid w:val="008367E7"/>
    <w:rsid w:val="008371E0"/>
    <w:rsid w:val="0083740C"/>
    <w:rsid w:val="00837458"/>
    <w:rsid w:val="00837B37"/>
    <w:rsid w:val="00837BFE"/>
    <w:rsid w:val="00840923"/>
    <w:rsid w:val="00840B47"/>
    <w:rsid w:val="00840FEB"/>
    <w:rsid w:val="0084105F"/>
    <w:rsid w:val="00841111"/>
    <w:rsid w:val="008414D9"/>
    <w:rsid w:val="0084170A"/>
    <w:rsid w:val="0084185D"/>
    <w:rsid w:val="008418F0"/>
    <w:rsid w:val="008418F6"/>
    <w:rsid w:val="00841923"/>
    <w:rsid w:val="008419E3"/>
    <w:rsid w:val="00841B5C"/>
    <w:rsid w:val="00841BE9"/>
    <w:rsid w:val="00841D7B"/>
    <w:rsid w:val="00841DDF"/>
    <w:rsid w:val="00841F01"/>
    <w:rsid w:val="008420AD"/>
    <w:rsid w:val="008425E8"/>
    <w:rsid w:val="00842875"/>
    <w:rsid w:val="008428A8"/>
    <w:rsid w:val="00842B95"/>
    <w:rsid w:val="00842BFF"/>
    <w:rsid w:val="00842C0C"/>
    <w:rsid w:val="00842D42"/>
    <w:rsid w:val="00842D83"/>
    <w:rsid w:val="00843049"/>
    <w:rsid w:val="008436A3"/>
    <w:rsid w:val="008436B9"/>
    <w:rsid w:val="0084398D"/>
    <w:rsid w:val="00843CF5"/>
    <w:rsid w:val="00844708"/>
    <w:rsid w:val="00844889"/>
    <w:rsid w:val="00844D22"/>
    <w:rsid w:val="00845231"/>
    <w:rsid w:val="008459E8"/>
    <w:rsid w:val="00845A0C"/>
    <w:rsid w:val="00845C7E"/>
    <w:rsid w:val="00845C9C"/>
    <w:rsid w:val="00845D6B"/>
    <w:rsid w:val="0084603B"/>
    <w:rsid w:val="00846798"/>
    <w:rsid w:val="008469E9"/>
    <w:rsid w:val="00846B59"/>
    <w:rsid w:val="00846C28"/>
    <w:rsid w:val="00846C37"/>
    <w:rsid w:val="00846D0B"/>
    <w:rsid w:val="00847189"/>
    <w:rsid w:val="0084721D"/>
    <w:rsid w:val="00847387"/>
    <w:rsid w:val="00847430"/>
    <w:rsid w:val="0084756F"/>
    <w:rsid w:val="0084763B"/>
    <w:rsid w:val="008478F9"/>
    <w:rsid w:val="00847C2F"/>
    <w:rsid w:val="00847EAF"/>
    <w:rsid w:val="008501F5"/>
    <w:rsid w:val="0085045A"/>
    <w:rsid w:val="00850935"/>
    <w:rsid w:val="00850C7F"/>
    <w:rsid w:val="00851C00"/>
    <w:rsid w:val="00851C88"/>
    <w:rsid w:val="00851DE3"/>
    <w:rsid w:val="0085209B"/>
    <w:rsid w:val="00852166"/>
    <w:rsid w:val="00852223"/>
    <w:rsid w:val="00852285"/>
    <w:rsid w:val="00852868"/>
    <w:rsid w:val="00852CC7"/>
    <w:rsid w:val="0085321F"/>
    <w:rsid w:val="00853DDD"/>
    <w:rsid w:val="00854349"/>
    <w:rsid w:val="008544E4"/>
    <w:rsid w:val="008544FA"/>
    <w:rsid w:val="008545B8"/>
    <w:rsid w:val="00854766"/>
    <w:rsid w:val="00854777"/>
    <w:rsid w:val="00854931"/>
    <w:rsid w:val="00854D70"/>
    <w:rsid w:val="0085547F"/>
    <w:rsid w:val="00855732"/>
    <w:rsid w:val="00855D0F"/>
    <w:rsid w:val="008562F7"/>
    <w:rsid w:val="00856418"/>
    <w:rsid w:val="00856560"/>
    <w:rsid w:val="0085676B"/>
    <w:rsid w:val="00856A66"/>
    <w:rsid w:val="00856AE5"/>
    <w:rsid w:val="00856B66"/>
    <w:rsid w:val="0085706B"/>
    <w:rsid w:val="00857138"/>
    <w:rsid w:val="00857194"/>
    <w:rsid w:val="0085753F"/>
    <w:rsid w:val="00857F21"/>
    <w:rsid w:val="00857F68"/>
    <w:rsid w:val="00860285"/>
    <w:rsid w:val="008607BA"/>
    <w:rsid w:val="0086094A"/>
    <w:rsid w:val="00860C5A"/>
    <w:rsid w:val="008610E7"/>
    <w:rsid w:val="00861205"/>
    <w:rsid w:val="008612E1"/>
    <w:rsid w:val="008617EE"/>
    <w:rsid w:val="00861A5F"/>
    <w:rsid w:val="00861AAE"/>
    <w:rsid w:val="00861E4F"/>
    <w:rsid w:val="0086204A"/>
    <w:rsid w:val="0086227D"/>
    <w:rsid w:val="008625C4"/>
    <w:rsid w:val="00862920"/>
    <w:rsid w:val="008629F0"/>
    <w:rsid w:val="00862A60"/>
    <w:rsid w:val="00863030"/>
    <w:rsid w:val="008630E0"/>
    <w:rsid w:val="00863246"/>
    <w:rsid w:val="008636D8"/>
    <w:rsid w:val="00863854"/>
    <w:rsid w:val="00863A86"/>
    <w:rsid w:val="00863B1C"/>
    <w:rsid w:val="00863D54"/>
    <w:rsid w:val="00863E70"/>
    <w:rsid w:val="00864239"/>
    <w:rsid w:val="008644AD"/>
    <w:rsid w:val="008646B2"/>
    <w:rsid w:val="00864BA3"/>
    <w:rsid w:val="00864C92"/>
    <w:rsid w:val="00864F48"/>
    <w:rsid w:val="008650E4"/>
    <w:rsid w:val="00865244"/>
    <w:rsid w:val="00865546"/>
    <w:rsid w:val="00865633"/>
    <w:rsid w:val="00865735"/>
    <w:rsid w:val="00865DDB"/>
    <w:rsid w:val="00865F7A"/>
    <w:rsid w:val="00866937"/>
    <w:rsid w:val="008673A7"/>
    <w:rsid w:val="00867538"/>
    <w:rsid w:val="00867A3D"/>
    <w:rsid w:val="00867AF0"/>
    <w:rsid w:val="00870C57"/>
    <w:rsid w:val="00870C68"/>
    <w:rsid w:val="008711A2"/>
    <w:rsid w:val="00871266"/>
    <w:rsid w:val="008716D5"/>
    <w:rsid w:val="008719DC"/>
    <w:rsid w:val="00872213"/>
    <w:rsid w:val="00872681"/>
    <w:rsid w:val="0087269F"/>
    <w:rsid w:val="008726E8"/>
    <w:rsid w:val="00873325"/>
    <w:rsid w:val="00873441"/>
    <w:rsid w:val="00873D90"/>
    <w:rsid w:val="00873DB4"/>
    <w:rsid w:val="00873DB9"/>
    <w:rsid w:val="00873FC8"/>
    <w:rsid w:val="0087453F"/>
    <w:rsid w:val="00874567"/>
    <w:rsid w:val="0087462F"/>
    <w:rsid w:val="00874E61"/>
    <w:rsid w:val="008754A5"/>
    <w:rsid w:val="0087559C"/>
    <w:rsid w:val="008757B1"/>
    <w:rsid w:val="0087592F"/>
    <w:rsid w:val="00875B63"/>
    <w:rsid w:val="00875BAD"/>
    <w:rsid w:val="00875C23"/>
    <w:rsid w:val="00875FC0"/>
    <w:rsid w:val="008760D3"/>
    <w:rsid w:val="008761F3"/>
    <w:rsid w:val="008766B9"/>
    <w:rsid w:val="0087699B"/>
    <w:rsid w:val="008769EF"/>
    <w:rsid w:val="00876A41"/>
    <w:rsid w:val="00876AA5"/>
    <w:rsid w:val="00876AB1"/>
    <w:rsid w:val="0087707D"/>
    <w:rsid w:val="008770AF"/>
    <w:rsid w:val="00877464"/>
    <w:rsid w:val="0087759F"/>
    <w:rsid w:val="008776C4"/>
    <w:rsid w:val="00877C76"/>
    <w:rsid w:val="00877DAF"/>
    <w:rsid w:val="00877FB3"/>
    <w:rsid w:val="008802A0"/>
    <w:rsid w:val="00880727"/>
    <w:rsid w:val="00880765"/>
    <w:rsid w:val="00881257"/>
    <w:rsid w:val="0088130D"/>
    <w:rsid w:val="008813F6"/>
    <w:rsid w:val="00881419"/>
    <w:rsid w:val="008814EA"/>
    <w:rsid w:val="00881583"/>
    <w:rsid w:val="0088176F"/>
    <w:rsid w:val="00881825"/>
    <w:rsid w:val="00881B52"/>
    <w:rsid w:val="00882022"/>
    <w:rsid w:val="008821C5"/>
    <w:rsid w:val="00882416"/>
    <w:rsid w:val="00882685"/>
    <w:rsid w:val="008826CB"/>
    <w:rsid w:val="008827FE"/>
    <w:rsid w:val="00882A48"/>
    <w:rsid w:val="00882D35"/>
    <w:rsid w:val="00883531"/>
    <w:rsid w:val="0088370F"/>
    <w:rsid w:val="00884048"/>
    <w:rsid w:val="00884052"/>
    <w:rsid w:val="008840F9"/>
    <w:rsid w:val="0088436D"/>
    <w:rsid w:val="00884C61"/>
    <w:rsid w:val="00884C63"/>
    <w:rsid w:val="00884F35"/>
    <w:rsid w:val="008852C5"/>
    <w:rsid w:val="008853F8"/>
    <w:rsid w:val="00885516"/>
    <w:rsid w:val="0088587B"/>
    <w:rsid w:val="00885908"/>
    <w:rsid w:val="00885AC5"/>
    <w:rsid w:val="00885B3B"/>
    <w:rsid w:val="00885D3E"/>
    <w:rsid w:val="00886341"/>
    <w:rsid w:val="008864B7"/>
    <w:rsid w:val="008867E7"/>
    <w:rsid w:val="00886C56"/>
    <w:rsid w:val="008870D3"/>
    <w:rsid w:val="0088788A"/>
    <w:rsid w:val="00887B70"/>
    <w:rsid w:val="0089007F"/>
    <w:rsid w:val="008900AA"/>
    <w:rsid w:val="0089018B"/>
    <w:rsid w:val="0089031F"/>
    <w:rsid w:val="0089164D"/>
    <w:rsid w:val="0089199F"/>
    <w:rsid w:val="008921EB"/>
    <w:rsid w:val="00892334"/>
    <w:rsid w:val="0089295B"/>
    <w:rsid w:val="00892D5C"/>
    <w:rsid w:val="00892E20"/>
    <w:rsid w:val="00892EDF"/>
    <w:rsid w:val="008933C4"/>
    <w:rsid w:val="0089365E"/>
    <w:rsid w:val="008937CB"/>
    <w:rsid w:val="00893864"/>
    <w:rsid w:val="00893929"/>
    <w:rsid w:val="00893BFA"/>
    <w:rsid w:val="00893C47"/>
    <w:rsid w:val="008946F8"/>
    <w:rsid w:val="008957D3"/>
    <w:rsid w:val="00895D5B"/>
    <w:rsid w:val="00896005"/>
    <w:rsid w:val="00896093"/>
    <w:rsid w:val="0089644B"/>
    <w:rsid w:val="00896778"/>
    <w:rsid w:val="0089677E"/>
    <w:rsid w:val="008968DB"/>
    <w:rsid w:val="00896D52"/>
    <w:rsid w:val="00896E8C"/>
    <w:rsid w:val="00896F3D"/>
    <w:rsid w:val="008971C9"/>
    <w:rsid w:val="00897474"/>
    <w:rsid w:val="00897900"/>
    <w:rsid w:val="008979F6"/>
    <w:rsid w:val="00897A20"/>
    <w:rsid w:val="00897CC9"/>
    <w:rsid w:val="00897D82"/>
    <w:rsid w:val="00897FF3"/>
    <w:rsid w:val="0089F699"/>
    <w:rsid w:val="008A0593"/>
    <w:rsid w:val="008A0AAB"/>
    <w:rsid w:val="008A0E39"/>
    <w:rsid w:val="008A0EB2"/>
    <w:rsid w:val="008A0EDE"/>
    <w:rsid w:val="008A1437"/>
    <w:rsid w:val="008A144A"/>
    <w:rsid w:val="008A1606"/>
    <w:rsid w:val="008A1748"/>
    <w:rsid w:val="008A176C"/>
    <w:rsid w:val="008A182A"/>
    <w:rsid w:val="008A1C2F"/>
    <w:rsid w:val="008A1C94"/>
    <w:rsid w:val="008A1ECC"/>
    <w:rsid w:val="008A2866"/>
    <w:rsid w:val="008A29D2"/>
    <w:rsid w:val="008A35D4"/>
    <w:rsid w:val="008A365B"/>
    <w:rsid w:val="008A38C2"/>
    <w:rsid w:val="008A38CC"/>
    <w:rsid w:val="008A4604"/>
    <w:rsid w:val="008A467F"/>
    <w:rsid w:val="008A4A56"/>
    <w:rsid w:val="008A4F60"/>
    <w:rsid w:val="008A55F1"/>
    <w:rsid w:val="008A56FC"/>
    <w:rsid w:val="008A576E"/>
    <w:rsid w:val="008A6245"/>
    <w:rsid w:val="008A62FB"/>
    <w:rsid w:val="008A6A9B"/>
    <w:rsid w:val="008A6FCD"/>
    <w:rsid w:val="008A7438"/>
    <w:rsid w:val="008A74C4"/>
    <w:rsid w:val="008A7916"/>
    <w:rsid w:val="008A7A74"/>
    <w:rsid w:val="008A7BBB"/>
    <w:rsid w:val="008A7C80"/>
    <w:rsid w:val="008A7F71"/>
    <w:rsid w:val="008B00BE"/>
    <w:rsid w:val="008B0341"/>
    <w:rsid w:val="008B088C"/>
    <w:rsid w:val="008B0890"/>
    <w:rsid w:val="008B08F2"/>
    <w:rsid w:val="008B0957"/>
    <w:rsid w:val="008B0A6F"/>
    <w:rsid w:val="008B0B7C"/>
    <w:rsid w:val="008B0E99"/>
    <w:rsid w:val="008B1334"/>
    <w:rsid w:val="008B14F4"/>
    <w:rsid w:val="008B1990"/>
    <w:rsid w:val="008B1D07"/>
    <w:rsid w:val="008B1E5B"/>
    <w:rsid w:val="008B236C"/>
    <w:rsid w:val="008B2457"/>
    <w:rsid w:val="008B2520"/>
    <w:rsid w:val="008B25DA"/>
    <w:rsid w:val="008B2ECD"/>
    <w:rsid w:val="008B31B8"/>
    <w:rsid w:val="008B32C5"/>
    <w:rsid w:val="008B352F"/>
    <w:rsid w:val="008B3552"/>
    <w:rsid w:val="008B3A04"/>
    <w:rsid w:val="008B3BBE"/>
    <w:rsid w:val="008B3C10"/>
    <w:rsid w:val="008B3E2B"/>
    <w:rsid w:val="008B4336"/>
    <w:rsid w:val="008B4584"/>
    <w:rsid w:val="008B4A97"/>
    <w:rsid w:val="008B4B5F"/>
    <w:rsid w:val="008B4CE4"/>
    <w:rsid w:val="008B4E2E"/>
    <w:rsid w:val="008B4F24"/>
    <w:rsid w:val="008B4FE6"/>
    <w:rsid w:val="008B5090"/>
    <w:rsid w:val="008B5272"/>
    <w:rsid w:val="008B573B"/>
    <w:rsid w:val="008B57EF"/>
    <w:rsid w:val="008B5B97"/>
    <w:rsid w:val="008B70CE"/>
    <w:rsid w:val="008B73E2"/>
    <w:rsid w:val="008B74A2"/>
    <w:rsid w:val="008B75D9"/>
    <w:rsid w:val="008B78CC"/>
    <w:rsid w:val="008B78D0"/>
    <w:rsid w:val="008B7AC9"/>
    <w:rsid w:val="008B7B66"/>
    <w:rsid w:val="008B7FD8"/>
    <w:rsid w:val="008C0135"/>
    <w:rsid w:val="008C0278"/>
    <w:rsid w:val="008C036F"/>
    <w:rsid w:val="008C063E"/>
    <w:rsid w:val="008C08FF"/>
    <w:rsid w:val="008C0DD1"/>
    <w:rsid w:val="008C133C"/>
    <w:rsid w:val="008C1372"/>
    <w:rsid w:val="008C20A2"/>
    <w:rsid w:val="008C20B9"/>
    <w:rsid w:val="008C20FD"/>
    <w:rsid w:val="008C21B3"/>
    <w:rsid w:val="008C24C0"/>
    <w:rsid w:val="008C24E9"/>
    <w:rsid w:val="008C2890"/>
    <w:rsid w:val="008C2945"/>
    <w:rsid w:val="008C2C35"/>
    <w:rsid w:val="008C2D8E"/>
    <w:rsid w:val="008C2D9F"/>
    <w:rsid w:val="008C33E8"/>
    <w:rsid w:val="008C3518"/>
    <w:rsid w:val="008C3A04"/>
    <w:rsid w:val="008C3D25"/>
    <w:rsid w:val="008C3D48"/>
    <w:rsid w:val="008C3DDE"/>
    <w:rsid w:val="008C40C3"/>
    <w:rsid w:val="008C410C"/>
    <w:rsid w:val="008C4D1F"/>
    <w:rsid w:val="008C52C6"/>
    <w:rsid w:val="008C5389"/>
    <w:rsid w:val="008C55BC"/>
    <w:rsid w:val="008C56FD"/>
    <w:rsid w:val="008C5D1B"/>
    <w:rsid w:val="008C5EB8"/>
    <w:rsid w:val="008C62B7"/>
    <w:rsid w:val="008C63E4"/>
    <w:rsid w:val="008C64CB"/>
    <w:rsid w:val="008C662B"/>
    <w:rsid w:val="008C7113"/>
    <w:rsid w:val="008C782B"/>
    <w:rsid w:val="008C7B6D"/>
    <w:rsid w:val="008C7C04"/>
    <w:rsid w:val="008C7C4D"/>
    <w:rsid w:val="008C7E49"/>
    <w:rsid w:val="008D0052"/>
    <w:rsid w:val="008D0506"/>
    <w:rsid w:val="008D0533"/>
    <w:rsid w:val="008D08F2"/>
    <w:rsid w:val="008D0B07"/>
    <w:rsid w:val="008D0CEF"/>
    <w:rsid w:val="008D0DC3"/>
    <w:rsid w:val="008D0E36"/>
    <w:rsid w:val="008D0EF5"/>
    <w:rsid w:val="008D0F70"/>
    <w:rsid w:val="008D0F98"/>
    <w:rsid w:val="008D1014"/>
    <w:rsid w:val="008D1061"/>
    <w:rsid w:val="008D13A8"/>
    <w:rsid w:val="008D146A"/>
    <w:rsid w:val="008D1B56"/>
    <w:rsid w:val="008D1DF8"/>
    <w:rsid w:val="008D22E4"/>
    <w:rsid w:val="008D2C92"/>
    <w:rsid w:val="008D2CA0"/>
    <w:rsid w:val="008D3657"/>
    <w:rsid w:val="008D37B5"/>
    <w:rsid w:val="008D3896"/>
    <w:rsid w:val="008D3B86"/>
    <w:rsid w:val="008D3BF9"/>
    <w:rsid w:val="008D406E"/>
    <w:rsid w:val="008D4243"/>
    <w:rsid w:val="008D42B2"/>
    <w:rsid w:val="008D42CB"/>
    <w:rsid w:val="008D44AD"/>
    <w:rsid w:val="008D464A"/>
    <w:rsid w:val="008D4822"/>
    <w:rsid w:val="008D48C9"/>
    <w:rsid w:val="008D4A49"/>
    <w:rsid w:val="008D4C7B"/>
    <w:rsid w:val="008D524A"/>
    <w:rsid w:val="008D5511"/>
    <w:rsid w:val="008D5A3D"/>
    <w:rsid w:val="008D5A5F"/>
    <w:rsid w:val="008D5AB3"/>
    <w:rsid w:val="008D5B79"/>
    <w:rsid w:val="008D6223"/>
    <w:rsid w:val="008D6381"/>
    <w:rsid w:val="008D71A9"/>
    <w:rsid w:val="008D7768"/>
    <w:rsid w:val="008D7FD1"/>
    <w:rsid w:val="008E07E9"/>
    <w:rsid w:val="008E0A22"/>
    <w:rsid w:val="008E0BD5"/>
    <w:rsid w:val="008E0C77"/>
    <w:rsid w:val="008E16FD"/>
    <w:rsid w:val="008E184E"/>
    <w:rsid w:val="008E1876"/>
    <w:rsid w:val="008E2565"/>
    <w:rsid w:val="008E2A71"/>
    <w:rsid w:val="008E3118"/>
    <w:rsid w:val="008E31F8"/>
    <w:rsid w:val="008E3466"/>
    <w:rsid w:val="008E3729"/>
    <w:rsid w:val="008E395E"/>
    <w:rsid w:val="008E39E7"/>
    <w:rsid w:val="008E453F"/>
    <w:rsid w:val="008E48AF"/>
    <w:rsid w:val="008E49B0"/>
    <w:rsid w:val="008E4D16"/>
    <w:rsid w:val="008E4E1C"/>
    <w:rsid w:val="008E4E42"/>
    <w:rsid w:val="008E4F7A"/>
    <w:rsid w:val="008E52FF"/>
    <w:rsid w:val="008E5377"/>
    <w:rsid w:val="008E54BA"/>
    <w:rsid w:val="008E5D18"/>
    <w:rsid w:val="008E625F"/>
    <w:rsid w:val="008E635F"/>
    <w:rsid w:val="008E6556"/>
    <w:rsid w:val="008E6818"/>
    <w:rsid w:val="008E687F"/>
    <w:rsid w:val="008E6B33"/>
    <w:rsid w:val="008E6FB1"/>
    <w:rsid w:val="008E745C"/>
    <w:rsid w:val="008E7530"/>
    <w:rsid w:val="008E7714"/>
    <w:rsid w:val="008E7DF9"/>
    <w:rsid w:val="008E7F07"/>
    <w:rsid w:val="008F0194"/>
    <w:rsid w:val="008F025D"/>
    <w:rsid w:val="008F054C"/>
    <w:rsid w:val="008F0799"/>
    <w:rsid w:val="008F09D4"/>
    <w:rsid w:val="008F0D42"/>
    <w:rsid w:val="008F1031"/>
    <w:rsid w:val="008F125F"/>
    <w:rsid w:val="008F1300"/>
    <w:rsid w:val="008F1324"/>
    <w:rsid w:val="008F1833"/>
    <w:rsid w:val="008F1897"/>
    <w:rsid w:val="008F1B63"/>
    <w:rsid w:val="008F1B9C"/>
    <w:rsid w:val="008F1CB7"/>
    <w:rsid w:val="008F1D1D"/>
    <w:rsid w:val="008F1D4F"/>
    <w:rsid w:val="008F1D9D"/>
    <w:rsid w:val="008F1DDE"/>
    <w:rsid w:val="008F224E"/>
    <w:rsid w:val="008F236F"/>
    <w:rsid w:val="008F25B5"/>
    <w:rsid w:val="008F264D"/>
    <w:rsid w:val="008F26E7"/>
    <w:rsid w:val="008F2A80"/>
    <w:rsid w:val="008F2D78"/>
    <w:rsid w:val="008F345D"/>
    <w:rsid w:val="008F3671"/>
    <w:rsid w:val="008F463D"/>
    <w:rsid w:val="008F49A2"/>
    <w:rsid w:val="008F4D88"/>
    <w:rsid w:val="008F5229"/>
    <w:rsid w:val="008F55A1"/>
    <w:rsid w:val="008F5674"/>
    <w:rsid w:val="008F5838"/>
    <w:rsid w:val="008F5E80"/>
    <w:rsid w:val="008F5EBF"/>
    <w:rsid w:val="008F6528"/>
    <w:rsid w:val="008F6B09"/>
    <w:rsid w:val="008F781D"/>
    <w:rsid w:val="008F7B24"/>
    <w:rsid w:val="008F7DAF"/>
    <w:rsid w:val="008F7ED1"/>
    <w:rsid w:val="008F7F3D"/>
    <w:rsid w:val="00900093"/>
    <w:rsid w:val="00900AC7"/>
    <w:rsid w:val="00900DB8"/>
    <w:rsid w:val="00900E20"/>
    <w:rsid w:val="009013DB"/>
    <w:rsid w:val="00901B8B"/>
    <w:rsid w:val="00901C8F"/>
    <w:rsid w:val="00901EE5"/>
    <w:rsid w:val="00901F8E"/>
    <w:rsid w:val="009021E2"/>
    <w:rsid w:val="009024BC"/>
    <w:rsid w:val="009025D4"/>
    <w:rsid w:val="0090277D"/>
    <w:rsid w:val="00902B91"/>
    <w:rsid w:val="00902E58"/>
    <w:rsid w:val="00902F14"/>
    <w:rsid w:val="00903629"/>
    <w:rsid w:val="00903A2E"/>
    <w:rsid w:val="00904191"/>
    <w:rsid w:val="00904435"/>
    <w:rsid w:val="00904AAD"/>
    <w:rsid w:val="00904ABB"/>
    <w:rsid w:val="00904BEF"/>
    <w:rsid w:val="0090535C"/>
    <w:rsid w:val="00905609"/>
    <w:rsid w:val="00905B69"/>
    <w:rsid w:val="00905F7D"/>
    <w:rsid w:val="009062C7"/>
    <w:rsid w:val="00906456"/>
    <w:rsid w:val="00906941"/>
    <w:rsid w:val="00906A9E"/>
    <w:rsid w:val="00906DD6"/>
    <w:rsid w:val="0090708D"/>
    <w:rsid w:val="009070DE"/>
    <w:rsid w:val="009071C0"/>
    <w:rsid w:val="009072F4"/>
    <w:rsid w:val="009073C0"/>
    <w:rsid w:val="009074E1"/>
    <w:rsid w:val="00907D08"/>
    <w:rsid w:val="00907DFD"/>
    <w:rsid w:val="00910116"/>
    <w:rsid w:val="009101E0"/>
    <w:rsid w:val="009102BE"/>
    <w:rsid w:val="00910456"/>
    <w:rsid w:val="00910AA1"/>
    <w:rsid w:val="00910C8F"/>
    <w:rsid w:val="00910FC2"/>
    <w:rsid w:val="00911105"/>
    <w:rsid w:val="009112F7"/>
    <w:rsid w:val="00911382"/>
    <w:rsid w:val="0091184B"/>
    <w:rsid w:val="00911C7D"/>
    <w:rsid w:val="00911CD1"/>
    <w:rsid w:val="00911F9A"/>
    <w:rsid w:val="009120B8"/>
    <w:rsid w:val="009120F6"/>
    <w:rsid w:val="009122AF"/>
    <w:rsid w:val="009127BC"/>
    <w:rsid w:val="00912BC5"/>
    <w:rsid w:val="00912C4E"/>
    <w:rsid w:val="00912D54"/>
    <w:rsid w:val="00912DE0"/>
    <w:rsid w:val="00913414"/>
    <w:rsid w:val="00913894"/>
    <w:rsid w:val="0091389F"/>
    <w:rsid w:val="0091391E"/>
    <w:rsid w:val="00913A19"/>
    <w:rsid w:val="00913A27"/>
    <w:rsid w:val="00914702"/>
    <w:rsid w:val="00914712"/>
    <w:rsid w:val="009148C9"/>
    <w:rsid w:val="00914A6C"/>
    <w:rsid w:val="009154D4"/>
    <w:rsid w:val="0091551B"/>
    <w:rsid w:val="00915B48"/>
    <w:rsid w:val="009160B5"/>
    <w:rsid w:val="009162DE"/>
    <w:rsid w:val="0091673C"/>
    <w:rsid w:val="00916CA8"/>
    <w:rsid w:val="00916D78"/>
    <w:rsid w:val="00916E55"/>
    <w:rsid w:val="009172B9"/>
    <w:rsid w:val="009176C4"/>
    <w:rsid w:val="00917A1B"/>
    <w:rsid w:val="00917A3D"/>
    <w:rsid w:val="00917B13"/>
    <w:rsid w:val="00917BD2"/>
    <w:rsid w:val="00917C9B"/>
    <w:rsid w:val="00917E6B"/>
    <w:rsid w:val="00917FB0"/>
    <w:rsid w:val="009202B5"/>
    <w:rsid w:val="00920432"/>
    <w:rsid w:val="009205AF"/>
    <w:rsid w:val="009208F7"/>
    <w:rsid w:val="00920CEF"/>
    <w:rsid w:val="0092104A"/>
    <w:rsid w:val="00921429"/>
    <w:rsid w:val="009215AF"/>
    <w:rsid w:val="00921735"/>
    <w:rsid w:val="00921808"/>
    <w:rsid w:val="00921956"/>
    <w:rsid w:val="009219B9"/>
    <w:rsid w:val="009219D0"/>
    <w:rsid w:val="009219E2"/>
    <w:rsid w:val="00921A2D"/>
    <w:rsid w:val="00921A5D"/>
    <w:rsid w:val="00921E18"/>
    <w:rsid w:val="009221D3"/>
    <w:rsid w:val="00922400"/>
    <w:rsid w:val="009224EE"/>
    <w:rsid w:val="00922517"/>
    <w:rsid w:val="00922722"/>
    <w:rsid w:val="00922EC0"/>
    <w:rsid w:val="00922FAE"/>
    <w:rsid w:val="00923036"/>
    <w:rsid w:val="009232C8"/>
    <w:rsid w:val="0092369D"/>
    <w:rsid w:val="00923A5B"/>
    <w:rsid w:val="00923AF1"/>
    <w:rsid w:val="00925657"/>
    <w:rsid w:val="0092567B"/>
    <w:rsid w:val="00925B69"/>
    <w:rsid w:val="00925B71"/>
    <w:rsid w:val="0092603D"/>
    <w:rsid w:val="009261E6"/>
    <w:rsid w:val="00926790"/>
    <w:rsid w:val="009268E1"/>
    <w:rsid w:val="00927194"/>
    <w:rsid w:val="009272D3"/>
    <w:rsid w:val="00927468"/>
    <w:rsid w:val="0092755A"/>
    <w:rsid w:val="00927AA3"/>
    <w:rsid w:val="00930DF6"/>
    <w:rsid w:val="00930E54"/>
    <w:rsid w:val="00931D59"/>
    <w:rsid w:val="00931D88"/>
    <w:rsid w:val="00931DE6"/>
    <w:rsid w:val="00932215"/>
    <w:rsid w:val="0093267C"/>
    <w:rsid w:val="00932BA7"/>
    <w:rsid w:val="00932BE3"/>
    <w:rsid w:val="00932FC6"/>
    <w:rsid w:val="009330BF"/>
    <w:rsid w:val="009333AD"/>
    <w:rsid w:val="00933664"/>
    <w:rsid w:val="00933B54"/>
    <w:rsid w:val="00933EC2"/>
    <w:rsid w:val="009343F7"/>
    <w:rsid w:val="0093447D"/>
    <w:rsid w:val="00934882"/>
    <w:rsid w:val="00935298"/>
    <w:rsid w:val="0093556C"/>
    <w:rsid w:val="00935629"/>
    <w:rsid w:val="0093564B"/>
    <w:rsid w:val="00935BAF"/>
    <w:rsid w:val="00935FCA"/>
    <w:rsid w:val="009361DA"/>
    <w:rsid w:val="00936E6E"/>
    <w:rsid w:val="00936EDC"/>
    <w:rsid w:val="00936F18"/>
    <w:rsid w:val="0093720C"/>
    <w:rsid w:val="0093742A"/>
    <w:rsid w:val="009377B9"/>
    <w:rsid w:val="009379C9"/>
    <w:rsid w:val="00937B97"/>
    <w:rsid w:val="00937F3F"/>
    <w:rsid w:val="00940202"/>
    <w:rsid w:val="00940A3C"/>
    <w:rsid w:val="0094102E"/>
    <w:rsid w:val="009415EF"/>
    <w:rsid w:val="009417D8"/>
    <w:rsid w:val="009417FE"/>
    <w:rsid w:val="00941A61"/>
    <w:rsid w:val="00941EF2"/>
    <w:rsid w:val="00942179"/>
    <w:rsid w:val="00942250"/>
    <w:rsid w:val="00942870"/>
    <w:rsid w:val="00942C2A"/>
    <w:rsid w:val="0094354A"/>
    <w:rsid w:val="009435D5"/>
    <w:rsid w:val="00943616"/>
    <w:rsid w:val="00943624"/>
    <w:rsid w:val="00943626"/>
    <w:rsid w:val="00943BA6"/>
    <w:rsid w:val="00943D00"/>
    <w:rsid w:val="0094452A"/>
    <w:rsid w:val="00944797"/>
    <w:rsid w:val="0094492F"/>
    <w:rsid w:val="00944ADC"/>
    <w:rsid w:val="00944B93"/>
    <w:rsid w:val="00944E93"/>
    <w:rsid w:val="00944F5E"/>
    <w:rsid w:val="009451E0"/>
    <w:rsid w:val="009456E6"/>
    <w:rsid w:val="009457BA"/>
    <w:rsid w:val="0094585B"/>
    <w:rsid w:val="00945A20"/>
    <w:rsid w:val="00945E4A"/>
    <w:rsid w:val="00945E7F"/>
    <w:rsid w:val="00945ED5"/>
    <w:rsid w:val="00945F70"/>
    <w:rsid w:val="00946175"/>
    <w:rsid w:val="00946321"/>
    <w:rsid w:val="0094641B"/>
    <w:rsid w:val="00946421"/>
    <w:rsid w:val="009465F3"/>
    <w:rsid w:val="009470DA"/>
    <w:rsid w:val="00947449"/>
    <w:rsid w:val="00947549"/>
    <w:rsid w:val="009478B6"/>
    <w:rsid w:val="00947FD4"/>
    <w:rsid w:val="009502BD"/>
    <w:rsid w:val="0095038C"/>
    <w:rsid w:val="009505FE"/>
    <w:rsid w:val="0095071E"/>
    <w:rsid w:val="009513B8"/>
    <w:rsid w:val="00951434"/>
    <w:rsid w:val="009515B3"/>
    <w:rsid w:val="009515D7"/>
    <w:rsid w:val="00952288"/>
    <w:rsid w:val="00952437"/>
    <w:rsid w:val="00952CD7"/>
    <w:rsid w:val="00952DFA"/>
    <w:rsid w:val="009532EC"/>
    <w:rsid w:val="0095431C"/>
    <w:rsid w:val="009546B6"/>
    <w:rsid w:val="00954C36"/>
    <w:rsid w:val="00955174"/>
    <w:rsid w:val="00955244"/>
    <w:rsid w:val="0095537C"/>
    <w:rsid w:val="00955658"/>
    <w:rsid w:val="009557C1"/>
    <w:rsid w:val="0095586C"/>
    <w:rsid w:val="009558F5"/>
    <w:rsid w:val="00955939"/>
    <w:rsid w:val="00955ABC"/>
    <w:rsid w:val="00955D48"/>
    <w:rsid w:val="00955E64"/>
    <w:rsid w:val="00956377"/>
    <w:rsid w:val="009563F6"/>
    <w:rsid w:val="0095670B"/>
    <w:rsid w:val="00956D8C"/>
    <w:rsid w:val="00956DF7"/>
    <w:rsid w:val="00957227"/>
    <w:rsid w:val="0095743B"/>
    <w:rsid w:val="0095746C"/>
    <w:rsid w:val="009574D7"/>
    <w:rsid w:val="00957656"/>
    <w:rsid w:val="00957A3F"/>
    <w:rsid w:val="00960090"/>
    <w:rsid w:val="009601AC"/>
    <w:rsid w:val="009605C0"/>
    <w:rsid w:val="00960D6E"/>
    <w:rsid w:val="0096106D"/>
    <w:rsid w:val="00961079"/>
    <w:rsid w:val="009610B4"/>
    <w:rsid w:val="00961125"/>
    <w:rsid w:val="0096162B"/>
    <w:rsid w:val="009616C6"/>
    <w:rsid w:val="00961B04"/>
    <w:rsid w:val="00961CB2"/>
    <w:rsid w:val="00962050"/>
    <w:rsid w:val="00962560"/>
    <w:rsid w:val="00962E4D"/>
    <w:rsid w:val="00962ECD"/>
    <w:rsid w:val="00962F48"/>
    <w:rsid w:val="009634ED"/>
    <w:rsid w:val="00963A33"/>
    <w:rsid w:val="00963C16"/>
    <w:rsid w:val="00963E68"/>
    <w:rsid w:val="009645B4"/>
    <w:rsid w:val="00964735"/>
    <w:rsid w:val="00964904"/>
    <w:rsid w:val="00964BFC"/>
    <w:rsid w:val="00964D8F"/>
    <w:rsid w:val="00964E5D"/>
    <w:rsid w:val="0096507C"/>
    <w:rsid w:val="00965C4C"/>
    <w:rsid w:val="00966070"/>
    <w:rsid w:val="00966521"/>
    <w:rsid w:val="00966C05"/>
    <w:rsid w:val="0096734C"/>
    <w:rsid w:val="00967B1E"/>
    <w:rsid w:val="00967E2E"/>
    <w:rsid w:val="00967F43"/>
    <w:rsid w:val="009705A7"/>
    <w:rsid w:val="009708EB"/>
    <w:rsid w:val="009712EB"/>
    <w:rsid w:val="009715BE"/>
    <w:rsid w:val="00971B3F"/>
    <w:rsid w:val="00971EAE"/>
    <w:rsid w:val="00971EC3"/>
    <w:rsid w:val="00972227"/>
    <w:rsid w:val="0097222F"/>
    <w:rsid w:val="00972BC1"/>
    <w:rsid w:val="0097337A"/>
    <w:rsid w:val="009733CC"/>
    <w:rsid w:val="00973538"/>
    <w:rsid w:val="0097356C"/>
    <w:rsid w:val="00973570"/>
    <w:rsid w:val="00973689"/>
    <w:rsid w:val="00973AE3"/>
    <w:rsid w:val="00973C15"/>
    <w:rsid w:val="00973CFB"/>
    <w:rsid w:val="00973D4A"/>
    <w:rsid w:val="009742C4"/>
    <w:rsid w:val="0097454E"/>
    <w:rsid w:val="00974B59"/>
    <w:rsid w:val="00974E4F"/>
    <w:rsid w:val="00974E9D"/>
    <w:rsid w:val="00974FD0"/>
    <w:rsid w:val="009750A6"/>
    <w:rsid w:val="0097512E"/>
    <w:rsid w:val="00975358"/>
    <w:rsid w:val="009757DD"/>
    <w:rsid w:val="009759A6"/>
    <w:rsid w:val="00975A98"/>
    <w:rsid w:val="00975B1D"/>
    <w:rsid w:val="00976417"/>
    <w:rsid w:val="00976A5D"/>
    <w:rsid w:val="00976ABC"/>
    <w:rsid w:val="00976CAC"/>
    <w:rsid w:val="00977763"/>
    <w:rsid w:val="00977CE6"/>
    <w:rsid w:val="00977FF6"/>
    <w:rsid w:val="0098082B"/>
    <w:rsid w:val="00980B58"/>
    <w:rsid w:val="009810A3"/>
    <w:rsid w:val="0098143F"/>
    <w:rsid w:val="009817ED"/>
    <w:rsid w:val="00981D6D"/>
    <w:rsid w:val="00981FA0"/>
    <w:rsid w:val="00982156"/>
    <w:rsid w:val="00982164"/>
    <w:rsid w:val="009822A2"/>
    <w:rsid w:val="00982325"/>
    <w:rsid w:val="00982724"/>
    <w:rsid w:val="00982CCE"/>
    <w:rsid w:val="009831E8"/>
    <w:rsid w:val="009831FF"/>
    <w:rsid w:val="009832D5"/>
    <w:rsid w:val="0098340B"/>
    <w:rsid w:val="009836E4"/>
    <w:rsid w:val="009838BA"/>
    <w:rsid w:val="00983CFC"/>
    <w:rsid w:val="00983E3E"/>
    <w:rsid w:val="00984099"/>
    <w:rsid w:val="009840AC"/>
    <w:rsid w:val="00984422"/>
    <w:rsid w:val="00985037"/>
    <w:rsid w:val="00985091"/>
    <w:rsid w:val="009850E1"/>
    <w:rsid w:val="00985D7A"/>
    <w:rsid w:val="0098616B"/>
    <w:rsid w:val="00986687"/>
    <w:rsid w:val="00986770"/>
    <w:rsid w:val="00986830"/>
    <w:rsid w:val="009869A8"/>
    <w:rsid w:val="00986A0D"/>
    <w:rsid w:val="00986AF0"/>
    <w:rsid w:val="00986B0C"/>
    <w:rsid w:val="00986D66"/>
    <w:rsid w:val="00987856"/>
    <w:rsid w:val="00987CB8"/>
    <w:rsid w:val="00987CDF"/>
    <w:rsid w:val="009901FB"/>
    <w:rsid w:val="009908CF"/>
    <w:rsid w:val="00990AB2"/>
    <w:rsid w:val="00990CEA"/>
    <w:rsid w:val="00990DB2"/>
    <w:rsid w:val="00990E97"/>
    <w:rsid w:val="00990EEF"/>
    <w:rsid w:val="009910B7"/>
    <w:rsid w:val="00991541"/>
    <w:rsid w:val="0099162B"/>
    <w:rsid w:val="00991824"/>
    <w:rsid w:val="00991956"/>
    <w:rsid w:val="009919AA"/>
    <w:rsid w:val="00991DF6"/>
    <w:rsid w:val="00991F84"/>
    <w:rsid w:val="00991FB5"/>
    <w:rsid w:val="009924C3"/>
    <w:rsid w:val="00992660"/>
    <w:rsid w:val="00992A46"/>
    <w:rsid w:val="00993102"/>
    <w:rsid w:val="009931EA"/>
    <w:rsid w:val="00993226"/>
    <w:rsid w:val="0099353A"/>
    <w:rsid w:val="009935CF"/>
    <w:rsid w:val="00993706"/>
    <w:rsid w:val="009937EF"/>
    <w:rsid w:val="00993B97"/>
    <w:rsid w:val="00993DAC"/>
    <w:rsid w:val="0099404D"/>
    <w:rsid w:val="00994442"/>
    <w:rsid w:val="009946CF"/>
    <w:rsid w:val="009946F0"/>
    <w:rsid w:val="00995279"/>
    <w:rsid w:val="00995A52"/>
    <w:rsid w:val="00995B0C"/>
    <w:rsid w:val="00995B22"/>
    <w:rsid w:val="00995E80"/>
    <w:rsid w:val="00996203"/>
    <w:rsid w:val="00996887"/>
    <w:rsid w:val="00996D87"/>
    <w:rsid w:val="00996EC0"/>
    <w:rsid w:val="00997072"/>
    <w:rsid w:val="0099715E"/>
    <w:rsid w:val="00997160"/>
    <w:rsid w:val="00997165"/>
    <w:rsid w:val="00997C09"/>
    <w:rsid w:val="009A00BD"/>
    <w:rsid w:val="009A03B5"/>
    <w:rsid w:val="009A07AD"/>
    <w:rsid w:val="009A0C24"/>
    <w:rsid w:val="009A0F94"/>
    <w:rsid w:val="009A0FBD"/>
    <w:rsid w:val="009A133A"/>
    <w:rsid w:val="009A1665"/>
    <w:rsid w:val="009A198C"/>
    <w:rsid w:val="009A1C08"/>
    <w:rsid w:val="009A1D98"/>
    <w:rsid w:val="009A27FA"/>
    <w:rsid w:val="009A28AC"/>
    <w:rsid w:val="009A367B"/>
    <w:rsid w:val="009A371A"/>
    <w:rsid w:val="009A3804"/>
    <w:rsid w:val="009A3A4E"/>
    <w:rsid w:val="009A3B17"/>
    <w:rsid w:val="009A407E"/>
    <w:rsid w:val="009A4253"/>
    <w:rsid w:val="009A4281"/>
    <w:rsid w:val="009A4777"/>
    <w:rsid w:val="009A4B54"/>
    <w:rsid w:val="009A4C11"/>
    <w:rsid w:val="009A4C54"/>
    <w:rsid w:val="009A4E32"/>
    <w:rsid w:val="009A4F30"/>
    <w:rsid w:val="009A504F"/>
    <w:rsid w:val="009A52D4"/>
    <w:rsid w:val="009A5649"/>
    <w:rsid w:val="009A5670"/>
    <w:rsid w:val="009A5B0A"/>
    <w:rsid w:val="009A5DBF"/>
    <w:rsid w:val="009A5E7C"/>
    <w:rsid w:val="009A61BA"/>
    <w:rsid w:val="009A6B60"/>
    <w:rsid w:val="009A6CCB"/>
    <w:rsid w:val="009A70BF"/>
    <w:rsid w:val="009A7209"/>
    <w:rsid w:val="009A753B"/>
    <w:rsid w:val="009A7DF1"/>
    <w:rsid w:val="009B012E"/>
    <w:rsid w:val="009B0CEC"/>
    <w:rsid w:val="009B11E0"/>
    <w:rsid w:val="009B1266"/>
    <w:rsid w:val="009B12BC"/>
    <w:rsid w:val="009B12FB"/>
    <w:rsid w:val="009B1380"/>
    <w:rsid w:val="009B15CB"/>
    <w:rsid w:val="009B2187"/>
    <w:rsid w:val="009B2291"/>
    <w:rsid w:val="009B2560"/>
    <w:rsid w:val="009B2DFA"/>
    <w:rsid w:val="009B2F9D"/>
    <w:rsid w:val="009B34B2"/>
    <w:rsid w:val="009B395F"/>
    <w:rsid w:val="009B3EAD"/>
    <w:rsid w:val="009B4597"/>
    <w:rsid w:val="009B4D32"/>
    <w:rsid w:val="009B50F6"/>
    <w:rsid w:val="009B54C4"/>
    <w:rsid w:val="009B54CB"/>
    <w:rsid w:val="009B568B"/>
    <w:rsid w:val="009B5870"/>
    <w:rsid w:val="009B629A"/>
    <w:rsid w:val="009B648C"/>
    <w:rsid w:val="009B656C"/>
    <w:rsid w:val="009B6828"/>
    <w:rsid w:val="009B6B02"/>
    <w:rsid w:val="009B6D50"/>
    <w:rsid w:val="009B71AC"/>
    <w:rsid w:val="009B7DC4"/>
    <w:rsid w:val="009B7FE7"/>
    <w:rsid w:val="009C0B50"/>
    <w:rsid w:val="009C0BE6"/>
    <w:rsid w:val="009C0F4F"/>
    <w:rsid w:val="009C0F5A"/>
    <w:rsid w:val="009C1117"/>
    <w:rsid w:val="009C1702"/>
    <w:rsid w:val="009C1A02"/>
    <w:rsid w:val="009C1B11"/>
    <w:rsid w:val="009C1E00"/>
    <w:rsid w:val="009C210B"/>
    <w:rsid w:val="009C26E7"/>
    <w:rsid w:val="009C275C"/>
    <w:rsid w:val="009C29A8"/>
    <w:rsid w:val="009C2B3C"/>
    <w:rsid w:val="009C2BBF"/>
    <w:rsid w:val="009C2D76"/>
    <w:rsid w:val="009C2DC6"/>
    <w:rsid w:val="009C2E28"/>
    <w:rsid w:val="009C31C5"/>
    <w:rsid w:val="009C32DF"/>
    <w:rsid w:val="009C3788"/>
    <w:rsid w:val="009C383A"/>
    <w:rsid w:val="009C3850"/>
    <w:rsid w:val="009C3ACB"/>
    <w:rsid w:val="009C3ADE"/>
    <w:rsid w:val="009C3C1A"/>
    <w:rsid w:val="009C3F2A"/>
    <w:rsid w:val="009C437B"/>
    <w:rsid w:val="009C47EC"/>
    <w:rsid w:val="009C48E4"/>
    <w:rsid w:val="009C4A39"/>
    <w:rsid w:val="009C4B2B"/>
    <w:rsid w:val="009C4B3D"/>
    <w:rsid w:val="009C4BFD"/>
    <w:rsid w:val="009C4C21"/>
    <w:rsid w:val="009C4D5C"/>
    <w:rsid w:val="009C4E11"/>
    <w:rsid w:val="009C59E0"/>
    <w:rsid w:val="009C5ADC"/>
    <w:rsid w:val="009C5CBB"/>
    <w:rsid w:val="009C5F06"/>
    <w:rsid w:val="009C6351"/>
    <w:rsid w:val="009C64AF"/>
    <w:rsid w:val="009C66B7"/>
    <w:rsid w:val="009C6B93"/>
    <w:rsid w:val="009C6DD2"/>
    <w:rsid w:val="009C6F10"/>
    <w:rsid w:val="009C721B"/>
    <w:rsid w:val="009C749E"/>
    <w:rsid w:val="009C7638"/>
    <w:rsid w:val="009C76B3"/>
    <w:rsid w:val="009C790C"/>
    <w:rsid w:val="009D0000"/>
    <w:rsid w:val="009D022A"/>
    <w:rsid w:val="009D022F"/>
    <w:rsid w:val="009D0403"/>
    <w:rsid w:val="009D08F5"/>
    <w:rsid w:val="009D0A13"/>
    <w:rsid w:val="009D0ADF"/>
    <w:rsid w:val="009D148F"/>
    <w:rsid w:val="009D1540"/>
    <w:rsid w:val="009D177C"/>
    <w:rsid w:val="009D1B04"/>
    <w:rsid w:val="009D1B28"/>
    <w:rsid w:val="009D1EA3"/>
    <w:rsid w:val="009D1F73"/>
    <w:rsid w:val="009D1F9E"/>
    <w:rsid w:val="009D277F"/>
    <w:rsid w:val="009D2CCF"/>
    <w:rsid w:val="009D3142"/>
    <w:rsid w:val="009D31EF"/>
    <w:rsid w:val="009D3671"/>
    <w:rsid w:val="009D38E7"/>
    <w:rsid w:val="009D3D70"/>
    <w:rsid w:val="009D3FF2"/>
    <w:rsid w:val="009D4348"/>
    <w:rsid w:val="009D4960"/>
    <w:rsid w:val="009D49FB"/>
    <w:rsid w:val="009D4DFB"/>
    <w:rsid w:val="009D50F0"/>
    <w:rsid w:val="009D540B"/>
    <w:rsid w:val="009D56D8"/>
    <w:rsid w:val="009D5F59"/>
    <w:rsid w:val="009D5FD2"/>
    <w:rsid w:val="009D64E8"/>
    <w:rsid w:val="009D6586"/>
    <w:rsid w:val="009D69F3"/>
    <w:rsid w:val="009D6C32"/>
    <w:rsid w:val="009D715C"/>
    <w:rsid w:val="009D7255"/>
    <w:rsid w:val="009D73AE"/>
    <w:rsid w:val="009D78EA"/>
    <w:rsid w:val="009D7D26"/>
    <w:rsid w:val="009D7DFD"/>
    <w:rsid w:val="009E0383"/>
    <w:rsid w:val="009E05B3"/>
    <w:rsid w:val="009E0984"/>
    <w:rsid w:val="009E0D5E"/>
    <w:rsid w:val="009E0F0E"/>
    <w:rsid w:val="009E0F16"/>
    <w:rsid w:val="009E10F6"/>
    <w:rsid w:val="009E1635"/>
    <w:rsid w:val="009E199E"/>
    <w:rsid w:val="009E19E5"/>
    <w:rsid w:val="009E1AC8"/>
    <w:rsid w:val="009E1BB6"/>
    <w:rsid w:val="009E2374"/>
    <w:rsid w:val="009E25F6"/>
    <w:rsid w:val="009E2A63"/>
    <w:rsid w:val="009E2B4E"/>
    <w:rsid w:val="009E35EE"/>
    <w:rsid w:val="009E396C"/>
    <w:rsid w:val="009E3AF1"/>
    <w:rsid w:val="009E3B0B"/>
    <w:rsid w:val="009E3B22"/>
    <w:rsid w:val="009E3BC5"/>
    <w:rsid w:val="009E4743"/>
    <w:rsid w:val="009E475C"/>
    <w:rsid w:val="009E4A27"/>
    <w:rsid w:val="009E4A42"/>
    <w:rsid w:val="009E4B23"/>
    <w:rsid w:val="009E4CBB"/>
    <w:rsid w:val="009E4CF3"/>
    <w:rsid w:val="009E5207"/>
    <w:rsid w:val="009E523C"/>
    <w:rsid w:val="009E5273"/>
    <w:rsid w:val="009E5657"/>
    <w:rsid w:val="009E5660"/>
    <w:rsid w:val="009E590F"/>
    <w:rsid w:val="009E6D1E"/>
    <w:rsid w:val="009E6F33"/>
    <w:rsid w:val="009E6F7E"/>
    <w:rsid w:val="009E6FF0"/>
    <w:rsid w:val="009E7527"/>
    <w:rsid w:val="009E76B7"/>
    <w:rsid w:val="009E7A57"/>
    <w:rsid w:val="009E7C82"/>
    <w:rsid w:val="009F00EE"/>
    <w:rsid w:val="009F04D7"/>
    <w:rsid w:val="009F0603"/>
    <w:rsid w:val="009F078E"/>
    <w:rsid w:val="009F090E"/>
    <w:rsid w:val="009F0E60"/>
    <w:rsid w:val="009F0F72"/>
    <w:rsid w:val="009F1005"/>
    <w:rsid w:val="009F1494"/>
    <w:rsid w:val="009F1507"/>
    <w:rsid w:val="009F155B"/>
    <w:rsid w:val="009F1A3B"/>
    <w:rsid w:val="009F1ACA"/>
    <w:rsid w:val="009F1E4B"/>
    <w:rsid w:val="009F2AD7"/>
    <w:rsid w:val="009F2BAE"/>
    <w:rsid w:val="009F31FB"/>
    <w:rsid w:val="009F3B70"/>
    <w:rsid w:val="009F3FAA"/>
    <w:rsid w:val="009F4513"/>
    <w:rsid w:val="009F46B8"/>
    <w:rsid w:val="009F48A2"/>
    <w:rsid w:val="009F4AC1"/>
    <w:rsid w:val="009F4F6A"/>
    <w:rsid w:val="009F4F96"/>
    <w:rsid w:val="009F50DC"/>
    <w:rsid w:val="009F5118"/>
    <w:rsid w:val="009F57C4"/>
    <w:rsid w:val="009F57C9"/>
    <w:rsid w:val="009F5832"/>
    <w:rsid w:val="009F5A0D"/>
    <w:rsid w:val="009F6289"/>
    <w:rsid w:val="009F63EE"/>
    <w:rsid w:val="009F6947"/>
    <w:rsid w:val="009F6A1F"/>
    <w:rsid w:val="009F6BC0"/>
    <w:rsid w:val="009F6FFB"/>
    <w:rsid w:val="009F7303"/>
    <w:rsid w:val="009F75AC"/>
    <w:rsid w:val="009F78AA"/>
    <w:rsid w:val="009F7E09"/>
    <w:rsid w:val="009F7E3F"/>
    <w:rsid w:val="00A000C5"/>
    <w:rsid w:val="00A00161"/>
    <w:rsid w:val="00A00498"/>
    <w:rsid w:val="00A00699"/>
    <w:rsid w:val="00A00A01"/>
    <w:rsid w:val="00A01118"/>
    <w:rsid w:val="00A014B4"/>
    <w:rsid w:val="00A0181B"/>
    <w:rsid w:val="00A019FC"/>
    <w:rsid w:val="00A01C3B"/>
    <w:rsid w:val="00A01E35"/>
    <w:rsid w:val="00A02462"/>
    <w:rsid w:val="00A024D2"/>
    <w:rsid w:val="00A02614"/>
    <w:rsid w:val="00A02849"/>
    <w:rsid w:val="00A03163"/>
    <w:rsid w:val="00A0343B"/>
    <w:rsid w:val="00A038A1"/>
    <w:rsid w:val="00A04022"/>
    <w:rsid w:val="00A0402F"/>
    <w:rsid w:val="00A04084"/>
    <w:rsid w:val="00A042CB"/>
    <w:rsid w:val="00A04582"/>
    <w:rsid w:val="00A046E3"/>
    <w:rsid w:val="00A04FB2"/>
    <w:rsid w:val="00A05097"/>
    <w:rsid w:val="00A05560"/>
    <w:rsid w:val="00A05576"/>
    <w:rsid w:val="00A057AA"/>
    <w:rsid w:val="00A05875"/>
    <w:rsid w:val="00A058C2"/>
    <w:rsid w:val="00A0592F"/>
    <w:rsid w:val="00A05B69"/>
    <w:rsid w:val="00A05F82"/>
    <w:rsid w:val="00A0608E"/>
    <w:rsid w:val="00A065B0"/>
    <w:rsid w:val="00A0670E"/>
    <w:rsid w:val="00A07196"/>
    <w:rsid w:val="00A0724A"/>
    <w:rsid w:val="00A0727F"/>
    <w:rsid w:val="00A0752A"/>
    <w:rsid w:val="00A07919"/>
    <w:rsid w:val="00A07ACC"/>
    <w:rsid w:val="00A07C3E"/>
    <w:rsid w:val="00A07E16"/>
    <w:rsid w:val="00A10333"/>
    <w:rsid w:val="00A1036D"/>
    <w:rsid w:val="00A10D4F"/>
    <w:rsid w:val="00A116A6"/>
    <w:rsid w:val="00A11F78"/>
    <w:rsid w:val="00A120C6"/>
    <w:rsid w:val="00A1219D"/>
    <w:rsid w:val="00A12492"/>
    <w:rsid w:val="00A125FB"/>
    <w:rsid w:val="00A12625"/>
    <w:rsid w:val="00A12967"/>
    <w:rsid w:val="00A12A0D"/>
    <w:rsid w:val="00A12AA2"/>
    <w:rsid w:val="00A12C92"/>
    <w:rsid w:val="00A12DB6"/>
    <w:rsid w:val="00A12FC1"/>
    <w:rsid w:val="00A130DF"/>
    <w:rsid w:val="00A13119"/>
    <w:rsid w:val="00A13236"/>
    <w:rsid w:val="00A1330F"/>
    <w:rsid w:val="00A1340F"/>
    <w:rsid w:val="00A134A0"/>
    <w:rsid w:val="00A134E1"/>
    <w:rsid w:val="00A13A80"/>
    <w:rsid w:val="00A13AE3"/>
    <w:rsid w:val="00A13FE7"/>
    <w:rsid w:val="00A14454"/>
    <w:rsid w:val="00A14AB8"/>
    <w:rsid w:val="00A14B10"/>
    <w:rsid w:val="00A14C6A"/>
    <w:rsid w:val="00A15177"/>
    <w:rsid w:val="00A154DD"/>
    <w:rsid w:val="00A156BB"/>
    <w:rsid w:val="00A15754"/>
    <w:rsid w:val="00A15C52"/>
    <w:rsid w:val="00A15D03"/>
    <w:rsid w:val="00A15D6F"/>
    <w:rsid w:val="00A15D86"/>
    <w:rsid w:val="00A160F6"/>
    <w:rsid w:val="00A16334"/>
    <w:rsid w:val="00A16373"/>
    <w:rsid w:val="00A16397"/>
    <w:rsid w:val="00A165A0"/>
    <w:rsid w:val="00A165B3"/>
    <w:rsid w:val="00A16638"/>
    <w:rsid w:val="00A16895"/>
    <w:rsid w:val="00A16A49"/>
    <w:rsid w:val="00A16E36"/>
    <w:rsid w:val="00A16ECE"/>
    <w:rsid w:val="00A16FDA"/>
    <w:rsid w:val="00A17620"/>
    <w:rsid w:val="00A177F8"/>
    <w:rsid w:val="00A17843"/>
    <w:rsid w:val="00A17891"/>
    <w:rsid w:val="00A178D6"/>
    <w:rsid w:val="00A205F9"/>
    <w:rsid w:val="00A206E8"/>
    <w:rsid w:val="00A20B9D"/>
    <w:rsid w:val="00A20E5C"/>
    <w:rsid w:val="00A210BD"/>
    <w:rsid w:val="00A2110F"/>
    <w:rsid w:val="00A21299"/>
    <w:rsid w:val="00A21330"/>
    <w:rsid w:val="00A21633"/>
    <w:rsid w:val="00A21C79"/>
    <w:rsid w:val="00A221AB"/>
    <w:rsid w:val="00A229C5"/>
    <w:rsid w:val="00A22C78"/>
    <w:rsid w:val="00A22E1A"/>
    <w:rsid w:val="00A2386C"/>
    <w:rsid w:val="00A23F21"/>
    <w:rsid w:val="00A24193"/>
    <w:rsid w:val="00A24412"/>
    <w:rsid w:val="00A24685"/>
    <w:rsid w:val="00A2490A"/>
    <w:rsid w:val="00A24961"/>
    <w:rsid w:val="00A24B10"/>
    <w:rsid w:val="00A24C79"/>
    <w:rsid w:val="00A24D2D"/>
    <w:rsid w:val="00A24DA0"/>
    <w:rsid w:val="00A24F31"/>
    <w:rsid w:val="00A250C8"/>
    <w:rsid w:val="00A25156"/>
    <w:rsid w:val="00A25C1F"/>
    <w:rsid w:val="00A261A3"/>
    <w:rsid w:val="00A263A0"/>
    <w:rsid w:val="00A264DE"/>
    <w:rsid w:val="00A2677A"/>
    <w:rsid w:val="00A2689B"/>
    <w:rsid w:val="00A26A3D"/>
    <w:rsid w:val="00A27086"/>
    <w:rsid w:val="00A273D8"/>
    <w:rsid w:val="00A2779D"/>
    <w:rsid w:val="00A30D78"/>
    <w:rsid w:val="00A30E9B"/>
    <w:rsid w:val="00A316CF"/>
    <w:rsid w:val="00A317E4"/>
    <w:rsid w:val="00A3188B"/>
    <w:rsid w:val="00A318D2"/>
    <w:rsid w:val="00A318E2"/>
    <w:rsid w:val="00A31B8A"/>
    <w:rsid w:val="00A32045"/>
    <w:rsid w:val="00A3231B"/>
    <w:rsid w:val="00A32343"/>
    <w:rsid w:val="00A32562"/>
    <w:rsid w:val="00A32B7D"/>
    <w:rsid w:val="00A32E6B"/>
    <w:rsid w:val="00A33352"/>
    <w:rsid w:val="00A33A23"/>
    <w:rsid w:val="00A33D31"/>
    <w:rsid w:val="00A33DFC"/>
    <w:rsid w:val="00A33F87"/>
    <w:rsid w:val="00A33FBD"/>
    <w:rsid w:val="00A3405A"/>
    <w:rsid w:val="00A340A1"/>
    <w:rsid w:val="00A34457"/>
    <w:rsid w:val="00A34530"/>
    <w:rsid w:val="00A348C1"/>
    <w:rsid w:val="00A34948"/>
    <w:rsid w:val="00A34B84"/>
    <w:rsid w:val="00A34F7E"/>
    <w:rsid w:val="00A352C3"/>
    <w:rsid w:val="00A35562"/>
    <w:rsid w:val="00A35724"/>
    <w:rsid w:val="00A3573F"/>
    <w:rsid w:val="00A35742"/>
    <w:rsid w:val="00A35923"/>
    <w:rsid w:val="00A35BE1"/>
    <w:rsid w:val="00A35CA8"/>
    <w:rsid w:val="00A35DB0"/>
    <w:rsid w:val="00A35FF3"/>
    <w:rsid w:val="00A36083"/>
    <w:rsid w:val="00A36222"/>
    <w:rsid w:val="00A362C4"/>
    <w:rsid w:val="00A36584"/>
    <w:rsid w:val="00A367D9"/>
    <w:rsid w:val="00A36A3F"/>
    <w:rsid w:val="00A36ABC"/>
    <w:rsid w:val="00A36C1E"/>
    <w:rsid w:val="00A37167"/>
    <w:rsid w:val="00A374A2"/>
    <w:rsid w:val="00A37D26"/>
    <w:rsid w:val="00A37DC4"/>
    <w:rsid w:val="00A40279"/>
    <w:rsid w:val="00A403B7"/>
    <w:rsid w:val="00A40950"/>
    <w:rsid w:val="00A40D2F"/>
    <w:rsid w:val="00A42012"/>
    <w:rsid w:val="00A42252"/>
    <w:rsid w:val="00A4242B"/>
    <w:rsid w:val="00A4268E"/>
    <w:rsid w:val="00A428CE"/>
    <w:rsid w:val="00A42DD6"/>
    <w:rsid w:val="00A42F1C"/>
    <w:rsid w:val="00A433BD"/>
    <w:rsid w:val="00A43427"/>
    <w:rsid w:val="00A43A1F"/>
    <w:rsid w:val="00A43EC2"/>
    <w:rsid w:val="00A442AF"/>
    <w:rsid w:val="00A4434F"/>
    <w:rsid w:val="00A44CE8"/>
    <w:rsid w:val="00A4512D"/>
    <w:rsid w:val="00A45301"/>
    <w:rsid w:val="00A4593B"/>
    <w:rsid w:val="00A45D70"/>
    <w:rsid w:val="00A461CE"/>
    <w:rsid w:val="00A4628B"/>
    <w:rsid w:val="00A468D6"/>
    <w:rsid w:val="00A46C34"/>
    <w:rsid w:val="00A46FED"/>
    <w:rsid w:val="00A47447"/>
    <w:rsid w:val="00A47A3F"/>
    <w:rsid w:val="00A50205"/>
    <w:rsid w:val="00A50244"/>
    <w:rsid w:val="00A50248"/>
    <w:rsid w:val="00A50458"/>
    <w:rsid w:val="00A5050A"/>
    <w:rsid w:val="00A506C6"/>
    <w:rsid w:val="00A50B25"/>
    <w:rsid w:val="00A50EC2"/>
    <w:rsid w:val="00A50F1C"/>
    <w:rsid w:val="00A510E3"/>
    <w:rsid w:val="00A5199E"/>
    <w:rsid w:val="00A519E1"/>
    <w:rsid w:val="00A51AF7"/>
    <w:rsid w:val="00A51C64"/>
    <w:rsid w:val="00A51D06"/>
    <w:rsid w:val="00A51E6A"/>
    <w:rsid w:val="00A520EF"/>
    <w:rsid w:val="00A52CB8"/>
    <w:rsid w:val="00A52FC3"/>
    <w:rsid w:val="00A531A4"/>
    <w:rsid w:val="00A533DA"/>
    <w:rsid w:val="00A5416C"/>
    <w:rsid w:val="00A5447F"/>
    <w:rsid w:val="00A54507"/>
    <w:rsid w:val="00A54B0C"/>
    <w:rsid w:val="00A54C2F"/>
    <w:rsid w:val="00A54C47"/>
    <w:rsid w:val="00A54CEB"/>
    <w:rsid w:val="00A552CC"/>
    <w:rsid w:val="00A5537E"/>
    <w:rsid w:val="00A55539"/>
    <w:rsid w:val="00A555B1"/>
    <w:rsid w:val="00A556AA"/>
    <w:rsid w:val="00A5598A"/>
    <w:rsid w:val="00A55CE4"/>
    <w:rsid w:val="00A55E4A"/>
    <w:rsid w:val="00A55EBF"/>
    <w:rsid w:val="00A5646E"/>
    <w:rsid w:val="00A56A5D"/>
    <w:rsid w:val="00A56EEC"/>
    <w:rsid w:val="00A56F17"/>
    <w:rsid w:val="00A570AD"/>
    <w:rsid w:val="00A571ED"/>
    <w:rsid w:val="00A574CC"/>
    <w:rsid w:val="00A57B06"/>
    <w:rsid w:val="00A57DFC"/>
    <w:rsid w:val="00A57E1A"/>
    <w:rsid w:val="00A605DB"/>
    <w:rsid w:val="00A608B6"/>
    <w:rsid w:val="00A60AA4"/>
    <w:rsid w:val="00A60C07"/>
    <w:rsid w:val="00A60F4F"/>
    <w:rsid w:val="00A61000"/>
    <w:rsid w:val="00A611E0"/>
    <w:rsid w:val="00A615D2"/>
    <w:rsid w:val="00A61629"/>
    <w:rsid w:val="00A61B28"/>
    <w:rsid w:val="00A61F62"/>
    <w:rsid w:val="00A627D7"/>
    <w:rsid w:val="00A62F04"/>
    <w:rsid w:val="00A630C2"/>
    <w:rsid w:val="00A631B7"/>
    <w:rsid w:val="00A63683"/>
    <w:rsid w:val="00A639D7"/>
    <w:rsid w:val="00A63C62"/>
    <w:rsid w:val="00A63E14"/>
    <w:rsid w:val="00A64454"/>
    <w:rsid w:val="00A644C6"/>
    <w:rsid w:val="00A6467C"/>
    <w:rsid w:val="00A64A6D"/>
    <w:rsid w:val="00A656C7"/>
    <w:rsid w:val="00A656DA"/>
    <w:rsid w:val="00A6590D"/>
    <w:rsid w:val="00A65F4E"/>
    <w:rsid w:val="00A66225"/>
    <w:rsid w:val="00A66312"/>
    <w:rsid w:val="00A6635C"/>
    <w:rsid w:val="00A665F7"/>
    <w:rsid w:val="00A66765"/>
    <w:rsid w:val="00A667CD"/>
    <w:rsid w:val="00A66C5E"/>
    <w:rsid w:val="00A66FBF"/>
    <w:rsid w:val="00A675B2"/>
    <w:rsid w:val="00A701A0"/>
    <w:rsid w:val="00A70288"/>
    <w:rsid w:val="00A7037C"/>
    <w:rsid w:val="00A705AF"/>
    <w:rsid w:val="00A70A40"/>
    <w:rsid w:val="00A70E11"/>
    <w:rsid w:val="00A71871"/>
    <w:rsid w:val="00A718E8"/>
    <w:rsid w:val="00A720C2"/>
    <w:rsid w:val="00A7216F"/>
    <w:rsid w:val="00A7217A"/>
    <w:rsid w:val="00A72454"/>
    <w:rsid w:val="00A7274C"/>
    <w:rsid w:val="00A72AED"/>
    <w:rsid w:val="00A731B5"/>
    <w:rsid w:val="00A73485"/>
    <w:rsid w:val="00A73A97"/>
    <w:rsid w:val="00A73CDA"/>
    <w:rsid w:val="00A740C7"/>
    <w:rsid w:val="00A740E9"/>
    <w:rsid w:val="00A74113"/>
    <w:rsid w:val="00A742DD"/>
    <w:rsid w:val="00A746D9"/>
    <w:rsid w:val="00A74794"/>
    <w:rsid w:val="00A74BF0"/>
    <w:rsid w:val="00A74F07"/>
    <w:rsid w:val="00A74FDE"/>
    <w:rsid w:val="00A7533C"/>
    <w:rsid w:val="00A753CA"/>
    <w:rsid w:val="00A75864"/>
    <w:rsid w:val="00A75BC8"/>
    <w:rsid w:val="00A75C36"/>
    <w:rsid w:val="00A75C41"/>
    <w:rsid w:val="00A75C5E"/>
    <w:rsid w:val="00A75D50"/>
    <w:rsid w:val="00A76119"/>
    <w:rsid w:val="00A76424"/>
    <w:rsid w:val="00A76525"/>
    <w:rsid w:val="00A765A9"/>
    <w:rsid w:val="00A76FBD"/>
    <w:rsid w:val="00A76FDA"/>
    <w:rsid w:val="00A77042"/>
    <w:rsid w:val="00A7755E"/>
    <w:rsid w:val="00A77696"/>
    <w:rsid w:val="00A7775C"/>
    <w:rsid w:val="00A7777D"/>
    <w:rsid w:val="00A7790B"/>
    <w:rsid w:val="00A77AC6"/>
    <w:rsid w:val="00A77B0B"/>
    <w:rsid w:val="00A77B7D"/>
    <w:rsid w:val="00A77DC2"/>
    <w:rsid w:val="00A80557"/>
    <w:rsid w:val="00A807B1"/>
    <w:rsid w:val="00A80A37"/>
    <w:rsid w:val="00A80A93"/>
    <w:rsid w:val="00A813E4"/>
    <w:rsid w:val="00A815D0"/>
    <w:rsid w:val="00A81C50"/>
    <w:rsid w:val="00A81D33"/>
    <w:rsid w:val="00A821B3"/>
    <w:rsid w:val="00A82491"/>
    <w:rsid w:val="00A8280A"/>
    <w:rsid w:val="00A82A68"/>
    <w:rsid w:val="00A82D73"/>
    <w:rsid w:val="00A83081"/>
    <w:rsid w:val="00A8336A"/>
    <w:rsid w:val="00A833CD"/>
    <w:rsid w:val="00A8391C"/>
    <w:rsid w:val="00A839AE"/>
    <w:rsid w:val="00A83D72"/>
    <w:rsid w:val="00A83E1D"/>
    <w:rsid w:val="00A83FE8"/>
    <w:rsid w:val="00A84098"/>
    <w:rsid w:val="00A84288"/>
    <w:rsid w:val="00A84C30"/>
    <w:rsid w:val="00A84CB1"/>
    <w:rsid w:val="00A85458"/>
    <w:rsid w:val="00A85520"/>
    <w:rsid w:val="00A85A37"/>
    <w:rsid w:val="00A85A38"/>
    <w:rsid w:val="00A85D31"/>
    <w:rsid w:val="00A86055"/>
    <w:rsid w:val="00A86900"/>
    <w:rsid w:val="00A86DAF"/>
    <w:rsid w:val="00A86EC4"/>
    <w:rsid w:val="00A86FF4"/>
    <w:rsid w:val="00A87251"/>
    <w:rsid w:val="00A8732F"/>
    <w:rsid w:val="00A87860"/>
    <w:rsid w:val="00A8790F"/>
    <w:rsid w:val="00A87DD9"/>
    <w:rsid w:val="00A87ED9"/>
    <w:rsid w:val="00A9025A"/>
    <w:rsid w:val="00A90265"/>
    <w:rsid w:val="00A916C5"/>
    <w:rsid w:val="00A91797"/>
    <w:rsid w:val="00A919F6"/>
    <w:rsid w:val="00A91B9E"/>
    <w:rsid w:val="00A91D4B"/>
    <w:rsid w:val="00A92AD2"/>
    <w:rsid w:val="00A92B17"/>
    <w:rsid w:val="00A92FB3"/>
    <w:rsid w:val="00A930AE"/>
    <w:rsid w:val="00A936A5"/>
    <w:rsid w:val="00A9371B"/>
    <w:rsid w:val="00A93A55"/>
    <w:rsid w:val="00A93B21"/>
    <w:rsid w:val="00A93EF2"/>
    <w:rsid w:val="00A94565"/>
    <w:rsid w:val="00A947AD"/>
    <w:rsid w:val="00A94ED6"/>
    <w:rsid w:val="00A9515C"/>
    <w:rsid w:val="00A951BF"/>
    <w:rsid w:val="00A952DC"/>
    <w:rsid w:val="00A95884"/>
    <w:rsid w:val="00A95FC7"/>
    <w:rsid w:val="00A9617A"/>
    <w:rsid w:val="00A9655F"/>
    <w:rsid w:val="00A96597"/>
    <w:rsid w:val="00A96908"/>
    <w:rsid w:val="00A96B56"/>
    <w:rsid w:val="00A96C98"/>
    <w:rsid w:val="00A96F87"/>
    <w:rsid w:val="00A97253"/>
    <w:rsid w:val="00A97655"/>
    <w:rsid w:val="00A97A0C"/>
    <w:rsid w:val="00A97BC8"/>
    <w:rsid w:val="00A97FBC"/>
    <w:rsid w:val="00AA01BF"/>
    <w:rsid w:val="00AA031F"/>
    <w:rsid w:val="00AA041F"/>
    <w:rsid w:val="00AA05C6"/>
    <w:rsid w:val="00AA11EE"/>
    <w:rsid w:val="00AA19B6"/>
    <w:rsid w:val="00AA1A95"/>
    <w:rsid w:val="00AA260F"/>
    <w:rsid w:val="00AA283B"/>
    <w:rsid w:val="00AA293C"/>
    <w:rsid w:val="00AA2B79"/>
    <w:rsid w:val="00AA30D1"/>
    <w:rsid w:val="00AA32F0"/>
    <w:rsid w:val="00AA33CB"/>
    <w:rsid w:val="00AA36BC"/>
    <w:rsid w:val="00AA37D8"/>
    <w:rsid w:val="00AA3C66"/>
    <w:rsid w:val="00AA3C6C"/>
    <w:rsid w:val="00AA3D71"/>
    <w:rsid w:val="00AA3E09"/>
    <w:rsid w:val="00AA3F19"/>
    <w:rsid w:val="00AA41C2"/>
    <w:rsid w:val="00AA4BC6"/>
    <w:rsid w:val="00AA4F63"/>
    <w:rsid w:val="00AA532C"/>
    <w:rsid w:val="00AA5A59"/>
    <w:rsid w:val="00AA5C97"/>
    <w:rsid w:val="00AA5EFE"/>
    <w:rsid w:val="00AA625F"/>
    <w:rsid w:val="00AA6262"/>
    <w:rsid w:val="00AA636D"/>
    <w:rsid w:val="00AA68C0"/>
    <w:rsid w:val="00AA6FE9"/>
    <w:rsid w:val="00AA75AB"/>
    <w:rsid w:val="00AA763F"/>
    <w:rsid w:val="00AA7E76"/>
    <w:rsid w:val="00AA7F51"/>
    <w:rsid w:val="00AB0067"/>
    <w:rsid w:val="00AB0077"/>
    <w:rsid w:val="00AB02CA"/>
    <w:rsid w:val="00AB03AA"/>
    <w:rsid w:val="00AB060E"/>
    <w:rsid w:val="00AB066C"/>
    <w:rsid w:val="00AB0C47"/>
    <w:rsid w:val="00AB0D6A"/>
    <w:rsid w:val="00AB10FD"/>
    <w:rsid w:val="00AB13BD"/>
    <w:rsid w:val="00AB161A"/>
    <w:rsid w:val="00AB1B14"/>
    <w:rsid w:val="00AB1D21"/>
    <w:rsid w:val="00AB1EE7"/>
    <w:rsid w:val="00AB2279"/>
    <w:rsid w:val="00AB23F9"/>
    <w:rsid w:val="00AB250E"/>
    <w:rsid w:val="00AB2838"/>
    <w:rsid w:val="00AB2D0E"/>
    <w:rsid w:val="00AB2D29"/>
    <w:rsid w:val="00AB320E"/>
    <w:rsid w:val="00AB334D"/>
    <w:rsid w:val="00AB342D"/>
    <w:rsid w:val="00AB351B"/>
    <w:rsid w:val="00AB35A2"/>
    <w:rsid w:val="00AB36AF"/>
    <w:rsid w:val="00AB3924"/>
    <w:rsid w:val="00AB3DB5"/>
    <w:rsid w:val="00AB409F"/>
    <w:rsid w:val="00AB41EF"/>
    <w:rsid w:val="00AB44F4"/>
    <w:rsid w:val="00AB47FD"/>
    <w:rsid w:val="00AB4808"/>
    <w:rsid w:val="00AB488F"/>
    <w:rsid w:val="00AB4B37"/>
    <w:rsid w:val="00AB4BE4"/>
    <w:rsid w:val="00AB5232"/>
    <w:rsid w:val="00AB5324"/>
    <w:rsid w:val="00AB5762"/>
    <w:rsid w:val="00AB5C3A"/>
    <w:rsid w:val="00AB5DE2"/>
    <w:rsid w:val="00AB5F0C"/>
    <w:rsid w:val="00AB60DD"/>
    <w:rsid w:val="00AB637D"/>
    <w:rsid w:val="00AB63AF"/>
    <w:rsid w:val="00AB6786"/>
    <w:rsid w:val="00AB6B55"/>
    <w:rsid w:val="00AB6FC3"/>
    <w:rsid w:val="00AB718C"/>
    <w:rsid w:val="00AB7245"/>
    <w:rsid w:val="00AB725E"/>
    <w:rsid w:val="00AB72E5"/>
    <w:rsid w:val="00AB7947"/>
    <w:rsid w:val="00AB7F9A"/>
    <w:rsid w:val="00AC0172"/>
    <w:rsid w:val="00AC071B"/>
    <w:rsid w:val="00AC0C70"/>
    <w:rsid w:val="00AC1096"/>
    <w:rsid w:val="00AC116E"/>
    <w:rsid w:val="00AC117D"/>
    <w:rsid w:val="00AC1579"/>
    <w:rsid w:val="00AC1DF5"/>
    <w:rsid w:val="00AC2299"/>
    <w:rsid w:val="00AC2379"/>
    <w:rsid w:val="00AC2679"/>
    <w:rsid w:val="00AC289B"/>
    <w:rsid w:val="00AC2A41"/>
    <w:rsid w:val="00AC2A7C"/>
    <w:rsid w:val="00AC2C93"/>
    <w:rsid w:val="00AC2D3B"/>
    <w:rsid w:val="00AC2F14"/>
    <w:rsid w:val="00AC304E"/>
    <w:rsid w:val="00AC4269"/>
    <w:rsid w:val="00AC4BE4"/>
    <w:rsid w:val="00AC501A"/>
    <w:rsid w:val="00AC570C"/>
    <w:rsid w:val="00AC5C2F"/>
    <w:rsid w:val="00AC5D1B"/>
    <w:rsid w:val="00AC5F18"/>
    <w:rsid w:val="00AC6071"/>
    <w:rsid w:val="00AC681B"/>
    <w:rsid w:val="00AC6B16"/>
    <w:rsid w:val="00AC6BF9"/>
    <w:rsid w:val="00AC6C8B"/>
    <w:rsid w:val="00AC6CEA"/>
    <w:rsid w:val="00AC6D74"/>
    <w:rsid w:val="00AC7033"/>
    <w:rsid w:val="00AC710F"/>
    <w:rsid w:val="00AC7901"/>
    <w:rsid w:val="00AC791D"/>
    <w:rsid w:val="00AD0021"/>
    <w:rsid w:val="00AD0336"/>
    <w:rsid w:val="00AD0572"/>
    <w:rsid w:val="00AD05E6"/>
    <w:rsid w:val="00AD08AB"/>
    <w:rsid w:val="00AD0AA5"/>
    <w:rsid w:val="00AD0D3F"/>
    <w:rsid w:val="00AD108F"/>
    <w:rsid w:val="00AD1518"/>
    <w:rsid w:val="00AD167D"/>
    <w:rsid w:val="00AD176E"/>
    <w:rsid w:val="00AD18D2"/>
    <w:rsid w:val="00AD18EC"/>
    <w:rsid w:val="00AD1902"/>
    <w:rsid w:val="00AD1A58"/>
    <w:rsid w:val="00AD1EAE"/>
    <w:rsid w:val="00AD24E9"/>
    <w:rsid w:val="00AD29B2"/>
    <w:rsid w:val="00AD2A17"/>
    <w:rsid w:val="00AD2A5E"/>
    <w:rsid w:val="00AD2ECE"/>
    <w:rsid w:val="00AD3007"/>
    <w:rsid w:val="00AD32A7"/>
    <w:rsid w:val="00AD359B"/>
    <w:rsid w:val="00AD3813"/>
    <w:rsid w:val="00AD3946"/>
    <w:rsid w:val="00AD3B4C"/>
    <w:rsid w:val="00AD3C5F"/>
    <w:rsid w:val="00AD3FEE"/>
    <w:rsid w:val="00AD4006"/>
    <w:rsid w:val="00AD40BE"/>
    <w:rsid w:val="00AD425A"/>
    <w:rsid w:val="00AD44C6"/>
    <w:rsid w:val="00AD48BB"/>
    <w:rsid w:val="00AD4992"/>
    <w:rsid w:val="00AD4A26"/>
    <w:rsid w:val="00AD4B52"/>
    <w:rsid w:val="00AD4D28"/>
    <w:rsid w:val="00AD572E"/>
    <w:rsid w:val="00AD600B"/>
    <w:rsid w:val="00AD6194"/>
    <w:rsid w:val="00AD6248"/>
    <w:rsid w:val="00AD672F"/>
    <w:rsid w:val="00AD682B"/>
    <w:rsid w:val="00AD6DB9"/>
    <w:rsid w:val="00AD71BA"/>
    <w:rsid w:val="00AD788F"/>
    <w:rsid w:val="00AD7B2E"/>
    <w:rsid w:val="00AE05D4"/>
    <w:rsid w:val="00AE07B5"/>
    <w:rsid w:val="00AE07CD"/>
    <w:rsid w:val="00AE0C85"/>
    <w:rsid w:val="00AE0D39"/>
    <w:rsid w:val="00AE114D"/>
    <w:rsid w:val="00AE1179"/>
    <w:rsid w:val="00AE12F4"/>
    <w:rsid w:val="00AE176B"/>
    <w:rsid w:val="00AE1816"/>
    <w:rsid w:val="00AE1AB4"/>
    <w:rsid w:val="00AE1D36"/>
    <w:rsid w:val="00AE1D7D"/>
    <w:rsid w:val="00AE2345"/>
    <w:rsid w:val="00AE286B"/>
    <w:rsid w:val="00AE2A8B"/>
    <w:rsid w:val="00AE2B4A"/>
    <w:rsid w:val="00AE2CB7"/>
    <w:rsid w:val="00AE2DEB"/>
    <w:rsid w:val="00AE2F9D"/>
    <w:rsid w:val="00AE3449"/>
    <w:rsid w:val="00AE37A2"/>
    <w:rsid w:val="00AE393D"/>
    <w:rsid w:val="00AE399C"/>
    <w:rsid w:val="00AE3DFE"/>
    <w:rsid w:val="00AE3F64"/>
    <w:rsid w:val="00AE4460"/>
    <w:rsid w:val="00AE4A35"/>
    <w:rsid w:val="00AE4E83"/>
    <w:rsid w:val="00AE4F1A"/>
    <w:rsid w:val="00AE511E"/>
    <w:rsid w:val="00AE5A79"/>
    <w:rsid w:val="00AE68BB"/>
    <w:rsid w:val="00AE6AC2"/>
    <w:rsid w:val="00AE6C53"/>
    <w:rsid w:val="00AE742A"/>
    <w:rsid w:val="00AE75CB"/>
    <w:rsid w:val="00AE76D7"/>
    <w:rsid w:val="00AE7BCD"/>
    <w:rsid w:val="00AF0061"/>
    <w:rsid w:val="00AF0123"/>
    <w:rsid w:val="00AF0638"/>
    <w:rsid w:val="00AF075D"/>
    <w:rsid w:val="00AF0D34"/>
    <w:rsid w:val="00AF112C"/>
    <w:rsid w:val="00AF15E6"/>
    <w:rsid w:val="00AF1A62"/>
    <w:rsid w:val="00AF1B6A"/>
    <w:rsid w:val="00AF212E"/>
    <w:rsid w:val="00AF257D"/>
    <w:rsid w:val="00AF2A2D"/>
    <w:rsid w:val="00AF2AB6"/>
    <w:rsid w:val="00AF3149"/>
    <w:rsid w:val="00AF3507"/>
    <w:rsid w:val="00AF388F"/>
    <w:rsid w:val="00AF3C85"/>
    <w:rsid w:val="00AF3FF2"/>
    <w:rsid w:val="00AF415E"/>
    <w:rsid w:val="00AF4432"/>
    <w:rsid w:val="00AF496D"/>
    <w:rsid w:val="00AF4D52"/>
    <w:rsid w:val="00AF4D54"/>
    <w:rsid w:val="00AF4FED"/>
    <w:rsid w:val="00AF500E"/>
    <w:rsid w:val="00AF5059"/>
    <w:rsid w:val="00AF51B3"/>
    <w:rsid w:val="00AF544F"/>
    <w:rsid w:val="00AF5BD6"/>
    <w:rsid w:val="00AF5DF3"/>
    <w:rsid w:val="00AF5EB5"/>
    <w:rsid w:val="00AF61D5"/>
    <w:rsid w:val="00AF627A"/>
    <w:rsid w:val="00AF6694"/>
    <w:rsid w:val="00AF6933"/>
    <w:rsid w:val="00AF6B03"/>
    <w:rsid w:val="00AF7386"/>
    <w:rsid w:val="00AF763E"/>
    <w:rsid w:val="00AF78CE"/>
    <w:rsid w:val="00AF7934"/>
    <w:rsid w:val="00B002FF"/>
    <w:rsid w:val="00B00405"/>
    <w:rsid w:val="00B00645"/>
    <w:rsid w:val="00B007FA"/>
    <w:rsid w:val="00B00B81"/>
    <w:rsid w:val="00B01218"/>
    <w:rsid w:val="00B0124D"/>
    <w:rsid w:val="00B017B4"/>
    <w:rsid w:val="00B017C7"/>
    <w:rsid w:val="00B01E36"/>
    <w:rsid w:val="00B02050"/>
    <w:rsid w:val="00B022CA"/>
    <w:rsid w:val="00B025E5"/>
    <w:rsid w:val="00B02B7D"/>
    <w:rsid w:val="00B02CE8"/>
    <w:rsid w:val="00B03028"/>
    <w:rsid w:val="00B03472"/>
    <w:rsid w:val="00B039DA"/>
    <w:rsid w:val="00B03CA9"/>
    <w:rsid w:val="00B03D62"/>
    <w:rsid w:val="00B03F35"/>
    <w:rsid w:val="00B041C3"/>
    <w:rsid w:val="00B042A5"/>
    <w:rsid w:val="00B04533"/>
    <w:rsid w:val="00B04580"/>
    <w:rsid w:val="00B04704"/>
    <w:rsid w:val="00B049C4"/>
    <w:rsid w:val="00B04A9C"/>
    <w:rsid w:val="00B04B09"/>
    <w:rsid w:val="00B04CBC"/>
    <w:rsid w:val="00B04F36"/>
    <w:rsid w:val="00B050AE"/>
    <w:rsid w:val="00B054FC"/>
    <w:rsid w:val="00B05C48"/>
    <w:rsid w:val="00B06141"/>
    <w:rsid w:val="00B0629D"/>
    <w:rsid w:val="00B064BF"/>
    <w:rsid w:val="00B0660C"/>
    <w:rsid w:val="00B0674E"/>
    <w:rsid w:val="00B06963"/>
    <w:rsid w:val="00B06AF1"/>
    <w:rsid w:val="00B06CD2"/>
    <w:rsid w:val="00B07870"/>
    <w:rsid w:val="00B07A75"/>
    <w:rsid w:val="00B101EC"/>
    <w:rsid w:val="00B10803"/>
    <w:rsid w:val="00B10E3C"/>
    <w:rsid w:val="00B10F5B"/>
    <w:rsid w:val="00B1138F"/>
    <w:rsid w:val="00B119E1"/>
    <w:rsid w:val="00B11AB6"/>
    <w:rsid w:val="00B121B4"/>
    <w:rsid w:val="00B122A2"/>
    <w:rsid w:val="00B12449"/>
    <w:rsid w:val="00B132EA"/>
    <w:rsid w:val="00B13618"/>
    <w:rsid w:val="00B136E7"/>
    <w:rsid w:val="00B13897"/>
    <w:rsid w:val="00B138A0"/>
    <w:rsid w:val="00B13CF3"/>
    <w:rsid w:val="00B140D1"/>
    <w:rsid w:val="00B150CA"/>
    <w:rsid w:val="00B150F2"/>
    <w:rsid w:val="00B155C4"/>
    <w:rsid w:val="00B15FD5"/>
    <w:rsid w:val="00B16A51"/>
    <w:rsid w:val="00B16C78"/>
    <w:rsid w:val="00B1707A"/>
    <w:rsid w:val="00B17275"/>
    <w:rsid w:val="00B173EA"/>
    <w:rsid w:val="00B177CE"/>
    <w:rsid w:val="00B17AA5"/>
    <w:rsid w:val="00B17C8C"/>
    <w:rsid w:val="00B203F9"/>
    <w:rsid w:val="00B2058E"/>
    <w:rsid w:val="00B206F8"/>
    <w:rsid w:val="00B2073D"/>
    <w:rsid w:val="00B20ABA"/>
    <w:rsid w:val="00B20DC0"/>
    <w:rsid w:val="00B20E8A"/>
    <w:rsid w:val="00B20EB0"/>
    <w:rsid w:val="00B210D7"/>
    <w:rsid w:val="00B21539"/>
    <w:rsid w:val="00B2159D"/>
    <w:rsid w:val="00B219C4"/>
    <w:rsid w:val="00B21A96"/>
    <w:rsid w:val="00B21B93"/>
    <w:rsid w:val="00B21D7E"/>
    <w:rsid w:val="00B21D9E"/>
    <w:rsid w:val="00B21E6D"/>
    <w:rsid w:val="00B22225"/>
    <w:rsid w:val="00B22583"/>
    <w:rsid w:val="00B22A2E"/>
    <w:rsid w:val="00B2320E"/>
    <w:rsid w:val="00B232CE"/>
    <w:rsid w:val="00B233BF"/>
    <w:rsid w:val="00B23522"/>
    <w:rsid w:val="00B23DBB"/>
    <w:rsid w:val="00B23EA4"/>
    <w:rsid w:val="00B23F94"/>
    <w:rsid w:val="00B24269"/>
    <w:rsid w:val="00B24298"/>
    <w:rsid w:val="00B24362"/>
    <w:rsid w:val="00B247B6"/>
    <w:rsid w:val="00B24A98"/>
    <w:rsid w:val="00B24C68"/>
    <w:rsid w:val="00B24D72"/>
    <w:rsid w:val="00B251C9"/>
    <w:rsid w:val="00B253A6"/>
    <w:rsid w:val="00B25440"/>
    <w:rsid w:val="00B256D3"/>
    <w:rsid w:val="00B257CB"/>
    <w:rsid w:val="00B26568"/>
    <w:rsid w:val="00B266DE"/>
    <w:rsid w:val="00B267CB"/>
    <w:rsid w:val="00B26E5F"/>
    <w:rsid w:val="00B270CE"/>
    <w:rsid w:val="00B27251"/>
    <w:rsid w:val="00B275B6"/>
    <w:rsid w:val="00B27C82"/>
    <w:rsid w:val="00B27D9A"/>
    <w:rsid w:val="00B27DCE"/>
    <w:rsid w:val="00B27F1C"/>
    <w:rsid w:val="00B300F3"/>
    <w:rsid w:val="00B30150"/>
    <w:rsid w:val="00B30422"/>
    <w:rsid w:val="00B30559"/>
    <w:rsid w:val="00B305F6"/>
    <w:rsid w:val="00B3076F"/>
    <w:rsid w:val="00B30F51"/>
    <w:rsid w:val="00B3132A"/>
    <w:rsid w:val="00B31D48"/>
    <w:rsid w:val="00B321A6"/>
    <w:rsid w:val="00B32222"/>
    <w:rsid w:val="00B32719"/>
    <w:rsid w:val="00B327D6"/>
    <w:rsid w:val="00B32EDF"/>
    <w:rsid w:val="00B33133"/>
    <w:rsid w:val="00B332F5"/>
    <w:rsid w:val="00B3387D"/>
    <w:rsid w:val="00B33DD5"/>
    <w:rsid w:val="00B33E1E"/>
    <w:rsid w:val="00B33F3D"/>
    <w:rsid w:val="00B33FAF"/>
    <w:rsid w:val="00B344BC"/>
    <w:rsid w:val="00B345CF"/>
    <w:rsid w:val="00B34ABA"/>
    <w:rsid w:val="00B34D55"/>
    <w:rsid w:val="00B34F9A"/>
    <w:rsid w:val="00B35336"/>
    <w:rsid w:val="00B35874"/>
    <w:rsid w:val="00B3618D"/>
    <w:rsid w:val="00B36233"/>
    <w:rsid w:val="00B362AF"/>
    <w:rsid w:val="00B36772"/>
    <w:rsid w:val="00B36898"/>
    <w:rsid w:val="00B36C82"/>
    <w:rsid w:val="00B36DBB"/>
    <w:rsid w:val="00B37554"/>
    <w:rsid w:val="00B375BC"/>
    <w:rsid w:val="00B3770E"/>
    <w:rsid w:val="00B379ED"/>
    <w:rsid w:val="00B37A91"/>
    <w:rsid w:val="00B37ED0"/>
    <w:rsid w:val="00B4096E"/>
    <w:rsid w:val="00B412E7"/>
    <w:rsid w:val="00B41B81"/>
    <w:rsid w:val="00B41D62"/>
    <w:rsid w:val="00B42523"/>
    <w:rsid w:val="00B42525"/>
    <w:rsid w:val="00B42851"/>
    <w:rsid w:val="00B42F00"/>
    <w:rsid w:val="00B4350C"/>
    <w:rsid w:val="00B4359F"/>
    <w:rsid w:val="00B44168"/>
    <w:rsid w:val="00B44563"/>
    <w:rsid w:val="00B44580"/>
    <w:rsid w:val="00B44966"/>
    <w:rsid w:val="00B4498D"/>
    <w:rsid w:val="00B44B62"/>
    <w:rsid w:val="00B44BFC"/>
    <w:rsid w:val="00B455F3"/>
    <w:rsid w:val="00B457F1"/>
    <w:rsid w:val="00B459FD"/>
    <w:rsid w:val="00B45AC7"/>
    <w:rsid w:val="00B45CA0"/>
    <w:rsid w:val="00B45DB0"/>
    <w:rsid w:val="00B45DB6"/>
    <w:rsid w:val="00B45DDF"/>
    <w:rsid w:val="00B45E99"/>
    <w:rsid w:val="00B4602E"/>
    <w:rsid w:val="00B46BB8"/>
    <w:rsid w:val="00B46CA2"/>
    <w:rsid w:val="00B46CEE"/>
    <w:rsid w:val="00B46FAA"/>
    <w:rsid w:val="00B4772C"/>
    <w:rsid w:val="00B47775"/>
    <w:rsid w:val="00B4790D"/>
    <w:rsid w:val="00B47B81"/>
    <w:rsid w:val="00B47E93"/>
    <w:rsid w:val="00B47F4C"/>
    <w:rsid w:val="00B501EB"/>
    <w:rsid w:val="00B50587"/>
    <w:rsid w:val="00B50722"/>
    <w:rsid w:val="00B508DE"/>
    <w:rsid w:val="00B50A1F"/>
    <w:rsid w:val="00B51731"/>
    <w:rsid w:val="00B517C3"/>
    <w:rsid w:val="00B5180E"/>
    <w:rsid w:val="00B5190F"/>
    <w:rsid w:val="00B51D65"/>
    <w:rsid w:val="00B52390"/>
    <w:rsid w:val="00B525F1"/>
    <w:rsid w:val="00B5262C"/>
    <w:rsid w:val="00B52B94"/>
    <w:rsid w:val="00B52D11"/>
    <w:rsid w:val="00B52EEF"/>
    <w:rsid w:val="00B535F2"/>
    <w:rsid w:val="00B5372F"/>
    <w:rsid w:val="00B5376D"/>
    <w:rsid w:val="00B538B5"/>
    <w:rsid w:val="00B53AF6"/>
    <w:rsid w:val="00B54338"/>
    <w:rsid w:val="00B550F1"/>
    <w:rsid w:val="00B551DA"/>
    <w:rsid w:val="00B5537D"/>
    <w:rsid w:val="00B55ACF"/>
    <w:rsid w:val="00B55AE4"/>
    <w:rsid w:val="00B55BF9"/>
    <w:rsid w:val="00B56068"/>
    <w:rsid w:val="00B56334"/>
    <w:rsid w:val="00B56471"/>
    <w:rsid w:val="00B56A67"/>
    <w:rsid w:val="00B56ADF"/>
    <w:rsid w:val="00B56B64"/>
    <w:rsid w:val="00B56BD4"/>
    <w:rsid w:val="00B57A38"/>
    <w:rsid w:val="00B57D3E"/>
    <w:rsid w:val="00B57F7A"/>
    <w:rsid w:val="00B6062D"/>
    <w:rsid w:val="00B60900"/>
    <w:rsid w:val="00B61129"/>
    <w:rsid w:val="00B61332"/>
    <w:rsid w:val="00B61467"/>
    <w:rsid w:val="00B61E25"/>
    <w:rsid w:val="00B625F7"/>
    <w:rsid w:val="00B627CE"/>
    <w:rsid w:val="00B629AC"/>
    <w:rsid w:val="00B62BF4"/>
    <w:rsid w:val="00B632FB"/>
    <w:rsid w:val="00B636B4"/>
    <w:rsid w:val="00B6374C"/>
    <w:rsid w:val="00B639E4"/>
    <w:rsid w:val="00B63B1B"/>
    <w:rsid w:val="00B63EE5"/>
    <w:rsid w:val="00B64074"/>
    <w:rsid w:val="00B642FC"/>
    <w:rsid w:val="00B6446C"/>
    <w:rsid w:val="00B64782"/>
    <w:rsid w:val="00B647A1"/>
    <w:rsid w:val="00B64C4D"/>
    <w:rsid w:val="00B65506"/>
    <w:rsid w:val="00B655EB"/>
    <w:rsid w:val="00B6575C"/>
    <w:rsid w:val="00B66A9A"/>
    <w:rsid w:val="00B66B70"/>
    <w:rsid w:val="00B66C8A"/>
    <w:rsid w:val="00B66E31"/>
    <w:rsid w:val="00B66EB7"/>
    <w:rsid w:val="00B6711A"/>
    <w:rsid w:val="00B6796E"/>
    <w:rsid w:val="00B67E7F"/>
    <w:rsid w:val="00B70129"/>
    <w:rsid w:val="00B7019D"/>
    <w:rsid w:val="00B70376"/>
    <w:rsid w:val="00B70405"/>
    <w:rsid w:val="00B70A69"/>
    <w:rsid w:val="00B70B45"/>
    <w:rsid w:val="00B70C66"/>
    <w:rsid w:val="00B71055"/>
    <w:rsid w:val="00B71448"/>
    <w:rsid w:val="00B71731"/>
    <w:rsid w:val="00B71AD6"/>
    <w:rsid w:val="00B71F3F"/>
    <w:rsid w:val="00B72144"/>
    <w:rsid w:val="00B7222E"/>
    <w:rsid w:val="00B7239F"/>
    <w:rsid w:val="00B72425"/>
    <w:rsid w:val="00B727E8"/>
    <w:rsid w:val="00B72CB8"/>
    <w:rsid w:val="00B72E6D"/>
    <w:rsid w:val="00B73442"/>
    <w:rsid w:val="00B73BF9"/>
    <w:rsid w:val="00B74696"/>
    <w:rsid w:val="00B747A8"/>
    <w:rsid w:val="00B74C85"/>
    <w:rsid w:val="00B74CD0"/>
    <w:rsid w:val="00B74E81"/>
    <w:rsid w:val="00B74F2A"/>
    <w:rsid w:val="00B75049"/>
    <w:rsid w:val="00B7520B"/>
    <w:rsid w:val="00B75826"/>
    <w:rsid w:val="00B75956"/>
    <w:rsid w:val="00B75A04"/>
    <w:rsid w:val="00B75CC5"/>
    <w:rsid w:val="00B75D7E"/>
    <w:rsid w:val="00B760DB"/>
    <w:rsid w:val="00B76143"/>
    <w:rsid w:val="00B76604"/>
    <w:rsid w:val="00B766CE"/>
    <w:rsid w:val="00B768D7"/>
    <w:rsid w:val="00B76B28"/>
    <w:rsid w:val="00B76BF4"/>
    <w:rsid w:val="00B76FBB"/>
    <w:rsid w:val="00B771B7"/>
    <w:rsid w:val="00B77251"/>
    <w:rsid w:val="00B77B25"/>
    <w:rsid w:val="00B77C3F"/>
    <w:rsid w:val="00B77E74"/>
    <w:rsid w:val="00B8028B"/>
    <w:rsid w:val="00B80B47"/>
    <w:rsid w:val="00B81283"/>
    <w:rsid w:val="00B8135D"/>
    <w:rsid w:val="00B81608"/>
    <w:rsid w:val="00B81776"/>
    <w:rsid w:val="00B817B0"/>
    <w:rsid w:val="00B81892"/>
    <w:rsid w:val="00B818BE"/>
    <w:rsid w:val="00B81959"/>
    <w:rsid w:val="00B81C08"/>
    <w:rsid w:val="00B81E89"/>
    <w:rsid w:val="00B81F37"/>
    <w:rsid w:val="00B8220E"/>
    <w:rsid w:val="00B823F9"/>
    <w:rsid w:val="00B82735"/>
    <w:rsid w:val="00B830DD"/>
    <w:rsid w:val="00B83544"/>
    <w:rsid w:val="00B839B2"/>
    <w:rsid w:val="00B83B27"/>
    <w:rsid w:val="00B83CF4"/>
    <w:rsid w:val="00B84910"/>
    <w:rsid w:val="00B84BFB"/>
    <w:rsid w:val="00B84CB3"/>
    <w:rsid w:val="00B84D05"/>
    <w:rsid w:val="00B8505C"/>
    <w:rsid w:val="00B85222"/>
    <w:rsid w:val="00B85486"/>
    <w:rsid w:val="00B8589E"/>
    <w:rsid w:val="00B85B30"/>
    <w:rsid w:val="00B8623C"/>
    <w:rsid w:val="00B86F5C"/>
    <w:rsid w:val="00B8703F"/>
    <w:rsid w:val="00B873EC"/>
    <w:rsid w:val="00B87447"/>
    <w:rsid w:val="00B875EC"/>
    <w:rsid w:val="00B876D9"/>
    <w:rsid w:val="00B87DA8"/>
    <w:rsid w:val="00B9000B"/>
    <w:rsid w:val="00B900F4"/>
    <w:rsid w:val="00B902F9"/>
    <w:rsid w:val="00B904FD"/>
    <w:rsid w:val="00B91057"/>
    <w:rsid w:val="00B910E7"/>
    <w:rsid w:val="00B9160D"/>
    <w:rsid w:val="00B916F2"/>
    <w:rsid w:val="00B91906"/>
    <w:rsid w:val="00B91A0B"/>
    <w:rsid w:val="00B9217B"/>
    <w:rsid w:val="00B922C2"/>
    <w:rsid w:val="00B92447"/>
    <w:rsid w:val="00B93BDC"/>
    <w:rsid w:val="00B94252"/>
    <w:rsid w:val="00B942A0"/>
    <w:rsid w:val="00B94828"/>
    <w:rsid w:val="00B9484F"/>
    <w:rsid w:val="00B94B7F"/>
    <w:rsid w:val="00B94C19"/>
    <w:rsid w:val="00B95156"/>
    <w:rsid w:val="00B95CE9"/>
    <w:rsid w:val="00B95D91"/>
    <w:rsid w:val="00B9636A"/>
    <w:rsid w:val="00B96555"/>
    <w:rsid w:val="00B96DBE"/>
    <w:rsid w:val="00B9715A"/>
    <w:rsid w:val="00B9721F"/>
    <w:rsid w:val="00B9775C"/>
    <w:rsid w:val="00B97FAE"/>
    <w:rsid w:val="00BA0BC2"/>
    <w:rsid w:val="00BA1314"/>
    <w:rsid w:val="00BA14BE"/>
    <w:rsid w:val="00BA15C0"/>
    <w:rsid w:val="00BA1652"/>
    <w:rsid w:val="00BA1985"/>
    <w:rsid w:val="00BA1B06"/>
    <w:rsid w:val="00BA1EB1"/>
    <w:rsid w:val="00BA24CB"/>
    <w:rsid w:val="00BA2732"/>
    <w:rsid w:val="00BA291D"/>
    <w:rsid w:val="00BA293D"/>
    <w:rsid w:val="00BA29DF"/>
    <w:rsid w:val="00BA2A7F"/>
    <w:rsid w:val="00BA2AE7"/>
    <w:rsid w:val="00BA38CA"/>
    <w:rsid w:val="00BA3A95"/>
    <w:rsid w:val="00BA3AD3"/>
    <w:rsid w:val="00BA3FE1"/>
    <w:rsid w:val="00BA43A8"/>
    <w:rsid w:val="00BA4594"/>
    <w:rsid w:val="00BA483B"/>
    <w:rsid w:val="00BA489C"/>
    <w:rsid w:val="00BA49BC"/>
    <w:rsid w:val="00BA4DE4"/>
    <w:rsid w:val="00BA4E6C"/>
    <w:rsid w:val="00BA5516"/>
    <w:rsid w:val="00BA56B7"/>
    <w:rsid w:val="00BA5839"/>
    <w:rsid w:val="00BA588B"/>
    <w:rsid w:val="00BA594B"/>
    <w:rsid w:val="00BA5B10"/>
    <w:rsid w:val="00BA5F21"/>
    <w:rsid w:val="00BA64EE"/>
    <w:rsid w:val="00BA663F"/>
    <w:rsid w:val="00BA69BF"/>
    <w:rsid w:val="00BA70AB"/>
    <w:rsid w:val="00BA7643"/>
    <w:rsid w:val="00BA786F"/>
    <w:rsid w:val="00BA7A1E"/>
    <w:rsid w:val="00BA7CA3"/>
    <w:rsid w:val="00BA7CA9"/>
    <w:rsid w:val="00BB0127"/>
    <w:rsid w:val="00BB082A"/>
    <w:rsid w:val="00BB08AE"/>
    <w:rsid w:val="00BB11C6"/>
    <w:rsid w:val="00BB13AC"/>
    <w:rsid w:val="00BB14C8"/>
    <w:rsid w:val="00BB2086"/>
    <w:rsid w:val="00BB20A8"/>
    <w:rsid w:val="00BB252A"/>
    <w:rsid w:val="00BB2998"/>
    <w:rsid w:val="00BB29DC"/>
    <w:rsid w:val="00BB2B40"/>
    <w:rsid w:val="00BB2BE3"/>
    <w:rsid w:val="00BB2C88"/>
    <w:rsid w:val="00BB2F6C"/>
    <w:rsid w:val="00BB316F"/>
    <w:rsid w:val="00BB37D7"/>
    <w:rsid w:val="00BB3875"/>
    <w:rsid w:val="00BB3DF4"/>
    <w:rsid w:val="00BB4031"/>
    <w:rsid w:val="00BB4597"/>
    <w:rsid w:val="00BB47A1"/>
    <w:rsid w:val="00BB48A0"/>
    <w:rsid w:val="00BB5860"/>
    <w:rsid w:val="00BB590E"/>
    <w:rsid w:val="00BB5A61"/>
    <w:rsid w:val="00BB611A"/>
    <w:rsid w:val="00BB6327"/>
    <w:rsid w:val="00BB66D9"/>
    <w:rsid w:val="00BB6750"/>
    <w:rsid w:val="00BB67E8"/>
    <w:rsid w:val="00BB6AAD"/>
    <w:rsid w:val="00BB6ACD"/>
    <w:rsid w:val="00BB6B32"/>
    <w:rsid w:val="00BB70F1"/>
    <w:rsid w:val="00BB7258"/>
    <w:rsid w:val="00BB74C9"/>
    <w:rsid w:val="00BB75F6"/>
    <w:rsid w:val="00BC00A5"/>
    <w:rsid w:val="00BC00B9"/>
    <w:rsid w:val="00BC01B0"/>
    <w:rsid w:val="00BC08AD"/>
    <w:rsid w:val="00BC0D43"/>
    <w:rsid w:val="00BC0E2C"/>
    <w:rsid w:val="00BC1246"/>
    <w:rsid w:val="00BC133A"/>
    <w:rsid w:val="00BC1679"/>
    <w:rsid w:val="00BC1A3A"/>
    <w:rsid w:val="00BC2021"/>
    <w:rsid w:val="00BC2130"/>
    <w:rsid w:val="00BC2323"/>
    <w:rsid w:val="00BC24A1"/>
    <w:rsid w:val="00BC2693"/>
    <w:rsid w:val="00BC317F"/>
    <w:rsid w:val="00BC373D"/>
    <w:rsid w:val="00BC3ADC"/>
    <w:rsid w:val="00BC3B00"/>
    <w:rsid w:val="00BC3E2B"/>
    <w:rsid w:val="00BC4247"/>
    <w:rsid w:val="00BC42F2"/>
    <w:rsid w:val="00BC455A"/>
    <w:rsid w:val="00BC46E9"/>
    <w:rsid w:val="00BC4A19"/>
    <w:rsid w:val="00BC4A3C"/>
    <w:rsid w:val="00BC4BB6"/>
    <w:rsid w:val="00BC4CF3"/>
    <w:rsid w:val="00BC4D60"/>
    <w:rsid w:val="00BC4D6A"/>
    <w:rsid w:val="00BC4E6D"/>
    <w:rsid w:val="00BC4EC9"/>
    <w:rsid w:val="00BC51C7"/>
    <w:rsid w:val="00BC51F0"/>
    <w:rsid w:val="00BC5848"/>
    <w:rsid w:val="00BC5B60"/>
    <w:rsid w:val="00BC5C2B"/>
    <w:rsid w:val="00BC5C4A"/>
    <w:rsid w:val="00BC5E3C"/>
    <w:rsid w:val="00BC64AC"/>
    <w:rsid w:val="00BC6622"/>
    <w:rsid w:val="00BC67C2"/>
    <w:rsid w:val="00BC6CBB"/>
    <w:rsid w:val="00BC6D27"/>
    <w:rsid w:val="00BC77A1"/>
    <w:rsid w:val="00BD0102"/>
    <w:rsid w:val="00BD0227"/>
    <w:rsid w:val="00BD0407"/>
    <w:rsid w:val="00BD0408"/>
    <w:rsid w:val="00BD0427"/>
    <w:rsid w:val="00BD055A"/>
    <w:rsid w:val="00BD0617"/>
    <w:rsid w:val="00BD0C98"/>
    <w:rsid w:val="00BD0F6E"/>
    <w:rsid w:val="00BD1458"/>
    <w:rsid w:val="00BD160B"/>
    <w:rsid w:val="00BD1680"/>
    <w:rsid w:val="00BD18D9"/>
    <w:rsid w:val="00BD1AE6"/>
    <w:rsid w:val="00BD2593"/>
    <w:rsid w:val="00BD2704"/>
    <w:rsid w:val="00BD2A01"/>
    <w:rsid w:val="00BD2AB4"/>
    <w:rsid w:val="00BD2E9B"/>
    <w:rsid w:val="00BD3080"/>
    <w:rsid w:val="00BD30B8"/>
    <w:rsid w:val="00BD31B0"/>
    <w:rsid w:val="00BD36DB"/>
    <w:rsid w:val="00BD3C72"/>
    <w:rsid w:val="00BD3DED"/>
    <w:rsid w:val="00BD402F"/>
    <w:rsid w:val="00BD4136"/>
    <w:rsid w:val="00BD4803"/>
    <w:rsid w:val="00BD4CA5"/>
    <w:rsid w:val="00BD4EDD"/>
    <w:rsid w:val="00BD51B7"/>
    <w:rsid w:val="00BD51E2"/>
    <w:rsid w:val="00BD55E3"/>
    <w:rsid w:val="00BD5BF2"/>
    <w:rsid w:val="00BD5CFE"/>
    <w:rsid w:val="00BD6278"/>
    <w:rsid w:val="00BD6632"/>
    <w:rsid w:val="00BD6A51"/>
    <w:rsid w:val="00BD6BAC"/>
    <w:rsid w:val="00BD6C5C"/>
    <w:rsid w:val="00BD6DFE"/>
    <w:rsid w:val="00BD7E07"/>
    <w:rsid w:val="00BD7FAD"/>
    <w:rsid w:val="00BE0281"/>
    <w:rsid w:val="00BE04B0"/>
    <w:rsid w:val="00BE100A"/>
    <w:rsid w:val="00BE1AC4"/>
    <w:rsid w:val="00BE1B44"/>
    <w:rsid w:val="00BE1C5F"/>
    <w:rsid w:val="00BE2078"/>
    <w:rsid w:val="00BE22F7"/>
    <w:rsid w:val="00BE2524"/>
    <w:rsid w:val="00BE25D5"/>
    <w:rsid w:val="00BE278B"/>
    <w:rsid w:val="00BE2C0C"/>
    <w:rsid w:val="00BE3019"/>
    <w:rsid w:val="00BE35E3"/>
    <w:rsid w:val="00BE3739"/>
    <w:rsid w:val="00BE3886"/>
    <w:rsid w:val="00BE48F6"/>
    <w:rsid w:val="00BE5123"/>
    <w:rsid w:val="00BE546D"/>
    <w:rsid w:val="00BE58FE"/>
    <w:rsid w:val="00BE5A1A"/>
    <w:rsid w:val="00BE5B7F"/>
    <w:rsid w:val="00BE5CB5"/>
    <w:rsid w:val="00BE5DAD"/>
    <w:rsid w:val="00BE5F4F"/>
    <w:rsid w:val="00BE6179"/>
    <w:rsid w:val="00BE6525"/>
    <w:rsid w:val="00BE661F"/>
    <w:rsid w:val="00BE67D7"/>
    <w:rsid w:val="00BE6BD4"/>
    <w:rsid w:val="00BE6DC7"/>
    <w:rsid w:val="00BE6F5F"/>
    <w:rsid w:val="00BE6F6E"/>
    <w:rsid w:val="00BE70BF"/>
    <w:rsid w:val="00BE75CC"/>
    <w:rsid w:val="00BE7D89"/>
    <w:rsid w:val="00BF0088"/>
    <w:rsid w:val="00BF0306"/>
    <w:rsid w:val="00BF040A"/>
    <w:rsid w:val="00BF072E"/>
    <w:rsid w:val="00BF09DD"/>
    <w:rsid w:val="00BF1559"/>
    <w:rsid w:val="00BF170F"/>
    <w:rsid w:val="00BF194C"/>
    <w:rsid w:val="00BF1C4F"/>
    <w:rsid w:val="00BF1DD1"/>
    <w:rsid w:val="00BF2245"/>
    <w:rsid w:val="00BF28A0"/>
    <w:rsid w:val="00BF2C8F"/>
    <w:rsid w:val="00BF2DD6"/>
    <w:rsid w:val="00BF2DD9"/>
    <w:rsid w:val="00BF318C"/>
    <w:rsid w:val="00BF3410"/>
    <w:rsid w:val="00BF3488"/>
    <w:rsid w:val="00BF4257"/>
    <w:rsid w:val="00BF4643"/>
    <w:rsid w:val="00BF4998"/>
    <w:rsid w:val="00BF4A2D"/>
    <w:rsid w:val="00BF4B13"/>
    <w:rsid w:val="00BF507B"/>
    <w:rsid w:val="00BF52D5"/>
    <w:rsid w:val="00BF57BB"/>
    <w:rsid w:val="00BF592A"/>
    <w:rsid w:val="00BF5DC1"/>
    <w:rsid w:val="00BF5F14"/>
    <w:rsid w:val="00BF6B91"/>
    <w:rsid w:val="00C00682"/>
    <w:rsid w:val="00C00930"/>
    <w:rsid w:val="00C00BD9"/>
    <w:rsid w:val="00C00CC1"/>
    <w:rsid w:val="00C011CC"/>
    <w:rsid w:val="00C01213"/>
    <w:rsid w:val="00C01539"/>
    <w:rsid w:val="00C016DE"/>
    <w:rsid w:val="00C01B54"/>
    <w:rsid w:val="00C0205A"/>
    <w:rsid w:val="00C022D6"/>
    <w:rsid w:val="00C02656"/>
    <w:rsid w:val="00C02727"/>
    <w:rsid w:val="00C02959"/>
    <w:rsid w:val="00C029BB"/>
    <w:rsid w:val="00C02A63"/>
    <w:rsid w:val="00C0324F"/>
    <w:rsid w:val="00C036E8"/>
    <w:rsid w:val="00C03CC6"/>
    <w:rsid w:val="00C03DBD"/>
    <w:rsid w:val="00C03F3B"/>
    <w:rsid w:val="00C0439D"/>
    <w:rsid w:val="00C0446B"/>
    <w:rsid w:val="00C046B0"/>
    <w:rsid w:val="00C048A5"/>
    <w:rsid w:val="00C0495C"/>
    <w:rsid w:val="00C049CC"/>
    <w:rsid w:val="00C04A30"/>
    <w:rsid w:val="00C04B8B"/>
    <w:rsid w:val="00C04FEE"/>
    <w:rsid w:val="00C05472"/>
    <w:rsid w:val="00C055BD"/>
    <w:rsid w:val="00C0570E"/>
    <w:rsid w:val="00C0591F"/>
    <w:rsid w:val="00C0599B"/>
    <w:rsid w:val="00C060AD"/>
    <w:rsid w:val="00C063CC"/>
    <w:rsid w:val="00C065B1"/>
    <w:rsid w:val="00C0670D"/>
    <w:rsid w:val="00C06712"/>
    <w:rsid w:val="00C06DF5"/>
    <w:rsid w:val="00C06EA5"/>
    <w:rsid w:val="00C078C2"/>
    <w:rsid w:val="00C07DAE"/>
    <w:rsid w:val="00C10248"/>
    <w:rsid w:val="00C10275"/>
    <w:rsid w:val="00C1073B"/>
    <w:rsid w:val="00C10CD6"/>
    <w:rsid w:val="00C10F1D"/>
    <w:rsid w:val="00C113BF"/>
    <w:rsid w:val="00C11559"/>
    <w:rsid w:val="00C115BA"/>
    <w:rsid w:val="00C116CB"/>
    <w:rsid w:val="00C11B22"/>
    <w:rsid w:val="00C11C31"/>
    <w:rsid w:val="00C11C84"/>
    <w:rsid w:val="00C11CB3"/>
    <w:rsid w:val="00C11EDD"/>
    <w:rsid w:val="00C11FA4"/>
    <w:rsid w:val="00C122C0"/>
    <w:rsid w:val="00C128CA"/>
    <w:rsid w:val="00C12FB4"/>
    <w:rsid w:val="00C13360"/>
    <w:rsid w:val="00C13BBC"/>
    <w:rsid w:val="00C13F65"/>
    <w:rsid w:val="00C147D7"/>
    <w:rsid w:val="00C14971"/>
    <w:rsid w:val="00C14AF3"/>
    <w:rsid w:val="00C14EC0"/>
    <w:rsid w:val="00C1509F"/>
    <w:rsid w:val="00C152AE"/>
    <w:rsid w:val="00C15440"/>
    <w:rsid w:val="00C15DD0"/>
    <w:rsid w:val="00C16479"/>
    <w:rsid w:val="00C164F0"/>
    <w:rsid w:val="00C165B6"/>
    <w:rsid w:val="00C16622"/>
    <w:rsid w:val="00C17886"/>
    <w:rsid w:val="00C17A40"/>
    <w:rsid w:val="00C17F8E"/>
    <w:rsid w:val="00C20026"/>
    <w:rsid w:val="00C20385"/>
    <w:rsid w:val="00C20520"/>
    <w:rsid w:val="00C20666"/>
    <w:rsid w:val="00C206BA"/>
    <w:rsid w:val="00C207F8"/>
    <w:rsid w:val="00C208E2"/>
    <w:rsid w:val="00C2092D"/>
    <w:rsid w:val="00C20B85"/>
    <w:rsid w:val="00C2176E"/>
    <w:rsid w:val="00C22080"/>
    <w:rsid w:val="00C225B3"/>
    <w:rsid w:val="00C22EFD"/>
    <w:rsid w:val="00C231A3"/>
    <w:rsid w:val="00C23408"/>
    <w:rsid w:val="00C23430"/>
    <w:rsid w:val="00C234AB"/>
    <w:rsid w:val="00C24416"/>
    <w:rsid w:val="00C24422"/>
    <w:rsid w:val="00C2457F"/>
    <w:rsid w:val="00C247A2"/>
    <w:rsid w:val="00C24A9F"/>
    <w:rsid w:val="00C250B2"/>
    <w:rsid w:val="00C25248"/>
    <w:rsid w:val="00C2541A"/>
    <w:rsid w:val="00C256A2"/>
    <w:rsid w:val="00C2606D"/>
    <w:rsid w:val="00C261FE"/>
    <w:rsid w:val="00C26DF4"/>
    <w:rsid w:val="00C27921"/>
    <w:rsid w:val="00C27B02"/>
    <w:rsid w:val="00C27D67"/>
    <w:rsid w:val="00C27DAC"/>
    <w:rsid w:val="00C3034F"/>
    <w:rsid w:val="00C306BE"/>
    <w:rsid w:val="00C3077B"/>
    <w:rsid w:val="00C30AC2"/>
    <w:rsid w:val="00C30EA5"/>
    <w:rsid w:val="00C30F28"/>
    <w:rsid w:val="00C310AF"/>
    <w:rsid w:val="00C31A3E"/>
    <w:rsid w:val="00C31B4B"/>
    <w:rsid w:val="00C31BEF"/>
    <w:rsid w:val="00C31EC7"/>
    <w:rsid w:val="00C32012"/>
    <w:rsid w:val="00C32050"/>
    <w:rsid w:val="00C32091"/>
    <w:rsid w:val="00C32B75"/>
    <w:rsid w:val="00C32C02"/>
    <w:rsid w:val="00C32CE8"/>
    <w:rsid w:val="00C32EC5"/>
    <w:rsid w:val="00C32EEC"/>
    <w:rsid w:val="00C32EF9"/>
    <w:rsid w:val="00C32F23"/>
    <w:rsid w:val="00C330A3"/>
    <w:rsid w:val="00C330E1"/>
    <w:rsid w:val="00C339A0"/>
    <w:rsid w:val="00C33D26"/>
    <w:rsid w:val="00C3409C"/>
    <w:rsid w:val="00C34794"/>
    <w:rsid w:val="00C3487B"/>
    <w:rsid w:val="00C34B8A"/>
    <w:rsid w:val="00C34FD8"/>
    <w:rsid w:val="00C3517D"/>
    <w:rsid w:val="00C3551B"/>
    <w:rsid w:val="00C35A51"/>
    <w:rsid w:val="00C35AEC"/>
    <w:rsid w:val="00C35B30"/>
    <w:rsid w:val="00C35CFF"/>
    <w:rsid w:val="00C360AC"/>
    <w:rsid w:val="00C36223"/>
    <w:rsid w:val="00C365E1"/>
    <w:rsid w:val="00C370BE"/>
    <w:rsid w:val="00C3715F"/>
    <w:rsid w:val="00C37363"/>
    <w:rsid w:val="00C373CB"/>
    <w:rsid w:val="00C374B2"/>
    <w:rsid w:val="00C37B04"/>
    <w:rsid w:val="00C37B22"/>
    <w:rsid w:val="00C37CC1"/>
    <w:rsid w:val="00C37E0C"/>
    <w:rsid w:val="00C37F6F"/>
    <w:rsid w:val="00C403A8"/>
    <w:rsid w:val="00C40708"/>
    <w:rsid w:val="00C40C3D"/>
    <w:rsid w:val="00C40DA4"/>
    <w:rsid w:val="00C40F58"/>
    <w:rsid w:val="00C4151C"/>
    <w:rsid w:val="00C41AE1"/>
    <w:rsid w:val="00C41AE2"/>
    <w:rsid w:val="00C41B62"/>
    <w:rsid w:val="00C41C88"/>
    <w:rsid w:val="00C41EB4"/>
    <w:rsid w:val="00C41FB0"/>
    <w:rsid w:val="00C420A6"/>
    <w:rsid w:val="00C423D5"/>
    <w:rsid w:val="00C423F6"/>
    <w:rsid w:val="00C4258A"/>
    <w:rsid w:val="00C427FF"/>
    <w:rsid w:val="00C42A34"/>
    <w:rsid w:val="00C42BDA"/>
    <w:rsid w:val="00C42C6B"/>
    <w:rsid w:val="00C42EF2"/>
    <w:rsid w:val="00C43052"/>
    <w:rsid w:val="00C43C49"/>
    <w:rsid w:val="00C43D0A"/>
    <w:rsid w:val="00C44270"/>
    <w:rsid w:val="00C4462D"/>
    <w:rsid w:val="00C44B79"/>
    <w:rsid w:val="00C44BD6"/>
    <w:rsid w:val="00C44D15"/>
    <w:rsid w:val="00C4522D"/>
    <w:rsid w:val="00C454CA"/>
    <w:rsid w:val="00C45A27"/>
    <w:rsid w:val="00C45B75"/>
    <w:rsid w:val="00C45E04"/>
    <w:rsid w:val="00C460F9"/>
    <w:rsid w:val="00C46202"/>
    <w:rsid w:val="00C46312"/>
    <w:rsid w:val="00C4631F"/>
    <w:rsid w:val="00C463BD"/>
    <w:rsid w:val="00C4664B"/>
    <w:rsid w:val="00C46E15"/>
    <w:rsid w:val="00C4734F"/>
    <w:rsid w:val="00C47657"/>
    <w:rsid w:val="00C476B2"/>
    <w:rsid w:val="00C4789D"/>
    <w:rsid w:val="00C47B0C"/>
    <w:rsid w:val="00C47E44"/>
    <w:rsid w:val="00C5007F"/>
    <w:rsid w:val="00C500DD"/>
    <w:rsid w:val="00C50162"/>
    <w:rsid w:val="00C50764"/>
    <w:rsid w:val="00C5088D"/>
    <w:rsid w:val="00C50941"/>
    <w:rsid w:val="00C50BF4"/>
    <w:rsid w:val="00C50E16"/>
    <w:rsid w:val="00C50F87"/>
    <w:rsid w:val="00C5108D"/>
    <w:rsid w:val="00C51317"/>
    <w:rsid w:val="00C51873"/>
    <w:rsid w:val="00C51917"/>
    <w:rsid w:val="00C51B7E"/>
    <w:rsid w:val="00C51D6D"/>
    <w:rsid w:val="00C526EE"/>
    <w:rsid w:val="00C5298D"/>
    <w:rsid w:val="00C52BA4"/>
    <w:rsid w:val="00C52BED"/>
    <w:rsid w:val="00C53008"/>
    <w:rsid w:val="00C53242"/>
    <w:rsid w:val="00C537D4"/>
    <w:rsid w:val="00C5387F"/>
    <w:rsid w:val="00C5391C"/>
    <w:rsid w:val="00C53A87"/>
    <w:rsid w:val="00C53BA5"/>
    <w:rsid w:val="00C53E21"/>
    <w:rsid w:val="00C54160"/>
    <w:rsid w:val="00C5423E"/>
    <w:rsid w:val="00C54323"/>
    <w:rsid w:val="00C5433E"/>
    <w:rsid w:val="00C545C3"/>
    <w:rsid w:val="00C54834"/>
    <w:rsid w:val="00C54CBC"/>
    <w:rsid w:val="00C54F31"/>
    <w:rsid w:val="00C55258"/>
    <w:rsid w:val="00C55552"/>
    <w:rsid w:val="00C55829"/>
    <w:rsid w:val="00C55C76"/>
    <w:rsid w:val="00C55DFE"/>
    <w:rsid w:val="00C56092"/>
    <w:rsid w:val="00C560BB"/>
    <w:rsid w:val="00C5627B"/>
    <w:rsid w:val="00C5659D"/>
    <w:rsid w:val="00C56758"/>
    <w:rsid w:val="00C567AB"/>
    <w:rsid w:val="00C569DC"/>
    <w:rsid w:val="00C5701D"/>
    <w:rsid w:val="00C57360"/>
    <w:rsid w:val="00C5737F"/>
    <w:rsid w:val="00C57386"/>
    <w:rsid w:val="00C576EC"/>
    <w:rsid w:val="00C57AB5"/>
    <w:rsid w:val="00C57BCC"/>
    <w:rsid w:val="00C57C29"/>
    <w:rsid w:val="00C57FC6"/>
    <w:rsid w:val="00C57FC7"/>
    <w:rsid w:val="00C606E9"/>
    <w:rsid w:val="00C60E4A"/>
    <w:rsid w:val="00C60E95"/>
    <w:rsid w:val="00C61700"/>
    <w:rsid w:val="00C61767"/>
    <w:rsid w:val="00C61D63"/>
    <w:rsid w:val="00C61E1E"/>
    <w:rsid w:val="00C61F0C"/>
    <w:rsid w:val="00C6243D"/>
    <w:rsid w:val="00C62897"/>
    <w:rsid w:val="00C628D7"/>
    <w:rsid w:val="00C62D79"/>
    <w:rsid w:val="00C63100"/>
    <w:rsid w:val="00C634F8"/>
    <w:rsid w:val="00C63940"/>
    <w:rsid w:val="00C639B7"/>
    <w:rsid w:val="00C63A46"/>
    <w:rsid w:val="00C63F18"/>
    <w:rsid w:val="00C64A64"/>
    <w:rsid w:val="00C64FB7"/>
    <w:rsid w:val="00C65141"/>
    <w:rsid w:val="00C652B5"/>
    <w:rsid w:val="00C65631"/>
    <w:rsid w:val="00C657D2"/>
    <w:rsid w:val="00C65B82"/>
    <w:rsid w:val="00C65F2F"/>
    <w:rsid w:val="00C664D4"/>
    <w:rsid w:val="00C66516"/>
    <w:rsid w:val="00C665DE"/>
    <w:rsid w:val="00C666CA"/>
    <w:rsid w:val="00C66726"/>
    <w:rsid w:val="00C66C41"/>
    <w:rsid w:val="00C6723F"/>
    <w:rsid w:val="00C6757B"/>
    <w:rsid w:val="00C6793A"/>
    <w:rsid w:val="00C67AFD"/>
    <w:rsid w:val="00C70217"/>
    <w:rsid w:val="00C70490"/>
    <w:rsid w:val="00C705F8"/>
    <w:rsid w:val="00C70603"/>
    <w:rsid w:val="00C70D08"/>
    <w:rsid w:val="00C70F08"/>
    <w:rsid w:val="00C71CF2"/>
    <w:rsid w:val="00C71D56"/>
    <w:rsid w:val="00C72956"/>
    <w:rsid w:val="00C72A44"/>
    <w:rsid w:val="00C72A73"/>
    <w:rsid w:val="00C73083"/>
    <w:rsid w:val="00C73130"/>
    <w:rsid w:val="00C73569"/>
    <w:rsid w:val="00C739D0"/>
    <w:rsid w:val="00C73AA3"/>
    <w:rsid w:val="00C74672"/>
    <w:rsid w:val="00C74B83"/>
    <w:rsid w:val="00C7598B"/>
    <w:rsid w:val="00C7616B"/>
    <w:rsid w:val="00C764E6"/>
    <w:rsid w:val="00C76623"/>
    <w:rsid w:val="00C767EA"/>
    <w:rsid w:val="00C76D15"/>
    <w:rsid w:val="00C77117"/>
    <w:rsid w:val="00C771FD"/>
    <w:rsid w:val="00C777A7"/>
    <w:rsid w:val="00C777D6"/>
    <w:rsid w:val="00C7783F"/>
    <w:rsid w:val="00C77BE0"/>
    <w:rsid w:val="00C77EF6"/>
    <w:rsid w:val="00C77F26"/>
    <w:rsid w:val="00C805DA"/>
    <w:rsid w:val="00C80B6C"/>
    <w:rsid w:val="00C80D38"/>
    <w:rsid w:val="00C80ED4"/>
    <w:rsid w:val="00C80FBA"/>
    <w:rsid w:val="00C80FC6"/>
    <w:rsid w:val="00C8113D"/>
    <w:rsid w:val="00C814E7"/>
    <w:rsid w:val="00C818D1"/>
    <w:rsid w:val="00C81ADD"/>
    <w:rsid w:val="00C81CCE"/>
    <w:rsid w:val="00C81D29"/>
    <w:rsid w:val="00C81F91"/>
    <w:rsid w:val="00C82099"/>
    <w:rsid w:val="00C825C9"/>
    <w:rsid w:val="00C82740"/>
    <w:rsid w:val="00C827F3"/>
    <w:rsid w:val="00C82D42"/>
    <w:rsid w:val="00C82DB7"/>
    <w:rsid w:val="00C82E4A"/>
    <w:rsid w:val="00C82E5C"/>
    <w:rsid w:val="00C82EEB"/>
    <w:rsid w:val="00C83627"/>
    <w:rsid w:val="00C83905"/>
    <w:rsid w:val="00C83A74"/>
    <w:rsid w:val="00C83AB4"/>
    <w:rsid w:val="00C83BAC"/>
    <w:rsid w:val="00C83CB3"/>
    <w:rsid w:val="00C83E03"/>
    <w:rsid w:val="00C83ED6"/>
    <w:rsid w:val="00C83FB6"/>
    <w:rsid w:val="00C84542"/>
    <w:rsid w:val="00C84898"/>
    <w:rsid w:val="00C84ACD"/>
    <w:rsid w:val="00C84BF1"/>
    <w:rsid w:val="00C8528C"/>
    <w:rsid w:val="00C8535E"/>
    <w:rsid w:val="00C854F9"/>
    <w:rsid w:val="00C855D3"/>
    <w:rsid w:val="00C857FA"/>
    <w:rsid w:val="00C86446"/>
    <w:rsid w:val="00C87055"/>
    <w:rsid w:val="00C87307"/>
    <w:rsid w:val="00C874C2"/>
    <w:rsid w:val="00C87759"/>
    <w:rsid w:val="00C901EF"/>
    <w:rsid w:val="00C90478"/>
    <w:rsid w:val="00C904DE"/>
    <w:rsid w:val="00C90719"/>
    <w:rsid w:val="00C90A51"/>
    <w:rsid w:val="00C90F34"/>
    <w:rsid w:val="00C910F2"/>
    <w:rsid w:val="00C9192C"/>
    <w:rsid w:val="00C91938"/>
    <w:rsid w:val="00C91DCD"/>
    <w:rsid w:val="00C920A6"/>
    <w:rsid w:val="00C92108"/>
    <w:rsid w:val="00C92249"/>
    <w:rsid w:val="00C92292"/>
    <w:rsid w:val="00C923F8"/>
    <w:rsid w:val="00C9279C"/>
    <w:rsid w:val="00C92CFC"/>
    <w:rsid w:val="00C92D84"/>
    <w:rsid w:val="00C92F69"/>
    <w:rsid w:val="00C93068"/>
    <w:rsid w:val="00C935AA"/>
    <w:rsid w:val="00C93928"/>
    <w:rsid w:val="00C93D14"/>
    <w:rsid w:val="00C93D56"/>
    <w:rsid w:val="00C9407A"/>
    <w:rsid w:val="00C943D6"/>
    <w:rsid w:val="00C94508"/>
    <w:rsid w:val="00C94655"/>
    <w:rsid w:val="00C94809"/>
    <w:rsid w:val="00C94BDE"/>
    <w:rsid w:val="00C94E5B"/>
    <w:rsid w:val="00C95415"/>
    <w:rsid w:val="00C9598F"/>
    <w:rsid w:val="00C95E5F"/>
    <w:rsid w:val="00C96671"/>
    <w:rsid w:val="00C96801"/>
    <w:rsid w:val="00C96CD0"/>
    <w:rsid w:val="00C96FF0"/>
    <w:rsid w:val="00C97027"/>
    <w:rsid w:val="00C97188"/>
    <w:rsid w:val="00C971DC"/>
    <w:rsid w:val="00C972BB"/>
    <w:rsid w:val="00C9743A"/>
    <w:rsid w:val="00C976CB"/>
    <w:rsid w:val="00C97A2A"/>
    <w:rsid w:val="00C97D8E"/>
    <w:rsid w:val="00C97E64"/>
    <w:rsid w:val="00CA00C8"/>
    <w:rsid w:val="00CA01DD"/>
    <w:rsid w:val="00CA02A3"/>
    <w:rsid w:val="00CA0546"/>
    <w:rsid w:val="00CA0925"/>
    <w:rsid w:val="00CA0D1D"/>
    <w:rsid w:val="00CA10D0"/>
    <w:rsid w:val="00CA1251"/>
    <w:rsid w:val="00CA13D2"/>
    <w:rsid w:val="00CA15F5"/>
    <w:rsid w:val="00CA16B7"/>
    <w:rsid w:val="00CA171A"/>
    <w:rsid w:val="00CA1C09"/>
    <w:rsid w:val="00CA1CE8"/>
    <w:rsid w:val="00CA1E81"/>
    <w:rsid w:val="00CA2DD3"/>
    <w:rsid w:val="00CA2E5F"/>
    <w:rsid w:val="00CA3496"/>
    <w:rsid w:val="00CA3531"/>
    <w:rsid w:val="00CA37E2"/>
    <w:rsid w:val="00CA3D28"/>
    <w:rsid w:val="00CA4132"/>
    <w:rsid w:val="00CA4296"/>
    <w:rsid w:val="00CA47B9"/>
    <w:rsid w:val="00CA4A53"/>
    <w:rsid w:val="00CA4BE3"/>
    <w:rsid w:val="00CA4BFE"/>
    <w:rsid w:val="00CA4D28"/>
    <w:rsid w:val="00CA4FF0"/>
    <w:rsid w:val="00CA5037"/>
    <w:rsid w:val="00CA584D"/>
    <w:rsid w:val="00CA5B0A"/>
    <w:rsid w:val="00CA5E0B"/>
    <w:rsid w:val="00CA5E27"/>
    <w:rsid w:val="00CA5F83"/>
    <w:rsid w:val="00CA5F96"/>
    <w:rsid w:val="00CA60FA"/>
    <w:rsid w:val="00CA62AE"/>
    <w:rsid w:val="00CA6797"/>
    <w:rsid w:val="00CA7584"/>
    <w:rsid w:val="00CA79CF"/>
    <w:rsid w:val="00CA7A6A"/>
    <w:rsid w:val="00CA7A88"/>
    <w:rsid w:val="00CA7C82"/>
    <w:rsid w:val="00CA7F44"/>
    <w:rsid w:val="00CA7F87"/>
    <w:rsid w:val="00CB00E3"/>
    <w:rsid w:val="00CB0AB2"/>
    <w:rsid w:val="00CB117E"/>
    <w:rsid w:val="00CB155F"/>
    <w:rsid w:val="00CB1618"/>
    <w:rsid w:val="00CB1783"/>
    <w:rsid w:val="00CB17B6"/>
    <w:rsid w:val="00CB1A8E"/>
    <w:rsid w:val="00CB1F8D"/>
    <w:rsid w:val="00CB21A9"/>
    <w:rsid w:val="00CB22DC"/>
    <w:rsid w:val="00CB281E"/>
    <w:rsid w:val="00CB28D9"/>
    <w:rsid w:val="00CB2BDB"/>
    <w:rsid w:val="00CB3066"/>
    <w:rsid w:val="00CB3496"/>
    <w:rsid w:val="00CB3B13"/>
    <w:rsid w:val="00CB3CAD"/>
    <w:rsid w:val="00CB3DCB"/>
    <w:rsid w:val="00CB410C"/>
    <w:rsid w:val="00CB43CA"/>
    <w:rsid w:val="00CB4879"/>
    <w:rsid w:val="00CB490D"/>
    <w:rsid w:val="00CB4C68"/>
    <w:rsid w:val="00CB4DCC"/>
    <w:rsid w:val="00CB4FBF"/>
    <w:rsid w:val="00CB50EE"/>
    <w:rsid w:val="00CB52C4"/>
    <w:rsid w:val="00CB555B"/>
    <w:rsid w:val="00CB57E3"/>
    <w:rsid w:val="00CB5963"/>
    <w:rsid w:val="00CB5B1A"/>
    <w:rsid w:val="00CB5F53"/>
    <w:rsid w:val="00CB60EF"/>
    <w:rsid w:val="00CB62A3"/>
    <w:rsid w:val="00CB643E"/>
    <w:rsid w:val="00CB688F"/>
    <w:rsid w:val="00CB68EF"/>
    <w:rsid w:val="00CB7862"/>
    <w:rsid w:val="00CB7CD6"/>
    <w:rsid w:val="00CB7D74"/>
    <w:rsid w:val="00CB7F3B"/>
    <w:rsid w:val="00CC063E"/>
    <w:rsid w:val="00CC0743"/>
    <w:rsid w:val="00CC07D8"/>
    <w:rsid w:val="00CC092D"/>
    <w:rsid w:val="00CC093A"/>
    <w:rsid w:val="00CC0A38"/>
    <w:rsid w:val="00CC0B73"/>
    <w:rsid w:val="00CC0E9B"/>
    <w:rsid w:val="00CC10AE"/>
    <w:rsid w:val="00CC1B2A"/>
    <w:rsid w:val="00CC1BBB"/>
    <w:rsid w:val="00CC20B0"/>
    <w:rsid w:val="00CC220B"/>
    <w:rsid w:val="00CC27E7"/>
    <w:rsid w:val="00CC2CA8"/>
    <w:rsid w:val="00CC30AA"/>
    <w:rsid w:val="00CC3289"/>
    <w:rsid w:val="00CC32DE"/>
    <w:rsid w:val="00CC35D3"/>
    <w:rsid w:val="00CC37C9"/>
    <w:rsid w:val="00CC3B97"/>
    <w:rsid w:val="00CC3E37"/>
    <w:rsid w:val="00CC3EB8"/>
    <w:rsid w:val="00CC4210"/>
    <w:rsid w:val="00CC4523"/>
    <w:rsid w:val="00CC457C"/>
    <w:rsid w:val="00CC4C35"/>
    <w:rsid w:val="00CC51C5"/>
    <w:rsid w:val="00CC545C"/>
    <w:rsid w:val="00CC5C43"/>
    <w:rsid w:val="00CC5E80"/>
    <w:rsid w:val="00CC5E91"/>
    <w:rsid w:val="00CC5F93"/>
    <w:rsid w:val="00CC6529"/>
    <w:rsid w:val="00CC6552"/>
    <w:rsid w:val="00CC67C0"/>
    <w:rsid w:val="00CC6880"/>
    <w:rsid w:val="00CC6981"/>
    <w:rsid w:val="00CC77C6"/>
    <w:rsid w:val="00CC7A47"/>
    <w:rsid w:val="00CC7BA0"/>
    <w:rsid w:val="00CC7CE0"/>
    <w:rsid w:val="00CC7D1A"/>
    <w:rsid w:val="00CD02AE"/>
    <w:rsid w:val="00CD03CE"/>
    <w:rsid w:val="00CD09D4"/>
    <w:rsid w:val="00CD0A0C"/>
    <w:rsid w:val="00CD0BC6"/>
    <w:rsid w:val="00CD0FDE"/>
    <w:rsid w:val="00CD12ED"/>
    <w:rsid w:val="00CD140E"/>
    <w:rsid w:val="00CD15D6"/>
    <w:rsid w:val="00CD171F"/>
    <w:rsid w:val="00CD1DCE"/>
    <w:rsid w:val="00CD2118"/>
    <w:rsid w:val="00CD2383"/>
    <w:rsid w:val="00CD25F5"/>
    <w:rsid w:val="00CD269B"/>
    <w:rsid w:val="00CD2755"/>
    <w:rsid w:val="00CD2785"/>
    <w:rsid w:val="00CD289E"/>
    <w:rsid w:val="00CD29E2"/>
    <w:rsid w:val="00CD2A36"/>
    <w:rsid w:val="00CD2A4F"/>
    <w:rsid w:val="00CD2CAC"/>
    <w:rsid w:val="00CD2D36"/>
    <w:rsid w:val="00CD2D40"/>
    <w:rsid w:val="00CD33CB"/>
    <w:rsid w:val="00CD359B"/>
    <w:rsid w:val="00CD3B8C"/>
    <w:rsid w:val="00CD3ED7"/>
    <w:rsid w:val="00CD3FB8"/>
    <w:rsid w:val="00CD43B1"/>
    <w:rsid w:val="00CD4446"/>
    <w:rsid w:val="00CD4631"/>
    <w:rsid w:val="00CD4724"/>
    <w:rsid w:val="00CD499C"/>
    <w:rsid w:val="00CD49B1"/>
    <w:rsid w:val="00CD4E7E"/>
    <w:rsid w:val="00CD4F4C"/>
    <w:rsid w:val="00CD5190"/>
    <w:rsid w:val="00CD53D2"/>
    <w:rsid w:val="00CD543F"/>
    <w:rsid w:val="00CD5676"/>
    <w:rsid w:val="00CD5940"/>
    <w:rsid w:val="00CD5BB8"/>
    <w:rsid w:val="00CD5D50"/>
    <w:rsid w:val="00CD6181"/>
    <w:rsid w:val="00CD64E4"/>
    <w:rsid w:val="00CD66DE"/>
    <w:rsid w:val="00CD67B8"/>
    <w:rsid w:val="00CD6B53"/>
    <w:rsid w:val="00CD6D3A"/>
    <w:rsid w:val="00CD6DB1"/>
    <w:rsid w:val="00CD70CA"/>
    <w:rsid w:val="00CD7816"/>
    <w:rsid w:val="00CD781D"/>
    <w:rsid w:val="00CD7A14"/>
    <w:rsid w:val="00CD7B65"/>
    <w:rsid w:val="00CD7EA2"/>
    <w:rsid w:val="00CE0235"/>
    <w:rsid w:val="00CE0378"/>
    <w:rsid w:val="00CE03CA"/>
    <w:rsid w:val="00CE0651"/>
    <w:rsid w:val="00CE07C1"/>
    <w:rsid w:val="00CE091A"/>
    <w:rsid w:val="00CE0B40"/>
    <w:rsid w:val="00CE11A9"/>
    <w:rsid w:val="00CE1871"/>
    <w:rsid w:val="00CE203B"/>
    <w:rsid w:val="00CE22A3"/>
    <w:rsid w:val="00CE22F1"/>
    <w:rsid w:val="00CE23F9"/>
    <w:rsid w:val="00CE2941"/>
    <w:rsid w:val="00CE2BA3"/>
    <w:rsid w:val="00CE2D75"/>
    <w:rsid w:val="00CE36B7"/>
    <w:rsid w:val="00CE3988"/>
    <w:rsid w:val="00CE39E8"/>
    <w:rsid w:val="00CE3A43"/>
    <w:rsid w:val="00CE3AC6"/>
    <w:rsid w:val="00CE3B42"/>
    <w:rsid w:val="00CE3D08"/>
    <w:rsid w:val="00CE3D8B"/>
    <w:rsid w:val="00CE455E"/>
    <w:rsid w:val="00CE46F3"/>
    <w:rsid w:val="00CE4994"/>
    <w:rsid w:val="00CE50F2"/>
    <w:rsid w:val="00CE5214"/>
    <w:rsid w:val="00CE5227"/>
    <w:rsid w:val="00CE584A"/>
    <w:rsid w:val="00CE59C8"/>
    <w:rsid w:val="00CE5BCC"/>
    <w:rsid w:val="00CE6070"/>
    <w:rsid w:val="00CE6240"/>
    <w:rsid w:val="00CE6502"/>
    <w:rsid w:val="00CE6598"/>
    <w:rsid w:val="00CE65BA"/>
    <w:rsid w:val="00CE6B30"/>
    <w:rsid w:val="00CE713E"/>
    <w:rsid w:val="00CE7151"/>
    <w:rsid w:val="00CE7306"/>
    <w:rsid w:val="00CE7D01"/>
    <w:rsid w:val="00CF0102"/>
    <w:rsid w:val="00CF05C5"/>
    <w:rsid w:val="00CF06CF"/>
    <w:rsid w:val="00CF091A"/>
    <w:rsid w:val="00CF0976"/>
    <w:rsid w:val="00CF09F8"/>
    <w:rsid w:val="00CF125A"/>
    <w:rsid w:val="00CF14A6"/>
    <w:rsid w:val="00CF14AF"/>
    <w:rsid w:val="00CF1746"/>
    <w:rsid w:val="00CF192B"/>
    <w:rsid w:val="00CF1A6B"/>
    <w:rsid w:val="00CF2060"/>
    <w:rsid w:val="00CF2096"/>
    <w:rsid w:val="00CF271D"/>
    <w:rsid w:val="00CF2839"/>
    <w:rsid w:val="00CF2CF6"/>
    <w:rsid w:val="00CF2E4C"/>
    <w:rsid w:val="00CF31E1"/>
    <w:rsid w:val="00CF31FB"/>
    <w:rsid w:val="00CF33E8"/>
    <w:rsid w:val="00CF3A49"/>
    <w:rsid w:val="00CF3C0B"/>
    <w:rsid w:val="00CF3FDD"/>
    <w:rsid w:val="00CF440E"/>
    <w:rsid w:val="00CF440F"/>
    <w:rsid w:val="00CF47A0"/>
    <w:rsid w:val="00CF4DBC"/>
    <w:rsid w:val="00CF532D"/>
    <w:rsid w:val="00CF5E4F"/>
    <w:rsid w:val="00CF5FDB"/>
    <w:rsid w:val="00CF60D3"/>
    <w:rsid w:val="00CF6820"/>
    <w:rsid w:val="00CF6870"/>
    <w:rsid w:val="00CF6F04"/>
    <w:rsid w:val="00CF7118"/>
    <w:rsid w:val="00CF716C"/>
    <w:rsid w:val="00CF7606"/>
    <w:rsid w:val="00CF77FC"/>
    <w:rsid w:val="00CF784F"/>
    <w:rsid w:val="00CF799D"/>
    <w:rsid w:val="00CF7D3C"/>
    <w:rsid w:val="00CF7DE2"/>
    <w:rsid w:val="00CF7E4E"/>
    <w:rsid w:val="00CF7E77"/>
    <w:rsid w:val="00CF7FBC"/>
    <w:rsid w:val="00D0014D"/>
    <w:rsid w:val="00D00352"/>
    <w:rsid w:val="00D00B77"/>
    <w:rsid w:val="00D00C35"/>
    <w:rsid w:val="00D00F85"/>
    <w:rsid w:val="00D01262"/>
    <w:rsid w:val="00D0158E"/>
    <w:rsid w:val="00D018B5"/>
    <w:rsid w:val="00D018BF"/>
    <w:rsid w:val="00D01BA7"/>
    <w:rsid w:val="00D01DDC"/>
    <w:rsid w:val="00D0265B"/>
    <w:rsid w:val="00D02779"/>
    <w:rsid w:val="00D02A6A"/>
    <w:rsid w:val="00D02C24"/>
    <w:rsid w:val="00D02DFE"/>
    <w:rsid w:val="00D03070"/>
    <w:rsid w:val="00D03079"/>
    <w:rsid w:val="00D034E6"/>
    <w:rsid w:val="00D03873"/>
    <w:rsid w:val="00D0387B"/>
    <w:rsid w:val="00D03D8D"/>
    <w:rsid w:val="00D03E2B"/>
    <w:rsid w:val="00D03E2E"/>
    <w:rsid w:val="00D044B8"/>
    <w:rsid w:val="00D04783"/>
    <w:rsid w:val="00D0495A"/>
    <w:rsid w:val="00D04AA9"/>
    <w:rsid w:val="00D04B62"/>
    <w:rsid w:val="00D04E3D"/>
    <w:rsid w:val="00D04F75"/>
    <w:rsid w:val="00D057F6"/>
    <w:rsid w:val="00D0646F"/>
    <w:rsid w:val="00D06A5A"/>
    <w:rsid w:val="00D0721C"/>
    <w:rsid w:val="00D072AF"/>
    <w:rsid w:val="00D07301"/>
    <w:rsid w:val="00D0748C"/>
    <w:rsid w:val="00D07E90"/>
    <w:rsid w:val="00D07F27"/>
    <w:rsid w:val="00D101B2"/>
    <w:rsid w:val="00D10275"/>
    <w:rsid w:val="00D107C4"/>
    <w:rsid w:val="00D10859"/>
    <w:rsid w:val="00D10976"/>
    <w:rsid w:val="00D10B4D"/>
    <w:rsid w:val="00D10BF0"/>
    <w:rsid w:val="00D10D04"/>
    <w:rsid w:val="00D11440"/>
    <w:rsid w:val="00D11471"/>
    <w:rsid w:val="00D118E1"/>
    <w:rsid w:val="00D11FB5"/>
    <w:rsid w:val="00D1203D"/>
    <w:rsid w:val="00D1271F"/>
    <w:rsid w:val="00D12F7F"/>
    <w:rsid w:val="00D13252"/>
    <w:rsid w:val="00D13CCA"/>
    <w:rsid w:val="00D140A0"/>
    <w:rsid w:val="00D1434F"/>
    <w:rsid w:val="00D147EB"/>
    <w:rsid w:val="00D149B0"/>
    <w:rsid w:val="00D14A5D"/>
    <w:rsid w:val="00D14AB9"/>
    <w:rsid w:val="00D14CE8"/>
    <w:rsid w:val="00D151A7"/>
    <w:rsid w:val="00D158DA"/>
    <w:rsid w:val="00D15D26"/>
    <w:rsid w:val="00D1654E"/>
    <w:rsid w:val="00D16652"/>
    <w:rsid w:val="00D16B86"/>
    <w:rsid w:val="00D172F9"/>
    <w:rsid w:val="00D17586"/>
    <w:rsid w:val="00D17C22"/>
    <w:rsid w:val="00D17D94"/>
    <w:rsid w:val="00D17DE7"/>
    <w:rsid w:val="00D17E7E"/>
    <w:rsid w:val="00D202D2"/>
    <w:rsid w:val="00D203C1"/>
    <w:rsid w:val="00D20E7C"/>
    <w:rsid w:val="00D20F9D"/>
    <w:rsid w:val="00D2164C"/>
    <w:rsid w:val="00D2166F"/>
    <w:rsid w:val="00D21728"/>
    <w:rsid w:val="00D218CD"/>
    <w:rsid w:val="00D2249E"/>
    <w:rsid w:val="00D224C4"/>
    <w:rsid w:val="00D23079"/>
    <w:rsid w:val="00D2334C"/>
    <w:rsid w:val="00D234D9"/>
    <w:rsid w:val="00D234DD"/>
    <w:rsid w:val="00D235FA"/>
    <w:rsid w:val="00D237C5"/>
    <w:rsid w:val="00D23E19"/>
    <w:rsid w:val="00D23F98"/>
    <w:rsid w:val="00D240FA"/>
    <w:rsid w:val="00D245C7"/>
    <w:rsid w:val="00D24D31"/>
    <w:rsid w:val="00D24D3D"/>
    <w:rsid w:val="00D24DED"/>
    <w:rsid w:val="00D24F89"/>
    <w:rsid w:val="00D25204"/>
    <w:rsid w:val="00D2522B"/>
    <w:rsid w:val="00D25B06"/>
    <w:rsid w:val="00D25C52"/>
    <w:rsid w:val="00D26042"/>
    <w:rsid w:val="00D26064"/>
    <w:rsid w:val="00D2696B"/>
    <w:rsid w:val="00D26A60"/>
    <w:rsid w:val="00D26BCE"/>
    <w:rsid w:val="00D26C31"/>
    <w:rsid w:val="00D26DC3"/>
    <w:rsid w:val="00D270DD"/>
    <w:rsid w:val="00D27356"/>
    <w:rsid w:val="00D27685"/>
    <w:rsid w:val="00D27766"/>
    <w:rsid w:val="00D2798E"/>
    <w:rsid w:val="00D27CFF"/>
    <w:rsid w:val="00D300D0"/>
    <w:rsid w:val="00D30CC1"/>
    <w:rsid w:val="00D311A3"/>
    <w:rsid w:val="00D31276"/>
    <w:rsid w:val="00D314C6"/>
    <w:rsid w:val="00D318E3"/>
    <w:rsid w:val="00D31F5A"/>
    <w:rsid w:val="00D32210"/>
    <w:rsid w:val="00D32418"/>
    <w:rsid w:val="00D32D05"/>
    <w:rsid w:val="00D32E71"/>
    <w:rsid w:val="00D33165"/>
    <w:rsid w:val="00D333E0"/>
    <w:rsid w:val="00D33663"/>
    <w:rsid w:val="00D33A1D"/>
    <w:rsid w:val="00D33A23"/>
    <w:rsid w:val="00D33A55"/>
    <w:rsid w:val="00D33A77"/>
    <w:rsid w:val="00D33BF4"/>
    <w:rsid w:val="00D33D26"/>
    <w:rsid w:val="00D33E2B"/>
    <w:rsid w:val="00D34477"/>
    <w:rsid w:val="00D3457F"/>
    <w:rsid w:val="00D34667"/>
    <w:rsid w:val="00D34886"/>
    <w:rsid w:val="00D34A4F"/>
    <w:rsid w:val="00D34A92"/>
    <w:rsid w:val="00D34D57"/>
    <w:rsid w:val="00D351FA"/>
    <w:rsid w:val="00D3557E"/>
    <w:rsid w:val="00D358EE"/>
    <w:rsid w:val="00D35DD8"/>
    <w:rsid w:val="00D35FB5"/>
    <w:rsid w:val="00D35FC8"/>
    <w:rsid w:val="00D36142"/>
    <w:rsid w:val="00D36189"/>
    <w:rsid w:val="00D361C1"/>
    <w:rsid w:val="00D37175"/>
    <w:rsid w:val="00D3722C"/>
    <w:rsid w:val="00D3756C"/>
    <w:rsid w:val="00D37933"/>
    <w:rsid w:val="00D37A95"/>
    <w:rsid w:val="00D37B14"/>
    <w:rsid w:val="00D37B87"/>
    <w:rsid w:val="00D401E1"/>
    <w:rsid w:val="00D4047A"/>
    <w:rsid w:val="00D40854"/>
    <w:rsid w:val="00D408B4"/>
    <w:rsid w:val="00D408DE"/>
    <w:rsid w:val="00D40999"/>
    <w:rsid w:val="00D40A7E"/>
    <w:rsid w:val="00D40BA6"/>
    <w:rsid w:val="00D4147E"/>
    <w:rsid w:val="00D4155E"/>
    <w:rsid w:val="00D41664"/>
    <w:rsid w:val="00D41952"/>
    <w:rsid w:val="00D419AD"/>
    <w:rsid w:val="00D41E41"/>
    <w:rsid w:val="00D426A1"/>
    <w:rsid w:val="00D42794"/>
    <w:rsid w:val="00D42C5B"/>
    <w:rsid w:val="00D42DFA"/>
    <w:rsid w:val="00D42F52"/>
    <w:rsid w:val="00D43199"/>
    <w:rsid w:val="00D43A26"/>
    <w:rsid w:val="00D43B7C"/>
    <w:rsid w:val="00D43CD4"/>
    <w:rsid w:val="00D43CF3"/>
    <w:rsid w:val="00D43D02"/>
    <w:rsid w:val="00D43D87"/>
    <w:rsid w:val="00D43E3D"/>
    <w:rsid w:val="00D441B7"/>
    <w:rsid w:val="00D44290"/>
    <w:rsid w:val="00D44353"/>
    <w:rsid w:val="00D445D9"/>
    <w:rsid w:val="00D4484C"/>
    <w:rsid w:val="00D44B06"/>
    <w:rsid w:val="00D45110"/>
    <w:rsid w:val="00D45438"/>
    <w:rsid w:val="00D4562F"/>
    <w:rsid w:val="00D456BB"/>
    <w:rsid w:val="00D456BF"/>
    <w:rsid w:val="00D457B1"/>
    <w:rsid w:val="00D459F5"/>
    <w:rsid w:val="00D45AA3"/>
    <w:rsid w:val="00D45BA6"/>
    <w:rsid w:val="00D45C2B"/>
    <w:rsid w:val="00D45CE3"/>
    <w:rsid w:val="00D45D94"/>
    <w:rsid w:val="00D46298"/>
    <w:rsid w:val="00D46400"/>
    <w:rsid w:val="00D46893"/>
    <w:rsid w:val="00D468D4"/>
    <w:rsid w:val="00D471FF"/>
    <w:rsid w:val="00D4723A"/>
    <w:rsid w:val="00D47597"/>
    <w:rsid w:val="00D47780"/>
    <w:rsid w:val="00D47F0A"/>
    <w:rsid w:val="00D5016D"/>
    <w:rsid w:val="00D502E3"/>
    <w:rsid w:val="00D50BF0"/>
    <w:rsid w:val="00D513A8"/>
    <w:rsid w:val="00D515B4"/>
    <w:rsid w:val="00D5162E"/>
    <w:rsid w:val="00D5184A"/>
    <w:rsid w:val="00D519E0"/>
    <w:rsid w:val="00D51B22"/>
    <w:rsid w:val="00D51C9D"/>
    <w:rsid w:val="00D51CAF"/>
    <w:rsid w:val="00D520A8"/>
    <w:rsid w:val="00D52115"/>
    <w:rsid w:val="00D522ED"/>
    <w:rsid w:val="00D524C8"/>
    <w:rsid w:val="00D52CC0"/>
    <w:rsid w:val="00D52E08"/>
    <w:rsid w:val="00D53030"/>
    <w:rsid w:val="00D531D1"/>
    <w:rsid w:val="00D536AB"/>
    <w:rsid w:val="00D53960"/>
    <w:rsid w:val="00D53B56"/>
    <w:rsid w:val="00D54492"/>
    <w:rsid w:val="00D5451E"/>
    <w:rsid w:val="00D54771"/>
    <w:rsid w:val="00D54A3A"/>
    <w:rsid w:val="00D54B9D"/>
    <w:rsid w:val="00D54C95"/>
    <w:rsid w:val="00D54FED"/>
    <w:rsid w:val="00D5508B"/>
    <w:rsid w:val="00D5539A"/>
    <w:rsid w:val="00D554E7"/>
    <w:rsid w:val="00D55601"/>
    <w:rsid w:val="00D556F5"/>
    <w:rsid w:val="00D55E32"/>
    <w:rsid w:val="00D55F64"/>
    <w:rsid w:val="00D56043"/>
    <w:rsid w:val="00D562A3"/>
    <w:rsid w:val="00D562BC"/>
    <w:rsid w:val="00D56579"/>
    <w:rsid w:val="00D565D3"/>
    <w:rsid w:val="00D567CB"/>
    <w:rsid w:val="00D56901"/>
    <w:rsid w:val="00D573B4"/>
    <w:rsid w:val="00D573F5"/>
    <w:rsid w:val="00D574B4"/>
    <w:rsid w:val="00D57586"/>
    <w:rsid w:val="00D579E4"/>
    <w:rsid w:val="00D57A63"/>
    <w:rsid w:val="00D57E14"/>
    <w:rsid w:val="00D57F9B"/>
    <w:rsid w:val="00D608BB"/>
    <w:rsid w:val="00D60930"/>
    <w:rsid w:val="00D60C14"/>
    <w:rsid w:val="00D60DEC"/>
    <w:rsid w:val="00D60E25"/>
    <w:rsid w:val="00D611A7"/>
    <w:rsid w:val="00D61226"/>
    <w:rsid w:val="00D6139C"/>
    <w:rsid w:val="00D61803"/>
    <w:rsid w:val="00D61B7D"/>
    <w:rsid w:val="00D61BC0"/>
    <w:rsid w:val="00D61F48"/>
    <w:rsid w:val="00D62184"/>
    <w:rsid w:val="00D6234C"/>
    <w:rsid w:val="00D62921"/>
    <w:rsid w:val="00D62AE6"/>
    <w:rsid w:val="00D62B37"/>
    <w:rsid w:val="00D62CB6"/>
    <w:rsid w:val="00D62EF6"/>
    <w:rsid w:val="00D62FCE"/>
    <w:rsid w:val="00D63174"/>
    <w:rsid w:val="00D634A4"/>
    <w:rsid w:val="00D63C5B"/>
    <w:rsid w:val="00D63FB9"/>
    <w:rsid w:val="00D6477F"/>
    <w:rsid w:val="00D64833"/>
    <w:rsid w:val="00D648BD"/>
    <w:rsid w:val="00D649BA"/>
    <w:rsid w:val="00D64EE6"/>
    <w:rsid w:val="00D652BB"/>
    <w:rsid w:val="00D65331"/>
    <w:rsid w:val="00D6551E"/>
    <w:rsid w:val="00D65E15"/>
    <w:rsid w:val="00D663F5"/>
    <w:rsid w:val="00D66A13"/>
    <w:rsid w:val="00D66B98"/>
    <w:rsid w:val="00D67005"/>
    <w:rsid w:val="00D671A4"/>
    <w:rsid w:val="00D6734D"/>
    <w:rsid w:val="00D677CC"/>
    <w:rsid w:val="00D67ADD"/>
    <w:rsid w:val="00D67D1E"/>
    <w:rsid w:val="00D70046"/>
    <w:rsid w:val="00D7019A"/>
    <w:rsid w:val="00D70869"/>
    <w:rsid w:val="00D70970"/>
    <w:rsid w:val="00D70A79"/>
    <w:rsid w:val="00D70BD3"/>
    <w:rsid w:val="00D70E24"/>
    <w:rsid w:val="00D714AA"/>
    <w:rsid w:val="00D716B3"/>
    <w:rsid w:val="00D72554"/>
    <w:rsid w:val="00D72838"/>
    <w:rsid w:val="00D72B61"/>
    <w:rsid w:val="00D72D22"/>
    <w:rsid w:val="00D74047"/>
    <w:rsid w:val="00D743E6"/>
    <w:rsid w:val="00D74567"/>
    <w:rsid w:val="00D74600"/>
    <w:rsid w:val="00D74A2C"/>
    <w:rsid w:val="00D74AA8"/>
    <w:rsid w:val="00D753AC"/>
    <w:rsid w:val="00D75BB3"/>
    <w:rsid w:val="00D75ED4"/>
    <w:rsid w:val="00D764B6"/>
    <w:rsid w:val="00D766F5"/>
    <w:rsid w:val="00D7687A"/>
    <w:rsid w:val="00D76950"/>
    <w:rsid w:val="00D76E05"/>
    <w:rsid w:val="00D76E51"/>
    <w:rsid w:val="00D77014"/>
    <w:rsid w:val="00D77174"/>
    <w:rsid w:val="00D77E5B"/>
    <w:rsid w:val="00D77EF5"/>
    <w:rsid w:val="00D77F22"/>
    <w:rsid w:val="00D80067"/>
    <w:rsid w:val="00D80101"/>
    <w:rsid w:val="00D807F2"/>
    <w:rsid w:val="00D808B0"/>
    <w:rsid w:val="00D8091B"/>
    <w:rsid w:val="00D80B27"/>
    <w:rsid w:val="00D80C63"/>
    <w:rsid w:val="00D8179E"/>
    <w:rsid w:val="00D81B03"/>
    <w:rsid w:val="00D81B59"/>
    <w:rsid w:val="00D81C48"/>
    <w:rsid w:val="00D81ECE"/>
    <w:rsid w:val="00D81F3B"/>
    <w:rsid w:val="00D81FF9"/>
    <w:rsid w:val="00D82236"/>
    <w:rsid w:val="00D823C7"/>
    <w:rsid w:val="00D8244A"/>
    <w:rsid w:val="00D82882"/>
    <w:rsid w:val="00D828EA"/>
    <w:rsid w:val="00D8291B"/>
    <w:rsid w:val="00D82997"/>
    <w:rsid w:val="00D829CD"/>
    <w:rsid w:val="00D8379B"/>
    <w:rsid w:val="00D83D60"/>
    <w:rsid w:val="00D83D98"/>
    <w:rsid w:val="00D83E90"/>
    <w:rsid w:val="00D83F30"/>
    <w:rsid w:val="00D843C3"/>
    <w:rsid w:val="00D84657"/>
    <w:rsid w:val="00D8531E"/>
    <w:rsid w:val="00D8556D"/>
    <w:rsid w:val="00D85889"/>
    <w:rsid w:val="00D858A5"/>
    <w:rsid w:val="00D8592B"/>
    <w:rsid w:val="00D85D73"/>
    <w:rsid w:val="00D85F8D"/>
    <w:rsid w:val="00D86084"/>
    <w:rsid w:val="00D861A4"/>
    <w:rsid w:val="00D86331"/>
    <w:rsid w:val="00D863DC"/>
    <w:rsid w:val="00D865BD"/>
    <w:rsid w:val="00D86875"/>
    <w:rsid w:val="00D86C27"/>
    <w:rsid w:val="00D86EA4"/>
    <w:rsid w:val="00D87846"/>
    <w:rsid w:val="00D87BCF"/>
    <w:rsid w:val="00D87CD7"/>
    <w:rsid w:val="00D87D9B"/>
    <w:rsid w:val="00D87F93"/>
    <w:rsid w:val="00D9040B"/>
    <w:rsid w:val="00D90B50"/>
    <w:rsid w:val="00D91032"/>
    <w:rsid w:val="00D913F3"/>
    <w:rsid w:val="00D9150C"/>
    <w:rsid w:val="00D91A8C"/>
    <w:rsid w:val="00D91B53"/>
    <w:rsid w:val="00D91F05"/>
    <w:rsid w:val="00D921DE"/>
    <w:rsid w:val="00D922BD"/>
    <w:rsid w:val="00D92338"/>
    <w:rsid w:val="00D929F1"/>
    <w:rsid w:val="00D92E27"/>
    <w:rsid w:val="00D92F84"/>
    <w:rsid w:val="00D930B1"/>
    <w:rsid w:val="00D936D1"/>
    <w:rsid w:val="00D9378F"/>
    <w:rsid w:val="00D93FFF"/>
    <w:rsid w:val="00D943C1"/>
    <w:rsid w:val="00D9452F"/>
    <w:rsid w:val="00D9468A"/>
    <w:rsid w:val="00D947EC"/>
    <w:rsid w:val="00D94BC1"/>
    <w:rsid w:val="00D94FF1"/>
    <w:rsid w:val="00D9538A"/>
    <w:rsid w:val="00D95615"/>
    <w:rsid w:val="00D95B77"/>
    <w:rsid w:val="00D95EDD"/>
    <w:rsid w:val="00D966CA"/>
    <w:rsid w:val="00D966F8"/>
    <w:rsid w:val="00D9688B"/>
    <w:rsid w:val="00D96EDF"/>
    <w:rsid w:val="00D971F4"/>
    <w:rsid w:val="00D9720F"/>
    <w:rsid w:val="00D972F3"/>
    <w:rsid w:val="00D97DF7"/>
    <w:rsid w:val="00D97E8E"/>
    <w:rsid w:val="00D97F54"/>
    <w:rsid w:val="00D9F6A9"/>
    <w:rsid w:val="00DA021F"/>
    <w:rsid w:val="00DA04E8"/>
    <w:rsid w:val="00DA08DF"/>
    <w:rsid w:val="00DA0B2B"/>
    <w:rsid w:val="00DA0DF0"/>
    <w:rsid w:val="00DA109C"/>
    <w:rsid w:val="00DA1110"/>
    <w:rsid w:val="00DA1207"/>
    <w:rsid w:val="00DA1499"/>
    <w:rsid w:val="00DA1AD0"/>
    <w:rsid w:val="00DA21CA"/>
    <w:rsid w:val="00DA2513"/>
    <w:rsid w:val="00DA277B"/>
    <w:rsid w:val="00DA2781"/>
    <w:rsid w:val="00DA2EF6"/>
    <w:rsid w:val="00DA31A8"/>
    <w:rsid w:val="00DA35F6"/>
    <w:rsid w:val="00DA368D"/>
    <w:rsid w:val="00DA381B"/>
    <w:rsid w:val="00DA3A09"/>
    <w:rsid w:val="00DA3CD1"/>
    <w:rsid w:val="00DA3D1D"/>
    <w:rsid w:val="00DA4348"/>
    <w:rsid w:val="00DA49DA"/>
    <w:rsid w:val="00DA4AC9"/>
    <w:rsid w:val="00DA4BAF"/>
    <w:rsid w:val="00DA4E80"/>
    <w:rsid w:val="00DA4E81"/>
    <w:rsid w:val="00DA5574"/>
    <w:rsid w:val="00DA558C"/>
    <w:rsid w:val="00DA5662"/>
    <w:rsid w:val="00DA5698"/>
    <w:rsid w:val="00DA5A42"/>
    <w:rsid w:val="00DA5F6B"/>
    <w:rsid w:val="00DA5F82"/>
    <w:rsid w:val="00DA620F"/>
    <w:rsid w:val="00DA62BD"/>
    <w:rsid w:val="00DA678B"/>
    <w:rsid w:val="00DA6848"/>
    <w:rsid w:val="00DA6EE3"/>
    <w:rsid w:val="00DA7038"/>
    <w:rsid w:val="00DA70F6"/>
    <w:rsid w:val="00DA7255"/>
    <w:rsid w:val="00DA72BB"/>
    <w:rsid w:val="00DA73E9"/>
    <w:rsid w:val="00DA7445"/>
    <w:rsid w:val="00DA7A65"/>
    <w:rsid w:val="00DB0085"/>
    <w:rsid w:val="00DB0138"/>
    <w:rsid w:val="00DB02C0"/>
    <w:rsid w:val="00DB058A"/>
    <w:rsid w:val="00DB09A9"/>
    <w:rsid w:val="00DB0A59"/>
    <w:rsid w:val="00DB0C0B"/>
    <w:rsid w:val="00DB1092"/>
    <w:rsid w:val="00DB16FF"/>
    <w:rsid w:val="00DB17FD"/>
    <w:rsid w:val="00DB1838"/>
    <w:rsid w:val="00DB19C7"/>
    <w:rsid w:val="00DB1A1F"/>
    <w:rsid w:val="00DB1A83"/>
    <w:rsid w:val="00DB1C4B"/>
    <w:rsid w:val="00DB2067"/>
    <w:rsid w:val="00DB232E"/>
    <w:rsid w:val="00DB2522"/>
    <w:rsid w:val="00DB255D"/>
    <w:rsid w:val="00DB270C"/>
    <w:rsid w:val="00DB2803"/>
    <w:rsid w:val="00DB28B1"/>
    <w:rsid w:val="00DB28D9"/>
    <w:rsid w:val="00DB2B3B"/>
    <w:rsid w:val="00DB2B6D"/>
    <w:rsid w:val="00DB2F77"/>
    <w:rsid w:val="00DB3643"/>
    <w:rsid w:val="00DB3E31"/>
    <w:rsid w:val="00DB4610"/>
    <w:rsid w:val="00DB499B"/>
    <w:rsid w:val="00DB4BB2"/>
    <w:rsid w:val="00DB4CB5"/>
    <w:rsid w:val="00DB4D52"/>
    <w:rsid w:val="00DB4F19"/>
    <w:rsid w:val="00DB5477"/>
    <w:rsid w:val="00DB552C"/>
    <w:rsid w:val="00DB558D"/>
    <w:rsid w:val="00DB5794"/>
    <w:rsid w:val="00DB588C"/>
    <w:rsid w:val="00DB59E7"/>
    <w:rsid w:val="00DB5AF6"/>
    <w:rsid w:val="00DB5B3D"/>
    <w:rsid w:val="00DB61C8"/>
    <w:rsid w:val="00DB6286"/>
    <w:rsid w:val="00DB645F"/>
    <w:rsid w:val="00DB661F"/>
    <w:rsid w:val="00DB69AC"/>
    <w:rsid w:val="00DB6FB3"/>
    <w:rsid w:val="00DB70AE"/>
    <w:rsid w:val="00DB7239"/>
    <w:rsid w:val="00DB76E9"/>
    <w:rsid w:val="00DBEBDC"/>
    <w:rsid w:val="00DC01FF"/>
    <w:rsid w:val="00DC0457"/>
    <w:rsid w:val="00DC0576"/>
    <w:rsid w:val="00DC05FB"/>
    <w:rsid w:val="00DC0692"/>
    <w:rsid w:val="00DC072E"/>
    <w:rsid w:val="00DC0A67"/>
    <w:rsid w:val="00DC117F"/>
    <w:rsid w:val="00DC1432"/>
    <w:rsid w:val="00DC15E1"/>
    <w:rsid w:val="00DC16F0"/>
    <w:rsid w:val="00DC1782"/>
    <w:rsid w:val="00DC17EA"/>
    <w:rsid w:val="00DC1D5E"/>
    <w:rsid w:val="00DC2313"/>
    <w:rsid w:val="00DC25B0"/>
    <w:rsid w:val="00DC2766"/>
    <w:rsid w:val="00DC295F"/>
    <w:rsid w:val="00DC2A41"/>
    <w:rsid w:val="00DC2E6A"/>
    <w:rsid w:val="00DC2EF4"/>
    <w:rsid w:val="00DC3012"/>
    <w:rsid w:val="00DC32CF"/>
    <w:rsid w:val="00DC35DA"/>
    <w:rsid w:val="00DC3809"/>
    <w:rsid w:val="00DC3938"/>
    <w:rsid w:val="00DC3AFA"/>
    <w:rsid w:val="00DC3B71"/>
    <w:rsid w:val="00DC3DF7"/>
    <w:rsid w:val="00DC4333"/>
    <w:rsid w:val="00DC4774"/>
    <w:rsid w:val="00DC4837"/>
    <w:rsid w:val="00DC5220"/>
    <w:rsid w:val="00DC572B"/>
    <w:rsid w:val="00DC600F"/>
    <w:rsid w:val="00DC6172"/>
    <w:rsid w:val="00DC63DC"/>
    <w:rsid w:val="00DC676F"/>
    <w:rsid w:val="00DC6991"/>
    <w:rsid w:val="00DC6994"/>
    <w:rsid w:val="00DC6B71"/>
    <w:rsid w:val="00DC7695"/>
    <w:rsid w:val="00DC7910"/>
    <w:rsid w:val="00DC7BBA"/>
    <w:rsid w:val="00DD03E7"/>
    <w:rsid w:val="00DD043F"/>
    <w:rsid w:val="00DD1201"/>
    <w:rsid w:val="00DD2061"/>
    <w:rsid w:val="00DD22B1"/>
    <w:rsid w:val="00DD22E4"/>
    <w:rsid w:val="00DD27FD"/>
    <w:rsid w:val="00DD31A1"/>
    <w:rsid w:val="00DD324B"/>
    <w:rsid w:val="00DD36A9"/>
    <w:rsid w:val="00DD38E9"/>
    <w:rsid w:val="00DD3D60"/>
    <w:rsid w:val="00DD4016"/>
    <w:rsid w:val="00DD421C"/>
    <w:rsid w:val="00DD4594"/>
    <w:rsid w:val="00DD46AC"/>
    <w:rsid w:val="00DD4730"/>
    <w:rsid w:val="00DD503A"/>
    <w:rsid w:val="00DD55ED"/>
    <w:rsid w:val="00DD5667"/>
    <w:rsid w:val="00DD56E5"/>
    <w:rsid w:val="00DD5AA6"/>
    <w:rsid w:val="00DD61C0"/>
    <w:rsid w:val="00DD6ABE"/>
    <w:rsid w:val="00DD6BED"/>
    <w:rsid w:val="00DD7347"/>
    <w:rsid w:val="00DD74A7"/>
    <w:rsid w:val="00DD778F"/>
    <w:rsid w:val="00DD7C4A"/>
    <w:rsid w:val="00DD7D8D"/>
    <w:rsid w:val="00DD7DAB"/>
    <w:rsid w:val="00DE002F"/>
    <w:rsid w:val="00DE0255"/>
    <w:rsid w:val="00DE02BD"/>
    <w:rsid w:val="00DE0384"/>
    <w:rsid w:val="00DE06ED"/>
    <w:rsid w:val="00DE1787"/>
    <w:rsid w:val="00DE1A00"/>
    <w:rsid w:val="00DE1B70"/>
    <w:rsid w:val="00DE1F9B"/>
    <w:rsid w:val="00DE2224"/>
    <w:rsid w:val="00DE229F"/>
    <w:rsid w:val="00DE26C2"/>
    <w:rsid w:val="00DE31E3"/>
    <w:rsid w:val="00DE32DB"/>
    <w:rsid w:val="00DE331F"/>
    <w:rsid w:val="00DE3355"/>
    <w:rsid w:val="00DE3462"/>
    <w:rsid w:val="00DE35A3"/>
    <w:rsid w:val="00DE3A48"/>
    <w:rsid w:val="00DE4047"/>
    <w:rsid w:val="00DE4156"/>
    <w:rsid w:val="00DE4578"/>
    <w:rsid w:val="00DE46B5"/>
    <w:rsid w:val="00DE48CA"/>
    <w:rsid w:val="00DE48D2"/>
    <w:rsid w:val="00DE4B88"/>
    <w:rsid w:val="00DE4BAF"/>
    <w:rsid w:val="00DE519B"/>
    <w:rsid w:val="00DE5382"/>
    <w:rsid w:val="00DE53FA"/>
    <w:rsid w:val="00DE5756"/>
    <w:rsid w:val="00DE5B18"/>
    <w:rsid w:val="00DE5B50"/>
    <w:rsid w:val="00DE67A8"/>
    <w:rsid w:val="00DE6999"/>
    <w:rsid w:val="00DE6A89"/>
    <w:rsid w:val="00DE7351"/>
    <w:rsid w:val="00DE7E7B"/>
    <w:rsid w:val="00DE7EB9"/>
    <w:rsid w:val="00DF028D"/>
    <w:rsid w:val="00DF0534"/>
    <w:rsid w:val="00DF0925"/>
    <w:rsid w:val="00DF12B4"/>
    <w:rsid w:val="00DF12B6"/>
    <w:rsid w:val="00DF1308"/>
    <w:rsid w:val="00DF132D"/>
    <w:rsid w:val="00DF1A79"/>
    <w:rsid w:val="00DF1C5F"/>
    <w:rsid w:val="00DF1DB2"/>
    <w:rsid w:val="00DF1E3E"/>
    <w:rsid w:val="00DF2086"/>
    <w:rsid w:val="00DF20B7"/>
    <w:rsid w:val="00DF21B9"/>
    <w:rsid w:val="00DF2576"/>
    <w:rsid w:val="00DF2DB9"/>
    <w:rsid w:val="00DF2F23"/>
    <w:rsid w:val="00DF3085"/>
    <w:rsid w:val="00DF31E1"/>
    <w:rsid w:val="00DF38B5"/>
    <w:rsid w:val="00DF39B0"/>
    <w:rsid w:val="00DF39FF"/>
    <w:rsid w:val="00DF486F"/>
    <w:rsid w:val="00DF4AE3"/>
    <w:rsid w:val="00DF4E51"/>
    <w:rsid w:val="00DF4EA3"/>
    <w:rsid w:val="00DF4EA4"/>
    <w:rsid w:val="00DF539D"/>
    <w:rsid w:val="00DF54CB"/>
    <w:rsid w:val="00DF597F"/>
    <w:rsid w:val="00DF5B5B"/>
    <w:rsid w:val="00DF5C27"/>
    <w:rsid w:val="00DF6595"/>
    <w:rsid w:val="00DF6810"/>
    <w:rsid w:val="00DF6977"/>
    <w:rsid w:val="00DF6AD0"/>
    <w:rsid w:val="00DF711D"/>
    <w:rsid w:val="00DF75D1"/>
    <w:rsid w:val="00DF7619"/>
    <w:rsid w:val="00DF7CCB"/>
    <w:rsid w:val="00DF7DD1"/>
    <w:rsid w:val="00E0073E"/>
    <w:rsid w:val="00E00FB3"/>
    <w:rsid w:val="00E012C0"/>
    <w:rsid w:val="00E01529"/>
    <w:rsid w:val="00E0186E"/>
    <w:rsid w:val="00E01876"/>
    <w:rsid w:val="00E01975"/>
    <w:rsid w:val="00E01985"/>
    <w:rsid w:val="00E01A56"/>
    <w:rsid w:val="00E01FFA"/>
    <w:rsid w:val="00E02672"/>
    <w:rsid w:val="00E028E6"/>
    <w:rsid w:val="00E02AC4"/>
    <w:rsid w:val="00E02CF7"/>
    <w:rsid w:val="00E030A9"/>
    <w:rsid w:val="00E03575"/>
    <w:rsid w:val="00E03580"/>
    <w:rsid w:val="00E03D0F"/>
    <w:rsid w:val="00E03D54"/>
    <w:rsid w:val="00E042D6"/>
    <w:rsid w:val="00E042D8"/>
    <w:rsid w:val="00E04CFF"/>
    <w:rsid w:val="00E0514F"/>
    <w:rsid w:val="00E0576C"/>
    <w:rsid w:val="00E059E2"/>
    <w:rsid w:val="00E05C43"/>
    <w:rsid w:val="00E05CB4"/>
    <w:rsid w:val="00E06030"/>
    <w:rsid w:val="00E064FC"/>
    <w:rsid w:val="00E06660"/>
    <w:rsid w:val="00E06811"/>
    <w:rsid w:val="00E06C36"/>
    <w:rsid w:val="00E06CD8"/>
    <w:rsid w:val="00E07097"/>
    <w:rsid w:val="00E07285"/>
    <w:rsid w:val="00E0728F"/>
    <w:rsid w:val="00E072F8"/>
    <w:rsid w:val="00E07451"/>
    <w:rsid w:val="00E07CBC"/>
    <w:rsid w:val="00E07EE7"/>
    <w:rsid w:val="00E100AF"/>
    <w:rsid w:val="00E106BD"/>
    <w:rsid w:val="00E10867"/>
    <w:rsid w:val="00E10893"/>
    <w:rsid w:val="00E10DEF"/>
    <w:rsid w:val="00E1103B"/>
    <w:rsid w:val="00E11490"/>
    <w:rsid w:val="00E11714"/>
    <w:rsid w:val="00E11805"/>
    <w:rsid w:val="00E1211E"/>
    <w:rsid w:val="00E12A67"/>
    <w:rsid w:val="00E12BFD"/>
    <w:rsid w:val="00E12E30"/>
    <w:rsid w:val="00E132E3"/>
    <w:rsid w:val="00E13A7F"/>
    <w:rsid w:val="00E13EAD"/>
    <w:rsid w:val="00E1408C"/>
    <w:rsid w:val="00E14649"/>
    <w:rsid w:val="00E149C9"/>
    <w:rsid w:val="00E14BF2"/>
    <w:rsid w:val="00E15210"/>
    <w:rsid w:val="00E153A2"/>
    <w:rsid w:val="00E15752"/>
    <w:rsid w:val="00E1582F"/>
    <w:rsid w:val="00E15A95"/>
    <w:rsid w:val="00E15D6B"/>
    <w:rsid w:val="00E1614B"/>
    <w:rsid w:val="00E161DC"/>
    <w:rsid w:val="00E1640D"/>
    <w:rsid w:val="00E164C1"/>
    <w:rsid w:val="00E16688"/>
    <w:rsid w:val="00E17135"/>
    <w:rsid w:val="00E171DE"/>
    <w:rsid w:val="00E1747B"/>
    <w:rsid w:val="00E179CF"/>
    <w:rsid w:val="00E17B44"/>
    <w:rsid w:val="00E17BF4"/>
    <w:rsid w:val="00E17F85"/>
    <w:rsid w:val="00E20047"/>
    <w:rsid w:val="00E200A4"/>
    <w:rsid w:val="00E2012B"/>
    <w:rsid w:val="00E203B3"/>
    <w:rsid w:val="00E20B95"/>
    <w:rsid w:val="00E20C0A"/>
    <w:rsid w:val="00E20C77"/>
    <w:rsid w:val="00E2144A"/>
    <w:rsid w:val="00E21772"/>
    <w:rsid w:val="00E21D7B"/>
    <w:rsid w:val="00E21F37"/>
    <w:rsid w:val="00E220F7"/>
    <w:rsid w:val="00E2214E"/>
    <w:rsid w:val="00E229C1"/>
    <w:rsid w:val="00E22BC9"/>
    <w:rsid w:val="00E22BDE"/>
    <w:rsid w:val="00E22BF4"/>
    <w:rsid w:val="00E2300B"/>
    <w:rsid w:val="00E234D6"/>
    <w:rsid w:val="00E23756"/>
    <w:rsid w:val="00E238CA"/>
    <w:rsid w:val="00E23F94"/>
    <w:rsid w:val="00E24087"/>
    <w:rsid w:val="00E24435"/>
    <w:rsid w:val="00E24557"/>
    <w:rsid w:val="00E2470C"/>
    <w:rsid w:val="00E2485D"/>
    <w:rsid w:val="00E24A3D"/>
    <w:rsid w:val="00E25223"/>
    <w:rsid w:val="00E25595"/>
    <w:rsid w:val="00E25FA1"/>
    <w:rsid w:val="00E263B7"/>
    <w:rsid w:val="00E2672D"/>
    <w:rsid w:val="00E26783"/>
    <w:rsid w:val="00E26C70"/>
    <w:rsid w:val="00E26CC7"/>
    <w:rsid w:val="00E2717D"/>
    <w:rsid w:val="00E27613"/>
    <w:rsid w:val="00E27BA0"/>
    <w:rsid w:val="00E27EB4"/>
    <w:rsid w:val="00E27FEA"/>
    <w:rsid w:val="00E27FF4"/>
    <w:rsid w:val="00E3014E"/>
    <w:rsid w:val="00E301CA"/>
    <w:rsid w:val="00E30966"/>
    <w:rsid w:val="00E30A25"/>
    <w:rsid w:val="00E30A98"/>
    <w:rsid w:val="00E31461"/>
    <w:rsid w:val="00E316B5"/>
    <w:rsid w:val="00E31829"/>
    <w:rsid w:val="00E318FC"/>
    <w:rsid w:val="00E31A4F"/>
    <w:rsid w:val="00E3210D"/>
    <w:rsid w:val="00E326CF"/>
    <w:rsid w:val="00E32917"/>
    <w:rsid w:val="00E33295"/>
    <w:rsid w:val="00E335D0"/>
    <w:rsid w:val="00E33BE9"/>
    <w:rsid w:val="00E34BAD"/>
    <w:rsid w:val="00E34BFF"/>
    <w:rsid w:val="00E34C6D"/>
    <w:rsid w:val="00E352F9"/>
    <w:rsid w:val="00E3598B"/>
    <w:rsid w:val="00E35AE2"/>
    <w:rsid w:val="00E35C5C"/>
    <w:rsid w:val="00E35D55"/>
    <w:rsid w:val="00E36192"/>
    <w:rsid w:val="00E363B0"/>
    <w:rsid w:val="00E36B2F"/>
    <w:rsid w:val="00E37276"/>
    <w:rsid w:val="00E3752B"/>
    <w:rsid w:val="00E375F8"/>
    <w:rsid w:val="00E37822"/>
    <w:rsid w:val="00E37BEA"/>
    <w:rsid w:val="00E40849"/>
    <w:rsid w:val="00E4086F"/>
    <w:rsid w:val="00E40B08"/>
    <w:rsid w:val="00E40BC8"/>
    <w:rsid w:val="00E40C23"/>
    <w:rsid w:val="00E40C5C"/>
    <w:rsid w:val="00E40D81"/>
    <w:rsid w:val="00E410F0"/>
    <w:rsid w:val="00E41245"/>
    <w:rsid w:val="00E41476"/>
    <w:rsid w:val="00E41614"/>
    <w:rsid w:val="00E42450"/>
    <w:rsid w:val="00E424F0"/>
    <w:rsid w:val="00E4293C"/>
    <w:rsid w:val="00E42E7D"/>
    <w:rsid w:val="00E43532"/>
    <w:rsid w:val="00E43885"/>
    <w:rsid w:val="00E43911"/>
    <w:rsid w:val="00E439BD"/>
    <w:rsid w:val="00E43A3F"/>
    <w:rsid w:val="00E43B3C"/>
    <w:rsid w:val="00E43D34"/>
    <w:rsid w:val="00E43FA7"/>
    <w:rsid w:val="00E440D4"/>
    <w:rsid w:val="00E444C4"/>
    <w:rsid w:val="00E44605"/>
    <w:rsid w:val="00E44881"/>
    <w:rsid w:val="00E448C5"/>
    <w:rsid w:val="00E448C9"/>
    <w:rsid w:val="00E44D18"/>
    <w:rsid w:val="00E44D40"/>
    <w:rsid w:val="00E44E9B"/>
    <w:rsid w:val="00E44EB3"/>
    <w:rsid w:val="00E455CC"/>
    <w:rsid w:val="00E45AC2"/>
    <w:rsid w:val="00E45C9E"/>
    <w:rsid w:val="00E46042"/>
    <w:rsid w:val="00E4634C"/>
    <w:rsid w:val="00E46734"/>
    <w:rsid w:val="00E4680A"/>
    <w:rsid w:val="00E46871"/>
    <w:rsid w:val="00E469F1"/>
    <w:rsid w:val="00E46B4D"/>
    <w:rsid w:val="00E46E1E"/>
    <w:rsid w:val="00E4761E"/>
    <w:rsid w:val="00E478DB"/>
    <w:rsid w:val="00E4EE9E"/>
    <w:rsid w:val="00E500D6"/>
    <w:rsid w:val="00E50188"/>
    <w:rsid w:val="00E505C4"/>
    <w:rsid w:val="00E506EB"/>
    <w:rsid w:val="00E50AB9"/>
    <w:rsid w:val="00E50AC0"/>
    <w:rsid w:val="00E50D9E"/>
    <w:rsid w:val="00E51053"/>
    <w:rsid w:val="00E515CB"/>
    <w:rsid w:val="00E51637"/>
    <w:rsid w:val="00E51901"/>
    <w:rsid w:val="00E52260"/>
    <w:rsid w:val="00E522BD"/>
    <w:rsid w:val="00E528DB"/>
    <w:rsid w:val="00E529BF"/>
    <w:rsid w:val="00E52B0B"/>
    <w:rsid w:val="00E52C46"/>
    <w:rsid w:val="00E52ED7"/>
    <w:rsid w:val="00E539EF"/>
    <w:rsid w:val="00E5415E"/>
    <w:rsid w:val="00E5436E"/>
    <w:rsid w:val="00E54453"/>
    <w:rsid w:val="00E548E9"/>
    <w:rsid w:val="00E5498F"/>
    <w:rsid w:val="00E54CB0"/>
    <w:rsid w:val="00E54D97"/>
    <w:rsid w:val="00E54FB8"/>
    <w:rsid w:val="00E54FF5"/>
    <w:rsid w:val="00E553A1"/>
    <w:rsid w:val="00E55747"/>
    <w:rsid w:val="00E558F9"/>
    <w:rsid w:val="00E5593A"/>
    <w:rsid w:val="00E55DB3"/>
    <w:rsid w:val="00E55FBD"/>
    <w:rsid w:val="00E56229"/>
    <w:rsid w:val="00E56AAF"/>
    <w:rsid w:val="00E56B98"/>
    <w:rsid w:val="00E56CBE"/>
    <w:rsid w:val="00E56D20"/>
    <w:rsid w:val="00E56D6F"/>
    <w:rsid w:val="00E56D7C"/>
    <w:rsid w:val="00E56EDD"/>
    <w:rsid w:val="00E57097"/>
    <w:rsid w:val="00E57305"/>
    <w:rsid w:val="00E573A2"/>
    <w:rsid w:val="00E573BD"/>
    <w:rsid w:val="00E57C9A"/>
    <w:rsid w:val="00E57E34"/>
    <w:rsid w:val="00E57F68"/>
    <w:rsid w:val="00E6035C"/>
    <w:rsid w:val="00E6040E"/>
    <w:rsid w:val="00E606F1"/>
    <w:rsid w:val="00E6090C"/>
    <w:rsid w:val="00E60B27"/>
    <w:rsid w:val="00E60FFB"/>
    <w:rsid w:val="00E610A6"/>
    <w:rsid w:val="00E617D8"/>
    <w:rsid w:val="00E61973"/>
    <w:rsid w:val="00E619BD"/>
    <w:rsid w:val="00E61B18"/>
    <w:rsid w:val="00E62092"/>
    <w:rsid w:val="00E620A0"/>
    <w:rsid w:val="00E62911"/>
    <w:rsid w:val="00E62D34"/>
    <w:rsid w:val="00E62E52"/>
    <w:rsid w:val="00E633F4"/>
    <w:rsid w:val="00E63695"/>
    <w:rsid w:val="00E636B8"/>
    <w:rsid w:val="00E6377E"/>
    <w:rsid w:val="00E639B6"/>
    <w:rsid w:val="00E6434B"/>
    <w:rsid w:val="00E6463D"/>
    <w:rsid w:val="00E64828"/>
    <w:rsid w:val="00E6484F"/>
    <w:rsid w:val="00E64AE6"/>
    <w:rsid w:val="00E64D5E"/>
    <w:rsid w:val="00E64DFC"/>
    <w:rsid w:val="00E650D1"/>
    <w:rsid w:val="00E6528C"/>
    <w:rsid w:val="00E65D3E"/>
    <w:rsid w:val="00E6613B"/>
    <w:rsid w:val="00E662C8"/>
    <w:rsid w:val="00E66416"/>
    <w:rsid w:val="00E664FB"/>
    <w:rsid w:val="00E66C66"/>
    <w:rsid w:val="00E671CD"/>
    <w:rsid w:val="00E674EC"/>
    <w:rsid w:val="00E675A2"/>
    <w:rsid w:val="00E675B5"/>
    <w:rsid w:val="00E67847"/>
    <w:rsid w:val="00E67DD0"/>
    <w:rsid w:val="00E67F72"/>
    <w:rsid w:val="00E7039C"/>
    <w:rsid w:val="00E708BB"/>
    <w:rsid w:val="00E70FB9"/>
    <w:rsid w:val="00E7100D"/>
    <w:rsid w:val="00E71225"/>
    <w:rsid w:val="00E71B8B"/>
    <w:rsid w:val="00E71C54"/>
    <w:rsid w:val="00E71D7B"/>
    <w:rsid w:val="00E7205A"/>
    <w:rsid w:val="00E724CC"/>
    <w:rsid w:val="00E72E9B"/>
    <w:rsid w:val="00E73013"/>
    <w:rsid w:val="00E7301E"/>
    <w:rsid w:val="00E73650"/>
    <w:rsid w:val="00E740AC"/>
    <w:rsid w:val="00E74194"/>
    <w:rsid w:val="00E74351"/>
    <w:rsid w:val="00E74747"/>
    <w:rsid w:val="00E748D6"/>
    <w:rsid w:val="00E74E71"/>
    <w:rsid w:val="00E759ED"/>
    <w:rsid w:val="00E759F8"/>
    <w:rsid w:val="00E75A8F"/>
    <w:rsid w:val="00E75B9B"/>
    <w:rsid w:val="00E75CF8"/>
    <w:rsid w:val="00E76192"/>
    <w:rsid w:val="00E76B9D"/>
    <w:rsid w:val="00E76C1C"/>
    <w:rsid w:val="00E76E27"/>
    <w:rsid w:val="00E76E73"/>
    <w:rsid w:val="00E76EB1"/>
    <w:rsid w:val="00E76F57"/>
    <w:rsid w:val="00E76FB6"/>
    <w:rsid w:val="00E775BB"/>
    <w:rsid w:val="00E775D3"/>
    <w:rsid w:val="00E77C79"/>
    <w:rsid w:val="00E8044B"/>
    <w:rsid w:val="00E80774"/>
    <w:rsid w:val="00E807DF"/>
    <w:rsid w:val="00E80879"/>
    <w:rsid w:val="00E8093C"/>
    <w:rsid w:val="00E81532"/>
    <w:rsid w:val="00E82547"/>
    <w:rsid w:val="00E829D9"/>
    <w:rsid w:val="00E830E1"/>
    <w:rsid w:val="00E831C7"/>
    <w:rsid w:val="00E83329"/>
    <w:rsid w:val="00E837A7"/>
    <w:rsid w:val="00E839E5"/>
    <w:rsid w:val="00E83A17"/>
    <w:rsid w:val="00E83A8D"/>
    <w:rsid w:val="00E841A0"/>
    <w:rsid w:val="00E8478D"/>
    <w:rsid w:val="00E847D9"/>
    <w:rsid w:val="00E849B6"/>
    <w:rsid w:val="00E849DA"/>
    <w:rsid w:val="00E84A02"/>
    <w:rsid w:val="00E84EAF"/>
    <w:rsid w:val="00E85131"/>
    <w:rsid w:val="00E8550F"/>
    <w:rsid w:val="00E85645"/>
    <w:rsid w:val="00E8675A"/>
    <w:rsid w:val="00E8710A"/>
    <w:rsid w:val="00E8724B"/>
    <w:rsid w:val="00E87446"/>
    <w:rsid w:val="00E875DA"/>
    <w:rsid w:val="00E8763D"/>
    <w:rsid w:val="00E876E4"/>
    <w:rsid w:val="00E877E3"/>
    <w:rsid w:val="00E878D3"/>
    <w:rsid w:val="00E87B8A"/>
    <w:rsid w:val="00E87DF4"/>
    <w:rsid w:val="00E900A3"/>
    <w:rsid w:val="00E908F4"/>
    <w:rsid w:val="00E90D20"/>
    <w:rsid w:val="00E90FFF"/>
    <w:rsid w:val="00E91151"/>
    <w:rsid w:val="00E911F2"/>
    <w:rsid w:val="00E9158C"/>
    <w:rsid w:val="00E9169D"/>
    <w:rsid w:val="00E919B8"/>
    <w:rsid w:val="00E91F09"/>
    <w:rsid w:val="00E91F40"/>
    <w:rsid w:val="00E91F63"/>
    <w:rsid w:val="00E921C2"/>
    <w:rsid w:val="00E922D4"/>
    <w:rsid w:val="00E92A83"/>
    <w:rsid w:val="00E92E0D"/>
    <w:rsid w:val="00E9317C"/>
    <w:rsid w:val="00E93520"/>
    <w:rsid w:val="00E9380E"/>
    <w:rsid w:val="00E939B9"/>
    <w:rsid w:val="00E93F0B"/>
    <w:rsid w:val="00E9462E"/>
    <w:rsid w:val="00E946E5"/>
    <w:rsid w:val="00E94A4D"/>
    <w:rsid w:val="00E94D5C"/>
    <w:rsid w:val="00E94F1A"/>
    <w:rsid w:val="00E951D6"/>
    <w:rsid w:val="00E95759"/>
    <w:rsid w:val="00E961FB"/>
    <w:rsid w:val="00E9620A"/>
    <w:rsid w:val="00E96287"/>
    <w:rsid w:val="00E968AA"/>
    <w:rsid w:val="00E96C49"/>
    <w:rsid w:val="00E96FC5"/>
    <w:rsid w:val="00E975EB"/>
    <w:rsid w:val="00E977D6"/>
    <w:rsid w:val="00E979F2"/>
    <w:rsid w:val="00EA01CD"/>
    <w:rsid w:val="00EA0571"/>
    <w:rsid w:val="00EA05BF"/>
    <w:rsid w:val="00EA0B01"/>
    <w:rsid w:val="00EA0EF1"/>
    <w:rsid w:val="00EA0F87"/>
    <w:rsid w:val="00EA1808"/>
    <w:rsid w:val="00EA18F4"/>
    <w:rsid w:val="00EA1A77"/>
    <w:rsid w:val="00EA1E27"/>
    <w:rsid w:val="00EA2284"/>
    <w:rsid w:val="00EA306C"/>
    <w:rsid w:val="00EA3151"/>
    <w:rsid w:val="00EA33E5"/>
    <w:rsid w:val="00EA365F"/>
    <w:rsid w:val="00EA3B98"/>
    <w:rsid w:val="00EA42F2"/>
    <w:rsid w:val="00EA470E"/>
    <w:rsid w:val="00EA47A7"/>
    <w:rsid w:val="00EA4D9B"/>
    <w:rsid w:val="00EA4E6E"/>
    <w:rsid w:val="00EA4F29"/>
    <w:rsid w:val="00EA529D"/>
    <w:rsid w:val="00EA57EB"/>
    <w:rsid w:val="00EA5A1A"/>
    <w:rsid w:val="00EA5FA8"/>
    <w:rsid w:val="00EA609D"/>
    <w:rsid w:val="00EA644E"/>
    <w:rsid w:val="00EA64DA"/>
    <w:rsid w:val="00EA6575"/>
    <w:rsid w:val="00EA6A18"/>
    <w:rsid w:val="00EA6C95"/>
    <w:rsid w:val="00EA6D2F"/>
    <w:rsid w:val="00EA6FC1"/>
    <w:rsid w:val="00EA6FE0"/>
    <w:rsid w:val="00EA7B54"/>
    <w:rsid w:val="00EA7E51"/>
    <w:rsid w:val="00EB00EA"/>
    <w:rsid w:val="00EB06CF"/>
    <w:rsid w:val="00EB0AAF"/>
    <w:rsid w:val="00EB0CFF"/>
    <w:rsid w:val="00EB13FB"/>
    <w:rsid w:val="00EB1600"/>
    <w:rsid w:val="00EB17BD"/>
    <w:rsid w:val="00EB18B0"/>
    <w:rsid w:val="00EB199D"/>
    <w:rsid w:val="00EB1A8A"/>
    <w:rsid w:val="00EB1B7C"/>
    <w:rsid w:val="00EB2140"/>
    <w:rsid w:val="00EB2175"/>
    <w:rsid w:val="00EB2313"/>
    <w:rsid w:val="00EB30C6"/>
    <w:rsid w:val="00EB3193"/>
    <w:rsid w:val="00EB3226"/>
    <w:rsid w:val="00EB33DA"/>
    <w:rsid w:val="00EB3B0A"/>
    <w:rsid w:val="00EB3DFA"/>
    <w:rsid w:val="00EB466D"/>
    <w:rsid w:val="00EB48EB"/>
    <w:rsid w:val="00EB4C85"/>
    <w:rsid w:val="00EB4EAF"/>
    <w:rsid w:val="00EB56A7"/>
    <w:rsid w:val="00EB5E97"/>
    <w:rsid w:val="00EB6036"/>
    <w:rsid w:val="00EB665D"/>
    <w:rsid w:val="00EB69F4"/>
    <w:rsid w:val="00EB6CB9"/>
    <w:rsid w:val="00EB76B6"/>
    <w:rsid w:val="00EB7D37"/>
    <w:rsid w:val="00EB7D53"/>
    <w:rsid w:val="00EB7FF1"/>
    <w:rsid w:val="00EC0004"/>
    <w:rsid w:val="00EC0011"/>
    <w:rsid w:val="00EC0154"/>
    <w:rsid w:val="00EC0AE7"/>
    <w:rsid w:val="00EC0B51"/>
    <w:rsid w:val="00EC1386"/>
    <w:rsid w:val="00EC1487"/>
    <w:rsid w:val="00EC1732"/>
    <w:rsid w:val="00EC1BDD"/>
    <w:rsid w:val="00EC1EB6"/>
    <w:rsid w:val="00EC1F2B"/>
    <w:rsid w:val="00EC213A"/>
    <w:rsid w:val="00EC23FC"/>
    <w:rsid w:val="00EC243C"/>
    <w:rsid w:val="00EC2A54"/>
    <w:rsid w:val="00EC2AB3"/>
    <w:rsid w:val="00EC2BC8"/>
    <w:rsid w:val="00EC2DB0"/>
    <w:rsid w:val="00EC39A4"/>
    <w:rsid w:val="00EC3BC9"/>
    <w:rsid w:val="00EC3D0F"/>
    <w:rsid w:val="00EC4553"/>
    <w:rsid w:val="00EC4700"/>
    <w:rsid w:val="00EC4990"/>
    <w:rsid w:val="00EC4A7F"/>
    <w:rsid w:val="00EC4CE4"/>
    <w:rsid w:val="00EC5024"/>
    <w:rsid w:val="00EC5443"/>
    <w:rsid w:val="00EC5BC8"/>
    <w:rsid w:val="00EC5DC0"/>
    <w:rsid w:val="00EC6149"/>
    <w:rsid w:val="00EC6603"/>
    <w:rsid w:val="00EC6B7B"/>
    <w:rsid w:val="00EC7525"/>
    <w:rsid w:val="00EC7744"/>
    <w:rsid w:val="00EC77E9"/>
    <w:rsid w:val="00EC7812"/>
    <w:rsid w:val="00EC7A36"/>
    <w:rsid w:val="00EC7F95"/>
    <w:rsid w:val="00ECD12B"/>
    <w:rsid w:val="00ED0024"/>
    <w:rsid w:val="00ED02A8"/>
    <w:rsid w:val="00ED0863"/>
    <w:rsid w:val="00ED0AC1"/>
    <w:rsid w:val="00ED0DAD"/>
    <w:rsid w:val="00ED0F2B"/>
    <w:rsid w:val="00ED0F46"/>
    <w:rsid w:val="00ED1712"/>
    <w:rsid w:val="00ED1C01"/>
    <w:rsid w:val="00ED2007"/>
    <w:rsid w:val="00ED2036"/>
    <w:rsid w:val="00ED2135"/>
    <w:rsid w:val="00ED2373"/>
    <w:rsid w:val="00ED25CC"/>
    <w:rsid w:val="00ED2BD9"/>
    <w:rsid w:val="00ED2D0C"/>
    <w:rsid w:val="00ED31AF"/>
    <w:rsid w:val="00ED3806"/>
    <w:rsid w:val="00ED3820"/>
    <w:rsid w:val="00ED3D98"/>
    <w:rsid w:val="00ED4372"/>
    <w:rsid w:val="00ED4550"/>
    <w:rsid w:val="00ED45F2"/>
    <w:rsid w:val="00ED4882"/>
    <w:rsid w:val="00ED4ED9"/>
    <w:rsid w:val="00ED5632"/>
    <w:rsid w:val="00ED5D0C"/>
    <w:rsid w:val="00ED6102"/>
    <w:rsid w:val="00ED6926"/>
    <w:rsid w:val="00ED6F31"/>
    <w:rsid w:val="00ED6F65"/>
    <w:rsid w:val="00ED7080"/>
    <w:rsid w:val="00ED70EA"/>
    <w:rsid w:val="00ED70EE"/>
    <w:rsid w:val="00ED77A8"/>
    <w:rsid w:val="00ED7A20"/>
    <w:rsid w:val="00ED7A82"/>
    <w:rsid w:val="00ED7FC1"/>
    <w:rsid w:val="00EE06D3"/>
    <w:rsid w:val="00EE072B"/>
    <w:rsid w:val="00EE0D89"/>
    <w:rsid w:val="00EE0FF7"/>
    <w:rsid w:val="00EE2198"/>
    <w:rsid w:val="00EE2237"/>
    <w:rsid w:val="00EE2A4F"/>
    <w:rsid w:val="00EE33F4"/>
    <w:rsid w:val="00EE399B"/>
    <w:rsid w:val="00EE3C4C"/>
    <w:rsid w:val="00EE3E00"/>
    <w:rsid w:val="00EE3E8A"/>
    <w:rsid w:val="00EE40D8"/>
    <w:rsid w:val="00EE4BC5"/>
    <w:rsid w:val="00EE4F98"/>
    <w:rsid w:val="00EE5091"/>
    <w:rsid w:val="00EE53B3"/>
    <w:rsid w:val="00EE5A22"/>
    <w:rsid w:val="00EE5ABB"/>
    <w:rsid w:val="00EE5C82"/>
    <w:rsid w:val="00EE5CF3"/>
    <w:rsid w:val="00EE6845"/>
    <w:rsid w:val="00EE69FB"/>
    <w:rsid w:val="00EE6A74"/>
    <w:rsid w:val="00EE6B24"/>
    <w:rsid w:val="00EE6B9D"/>
    <w:rsid w:val="00EE6BB5"/>
    <w:rsid w:val="00EE6DCB"/>
    <w:rsid w:val="00EE6F08"/>
    <w:rsid w:val="00EE70B1"/>
    <w:rsid w:val="00EE761E"/>
    <w:rsid w:val="00EE76C7"/>
    <w:rsid w:val="00EE7855"/>
    <w:rsid w:val="00EE7AA3"/>
    <w:rsid w:val="00EE7C24"/>
    <w:rsid w:val="00EE7DA8"/>
    <w:rsid w:val="00EF027F"/>
    <w:rsid w:val="00EF029C"/>
    <w:rsid w:val="00EF0FDA"/>
    <w:rsid w:val="00EF115F"/>
    <w:rsid w:val="00EF11A4"/>
    <w:rsid w:val="00EF133D"/>
    <w:rsid w:val="00EF13B1"/>
    <w:rsid w:val="00EF13E0"/>
    <w:rsid w:val="00EF165D"/>
    <w:rsid w:val="00EF188F"/>
    <w:rsid w:val="00EF1D47"/>
    <w:rsid w:val="00EF1E40"/>
    <w:rsid w:val="00EF274A"/>
    <w:rsid w:val="00EF29C0"/>
    <w:rsid w:val="00EF3269"/>
    <w:rsid w:val="00EF32FE"/>
    <w:rsid w:val="00EF3417"/>
    <w:rsid w:val="00EF3584"/>
    <w:rsid w:val="00EF381F"/>
    <w:rsid w:val="00EF38C9"/>
    <w:rsid w:val="00EF3E6F"/>
    <w:rsid w:val="00EF4765"/>
    <w:rsid w:val="00EF4969"/>
    <w:rsid w:val="00EF4AA0"/>
    <w:rsid w:val="00EF4ECC"/>
    <w:rsid w:val="00EF50FD"/>
    <w:rsid w:val="00EF53F2"/>
    <w:rsid w:val="00EF564D"/>
    <w:rsid w:val="00EF5931"/>
    <w:rsid w:val="00EF5A16"/>
    <w:rsid w:val="00EF5D02"/>
    <w:rsid w:val="00EF6ACD"/>
    <w:rsid w:val="00EF6E7F"/>
    <w:rsid w:val="00EF6ECA"/>
    <w:rsid w:val="00EF790E"/>
    <w:rsid w:val="00EF7DE3"/>
    <w:rsid w:val="00F00233"/>
    <w:rsid w:val="00F00354"/>
    <w:rsid w:val="00F00DEF"/>
    <w:rsid w:val="00F011C6"/>
    <w:rsid w:val="00F0160B"/>
    <w:rsid w:val="00F01683"/>
    <w:rsid w:val="00F020CD"/>
    <w:rsid w:val="00F0226D"/>
    <w:rsid w:val="00F0246D"/>
    <w:rsid w:val="00F024E1"/>
    <w:rsid w:val="00F02717"/>
    <w:rsid w:val="00F02AA8"/>
    <w:rsid w:val="00F0326A"/>
    <w:rsid w:val="00F03590"/>
    <w:rsid w:val="00F036AA"/>
    <w:rsid w:val="00F036E7"/>
    <w:rsid w:val="00F037DC"/>
    <w:rsid w:val="00F0399F"/>
    <w:rsid w:val="00F03AFC"/>
    <w:rsid w:val="00F03F85"/>
    <w:rsid w:val="00F04038"/>
    <w:rsid w:val="00F04732"/>
    <w:rsid w:val="00F04811"/>
    <w:rsid w:val="00F04996"/>
    <w:rsid w:val="00F04A6B"/>
    <w:rsid w:val="00F04EEC"/>
    <w:rsid w:val="00F05291"/>
    <w:rsid w:val="00F0535B"/>
    <w:rsid w:val="00F05AEB"/>
    <w:rsid w:val="00F05C12"/>
    <w:rsid w:val="00F05D97"/>
    <w:rsid w:val="00F05DC2"/>
    <w:rsid w:val="00F05F82"/>
    <w:rsid w:val="00F063FE"/>
    <w:rsid w:val="00F06701"/>
    <w:rsid w:val="00F067EF"/>
    <w:rsid w:val="00F0686C"/>
    <w:rsid w:val="00F069C2"/>
    <w:rsid w:val="00F06B21"/>
    <w:rsid w:val="00F06C10"/>
    <w:rsid w:val="00F07108"/>
    <w:rsid w:val="00F07773"/>
    <w:rsid w:val="00F100AE"/>
    <w:rsid w:val="00F10496"/>
    <w:rsid w:val="00F10515"/>
    <w:rsid w:val="00F1096F"/>
    <w:rsid w:val="00F109B9"/>
    <w:rsid w:val="00F10A10"/>
    <w:rsid w:val="00F10DD3"/>
    <w:rsid w:val="00F10DEC"/>
    <w:rsid w:val="00F10E2E"/>
    <w:rsid w:val="00F110DF"/>
    <w:rsid w:val="00F11123"/>
    <w:rsid w:val="00F115C8"/>
    <w:rsid w:val="00F11C48"/>
    <w:rsid w:val="00F11F08"/>
    <w:rsid w:val="00F123B9"/>
    <w:rsid w:val="00F1243E"/>
    <w:rsid w:val="00F12589"/>
    <w:rsid w:val="00F12595"/>
    <w:rsid w:val="00F127A3"/>
    <w:rsid w:val="00F12D44"/>
    <w:rsid w:val="00F13242"/>
    <w:rsid w:val="00F1330A"/>
    <w:rsid w:val="00F1348C"/>
    <w:rsid w:val="00F134D9"/>
    <w:rsid w:val="00F134F0"/>
    <w:rsid w:val="00F13952"/>
    <w:rsid w:val="00F13B37"/>
    <w:rsid w:val="00F13BFF"/>
    <w:rsid w:val="00F13CD2"/>
    <w:rsid w:val="00F1402E"/>
    <w:rsid w:val="00F1403D"/>
    <w:rsid w:val="00F1463F"/>
    <w:rsid w:val="00F1465F"/>
    <w:rsid w:val="00F147E8"/>
    <w:rsid w:val="00F14815"/>
    <w:rsid w:val="00F14990"/>
    <w:rsid w:val="00F149A9"/>
    <w:rsid w:val="00F14EAA"/>
    <w:rsid w:val="00F154E3"/>
    <w:rsid w:val="00F15994"/>
    <w:rsid w:val="00F16337"/>
    <w:rsid w:val="00F16534"/>
    <w:rsid w:val="00F169AC"/>
    <w:rsid w:val="00F175A8"/>
    <w:rsid w:val="00F175DE"/>
    <w:rsid w:val="00F1762A"/>
    <w:rsid w:val="00F17655"/>
    <w:rsid w:val="00F202FA"/>
    <w:rsid w:val="00F2088D"/>
    <w:rsid w:val="00F20B54"/>
    <w:rsid w:val="00F21302"/>
    <w:rsid w:val="00F213BC"/>
    <w:rsid w:val="00F2140B"/>
    <w:rsid w:val="00F22200"/>
    <w:rsid w:val="00F22465"/>
    <w:rsid w:val="00F226CF"/>
    <w:rsid w:val="00F230B2"/>
    <w:rsid w:val="00F233F5"/>
    <w:rsid w:val="00F236D8"/>
    <w:rsid w:val="00F23770"/>
    <w:rsid w:val="00F23927"/>
    <w:rsid w:val="00F23F2B"/>
    <w:rsid w:val="00F2414D"/>
    <w:rsid w:val="00F24165"/>
    <w:rsid w:val="00F2437E"/>
    <w:rsid w:val="00F24500"/>
    <w:rsid w:val="00F2456D"/>
    <w:rsid w:val="00F249BC"/>
    <w:rsid w:val="00F2507F"/>
    <w:rsid w:val="00F257F1"/>
    <w:rsid w:val="00F25E0C"/>
    <w:rsid w:val="00F26069"/>
    <w:rsid w:val="00F2626A"/>
    <w:rsid w:val="00F2672F"/>
    <w:rsid w:val="00F268AD"/>
    <w:rsid w:val="00F269C6"/>
    <w:rsid w:val="00F26A96"/>
    <w:rsid w:val="00F26A97"/>
    <w:rsid w:val="00F26EBC"/>
    <w:rsid w:val="00F3005D"/>
    <w:rsid w:val="00F3065E"/>
    <w:rsid w:val="00F3089E"/>
    <w:rsid w:val="00F30D4D"/>
    <w:rsid w:val="00F30EEC"/>
    <w:rsid w:val="00F30FB2"/>
    <w:rsid w:val="00F31514"/>
    <w:rsid w:val="00F31578"/>
    <w:rsid w:val="00F31D9F"/>
    <w:rsid w:val="00F31E5A"/>
    <w:rsid w:val="00F31F45"/>
    <w:rsid w:val="00F321DE"/>
    <w:rsid w:val="00F3238E"/>
    <w:rsid w:val="00F32602"/>
    <w:rsid w:val="00F3282C"/>
    <w:rsid w:val="00F32850"/>
    <w:rsid w:val="00F3296D"/>
    <w:rsid w:val="00F32CFC"/>
    <w:rsid w:val="00F32F76"/>
    <w:rsid w:val="00F331A4"/>
    <w:rsid w:val="00F33216"/>
    <w:rsid w:val="00F33236"/>
    <w:rsid w:val="00F33560"/>
    <w:rsid w:val="00F336CB"/>
    <w:rsid w:val="00F33774"/>
    <w:rsid w:val="00F33777"/>
    <w:rsid w:val="00F345BC"/>
    <w:rsid w:val="00F3478F"/>
    <w:rsid w:val="00F349A4"/>
    <w:rsid w:val="00F34A4C"/>
    <w:rsid w:val="00F34C9C"/>
    <w:rsid w:val="00F3505D"/>
    <w:rsid w:val="00F35347"/>
    <w:rsid w:val="00F35668"/>
    <w:rsid w:val="00F3566A"/>
    <w:rsid w:val="00F357F2"/>
    <w:rsid w:val="00F3580C"/>
    <w:rsid w:val="00F359D9"/>
    <w:rsid w:val="00F35DC2"/>
    <w:rsid w:val="00F3649A"/>
    <w:rsid w:val="00F3661C"/>
    <w:rsid w:val="00F36DBB"/>
    <w:rsid w:val="00F37064"/>
    <w:rsid w:val="00F37257"/>
    <w:rsid w:val="00F3745A"/>
    <w:rsid w:val="00F40010"/>
    <w:rsid w:val="00F4008A"/>
    <w:rsid w:val="00F4022B"/>
    <w:rsid w:val="00F40273"/>
    <w:rsid w:val="00F40648"/>
    <w:rsid w:val="00F40839"/>
    <w:rsid w:val="00F408BB"/>
    <w:rsid w:val="00F40B40"/>
    <w:rsid w:val="00F40CC9"/>
    <w:rsid w:val="00F40DDB"/>
    <w:rsid w:val="00F41129"/>
    <w:rsid w:val="00F41231"/>
    <w:rsid w:val="00F4140C"/>
    <w:rsid w:val="00F417A4"/>
    <w:rsid w:val="00F4204D"/>
    <w:rsid w:val="00F42BB3"/>
    <w:rsid w:val="00F42CF3"/>
    <w:rsid w:val="00F430AC"/>
    <w:rsid w:val="00F43328"/>
    <w:rsid w:val="00F4387F"/>
    <w:rsid w:val="00F43F45"/>
    <w:rsid w:val="00F4430B"/>
    <w:rsid w:val="00F444D0"/>
    <w:rsid w:val="00F44860"/>
    <w:rsid w:val="00F449C9"/>
    <w:rsid w:val="00F44B58"/>
    <w:rsid w:val="00F44CD5"/>
    <w:rsid w:val="00F44E5C"/>
    <w:rsid w:val="00F44EB1"/>
    <w:rsid w:val="00F45550"/>
    <w:rsid w:val="00F457C1"/>
    <w:rsid w:val="00F457FD"/>
    <w:rsid w:val="00F459AC"/>
    <w:rsid w:val="00F45D81"/>
    <w:rsid w:val="00F468D0"/>
    <w:rsid w:val="00F4698F"/>
    <w:rsid w:val="00F46C09"/>
    <w:rsid w:val="00F46C71"/>
    <w:rsid w:val="00F46CA5"/>
    <w:rsid w:val="00F46D2D"/>
    <w:rsid w:val="00F4702D"/>
    <w:rsid w:val="00F471D8"/>
    <w:rsid w:val="00F47452"/>
    <w:rsid w:val="00F477C3"/>
    <w:rsid w:val="00F479D8"/>
    <w:rsid w:val="00F47B55"/>
    <w:rsid w:val="00F47DA2"/>
    <w:rsid w:val="00F47E8D"/>
    <w:rsid w:val="00F503A8"/>
    <w:rsid w:val="00F503C2"/>
    <w:rsid w:val="00F50534"/>
    <w:rsid w:val="00F50712"/>
    <w:rsid w:val="00F5089D"/>
    <w:rsid w:val="00F509F1"/>
    <w:rsid w:val="00F50EE1"/>
    <w:rsid w:val="00F51027"/>
    <w:rsid w:val="00F511F6"/>
    <w:rsid w:val="00F517A6"/>
    <w:rsid w:val="00F51820"/>
    <w:rsid w:val="00F519FC"/>
    <w:rsid w:val="00F51A7B"/>
    <w:rsid w:val="00F5233F"/>
    <w:rsid w:val="00F52370"/>
    <w:rsid w:val="00F5268E"/>
    <w:rsid w:val="00F52A9A"/>
    <w:rsid w:val="00F52CDC"/>
    <w:rsid w:val="00F53474"/>
    <w:rsid w:val="00F534E1"/>
    <w:rsid w:val="00F536A4"/>
    <w:rsid w:val="00F538F0"/>
    <w:rsid w:val="00F53A67"/>
    <w:rsid w:val="00F53A81"/>
    <w:rsid w:val="00F53B11"/>
    <w:rsid w:val="00F53F42"/>
    <w:rsid w:val="00F54F0D"/>
    <w:rsid w:val="00F54F19"/>
    <w:rsid w:val="00F553D6"/>
    <w:rsid w:val="00F554CB"/>
    <w:rsid w:val="00F55737"/>
    <w:rsid w:val="00F559E1"/>
    <w:rsid w:val="00F5639B"/>
    <w:rsid w:val="00F563F7"/>
    <w:rsid w:val="00F56A47"/>
    <w:rsid w:val="00F56C8D"/>
    <w:rsid w:val="00F5724A"/>
    <w:rsid w:val="00F57371"/>
    <w:rsid w:val="00F57460"/>
    <w:rsid w:val="00F57A87"/>
    <w:rsid w:val="00F57D0B"/>
    <w:rsid w:val="00F57EBA"/>
    <w:rsid w:val="00F60114"/>
    <w:rsid w:val="00F604C0"/>
    <w:rsid w:val="00F606FF"/>
    <w:rsid w:val="00F607BE"/>
    <w:rsid w:val="00F607FD"/>
    <w:rsid w:val="00F6097C"/>
    <w:rsid w:val="00F60A38"/>
    <w:rsid w:val="00F60C2C"/>
    <w:rsid w:val="00F60E58"/>
    <w:rsid w:val="00F61149"/>
    <w:rsid w:val="00F61B47"/>
    <w:rsid w:val="00F61D0A"/>
    <w:rsid w:val="00F61D43"/>
    <w:rsid w:val="00F61DBF"/>
    <w:rsid w:val="00F6239D"/>
    <w:rsid w:val="00F62A15"/>
    <w:rsid w:val="00F62B2D"/>
    <w:rsid w:val="00F62B67"/>
    <w:rsid w:val="00F62D6B"/>
    <w:rsid w:val="00F62D6F"/>
    <w:rsid w:val="00F62DAF"/>
    <w:rsid w:val="00F62E88"/>
    <w:rsid w:val="00F63394"/>
    <w:rsid w:val="00F63580"/>
    <w:rsid w:val="00F63872"/>
    <w:rsid w:val="00F645EF"/>
    <w:rsid w:val="00F6463E"/>
    <w:rsid w:val="00F646D6"/>
    <w:rsid w:val="00F64846"/>
    <w:rsid w:val="00F6528A"/>
    <w:rsid w:val="00F653F2"/>
    <w:rsid w:val="00F657B1"/>
    <w:rsid w:val="00F657CF"/>
    <w:rsid w:val="00F66BFA"/>
    <w:rsid w:val="00F66C05"/>
    <w:rsid w:val="00F67301"/>
    <w:rsid w:val="00F67375"/>
    <w:rsid w:val="00F6748D"/>
    <w:rsid w:val="00F67511"/>
    <w:rsid w:val="00F6778F"/>
    <w:rsid w:val="00F67AB8"/>
    <w:rsid w:val="00F67E03"/>
    <w:rsid w:val="00F6A9BF"/>
    <w:rsid w:val="00F702B3"/>
    <w:rsid w:val="00F7049D"/>
    <w:rsid w:val="00F704A7"/>
    <w:rsid w:val="00F70579"/>
    <w:rsid w:val="00F708CE"/>
    <w:rsid w:val="00F710E8"/>
    <w:rsid w:val="00F71195"/>
    <w:rsid w:val="00F71317"/>
    <w:rsid w:val="00F71354"/>
    <w:rsid w:val="00F715D2"/>
    <w:rsid w:val="00F7182F"/>
    <w:rsid w:val="00F7192E"/>
    <w:rsid w:val="00F71B96"/>
    <w:rsid w:val="00F71F57"/>
    <w:rsid w:val="00F71FE9"/>
    <w:rsid w:val="00F726C2"/>
    <w:rsid w:val="00F726CC"/>
    <w:rsid w:val="00F7274F"/>
    <w:rsid w:val="00F7284C"/>
    <w:rsid w:val="00F72892"/>
    <w:rsid w:val="00F728B4"/>
    <w:rsid w:val="00F72946"/>
    <w:rsid w:val="00F729BF"/>
    <w:rsid w:val="00F72A56"/>
    <w:rsid w:val="00F73211"/>
    <w:rsid w:val="00F7389F"/>
    <w:rsid w:val="00F74219"/>
    <w:rsid w:val="00F742A2"/>
    <w:rsid w:val="00F743D3"/>
    <w:rsid w:val="00F7470C"/>
    <w:rsid w:val="00F74DD9"/>
    <w:rsid w:val="00F74EC3"/>
    <w:rsid w:val="00F74F2A"/>
    <w:rsid w:val="00F75100"/>
    <w:rsid w:val="00F751ED"/>
    <w:rsid w:val="00F75658"/>
    <w:rsid w:val="00F75823"/>
    <w:rsid w:val="00F75F4F"/>
    <w:rsid w:val="00F76233"/>
    <w:rsid w:val="00F76235"/>
    <w:rsid w:val="00F76302"/>
    <w:rsid w:val="00F76604"/>
    <w:rsid w:val="00F76B0C"/>
    <w:rsid w:val="00F76B67"/>
    <w:rsid w:val="00F76B81"/>
    <w:rsid w:val="00F76DED"/>
    <w:rsid w:val="00F76FA8"/>
    <w:rsid w:val="00F770D9"/>
    <w:rsid w:val="00F77295"/>
    <w:rsid w:val="00F7731C"/>
    <w:rsid w:val="00F774D4"/>
    <w:rsid w:val="00F77BDF"/>
    <w:rsid w:val="00F801A7"/>
    <w:rsid w:val="00F8042E"/>
    <w:rsid w:val="00F8091D"/>
    <w:rsid w:val="00F80B20"/>
    <w:rsid w:val="00F81094"/>
    <w:rsid w:val="00F81179"/>
    <w:rsid w:val="00F811E4"/>
    <w:rsid w:val="00F82035"/>
    <w:rsid w:val="00F822DF"/>
    <w:rsid w:val="00F82351"/>
    <w:rsid w:val="00F824E8"/>
    <w:rsid w:val="00F826CF"/>
    <w:rsid w:val="00F82D4E"/>
    <w:rsid w:val="00F82F92"/>
    <w:rsid w:val="00F837B5"/>
    <w:rsid w:val="00F837DE"/>
    <w:rsid w:val="00F83D58"/>
    <w:rsid w:val="00F83E17"/>
    <w:rsid w:val="00F83EF5"/>
    <w:rsid w:val="00F84368"/>
    <w:rsid w:val="00F8451E"/>
    <w:rsid w:val="00F84DF9"/>
    <w:rsid w:val="00F84E01"/>
    <w:rsid w:val="00F85C64"/>
    <w:rsid w:val="00F861C5"/>
    <w:rsid w:val="00F86341"/>
    <w:rsid w:val="00F867AE"/>
    <w:rsid w:val="00F86B91"/>
    <w:rsid w:val="00F86D03"/>
    <w:rsid w:val="00F86EDE"/>
    <w:rsid w:val="00F86F85"/>
    <w:rsid w:val="00F87958"/>
    <w:rsid w:val="00F87C83"/>
    <w:rsid w:val="00F90294"/>
    <w:rsid w:val="00F90616"/>
    <w:rsid w:val="00F9062E"/>
    <w:rsid w:val="00F9084F"/>
    <w:rsid w:val="00F90C63"/>
    <w:rsid w:val="00F91177"/>
    <w:rsid w:val="00F912B8"/>
    <w:rsid w:val="00F91695"/>
    <w:rsid w:val="00F9191D"/>
    <w:rsid w:val="00F91A62"/>
    <w:rsid w:val="00F91A6B"/>
    <w:rsid w:val="00F91B17"/>
    <w:rsid w:val="00F91BFD"/>
    <w:rsid w:val="00F91F12"/>
    <w:rsid w:val="00F92512"/>
    <w:rsid w:val="00F92892"/>
    <w:rsid w:val="00F92A05"/>
    <w:rsid w:val="00F92D9E"/>
    <w:rsid w:val="00F92DE8"/>
    <w:rsid w:val="00F93280"/>
    <w:rsid w:val="00F937D2"/>
    <w:rsid w:val="00F93F08"/>
    <w:rsid w:val="00F94105"/>
    <w:rsid w:val="00F94197"/>
    <w:rsid w:val="00F94831"/>
    <w:rsid w:val="00F9495B"/>
    <w:rsid w:val="00F94B74"/>
    <w:rsid w:val="00F94B7C"/>
    <w:rsid w:val="00F94CED"/>
    <w:rsid w:val="00F94EEC"/>
    <w:rsid w:val="00F94F46"/>
    <w:rsid w:val="00F9512F"/>
    <w:rsid w:val="00F955ED"/>
    <w:rsid w:val="00F95779"/>
    <w:rsid w:val="00F95EEB"/>
    <w:rsid w:val="00F96182"/>
    <w:rsid w:val="00F961B9"/>
    <w:rsid w:val="00F963B1"/>
    <w:rsid w:val="00F96499"/>
    <w:rsid w:val="00F968D8"/>
    <w:rsid w:val="00F96C8E"/>
    <w:rsid w:val="00F96D02"/>
    <w:rsid w:val="00F97025"/>
    <w:rsid w:val="00F97166"/>
    <w:rsid w:val="00F971BE"/>
    <w:rsid w:val="00F978E2"/>
    <w:rsid w:val="00F97AC4"/>
    <w:rsid w:val="00FA04A9"/>
    <w:rsid w:val="00FA04F9"/>
    <w:rsid w:val="00FA0631"/>
    <w:rsid w:val="00FA0702"/>
    <w:rsid w:val="00FA0BB7"/>
    <w:rsid w:val="00FA0DBB"/>
    <w:rsid w:val="00FA0FA4"/>
    <w:rsid w:val="00FA119B"/>
    <w:rsid w:val="00FA1437"/>
    <w:rsid w:val="00FA1443"/>
    <w:rsid w:val="00FA1504"/>
    <w:rsid w:val="00FA1BB0"/>
    <w:rsid w:val="00FA1EC6"/>
    <w:rsid w:val="00FA236F"/>
    <w:rsid w:val="00FA2395"/>
    <w:rsid w:val="00FA24B0"/>
    <w:rsid w:val="00FA2500"/>
    <w:rsid w:val="00FA25E8"/>
    <w:rsid w:val="00FA2CEE"/>
    <w:rsid w:val="00FA2E8B"/>
    <w:rsid w:val="00FA2EE2"/>
    <w:rsid w:val="00FA318C"/>
    <w:rsid w:val="00FA31B5"/>
    <w:rsid w:val="00FA3359"/>
    <w:rsid w:val="00FA3D3D"/>
    <w:rsid w:val="00FA41B6"/>
    <w:rsid w:val="00FA42E8"/>
    <w:rsid w:val="00FA43CF"/>
    <w:rsid w:val="00FA5088"/>
    <w:rsid w:val="00FA5389"/>
    <w:rsid w:val="00FA5957"/>
    <w:rsid w:val="00FA5B50"/>
    <w:rsid w:val="00FA5F7C"/>
    <w:rsid w:val="00FA602C"/>
    <w:rsid w:val="00FA627E"/>
    <w:rsid w:val="00FA6315"/>
    <w:rsid w:val="00FA637F"/>
    <w:rsid w:val="00FA6466"/>
    <w:rsid w:val="00FA6D00"/>
    <w:rsid w:val="00FA6EA3"/>
    <w:rsid w:val="00FA719F"/>
    <w:rsid w:val="00FA7526"/>
    <w:rsid w:val="00FA77A5"/>
    <w:rsid w:val="00FA7A0F"/>
    <w:rsid w:val="00FA7B53"/>
    <w:rsid w:val="00FA7C20"/>
    <w:rsid w:val="00FA7C96"/>
    <w:rsid w:val="00FA7F4D"/>
    <w:rsid w:val="00FA7F83"/>
    <w:rsid w:val="00FA7FC5"/>
    <w:rsid w:val="00FB0237"/>
    <w:rsid w:val="00FB068D"/>
    <w:rsid w:val="00FB0BFF"/>
    <w:rsid w:val="00FB0C6D"/>
    <w:rsid w:val="00FB0CE6"/>
    <w:rsid w:val="00FB1187"/>
    <w:rsid w:val="00FB13C9"/>
    <w:rsid w:val="00FB14A5"/>
    <w:rsid w:val="00FB15D1"/>
    <w:rsid w:val="00FB169B"/>
    <w:rsid w:val="00FB192D"/>
    <w:rsid w:val="00FB1A39"/>
    <w:rsid w:val="00FB1A91"/>
    <w:rsid w:val="00FB1BB4"/>
    <w:rsid w:val="00FB1C21"/>
    <w:rsid w:val="00FB1F2A"/>
    <w:rsid w:val="00FB2541"/>
    <w:rsid w:val="00FB2710"/>
    <w:rsid w:val="00FB281B"/>
    <w:rsid w:val="00FB2978"/>
    <w:rsid w:val="00FB298A"/>
    <w:rsid w:val="00FB2A8A"/>
    <w:rsid w:val="00FB2DE5"/>
    <w:rsid w:val="00FB351D"/>
    <w:rsid w:val="00FB363C"/>
    <w:rsid w:val="00FB3937"/>
    <w:rsid w:val="00FB3E7B"/>
    <w:rsid w:val="00FB3F12"/>
    <w:rsid w:val="00FB4A5B"/>
    <w:rsid w:val="00FB4F7C"/>
    <w:rsid w:val="00FB5072"/>
    <w:rsid w:val="00FB55D3"/>
    <w:rsid w:val="00FB5C98"/>
    <w:rsid w:val="00FB5D4E"/>
    <w:rsid w:val="00FB6057"/>
    <w:rsid w:val="00FB606E"/>
    <w:rsid w:val="00FB6717"/>
    <w:rsid w:val="00FB6A1D"/>
    <w:rsid w:val="00FB6F78"/>
    <w:rsid w:val="00FB6F92"/>
    <w:rsid w:val="00FB725D"/>
    <w:rsid w:val="00FB7334"/>
    <w:rsid w:val="00FB7367"/>
    <w:rsid w:val="00FB79FC"/>
    <w:rsid w:val="00FC026E"/>
    <w:rsid w:val="00FC04F5"/>
    <w:rsid w:val="00FC06FD"/>
    <w:rsid w:val="00FC0F21"/>
    <w:rsid w:val="00FC11FB"/>
    <w:rsid w:val="00FC11FE"/>
    <w:rsid w:val="00FC13E0"/>
    <w:rsid w:val="00FC1489"/>
    <w:rsid w:val="00FC154F"/>
    <w:rsid w:val="00FC1646"/>
    <w:rsid w:val="00FC16A8"/>
    <w:rsid w:val="00FC19B1"/>
    <w:rsid w:val="00FC1BD6"/>
    <w:rsid w:val="00FC1DA5"/>
    <w:rsid w:val="00FC1DAC"/>
    <w:rsid w:val="00FC1E5F"/>
    <w:rsid w:val="00FC22C6"/>
    <w:rsid w:val="00FC2371"/>
    <w:rsid w:val="00FC249A"/>
    <w:rsid w:val="00FC25AE"/>
    <w:rsid w:val="00FC28FF"/>
    <w:rsid w:val="00FC309B"/>
    <w:rsid w:val="00FC372A"/>
    <w:rsid w:val="00FC3A3C"/>
    <w:rsid w:val="00FC3E8F"/>
    <w:rsid w:val="00FC402A"/>
    <w:rsid w:val="00FC4A1F"/>
    <w:rsid w:val="00FC4A85"/>
    <w:rsid w:val="00FC4B69"/>
    <w:rsid w:val="00FC4BF1"/>
    <w:rsid w:val="00FC4CE3"/>
    <w:rsid w:val="00FC4F24"/>
    <w:rsid w:val="00FC510B"/>
    <w:rsid w:val="00FC5124"/>
    <w:rsid w:val="00FC5407"/>
    <w:rsid w:val="00FC541F"/>
    <w:rsid w:val="00FC5D34"/>
    <w:rsid w:val="00FC5E94"/>
    <w:rsid w:val="00FC626F"/>
    <w:rsid w:val="00FC6518"/>
    <w:rsid w:val="00FC659D"/>
    <w:rsid w:val="00FC6ADA"/>
    <w:rsid w:val="00FC6DE8"/>
    <w:rsid w:val="00FC712D"/>
    <w:rsid w:val="00FC7412"/>
    <w:rsid w:val="00FC74AB"/>
    <w:rsid w:val="00FD01E0"/>
    <w:rsid w:val="00FD01EA"/>
    <w:rsid w:val="00FD072E"/>
    <w:rsid w:val="00FD083E"/>
    <w:rsid w:val="00FD0B39"/>
    <w:rsid w:val="00FD0C79"/>
    <w:rsid w:val="00FD0F0F"/>
    <w:rsid w:val="00FD0F15"/>
    <w:rsid w:val="00FD102A"/>
    <w:rsid w:val="00FD15BC"/>
    <w:rsid w:val="00FD15D3"/>
    <w:rsid w:val="00FD1D81"/>
    <w:rsid w:val="00FD2232"/>
    <w:rsid w:val="00FD24BB"/>
    <w:rsid w:val="00FD2A52"/>
    <w:rsid w:val="00FD2B1E"/>
    <w:rsid w:val="00FD2B62"/>
    <w:rsid w:val="00FD33E3"/>
    <w:rsid w:val="00FD3451"/>
    <w:rsid w:val="00FD3855"/>
    <w:rsid w:val="00FD4112"/>
    <w:rsid w:val="00FD4232"/>
    <w:rsid w:val="00FD44D0"/>
    <w:rsid w:val="00FD4567"/>
    <w:rsid w:val="00FD45EE"/>
    <w:rsid w:val="00FD4731"/>
    <w:rsid w:val="00FD49E7"/>
    <w:rsid w:val="00FD4C00"/>
    <w:rsid w:val="00FD4D95"/>
    <w:rsid w:val="00FD5127"/>
    <w:rsid w:val="00FD5527"/>
    <w:rsid w:val="00FD553A"/>
    <w:rsid w:val="00FD5871"/>
    <w:rsid w:val="00FD5F13"/>
    <w:rsid w:val="00FD6253"/>
    <w:rsid w:val="00FD665E"/>
    <w:rsid w:val="00FD68F2"/>
    <w:rsid w:val="00FD6951"/>
    <w:rsid w:val="00FD69FC"/>
    <w:rsid w:val="00FD6E3E"/>
    <w:rsid w:val="00FD6FA9"/>
    <w:rsid w:val="00FD6FD9"/>
    <w:rsid w:val="00FD7528"/>
    <w:rsid w:val="00FD7A7E"/>
    <w:rsid w:val="00FD7C5E"/>
    <w:rsid w:val="00FD7E82"/>
    <w:rsid w:val="00FD7F49"/>
    <w:rsid w:val="00FD7F7C"/>
    <w:rsid w:val="00FE01DF"/>
    <w:rsid w:val="00FE035D"/>
    <w:rsid w:val="00FE0398"/>
    <w:rsid w:val="00FE07EA"/>
    <w:rsid w:val="00FE10A2"/>
    <w:rsid w:val="00FE152F"/>
    <w:rsid w:val="00FE1613"/>
    <w:rsid w:val="00FE173B"/>
    <w:rsid w:val="00FE1786"/>
    <w:rsid w:val="00FE1F56"/>
    <w:rsid w:val="00FE1FA7"/>
    <w:rsid w:val="00FE22F5"/>
    <w:rsid w:val="00FE263D"/>
    <w:rsid w:val="00FE2692"/>
    <w:rsid w:val="00FE28C8"/>
    <w:rsid w:val="00FE2A10"/>
    <w:rsid w:val="00FE2A40"/>
    <w:rsid w:val="00FE2B29"/>
    <w:rsid w:val="00FE2B34"/>
    <w:rsid w:val="00FE2C9A"/>
    <w:rsid w:val="00FE2E02"/>
    <w:rsid w:val="00FE3A99"/>
    <w:rsid w:val="00FE46A8"/>
    <w:rsid w:val="00FE4F93"/>
    <w:rsid w:val="00FE5236"/>
    <w:rsid w:val="00FE526A"/>
    <w:rsid w:val="00FE5A46"/>
    <w:rsid w:val="00FE5B18"/>
    <w:rsid w:val="00FE6188"/>
    <w:rsid w:val="00FE6931"/>
    <w:rsid w:val="00FE69A4"/>
    <w:rsid w:val="00FE6B2E"/>
    <w:rsid w:val="00FE72B9"/>
    <w:rsid w:val="00FE7B89"/>
    <w:rsid w:val="00FE7FF0"/>
    <w:rsid w:val="00FF0288"/>
    <w:rsid w:val="00FF07DE"/>
    <w:rsid w:val="00FF0894"/>
    <w:rsid w:val="00FF0954"/>
    <w:rsid w:val="00FF0AB0"/>
    <w:rsid w:val="00FF0CFA"/>
    <w:rsid w:val="00FF118D"/>
    <w:rsid w:val="00FF11FF"/>
    <w:rsid w:val="00FF1329"/>
    <w:rsid w:val="00FF1429"/>
    <w:rsid w:val="00FF147F"/>
    <w:rsid w:val="00FF2206"/>
    <w:rsid w:val="00FF274A"/>
    <w:rsid w:val="00FF28AC"/>
    <w:rsid w:val="00FF2939"/>
    <w:rsid w:val="00FF2959"/>
    <w:rsid w:val="00FF2B3C"/>
    <w:rsid w:val="00FF2C34"/>
    <w:rsid w:val="00FF2E0D"/>
    <w:rsid w:val="00FF2F0B"/>
    <w:rsid w:val="00FF2F61"/>
    <w:rsid w:val="00FF3284"/>
    <w:rsid w:val="00FF3DE6"/>
    <w:rsid w:val="00FF414D"/>
    <w:rsid w:val="00FF41E1"/>
    <w:rsid w:val="00FF459A"/>
    <w:rsid w:val="00FF46DC"/>
    <w:rsid w:val="00FF49C4"/>
    <w:rsid w:val="00FF49EF"/>
    <w:rsid w:val="00FF4B3C"/>
    <w:rsid w:val="00FF4E05"/>
    <w:rsid w:val="00FF4FC4"/>
    <w:rsid w:val="00FF509F"/>
    <w:rsid w:val="00FF55B2"/>
    <w:rsid w:val="00FF5D43"/>
    <w:rsid w:val="00FF5DF1"/>
    <w:rsid w:val="00FF5F8F"/>
    <w:rsid w:val="00FF6244"/>
    <w:rsid w:val="00FF65B6"/>
    <w:rsid w:val="00FF666E"/>
    <w:rsid w:val="00FF6E7E"/>
    <w:rsid w:val="00FF6F7E"/>
    <w:rsid w:val="00FF702E"/>
    <w:rsid w:val="00FF74C9"/>
    <w:rsid w:val="00FF784C"/>
    <w:rsid w:val="00FF78EC"/>
    <w:rsid w:val="00FF7B41"/>
    <w:rsid w:val="00FF7B9B"/>
    <w:rsid w:val="00FF7BE0"/>
    <w:rsid w:val="00FF7C58"/>
    <w:rsid w:val="00FF7D6C"/>
    <w:rsid w:val="00FF7F62"/>
    <w:rsid w:val="00FF7F9E"/>
    <w:rsid w:val="01080CEE"/>
    <w:rsid w:val="01206489"/>
    <w:rsid w:val="0142F062"/>
    <w:rsid w:val="0144F1C8"/>
    <w:rsid w:val="014A7EC1"/>
    <w:rsid w:val="015217D8"/>
    <w:rsid w:val="015559E9"/>
    <w:rsid w:val="0164D60C"/>
    <w:rsid w:val="017AE1A3"/>
    <w:rsid w:val="019FCFFC"/>
    <w:rsid w:val="01B29901"/>
    <w:rsid w:val="01B4403D"/>
    <w:rsid w:val="01B51FDA"/>
    <w:rsid w:val="01C43978"/>
    <w:rsid w:val="01FABE2D"/>
    <w:rsid w:val="01FFC58E"/>
    <w:rsid w:val="0201057A"/>
    <w:rsid w:val="0201E402"/>
    <w:rsid w:val="020D7439"/>
    <w:rsid w:val="021B2646"/>
    <w:rsid w:val="021CBCAC"/>
    <w:rsid w:val="021E8D92"/>
    <w:rsid w:val="022E68B5"/>
    <w:rsid w:val="023E12B2"/>
    <w:rsid w:val="024A34E6"/>
    <w:rsid w:val="024D6456"/>
    <w:rsid w:val="024FA13E"/>
    <w:rsid w:val="025E02C7"/>
    <w:rsid w:val="029AAD72"/>
    <w:rsid w:val="02B14EAE"/>
    <w:rsid w:val="02BD3109"/>
    <w:rsid w:val="02C0D309"/>
    <w:rsid w:val="02C1E134"/>
    <w:rsid w:val="02CCA30A"/>
    <w:rsid w:val="02F3517A"/>
    <w:rsid w:val="02F708AC"/>
    <w:rsid w:val="030D2D7D"/>
    <w:rsid w:val="0320FCB8"/>
    <w:rsid w:val="032D3E4F"/>
    <w:rsid w:val="0334618A"/>
    <w:rsid w:val="033E1F17"/>
    <w:rsid w:val="0346E37F"/>
    <w:rsid w:val="03471A42"/>
    <w:rsid w:val="034DF6D2"/>
    <w:rsid w:val="034E8DCF"/>
    <w:rsid w:val="03778629"/>
    <w:rsid w:val="038D44E0"/>
    <w:rsid w:val="039E27C4"/>
    <w:rsid w:val="03A7D301"/>
    <w:rsid w:val="03ADB6A3"/>
    <w:rsid w:val="03B3A058"/>
    <w:rsid w:val="03B6D2E7"/>
    <w:rsid w:val="03C02EF0"/>
    <w:rsid w:val="03C6D64A"/>
    <w:rsid w:val="03CE5272"/>
    <w:rsid w:val="03E1A491"/>
    <w:rsid w:val="03F29688"/>
    <w:rsid w:val="0400FB65"/>
    <w:rsid w:val="04157919"/>
    <w:rsid w:val="041DD21A"/>
    <w:rsid w:val="041F7BFD"/>
    <w:rsid w:val="0420E781"/>
    <w:rsid w:val="042A30A8"/>
    <w:rsid w:val="0435358E"/>
    <w:rsid w:val="04369992"/>
    <w:rsid w:val="043B8E82"/>
    <w:rsid w:val="044609BB"/>
    <w:rsid w:val="04501CD1"/>
    <w:rsid w:val="0457859B"/>
    <w:rsid w:val="047D2049"/>
    <w:rsid w:val="04805A17"/>
    <w:rsid w:val="049C64C2"/>
    <w:rsid w:val="04B7200A"/>
    <w:rsid w:val="04C21E44"/>
    <w:rsid w:val="04EA748B"/>
    <w:rsid w:val="04EF3DF4"/>
    <w:rsid w:val="04F3CBC7"/>
    <w:rsid w:val="04F671D2"/>
    <w:rsid w:val="0500CE18"/>
    <w:rsid w:val="052AAF37"/>
    <w:rsid w:val="054BAA9E"/>
    <w:rsid w:val="054D816D"/>
    <w:rsid w:val="055D6261"/>
    <w:rsid w:val="0588F8E5"/>
    <w:rsid w:val="0596E8A6"/>
    <w:rsid w:val="05989228"/>
    <w:rsid w:val="05A04D20"/>
    <w:rsid w:val="05AEDEBD"/>
    <w:rsid w:val="05B238BC"/>
    <w:rsid w:val="05C00113"/>
    <w:rsid w:val="05CD05C1"/>
    <w:rsid w:val="05FA93E7"/>
    <w:rsid w:val="06156C9C"/>
    <w:rsid w:val="061B6BD8"/>
    <w:rsid w:val="06263B96"/>
    <w:rsid w:val="062973D7"/>
    <w:rsid w:val="06333CF5"/>
    <w:rsid w:val="06366F76"/>
    <w:rsid w:val="064CB48B"/>
    <w:rsid w:val="064F7655"/>
    <w:rsid w:val="065217AA"/>
    <w:rsid w:val="065318A0"/>
    <w:rsid w:val="065766FD"/>
    <w:rsid w:val="065D1347"/>
    <w:rsid w:val="0667E999"/>
    <w:rsid w:val="066E359F"/>
    <w:rsid w:val="067DEAC8"/>
    <w:rsid w:val="0684B3B6"/>
    <w:rsid w:val="0694B545"/>
    <w:rsid w:val="0698A68A"/>
    <w:rsid w:val="06999748"/>
    <w:rsid w:val="069D377A"/>
    <w:rsid w:val="06A0ED56"/>
    <w:rsid w:val="06B77DF3"/>
    <w:rsid w:val="06BFD72D"/>
    <w:rsid w:val="06C54CAD"/>
    <w:rsid w:val="06D6DB8A"/>
    <w:rsid w:val="06DB55B6"/>
    <w:rsid w:val="06DF8A54"/>
    <w:rsid w:val="06EA489F"/>
    <w:rsid w:val="06F99A23"/>
    <w:rsid w:val="07098236"/>
    <w:rsid w:val="071916A9"/>
    <w:rsid w:val="0725204A"/>
    <w:rsid w:val="0730B4E6"/>
    <w:rsid w:val="073154E9"/>
    <w:rsid w:val="074526EC"/>
    <w:rsid w:val="0748C549"/>
    <w:rsid w:val="0753C276"/>
    <w:rsid w:val="0754DCE3"/>
    <w:rsid w:val="076C5B7E"/>
    <w:rsid w:val="077EC86F"/>
    <w:rsid w:val="077F6936"/>
    <w:rsid w:val="07864196"/>
    <w:rsid w:val="07A2C7CF"/>
    <w:rsid w:val="07BA9D0D"/>
    <w:rsid w:val="07CB9265"/>
    <w:rsid w:val="07CE1191"/>
    <w:rsid w:val="07D8EA87"/>
    <w:rsid w:val="07DFEE1C"/>
    <w:rsid w:val="07E0356D"/>
    <w:rsid w:val="07E1F97C"/>
    <w:rsid w:val="07FB68C8"/>
    <w:rsid w:val="07FD566E"/>
    <w:rsid w:val="080A1228"/>
    <w:rsid w:val="080EE499"/>
    <w:rsid w:val="08116A60"/>
    <w:rsid w:val="0813AAFF"/>
    <w:rsid w:val="0827BCC4"/>
    <w:rsid w:val="082D299A"/>
    <w:rsid w:val="083161FC"/>
    <w:rsid w:val="08449E68"/>
    <w:rsid w:val="08582BF4"/>
    <w:rsid w:val="085ADD45"/>
    <w:rsid w:val="086A6D81"/>
    <w:rsid w:val="0872B2F0"/>
    <w:rsid w:val="089D60AE"/>
    <w:rsid w:val="08A2F7D1"/>
    <w:rsid w:val="08AB2423"/>
    <w:rsid w:val="08BE9B9A"/>
    <w:rsid w:val="08CAE1BE"/>
    <w:rsid w:val="08D0B121"/>
    <w:rsid w:val="08D7958C"/>
    <w:rsid w:val="08D98CB9"/>
    <w:rsid w:val="08E21B78"/>
    <w:rsid w:val="08F0E690"/>
    <w:rsid w:val="08F9612C"/>
    <w:rsid w:val="090FD279"/>
    <w:rsid w:val="09148856"/>
    <w:rsid w:val="091B218B"/>
    <w:rsid w:val="092019B9"/>
    <w:rsid w:val="093EF134"/>
    <w:rsid w:val="09517561"/>
    <w:rsid w:val="096D2BFF"/>
    <w:rsid w:val="096EB901"/>
    <w:rsid w:val="097FC04C"/>
    <w:rsid w:val="098E777D"/>
    <w:rsid w:val="099BBAC8"/>
    <w:rsid w:val="099EF2E3"/>
    <w:rsid w:val="099FF04B"/>
    <w:rsid w:val="09AFA1D5"/>
    <w:rsid w:val="09BD2334"/>
    <w:rsid w:val="09C23CF1"/>
    <w:rsid w:val="09CB3A51"/>
    <w:rsid w:val="09D6D992"/>
    <w:rsid w:val="0A04620E"/>
    <w:rsid w:val="0A1CB809"/>
    <w:rsid w:val="0A323B75"/>
    <w:rsid w:val="0A34F323"/>
    <w:rsid w:val="0A395879"/>
    <w:rsid w:val="0A4C2B50"/>
    <w:rsid w:val="0A551EB6"/>
    <w:rsid w:val="0A569CF9"/>
    <w:rsid w:val="0A634FDC"/>
    <w:rsid w:val="0A63789F"/>
    <w:rsid w:val="0A82BD58"/>
    <w:rsid w:val="0A8EF0EA"/>
    <w:rsid w:val="0A9E7BD4"/>
    <w:rsid w:val="0AA01F68"/>
    <w:rsid w:val="0ACDCD39"/>
    <w:rsid w:val="0ACE1E05"/>
    <w:rsid w:val="0AD181F0"/>
    <w:rsid w:val="0AE11205"/>
    <w:rsid w:val="0B063B44"/>
    <w:rsid w:val="0B073AD3"/>
    <w:rsid w:val="0B0AEE0B"/>
    <w:rsid w:val="0B1CC477"/>
    <w:rsid w:val="0B242D20"/>
    <w:rsid w:val="0B24D926"/>
    <w:rsid w:val="0B2A79F4"/>
    <w:rsid w:val="0B30C5FA"/>
    <w:rsid w:val="0B4165EF"/>
    <w:rsid w:val="0B430AD9"/>
    <w:rsid w:val="0B4352DA"/>
    <w:rsid w:val="0B4C35DC"/>
    <w:rsid w:val="0B4C60CD"/>
    <w:rsid w:val="0B57E7B0"/>
    <w:rsid w:val="0B6D78A5"/>
    <w:rsid w:val="0B6EA01F"/>
    <w:rsid w:val="0B7B117A"/>
    <w:rsid w:val="0B7DEF91"/>
    <w:rsid w:val="0B8CC31F"/>
    <w:rsid w:val="0B925F0D"/>
    <w:rsid w:val="0BA34741"/>
    <w:rsid w:val="0BAC4525"/>
    <w:rsid w:val="0BAF6FA4"/>
    <w:rsid w:val="0BB1AFE3"/>
    <w:rsid w:val="0BB4D823"/>
    <w:rsid w:val="0BB606A8"/>
    <w:rsid w:val="0BC9AD75"/>
    <w:rsid w:val="0BCA6766"/>
    <w:rsid w:val="0BCB580A"/>
    <w:rsid w:val="0BCF4BBA"/>
    <w:rsid w:val="0BD44E85"/>
    <w:rsid w:val="0BD7DE4D"/>
    <w:rsid w:val="0BF19A10"/>
    <w:rsid w:val="0C1255BA"/>
    <w:rsid w:val="0C14EBE7"/>
    <w:rsid w:val="0C19F2CC"/>
    <w:rsid w:val="0C2AB1DF"/>
    <w:rsid w:val="0C3277AE"/>
    <w:rsid w:val="0C32CB5C"/>
    <w:rsid w:val="0C37C275"/>
    <w:rsid w:val="0C3A8B77"/>
    <w:rsid w:val="0C478405"/>
    <w:rsid w:val="0C4C7544"/>
    <w:rsid w:val="0C55218D"/>
    <w:rsid w:val="0C57C4F3"/>
    <w:rsid w:val="0C609FE7"/>
    <w:rsid w:val="0C62278D"/>
    <w:rsid w:val="0C7168F7"/>
    <w:rsid w:val="0C730DA7"/>
    <w:rsid w:val="0C881CFF"/>
    <w:rsid w:val="0C88C082"/>
    <w:rsid w:val="0C953705"/>
    <w:rsid w:val="0C9E6F2D"/>
    <w:rsid w:val="0CA24BA8"/>
    <w:rsid w:val="0CADEC41"/>
    <w:rsid w:val="0CB17928"/>
    <w:rsid w:val="0CB1C50F"/>
    <w:rsid w:val="0CB90552"/>
    <w:rsid w:val="0CC729CE"/>
    <w:rsid w:val="0CD4ADAB"/>
    <w:rsid w:val="0CDAB7ED"/>
    <w:rsid w:val="0CDCCE88"/>
    <w:rsid w:val="0CE47A4C"/>
    <w:rsid w:val="0CE4A859"/>
    <w:rsid w:val="0CE6AC18"/>
    <w:rsid w:val="0CECBC12"/>
    <w:rsid w:val="0CF1BE73"/>
    <w:rsid w:val="0CF5EDB8"/>
    <w:rsid w:val="0D299C3C"/>
    <w:rsid w:val="0D43B83A"/>
    <w:rsid w:val="0D46D5F5"/>
    <w:rsid w:val="0D739666"/>
    <w:rsid w:val="0D773CFE"/>
    <w:rsid w:val="0D7D8E33"/>
    <w:rsid w:val="0D7FF6F8"/>
    <w:rsid w:val="0D9BF850"/>
    <w:rsid w:val="0D9F2A18"/>
    <w:rsid w:val="0DB61908"/>
    <w:rsid w:val="0DBCFC40"/>
    <w:rsid w:val="0DC3EB96"/>
    <w:rsid w:val="0DCF0FCF"/>
    <w:rsid w:val="0DCF60D2"/>
    <w:rsid w:val="0DCF6B6C"/>
    <w:rsid w:val="0DE0DD31"/>
    <w:rsid w:val="0DE8D018"/>
    <w:rsid w:val="0DFD8D44"/>
    <w:rsid w:val="0E0D2035"/>
    <w:rsid w:val="0E138D78"/>
    <w:rsid w:val="0E187B0E"/>
    <w:rsid w:val="0E244704"/>
    <w:rsid w:val="0E3B27AC"/>
    <w:rsid w:val="0E3BA010"/>
    <w:rsid w:val="0E4A541A"/>
    <w:rsid w:val="0E4EE750"/>
    <w:rsid w:val="0E70D739"/>
    <w:rsid w:val="0E845DAE"/>
    <w:rsid w:val="0E882CF5"/>
    <w:rsid w:val="0E9197A4"/>
    <w:rsid w:val="0EA26CCB"/>
    <w:rsid w:val="0EABB0B1"/>
    <w:rsid w:val="0EAF126E"/>
    <w:rsid w:val="0EB0DF55"/>
    <w:rsid w:val="0EBED841"/>
    <w:rsid w:val="0ED15E91"/>
    <w:rsid w:val="0EDBE007"/>
    <w:rsid w:val="0EE8793C"/>
    <w:rsid w:val="0EFDDDC5"/>
    <w:rsid w:val="0F03C02E"/>
    <w:rsid w:val="0F1937CA"/>
    <w:rsid w:val="0F1FCE9F"/>
    <w:rsid w:val="0F207579"/>
    <w:rsid w:val="0F235B19"/>
    <w:rsid w:val="0F2F31A6"/>
    <w:rsid w:val="0F35B793"/>
    <w:rsid w:val="0F53108A"/>
    <w:rsid w:val="0F5D5AF5"/>
    <w:rsid w:val="0F89A87E"/>
    <w:rsid w:val="0FAA2A0B"/>
    <w:rsid w:val="0FAAA6C2"/>
    <w:rsid w:val="0FBEADA6"/>
    <w:rsid w:val="0FBFC0AF"/>
    <w:rsid w:val="0FC49C4E"/>
    <w:rsid w:val="0FD3F81D"/>
    <w:rsid w:val="0FFD2292"/>
    <w:rsid w:val="10180F93"/>
    <w:rsid w:val="101E594E"/>
    <w:rsid w:val="101F8261"/>
    <w:rsid w:val="1026D8CC"/>
    <w:rsid w:val="10318B44"/>
    <w:rsid w:val="103924DC"/>
    <w:rsid w:val="104AB1EB"/>
    <w:rsid w:val="104DD6C3"/>
    <w:rsid w:val="106DDCB0"/>
    <w:rsid w:val="108FDF51"/>
    <w:rsid w:val="10995135"/>
    <w:rsid w:val="10A3E3FB"/>
    <w:rsid w:val="10A73306"/>
    <w:rsid w:val="10AA2599"/>
    <w:rsid w:val="10AAD14B"/>
    <w:rsid w:val="10AE6C3E"/>
    <w:rsid w:val="10B90525"/>
    <w:rsid w:val="10C4B088"/>
    <w:rsid w:val="10C5D9FF"/>
    <w:rsid w:val="10C7E120"/>
    <w:rsid w:val="10CCB186"/>
    <w:rsid w:val="10CD0D4D"/>
    <w:rsid w:val="10E05FBB"/>
    <w:rsid w:val="10F9042F"/>
    <w:rsid w:val="110ECE70"/>
    <w:rsid w:val="11142233"/>
    <w:rsid w:val="11240861"/>
    <w:rsid w:val="112C694B"/>
    <w:rsid w:val="1130D9C7"/>
    <w:rsid w:val="113379C5"/>
    <w:rsid w:val="1142E683"/>
    <w:rsid w:val="114E96F0"/>
    <w:rsid w:val="11608703"/>
    <w:rsid w:val="1164CFE2"/>
    <w:rsid w:val="1166001B"/>
    <w:rsid w:val="116E1008"/>
    <w:rsid w:val="119E4FBA"/>
    <w:rsid w:val="11A1B4AE"/>
    <w:rsid w:val="11C70997"/>
    <w:rsid w:val="11DAF886"/>
    <w:rsid w:val="11DCE165"/>
    <w:rsid w:val="11DF3FA7"/>
    <w:rsid w:val="11E81D2D"/>
    <w:rsid w:val="11EBFAE7"/>
    <w:rsid w:val="12005FF8"/>
    <w:rsid w:val="1201EBE3"/>
    <w:rsid w:val="1211DEC0"/>
    <w:rsid w:val="1227AB7F"/>
    <w:rsid w:val="1241EA72"/>
    <w:rsid w:val="12423920"/>
    <w:rsid w:val="12446817"/>
    <w:rsid w:val="12495C5D"/>
    <w:rsid w:val="1265845C"/>
    <w:rsid w:val="126FFDC2"/>
    <w:rsid w:val="12837C01"/>
    <w:rsid w:val="12839E6F"/>
    <w:rsid w:val="1287E84A"/>
    <w:rsid w:val="12A25D2C"/>
    <w:rsid w:val="12A9EDBE"/>
    <w:rsid w:val="12B616D6"/>
    <w:rsid w:val="12B71C3C"/>
    <w:rsid w:val="12DE5EAF"/>
    <w:rsid w:val="12E28141"/>
    <w:rsid w:val="12EA1BFF"/>
    <w:rsid w:val="12F3E86E"/>
    <w:rsid w:val="12F4538E"/>
    <w:rsid w:val="13043839"/>
    <w:rsid w:val="130702A4"/>
    <w:rsid w:val="1311FEA7"/>
    <w:rsid w:val="1327CCAE"/>
    <w:rsid w:val="132BE7A3"/>
    <w:rsid w:val="1360153B"/>
    <w:rsid w:val="136B947E"/>
    <w:rsid w:val="136DCD30"/>
    <w:rsid w:val="136DF647"/>
    <w:rsid w:val="13736B35"/>
    <w:rsid w:val="137D7BFD"/>
    <w:rsid w:val="13B3F273"/>
    <w:rsid w:val="13BC47B1"/>
    <w:rsid w:val="13C698EE"/>
    <w:rsid w:val="13C702AD"/>
    <w:rsid w:val="13D9C55C"/>
    <w:rsid w:val="13EAAE58"/>
    <w:rsid w:val="1401902C"/>
    <w:rsid w:val="140625C9"/>
    <w:rsid w:val="142343D6"/>
    <w:rsid w:val="14236B20"/>
    <w:rsid w:val="1439F065"/>
    <w:rsid w:val="143D09BE"/>
    <w:rsid w:val="144AD3AE"/>
    <w:rsid w:val="14566156"/>
    <w:rsid w:val="145E4483"/>
    <w:rsid w:val="145F45C8"/>
    <w:rsid w:val="1468133F"/>
    <w:rsid w:val="14685D00"/>
    <w:rsid w:val="14734CF0"/>
    <w:rsid w:val="148C70F5"/>
    <w:rsid w:val="149B2704"/>
    <w:rsid w:val="14A59840"/>
    <w:rsid w:val="14AB8307"/>
    <w:rsid w:val="14B21852"/>
    <w:rsid w:val="14B5CC2D"/>
    <w:rsid w:val="14B7853A"/>
    <w:rsid w:val="14BF3E5A"/>
    <w:rsid w:val="14C7B581"/>
    <w:rsid w:val="14CACE0C"/>
    <w:rsid w:val="14D93E27"/>
    <w:rsid w:val="14DE8142"/>
    <w:rsid w:val="14E563F1"/>
    <w:rsid w:val="14F3C206"/>
    <w:rsid w:val="14F43505"/>
    <w:rsid w:val="14F6DC70"/>
    <w:rsid w:val="1519413A"/>
    <w:rsid w:val="1539566D"/>
    <w:rsid w:val="155B3669"/>
    <w:rsid w:val="15758E38"/>
    <w:rsid w:val="1576CEF1"/>
    <w:rsid w:val="1576E24C"/>
    <w:rsid w:val="157929BB"/>
    <w:rsid w:val="157EFA17"/>
    <w:rsid w:val="15862723"/>
    <w:rsid w:val="1594D083"/>
    <w:rsid w:val="1596C75D"/>
    <w:rsid w:val="15A7202E"/>
    <w:rsid w:val="15AE54B0"/>
    <w:rsid w:val="15B03B9B"/>
    <w:rsid w:val="15D36670"/>
    <w:rsid w:val="15ED95CF"/>
    <w:rsid w:val="15F13111"/>
    <w:rsid w:val="15F58146"/>
    <w:rsid w:val="15F8F905"/>
    <w:rsid w:val="15F95617"/>
    <w:rsid w:val="15FCC546"/>
    <w:rsid w:val="16155CA6"/>
    <w:rsid w:val="161B25E9"/>
    <w:rsid w:val="162224B9"/>
    <w:rsid w:val="163258D7"/>
    <w:rsid w:val="164B43E4"/>
    <w:rsid w:val="164CEC94"/>
    <w:rsid w:val="166DBD98"/>
    <w:rsid w:val="16743E93"/>
    <w:rsid w:val="167870F0"/>
    <w:rsid w:val="167E759A"/>
    <w:rsid w:val="167E9AFE"/>
    <w:rsid w:val="16813DDA"/>
    <w:rsid w:val="168418A4"/>
    <w:rsid w:val="16A06E97"/>
    <w:rsid w:val="16A0D9E6"/>
    <w:rsid w:val="16A54969"/>
    <w:rsid w:val="16AFEAE5"/>
    <w:rsid w:val="16BB5BA9"/>
    <w:rsid w:val="16C893F8"/>
    <w:rsid w:val="16E1194A"/>
    <w:rsid w:val="16EC2783"/>
    <w:rsid w:val="16F6C06A"/>
    <w:rsid w:val="1700E37D"/>
    <w:rsid w:val="1709A6EC"/>
    <w:rsid w:val="170C0DAB"/>
    <w:rsid w:val="1712C47D"/>
    <w:rsid w:val="17207556"/>
    <w:rsid w:val="172771FA"/>
    <w:rsid w:val="172E291A"/>
    <w:rsid w:val="173CB48A"/>
    <w:rsid w:val="173CF0E1"/>
    <w:rsid w:val="174FC0D2"/>
    <w:rsid w:val="175E012D"/>
    <w:rsid w:val="175E29DF"/>
    <w:rsid w:val="1779A3F5"/>
    <w:rsid w:val="177E8339"/>
    <w:rsid w:val="1782C749"/>
    <w:rsid w:val="17890073"/>
    <w:rsid w:val="178BCC99"/>
    <w:rsid w:val="17A1E3F3"/>
    <w:rsid w:val="17A8DAD8"/>
    <w:rsid w:val="17C2B404"/>
    <w:rsid w:val="17C44F09"/>
    <w:rsid w:val="17CF7F66"/>
    <w:rsid w:val="17D939E8"/>
    <w:rsid w:val="17E26240"/>
    <w:rsid w:val="17E3559F"/>
    <w:rsid w:val="17FE3301"/>
    <w:rsid w:val="1811F70F"/>
    <w:rsid w:val="18176ED1"/>
    <w:rsid w:val="181A8C0D"/>
    <w:rsid w:val="181B8802"/>
    <w:rsid w:val="181BB638"/>
    <w:rsid w:val="18259F20"/>
    <w:rsid w:val="182B2454"/>
    <w:rsid w:val="1843CA43"/>
    <w:rsid w:val="184EBD39"/>
    <w:rsid w:val="185425A1"/>
    <w:rsid w:val="186B16A0"/>
    <w:rsid w:val="186CDDC4"/>
    <w:rsid w:val="186DECBD"/>
    <w:rsid w:val="187192AD"/>
    <w:rsid w:val="1886BD61"/>
    <w:rsid w:val="1888583E"/>
    <w:rsid w:val="18B41A29"/>
    <w:rsid w:val="18B9DF8F"/>
    <w:rsid w:val="18BB8455"/>
    <w:rsid w:val="18BB9DD1"/>
    <w:rsid w:val="18BE1F0F"/>
    <w:rsid w:val="18C4E153"/>
    <w:rsid w:val="18CDBBE7"/>
    <w:rsid w:val="18D5B27D"/>
    <w:rsid w:val="18D7AB70"/>
    <w:rsid w:val="18DDA205"/>
    <w:rsid w:val="18E41325"/>
    <w:rsid w:val="18E8342E"/>
    <w:rsid w:val="18E8B810"/>
    <w:rsid w:val="1902E0CD"/>
    <w:rsid w:val="1906D789"/>
    <w:rsid w:val="191E8C05"/>
    <w:rsid w:val="192DE0BE"/>
    <w:rsid w:val="192F7BE2"/>
    <w:rsid w:val="1930225C"/>
    <w:rsid w:val="193A2EFA"/>
    <w:rsid w:val="193A9E39"/>
    <w:rsid w:val="194087EE"/>
    <w:rsid w:val="194630E9"/>
    <w:rsid w:val="195057D9"/>
    <w:rsid w:val="19698656"/>
    <w:rsid w:val="196C8270"/>
    <w:rsid w:val="19742A8A"/>
    <w:rsid w:val="198B7C01"/>
    <w:rsid w:val="198FEA7D"/>
    <w:rsid w:val="1993A8AF"/>
    <w:rsid w:val="199639D4"/>
    <w:rsid w:val="19A5E620"/>
    <w:rsid w:val="19B65302"/>
    <w:rsid w:val="19BA06CB"/>
    <w:rsid w:val="19C1E094"/>
    <w:rsid w:val="19CD302D"/>
    <w:rsid w:val="19CE2262"/>
    <w:rsid w:val="19D690B6"/>
    <w:rsid w:val="19D851C5"/>
    <w:rsid w:val="19DB7DD2"/>
    <w:rsid w:val="19DCF4C3"/>
    <w:rsid w:val="19DE8E9A"/>
    <w:rsid w:val="19F1D2AC"/>
    <w:rsid w:val="1A00BA24"/>
    <w:rsid w:val="1A02F5D1"/>
    <w:rsid w:val="1A04AB28"/>
    <w:rsid w:val="1A265812"/>
    <w:rsid w:val="1A36FECA"/>
    <w:rsid w:val="1A44497B"/>
    <w:rsid w:val="1A4D2F61"/>
    <w:rsid w:val="1A52830D"/>
    <w:rsid w:val="1A52A7DA"/>
    <w:rsid w:val="1A52C89D"/>
    <w:rsid w:val="1A581291"/>
    <w:rsid w:val="1A678EBA"/>
    <w:rsid w:val="1A73EF93"/>
    <w:rsid w:val="1A7D94C7"/>
    <w:rsid w:val="1A87180E"/>
    <w:rsid w:val="1A9969CD"/>
    <w:rsid w:val="1A9D449A"/>
    <w:rsid w:val="1A9DAFBC"/>
    <w:rsid w:val="1AB4C23A"/>
    <w:rsid w:val="1AC14EF1"/>
    <w:rsid w:val="1ACD474C"/>
    <w:rsid w:val="1ACDEE0C"/>
    <w:rsid w:val="1AD6C22E"/>
    <w:rsid w:val="1ADA6634"/>
    <w:rsid w:val="1ADB6AED"/>
    <w:rsid w:val="1ADEE5AF"/>
    <w:rsid w:val="1B052172"/>
    <w:rsid w:val="1B09E9F8"/>
    <w:rsid w:val="1B161483"/>
    <w:rsid w:val="1B285E6E"/>
    <w:rsid w:val="1B2DCB4A"/>
    <w:rsid w:val="1B36693B"/>
    <w:rsid w:val="1B3EF0E1"/>
    <w:rsid w:val="1B408211"/>
    <w:rsid w:val="1B6F1D84"/>
    <w:rsid w:val="1B76361D"/>
    <w:rsid w:val="1B7F3612"/>
    <w:rsid w:val="1B8E6CFF"/>
    <w:rsid w:val="1B92905E"/>
    <w:rsid w:val="1B967631"/>
    <w:rsid w:val="1BAAD77A"/>
    <w:rsid w:val="1BACF44D"/>
    <w:rsid w:val="1BBEF59B"/>
    <w:rsid w:val="1BBF827B"/>
    <w:rsid w:val="1BC85124"/>
    <w:rsid w:val="1BC984E3"/>
    <w:rsid w:val="1BDA9783"/>
    <w:rsid w:val="1BEECD09"/>
    <w:rsid w:val="1BF72477"/>
    <w:rsid w:val="1C04CDA5"/>
    <w:rsid w:val="1C0DAB10"/>
    <w:rsid w:val="1C154F9A"/>
    <w:rsid w:val="1C173C45"/>
    <w:rsid w:val="1C20810B"/>
    <w:rsid w:val="1C24742A"/>
    <w:rsid w:val="1C2925B8"/>
    <w:rsid w:val="1C32FC9A"/>
    <w:rsid w:val="1C45D8F1"/>
    <w:rsid w:val="1C4C3BCA"/>
    <w:rsid w:val="1C4DD1B1"/>
    <w:rsid w:val="1C56E722"/>
    <w:rsid w:val="1C62FCCD"/>
    <w:rsid w:val="1C6712C1"/>
    <w:rsid w:val="1C78A7A7"/>
    <w:rsid w:val="1C8B4693"/>
    <w:rsid w:val="1C8FBC7B"/>
    <w:rsid w:val="1C951973"/>
    <w:rsid w:val="1C9F153F"/>
    <w:rsid w:val="1CAA13C8"/>
    <w:rsid w:val="1CADDDE5"/>
    <w:rsid w:val="1CB11CF3"/>
    <w:rsid w:val="1CB4F552"/>
    <w:rsid w:val="1CB5579D"/>
    <w:rsid w:val="1CBA67B0"/>
    <w:rsid w:val="1CBE43F5"/>
    <w:rsid w:val="1CCA9F3E"/>
    <w:rsid w:val="1CCE2E56"/>
    <w:rsid w:val="1CE2A16E"/>
    <w:rsid w:val="1CE2C148"/>
    <w:rsid w:val="1CE4DD25"/>
    <w:rsid w:val="1CF91C22"/>
    <w:rsid w:val="1D0AE7E2"/>
    <w:rsid w:val="1D1ED558"/>
    <w:rsid w:val="1D27014C"/>
    <w:rsid w:val="1D2A4167"/>
    <w:rsid w:val="1D2DA7B7"/>
    <w:rsid w:val="1D2E1509"/>
    <w:rsid w:val="1D312279"/>
    <w:rsid w:val="1D3C9918"/>
    <w:rsid w:val="1D40FC8A"/>
    <w:rsid w:val="1D452A6F"/>
    <w:rsid w:val="1D495A18"/>
    <w:rsid w:val="1D4BD9E4"/>
    <w:rsid w:val="1D636B7D"/>
    <w:rsid w:val="1D794096"/>
    <w:rsid w:val="1D8187F9"/>
    <w:rsid w:val="1D8267A2"/>
    <w:rsid w:val="1D9899AE"/>
    <w:rsid w:val="1D9DAE82"/>
    <w:rsid w:val="1D9E3B62"/>
    <w:rsid w:val="1DA06D03"/>
    <w:rsid w:val="1DA3C392"/>
    <w:rsid w:val="1DA589FA"/>
    <w:rsid w:val="1DA62538"/>
    <w:rsid w:val="1DC9B0F7"/>
    <w:rsid w:val="1DCB3269"/>
    <w:rsid w:val="1DCE2781"/>
    <w:rsid w:val="1DCFFB36"/>
    <w:rsid w:val="1DE3D05B"/>
    <w:rsid w:val="1DEC62FC"/>
    <w:rsid w:val="1E017700"/>
    <w:rsid w:val="1E0A3835"/>
    <w:rsid w:val="1E0B956C"/>
    <w:rsid w:val="1E1CD290"/>
    <w:rsid w:val="1E4A0059"/>
    <w:rsid w:val="1E62C509"/>
    <w:rsid w:val="1E6BAC60"/>
    <w:rsid w:val="1E6ED495"/>
    <w:rsid w:val="1E7CDC9F"/>
    <w:rsid w:val="1E8CF419"/>
    <w:rsid w:val="1E9437EF"/>
    <w:rsid w:val="1E9B07BF"/>
    <w:rsid w:val="1EA0FF3E"/>
    <w:rsid w:val="1EA502B6"/>
    <w:rsid w:val="1EB869F2"/>
    <w:rsid w:val="1EC1C295"/>
    <w:rsid w:val="1EDCF694"/>
    <w:rsid w:val="1EECB25D"/>
    <w:rsid w:val="1F010806"/>
    <w:rsid w:val="1F114017"/>
    <w:rsid w:val="1F20A96D"/>
    <w:rsid w:val="1F214192"/>
    <w:rsid w:val="1F230B6A"/>
    <w:rsid w:val="1F25A97E"/>
    <w:rsid w:val="1F2731C1"/>
    <w:rsid w:val="1F336358"/>
    <w:rsid w:val="1F389A30"/>
    <w:rsid w:val="1F3DB85B"/>
    <w:rsid w:val="1F40C95E"/>
    <w:rsid w:val="1F4D0D00"/>
    <w:rsid w:val="1F4D343E"/>
    <w:rsid w:val="1F588029"/>
    <w:rsid w:val="1F594F98"/>
    <w:rsid w:val="1F5E7E43"/>
    <w:rsid w:val="1F624743"/>
    <w:rsid w:val="1F634699"/>
    <w:rsid w:val="1FA31384"/>
    <w:rsid w:val="1FB41976"/>
    <w:rsid w:val="1FBFE92E"/>
    <w:rsid w:val="1FE0ADEA"/>
    <w:rsid w:val="1FF824F8"/>
    <w:rsid w:val="200A26C7"/>
    <w:rsid w:val="201189C3"/>
    <w:rsid w:val="20166933"/>
    <w:rsid w:val="201E96B5"/>
    <w:rsid w:val="201F939D"/>
    <w:rsid w:val="2028A102"/>
    <w:rsid w:val="2033BC18"/>
    <w:rsid w:val="2041BFEA"/>
    <w:rsid w:val="204EF7BB"/>
    <w:rsid w:val="205070AF"/>
    <w:rsid w:val="20576BED"/>
    <w:rsid w:val="2062B8C3"/>
    <w:rsid w:val="2062EBAB"/>
    <w:rsid w:val="2065CA8D"/>
    <w:rsid w:val="2072F779"/>
    <w:rsid w:val="207514C1"/>
    <w:rsid w:val="2088BBF7"/>
    <w:rsid w:val="2094E7D5"/>
    <w:rsid w:val="20968A5F"/>
    <w:rsid w:val="20ACAF08"/>
    <w:rsid w:val="20ACE549"/>
    <w:rsid w:val="20B7B213"/>
    <w:rsid w:val="20B941C4"/>
    <w:rsid w:val="20DBF220"/>
    <w:rsid w:val="20DE6139"/>
    <w:rsid w:val="20E963F8"/>
    <w:rsid w:val="20F58F4B"/>
    <w:rsid w:val="20FDC8F7"/>
    <w:rsid w:val="210BE313"/>
    <w:rsid w:val="2114147D"/>
    <w:rsid w:val="21380FD9"/>
    <w:rsid w:val="21382955"/>
    <w:rsid w:val="213936CF"/>
    <w:rsid w:val="213E4C79"/>
    <w:rsid w:val="2148A574"/>
    <w:rsid w:val="215B3A98"/>
    <w:rsid w:val="21661AD9"/>
    <w:rsid w:val="2177E337"/>
    <w:rsid w:val="217C570D"/>
    <w:rsid w:val="218ACB40"/>
    <w:rsid w:val="219630CE"/>
    <w:rsid w:val="219CF42E"/>
    <w:rsid w:val="21ABE3A6"/>
    <w:rsid w:val="21C96538"/>
    <w:rsid w:val="21CFC53A"/>
    <w:rsid w:val="21D2CE01"/>
    <w:rsid w:val="21E01AB6"/>
    <w:rsid w:val="21F1C52E"/>
    <w:rsid w:val="2207A49D"/>
    <w:rsid w:val="221A6499"/>
    <w:rsid w:val="221DD8B6"/>
    <w:rsid w:val="2224D3A3"/>
    <w:rsid w:val="22254F7A"/>
    <w:rsid w:val="2237BEB5"/>
    <w:rsid w:val="223D7AB1"/>
    <w:rsid w:val="22406F0E"/>
    <w:rsid w:val="224ABEAC"/>
    <w:rsid w:val="224C804E"/>
    <w:rsid w:val="224F0EA0"/>
    <w:rsid w:val="22511DD0"/>
    <w:rsid w:val="225D3567"/>
    <w:rsid w:val="2262D92B"/>
    <w:rsid w:val="22862BFC"/>
    <w:rsid w:val="22A41F84"/>
    <w:rsid w:val="22AF8C63"/>
    <w:rsid w:val="22B0F728"/>
    <w:rsid w:val="22CF6982"/>
    <w:rsid w:val="22D14D5A"/>
    <w:rsid w:val="22D4E1C5"/>
    <w:rsid w:val="22D6CF7E"/>
    <w:rsid w:val="22DD2B5A"/>
    <w:rsid w:val="22E7270B"/>
    <w:rsid w:val="22ED2118"/>
    <w:rsid w:val="22F1DFFA"/>
    <w:rsid w:val="230E069F"/>
    <w:rsid w:val="23158F62"/>
    <w:rsid w:val="2334D503"/>
    <w:rsid w:val="23417B63"/>
    <w:rsid w:val="23451394"/>
    <w:rsid w:val="2366E5D3"/>
    <w:rsid w:val="236767B6"/>
    <w:rsid w:val="2377628A"/>
    <w:rsid w:val="237B50B0"/>
    <w:rsid w:val="237CB99A"/>
    <w:rsid w:val="2383D0BB"/>
    <w:rsid w:val="2386591C"/>
    <w:rsid w:val="238A6F2A"/>
    <w:rsid w:val="238AFB4A"/>
    <w:rsid w:val="23A9BFA4"/>
    <w:rsid w:val="23AD095E"/>
    <w:rsid w:val="23D13650"/>
    <w:rsid w:val="23E12A4B"/>
    <w:rsid w:val="23FA13AF"/>
    <w:rsid w:val="2402BB86"/>
    <w:rsid w:val="240F8B4F"/>
    <w:rsid w:val="24124CDB"/>
    <w:rsid w:val="24150B43"/>
    <w:rsid w:val="241DE25A"/>
    <w:rsid w:val="2420F805"/>
    <w:rsid w:val="24249AB7"/>
    <w:rsid w:val="2429DF6F"/>
    <w:rsid w:val="242FE086"/>
    <w:rsid w:val="244994C8"/>
    <w:rsid w:val="2450A71B"/>
    <w:rsid w:val="24539308"/>
    <w:rsid w:val="24561D1C"/>
    <w:rsid w:val="2478E592"/>
    <w:rsid w:val="24874289"/>
    <w:rsid w:val="249554E5"/>
    <w:rsid w:val="24977770"/>
    <w:rsid w:val="24981F7A"/>
    <w:rsid w:val="249BCB7A"/>
    <w:rsid w:val="24A261D7"/>
    <w:rsid w:val="24AEEC81"/>
    <w:rsid w:val="24B8F983"/>
    <w:rsid w:val="24BDFB87"/>
    <w:rsid w:val="24C1946C"/>
    <w:rsid w:val="24CDF7AD"/>
    <w:rsid w:val="24CE10B8"/>
    <w:rsid w:val="24D5B84D"/>
    <w:rsid w:val="24DD93C5"/>
    <w:rsid w:val="24E65114"/>
    <w:rsid w:val="24E68F8F"/>
    <w:rsid w:val="24EA1AA4"/>
    <w:rsid w:val="24FB06AD"/>
    <w:rsid w:val="24FE4CB6"/>
    <w:rsid w:val="25032CD6"/>
    <w:rsid w:val="2503CF8F"/>
    <w:rsid w:val="250631ED"/>
    <w:rsid w:val="2506E4AD"/>
    <w:rsid w:val="25127A1E"/>
    <w:rsid w:val="2521AE16"/>
    <w:rsid w:val="252B8697"/>
    <w:rsid w:val="252BADBC"/>
    <w:rsid w:val="254AF5AA"/>
    <w:rsid w:val="2550ED21"/>
    <w:rsid w:val="256524FE"/>
    <w:rsid w:val="257063F4"/>
    <w:rsid w:val="2571787A"/>
    <w:rsid w:val="25740270"/>
    <w:rsid w:val="2577F9A7"/>
    <w:rsid w:val="258B75B8"/>
    <w:rsid w:val="258CFAB1"/>
    <w:rsid w:val="25914EBA"/>
    <w:rsid w:val="259BB3C2"/>
    <w:rsid w:val="25A45760"/>
    <w:rsid w:val="25AA3D23"/>
    <w:rsid w:val="25ACAE8D"/>
    <w:rsid w:val="25AE87FB"/>
    <w:rsid w:val="25C9B6D0"/>
    <w:rsid w:val="25C9F8F9"/>
    <w:rsid w:val="25D66F1A"/>
    <w:rsid w:val="25D8D833"/>
    <w:rsid w:val="25D8FF67"/>
    <w:rsid w:val="25D94C0A"/>
    <w:rsid w:val="25DF9DED"/>
    <w:rsid w:val="25F47E2E"/>
    <w:rsid w:val="25FEFADC"/>
    <w:rsid w:val="260B4069"/>
    <w:rsid w:val="26112618"/>
    <w:rsid w:val="2631EE13"/>
    <w:rsid w:val="263BF632"/>
    <w:rsid w:val="26450B7D"/>
    <w:rsid w:val="26556CEF"/>
    <w:rsid w:val="265DD44C"/>
    <w:rsid w:val="2662C0B6"/>
    <w:rsid w:val="267A623F"/>
    <w:rsid w:val="268B9811"/>
    <w:rsid w:val="26A5E9C7"/>
    <w:rsid w:val="26A685C2"/>
    <w:rsid w:val="26C281D2"/>
    <w:rsid w:val="26CAAB94"/>
    <w:rsid w:val="26DACAF2"/>
    <w:rsid w:val="26DB899B"/>
    <w:rsid w:val="26DF32A5"/>
    <w:rsid w:val="26E28D82"/>
    <w:rsid w:val="26E83130"/>
    <w:rsid w:val="26ECF364"/>
    <w:rsid w:val="26F39E7E"/>
    <w:rsid w:val="270B836E"/>
    <w:rsid w:val="271873B8"/>
    <w:rsid w:val="2750E99C"/>
    <w:rsid w:val="2756EBBE"/>
    <w:rsid w:val="275D3B02"/>
    <w:rsid w:val="276926EF"/>
    <w:rsid w:val="277B36A5"/>
    <w:rsid w:val="277FE845"/>
    <w:rsid w:val="278C89BE"/>
    <w:rsid w:val="2799A9C9"/>
    <w:rsid w:val="279FDE90"/>
    <w:rsid w:val="27AAE4A0"/>
    <w:rsid w:val="27B4D1EE"/>
    <w:rsid w:val="27BA89D0"/>
    <w:rsid w:val="27BAD0D6"/>
    <w:rsid w:val="27C86350"/>
    <w:rsid w:val="27C96068"/>
    <w:rsid w:val="27CF1FF3"/>
    <w:rsid w:val="27D5DF4C"/>
    <w:rsid w:val="27F6F434"/>
    <w:rsid w:val="27F753B2"/>
    <w:rsid w:val="27FF5EC4"/>
    <w:rsid w:val="2801175F"/>
    <w:rsid w:val="28083E7B"/>
    <w:rsid w:val="28106A6D"/>
    <w:rsid w:val="281DBC45"/>
    <w:rsid w:val="282AF24A"/>
    <w:rsid w:val="2836DD80"/>
    <w:rsid w:val="284DFADB"/>
    <w:rsid w:val="285269EF"/>
    <w:rsid w:val="2860FF00"/>
    <w:rsid w:val="28683528"/>
    <w:rsid w:val="28709AFC"/>
    <w:rsid w:val="2879E725"/>
    <w:rsid w:val="288FA4B1"/>
    <w:rsid w:val="28B063B7"/>
    <w:rsid w:val="28B86417"/>
    <w:rsid w:val="28BBDF29"/>
    <w:rsid w:val="28C040B8"/>
    <w:rsid w:val="28CB7344"/>
    <w:rsid w:val="28D0389A"/>
    <w:rsid w:val="28D3D9AC"/>
    <w:rsid w:val="28D97CC3"/>
    <w:rsid w:val="28E43F1D"/>
    <w:rsid w:val="28F58D77"/>
    <w:rsid w:val="2917E67F"/>
    <w:rsid w:val="291AA7CE"/>
    <w:rsid w:val="2941D9E5"/>
    <w:rsid w:val="29515BBD"/>
    <w:rsid w:val="29560E5C"/>
    <w:rsid w:val="29574DC8"/>
    <w:rsid w:val="29620B45"/>
    <w:rsid w:val="2973227F"/>
    <w:rsid w:val="2980B4DB"/>
    <w:rsid w:val="298CF786"/>
    <w:rsid w:val="299192C1"/>
    <w:rsid w:val="29A335F6"/>
    <w:rsid w:val="29C583E1"/>
    <w:rsid w:val="29D9D485"/>
    <w:rsid w:val="29DB0375"/>
    <w:rsid w:val="29DC060D"/>
    <w:rsid w:val="29DC80E1"/>
    <w:rsid w:val="29DE84B2"/>
    <w:rsid w:val="29EA7E5F"/>
    <w:rsid w:val="29F6B4D9"/>
    <w:rsid w:val="29FABD17"/>
    <w:rsid w:val="2A03D47A"/>
    <w:rsid w:val="2A0C43B1"/>
    <w:rsid w:val="2A13EDFC"/>
    <w:rsid w:val="2A140635"/>
    <w:rsid w:val="2A1F7F92"/>
    <w:rsid w:val="2A21DF72"/>
    <w:rsid w:val="2A32D37B"/>
    <w:rsid w:val="2A5C076E"/>
    <w:rsid w:val="2A5C277E"/>
    <w:rsid w:val="2A75E32E"/>
    <w:rsid w:val="2A79866F"/>
    <w:rsid w:val="2A7B3031"/>
    <w:rsid w:val="2A88FB61"/>
    <w:rsid w:val="2A9D0D26"/>
    <w:rsid w:val="2A9E62E7"/>
    <w:rsid w:val="2A9E9D34"/>
    <w:rsid w:val="2AA0027E"/>
    <w:rsid w:val="2AA4D9E9"/>
    <w:rsid w:val="2AB1E5E0"/>
    <w:rsid w:val="2AB8DF5A"/>
    <w:rsid w:val="2ABD211A"/>
    <w:rsid w:val="2ABE7D5E"/>
    <w:rsid w:val="2AC6FBB1"/>
    <w:rsid w:val="2AEC8887"/>
    <w:rsid w:val="2AEDA4DB"/>
    <w:rsid w:val="2AF3B7D0"/>
    <w:rsid w:val="2AFF7077"/>
    <w:rsid w:val="2B18200F"/>
    <w:rsid w:val="2B18A422"/>
    <w:rsid w:val="2B1ECCF1"/>
    <w:rsid w:val="2B29CD44"/>
    <w:rsid w:val="2B33D106"/>
    <w:rsid w:val="2B42031E"/>
    <w:rsid w:val="2B4A9FF3"/>
    <w:rsid w:val="2B597430"/>
    <w:rsid w:val="2B76BFF1"/>
    <w:rsid w:val="2B79961D"/>
    <w:rsid w:val="2B79C833"/>
    <w:rsid w:val="2B7F9ED0"/>
    <w:rsid w:val="2B8DEA79"/>
    <w:rsid w:val="2B979E79"/>
    <w:rsid w:val="2B9D4C0C"/>
    <w:rsid w:val="2BB512A8"/>
    <w:rsid w:val="2BC18C41"/>
    <w:rsid w:val="2BC85D2B"/>
    <w:rsid w:val="2BD93CB2"/>
    <w:rsid w:val="2BD94973"/>
    <w:rsid w:val="2BDB0DB2"/>
    <w:rsid w:val="2BDCF4B0"/>
    <w:rsid w:val="2BDFB26E"/>
    <w:rsid w:val="2BE45166"/>
    <w:rsid w:val="2BE79D7C"/>
    <w:rsid w:val="2BEB45F7"/>
    <w:rsid w:val="2BF75265"/>
    <w:rsid w:val="2C0D4841"/>
    <w:rsid w:val="2C0F2183"/>
    <w:rsid w:val="2C11F41D"/>
    <w:rsid w:val="2C129F75"/>
    <w:rsid w:val="2C1710A6"/>
    <w:rsid w:val="2C175FEA"/>
    <w:rsid w:val="2C17D015"/>
    <w:rsid w:val="2C339680"/>
    <w:rsid w:val="2C3664B2"/>
    <w:rsid w:val="2C369D46"/>
    <w:rsid w:val="2C37B2BC"/>
    <w:rsid w:val="2C389478"/>
    <w:rsid w:val="2C38CE9D"/>
    <w:rsid w:val="2C5345E7"/>
    <w:rsid w:val="2C5CDCEF"/>
    <w:rsid w:val="2C5EB6CE"/>
    <w:rsid w:val="2C686DDF"/>
    <w:rsid w:val="2C6997D5"/>
    <w:rsid w:val="2C739086"/>
    <w:rsid w:val="2C776301"/>
    <w:rsid w:val="2CB4A28A"/>
    <w:rsid w:val="2CD1AA0E"/>
    <w:rsid w:val="2CDA9201"/>
    <w:rsid w:val="2CDF1C48"/>
    <w:rsid w:val="2CE08CC9"/>
    <w:rsid w:val="2CE64B8D"/>
    <w:rsid w:val="2D0E72A0"/>
    <w:rsid w:val="2D41A7FF"/>
    <w:rsid w:val="2D4CB943"/>
    <w:rsid w:val="2D567BEE"/>
    <w:rsid w:val="2D5C24C3"/>
    <w:rsid w:val="2D62D2D9"/>
    <w:rsid w:val="2D77400D"/>
    <w:rsid w:val="2D8932AA"/>
    <w:rsid w:val="2D947709"/>
    <w:rsid w:val="2D97C125"/>
    <w:rsid w:val="2D9872E3"/>
    <w:rsid w:val="2DAE43BC"/>
    <w:rsid w:val="2DB1BE24"/>
    <w:rsid w:val="2DB9F96A"/>
    <w:rsid w:val="2DBD5E01"/>
    <w:rsid w:val="2DC83FA4"/>
    <w:rsid w:val="2DCF7FDE"/>
    <w:rsid w:val="2DD824C0"/>
    <w:rsid w:val="2DD85DD7"/>
    <w:rsid w:val="2DEF1B6A"/>
    <w:rsid w:val="2DFFBA70"/>
    <w:rsid w:val="2E04DE90"/>
    <w:rsid w:val="2E053104"/>
    <w:rsid w:val="2E0E0863"/>
    <w:rsid w:val="2E221A1E"/>
    <w:rsid w:val="2E27C637"/>
    <w:rsid w:val="2E377CEB"/>
    <w:rsid w:val="2E3CF13F"/>
    <w:rsid w:val="2E3D8D59"/>
    <w:rsid w:val="2E4D4AC4"/>
    <w:rsid w:val="2E5114BD"/>
    <w:rsid w:val="2E5F509C"/>
    <w:rsid w:val="2E66DDA7"/>
    <w:rsid w:val="2E69F45E"/>
    <w:rsid w:val="2E6EB44B"/>
    <w:rsid w:val="2E78BBEE"/>
    <w:rsid w:val="2E7FA459"/>
    <w:rsid w:val="2E837AA7"/>
    <w:rsid w:val="2E852A29"/>
    <w:rsid w:val="2E88A0CE"/>
    <w:rsid w:val="2E8A7A9C"/>
    <w:rsid w:val="2E8EBF70"/>
    <w:rsid w:val="2E8EE540"/>
    <w:rsid w:val="2E985692"/>
    <w:rsid w:val="2EA15274"/>
    <w:rsid w:val="2EA5B2F0"/>
    <w:rsid w:val="2EACB1A0"/>
    <w:rsid w:val="2EB0F3F1"/>
    <w:rsid w:val="2EBB26DD"/>
    <w:rsid w:val="2EBF977E"/>
    <w:rsid w:val="2EC28309"/>
    <w:rsid w:val="2ED4C416"/>
    <w:rsid w:val="2EF2EC9B"/>
    <w:rsid w:val="2EF8A799"/>
    <w:rsid w:val="2F00D18D"/>
    <w:rsid w:val="2F0E0F03"/>
    <w:rsid w:val="2F18F739"/>
    <w:rsid w:val="2F3004B6"/>
    <w:rsid w:val="2F41A110"/>
    <w:rsid w:val="2F438841"/>
    <w:rsid w:val="2F796E69"/>
    <w:rsid w:val="2F7D1F17"/>
    <w:rsid w:val="2F8A0896"/>
    <w:rsid w:val="2FACF8C6"/>
    <w:rsid w:val="2FB1CF19"/>
    <w:rsid w:val="2FB598A8"/>
    <w:rsid w:val="2FC61A0A"/>
    <w:rsid w:val="2FC6FC35"/>
    <w:rsid w:val="2FC8C196"/>
    <w:rsid w:val="2FD317A0"/>
    <w:rsid w:val="2FD82FC5"/>
    <w:rsid w:val="2FE2DD30"/>
    <w:rsid w:val="2FE31C57"/>
    <w:rsid w:val="2FEB08CB"/>
    <w:rsid w:val="2FFD88D4"/>
    <w:rsid w:val="3004FE21"/>
    <w:rsid w:val="300E7000"/>
    <w:rsid w:val="3019FE8B"/>
    <w:rsid w:val="3020F737"/>
    <w:rsid w:val="3044C666"/>
    <w:rsid w:val="304A6D49"/>
    <w:rsid w:val="3055B560"/>
    <w:rsid w:val="30690E0F"/>
    <w:rsid w:val="306C9D0E"/>
    <w:rsid w:val="30737FB6"/>
    <w:rsid w:val="307A49AF"/>
    <w:rsid w:val="307B790E"/>
    <w:rsid w:val="307BA1F1"/>
    <w:rsid w:val="308F3997"/>
    <w:rsid w:val="3097D0FE"/>
    <w:rsid w:val="309E0F10"/>
    <w:rsid w:val="30A1B9F2"/>
    <w:rsid w:val="30A2AC66"/>
    <w:rsid w:val="30A864FF"/>
    <w:rsid w:val="30AE36D4"/>
    <w:rsid w:val="30B672D6"/>
    <w:rsid w:val="30B873F2"/>
    <w:rsid w:val="30C28D7A"/>
    <w:rsid w:val="30D88858"/>
    <w:rsid w:val="30DBACF5"/>
    <w:rsid w:val="30DD2586"/>
    <w:rsid w:val="30E78292"/>
    <w:rsid w:val="30EEA5E6"/>
    <w:rsid w:val="30F91622"/>
    <w:rsid w:val="31028685"/>
    <w:rsid w:val="3105620D"/>
    <w:rsid w:val="312B09D7"/>
    <w:rsid w:val="3155DF9B"/>
    <w:rsid w:val="315E5906"/>
    <w:rsid w:val="3167EF53"/>
    <w:rsid w:val="31683EC8"/>
    <w:rsid w:val="316E65E6"/>
    <w:rsid w:val="317A3D3D"/>
    <w:rsid w:val="3182AD07"/>
    <w:rsid w:val="318830AA"/>
    <w:rsid w:val="31B205AE"/>
    <w:rsid w:val="31BF12A0"/>
    <w:rsid w:val="31D078D2"/>
    <w:rsid w:val="320D9187"/>
    <w:rsid w:val="320F7533"/>
    <w:rsid w:val="32138ADB"/>
    <w:rsid w:val="321A9BA0"/>
    <w:rsid w:val="321B05E2"/>
    <w:rsid w:val="321BE562"/>
    <w:rsid w:val="3222F0F3"/>
    <w:rsid w:val="32327E00"/>
    <w:rsid w:val="3232985A"/>
    <w:rsid w:val="32359A98"/>
    <w:rsid w:val="324A9E5B"/>
    <w:rsid w:val="32506BBA"/>
    <w:rsid w:val="326C6D14"/>
    <w:rsid w:val="3278AA5A"/>
    <w:rsid w:val="327DF523"/>
    <w:rsid w:val="3286BAB4"/>
    <w:rsid w:val="32896E7E"/>
    <w:rsid w:val="328F6779"/>
    <w:rsid w:val="328FFBAB"/>
    <w:rsid w:val="329850FF"/>
    <w:rsid w:val="32A32D58"/>
    <w:rsid w:val="32BC55B5"/>
    <w:rsid w:val="32C031CD"/>
    <w:rsid w:val="32DD431F"/>
    <w:rsid w:val="32F094E1"/>
    <w:rsid w:val="32FC25C2"/>
    <w:rsid w:val="330CFBF2"/>
    <w:rsid w:val="33116018"/>
    <w:rsid w:val="33188C83"/>
    <w:rsid w:val="331AD698"/>
    <w:rsid w:val="332ED04B"/>
    <w:rsid w:val="334A5A19"/>
    <w:rsid w:val="335632D4"/>
    <w:rsid w:val="33574FDC"/>
    <w:rsid w:val="335948EF"/>
    <w:rsid w:val="336FE09B"/>
    <w:rsid w:val="33709A91"/>
    <w:rsid w:val="3373D4D5"/>
    <w:rsid w:val="3378353D"/>
    <w:rsid w:val="337A44A3"/>
    <w:rsid w:val="337E525E"/>
    <w:rsid w:val="3389425B"/>
    <w:rsid w:val="33965258"/>
    <w:rsid w:val="33A4568F"/>
    <w:rsid w:val="33B3BAA8"/>
    <w:rsid w:val="33CAD49A"/>
    <w:rsid w:val="33CD5A86"/>
    <w:rsid w:val="33E52B05"/>
    <w:rsid w:val="33ED924B"/>
    <w:rsid w:val="34058130"/>
    <w:rsid w:val="3412C87F"/>
    <w:rsid w:val="3414E1B1"/>
    <w:rsid w:val="3418F19E"/>
    <w:rsid w:val="341F2354"/>
    <w:rsid w:val="341F5581"/>
    <w:rsid w:val="34322F2B"/>
    <w:rsid w:val="34326910"/>
    <w:rsid w:val="34345A3A"/>
    <w:rsid w:val="343C6788"/>
    <w:rsid w:val="3442FC66"/>
    <w:rsid w:val="3444C0EB"/>
    <w:rsid w:val="344BC42D"/>
    <w:rsid w:val="344C9F1B"/>
    <w:rsid w:val="3460B5AC"/>
    <w:rsid w:val="346D684F"/>
    <w:rsid w:val="347046BF"/>
    <w:rsid w:val="34809853"/>
    <w:rsid w:val="34A2B743"/>
    <w:rsid w:val="34AA4FBD"/>
    <w:rsid w:val="34AB9D94"/>
    <w:rsid w:val="34B7DD16"/>
    <w:rsid w:val="34BD3C90"/>
    <w:rsid w:val="34D20712"/>
    <w:rsid w:val="34DD848A"/>
    <w:rsid w:val="34DE8C5F"/>
    <w:rsid w:val="34DF1821"/>
    <w:rsid w:val="34EF66AD"/>
    <w:rsid w:val="34EFE3B7"/>
    <w:rsid w:val="34F64745"/>
    <w:rsid w:val="35188635"/>
    <w:rsid w:val="353B6CA9"/>
    <w:rsid w:val="353C4D1C"/>
    <w:rsid w:val="353DCAC6"/>
    <w:rsid w:val="353E082F"/>
    <w:rsid w:val="355091C0"/>
    <w:rsid w:val="356280B3"/>
    <w:rsid w:val="35631A62"/>
    <w:rsid w:val="3574F8A9"/>
    <w:rsid w:val="35903B95"/>
    <w:rsid w:val="35915000"/>
    <w:rsid w:val="35BB707C"/>
    <w:rsid w:val="35CBD47B"/>
    <w:rsid w:val="35CE8B71"/>
    <w:rsid w:val="35D0F712"/>
    <w:rsid w:val="35E1358B"/>
    <w:rsid w:val="35E4E034"/>
    <w:rsid w:val="35F04269"/>
    <w:rsid w:val="35F2A88B"/>
    <w:rsid w:val="35F31ED1"/>
    <w:rsid w:val="35F4B94A"/>
    <w:rsid w:val="35F7061F"/>
    <w:rsid w:val="36078669"/>
    <w:rsid w:val="3616DD1A"/>
    <w:rsid w:val="36226A69"/>
    <w:rsid w:val="363972D0"/>
    <w:rsid w:val="3641AED2"/>
    <w:rsid w:val="3646A505"/>
    <w:rsid w:val="3658B894"/>
    <w:rsid w:val="36626DAE"/>
    <w:rsid w:val="366290E9"/>
    <w:rsid w:val="36718504"/>
    <w:rsid w:val="367E7BCD"/>
    <w:rsid w:val="367EF69F"/>
    <w:rsid w:val="3685F1A3"/>
    <w:rsid w:val="368E1579"/>
    <w:rsid w:val="369DA6E6"/>
    <w:rsid w:val="36A5369D"/>
    <w:rsid w:val="36C34778"/>
    <w:rsid w:val="36D66D40"/>
    <w:rsid w:val="36EC7ADD"/>
    <w:rsid w:val="36EDF5B8"/>
    <w:rsid w:val="36FCFAE8"/>
    <w:rsid w:val="3702D4B8"/>
    <w:rsid w:val="3708E382"/>
    <w:rsid w:val="37306F6A"/>
    <w:rsid w:val="376275BF"/>
    <w:rsid w:val="3764E9CB"/>
    <w:rsid w:val="37658BF4"/>
    <w:rsid w:val="37687413"/>
    <w:rsid w:val="3772496F"/>
    <w:rsid w:val="378DA168"/>
    <w:rsid w:val="37981903"/>
    <w:rsid w:val="37A8F9CD"/>
    <w:rsid w:val="37B9A93E"/>
    <w:rsid w:val="37B9F98C"/>
    <w:rsid w:val="37BC5EC9"/>
    <w:rsid w:val="37C424A4"/>
    <w:rsid w:val="37C6BF4E"/>
    <w:rsid w:val="37CC81F3"/>
    <w:rsid w:val="37FCDE83"/>
    <w:rsid w:val="3807C5C1"/>
    <w:rsid w:val="3829CB54"/>
    <w:rsid w:val="383F67BD"/>
    <w:rsid w:val="384E2907"/>
    <w:rsid w:val="38511D66"/>
    <w:rsid w:val="3872E105"/>
    <w:rsid w:val="387511C6"/>
    <w:rsid w:val="3879BF0A"/>
    <w:rsid w:val="387DAE37"/>
    <w:rsid w:val="3882280A"/>
    <w:rsid w:val="388D8699"/>
    <w:rsid w:val="38A6EA85"/>
    <w:rsid w:val="38B58159"/>
    <w:rsid w:val="38B6541C"/>
    <w:rsid w:val="38D83D2A"/>
    <w:rsid w:val="38D84D25"/>
    <w:rsid w:val="38E1F12F"/>
    <w:rsid w:val="38F4A60A"/>
    <w:rsid w:val="38F903D5"/>
    <w:rsid w:val="38F925A0"/>
    <w:rsid w:val="39011183"/>
    <w:rsid w:val="3917E1DC"/>
    <w:rsid w:val="39199DAC"/>
    <w:rsid w:val="391EE512"/>
    <w:rsid w:val="392ACEB1"/>
    <w:rsid w:val="393274BD"/>
    <w:rsid w:val="3956B921"/>
    <w:rsid w:val="395BD831"/>
    <w:rsid w:val="397521AF"/>
    <w:rsid w:val="398971A6"/>
    <w:rsid w:val="39913A0E"/>
    <w:rsid w:val="399F6742"/>
    <w:rsid w:val="399FF9FA"/>
    <w:rsid w:val="39A227B6"/>
    <w:rsid w:val="39A67FE7"/>
    <w:rsid w:val="39ADE9C8"/>
    <w:rsid w:val="39BE7A1D"/>
    <w:rsid w:val="39C47C5E"/>
    <w:rsid w:val="39D591E3"/>
    <w:rsid w:val="39E33366"/>
    <w:rsid w:val="39F9DDD3"/>
    <w:rsid w:val="3A05190A"/>
    <w:rsid w:val="3A0F14F9"/>
    <w:rsid w:val="3A17C0F5"/>
    <w:rsid w:val="3A1CDD50"/>
    <w:rsid w:val="3A22FC2A"/>
    <w:rsid w:val="3A24DF98"/>
    <w:rsid w:val="3A25D4E3"/>
    <w:rsid w:val="3A298630"/>
    <w:rsid w:val="3A463B28"/>
    <w:rsid w:val="3A555ABF"/>
    <w:rsid w:val="3A5776A7"/>
    <w:rsid w:val="3A5B4B8B"/>
    <w:rsid w:val="3A640C3C"/>
    <w:rsid w:val="3A652183"/>
    <w:rsid w:val="3A678BD7"/>
    <w:rsid w:val="3A77678A"/>
    <w:rsid w:val="3A869205"/>
    <w:rsid w:val="3A8C71D7"/>
    <w:rsid w:val="3A91CD0D"/>
    <w:rsid w:val="3A931503"/>
    <w:rsid w:val="3A955D51"/>
    <w:rsid w:val="3A9D78D7"/>
    <w:rsid w:val="3A9D9563"/>
    <w:rsid w:val="3AB82C8E"/>
    <w:rsid w:val="3AD7C715"/>
    <w:rsid w:val="3AEED0FC"/>
    <w:rsid w:val="3AF3E18E"/>
    <w:rsid w:val="3AF6D82C"/>
    <w:rsid w:val="3AF719B2"/>
    <w:rsid w:val="3AFF2CE4"/>
    <w:rsid w:val="3B0BE066"/>
    <w:rsid w:val="3B124BA5"/>
    <w:rsid w:val="3B15B41C"/>
    <w:rsid w:val="3B230084"/>
    <w:rsid w:val="3B267907"/>
    <w:rsid w:val="3B285AF1"/>
    <w:rsid w:val="3B33F14D"/>
    <w:rsid w:val="3B5F9CB6"/>
    <w:rsid w:val="3B650DF7"/>
    <w:rsid w:val="3B6B73BF"/>
    <w:rsid w:val="3B6D39A1"/>
    <w:rsid w:val="3B7F971A"/>
    <w:rsid w:val="3B847A18"/>
    <w:rsid w:val="3B89CDC5"/>
    <w:rsid w:val="3B8D9143"/>
    <w:rsid w:val="3B932CE3"/>
    <w:rsid w:val="3B961929"/>
    <w:rsid w:val="3BA0558D"/>
    <w:rsid w:val="3BE47A39"/>
    <w:rsid w:val="3BE68325"/>
    <w:rsid w:val="3BEB8CA6"/>
    <w:rsid w:val="3BECC1A4"/>
    <w:rsid w:val="3BEF31D0"/>
    <w:rsid w:val="3BF32A41"/>
    <w:rsid w:val="3C1C7799"/>
    <w:rsid w:val="3C292AA1"/>
    <w:rsid w:val="3C3D4CA1"/>
    <w:rsid w:val="3C461F22"/>
    <w:rsid w:val="3C4A5E8A"/>
    <w:rsid w:val="3C56C281"/>
    <w:rsid w:val="3C5EB2CC"/>
    <w:rsid w:val="3C67965B"/>
    <w:rsid w:val="3C6C3C0D"/>
    <w:rsid w:val="3C726213"/>
    <w:rsid w:val="3C79E90D"/>
    <w:rsid w:val="3C80E995"/>
    <w:rsid w:val="3C813116"/>
    <w:rsid w:val="3C841B33"/>
    <w:rsid w:val="3C92CCC0"/>
    <w:rsid w:val="3C9AFABA"/>
    <w:rsid w:val="3C9E9222"/>
    <w:rsid w:val="3CA35E1E"/>
    <w:rsid w:val="3CA79884"/>
    <w:rsid w:val="3CB55C9F"/>
    <w:rsid w:val="3CC8B077"/>
    <w:rsid w:val="3CCA2EDC"/>
    <w:rsid w:val="3CCB46A8"/>
    <w:rsid w:val="3CE2F4C3"/>
    <w:rsid w:val="3CE69903"/>
    <w:rsid w:val="3CF11095"/>
    <w:rsid w:val="3CF4EBEF"/>
    <w:rsid w:val="3CF6DCE9"/>
    <w:rsid w:val="3CF9A5EB"/>
    <w:rsid w:val="3CFE9C96"/>
    <w:rsid w:val="3D0A1679"/>
    <w:rsid w:val="3D0F0B9C"/>
    <w:rsid w:val="3D164488"/>
    <w:rsid w:val="3D1FF0DD"/>
    <w:rsid w:val="3D23E0E6"/>
    <w:rsid w:val="3D2953E6"/>
    <w:rsid w:val="3D31605A"/>
    <w:rsid w:val="3D5736BD"/>
    <w:rsid w:val="3D715413"/>
    <w:rsid w:val="3D746759"/>
    <w:rsid w:val="3D83D38C"/>
    <w:rsid w:val="3D878256"/>
    <w:rsid w:val="3D99344C"/>
    <w:rsid w:val="3DA05E3D"/>
    <w:rsid w:val="3DA94FEC"/>
    <w:rsid w:val="3DB2624B"/>
    <w:rsid w:val="3DD08BF2"/>
    <w:rsid w:val="3DDA665C"/>
    <w:rsid w:val="3DDB74B1"/>
    <w:rsid w:val="3DE7041F"/>
    <w:rsid w:val="3DEFBB29"/>
    <w:rsid w:val="3E045EB6"/>
    <w:rsid w:val="3E0AC780"/>
    <w:rsid w:val="3E2C9E68"/>
    <w:rsid w:val="3E46F7C5"/>
    <w:rsid w:val="3E4872DB"/>
    <w:rsid w:val="3E540A5B"/>
    <w:rsid w:val="3E60C5E9"/>
    <w:rsid w:val="3E67DAD7"/>
    <w:rsid w:val="3E6C2007"/>
    <w:rsid w:val="3E6C494B"/>
    <w:rsid w:val="3E75313E"/>
    <w:rsid w:val="3E7CD22F"/>
    <w:rsid w:val="3E83712C"/>
    <w:rsid w:val="3E880F4B"/>
    <w:rsid w:val="3E8A2C94"/>
    <w:rsid w:val="3E8D5B57"/>
    <w:rsid w:val="3EB4F152"/>
    <w:rsid w:val="3EB87F20"/>
    <w:rsid w:val="3EC5B127"/>
    <w:rsid w:val="3EDBA2BD"/>
    <w:rsid w:val="3EE80AF8"/>
    <w:rsid w:val="3EF5CA44"/>
    <w:rsid w:val="3F0608FC"/>
    <w:rsid w:val="3F07F853"/>
    <w:rsid w:val="3F0C2386"/>
    <w:rsid w:val="3F168A85"/>
    <w:rsid w:val="3F1690B0"/>
    <w:rsid w:val="3F234391"/>
    <w:rsid w:val="3F24AC9B"/>
    <w:rsid w:val="3F3C4480"/>
    <w:rsid w:val="3F54EC28"/>
    <w:rsid w:val="3F86BEB9"/>
    <w:rsid w:val="3F91BD40"/>
    <w:rsid w:val="3F96DD64"/>
    <w:rsid w:val="3FAF353C"/>
    <w:rsid w:val="3FAFB37D"/>
    <w:rsid w:val="3FBF5CD4"/>
    <w:rsid w:val="3FC9DA10"/>
    <w:rsid w:val="3FCE31CB"/>
    <w:rsid w:val="3FD935CF"/>
    <w:rsid w:val="3FDB831E"/>
    <w:rsid w:val="3FEA3789"/>
    <w:rsid w:val="3FF59C48"/>
    <w:rsid w:val="4008D31A"/>
    <w:rsid w:val="402A4A49"/>
    <w:rsid w:val="402E7DAB"/>
    <w:rsid w:val="40302255"/>
    <w:rsid w:val="403CA462"/>
    <w:rsid w:val="403D4F31"/>
    <w:rsid w:val="403DC7D1"/>
    <w:rsid w:val="4045F8F5"/>
    <w:rsid w:val="404D7897"/>
    <w:rsid w:val="404F3061"/>
    <w:rsid w:val="40542429"/>
    <w:rsid w:val="406BD559"/>
    <w:rsid w:val="40779F74"/>
    <w:rsid w:val="407F7A95"/>
    <w:rsid w:val="4081A4E7"/>
    <w:rsid w:val="40831BDA"/>
    <w:rsid w:val="40902A22"/>
    <w:rsid w:val="40A9A6EC"/>
    <w:rsid w:val="40BC201C"/>
    <w:rsid w:val="40C48D86"/>
    <w:rsid w:val="40CBE828"/>
    <w:rsid w:val="40D47F49"/>
    <w:rsid w:val="41243F57"/>
    <w:rsid w:val="412FDB4A"/>
    <w:rsid w:val="41361636"/>
    <w:rsid w:val="413FDAC4"/>
    <w:rsid w:val="41407B23"/>
    <w:rsid w:val="4145CCE7"/>
    <w:rsid w:val="415CE903"/>
    <w:rsid w:val="416A5F75"/>
    <w:rsid w:val="4176E47C"/>
    <w:rsid w:val="4177EBFF"/>
    <w:rsid w:val="417C75B7"/>
    <w:rsid w:val="417D480E"/>
    <w:rsid w:val="418016EE"/>
    <w:rsid w:val="418432F3"/>
    <w:rsid w:val="418A2E88"/>
    <w:rsid w:val="418D68BB"/>
    <w:rsid w:val="4196B263"/>
    <w:rsid w:val="4197D029"/>
    <w:rsid w:val="419CBF8D"/>
    <w:rsid w:val="41A3ED62"/>
    <w:rsid w:val="41AF35D1"/>
    <w:rsid w:val="41D273E3"/>
    <w:rsid w:val="41D2C840"/>
    <w:rsid w:val="41D861FC"/>
    <w:rsid w:val="41DD93EA"/>
    <w:rsid w:val="420B7B2F"/>
    <w:rsid w:val="4228F031"/>
    <w:rsid w:val="4235DF37"/>
    <w:rsid w:val="423AFC64"/>
    <w:rsid w:val="424E14CC"/>
    <w:rsid w:val="4250B520"/>
    <w:rsid w:val="426B0D5A"/>
    <w:rsid w:val="428D6C79"/>
    <w:rsid w:val="429F30A3"/>
    <w:rsid w:val="42A0F393"/>
    <w:rsid w:val="42B5B7AC"/>
    <w:rsid w:val="42CBE9B4"/>
    <w:rsid w:val="42CDA214"/>
    <w:rsid w:val="42CE7E26"/>
    <w:rsid w:val="42D49379"/>
    <w:rsid w:val="42D99601"/>
    <w:rsid w:val="42DAD9F9"/>
    <w:rsid w:val="42E76D3C"/>
    <w:rsid w:val="42EA4438"/>
    <w:rsid w:val="42F555C4"/>
    <w:rsid w:val="430E5F8B"/>
    <w:rsid w:val="432235AB"/>
    <w:rsid w:val="432C0588"/>
    <w:rsid w:val="432E746B"/>
    <w:rsid w:val="433FB3E6"/>
    <w:rsid w:val="43537CFF"/>
    <w:rsid w:val="43551248"/>
    <w:rsid w:val="436CA9C6"/>
    <w:rsid w:val="43701D86"/>
    <w:rsid w:val="437B71F9"/>
    <w:rsid w:val="43858993"/>
    <w:rsid w:val="438D58F9"/>
    <w:rsid w:val="438F1C79"/>
    <w:rsid w:val="439556FE"/>
    <w:rsid w:val="439AAA4E"/>
    <w:rsid w:val="439B3EBB"/>
    <w:rsid w:val="439F98F6"/>
    <w:rsid w:val="43AA21AB"/>
    <w:rsid w:val="43BAEA8A"/>
    <w:rsid w:val="43D35D39"/>
    <w:rsid w:val="43DB1B0B"/>
    <w:rsid w:val="43E14BCA"/>
    <w:rsid w:val="43E2FB3C"/>
    <w:rsid w:val="43E3E96B"/>
    <w:rsid w:val="43ED7876"/>
    <w:rsid w:val="43EEC730"/>
    <w:rsid w:val="43EFBBB8"/>
    <w:rsid w:val="43FAAC8F"/>
    <w:rsid w:val="44047877"/>
    <w:rsid w:val="4424AE57"/>
    <w:rsid w:val="44279028"/>
    <w:rsid w:val="442AF232"/>
    <w:rsid w:val="442CD6F4"/>
    <w:rsid w:val="443AA3F3"/>
    <w:rsid w:val="443DD37E"/>
    <w:rsid w:val="444C64F7"/>
    <w:rsid w:val="444C98BC"/>
    <w:rsid w:val="44597BD2"/>
    <w:rsid w:val="4463BCA3"/>
    <w:rsid w:val="446A4E87"/>
    <w:rsid w:val="446E41CE"/>
    <w:rsid w:val="44701406"/>
    <w:rsid w:val="447941EC"/>
    <w:rsid w:val="4488CC71"/>
    <w:rsid w:val="44894B78"/>
    <w:rsid w:val="44925E98"/>
    <w:rsid w:val="4498F66E"/>
    <w:rsid w:val="44BAE976"/>
    <w:rsid w:val="44DD8184"/>
    <w:rsid w:val="44DD875D"/>
    <w:rsid w:val="44E8E410"/>
    <w:rsid w:val="44EAB4B2"/>
    <w:rsid w:val="44EC27FD"/>
    <w:rsid w:val="44FEBBDD"/>
    <w:rsid w:val="44FFE791"/>
    <w:rsid w:val="4501412B"/>
    <w:rsid w:val="450B5B1B"/>
    <w:rsid w:val="4516FA70"/>
    <w:rsid w:val="45251C43"/>
    <w:rsid w:val="4535C57C"/>
    <w:rsid w:val="4537E3B2"/>
    <w:rsid w:val="453FDBA3"/>
    <w:rsid w:val="4546B711"/>
    <w:rsid w:val="4547670A"/>
    <w:rsid w:val="45562881"/>
    <w:rsid w:val="4562B78F"/>
    <w:rsid w:val="456815B5"/>
    <w:rsid w:val="4569F95C"/>
    <w:rsid w:val="457B5D72"/>
    <w:rsid w:val="458B4C6A"/>
    <w:rsid w:val="45A9122B"/>
    <w:rsid w:val="45A98BF6"/>
    <w:rsid w:val="45AB01CD"/>
    <w:rsid w:val="45B3D07E"/>
    <w:rsid w:val="45C1AD1F"/>
    <w:rsid w:val="45C2C66D"/>
    <w:rsid w:val="45CE5F42"/>
    <w:rsid w:val="45D6A725"/>
    <w:rsid w:val="45F039AB"/>
    <w:rsid w:val="45F5D1A1"/>
    <w:rsid w:val="45F76D51"/>
    <w:rsid w:val="46030D2F"/>
    <w:rsid w:val="461CC1BC"/>
    <w:rsid w:val="461CD856"/>
    <w:rsid w:val="462F24FB"/>
    <w:rsid w:val="4630AA29"/>
    <w:rsid w:val="464E4E0C"/>
    <w:rsid w:val="465530D8"/>
    <w:rsid w:val="466B9A74"/>
    <w:rsid w:val="466D24E9"/>
    <w:rsid w:val="46719D07"/>
    <w:rsid w:val="4675323E"/>
    <w:rsid w:val="467A700C"/>
    <w:rsid w:val="468A7C68"/>
    <w:rsid w:val="468B514B"/>
    <w:rsid w:val="468C35A1"/>
    <w:rsid w:val="469B64A6"/>
    <w:rsid w:val="46B967E8"/>
    <w:rsid w:val="46C62AD3"/>
    <w:rsid w:val="46CE3354"/>
    <w:rsid w:val="46D065AC"/>
    <w:rsid w:val="46D993D1"/>
    <w:rsid w:val="46DC4D78"/>
    <w:rsid w:val="46DFD2D4"/>
    <w:rsid w:val="46F861F8"/>
    <w:rsid w:val="470F13B9"/>
    <w:rsid w:val="472068CD"/>
    <w:rsid w:val="472D7504"/>
    <w:rsid w:val="4731FDF3"/>
    <w:rsid w:val="4738F594"/>
    <w:rsid w:val="475C4498"/>
    <w:rsid w:val="475FC018"/>
    <w:rsid w:val="47625CBB"/>
    <w:rsid w:val="4767B8C2"/>
    <w:rsid w:val="47713E15"/>
    <w:rsid w:val="47807D46"/>
    <w:rsid w:val="478304DF"/>
    <w:rsid w:val="478B1C38"/>
    <w:rsid w:val="47A3E1FD"/>
    <w:rsid w:val="47A77BA0"/>
    <w:rsid w:val="47B218E7"/>
    <w:rsid w:val="47B82D2B"/>
    <w:rsid w:val="47B99944"/>
    <w:rsid w:val="47D48653"/>
    <w:rsid w:val="47F51977"/>
    <w:rsid w:val="47F6A3FF"/>
    <w:rsid w:val="47FAC63A"/>
    <w:rsid w:val="47FB0578"/>
    <w:rsid w:val="48006078"/>
    <w:rsid w:val="4802359D"/>
    <w:rsid w:val="4814D86A"/>
    <w:rsid w:val="4828836B"/>
    <w:rsid w:val="483115AE"/>
    <w:rsid w:val="48432C58"/>
    <w:rsid w:val="48448C9D"/>
    <w:rsid w:val="4844E231"/>
    <w:rsid w:val="484E15C8"/>
    <w:rsid w:val="484EFF82"/>
    <w:rsid w:val="48633008"/>
    <w:rsid w:val="4868B821"/>
    <w:rsid w:val="486FA88D"/>
    <w:rsid w:val="489F9B67"/>
    <w:rsid w:val="48B02994"/>
    <w:rsid w:val="48C05C0B"/>
    <w:rsid w:val="48CE1A7A"/>
    <w:rsid w:val="48D32B29"/>
    <w:rsid w:val="48E1BE62"/>
    <w:rsid w:val="48E3485B"/>
    <w:rsid w:val="48E52EA1"/>
    <w:rsid w:val="48FBD9E0"/>
    <w:rsid w:val="4902A1ED"/>
    <w:rsid w:val="4903B5D3"/>
    <w:rsid w:val="4906D0AA"/>
    <w:rsid w:val="490D5A5D"/>
    <w:rsid w:val="4915C4F3"/>
    <w:rsid w:val="49279687"/>
    <w:rsid w:val="493563FE"/>
    <w:rsid w:val="493DADE1"/>
    <w:rsid w:val="493E1DDB"/>
    <w:rsid w:val="493E50BA"/>
    <w:rsid w:val="493FFE01"/>
    <w:rsid w:val="494BC19F"/>
    <w:rsid w:val="4960F870"/>
    <w:rsid w:val="4961B724"/>
    <w:rsid w:val="496A843C"/>
    <w:rsid w:val="496E289A"/>
    <w:rsid w:val="4973C6DC"/>
    <w:rsid w:val="49785A65"/>
    <w:rsid w:val="498442FD"/>
    <w:rsid w:val="498668DF"/>
    <w:rsid w:val="49928A42"/>
    <w:rsid w:val="4992CD5D"/>
    <w:rsid w:val="499575DD"/>
    <w:rsid w:val="49968C03"/>
    <w:rsid w:val="49B006F9"/>
    <w:rsid w:val="49B41609"/>
    <w:rsid w:val="49C10DB4"/>
    <w:rsid w:val="49C35430"/>
    <w:rsid w:val="49CE9444"/>
    <w:rsid w:val="49D463D2"/>
    <w:rsid w:val="49D59AC0"/>
    <w:rsid w:val="49D98704"/>
    <w:rsid w:val="49DA853E"/>
    <w:rsid w:val="49DDE3F4"/>
    <w:rsid w:val="49DDE9A2"/>
    <w:rsid w:val="49E7D50B"/>
    <w:rsid w:val="49F101D9"/>
    <w:rsid w:val="4A12B2F7"/>
    <w:rsid w:val="4A1313F2"/>
    <w:rsid w:val="4A1615FA"/>
    <w:rsid w:val="4A20EA32"/>
    <w:rsid w:val="4A2D978A"/>
    <w:rsid w:val="4A357DF4"/>
    <w:rsid w:val="4A3BAFAC"/>
    <w:rsid w:val="4A4AC03D"/>
    <w:rsid w:val="4A4FAD85"/>
    <w:rsid w:val="4A8756E9"/>
    <w:rsid w:val="4A916025"/>
    <w:rsid w:val="4A9DF8DA"/>
    <w:rsid w:val="4AAF34D1"/>
    <w:rsid w:val="4ABF6BD2"/>
    <w:rsid w:val="4AC13833"/>
    <w:rsid w:val="4AC5437B"/>
    <w:rsid w:val="4AD2C2F1"/>
    <w:rsid w:val="4ADC729F"/>
    <w:rsid w:val="4ADE84CE"/>
    <w:rsid w:val="4AE8C0D9"/>
    <w:rsid w:val="4AEB8267"/>
    <w:rsid w:val="4AEC04AD"/>
    <w:rsid w:val="4AEFD997"/>
    <w:rsid w:val="4AFB6710"/>
    <w:rsid w:val="4B0A4F9A"/>
    <w:rsid w:val="4B16A451"/>
    <w:rsid w:val="4B17B531"/>
    <w:rsid w:val="4B1837E8"/>
    <w:rsid w:val="4B1F4864"/>
    <w:rsid w:val="4B282CF7"/>
    <w:rsid w:val="4B28D5D4"/>
    <w:rsid w:val="4B296086"/>
    <w:rsid w:val="4B317DF2"/>
    <w:rsid w:val="4B33BE7A"/>
    <w:rsid w:val="4B4D0BE3"/>
    <w:rsid w:val="4B4D9DC5"/>
    <w:rsid w:val="4B648782"/>
    <w:rsid w:val="4B6B58AB"/>
    <w:rsid w:val="4B6F4927"/>
    <w:rsid w:val="4B7E779D"/>
    <w:rsid w:val="4B81BE7F"/>
    <w:rsid w:val="4B842002"/>
    <w:rsid w:val="4B99BFC6"/>
    <w:rsid w:val="4B9C6EE2"/>
    <w:rsid w:val="4BA0AED3"/>
    <w:rsid w:val="4BA23A75"/>
    <w:rsid w:val="4BCD8FB1"/>
    <w:rsid w:val="4BE924B2"/>
    <w:rsid w:val="4BEA6E6C"/>
    <w:rsid w:val="4BED8175"/>
    <w:rsid w:val="4C19770C"/>
    <w:rsid w:val="4C19D538"/>
    <w:rsid w:val="4C224B36"/>
    <w:rsid w:val="4C24CBFF"/>
    <w:rsid w:val="4C253DA5"/>
    <w:rsid w:val="4C2D4DF3"/>
    <w:rsid w:val="4C33B39E"/>
    <w:rsid w:val="4C39895A"/>
    <w:rsid w:val="4C3D2642"/>
    <w:rsid w:val="4C3EF611"/>
    <w:rsid w:val="4C41DF12"/>
    <w:rsid w:val="4C43638B"/>
    <w:rsid w:val="4C542390"/>
    <w:rsid w:val="4C7268E1"/>
    <w:rsid w:val="4C737DBA"/>
    <w:rsid w:val="4C7B395C"/>
    <w:rsid w:val="4C7D4DF2"/>
    <w:rsid w:val="4C8891B2"/>
    <w:rsid w:val="4C8FE42D"/>
    <w:rsid w:val="4CB53DB2"/>
    <w:rsid w:val="4CB5BCA3"/>
    <w:rsid w:val="4CBB361E"/>
    <w:rsid w:val="4CBCA29D"/>
    <w:rsid w:val="4CBD4FDA"/>
    <w:rsid w:val="4CC37353"/>
    <w:rsid w:val="4CCFC7E0"/>
    <w:rsid w:val="4CDFDC45"/>
    <w:rsid w:val="4CE49CF3"/>
    <w:rsid w:val="4CE5D127"/>
    <w:rsid w:val="4CEA5F78"/>
    <w:rsid w:val="4D0301A0"/>
    <w:rsid w:val="4D081998"/>
    <w:rsid w:val="4D0D6BD5"/>
    <w:rsid w:val="4D1444C7"/>
    <w:rsid w:val="4D2D9E63"/>
    <w:rsid w:val="4D3ACEF9"/>
    <w:rsid w:val="4D3E7C4C"/>
    <w:rsid w:val="4D409C08"/>
    <w:rsid w:val="4D56C48C"/>
    <w:rsid w:val="4D5ACD4A"/>
    <w:rsid w:val="4D67CD8D"/>
    <w:rsid w:val="4D7612F5"/>
    <w:rsid w:val="4D7A4195"/>
    <w:rsid w:val="4D8F40A3"/>
    <w:rsid w:val="4D95AA6F"/>
    <w:rsid w:val="4DA679E8"/>
    <w:rsid w:val="4DA862B4"/>
    <w:rsid w:val="4DA8AAB5"/>
    <w:rsid w:val="4DBACC79"/>
    <w:rsid w:val="4DBFAB2D"/>
    <w:rsid w:val="4DD2A959"/>
    <w:rsid w:val="4DD6362F"/>
    <w:rsid w:val="4DD8437E"/>
    <w:rsid w:val="4DE73285"/>
    <w:rsid w:val="4DF1DBE5"/>
    <w:rsid w:val="4DF3314A"/>
    <w:rsid w:val="4DFCA6D4"/>
    <w:rsid w:val="4DFE1D01"/>
    <w:rsid w:val="4E13E090"/>
    <w:rsid w:val="4E244781"/>
    <w:rsid w:val="4E3191AA"/>
    <w:rsid w:val="4E48E1C3"/>
    <w:rsid w:val="4E4B7C11"/>
    <w:rsid w:val="4E4FD22F"/>
    <w:rsid w:val="4E544C3A"/>
    <w:rsid w:val="4E609659"/>
    <w:rsid w:val="4E7108FA"/>
    <w:rsid w:val="4E8FED96"/>
    <w:rsid w:val="4E966330"/>
    <w:rsid w:val="4EB767B6"/>
    <w:rsid w:val="4EB95F6D"/>
    <w:rsid w:val="4EE02ADD"/>
    <w:rsid w:val="4EE68281"/>
    <w:rsid w:val="4EFD8056"/>
    <w:rsid w:val="4F0E7EBF"/>
    <w:rsid w:val="4F16440C"/>
    <w:rsid w:val="4F16E61C"/>
    <w:rsid w:val="4F2B68E4"/>
    <w:rsid w:val="4F42B258"/>
    <w:rsid w:val="4F4593DB"/>
    <w:rsid w:val="4F4B3D1A"/>
    <w:rsid w:val="4F4F1F44"/>
    <w:rsid w:val="4F66F83A"/>
    <w:rsid w:val="4F781A88"/>
    <w:rsid w:val="4F7CFDEB"/>
    <w:rsid w:val="4F7FDBB8"/>
    <w:rsid w:val="4F831C0F"/>
    <w:rsid w:val="4F88C462"/>
    <w:rsid w:val="4F891B5A"/>
    <w:rsid w:val="4F89C8C3"/>
    <w:rsid w:val="4F97ACEC"/>
    <w:rsid w:val="4FA1F44C"/>
    <w:rsid w:val="4FA7FA61"/>
    <w:rsid w:val="4FACB475"/>
    <w:rsid w:val="4FBEC1B4"/>
    <w:rsid w:val="4FCD304D"/>
    <w:rsid w:val="4FD68850"/>
    <w:rsid w:val="4FE56547"/>
    <w:rsid w:val="4FE60273"/>
    <w:rsid w:val="4FF216E9"/>
    <w:rsid w:val="4FF34A44"/>
    <w:rsid w:val="5000D0A9"/>
    <w:rsid w:val="5006B357"/>
    <w:rsid w:val="5007CABD"/>
    <w:rsid w:val="500C1892"/>
    <w:rsid w:val="502133F7"/>
    <w:rsid w:val="502C6007"/>
    <w:rsid w:val="502D101F"/>
    <w:rsid w:val="5063EFF5"/>
    <w:rsid w:val="5099C300"/>
    <w:rsid w:val="50A6E6C8"/>
    <w:rsid w:val="50B0285A"/>
    <w:rsid w:val="50B43EEA"/>
    <w:rsid w:val="50B50C72"/>
    <w:rsid w:val="50BC216F"/>
    <w:rsid w:val="50C1FF8F"/>
    <w:rsid w:val="50C3943A"/>
    <w:rsid w:val="50C802C8"/>
    <w:rsid w:val="50DA451C"/>
    <w:rsid w:val="50E01239"/>
    <w:rsid w:val="50E57A77"/>
    <w:rsid w:val="50E76EB4"/>
    <w:rsid w:val="50E874B9"/>
    <w:rsid w:val="50FB8A0F"/>
    <w:rsid w:val="50FDD75E"/>
    <w:rsid w:val="510FE442"/>
    <w:rsid w:val="51172EBD"/>
    <w:rsid w:val="51194647"/>
    <w:rsid w:val="511947BE"/>
    <w:rsid w:val="5121C7A2"/>
    <w:rsid w:val="5133AC18"/>
    <w:rsid w:val="5148BBD8"/>
    <w:rsid w:val="5149D88B"/>
    <w:rsid w:val="514A8533"/>
    <w:rsid w:val="515EA94A"/>
    <w:rsid w:val="516FE873"/>
    <w:rsid w:val="5170A455"/>
    <w:rsid w:val="5178B1A5"/>
    <w:rsid w:val="517A8A19"/>
    <w:rsid w:val="5182C93F"/>
    <w:rsid w:val="5188BE85"/>
    <w:rsid w:val="519BAE1A"/>
    <w:rsid w:val="51A22E8B"/>
    <w:rsid w:val="51AD340C"/>
    <w:rsid w:val="51DCFB39"/>
    <w:rsid w:val="51DEF064"/>
    <w:rsid w:val="51E68717"/>
    <w:rsid w:val="51EC60A9"/>
    <w:rsid w:val="51EC71BB"/>
    <w:rsid w:val="51FB3FA6"/>
    <w:rsid w:val="51FFF327"/>
    <w:rsid w:val="520AEC38"/>
    <w:rsid w:val="5220D7EB"/>
    <w:rsid w:val="522C9B4F"/>
    <w:rsid w:val="522F0337"/>
    <w:rsid w:val="52327340"/>
    <w:rsid w:val="52339914"/>
    <w:rsid w:val="5266A789"/>
    <w:rsid w:val="526ECAE4"/>
    <w:rsid w:val="52807C8E"/>
    <w:rsid w:val="528B707D"/>
    <w:rsid w:val="52A8D7E5"/>
    <w:rsid w:val="52BBA3E4"/>
    <w:rsid w:val="52C503FE"/>
    <w:rsid w:val="52C82907"/>
    <w:rsid w:val="52F09FFF"/>
    <w:rsid w:val="52F1A7AF"/>
    <w:rsid w:val="5305144C"/>
    <w:rsid w:val="5324F752"/>
    <w:rsid w:val="532F79AA"/>
    <w:rsid w:val="53397C81"/>
    <w:rsid w:val="5343DD7F"/>
    <w:rsid w:val="536D558E"/>
    <w:rsid w:val="536F2921"/>
    <w:rsid w:val="537291B7"/>
    <w:rsid w:val="53790DD3"/>
    <w:rsid w:val="538AFBFB"/>
    <w:rsid w:val="538B8C5D"/>
    <w:rsid w:val="53942AE2"/>
    <w:rsid w:val="53950BDA"/>
    <w:rsid w:val="53977F78"/>
    <w:rsid w:val="53A1326B"/>
    <w:rsid w:val="53E01269"/>
    <w:rsid w:val="53E0D75A"/>
    <w:rsid w:val="53FC50CC"/>
    <w:rsid w:val="54028E15"/>
    <w:rsid w:val="54030805"/>
    <w:rsid w:val="54155C91"/>
    <w:rsid w:val="541B41B2"/>
    <w:rsid w:val="541FF663"/>
    <w:rsid w:val="542C9586"/>
    <w:rsid w:val="543A49A6"/>
    <w:rsid w:val="543C0C14"/>
    <w:rsid w:val="543F27A6"/>
    <w:rsid w:val="5465C13A"/>
    <w:rsid w:val="546D491E"/>
    <w:rsid w:val="546D8693"/>
    <w:rsid w:val="547657DD"/>
    <w:rsid w:val="5478B023"/>
    <w:rsid w:val="548F44F3"/>
    <w:rsid w:val="54A22CB0"/>
    <w:rsid w:val="54AF12B3"/>
    <w:rsid w:val="54B07167"/>
    <w:rsid w:val="54BA760C"/>
    <w:rsid w:val="54BD57A1"/>
    <w:rsid w:val="54D661D8"/>
    <w:rsid w:val="54DD0A04"/>
    <w:rsid w:val="54DF4C8E"/>
    <w:rsid w:val="54E52742"/>
    <w:rsid w:val="54EEA85F"/>
    <w:rsid w:val="54FA8566"/>
    <w:rsid w:val="55050197"/>
    <w:rsid w:val="550A38EA"/>
    <w:rsid w:val="5516152F"/>
    <w:rsid w:val="553258F7"/>
    <w:rsid w:val="5539ED12"/>
    <w:rsid w:val="553B145B"/>
    <w:rsid w:val="5543C067"/>
    <w:rsid w:val="554815CC"/>
    <w:rsid w:val="554F15AE"/>
    <w:rsid w:val="55507DE2"/>
    <w:rsid w:val="55584AA5"/>
    <w:rsid w:val="555EB662"/>
    <w:rsid w:val="5566D920"/>
    <w:rsid w:val="55743544"/>
    <w:rsid w:val="55769324"/>
    <w:rsid w:val="557FADD0"/>
    <w:rsid w:val="5583B4A7"/>
    <w:rsid w:val="55910983"/>
    <w:rsid w:val="5599B1B9"/>
    <w:rsid w:val="559EDC72"/>
    <w:rsid w:val="55A703F7"/>
    <w:rsid w:val="55B833C1"/>
    <w:rsid w:val="55BB2839"/>
    <w:rsid w:val="55C3D8EC"/>
    <w:rsid w:val="55C53579"/>
    <w:rsid w:val="55C7F720"/>
    <w:rsid w:val="55CC1FEB"/>
    <w:rsid w:val="55CD5873"/>
    <w:rsid w:val="55D08742"/>
    <w:rsid w:val="55D30B1A"/>
    <w:rsid w:val="55DBC1EE"/>
    <w:rsid w:val="55F2DBE0"/>
    <w:rsid w:val="55F8BE21"/>
    <w:rsid w:val="55FA677A"/>
    <w:rsid w:val="55FF2921"/>
    <w:rsid w:val="56010FA8"/>
    <w:rsid w:val="56026DA2"/>
    <w:rsid w:val="56062522"/>
    <w:rsid w:val="5617228E"/>
    <w:rsid w:val="562659AA"/>
    <w:rsid w:val="56375A60"/>
    <w:rsid w:val="564D63C4"/>
    <w:rsid w:val="564E81C5"/>
    <w:rsid w:val="565A57EF"/>
    <w:rsid w:val="565C197D"/>
    <w:rsid w:val="5667F837"/>
    <w:rsid w:val="56689B7D"/>
    <w:rsid w:val="5690D1B4"/>
    <w:rsid w:val="56996C10"/>
    <w:rsid w:val="56A26B74"/>
    <w:rsid w:val="56B38F65"/>
    <w:rsid w:val="56BCC13B"/>
    <w:rsid w:val="56CCEA61"/>
    <w:rsid w:val="56D37E84"/>
    <w:rsid w:val="56DABD2E"/>
    <w:rsid w:val="56F27740"/>
    <w:rsid w:val="572B47BC"/>
    <w:rsid w:val="5731C67F"/>
    <w:rsid w:val="5736CBB4"/>
    <w:rsid w:val="57377D63"/>
    <w:rsid w:val="573A88E6"/>
    <w:rsid w:val="573DD752"/>
    <w:rsid w:val="5759F829"/>
    <w:rsid w:val="575ADCA5"/>
    <w:rsid w:val="577299B4"/>
    <w:rsid w:val="5775C14F"/>
    <w:rsid w:val="577640F9"/>
    <w:rsid w:val="579D42EC"/>
    <w:rsid w:val="579E1A51"/>
    <w:rsid w:val="57B720A4"/>
    <w:rsid w:val="57B82886"/>
    <w:rsid w:val="57BDDF6C"/>
    <w:rsid w:val="57CF5867"/>
    <w:rsid w:val="57CF8A7D"/>
    <w:rsid w:val="580314D6"/>
    <w:rsid w:val="582D8B85"/>
    <w:rsid w:val="58312E28"/>
    <w:rsid w:val="58403D26"/>
    <w:rsid w:val="584D9A59"/>
    <w:rsid w:val="585BB33F"/>
    <w:rsid w:val="58672662"/>
    <w:rsid w:val="5871A682"/>
    <w:rsid w:val="58728A8B"/>
    <w:rsid w:val="5877E55E"/>
    <w:rsid w:val="5878D173"/>
    <w:rsid w:val="587AC02B"/>
    <w:rsid w:val="5889493F"/>
    <w:rsid w:val="58923737"/>
    <w:rsid w:val="58AA5F2B"/>
    <w:rsid w:val="58B1C3EB"/>
    <w:rsid w:val="58BB475C"/>
    <w:rsid w:val="58CC8058"/>
    <w:rsid w:val="58DC8AFD"/>
    <w:rsid w:val="58F9E572"/>
    <w:rsid w:val="59080E6D"/>
    <w:rsid w:val="590D4725"/>
    <w:rsid w:val="590DBFC9"/>
    <w:rsid w:val="59132659"/>
    <w:rsid w:val="591C0776"/>
    <w:rsid w:val="592599A6"/>
    <w:rsid w:val="592FB23B"/>
    <w:rsid w:val="59307A1B"/>
    <w:rsid w:val="59326D4C"/>
    <w:rsid w:val="5933216A"/>
    <w:rsid w:val="59458452"/>
    <w:rsid w:val="594E6943"/>
    <w:rsid w:val="594F217E"/>
    <w:rsid w:val="5950081A"/>
    <w:rsid w:val="59665DFE"/>
    <w:rsid w:val="596FA986"/>
    <w:rsid w:val="597565BB"/>
    <w:rsid w:val="597B8CBA"/>
    <w:rsid w:val="59811F1F"/>
    <w:rsid w:val="598BDFA7"/>
    <w:rsid w:val="59915C61"/>
    <w:rsid w:val="59ACF7CE"/>
    <w:rsid w:val="59BF67CE"/>
    <w:rsid w:val="59D004F4"/>
    <w:rsid w:val="59D6280C"/>
    <w:rsid w:val="59E5ECA7"/>
    <w:rsid w:val="59E692F5"/>
    <w:rsid w:val="59E70F6D"/>
    <w:rsid w:val="59E71CEB"/>
    <w:rsid w:val="59EFDD5D"/>
    <w:rsid w:val="59F32D2B"/>
    <w:rsid w:val="5A05C3E2"/>
    <w:rsid w:val="5A1443A6"/>
    <w:rsid w:val="5A184F3D"/>
    <w:rsid w:val="5A197A74"/>
    <w:rsid w:val="5A2B07AA"/>
    <w:rsid w:val="5A73C99F"/>
    <w:rsid w:val="5A7CBFBF"/>
    <w:rsid w:val="5A81B074"/>
    <w:rsid w:val="5A8F1AE2"/>
    <w:rsid w:val="5AA70FB0"/>
    <w:rsid w:val="5AE3EF6D"/>
    <w:rsid w:val="5AE5013C"/>
    <w:rsid w:val="5AED29E0"/>
    <w:rsid w:val="5AF28C9A"/>
    <w:rsid w:val="5AF73486"/>
    <w:rsid w:val="5AFC374E"/>
    <w:rsid w:val="5B073692"/>
    <w:rsid w:val="5B13DD27"/>
    <w:rsid w:val="5B3365C0"/>
    <w:rsid w:val="5B60B609"/>
    <w:rsid w:val="5B64AF0D"/>
    <w:rsid w:val="5B6F8D80"/>
    <w:rsid w:val="5B798457"/>
    <w:rsid w:val="5B7E9270"/>
    <w:rsid w:val="5B94884C"/>
    <w:rsid w:val="5B964EB2"/>
    <w:rsid w:val="5BA60C80"/>
    <w:rsid w:val="5BA8AEDD"/>
    <w:rsid w:val="5BBCB4DE"/>
    <w:rsid w:val="5BD0B483"/>
    <w:rsid w:val="5BD42EC5"/>
    <w:rsid w:val="5BE6DAA7"/>
    <w:rsid w:val="5BEB088E"/>
    <w:rsid w:val="5BF1DAA7"/>
    <w:rsid w:val="5BFE849F"/>
    <w:rsid w:val="5C0B8183"/>
    <w:rsid w:val="5C11149B"/>
    <w:rsid w:val="5C1806A3"/>
    <w:rsid w:val="5C395672"/>
    <w:rsid w:val="5C3BC750"/>
    <w:rsid w:val="5C53E184"/>
    <w:rsid w:val="5C573B81"/>
    <w:rsid w:val="5C6761BA"/>
    <w:rsid w:val="5C765842"/>
    <w:rsid w:val="5C77D05F"/>
    <w:rsid w:val="5C9287FA"/>
    <w:rsid w:val="5C9ECDD2"/>
    <w:rsid w:val="5CA4A088"/>
    <w:rsid w:val="5CA5BD2B"/>
    <w:rsid w:val="5CA63403"/>
    <w:rsid w:val="5CBBCC6E"/>
    <w:rsid w:val="5CBEA82A"/>
    <w:rsid w:val="5CC5B94F"/>
    <w:rsid w:val="5CCB982C"/>
    <w:rsid w:val="5CD08507"/>
    <w:rsid w:val="5CDDF166"/>
    <w:rsid w:val="5CE304F9"/>
    <w:rsid w:val="5CE9CB3F"/>
    <w:rsid w:val="5CEA1507"/>
    <w:rsid w:val="5CF1187D"/>
    <w:rsid w:val="5CF5630E"/>
    <w:rsid w:val="5CF60638"/>
    <w:rsid w:val="5D007C09"/>
    <w:rsid w:val="5D02F682"/>
    <w:rsid w:val="5D060787"/>
    <w:rsid w:val="5D1C9F31"/>
    <w:rsid w:val="5D231B84"/>
    <w:rsid w:val="5D2759D8"/>
    <w:rsid w:val="5D2B2E15"/>
    <w:rsid w:val="5D34A338"/>
    <w:rsid w:val="5D37CA66"/>
    <w:rsid w:val="5D3B6A10"/>
    <w:rsid w:val="5D461301"/>
    <w:rsid w:val="5D528EED"/>
    <w:rsid w:val="5D5C4C45"/>
    <w:rsid w:val="5D670922"/>
    <w:rsid w:val="5D6D544F"/>
    <w:rsid w:val="5D823455"/>
    <w:rsid w:val="5D837FEB"/>
    <w:rsid w:val="5DA1630B"/>
    <w:rsid w:val="5DC1CB1E"/>
    <w:rsid w:val="5DC85A34"/>
    <w:rsid w:val="5DCA79B0"/>
    <w:rsid w:val="5DEAC548"/>
    <w:rsid w:val="5E09D1DE"/>
    <w:rsid w:val="5E0FCAAE"/>
    <w:rsid w:val="5E22F803"/>
    <w:rsid w:val="5E2EFAC7"/>
    <w:rsid w:val="5E3E8E98"/>
    <w:rsid w:val="5E3F6CE0"/>
    <w:rsid w:val="5E4BD4ED"/>
    <w:rsid w:val="5E52ACB9"/>
    <w:rsid w:val="5E56B668"/>
    <w:rsid w:val="5E5B57FA"/>
    <w:rsid w:val="5E96DE10"/>
    <w:rsid w:val="5EAC6624"/>
    <w:rsid w:val="5EBA3E1B"/>
    <w:rsid w:val="5EC1C878"/>
    <w:rsid w:val="5EC72560"/>
    <w:rsid w:val="5EC7ABB2"/>
    <w:rsid w:val="5ECC778A"/>
    <w:rsid w:val="5ECC8DB5"/>
    <w:rsid w:val="5EE56234"/>
    <w:rsid w:val="5EF9F45C"/>
    <w:rsid w:val="5EFEA284"/>
    <w:rsid w:val="5F14DEA1"/>
    <w:rsid w:val="5F1E63D9"/>
    <w:rsid w:val="5F29D67A"/>
    <w:rsid w:val="5F2D2BD7"/>
    <w:rsid w:val="5F48B666"/>
    <w:rsid w:val="5F64DAAD"/>
    <w:rsid w:val="5F676682"/>
    <w:rsid w:val="5F681079"/>
    <w:rsid w:val="5F74C5C2"/>
    <w:rsid w:val="5F79A55D"/>
    <w:rsid w:val="5F8608C9"/>
    <w:rsid w:val="5F952EBE"/>
    <w:rsid w:val="5F985A2B"/>
    <w:rsid w:val="5F9C556B"/>
    <w:rsid w:val="5FA9E76B"/>
    <w:rsid w:val="5FB6A42E"/>
    <w:rsid w:val="5FC3AF7A"/>
    <w:rsid w:val="5FC48CF5"/>
    <w:rsid w:val="5FC846F1"/>
    <w:rsid w:val="5FCD5B31"/>
    <w:rsid w:val="5FD1C9A3"/>
    <w:rsid w:val="5FE4E2C7"/>
    <w:rsid w:val="5FE7C9E5"/>
    <w:rsid w:val="5FFA1F29"/>
    <w:rsid w:val="600199C6"/>
    <w:rsid w:val="60149F60"/>
    <w:rsid w:val="60286AA8"/>
    <w:rsid w:val="60292734"/>
    <w:rsid w:val="6029B583"/>
    <w:rsid w:val="6035D862"/>
    <w:rsid w:val="6037775F"/>
    <w:rsid w:val="604798A5"/>
    <w:rsid w:val="606A442F"/>
    <w:rsid w:val="606B6C8E"/>
    <w:rsid w:val="607017E1"/>
    <w:rsid w:val="60721FB1"/>
    <w:rsid w:val="60722734"/>
    <w:rsid w:val="607EFD35"/>
    <w:rsid w:val="60A406B9"/>
    <w:rsid w:val="60AC3C40"/>
    <w:rsid w:val="60B39153"/>
    <w:rsid w:val="60BD3A77"/>
    <w:rsid w:val="60C5DB91"/>
    <w:rsid w:val="60D28D3A"/>
    <w:rsid w:val="60D918FF"/>
    <w:rsid w:val="60DE4430"/>
    <w:rsid w:val="60E42CB8"/>
    <w:rsid w:val="60E6788A"/>
    <w:rsid w:val="60E8C03F"/>
    <w:rsid w:val="60EA97CD"/>
    <w:rsid w:val="60EB455D"/>
    <w:rsid w:val="60F107EB"/>
    <w:rsid w:val="60F2E9E5"/>
    <w:rsid w:val="61320D4C"/>
    <w:rsid w:val="61377263"/>
    <w:rsid w:val="613DD76D"/>
    <w:rsid w:val="613E4FF5"/>
    <w:rsid w:val="6144D53F"/>
    <w:rsid w:val="614B3F59"/>
    <w:rsid w:val="614E3CE0"/>
    <w:rsid w:val="6158DEA9"/>
    <w:rsid w:val="615E417E"/>
    <w:rsid w:val="616318E9"/>
    <w:rsid w:val="61707494"/>
    <w:rsid w:val="617E4A19"/>
    <w:rsid w:val="617F0A98"/>
    <w:rsid w:val="61817D71"/>
    <w:rsid w:val="618A6A21"/>
    <w:rsid w:val="618D5DAE"/>
    <w:rsid w:val="619352CB"/>
    <w:rsid w:val="61A0B34F"/>
    <w:rsid w:val="61A44250"/>
    <w:rsid w:val="61A82FA2"/>
    <w:rsid w:val="61B2F49E"/>
    <w:rsid w:val="61D0FF3F"/>
    <w:rsid w:val="61DA5823"/>
    <w:rsid w:val="61DCD2A7"/>
    <w:rsid w:val="61E2D615"/>
    <w:rsid w:val="61EC0334"/>
    <w:rsid w:val="61FE9ED1"/>
    <w:rsid w:val="6201C5FF"/>
    <w:rsid w:val="6213E4C1"/>
    <w:rsid w:val="623785E8"/>
    <w:rsid w:val="623AA38E"/>
    <w:rsid w:val="6247B75B"/>
    <w:rsid w:val="624942C7"/>
    <w:rsid w:val="6252ED82"/>
    <w:rsid w:val="62591C1D"/>
    <w:rsid w:val="625DAEA9"/>
    <w:rsid w:val="628E7662"/>
    <w:rsid w:val="62963BB1"/>
    <w:rsid w:val="629695C2"/>
    <w:rsid w:val="629EB0C0"/>
    <w:rsid w:val="62A80E00"/>
    <w:rsid w:val="62B1AA4F"/>
    <w:rsid w:val="62C0D242"/>
    <w:rsid w:val="62C5CE26"/>
    <w:rsid w:val="62E829D2"/>
    <w:rsid w:val="62F5C519"/>
    <w:rsid w:val="63135298"/>
    <w:rsid w:val="6336DDE1"/>
    <w:rsid w:val="63371B4A"/>
    <w:rsid w:val="6351AF05"/>
    <w:rsid w:val="6357D5BE"/>
    <w:rsid w:val="635CFDD1"/>
    <w:rsid w:val="636AEDA4"/>
    <w:rsid w:val="637D7E2A"/>
    <w:rsid w:val="63B78F64"/>
    <w:rsid w:val="63CA4AA8"/>
    <w:rsid w:val="63CF9551"/>
    <w:rsid w:val="63D12575"/>
    <w:rsid w:val="63D48BB2"/>
    <w:rsid w:val="63DEA7DC"/>
    <w:rsid w:val="63DF82C7"/>
    <w:rsid w:val="63EC4154"/>
    <w:rsid w:val="63F87FE0"/>
    <w:rsid w:val="63FCC62D"/>
    <w:rsid w:val="63FD27BD"/>
    <w:rsid w:val="6402C6DB"/>
    <w:rsid w:val="6405C940"/>
    <w:rsid w:val="642C29D1"/>
    <w:rsid w:val="643E1BCB"/>
    <w:rsid w:val="6446C420"/>
    <w:rsid w:val="644CD061"/>
    <w:rsid w:val="644DD22B"/>
    <w:rsid w:val="64513271"/>
    <w:rsid w:val="6475BDE6"/>
    <w:rsid w:val="647BED50"/>
    <w:rsid w:val="649D5818"/>
    <w:rsid w:val="64AC0C8F"/>
    <w:rsid w:val="64B3CF01"/>
    <w:rsid w:val="64B6A757"/>
    <w:rsid w:val="64B802F9"/>
    <w:rsid w:val="64CA3B67"/>
    <w:rsid w:val="64CBAFEF"/>
    <w:rsid w:val="64D67475"/>
    <w:rsid w:val="64DED861"/>
    <w:rsid w:val="6512905D"/>
    <w:rsid w:val="6512FF9C"/>
    <w:rsid w:val="65146A60"/>
    <w:rsid w:val="655C07DA"/>
    <w:rsid w:val="65679221"/>
    <w:rsid w:val="659719AF"/>
    <w:rsid w:val="6597544E"/>
    <w:rsid w:val="65B4076E"/>
    <w:rsid w:val="65C32D61"/>
    <w:rsid w:val="65C5F661"/>
    <w:rsid w:val="65E11063"/>
    <w:rsid w:val="65F05646"/>
    <w:rsid w:val="65F6CE4E"/>
    <w:rsid w:val="6600C3AA"/>
    <w:rsid w:val="66063C25"/>
    <w:rsid w:val="6609B496"/>
    <w:rsid w:val="660CC8E8"/>
    <w:rsid w:val="6614A460"/>
    <w:rsid w:val="6625E9C4"/>
    <w:rsid w:val="662816C2"/>
    <w:rsid w:val="663BC6EC"/>
    <w:rsid w:val="664329E8"/>
    <w:rsid w:val="66434013"/>
    <w:rsid w:val="66526519"/>
    <w:rsid w:val="6659AC64"/>
    <w:rsid w:val="66616719"/>
    <w:rsid w:val="66655B50"/>
    <w:rsid w:val="6672F584"/>
    <w:rsid w:val="668D2561"/>
    <w:rsid w:val="6695D3FE"/>
    <w:rsid w:val="669854F7"/>
    <w:rsid w:val="66A8BBA3"/>
    <w:rsid w:val="66AEF84D"/>
    <w:rsid w:val="66AFE5B7"/>
    <w:rsid w:val="66B51EC8"/>
    <w:rsid w:val="66CE9CBF"/>
    <w:rsid w:val="66CF7483"/>
    <w:rsid w:val="66F5012F"/>
    <w:rsid w:val="670157FB"/>
    <w:rsid w:val="67042DDD"/>
    <w:rsid w:val="670868EC"/>
    <w:rsid w:val="670DE0D0"/>
    <w:rsid w:val="67192277"/>
    <w:rsid w:val="671CB1EC"/>
    <w:rsid w:val="672CADAC"/>
    <w:rsid w:val="6743D2BF"/>
    <w:rsid w:val="674AD926"/>
    <w:rsid w:val="674C23C1"/>
    <w:rsid w:val="6751ECB1"/>
    <w:rsid w:val="67595F37"/>
    <w:rsid w:val="675AA7A2"/>
    <w:rsid w:val="6770BAA1"/>
    <w:rsid w:val="6784D999"/>
    <w:rsid w:val="678A5590"/>
    <w:rsid w:val="678DFF1E"/>
    <w:rsid w:val="679CB4CE"/>
    <w:rsid w:val="67A42687"/>
    <w:rsid w:val="67BA3E31"/>
    <w:rsid w:val="67BD8D47"/>
    <w:rsid w:val="67C6B959"/>
    <w:rsid w:val="67CBD2B9"/>
    <w:rsid w:val="67E06181"/>
    <w:rsid w:val="67E19BDD"/>
    <w:rsid w:val="67FE7102"/>
    <w:rsid w:val="680B888C"/>
    <w:rsid w:val="680D118B"/>
    <w:rsid w:val="680D6F77"/>
    <w:rsid w:val="680F244D"/>
    <w:rsid w:val="6813D08C"/>
    <w:rsid w:val="681462BA"/>
    <w:rsid w:val="681DDF5F"/>
    <w:rsid w:val="68219288"/>
    <w:rsid w:val="68259D5D"/>
    <w:rsid w:val="682EC308"/>
    <w:rsid w:val="6831EFAF"/>
    <w:rsid w:val="683591B1"/>
    <w:rsid w:val="68420325"/>
    <w:rsid w:val="6848E479"/>
    <w:rsid w:val="68582A9D"/>
    <w:rsid w:val="6858AEAC"/>
    <w:rsid w:val="685F51DA"/>
    <w:rsid w:val="6862B671"/>
    <w:rsid w:val="6869B0AF"/>
    <w:rsid w:val="6874301B"/>
    <w:rsid w:val="68781F89"/>
    <w:rsid w:val="6886F909"/>
    <w:rsid w:val="688BCBB9"/>
    <w:rsid w:val="689AC8A7"/>
    <w:rsid w:val="689E8650"/>
    <w:rsid w:val="68ADB5C8"/>
    <w:rsid w:val="68B3E56F"/>
    <w:rsid w:val="68C5AA6E"/>
    <w:rsid w:val="68C8D873"/>
    <w:rsid w:val="68E088E2"/>
    <w:rsid w:val="6920DB39"/>
    <w:rsid w:val="692B1160"/>
    <w:rsid w:val="6939AF66"/>
    <w:rsid w:val="694238F9"/>
    <w:rsid w:val="6945A9E1"/>
    <w:rsid w:val="69477FC5"/>
    <w:rsid w:val="69583ED1"/>
    <w:rsid w:val="695B00BA"/>
    <w:rsid w:val="69774339"/>
    <w:rsid w:val="698B81DC"/>
    <w:rsid w:val="698CF708"/>
    <w:rsid w:val="69A3B006"/>
    <w:rsid w:val="69BF8542"/>
    <w:rsid w:val="69C542A1"/>
    <w:rsid w:val="69C5A0B6"/>
    <w:rsid w:val="69CF24F5"/>
    <w:rsid w:val="69E3AC67"/>
    <w:rsid w:val="69E51C1F"/>
    <w:rsid w:val="69E6CACE"/>
    <w:rsid w:val="69F1F3A3"/>
    <w:rsid w:val="6A04A356"/>
    <w:rsid w:val="6A3D9F9D"/>
    <w:rsid w:val="6A48F0C1"/>
    <w:rsid w:val="6A4E0DD7"/>
    <w:rsid w:val="6A6AB3ED"/>
    <w:rsid w:val="6A70EB7B"/>
    <w:rsid w:val="6A72A652"/>
    <w:rsid w:val="6A79DC69"/>
    <w:rsid w:val="6A7EC4E7"/>
    <w:rsid w:val="6A8C663E"/>
    <w:rsid w:val="6A90AA37"/>
    <w:rsid w:val="6A9F3500"/>
    <w:rsid w:val="6AB962AE"/>
    <w:rsid w:val="6ABB5BE7"/>
    <w:rsid w:val="6ABD6023"/>
    <w:rsid w:val="6AC589AC"/>
    <w:rsid w:val="6AC86CF6"/>
    <w:rsid w:val="6ACD68DE"/>
    <w:rsid w:val="6AD39D53"/>
    <w:rsid w:val="6ADF1B74"/>
    <w:rsid w:val="6AE10EAE"/>
    <w:rsid w:val="6AE911A4"/>
    <w:rsid w:val="6AEDF3A7"/>
    <w:rsid w:val="6AF49766"/>
    <w:rsid w:val="6AFDBFCF"/>
    <w:rsid w:val="6B0A72B2"/>
    <w:rsid w:val="6B0F4A1D"/>
    <w:rsid w:val="6B15C725"/>
    <w:rsid w:val="6B296023"/>
    <w:rsid w:val="6B57BE24"/>
    <w:rsid w:val="6B6AF556"/>
    <w:rsid w:val="6B7D4198"/>
    <w:rsid w:val="6B7FF660"/>
    <w:rsid w:val="6B81875F"/>
    <w:rsid w:val="6B870EFD"/>
    <w:rsid w:val="6B8BE036"/>
    <w:rsid w:val="6B904F6E"/>
    <w:rsid w:val="6B906422"/>
    <w:rsid w:val="6B9334B1"/>
    <w:rsid w:val="6BA5AC27"/>
    <w:rsid w:val="6BAF8B0E"/>
    <w:rsid w:val="6BB0E469"/>
    <w:rsid w:val="6BD7F199"/>
    <w:rsid w:val="6BEEFFFA"/>
    <w:rsid w:val="6BF313C8"/>
    <w:rsid w:val="6BF7C298"/>
    <w:rsid w:val="6BF97930"/>
    <w:rsid w:val="6BFB404D"/>
    <w:rsid w:val="6BFE05E5"/>
    <w:rsid w:val="6C02AF97"/>
    <w:rsid w:val="6C332208"/>
    <w:rsid w:val="6C4960A0"/>
    <w:rsid w:val="6C4A29EE"/>
    <w:rsid w:val="6C6D3409"/>
    <w:rsid w:val="6C6DCB6A"/>
    <w:rsid w:val="6C714A8F"/>
    <w:rsid w:val="6C9053CA"/>
    <w:rsid w:val="6C999AC6"/>
    <w:rsid w:val="6C99C557"/>
    <w:rsid w:val="6C9EA6DF"/>
    <w:rsid w:val="6CA1CEFA"/>
    <w:rsid w:val="6CCF5D07"/>
    <w:rsid w:val="6CD16377"/>
    <w:rsid w:val="6CE847FB"/>
    <w:rsid w:val="6CF1A0DF"/>
    <w:rsid w:val="6CF555B6"/>
    <w:rsid w:val="6D075D2F"/>
    <w:rsid w:val="6D13ABD1"/>
    <w:rsid w:val="6D20858C"/>
    <w:rsid w:val="6D2C1FCF"/>
    <w:rsid w:val="6D2FA8E8"/>
    <w:rsid w:val="6D3ADF28"/>
    <w:rsid w:val="6D44BD83"/>
    <w:rsid w:val="6D4AC3F7"/>
    <w:rsid w:val="6D4DBC08"/>
    <w:rsid w:val="6D5B353A"/>
    <w:rsid w:val="6D615FC0"/>
    <w:rsid w:val="6D69BC6E"/>
    <w:rsid w:val="6D82E4E2"/>
    <w:rsid w:val="6D894857"/>
    <w:rsid w:val="6D987D36"/>
    <w:rsid w:val="6DAEED75"/>
    <w:rsid w:val="6DB9D383"/>
    <w:rsid w:val="6DDB9ECA"/>
    <w:rsid w:val="6DDEC79D"/>
    <w:rsid w:val="6DE3AC27"/>
    <w:rsid w:val="6DE65094"/>
    <w:rsid w:val="6DED9C2B"/>
    <w:rsid w:val="6DEEA79D"/>
    <w:rsid w:val="6DFA9F9E"/>
    <w:rsid w:val="6E000225"/>
    <w:rsid w:val="6E06C67B"/>
    <w:rsid w:val="6E07283E"/>
    <w:rsid w:val="6E162AD2"/>
    <w:rsid w:val="6E1706A4"/>
    <w:rsid w:val="6E482BA3"/>
    <w:rsid w:val="6E5C65A1"/>
    <w:rsid w:val="6E6DBD1E"/>
    <w:rsid w:val="6E7471E5"/>
    <w:rsid w:val="6EA783C6"/>
    <w:rsid w:val="6EBFE60E"/>
    <w:rsid w:val="6ED3333C"/>
    <w:rsid w:val="6ED754CA"/>
    <w:rsid w:val="6EEC31A1"/>
    <w:rsid w:val="6F1DD04C"/>
    <w:rsid w:val="6F1EBDE1"/>
    <w:rsid w:val="6F1ED431"/>
    <w:rsid w:val="6F24DCAA"/>
    <w:rsid w:val="6F35D242"/>
    <w:rsid w:val="6F53F072"/>
    <w:rsid w:val="6F5AB573"/>
    <w:rsid w:val="6F64FC71"/>
    <w:rsid w:val="6F7A309E"/>
    <w:rsid w:val="6F83B1DB"/>
    <w:rsid w:val="6F8BE345"/>
    <w:rsid w:val="6F9043FB"/>
    <w:rsid w:val="6F9417D1"/>
    <w:rsid w:val="6FAEC8B3"/>
    <w:rsid w:val="6FC15A32"/>
    <w:rsid w:val="6FC9F99D"/>
    <w:rsid w:val="6FCA8A84"/>
    <w:rsid w:val="6FCB5AD6"/>
    <w:rsid w:val="6FDA9F4C"/>
    <w:rsid w:val="6FDDF17E"/>
    <w:rsid w:val="6FFFB34E"/>
    <w:rsid w:val="7000D663"/>
    <w:rsid w:val="701B40D2"/>
    <w:rsid w:val="702D2EC5"/>
    <w:rsid w:val="7054DE5D"/>
    <w:rsid w:val="705F2F62"/>
    <w:rsid w:val="706D9697"/>
    <w:rsid w:val="7084F0FF"/>
    <w:rsid w:val="709D1CF3"/>
    <w:rsid w:val="709F7DE8"/>
    <w:rsid w:val="70A67896"/>
    <w:rsid w:val="70B39671"/>
    <w:rsid w:val="70B834D9"/>
    <w:rsid w:val="70C6D2CE"/>
    <w:rsid w:val="70C80C56"/>
    <w:rsid w:val="70D193EC"/>
    <w:rsid w:val="70DA72CC"/>
    <w:rsid w:val="70E34B8A"/>
    <w:rsid w:val="70EB68B9"/>
    <w:rsid w:val="7104FCF3"/>
    <w:rsid w:val="7105C362"/>
    <w:rsid w:val="710A84A2"/>
    <w:rsid w:val="7115711D"/>
    <w:rsid w:val="7127F0B0"/>
    <w:rsid w:val="712D81B3"/>
    <w:rsid w:val="712F6B9B"/>
    <w:rsid w:val="71423553"/>
    <w:rsid w:val="71481C07"/>
    <w:rsid w:val="7154E2FE"/>
    <w:rsid w:val="71559D53"/>
    <w:rsid w:val="71594F47"/>
    <w:rsid w:val="715B7A56"/>
    <w:rsid w:val="715DF66C"/>
    <w:rsid w:val="7171FF19"/>
    <w:rsid w:val="71795193"/>
    <w:rsid w:val="7183FCC3"/>
    <w:rsid w:val="7185DEF6"/>
    <w:rsid w:val="718BE445"/>
    <w:rsid w:val="71B46EA3"/>
    <w:rsid w:val="71B77E40"/>
    <w:rsid w:val="71BA5422"/>
    <w:rsid w:val="71BB0500"/>
    <w:rsid w:val="71BD7647"/>
    <w:rsid w:val="71C945B5"/>
    <w:rsid w:val="71CA3EC2"/>
    <w:rsid w:val="71F9EEF8"/>
    <w:rsid w:val="72109CF8"/>
    <w:rsid w:val="72118542"/>
    <w:rsid w:val="7211F71E"/>
    <w:rsid w:val="7214E6A3"/>
    <w:rsid w:val="721577CB"/>
    <w:rsid w:val="721ECC92"/>
    <w:rsid w:val="722A2F7C"/>
    <w:rsid w:val="723AAEEC"/>
    <w:rsid w:val="723C3873"/>
    <w:rsid w:val="725B76B2"/>
    <w:rsid w:val="72650012"/>
    <w:rsid w:val="72660D5F"/>
    <w:rsid w:val="72757C48"/>
    <w:rsid w:val="728D5F75"/>
    <w:rsid w:val="72993097"/>
    <w:rsid w:val="72A9B34A"/>
    <w:rsid w:val="72ABEF41"/>
    <w:rsid w:val="72BED3CF"/>
    <w:rsid w:val="72D00EB1"/>
    <w:rsid w:val="72EC9BA5"/>
    <w:rsid w:val="72F7C589"/>
    <w:rsid w:val="72F953BF"/>
    <w:rsid w:val="72FBE642"/>
    <w:rsid w:val="72FCB64B"/>
    <w:rsid w:val="730BEA25"/>
    <w:rsid w:val="730FC571"/>
    <w:rsid w:val="731300DB"/>
    <w:rsid w:val="731DEBF4"/>
    <w:rsid w:val="73207BEB"/>
    <w:rsid w:val="7321ACF0"/>
    <w:rsid w:val="732BD01D"/>
    <w:rsid w:val="732D8916"/>
    <w:rsid w:val="73308921"/>
    <w:rsid w:val="7336F518"/>
    <w:rsid w:val="73490E78"/>
    <w:rsid w:val="736CC07C"/>
    <w:rsid w:val="736E757A"/>
    <w:rsid w:val="73772B53"/>
    <w:rsid w:val="738EAD69"/>
    <w:rsid w:val="739030AD"/>
    <w:rsid w:val="739181E3"/>
    <w:rsid w:val="73A3D0A8"/>
    <w:rsid w:val="73AB1639"/>
    <w:rsid w:val="73BC91C1"/>
    <w:rsid w:val="73D83B46"/>
    <w:rsid w:val="73D9E803"/>
    <w:rsid w:val="73F0EC87"/>
    <w:rsid w:val="73F48334"/>
    <w:rsid w:val="73FEE2CF"/>
    <w:rsid w:val="740F9FB9"/>
    <w:rsid w:val="74139B55"/>
    <w:rsid w:val="7414C007"/>
    <w:rsid w:val="741773B4"/>
    <w:rsid w:val="742977D9"/>
    <w:rsid w:val="743BFF3F"/>
    <w:rsid w:val="74407A67"/>
    <w:rsid w:val="74433E1E"/>
    <w:rsid w:val="745043A5"/>
    <w:rsid w:val="7450E9DA"/>
    <w:rsid w:val="745457C0"/>
    <w:rsid w:val="7456BE57"/>
    <w:rsid w:val="74628B6E"/>
    <w:rsid w:val="746DA296"/>
    <w:rsid w:val="74729215"/>
    <w:rsid w:val="74829339"/>
    <w:rsid w:val="7484FA84"/>
    <w:rsid w:val="748D10A0"/>
    <w:rsid w:val="74917E55"/>
    <w:rsid w:val="7493CF68"/>
    <w:rsid w:val="74951EE7"/>
    <w:rsid w:val="7497EC08"/>
    <w:rsid w:val="749A44CE"/>
    <w:rsid w:val="749A6249"/>
    <w:rsid w:val="74AE53F5"/>
    <w:rsid w:val="74B72EF5"/>
    <w:rsid w:val="74BDB020"/>
    <w:rsid w:val="74C4C8C7"/>
    <w:rsid w:val="74CAD244"/>
    <w:rsid w:val="74D14B55"/>
    <w:rsid w:val="74D648EB"/>
    <w:rsid w:val="74DA962A"/>
    <w:rsid w:val="74DF0734"/>
    <w:rsid w:val="74E66DB1"/>
    <w:rsid w:val="74F0E189"/>
    <w:rsid w:val="74FA4A33"/>
    <w:rsid w:val="74FEF303"/>
    <w:rsid w:val="7500A340"/>
    <w:rsid w:val="752812E0"/>
    <w:rsid w:val="7549838F"/>
    <w:rsid w:val="7559A5ED"/>
    <w:rsid w:val="7573EB45"/>
    <w:rsid w:val="7578523A"/>
    <w:rsid w:val="7585AF1B"/>
    <w:rsid w:val="75986EEB"/>
    <w:rsid w:val="759F37C3"/>
    <w:rsid w:val="75AD9E49"/>
    <w:rsid w:val="75C3CACE"/>
    <w:rsid w:val="75C3FD9F"/>
    <w:rsid w:val="75C9E744"/>
    <w:rsid w:val="75D14E35"/>
    <w:rsid w:val="75E7CE70"/>
    <w:rsid w:val="75FB39F9"/>
    <w:rsid w:val="76042056"/>
    <w:rsid w:val="7604ED8B"/>
    <w:rsid w:val="760846DF"/>
    <w:rsid w:val="760B4B7F"/>
    <w:rsid w:val="7612C749"/>
    <w:rsid w:val="7615B6A8"/>
    <w:rsid w:val="7640A01D"/>
    <w:rsid w:val="7652EA3D"/>
    <w:rsid w:val="7672F222"/>
    <w:rsid w:val="768D5D27"/>
    <w:rsid w:val="769BB910"/>
    <w:rsid w:val="76AA874A"/>
    <w:rsid w:val="76AE0B33"/>
    <w:rsid w:val="76BBACEF"/>
    <w:rsid w:val="76BF1C20"/>
    <w:rsid w:val="76C97123"/>
    <w:rsid w:val="76C9995A"/>
    <w:rsid w:val="76CC2D2F"/>
    <w:rsid w:val="76DDA264"/>
    <w:rsid w:val="76E44DBA"/>
    <w:rsid w:val="76E72BED"/>
    <w:rsid w:val="76FBF0A8"/>
    <w:rsid w:val="7714B3B9"/>
    <w:rsid w:val="771DBB07"/>
    <w:rsid w:val="771F1554"/>
    <w:rsid w:val="7731F170"/>
    <w:rsid w:val="7737C704"/>
    <w:rsid w:val="77527F86"/>
    <w:rsid w:val="776F38A0"/>
    <w:rsid w:val="7771257D"/>
    <w:rsid w:val="7777CAF3"/>
    <w:rsid w:val="777D5717"/>
    <w:rsid w:val="7782F7CC"/>
    <w:rsid w:val="7786273C"/>
    <w:rsid w:val="77A5B636"/>
    <w:rsid w:val="77AF5DD6"/>
    <w:rsid w:val="77B23648"/>
    <w:rsid w:val="77D966FB"/>
    <w:rsid w:val="77E8E7C6"/>
    <w:rsid w:val="77FC7D2B"/>
    <w:rsid w:val="78081905"/>
    <w:rsid w:val="7813341D"/>
    <w:rsid w:val="78154ABD"/>
    <w:rsid w:val="781A19D8"/>
    <w:rsid w:val="782C2866"/>
    <w:rsid w:val="782CE18D"/>
    <w:rsid w:val="784E53EE"/>
    <w:rsid w:val="785E7E34"/>
    <w:rsid w:val="78610D24"/>
    <w:rsid w:val="7863755C"/>
    <w:rsid w:val="78661E57"/>
    <w:rsid w:val="78766C01"/>
    <w:rsid w:val="7877524E"/>
    <w:rsid w:val="787999A7"/>
    <w:rsid w:val="787DF3E7"/>
    <w:rsid w:val="787EA74A"/>
    <w:rsid w:val="7881042F"/>
    <w:rsid w:val="78811B6C"/>
    <w:rsid w:val="7894B4D5"/>
    <w:rsid w:val="78A6528F"/>
    <w:rsid w:val="78B64A01"/>
    <w:rsid w:val="78C2ACB0"/>
    <w:rsid w:val="78C67B7D"/>
    <w:rsid w:val="78C93877"/>
    <w:rsid w:val="78CBDA52"/>
    <w:rsid w:val="78CC5FA5"/>
    <w:rsid w:val="78D0C154"/>
    <w:rsid w:val="78DDB662"/>
    <w:rsid w:val="78EB9916"/>
    <w:rsid w:val="78F61536"/>
    <w:rsid w:val="790AB12F"/>
    <w:rsid w:val="790CBF11"/>
    <w:rsid w:val="791970F7"/>
    <w:rsid w:val="791CA86D"/>
    <w:rsid w:val="79257098"/>
    <w:rsid w:val="792F3EA4"/>
    <w:rsid w:val="794DE531"/>
    <w:rsid w:val="79531AC2"/>
    <w:rsid w:val="795DDF5A"/>
    <w:rsid w:val="795F52D3"/>
    <w:rsid w:val="796C2DED"/>
    <w:rsid w:val="79725999"/>
    <w:rsid w:val="797ED822"/>
    <w:rsid w:val="7985F924"/>
    <w:rsid w:val="798ACA34"/>
    <w:rsid w:val="79B97D80"/>
    <w:rsid w:val="79C07CA7"/>
    <w:rsid w:val="79C30857"/>
    <w:rsid w:val="79C30C5D"/>
    <w:rsid w:val="79C5582F"/>
    <w:rsid w:val="79D0BB5F"/>
    <w:rsid w:val="79D11585"/>
    <w:rsid w:val="79D7CC8E"/>
    <w:rsid w:val="79E785DC"/>
    <w:rsid w:val="79F02AA2"/>
    <w:rsid w:val="7A121AE6"/>
    <w:rsid w:val="7A180973"/>
    <w:rsid w:val="7A2DCBF2"/>
    <w:rsid w:val="7A381D62"/>
    <w:rsid w:val="7A507704"/>
    <w:rsid w:val="7A51AD8A"/>
    <w:rsid w:val="7A56531F"/>
    <w:rsid w:val="7A56B738"/>
    <w:rsid w:val="7A5AE320"/>
    <w:rsid w:val="7A5B3520"/>
    <w:rsid w:val="7A63F0CE"/>
    <w:rsid w:val="7A67E18A"/>
    <w:rsid w:val="7A803F9E"/>
    <w:rsid w:val="7A887AA5"/>
    <w:rsid w:val="7A9D61BE"/>
    <w:rsid w:val="7A9F7CB0"/>
    <w:rsid w:val="7AA39B31"/>
    <w:rsid w:val="7AB06BDB"/>
    <w:rsid w:val="7AB88C5E"/>
    <w:rsid w:val="7ABA1741"/>
    <w:rsid w:val="7AC4A595"/>
    <w:rsid w:val="7AD0EA4C"/>
    <w:rsid w:val="7AD677DF"/>
    <w:rsid w:val="7AE62BBE"/>
    <w:rsid w:val="7AF06355"/>
    <w:rsid w:val="7B0A1160"/>
    <w:rsid w:val="7B0B496B"/>
    <w:rsid w:val="7B1418C0"/>
    <w:rsid w:val="7B1910EE"/>
    <w:rsid w:val="7B1B6ECC"/>
    <w:rsid w:val="7B1CB26D"/>
    <w:rsid w:val="7B32A88A"/>
    <w:rsid w:val="7B3BAE0A"/>
    <w:rsid w:val="7B4DDCEC"/>
    <w:rsid w:val="7B517062"/>
    <w:rsid w:val="7B5DE8E1"/>
    <w:rsid w:val="7B6026EC"/>
    <w:rsid w:val="7B65028B"/>
    <w:rsid w:val="7B6AF829"/>
    <w:rsid w:val="7B74FC58"/>
    <w:rsid w:val="7B7F72AD"/>
    <w:rsid w:val="7B8A13D8"/>
    <w:rsid w:val="7B8DAF65"/>
    <w:rsid w:val="7BA3AF99"/>
    <w:rsid w:val="7BCE0C1E"/>
    <w:rsid w:val="7BD62B98"/>
    <w:rsid w:val="7BF3E8ED"/>
    <w:rsid w:val="7BFA9575"/>
    <w:rsid w:val="7C03B460"/>
    <w:rsid w:val="7C06B854"/>
    <w:rsid w:val="7C0718F7"/>
    <w:rsid w:val="7C07F206"/>
    <w:rsid w:val="7C12CFA7"/>
    <w:rsid w:val="7C14081D"/>
    <w:rsid w:val="7C1B9079"/>
    <w:rsid w:val="7C21C2C4"/>
    <w:rsid w:val="7C362B50"/>
    <w:rsid w:val="7C3F8287"/>
    <w:rsid w:val="7C491E94"/>
    <w:rsid w:val="7C5A3226"/>
    <w:rsid w:val="7C622658"/>
    <w:rsid w:val="7C6B57D2"/>
    <w:rsid w:val="7C6D5BBC"/>
    <w:rsid w:val="7C75847B"/>
    <w:rsid w:val="7C7BCE7A"/>
    <w:rsid w:val="7CABB1EB"/>
    <w:rsid w:val="7CACBA85"/>
    <w:rsid w:val="7CAFC87B"/>
    <w:rsid w:val="7CB2F4BB"/>
    <w:rsid w:val="7CBE12F5"/>
    <w:rsid w:val="7CC00442"/>
    <w:rsid w:val="7CC1FBE4"/>
    <w:rsid w:val="7CCD49FB"/>
    <w:rsid w:val="7CD45C25"/>
    <w:rsid w:val="7CD67BA1"/>
    <w:rsid w:val="7CE9F660"/>
    <w:rsid w:val="7CF32FD3"/>
    <w:rsid w:val="7D15623E"/>
    <w:rsid w:val="7D282931"/>
    <w:rsid w:val="7D32E3DE"/>
    <w:rsid w:val="7D398788"/>
    <w:rsid w:val="7D3DD30E"/>
    <w:rsid w:val="7D66BC00"/>
    <w:rsid w:val="7D6C27D0"/>
    <w:rsid w:val="7D6D0637"/>
    <w:rsid w:val="7D703B6A"/>
    <w:rsid w:val="7D735F2B"/>
    <w:rsid w:val="7D88484B"/>
    <w:rsid w:val="7D8956F3"/>
    <w:rsid w:val="7D8B05FD"/>
    <w:rsid w:val="7D983662"/>
    <w:rsid w:val="7D98658A"/>
    <w:rsid w:val="7DA5F6BB"/>
    <w:rsid w:val="7DB23D98"/>
    <w:rsid w:val="7DBB1515"/>
    <w:rsid w:val="7DBB72AE"/>
    <w:rsid w:val="7DD0E3F7"/>
    <w:rsid w:val="7DDBA6DD"/>
    <w:rsid w:val="7DDBD078"/>
    <w:rsid w:val="7DE1BAF0"/>
    <w:rsid w:val="7DE2FFB5"/>
    <w:rsid w:val="7DF070A5"/>
    <w:rsid w:val="7DF15FCE"/>
    <w:rsid w:val="7DFA58AC"/>
    <w:rsid w:val="7DFB6BBF"/>
    <w:rsid w:val="7DFC7828"/>
    <w:rsid w:val="7E09F0DB"/>
    <w:rsid w:val="7E15516F"/>
    <w:rsid w:val="7E1FCE4A"/>
    <w:rsid w:val="7E258FC6"/>
    <w:rsid w:val="7E3DDFF1"/>
    <w:rsid w:val="7E3F860E"/>
    <w:rsid w:val="7E48BF84"/>
    <w:rsid w:val="7E512D81"/>
    <w:rsid w:val="7E51D80E"/>
    <w:rsid w:val="7E620B8E"/>
    <w:rsid w:val="7E6DCF2B"/>
    <w:rsid w:val="7E73D718"/>
    <w:rsid w:val="7E755C73"/>
    <w:rsid w:val="7E7E595F"/>
    <w:rsid w:val="7E849F9E"/>
    <w:rsid w:val="7E85868B"/>
    <w:rsid w:val="7E9D7ED5"/>
    <w:rsid w:val="7EAEEE22"/>
    <w:rsid w:val="7EC257A5"/>
    <w:rsid w:val="7EC49F70"/>
    <w:rsid w:val="7EC8F718"/>
    <w:rsid w:val="7ED22607"/>
    <w:rsid w:val="7EE879EB"/>
    <w:rsid w:val="7EFC6CB1"/>
    <w:rsid w:val="7F0CA0E8"/>
    <w:rsid w:val="7F108C84"/>
    <w:rsid w:val="7F1CFBEA"/>
    <w:rsid w:val="7F216C31"/>
    <w:rsid w:val="7F325A51"/>
    <w:rsid w:val="7F3777C7"/>
    <w:rsid w:val="7F48D6BF"/>
    <w:rsid w:val="7F4F529A"/>
    <w:rsid w:val="7F509AA6"/>
    <w:rsid w:val="7F63C7FB"/>
    <w:rsid w:val="7F6FC1E8"/>
    <w:rsid w:val="7F85C7BD"/>
    <w:rsid w:val="7F8DE273"/>
    <w:rsid w:val="7FAAD927"/>
    <w:rsid w:val="7FCFC459"/>
    <w:rsid w:val="7FD379F7"/>
    <w:rsid w:val="7FD45C52"/>
    <w:rsid w:val="7FD77600"/>
    <w:rsid w:val="7FDABB6C"/>
    <w:rsid w:val="7FE61F04"/>
    <w:rsid w:val="7FED65AF"/>
    <w:rsid w:val="7FF45E44"/>
    <w:rsid w:val="7FFDFA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016BD"/>
  <w15:docId w15:val="{8287AB13-7592-49D2-8926-E072FFDD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142"/>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37DE"/>
    <w:pPr>
      <w:keepNext/>
      <w:spacing w:before="240" w:after="60"/>
      <w:outlineLvl w:val="0"/>
    </w:pPr>
    <w:rPr>
      <w:rFonts w:ascii="Arial" w:hAnsi="Arial" w:cs="Arial"/>
      <w:b/>
      <w:bCs/>
      <w:color w:val="076DA0"/>
      <w:kern w:val="28"/>
      <w:sz w:val="44"/>
      <w:szCs w:val="36"/>
      <w:lang w:eastAsia="en-US"/>
    </w:rPr>
  </w:style>
  <w:style w:type="paragraph" w:styleId="Heading2">
    <w:name w:val="heading 2"/>
    <w:next w:val="Normal"/>
    <w:link w:val="Heading2Char"/>
    <w:qFormat/>
    <w:rsid w:val="00F837DE"/>
    <w:pPr>
      <w:keepNext/>
      <w:spacing w:before="240" w:after="60"/>
      <w:outlineLvl w:val="1"/>
    </w:pPr>
    <w:rPr>
      <w:rFonts w:ascii="Arial" w:hAnsi="Arial" w:cs="Arial"/>
      <w:b/>
      <w:bCs/>
      <w:iCs/>
      <w:color w:val="009DBB"/>
      <w:sz w:val="36"/>
      <w:szCs w:val="28"/>
      <w:lang w:eastAsia="en-US"/>
    </w:rPr>
  </w:style>
  <w:style w:type="paragraph" w:styleId="Heading3">
    <w:name w:val="heading 3"/>
    <w:next w:val="Normal"/>
    <w:qFormat/>
    <w:rsid w:val="00F837DE"/>
    <w:pPr>
      <w:keepNext/>
      <w:spacing w:before="180" w:after="60"/>
      <w:outlineLvl w:val="2"/>
    </w:pPr>
    <w:rPr>
      <w:rFonts w:ascii="Arial" w:hAnsi="Arial" w:cs="Arial"/>
      <w:b/>
      <w:bCs/>
      <w:color w:val="009DBB"/>
      <w:sz w:val="32"/>
      <w:szCs w:val="26"/>
      <w:lang w:eastAsia="en-US"/>
    </w:rPr>
  </w:style>
  <w:style w:type="paragraph" w:styleId="Heading4">
    <w:name w:val="heading 4"/>
    <w:next w:val="Normal"/>
    <w:link w:val="Heading4Char"/>
    <w:qFormat/>
    <w:rsid w:val="00A35CA8"/>
    <w:pPr>
      <w:keepNext/>
      <w:spacing w:before="240" w:after="120"/>
      <w:outlineLvl w:val="3"/>
    </w:pPr>
    <w:rPr>
      <w:rFonts w:ascii="Arial" w:hAnsi="Arial"/>
      <w:b/>
      <w:bCs/>
      <w:i/>
      <w:color w:val="009DBB"/>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076DA0"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004E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F837DE"/>
    <w:pPr>
      <w:numPr>
        <w:ilvl w:val="1"/>
      </w:numPr>
      <w:spacing w:before="120" w:after="60"/>
    </w:pPr>
    <w:rPr>
      <w:rFonts w:ascii="Arial" w:eastAsiaTheme="majorEastAsia" w:hAnsi="Arial" w:cstheme="majorBidi"/>
      <w:iCs/>
      <w:color w:val="009DBB"/>
      <w:spacing w:val="15"/>
      <w:sz w:val="40"/>
      <w:szCs w:val="24"/>
      <w:lang w:eastAsia="en-US"/>
    </w:rPr>
  </w:style>
  <w:style w:type="character" w:customStyle="1" w:styleId="SubtitleChar">
    <w:name w:val="Subtitle Char"/>
    <w:basedOn w:val="DefaultParagraphFont"/>
    <w:link w:val="Subtitle"/>
    <w:rsid w:val="00F837DE"/>
    <w:rPr>
      <w:rFonts w:ascii="Arial" w:eastAsiaTheme="majorEastAsia" w:hAnsi="Arial" w:cstheme="majorBidi"/>
      <w:iCs/>
      <w:color w:val="009DBB"/>
      <w:spacing w:val="15"/>
      <w:sz w:val="40"/>
      <w:szCs w:val="24"/>
      <w:lang w:eastAsia="en-US"/>
    </w:rPr>
  </w:style>
  <w:style w:type="paragraph" w:styleId="Title">
    <w:name w:val="Title"/>
    <w:next w:val="Normal"/>
    <w:link w:val="TitleChar"/>
    <w:qFormat/>
    <w:rsid w:val="00F837DE"/>
    <w:pPr>
      <w:spacing w:before="2160" w:after="120"/>
      <w:contextualSpacing/>
    </w:pPr>
    <w:rPr>
      <w:rFonts w:ascii="Arial" w:eastAsiaTheme="majorEastAsia" w:hAnsi="Arial" w:cstheme="majorBidi"/>
      <w:b/>
      <w:color w:val="076DA0"/>
      <w:kern w:val="28"/>
      <w:sz w:val="48"/>
      <w:szCs w:val="52"/>
      <w:lang w:eastAsia="en-US"/>
    </w:rPr>
  </w:style>
  <w:style w:type="character" w:customStyle="1" w:styleId="TitleChar">
    <w:name w:val="Title Char"/>
    <w:basedOn w:val="DefaultParagraphFont"/>
    <w:link w:val="Title"/>
    <w:rsid w:val="00F837DE"/>
    <w:rPr>
      <w:rFonts w:ascii="Arial" w:eastAsiaTheme="majorEastAsia" w:hAnsi="Arial" w:cstheme="majorBidi"/>
      <w:b/>
      <w:color w:val="076DA0"/>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9DBB"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009DBB" w:themeColor="accent1"/>
      </w:pBdr>
      <w:spacing w:before="200" w:after="280"/>
      <w:ind w:left="936" w:right="936"/>
    </w:pPr>
    <w:rPr>
      <w:rFonts w:ascii="Arial" w:hAnsi="Arial"/>
      <w:b/>
      <w:bCs/>
      <w:i/>
      <w:iCs/>
      <w:color w:val="009DBB"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009DBB" w:themeColor="accent1"/>
      <w:sz w:val="22"/>
      <w:szCs w:val="24"/>
      <w:lang w:eastAsia="en-US"/>
    </w:rPr>
  </w:style>
  <w:style w:type="character" w:styleId="SubtleReference">
    <w:name w:val="Subtle Reference"/>
    <w:basedOn w:val="DefaultParagraphFont"/>
    <w:uiPriority w:val="31"/>
    <w:rsid w:val="00A4512D"/>
    <w:rPr>
      <w:smallCaps/>
      <w:color w:val="076DA0" w:themeColor="accent2"/>
      <w:u w:val="single"/>
    </w:rPr>
  </w:style>
  <w:style w:type="character" w:styleId="IntenseReference">
    <w:name w:val="Intense Reference"/>
    <w:basedOn w:val="DefaultParagraphFont"/>
    <w:uiPriority w:val="32"/>
    <w:rsid w:val="00A4512D"/>
    <w:rPr>
      <w:b/>
      <w:bCs/>
      <w:i/>
      <w:smallCaps/>
      <w:color w:val="076DA0" w:themeColor="accent2"/>
      <w:spacing w:val="5"/>
      <w:u w:val="none"/>
    </w:rPr>
  </w:style>
  <w:style w:type="paragraph" w:styleId="ListBullet2">
    <w:name w:val="List Bullet 2"/>
    <w:basedOn w:val="ListNumber2"/>
    <w:rsid w:val="00211840"/>
    <w:pPr>
      <w:numPr>
        <w:numId w:val="4"/>
      </w:numPr>
      <w:tabs>
        <w:tab w:val="clear" w:pos="340"/>
      </w:tabs>
      <w:ind w:left="568" w:hanging="284"/>
    </w:pPr>
  </w:style>
  <w:style w:type="paragraph" w:styleId="ListNumber2">
    <w:name w:val="List Number 2"/>
    <w:basedOn w:val="ListBullet"/>
    <w:qFormat/>
    <w:rsid w:val="00BA70AB"/>
    <w:pPr>
      <w:numPr>
        <w:numId w:val="6"/>
      </w:numPr>
      <w:ind w:left="680"/>
    </w:pPr>
  </w:style>
  <w:style w:type="paragraph" w:styleId="ListBullet">
    <w:name w:val="List Bullet"/>
    <w:basedOn w:val="Normal"/>
    <w:qFormat/>
    <w:rsid w:val="00BA70AB"/>
    <w:pPr>
      <w:numPr>
        <w:numId w:val="5"/>
      </w:numPr>
      <w:tabs>
        <w:tab w:val="left" w:pos="340"/>
        <w:tab w:val="left" w:pos="680"/>
      </w:tabs>
      <w:spacing w:before="60" w:after="60"/>
      <w:ind w:left="340" w:hanging="34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clear" w:pos="340"/>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F837DE"/>
    <w:pPr>
      <w:spacing w:before="80" w:after="80"/>
    </w:pPr>
    <w:rPr>
      <w:rFonts w:eastAsia="Cambria"/>
      <w:b/>
      <w:color w:val="076DA0"/>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6D6D70"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009DBB" w:themeColor="accent1"/>
      <w:sz w:val="18"/>
      <w:szCs w:val="18"/>
    </w:rPr>
  </w:style>
  <w:style w:type="paragraph" w:customStyle="1" w:styleId="VisionBox">
    <w:name w:val="VisionBox"/>
    <w:basedOn w:val="Normal"/>
    <w:qFormat/>
    <w:rsid w:val="00E17F85"/>
    <w:pPr>
      <w:pBdr>
        <w:top w:val="single" w:sz="4" w:space="15" w:color="D8BB82"/>
        <w:bottom w:val="single" w:sz="4" w:space="10" w:color="D8BB82"/>
      </w:pBdr>
      <w:spacing w:before="240" w:after="240" w:line="340" w:lineRule="exact"/>
    </w:pPr>
    <w:rPr>
      <w:rFonts w:eastAsiaTheme="minorHAnsi"/>
      <w:color w:val="076DA0"/>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Taskforce">
    <w:name w:val="Taskforce"/>
    <w:basedOn w:val="TableNormal"/>
    <w:uiPriority w:val="99"/>
    <w:rsid w:val="00F837DE"/>
    <w:rPr>
      <w:rFonts w:ascii="Arial" w:hAnsi="Arial"/>
      <w:color w:val="076DA0"/>
      <w:sz w:val="21"/>
    </w:rPr>
    <w:tblPr>
      <w:tblStyleRowBandSize w:val="1"/>
      <w:tblBorders>
        <w:top w:val="single" w:sz="4" w:space="0" w:color="auto"/>
        <w:bottom w:val="single" w:sz="4" w:space="0" w:color="auto"/>
        <w:insideH w:val="single" w:sz="4" w:space="0" w:color="auto"/>
      </w:tblBorders>
    </w:tblPr>
    <w:tcPr>
      <w:shd w:val="clear" w:color="auto" w:fill="D8BB82"/>
    </w:tcPr>
    <w:tblStylePr w:type="firstRow">
      <w:tblPr/>
      <w:tcPr>
        <w:shd w:val="clear" w:color="auto" w:fill="D8BB82"/>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F837DE"/>
    <w:pPr>
      <w:spacing w:before="480" w:line="400" w:lineRule="exact"/>
    </w:pPr>
    <w:rPr>
      <w:color w:val="076DA0"/>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F837DE"/>
    <w:pPr>
      <w:spacing w:before="240"/>
    </w:pPr>
    <w:rPr>
      <w:rFonts w:cs="Times New Roman"/>
      <w:b/>
      <w:bCs/>
      <w:caps/>
      <w:color w:val="076DA0"/>
      <w:szCs w:val="20"/>
    </w:rPr>
  </w:style>
  <w:style w:type="paragraph" w:customStyle="1" w:styleId="Boxtype">
    <w:name w:val="Box type"/>
    <w:next w:val="Normal"/>
    <w:qFormat/>
    <w:rsid w:val="00F837DE"/>
    <w:pPr>
      <w:pBdr>
        <w:top w:val="single" w:sz="6" w:space="20" w:color="009DBB"/>
        <w:left w:val="single" w:sz="6" w:space="10" w:color="009DBB"/>
        <w:bottom w:val="single" w:sz="6" w:space="10" w:color="009DBB"/>
        <w:right w:val="single" w:sz="6" w:space="10" w:color="009DBB"/>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unhideWhenUsed/>
    <w:qFormat/>
    <w:rsid w:val="00B94828"/>
  </w:style>
  <w:style w:type="character" w:customStyle="1" w:styleId="BodyTextChar">
    <w:name w:val="Body Text Char"/>
    <w:basedOn w:val="DefaultParagraphFont"/>
    <w:link w:val="BodyText"/>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004E5D" w:themeColor="accent1" w:themeShade="7F"/>
      <w:sz w:val="22"/>
      <w:szCs w:val="24"/>
      <w:lang w:eastAsia="en-US"/>
    </w:rPr>
  </w:style>
  <w:style w:type="paragraph" w:styleId="TOCHeading">
    <w:name w:val="TOC Heading"/>
    <w:basedOn w:val="Heading1"/>
    <w:next w:val="Normal"/>
    <w:uiPriority w:val="39"/>
    <w:unhideWhenUsed/>
    <w:qFormat/>
    <w:rsid w:val="00D43E3D"/>
    <w:pPr>
      <w:keepLines/>
      <w:spacing w:after="0" w:line="259" w:lineRule="auto"/>
      <w:outlineLvl w:val="9"/>
    </w:pPr>
    <w:rPr>
      <w:rFonts w:asciiTheme="majorHAnsi" w:eastAsiaTheme="majorEastAsia" w:hAnsiTheme="majorHAnsi" w:cstheme="majorBidi"/>
      <w:b w:val="0"/>
      <w:bCs w:val="0"/>
      <w:color w:val="00758C" w:themeColor="accent1" w:themeShade="BF"/>
      <w:kern w:val="0"/>
      <w:sz w:val="32"/>
      <w:szCs w:val="32"/>
      <w:lang w:val="en-US"/>
    </w:rPr>
  </w:style>
  <w:style w:type="paragraph" w:styleId="TOC2">
    <w:name w:val="toc 2"/>
    <w:basedOn w:val="Normal"/>
    <w:next w:val="Normal"/>
    <w:autoRedefine/>
    <w:uiPriority w:val="39"/>
    <w:unhideWhenUsed/>
    <w:rsid w:val="00F13952"/>
    <w:pPr>
      <w:tabs>
        <w:tab w:val="right" w:leader="dot" w:pos="9060"/>
      </w:tabs>
      <w:spacing w:after="100"/>
      <w:ind w:left="220"/>
    </w:pPr>
  </w:style>
  <w:style w:type="paragraph" w:styleId="TOC1">
    <w:name w:val="toc 1"/>
    <w:basedOn w:val="Normal"/>
    <w:next w:val="Normal"/>
    <w:autoRedefine/>
    <w:uiPriority w:val="39"/>
    <w:unhideWhenUsed/>
    <w:rsid w:val="00F13952"/>
    <w:pPr>
      <w:tabs>
        <w:tab w:val="right" w:leader="dot" w:pos="9060"/>
      </w:tabs>
      <w:spacing w:after="100"/>
    </w:pPr>
  </w:style>
  <w:style w:type="paragraph" w:styleId="TOC3">
    <w:name w:val="toc 3"/>
    <w:basedOn w:val="Normal"/>
    <w:next w:val="Normal"/>
    <w:autoRedefine/>
    <w:uiPriority w:val="39"/>
    <w:unhideWhenUsed/>
    <w:rsid w:val="00D43E3D"/>
    <w:pPr>
      <w:spacing w:after="100"/>
      <w:ind w:left="440"/>
    </w:pPr>
  </w:style>
  <w:style w:type="character" w:styleId="CommentReference">
    <w:name w:val="annotation reference"/>
    <w:basedOn w:val="DefaultParagraphFont"/>
    <w:semiHidden/>
    <w:unhideWhenUsed/>
    <w:rsid w:val="00E75CF8"/>
    <w:rPr>
      <w:sz w:val="16"/>
      <w:szCs w:val="16"/>
    </w:rPr>
  </w:style>
  <w:style w:type="paragraph" w:styleId="CommentText">
    <w:name w:val="annotation text"/>
    <w:basedOn w:val="Normal"/>
    <w:link w:val="CommentTextChar"/>
    <w:unhideWhenUsed/>
    <w:rsid w:val="00E75CF8"/>
    <w:pPr>
      <w:spacing w:line="240" w:lineRule="auto"/>
    </w:pPr>
    <w:rPr>
      <w:sz w:val="20"/>
      <w:szCs w:val="20"/>
    </w:rPr>
  </w:style>
  <w:style w:type="character" w:customStyle="1" w:styleId="CommentTextChar">
    <w:name w:val="Comment Text Char"/>
    <w:basedOn w:val="DefaultParagraphFont"/>
    <w:link w:val="CommentText"/>
    <w:rsid w:val="00E75CF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E75CF8"/>
    <w:rPr>
      <w:b/>
      <w:bCs/>
    </w:rPr>
  </w:style>
  <w:style w:type="character" w:customStyle="1" w:styleId="CommentSubjectChar">
    <w:name w:val="Comment Subject Char"/>
    <w:basedOn w:val="CommentTextChar"/>
    <w:link w:val="CommentSubject"/>
    <w:semiHidden/>
    <w:rsid w:val="00E75CF8"/>
    <w:rPr>
      <w:rFonts w:ascii="Arial" w:hAnsi="Arial"/>
      <w:b/>
      <w:bCs/>
      <w:color w:val="000000" w:themeColor="text1"/>
      <w:lang w:eastAsia="en-US"/>
    </w:rPr>
  </w:style>
  <w:style w:type="character" w:customStyle="1" w:styleId="Heading4Char">
    <w:name w:val="Heading 4 Char"/>
    <w:basedOn w:val="DefaultParagraphFont"/>
    <w:link w:val="Heading4"/>
    <w:rsid w:val="00A35CA8"/>
    <w:rPr>
      <w:rFonts w:ascii="Arial" w:hAnsi="Arial"/>
      <w:b/>
      <w:bCs/>
      <w:i/>
      <w:color w:val="009DBB"/>
      <w:sz w:val="28"/>
      <w:szCs w:val="28"/>
      <w:lang w:eastAsia="en-US"/>
    </w:rPr>
  </w:style>
  <w:style w:type="paragraph" w:styleId="Revision">
    <w:name w:val="Revision"/>
    <w:hidden/>
    <w:uiPriority w:val="99"/>
    <w:semiHidden/>
    <w:rsid w:val="00B3076F"/>
    <w:rPr>
      <w:rFonts w:ascii="Arial" w:hAnsi="Arial"/>
      <w:color w:val="000000" w:themeColor="text1"/>
      <w:sz w:val="22"/>
      <w:szCs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551495"/>
    <w:rPr>
      <w:rFonts w:ascii="Arial" w:hAnsi="Arial"/>
      <w:color w:val="000000" w:themeColor="text1"/>
      <w:sz w:val="22"/>
      <w:szCs w:val="24"/>
      <w:lang w:eastAsia="en-US"/>
    </w:rPr>
  </w:style>
  <w:style w:type="character" w:styleId="FootnoteReference">
    <w:name w:val="footnote reference"/>
    <w:basedOn w:val="DefaultParagraphFont"/>
    <w:semiHidden/>
    <w:unhideWhenUsed/>
    <w:rsid w:val="00F257F1"/>
    <w:rPr>
      <w:vertAlign w:val="superscript"/>
    </w:rPr>
  </w:style>
  <w:style w:type="character" w:styleId="UnresolvedMention">
    <w:name w:val="Unresolved Mention"/>
    <w:basedOn w:val="DefaultParagraphFont"/>
    <w:uiPriority w:val="99"/>
    <w:semiHidden/>
    <w:unhideWhenUsed/>
    <w:rsid w:val="00F257F1"/>
    <w:rPr>
      <w:color w:val="605E5C"/>
      <w:shd w:val="clear" w:color="auto" w:fill="E1DFDD"/>
    </w:rPr>
  </w:style>
  <w:style w:type="paragraph" w:customStyle="1" w:styleId="pf0">
    <w:name w:val="pf0"/>
    <w:basedOn w:val="Normal"/>
    <w:rsid w:val="00F257F1"/>
    <w:pPr>
      <w:spacing w:before="100" w:beforeAutospacing="1" w:after="100" w:afterAutospacing="1" w:line="240" w:lineRule="auto"/>
    </w:pPr>
    <w:rPr>
      <w:rFonts w:ascii="Times New Roman" w:hAnsi="Times New Roman"/>
      <w:color w:val="auto"/>
      <w:sz w:val="24"/>
      <w:lang w:eastAsia="en-AU"/>
    </w:rPr>
  </w:style>
  <w:style w:type="character" w:customStyle="1" w:styleId="cf01">
    <w:name w:val="cf01"/>
    <w:basedOn w:val="DefaultParagraphFont"/>
    <w:rsid w:val="00F257F1"/>
    <w:rPr>
      <w:rFonts w:ascii="Segoe UI" w:hAnsi="Segoe UI" w:cs="Segoe UI" w:hint="default"/>
      <w:i/>
      <w:iCs/>
      <w:sz w:val="18"/>
      <w:szCs w:val="18"/>
    </w:rPr>
  </w:style>
  <w:style w:type="character" w:customStyle="1" w:styleId="cf11">
    <w:name w:val="cf11"/>
    <w:basedOn w:val="DefaultParagraphFont"/>
    <w:rsid w:val="00F257F1"/>
    <w:rPr>
      <w:rFonts w:ascii="Segoe UI" w:hAnsi="Segoe UI" w:cs="Segoe UI" w:hint="default"/>
      <w:sz w:val="18"/>
      <w:szCs w:val="18"/>
    </w:rPr>
  </w:style>
  <w:style w:type="character" w:customStyle="1" w:styleId="ui-provider">
    <w:name w:val="ui-provider"/>
    <w:basedOn w:val="DefaultParagraphFont"/>
    <w:rsid w:val="00B81F37"/>
  </w:style>
  <w:style w:type="character" w:customStyle="1" w:styleId="Heading2Char">
    <w:name w:val="Heading 2 Char"/>
    <w:basedOn w:val="DefaultParagraphFont"/>
    <w:link w:val="Heading2"/>
    <w:rsid w:val="00403555"/>
    <w:rPr>
      <w:rFonts w:ascii="Arial" w:hAnsi="Arial" w:cs="Arial"/>
      <w:b/>
      <w:bCs/>
      <w:iCs/>
      <w:color w:val="009DBB"/>
      <w:sz w:val="36"/>
      <w:szCs w:val="28"/>
      <w:lang w:eastAsia="en-US"/>
    </w:rPr>
  </w:style>
  <w:style w:type="table" w:styleId="GridTable1Light-Accent5">
    <w:name w:val="Grid Table 1 Light Accent 5"/>
    <w:basedOn w:val="TableNormal"/>
    <w:uiPriority w:val="46"/>
    <w:rsid w:val="008A62FB"/>
    <w:tblPr>
      <w:tblStyleRowBandSize w:val="1"/>
      <w:tblStyleColBandSize w:val="1"/>
      <w:tblBorders>
        <w:top w:val="single" w:sz="4" w:space="0" w:color="5BC2F9" w:themeColor="accent5" w:themeTint="66"/>
        <w:left w:val="single" w:sz="4" w:space="0" w:color="5BC2F9" w:themeColor="accent5" w:themeTint="66"/>
        <w:bottom w:val="single" w:sz="4" w:space="0" w:color="5BC2F9" w:themeColor="accent5" w:themeTint="66"/>
        <w:right w:val="single" w:sz="4" w:space="0" w:color="5BC2F9" w:themeColor="accent5" w:themeTint="66"/>
        <w:insideH w:val="single" w:sz="4" w:space="0" w:color="5BC2F9" w:themeColor="accent5" w:themeTint="66"/>
        <w:insideV w:val="single" w:sz="4" w:space="0" w:color="5BC2F9" w:themeColor="accent5" w:themeTint="66"/>
      </w:tblBorders>
    </w:tblPr>
    <w:tblStylePr w:type="firstRow">
      <w:rPr>
        <w:b/>
        <w:bCs/>
      </w:rPr>
      <w:tblPr/>
      <w:tcPr>
        <w:tcBorders>
          <w:bottom w:val="single" w:sz="12" w:space="0" w:color="09A3F6" w:themeColor="accent5" w:themeTint="99"/>
        </w:tcBorders>
      </w:tcPr>
    </w:tblStylePr>
    <w:tblStylePr w:type="lastRow">
      <w:rPr>
        <w:b/>
        <w:bCs/>
      </w:rPr>
      <w:tblPr/>
      <w:tcPr>
        <w:tcBorders>
          <w:top w:val="double" w:sz="2" w:space="0" w:color="09A3F6"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D6C91"/>
    <w:tblPr>
      <w:tblStyleRowBandSize w:val="1"/>
      <w:tblStyleColBandSize w:val="1"/>
      <w:tblBorders>
        <w:top w:val="single" w:sz="4" w:space="0" w:color="7DEAFF" w:themeColor="accent1" w:themeTint="66"/>
        <w:left w:val="single" w:sz="4" w:space="0" w:color="7DEAFF" w:themeColor="accent1" w:themeTint="66"/>
        <w:bottom w:val="single" w:sz="4" w:space="0" w:color="7DEAFF" w:themeColor="accent1" w:themeTint="66"/>
        <w:right w:val="single" w:sz="4" w:space="0" w:color="7DEAFF" w:themeColor="accent1" w:themeTint="66"/>
        <w:insideH w:val="single" w:sz="4" w:space="0" w:color="7DEAFF" w:themeColor="accent1" w:themeTint="66"/>
        <w:insideV w:val="single" w:sz="4" w:space="0" w:color="7DEAFF" w:themeColor="accent1" w:themeTint="66"/>
      </w:tblBorders>
    </w:tblPr>
    <w:tblStylePr w:type="firstRow">
      <w:rPr>
        <w:b/>
        <w:bCs/>
      </w:rPr>
      <w:tblPr/>
      <w:tcPr>
        <w:tcBorders>
          <w:bottom w:val="single" w:sz="12" w:space="0" w:color="3DDFFF" w:themeColor="accent1" w:themeTint="99"/>
        </w:tcBorders>
      </w:tcPr>
    </w:tblStylePr>
    <w:tblStylePr w:type="lastRow">
      <w:rPr>
        <w:b/>
        <w:bCs/>
      </w:rPr>
      <w:tblPr/>
      <w:tcPr>
        <w:tcBorders>
          <w:top w:val="double" w:sz="2" w:space="0" w:color="3DDFFF"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1215">
      <w:bodyDiv w:val="1"/>
      <w:marLeft w:val="0"/>
      <w:marRight w:val="0"/>
      <w:marTop w:val="0"/>
      <w:marBottom w:val="0"/>
      <w:divBdr>
        <w:top w:val="none" w:sz="0" w:space="0" w:color="auto"/>
        <w:left w:val="none" w:sz="0" w:space="0" w:color="auto"/>
        <w:bottom w:val="none" w:sz="0" w:space="0" w:color="auto"/>
        <w:right w:val="none" w:sz="0" w:space="0" w:color="auto"/>
      </w:divBdr>
    </w:div>
    <w:div w:id="25482687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9448831">
      <w:bodyDiv w:val="1"/>
      <w:marLeft w:val="0"/>
      <w:marRight w:val="0"/>
      <w:marTop w:val="0"/>
      <w:marBottom w:val="0"/>
      <w:divBdr>
        <w:top w:val="none" w:sz="0" w:space="0" w:color="auto"/>
        <w:left w:val="none" w:sz="0" w:space="0" w:color="auto"/>
        <w:bottom w:val="none" w:sz="0" w:space="0" w:color="auto"/>
        <w:right w:val="none" w:sz="0" w:space="0" w:color="auto"/>
      </w:divBdr>
    </w:div>
    <w:div w:id="52645154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3944548">
      <w:bodyDiv w:val="1"/>
      <w:marLeft w:val="0"/>
      <w:marRight w:val="0"/>
      <w:marTop w:val="0"/>
      <w:marBottom w:val="0"/>
      <w:divBdr>
        <w:top w:val="none" w:sz="0" w:space="0" w:color="auto"/>
        <w:left w:val="none" w:sz="0" w:space="0" w:color="auto"/>
        <w:bottom w:val="none" w:sz="0" w:space="0" w:color="auto"/>
        <w:right w:val="none" w:sz="0" w:space="0" w:color="auto"/>
      </w:divBdr>
    </w:div>
    <w:div w:id="680816066">
      <w:bodyDiv w:val="1"/>
      <w:marLeft w:val="0"/>
      <w:marRight w:val="0"/>
      <w:marTop w:val="0"/>
      <w:marBottom w:val="0"/>
      <w:divBdr>
        <w:top w:val="none" w:sz="0" w:space="0" w:color="auto"/>
        <w:left w:val="none" w:sz="0" w:space="0" w:color="auto"/>
        <w:bottom w:val="none" w:sz="0" w:space="0" w:color="auto"/>
        <w:right w:val="none" w:sz="0" w:space="0" w:color="auto"/>
      </w:divBdr>
    </w:div>
    <w:div w:id="690029400">
      <w:bodyDiv w:val="1"/>
      <w:marLeft w:val="0"/>
      <w:marRight w:val="0"/>
      <w:marTop w:val="0"/>
      <w:marBottom w:val="0"/>
      <w:divBdr>
        <w:top w:val="none" w:sz="0" w:space="0" w:color="auto"/>
        <w:left w:val="none" w:sz="0" w:space="0" w:color="auto"/>
        <w:bottom w:val="none" w:sz="0" w:space="0" w:color="auto"/>
        <w:right w:val="none" w:sz="0" w:space="0" w:color="auto"/>
      </w:divBdr>
      <w:divsChild>
        <w:div w:id="1934625036">
          <w:marLeft w:val="1397"/>
          <w:marRight w:val="0"/>
          <w:marTop w:val="0"/>
          <w:marBottom w:val="12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6630661">
      <w:bodyDiv w:val="1"/>
      <w:marLeft w:val="0"/>
      <w:marRight w:val="0"/>
      <w:marTop w:val="0"/>
      <w:marBottom w:val="0"/>
      <w:divBdr>
        <w:top w:val="none" w:sz="0" w:space="0" w:color="auto"/>
        <w:left w:val="none" w:sz="0" w:space="0" w:color="auto"/>
        <w:bottom w:val="none" w:sz="0" w:space="0" w:color="auto"/>
        <w:right w:val="none" w:sz="0" w:space="0" w:color="auto"/>
      </w:divBdr>
    </w:div>
    <w:div w:id="832646332">
      <w:bodyDiv w:val="1"/>
      <w:marLeft w:val="0"/>
      <w:marRight w:val="0"/>
      <w:marTop w:val="0"/>
      <w:marBottom w:val="0"/>
      <w:divBdr>
        <w:top w:val="none" w:sz="0" w:space="0" w:color="auto"/>
        <w:left w:val="none" w:sz="0" w:space="0" w:color="auto"/>
        <w:bottom w:val="none" w:sz="0" w:space="0" w:color="auto"/>
        <w:right w:val="none" w:sz="0" w:space="0" w:color="auto"/>
      </w:divBdr>
    </w:div>
    <w:div w:id="860439721">
      <w:bodyDiv w:val="1"/>
      <w:marLeft w:val="0"/>
      <w:marRight w:val="0"/>
      <w:marTop w:val="0"/>
      <w:marBottom w:val="0"/>
      <w:divBdr>
        <w:top w:val="none" w:sz="0" w:space="0" w:color="auto"/>
        <w:left w:val="none" w:sz="0" w:space="0" w:color="auto"/>
        <w:bottom w:val="none" w:sz="0" w:space="0" w:color="auto"/>
        <w:right w:val="none" w:sz="0" w:space="0" w:color="auto"/>
      </w:divBdr>
    </w:div>
    <w:div w:id="1027215005">
      <w:bodyDiv w:val="1"/>
      <w:marLeft w:val="0"/>
      <w:marRight w:val="0"/>
      <w:marTop w:val="0"/>
      <w:marBottom w:val="0"/>
      <w:divBdr>
        <w:top w:val="none" w:sz="0" w:space="0" w:color="auto"/>
        <w:left w:val="none" w:sz="0" w:space="0" w:color="auto"/>
        <w:bottom w:val="none" w:sz="0" w:space="0" w:color="auto"/>
        <w:right w:val="none" w:sz="0" w:space="0" w:color="auto"/>
      </w:divBdr>
    </w:div>
    <w:div w:id="1053770875">
      <w:bodyDiv w:val="1"/>
      <w:marLeft w:val="0"/>
      <w:marRight w:val="0"/>
      <w:marTop w:val="0"/>
      <w:marBottom w:val="0"/>
      <w:divBdr>
        <w:top w:val="none" w:sz="0" w:space="0" w:color="auto"/>
        <w:left w:val="none" w:sz="0" w:space="0" w:color="auto"/>
        <w:bottom w:val="none" w:sz="0" w:space="0" w:color="auto"/>
        <w:right w:val="none" w:sz="0" w:space="0" w:color="auto"/>
      </w:divBdr>
    </w:div>
    <w:div w:id="121635810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0651331">
      <w:bodyDiv w:val="1"/>
      <w:marLeft w:val="0"/>
      <w:marRight w:val="0"/>
      <w:marTop w:val="0"/>
      <w:marBottom w:val="0"/>
      <w:divBdr>
        <w:top w:val="none" w:sz="0" w:space="0" w:color="auto"/>
        <w:left w:val="none" w:sz="0" w:space="0" w:color="auto"/>
        <w:bottom w:val="none" w:sz="0" w:space="0" w:color="auto"/>
        <w:right w:val="none" w:sz="0" w:space="0" w:color="auto"/>
      </w:divBdr>
    </w:div>
    <w:div w:id="1257708316">
      <w:bodyDiv w:val="1"/>
      <w:marLeft w:val="0"/>
      <w:marRight w:val="0"/>
      <w:marTop w:val="0"/>
      <w:marBottom w:val="0"/>
      <w:divBdr>
        <w:top w:val="none" w:sz="0" w:space="0" w:color="auto"/>
        <w:left w:val="none" w:sz="0" w:space="0" w:color="auto"/>
        <w:bottom w:val="none" w:sz="0" w:space="0" w:color="auto"/>
        <w:right w:val="none" w:sz="0" w:space="0" w:color="auto"/>
      </w:divBdr>
    </w:div>
    <w:div w:id="1339307556">
      <w:bodyDiv w:val="1"/>
      <w:marLeft w:val="0"/>
      <w:marRight w:val="0"/>
      <w:marTop w:val="0"/>
      <w:marBottom w:val="0"/>
      <w:divBdr>
        <w:top w:val="none" w:sz="0" w:space="0" w:color="auto"/>
        <w:left w:val="none" w:sz="0" w:space="0" w:color="auto"/>
        <w:bottom w:val="none" w:sz="0" w:space="0" w:color="auto"/>
        <w:right w:val="none" w:sz="0" w:space="0" w:color="auto"/>
      </w:divBdr>
    </w:div>
    <w:div w:id="1342389391">
      <w:bodyDiv w:val="1"/>
      <w:marLeft w:val="0"/>
      <w:marRight w:val="0"/>
      <w:marTop w:val="0"/>
      <w:marBottom w:val="0"/>
      <w:divBdr>
        <w:top w:val="none" w:sz="0" w:space="0" w:color="auto"/>
        <w:left w:val="none" w:sz="0" w:space="0" w:color="auto"/>
        <w:bottom w:val="none" w:sz="0" w:space="0" w:color="auto"/>
        <w:right w:val="none" w:sz="0" w:space="0" w:color="auto"/>
      </w:divBdr>
      <w:divsChild>
        <w:div w:id="516384857">
          <w:marLeft w:val="1397"/>
          <w:marRight w:val="0"/>
          <w:marTop w:val="0"/>
          <w:marBottom w:val="120"/>
          <w:divBdr>
            <w:top w:val="none" w:sz="0" w:space="0" w:color="auto"/>
            <w:left w:val="none" w:sz="0" w:space="0" w:color="auto"/>
            <w:bottom w:val="none" w:sz="0" w:space="0" w:color="auto"/>
            <w:right w:val="none" w:sz="0" w:space="0" w:color="auto"/>
          </w:divBdr>
        </w:div>
      </w:divsChild>
    </w:div>
    <w:div w:id="1364599640">
      <w:bodyDiv w:val="1"/>
      <w:marLeft w:val="0"/>
      <w:marRight w:val="0"/>
      <w:marTop w:val="0"/>
      <w:marBottom w:val="0"/>
      <w:divBdr>
        <w:top w:val="none" w:sz="0" w:space="0" w:color="auto"/>
        <w:left w:val="none" w:sz="0" w:space="0" w:color="auto"/>
        <w:bottom w:val="none" w:sz="0" w:space="0" w:color="auto"/>
        <w:right w:val="none" w:sz="0" w:space="0" w:color="auto"/>
      </w:divBdr>
    </w:div>
    <w:div w:id="1411541539">
      <w:bodyDiv w:val="1"/>
      <w:marLeft w:val="0"/>
      <w:marRight w:val="0"/>
      <w:marTop w:val="0"/>
      <w:marBottom w:val="0"/>
      <w:divBdr>
        <w:top w:val="none" w:sz="0" w:space="0" w:color="auto"/>
        <w:left w:val="none" w:sz="0" w:space="0" w:color="auto"/>
        <w:bottom w:val="none" w:sz="0" w:space="0" w:color="auto"/>
        <w:right w:val="none" w:sz="0" w:space="0" w:color="auto"/>
      </w:divBdr>
    </w:div>
    <w:div w:id="1429496344">
      <w:bodyDiv w:val="1"/>
      <w:marLeft w:val="0"/>
      <w:marRight w:val="0"/>
      <w:marTop w:val="0"/>
      <w:marBottom w:val="0"/>
      <w:divBdr>
        <w:top w:val="none" w:sz="0" w:space="0" w:color="auto"/>
        <w:left w:val="none" w:sz="0" w:space="0" w:color="auto"/>
        <w:bottom w:val="none" w:sz="0" w:space="0" w:color="auto"/>
        <w:right w:val="none" w:sz="0" w:space="0" w:color="auto"/>
      </w:divBdr>
    </w:div>
    <w:div w:id="1531602289">
      <w:bodyDiv w:val="1"/>
      <w:marLeft w:val="0"/>
      <w:marRight w:val="0"/>
      <w:marTop w:val="0"/>
      <w:marBottom w:val="0"/>
      <w:divBdr>
        <w:top w:val="none" w:sz="0" w:space="0" w:color="auto"/>
        <w:left w:val="none" w:sz="0" w:space="0" w:color="auto"/>
        <w:bottom w:val="none" w:sz="0" w:space="0" w:color="auto"/>
        <w:right w:val="none" w:sz="0" w:space="0" w:color="auto"/>
      </w:divBdr>
    </w:div>
    <w:div w:id="1553032140">
      <w:bodyDiv w:val="1"/>
      <w:marLeft w:val="0"/>
      <w:marRight w:val="0"/>
      <w:marTop w:val="0"/>
      <w:marBottom w:val="0"/>
      <w:divBdr>
        <w:top w:val="none" w:sz="0" w:space="0" w:color="auto"/>
        <w:left w:val="none" w:sz="0" w:space="0" w:color="auto"/>
        <w:bottom w:val="none" w:sz="0" w:space="0" w:color="auto"/>
        <w:right w:val="none" w:sz="0" w:space="0" w:color="auto"/>
      </w:divBdr>
    </w:div>
    <w:div w:id="1556818765">
      <w:bodyDiv w:val="1"/>
      <w:marLeft w:val="0"/>
      <w:marRight w:val="0"/>
      <w:marTop w:val="0"/>
      <w:marBottom w:val="0"/>
      <w:divBdr>
        <w:top w:val="none" w:sz="0" w:space="0" w:color="auto"/>
        <w:left w:val="none" w:sz="0" w:space="0" w:color="auto"/>
        <w:bottom w:val="none" w:sz="0" w:space="0" w:color="auto"/>
        <w:right w:val="none" w:sz="0" w:space="0" w:color="auto"/>
      </w:divBdr>
    </w:div>
    <w:div w:id="1650865174">
      <w:bodyDiv w:val="1"/>
      <w:marLeft w:val="0"/>
      <w:marRight w:val="0"/>
      <w:marTop w:val="0"/>
      <w:marBottom w:val="0"/>
      <w:divBdr>
        <w:top w:val="none" w:sz="0" w:space="0" w:color="auto"/>
        <w:left w:val="none" w:sz="0" w:space="0" w:color="auto"/>
        <w:bottom w:val="none" w:sz="0" w:space="0" w:color="auto"/>
        <w:right w:val="none" w:sz="0" w:space="0" w:color="auto"/>
      </w:divBdr>
    </w:div>
    <w:div w:id="1659923532">
      <w:bodyDiv w:val="1"/>
      <w:marLeft w:val="0"/>
      <w:marRight w:val="0"/>
      <w:marTop w:val="0"/>
      <w:marBottom w:val="0"/>
      <w:divBdr>
        <w:top w:val="none" w:sz="0" w:space="0" w:color="auto"/>
        <w:left w:val="none" w:sz="0" w:space="0" w:color="auto"/>
        <w:bottom w:val="none" w:sz="0" w:space="0" w:color="auto"/>
        <w:right w:val="none" w:sz="0" w:space="0" w:color="auto"/>
      </w:divBdr>
    </w:div>
    <w:div w:id="1757894930">
      <w:bodyDiv w:val="1"/>
      <w:marLeft w:val="0"/>
      <w:marRight w:val="0"/>
      <w:marTop w:val="0"/>
      <w:marBottom w:val="0"/>
      <w:divBdr>
        <w:top w:val="none" w:sz="0" w:space="0" w:color="auto"/>
        <w:left w:val="none" w:sz="0" w:space="0" w:color="auto"/>
        <w:bottom w:val="none" w:sz="0" w:space="0" w:color="auto"/>
        <w:right w:val="none" w:sz="0" w:space="0" w:color="auto"/>
      </w:divBdr>
    </w:div>
    <w:div w:id="1830972943">
      <w:bodyDiv w:val="1"/>
      <w:marLeft w:val="0"/>
      <w:marRight w:val="0"/>
      <w:marTop w:val="0"/>
      <w:marBottom w:val="0"/>
      <w:divBdr>
        <w:top w:val="none" w:sz="0" w:space="0" w:color="auto"/>
        <w:left w:val="none" w:sz="0" w:space="0" w:color="auto"/>
        <w:bottom w:val="none" w:sz="0" w:space="0" w:color="auto"/>
        <w:right w:val="none" w:sz="0" w:space="0" w:color="auto"/>
      </w:divBdr>
    </w:div>
    <w:div w:id="2027829203">
      <w:bodyDiv w:val="1"/>
      <w:marLeft w:val="0"/>
      <w:marRight w:val="0"/>
      <w:marTop w:val="0"/>
      <w:marBottom w:val="0"/>
      <w:divBdr>
        <w:top w:val="none" w:sz="0" w:space="0" w:color="auto"/>
        <w:left w:val="none" w:sz="0" w:space="0" w:color="auto"/>
        <w:bottom w:val="none" w:sz="0" w:space="0" w:color="auto"/>
        <w:right w:val="none" w:sz="0" w:space="0" w:color="auto"/>
      </w:divBdr>
    </w:div>
    <w:div w:id="2039239698">
      <w:bodyDiv w:val="1"/>
      <w:marLeft w:val="0"/>
      <w:marRight w:val="0"/>
      <w:marTop w:val="0"/>
      <w:marBottom w:val="0"/>
      <w:divBdr>
        <w:top w:val="none" w:sz="0" w:space="0" w:color="auto"/>
        <w:left w:val="none" w:sz="0" w:space="0" w:color="auto"/>
        <w:bottom w:val="none" w:sz="0" w:space="0" w:color="auto"/>
        <w:right w:val="none" w:sz="0" w:space="0" w:color="auto"/>
      </w:divBdr>
    </w:div>
    <w:div w:id="20753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mailto:scopeofpracticereview@health.gov.au"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health.gov.au/sites/default/files/2023-05/building-a-stronger-medicare-budget-2023-24_0.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i/item/framework-for-action-on-interprofessional-education-collaborative-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000000"/>
      </a:dk1>
      <a:lt1>
        <a:srgbClr val="FFFFFF"/>
      </a:lt1>
      <a:dk2>
        <a:srgbClr val="6D6E71"/>
      </a:dk2>
      <a:lt2>
        <a:srgbClr val="E7E6E6"/>
      </a:lt2>
      <a:accent1>
        <a:srgbClr val="009DBB"/>
      </a:accent1>
      <a:accent2>
        <a:srgbClr val="076DA0"/>
      </a:accent2>
      <a:accent3>
        <a:srgbClr val="D8BB82"/>
      </a:accent3>
      <a:accent4>
        <a:srgbClr val="05557D"/>
      </a:accent4>
      <a:accent5>
        <a:srgbClr val="033854"/>
      </a:accent5>
      <a:accent6>
        <a:srgbClr val="0AA8F7"/>
      </a:accent6>
      <a:hlink>
        <a:srgbClr val="6D6D70"/>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eff41e-9869-4aea-8b60-5230ce15812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D0F0D81096DC4FACF06D5FA8E07E06" ma:contentTypeVersion="12" ma:contentTypeDescription="Create a new document." ma:contentTypeScope="" ma:versionID="9ab6d0858836512652be5ac9c6c3ef23">
  <xsd:schema xmlns:xsd="http://www.w3.org/2001/XMLSchema" xmlns:xs="http://www.w3.org/2001/XMLSchema" xmlns:p="http://schemas.microsoft.com/office/2006/metadata/properties" xmlns:ns2="9b2e576e-209b-4f4a-98a3-79f4a723900e" xmlns:ns3="e1eff41e-9869-4aea-8b60-5230ce158124" targetNamespace="http://schemas.microsoft.com/office/2006/metadata/properties" ma:root="true" ma:fieldsID="b5ba5247b6ec699ec3e3e2ae01b04e46" ns2:_="" ns3:_="">
    <xsd:import namespace="9b2e576e-209b-4f4a-98a3-79f4a723900e"/>
    <xsd:import namespace="e1eff41e-9869-4aea-8b60-5230ce158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e576e-209b-4f4a-98a3-79f4a72390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eff41e-9869-4aea-8b60-5230ce158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purl.org/dc/elements/1.1/"/>
    <ds:schemaRef ds:uri="9b2e576e-209b-4f4a-98a3-79f4a723900e"/>
    <ds:schemaRef ds:uri="http://schemas.microsoft.com/office/2006/metadata/properties"/>
    <ds:schemaRef ds:uri="e1eff41e-9869-4aea-8b60-5230ce158124"/>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C9B7FA0F-D65B-49E3-85E5-BAC1908D7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e576e-209b-4f4a-98a3-79f4a723900e"/>
    <ds:schemaRef ds:uri="e1eff41e-9869-4aea-8b60-5230ce15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88380-630a-4f55-a077-a19445e3f360}" enabled="1" method="Standard" siteId="{b6e377cf-9db3-46cb-91a2-fad9605bb15c}" contentBits="0" removed="0"/>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11700</Words>
  <Characters>71012</Characters>
  <Application>Microsoft Office Word</Application>
  <DocSecurity>4</DocSecurity>
  <Lines>1139</Lines>
  <Paragraphs>305</Paragraphs>
  <ScaleCrop>false</ScaleCrop>
  <HeadingPairs>
    <vt:vector size="2" baseType="variant">
      <vt:variant>
        <vt:lpstr>Title</vt:lpstr>
      </vt:variant>
      <vt:variant>
        <vt:i4>1</vt:i4>
      </vt:variant>
    </vt:vector>
  </HeadingPairs>
  <TitlesOfParts>
    <vt:vector size="1" baseType="lpstr">
      <vt:lpstr>Unleashing the potential of our Health Workforce – Scope of Practice Review – Issues Paper 1</vt:lpstr>
    </vt:vector>
  </TitlesOfParts>
  <Company/>
  <LinksUpToDate>false</LinksUpToDate>
  <CharactersWithSpaces>82645</CharactersWithSpaces>
  <SharedDoc>false</SharedDoc>
  <HLinks>
    <vt:vector size="114" baseType="variant">
      <vt:variant>
        <vt:i4>8126464</vt:i4>
      </vt:variant>
      <vt:variant>
        <vt:i4>132</vt:i4>
      </vt:variant>
      <vt:variant>
        <vt:i4>0</vt:i4>
      </vt:variant>
      <vt:variant>
        <vt:i4>5</vt:i4>
      </vt:variant>
      <vt:variant>
        <vt:lpwstr>mailto:scopeofpracticereview@health.gov.au</vt:lpwstr>
      </vt:variant>
      <vt:variant>
        <vt:lpwstr/>
      </vt:variant>
      <vt:variant>
        <vt:i4>1966132</vt:i4>
      </vt:variant>
      <vt:variant>
        <vt:i4>129</vt:i4>
      </vt:variant>
      <vt:variant>
        <vt:i4>0</vt:i4>
      </vt:variant>
      <vt:variant>
        <vt:i4>5</vt:i4>
      </vt:variant>
      <vt:variant>
        <vt:lpwstr>https://www.health.gov.au/sites/default/files/2023-05/building-a-stronger-medicare-budget-2023-24_0.pdf</vt:lpwstr>
      </vt:variant>
      <vt:variant>
        <vt:lpwstr/>
      </vt:variant>
      <vt:variant>
        <vt:i4>2031668</vt:i4>
      </vt:variant>
      <vt:variant>
        <vt:i4>92</vt:i4>
      </vt:variant>
      <vt:variant>
        <vt:i4>0</vt:i4>
      </vt:variant>
      <vt:variant>
        <vt:i4>5</vt:i4>
      </vt:variant>
      <vt:variant>
        <vt:lpwstr/>
      </vt:variant>
      <vt:variant>
        <vt:lpwstr>_Toc156832074</vt:lpwstr>
      </vt:variant>
      <vt:variant>
        <vt:i4>2031668</vt:i4>
      </vt:variant>
      <vt:variant>
        <vt:i4>86</vt:i4>
      </vt:variant>
      <vt:variant>
        <vt:i4>0</vt:i4>
      </vt:variant>
      <vt:variant>
        <vt:i4>5</vt:i4>
      </vt:variant>
      <vt:variant>
        <vt:lpwstr/>
      </vt:variant>
      <vt:variant>
        <vt:lpwstr>_Toc156832073</vt:lpwstr>
      </vt:variant>
      <vt:variant>
        <vt:i4>2031668</vt:i4>
      </vt:variant>
      <vt:variant>
        <vt:i4>80</vt:i4>
      </vt:variant>
      <vt:variant>
        <vt:i4>0</vt:i4>
      </vt:variant>
      <vt:variant>
        <vt:i4>5</vt:i4>
      </vt:variant>
      <vt:variant>
        <vt:lpwstr/>
      </vt:variant>
      <vt:variant>
        <vt:lpwstr>_Toc156832072</vt:lpwstr>
      </vt:variant>
      <vt:variant>
        <vt:i4>2031668</vt:i4>
      </vt:variant>
      <vt:variant>
        <vt:i4>74</vt:i4>
      </vt:variant>
      <vt:variant>
        <vt:i4>0</vt:i4>
      </vt:variant>
      <vt:variant>
        <vt:i4>5</vt:i4>
      </vt:variant>
      <vt:variant>
        <vt:lpwstr/>
      </vt:variant>
      <vt:variant>
        <vt:lpwstr>_Toc156832071</vt:lpwstr>
      </vt:variant>
      <vt:variant>
        <vt:i4>2031668</vt:i4>
      </vt:variant>
      <vt:variant>
        <vt:i4>68</vt:i4>
      </vt:variant>
      <vt:variant>
        <vt:i4>0</vt:i4>
      </vt:variant>
      <vt:variant>
        <vt:i4>5</vt:i4>
      </vt:variant>
      <vt:variant>
        <vt:lpwstr/>
      </vt:variant>
      <vt:variant>
        <vt:lpwstr>_Toc156832070</vt:lpwstr>
      </vt:variant>
      <vt:variant>
        <vt:i4>1966132</vt:i4>
      </vt:variant>
      <vt:variant>
        <vt:i4>62</vt:i4>
      </vt:variant>
      <vt:variant>
        <vt:i4>0</vt:i4>
      </vt:variant>
      <vt:variant>
        <vt:i4>5</vt:i4>
      </vt:variant>
      <vt:variant>
        <vt:lpwstr/>
      </vt:variant>
      <vt:variant>
        <vt:lpwstr>_Toc156832069</vt:lpwstr>
      </vt:variant>
      <vt:variant>
        <vt:i4>1966132</vt:i4>
      </vt:variant>
      <vt:variant>
        <vt:i4>56</vt:i4>
      </vt:variant>
      <vt:variant>
        <vt:i4>0</vt:i4>
      </vt:variant>
      <vt:variant>
        <vt:i4>5</vt:i4>
      </vt:variant>
      <vt:variant>
        <vt:lpwstr/>
      </vt:variant>
      <vt:variant>
        <vt:lpwstr>_Toc156832068</vt:lpwstr>
      </vt:variant>
      <vt:variant>
        <vt:i4>1966132</vt:i4>
      </vt:variant>
      <vt:variant>
        <vt:i4>50</vt:i4>
      </vt:variant>
      <vt:variant>
        <vt:i4>0</vt:i4>
      </vt:variant>
      <vt:variant>
        <vt:i4>5</vt:i4>
      </vt:variant>
      <vt:variant>
        <vt:lpwstr/>
      </vt:variant>
      <vt:variant>
        <vt:lpwstr>_Toc156832067</vt:lpwstr>
      </vt:variant>
      <vt:variant>
        <vt:i4>1966132</vt:i4>
      </vt:variant>
      <vt:variant>
        <vt:i4>44</vt:i4>
      </vt:variant>
      <vt:variant>
        <vt:i4>0</vt:i4>
      </vt:variant>
      <vt:variant>
        <vt:i4>5</vt:i4>
      </vt:variant>
      <vt:variant>
        <vt:lpwstr/>
      </vt:variant>
      <vt:variant>
        <vt:lpwstr>_Toc156832066</vt:lpwstr>
      </vt:variant>
      <vt:variant>
        <vt:i4>1966132</vt:i4>
      </vt:variant>
      <vt:variant>
        <vt:i4>38</vt:i4>
      </vt:variant>
      <vt:variant>
        <vt:i4>0</vt:i4>
      </vt:variant>
      <vt:variant>
        <vt:i4>5</vt:i4>
      </vt:variant>
      <vt:variant>
        <vt:lpwstr/>
      </vt:variant>
      <vt:variant>
        <vt:lpwstr>_Toc156832065</vt:lpwstr>
      </vt:variant>
      <vt:variant>
        <vt:i4>1966132</vt:i4>
      </vt:variant>
      <vt:variant>
        <vt:i4>32</vt:i4>
      </vt:variant>
      <vt:variant>
        <vt:i4>0</vt:i4>
      </vt:variant>
      <vt:variant>
        <vt:i4>5</vt:i4>
      </vt:variant>
      <vt:variant>
        <vt:lpwstr/>
      </vt:variant>
      <vt:variant>
        <vt:lpwstr>_Toc156832064</vt:lpwstr>
      </vt:variant>
      <vt:variant>
        <vt:i4>1966132</vt:i4>
      </vt:variant>
      <vt:variant>
        <vt:i4>26</vt:i4>
      </vt:variant>
      <vt:variant>
        <vt:i4>0</vt:i4>
      </vt:variant>
      <vt:variant>
        <vt:i4>5</vt:i4>
      </vt:variant>
      <vt:variant>
        <vt:lpwstr/>
      </vt:variant>
      <vt:variant>
        <vt:lpwstr>_Toc156832063</vt:lpwstr>
      </vt:variant>
      <vt:variant>
        <vt:i4>1966132</vt:i4>
      </vt:variant>
      <vt:variant>
        <vt:i4>20</vt:i4>
      </vt:variant>
      <vt:variant>
        <vt:i4>0</vt:i4>
      </vt:variant>
      <vt:variant>
        <vt:i4>5</vt:i4>
      </vt:variant>
      <vt:variant>
        <vt:lpwstr/>
      </vt:variant>
      <vt:variant>
        <vt:lpwstr>_Toc156832062</vt:lpwstr>
      </vt:variant>
      <vt:variant>
        <vt:i4>1966132</vt:i4>
      </vt:variant>
      <vt:variant>
        <vt:i4>14</vt:i4>
      </vt:variant>
      <vt:variant>
        <vt:i4>0</vt:i4>
      </vt:variant>
      <vt:variant>
        <vt:i4>5</vt:i4>
      </vt:variant>
      <vt:variant>
        <vt:lpwstr/>
      </vt:variant>
      <vt:variant>
        <vt:lpwstr>_Toc156832061</vt:lpwstr>
      </vt:variant>
      <vt:variant>
        <vt:i4>1966132</vt:i4>
      </vt:variant>
      <vt:variant>
        <vt:i4>8</vt:i4>
      </vt:variant>
      <vt:variant>
        <vt:i4>0</vt:i4>
      </vt:variant>
      <vt:variant>
        <vt:i4>5</vt:i4>
      </vt:variant>
      <vt:variant>
        <vt:lpwstr/>
      </vt:variant>
      <vt:variant>
        <vt:lpwstr>_Toc156832060</vt:lpwstr>
      </vt:variant>
      <vt:variant>
        <vt:i4>1900596</vt:i4>
      </vt:variant>
      <vt:variant>
        <vt:i4>2</vt:i4>
      </vt:variant>
      <vt:variant>
        <vt:i4>0</vt:i4>
      </vt:variant>
      <vt:variant>
        <vt:i4>5</vt:i4>
      </vt:variant>
      <vt:variant>
        <vt:lpwstr/>
      </vt:variant>
      <vt:variant>
        <vt:lpwstr>_Toc156832059</vt:lpwstr>
      </vt:variant>
      <vt:variant>
        <vt:i4>7667829</vt:i4>
      </vt:variant>
      <vt:variant>
        <vt:i4>0</vt:i4>
      </vt:variant>
      <vt:variant>
        <vt:i4>0</vt:i4>
      </vt:variant>
      <vt:variant>
        <vt:i4>5</vt:i4>
      </vt:variant>
      <vt:variant>
        <vt:lpwstr>https://www.who.int/publications/i/item/framework-for-action-on-interprofessional-education-collaborative-practice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Unleashing the potential of our Health Workforce – Scope of Practice Review – Issues Paper 1</dc:title>
  <dc:subject>Health workforce</dc:subject>
  <dc:creator>Australian Government Department of Health and Aged Care</dc:creator>
  <cp:keywords>Health workforce; primary care</cp:keywords>
  <cp:revision>2</cp:revision>
  <cp:lastPrinted>2024-01-23T02:53:00Z</cp:lastPrinted>
  <dcterms:created xsi:type="dcterms:W3CDTF">2024-01-23T05:45:00Z</dcterms:created>
  <dcterms:modified xsi:type="dcterms:W3CDTF">2024-01-23T05:45:00Z</dcterms:modified>
  <cp:category/>
</cp:coreProperties>
</file>