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E14A" w14:textId="77777777" w:rsidR="00982047" w:rsidRDefault="00982047" w:rsidP="003D033A">
      <w:pPr>
        <w:pStyle w:val="Title"/>
      </w:pPr>
      <w:r w:rsidRPr="00982047">
        <w:t>Unleashing the Potential of our Health Workforce</w:t>
      </w:r>
    </w:p>
    <w:p w14:paraId="26580AE3" w14:textId="77777777" w:rsidR="00982047" w:rsidRDefault="00982047" w:rsidP="00982047">
      <w:pPr>
        <w:pStyle w:val="Subtitle"/>
      </w:pPr>
      <w:r w:rsidRPr="00982047">
        <w:t>Scope of practice review</w:t>
      </w:r>
    </w:p>
    <w:p w14:paraId="101A2E54" w14:textId="23996F43" w:rsidR="00BA2732" w:rsidRDefault="00982047" w:rsidP="00982047">
      <w:pPr>
        <w:pStyle w:val="Subtitle"/>
      </w:pPr>
      <w:r w:rsidRPr="00982047">
        <w:t xml:space="preserve">Issues paper 1 – </w:t>
      </w:r>
      <w:r>
        <w:t>January 2024</w:t>
      </w:r>
    </w:p>
    <w:p w14:paraId="2930C7FE" w14:textId="0E92B010" w:rsidR="00FA02BB" w:rsidRDefault="00FA02BB" w:rsidP="00FA02BB">
      <w:pPr>
        <w:pStyle w:val="Heading1"/>
      </w:pPr>
      <w:bookmarkStart w:id="0" w:name="_Toc157436081"/>
      <w:r w:rsidRPr="00FA02BB">
        <w:t>A</w:t>
      </w:r>
      <w:r w:rsidR="00982047">
        <w:t>genda</w:t>
      </w:r>
      <w:bookmarkEnd w:id="0"/>
    </w:p>
    <w:sdt>
      <w:sdtPr>
        <w:id w:val="-493411846"/>
        <w:docPartObj>
          <w:docPartGallery w:val="Table of Contents"/>
          <w:docPartUnique/>
        </w:docPartObj>
      </w:sdtPr>
      <w:sdtEndPr>
        <w:rPr>
          <w:b/>
          <w:bCs/>
          <w:noProof/>
        </w:rPr>
      </w:sdtEndPr>
      <w:sdtContent>
        <w:p w14:paraId="59DBAEB0" w14:textId="0EC6AAB6" w:rsidR="00AB0A9E" w:rsidRPr="00A027CD" w:rsidRDefault="00AB0A9E" w:rsidP="00A027CD">
          <w:r>
            <w:fldChar w:fldCharType="begin"/>
          </w:r>
          <w:r>
            <w:instrText xml:space="preserve"> TOC \o "1-3" \h \z \u </w:instrText>
          </w:r>
          <w:r>
            <w:fldChar w:fldCharType="separate"/>
          </w:r>
        </w:p>
        <w:p w14:paraId="5BC97AB7" w14:textId="798E1280" w:rsidR="00AB0A9E" w:rsidRDefault="00D6438C">
          <w:pPr>
            <w:pStyle w:val="TOC2"/>
            <w:tabs>
              <w:tab w:val="right" w:leader="dot" w:pos="9060"/>
            </w:tabs>
            <w:rPr>
              <w:noProof/>
            </w:rPr>
          </w:pPr>
          <w:hyperlink w:anchor="_Toc157436082" w:history="1">
            <w:r w:rsidR="00AB0A9E" w:rsidRPr="00832E32">
              <w:rPr>
                <w:rStyle w:val="Hyperlink"/>
                <w:noProof/>
              </w:rPr>
              <w:t>Background and context</w:t>
            </w:r>
            <w:r w:rsidR="00AB0A9E">
              <w:rPr>
                <w:noProof/>
                <w:webHidden/>
              </w:rPr>
              <w:tab/>
            </w:r>
            <w:r w:rsidR="00AB0A9E">
              <w:rPr>
                <w:noProof/>
                <w:webHidden/>
              </w:rPr>
              <w:fldChar w:fldCharType="begin"/>
            </w:r>
            <w:r w:rsidR="00AB0A9E">
              <w:rPr>
                <w:noProof/>
                <w:webHidden/>
              </w:rPr>
              <w:instrText xml:space="preserve"> PAGEREF _Toc157436082 \h </w:instrText>
            </w:r>
            <w:r w:rsidR="00AB0A9E">
              <w:rPr>
                <w:noProof/>
                <w:webHidden/>
              </w:rPr>
            </w:r>
            <w:r w:rsidR="00AB0A9E">
              <w:rPr>
                <w:noProof/>
                <w:webHidden/>
              </w:rPr>
              <w:fldChar w:fldCharType="separate"/>
            </w:r>
            <w:r w:rsidR="00AB0A9E">
              <w:rPr>
                <w:noProof/>
                <w:webHidden/>
              </w:rPr>
              <w:t>1</w:t>
            </w:r>
            <w:r w:rsidR="00AB0A9E">
              <w:rPr>
                <w:noProof/>
                <w:webHidden/>
              </w:rPr>
              <w:fldChar w:fldCharType="end"/>
            </w:r>
          </w:hyperlink>
        </w:p>
        <w:p w14:paraId="5B75A415" w14:textId="2BADDF5C" w:rsidR="00AB0A9E" w:rsidRDefault="00D6438C">
          <w:pPr>
            <w:pStyle w:val="TOC2"/>
            <w:tabs>
              <w:tab w:val="right" w:leader="dot" w:pos="9060"/>
            </w:tabs>
            <w:rPr>
              <w:noProof/>
            </w:rPr>
          </w:pPr>
          <w:hyperlink w:anchor="_Toc157436083" w:history="1">
            <w:r w:rsidR="00AB0A9E" w:rsidRPr="00832E32">
              <w:rPr>
                <w:rStyle w:val="Hyperlink"/>
                <w:noProof/>
              </w:rPr>
              <w:t>Journey to date</w:t>
            </w:r>
            <w:r w:rsidR="00AB0A9E">
              <w:rPr>
                <w:noProof/>
                <w:webHidden/>
              </w:rPr>
              <w:tab/>
            </w:r>
            <w:r w:rsidR="00AB0A9E">
              <w:rPr>
                <w:noProof/>
                <w:webHidden/>
              </w:rPr>
              <w:fldChar w:fldCharType="begin"/>
            </w:r>
            <w:r w:rsidR="00AB0A9E">
              <w:rPr>
                <w:noProof/>
                <w:webHidden/>
              </w:rPr>
              <w:instrText xml:space="preserve"> PAGEREF _Toc157436083 \h </w:instrText>
            </w:r>
            <w:r w:rsidR="00AB0A9E">
              <w:rPr>
                <w:noProof/>
                <w:webHidden/>
              </w:rPr>
            </w:r>
            <w:r w:rsidR="00AB0A9E">
              <w:rPr>
                <w:noProof/>
                <w:webHidden/>
              </w:rPr>
              <w:fldChar w:fldCharType="separate"/>
            </w:r>
            <w:r w:rsidR="00AB0A9E">
              <w:rPr>
                <w:noProof/>
                <w:webHidden/>
              </w:rPr>
              <w:t>1</w:t>
            </w:r>
            <w:r w:rsidR="00AB0A9E">
              <w:rPr>
                <w:noProof/>
                <w:webHidden/>
              </w:rPr>
              <w:fldChar w:fldCharType="end"/>
            </w:r>
          </w:hyperlink>
        </w:p>
        <w:p w14:paraId="4B249F28" w14:textId="741197D8" w:rsidR="00AB0A9E" w:rsidRDefault="00D6438C">
          <w:pPr>
            <w:pStyle w:val="TOC3"/>
            <w:tabs>
              <w:tab w:val="right" w:leader="dot" w:pos="9060"/>
            </w:tabs>
            <w:rPr>
              <w:noProof/>
            </w:rPr>
          </w:pPr>
          <w:hyperlink w:anchor="_Toc157436084" w:history="1">
            <w:r w:rsidR="00AB0A9E" w:rsidRPr="00832E32">
              <w:rPr>
                <w:rStyle w:val="Hyperlink"/>
                <w:noProof/>
              </w:rPr>
              <w:t>Expert Advisory Committee</w:t>
            </w:r>
            <w:r w:rsidR="00AB0A9E">
              <w:rPr>
                <w:noProof/>
                <w:webHidden/>
              </w:rPr>
              <w:tab/>
            </w:r>
            <w:r w:rsidR="00AB0A9E">
              <w:rPr>
                <w:noProof/>
                <w:webHidden/>
              </w:rPr>
              <w:fldChar w:fldCharType="begin"/>
            </w:r>
            <w:r w:rsidR="00AB0A9E">
              <w:rPr>
                <w:noProof/>
                <w:webHidden/>
              </w:rPr>
              <w:instrText xml:space="preserve"> PAGEREF _Toc157436084 \h </w:instrText>
            </w:r>
            <w:r w:rsidR="00AB0A9E">
              <w:rPr>
                <w:noProof/>
                <w:webHidden/>
              </w:rPr>
            </w:r>
            <w:r w:rsidR="00AB0A9E">
              <w:rPr>
                <w:noProof/>
                <w:webHidden/>
              </w:rPr>
              <w:fldChar w:fldCharType="separate"/>
            </w:r>
            <w:r w:rsidR="00AB0A9E">
              <w:rPr>
                <w:noProof/>
                <w:webHidden/>
              </w:rPr>
              <w:t>1</w:t>
            </w:r>
            <w:r w:rsidR="00AB0A9E">
              <w:rPr>
                <w:noProof/>
                <w:webHidden/>
              </w:rPr>
              <w:fldChar w:fldCharType="end"/>
            </w:r>
          </w:hyperlink>
        </w:p>
        <w:p w14:paraId="56FAA017" w14:textId="353BBC80" w:rsidR="00AB0A9E" w:rsidRDefault="00D6438C">
          <w:pPr>
            <w:pStyle w:val="TOC2"/>
            <w:tabs>
              <w:tab w:val="right" w:leader="dot" w:pos="9060"/>
            </w:tabs>
            <w:rPr>
              <w:noProof/>
            </w:rPr>
          </w:pPr>
          <w:hyperlink w:anchor="_Toc157436085" w:history="1">
            <w:r w:rsidR="00AB0A9E" w:rsidRPr="00832E32">
              <w:rPr>
                <w:rStyle w:val="Hyperlink"/>
                <w:noProof/>
              </w:rPr>
              <w:t>Purpose and summary of evidence</w:t>
            </w:r>
            <w:r w:rsidR="00AB0A9E">
              <w:rPr>
                <w:noProof/>
                <w:webHidden/>
              </w:rPr>
              <w:tab/>
            </w:r>
            <w:r w:rsidR="00AB0A9E">
              <w:rPr>
                <w:noProof/>
                <w:webHidden/>
              </w:rPr>
              <w:fldChar w:fldCharType="begin"/>
            </w:r>
            <w:r w:rsidR="00AB0A9E">
              <w:rPr>
                <w:noProof/>
                <w:webHidden/>
              </w:rPr>
              <w:instrText xml:space="preserve"> PAGEREF _Toc157436085 \h </w:instrText>
            </w:r>
            <w:r w:rsidR="00AB0A9E">
              <w:rPr>
                <w:noProof/>
                <w:webHidden/>
              </w:rPr>
            </w:r>
            <w:r w:rsidR="00AB0A9E">
              <w:rPr>
                <w:noProof/>
                <w:webHidden/>
              </w:rPr>
              <w:fldChar w:fldCharType="separate"/>
            </w:r>
            <w:r w:rsidR="00AB0A9E">
              <w:rPr>
                <w:noProof/>
                <w:webHidden/>
              </w:rPr>
              <w:t>2</w:t>
            </w:r>
            <w:r w:rsidR="00AB0A9E">
              <w:rPr>
                <w:noProof/>
                <w:webHidden/>
              </w:rPr>
              <w:fldChar w:fldCharType="end"/>
            </w:r>
          </w:hyperlink>
        </w:p>
        <w:p w14:paraId="67DC7509" w14:textId="72FBB5BD" w:rsidR="00AB0A9E" w:rsidRDefault="00D6438C">
          <w:pPr>
            <w:pStyle w:val="TOC2"/>
            <w:tabs>
              <w:tab w:val="right" w:leader="dot" w:pos="9060"/>
            </w:tabs>
            <w:rPr>
              <w:noProof/>
            </w:rPr>
          </w:pPr>
          <w:hyperlink w:anchor="_Toc157436086" w:history="1">
            <w:r w:rsidR="00AB0A9E" w:rsidRPr="00832E32">
              <w:rPr>
                <w:rStyle w:val="Hyperlink"/>
                <w:noProof/>
              </w:rPr>
              <w:t>Emerging themes</w:t>
            </w:r>
            <w:r w:rsidR="00AB0A9E">
              <w:rPr>
                <w:noProof/>
                <w:webHidden/>
              </w:rPr>
              <w:tab/>
            </w:r>
            <w:r w:rsidR="00AB0A9E">
              <w:rPr>
                <w:noProof/>
                <w:webHidden/>
              </w:rPr>
              <w:fldChar w:fldCharType="begin"/>
            </w:r>
            <w:r w:rsidR="00AB0A9E">
              <w:rPr>
                <w:noProof/>
                <w:webHidden/>
              </w:rPr>
              <w:instrText xml:space="preserve"> PAGEREF _Toc157436086 \h </w:instrText>
            </w:r>
            <w:r w:rsidR="00AB0A9E">
              <w:rPr>
                <w:noProof/>
                <w:webHidden/>
              </w:rPr>
            </w:r>
            <w:r w:rsidR="00AB0A9E">
              <w:rPr>
                <w:noProof/>
                <w:webHidden/>
              </w:rPr>
              <w:fldChar w:fldCharType="separate"/>
            </w:r>
            <w:r w:rsidR="00AB0A9E">
              <w:rPr>
                <w:noProof/>
                <w:webHidden/>
              </w:rPr>
              <w:t>2</w:t>
            </w:r>
            <w:r w:rsidR="00AB0A9E">
              <w:rPr>
                <w:noProof/>
                <w:webHidden/>
              </w:rPr>
              <w:fldChar w:fldCharType="end"/>
            </w:r>
          </w:hyperlink>
        </w:p>
        <w:p w14:paraId="0F82BC94" w14:textId="18528527" w:rsidR="00AB0A9E" w:rsidRDefault="00D6438C">
          <w:pPr>
            <w:pStyle w:val="TOC3"/>
            <w:tabs>
              <w:tab w:val="left" w:pos="880"/>
              <w:tab w:val="right" w:leader="dot" w:pos="9060"/>
            </w:tabs>
            <w:rPr>
              <w:noProof/>
            </w:rPr>
          </w:pPr>
          <w:hyperlink w:anchor="_Toc157436087" w:history="1">
            <w:r w:rsidR="00AB0A9E" w:rsidRPr="00832E32">
              <w:rPr>
                <w:rStyle w:val="Hyperlink"/>
                <w:noProof/>
              </w:rPr>
              <w:t>1.</w:t>
            </w:r>
            <w:r w:rsidR="00AB0A9E">
              <w:rPr>
                <w:noProof/>
              </w:rPr>
              <w:tab/>
            </w:r>
            <w:r w:rsidR="00AB0A9E" w:rsidRPr="00832E32">
              <w:rPr>
                <w:rStyle w:val="Hyperlink"/>
                <w:noProof/>
              </w:rPr>
              <w:t>Legislation and regulation</w:t>
            </w:r>
            <w:r w:rsidR="00AB0A9E">
              <w:rPr>
                <w:noProof/>
                <w:webHidden/>
              </w:rPr>
              <w:tab/>
            </w:r>
            <w:r w:rsidR="00AB0A9E">
              <w:rPr>
                <w:noProof/>
                <w:webHidden/>
              </w:rPr>
              <w:fldChar w:fldCharType="begin"/>
            </w:r>
            <w:r w:rsidR="00AB0A9E">
              <w:rPr>
                <w:noProof/>
                <w:webHidden/>
              </w:rPr>
              <w:instrText xml:space="preserve"> PAGEREF _Toc157436087 \h </w:instrText>
            </w:r>
            <w:r w:rsidR="00AB0A9E">
              <w:rPr>
                <w:noProof/>
                <w:webHidden/>
              </w:rPr>
            </w:r>
            <w:r w:rsidR="00AB0A9E">
              <w:rPr>
                <w:noProof/>
                <w:webHidden/>
              </w:rPr>
              <w:fldChar w:fldCharType="separate"/>
            </w:r>
            <w:r w:rsidR="00AB0A9E">
              <w:rPr>
                <w:noProof/>
                <w:webHidden/>
              </w:rPr>
              <w:t>3</w:t>
            </w:r>
            <w:r w:rsidR="00AB0A9E">
              <w:rPr>
                <w:noProof/>
                <w:webHidden/>
              </w:rPr>
              <w:fldChar w:fldCharType="end"/>
            </w:r>
          </w:hyperlink>
        </w:p>
        <w:p w14:paraId="2589393B" w14:textId="3043E836" w:rsidR="00AB0A9E" w:rsidRDefault="00D6438C">
          <w:pPr>
            <w:pStyle w:val="TOC3"/>
            <w:tabs>
              <w:tab w:val="left" w:pos="880"/>
              <w:tab w:val="right" w:leader="dot" w:pos="9060"/>
            </w:tabs>
            <w:rPr>
              <w:noProof/>
            </w:rPr>
          </w:pPr>
          <w:hyperlink w:anchor="_Toc157436088" w:history="1">
            <w:r w:rsidR="00AB0A9E" w:rsidRPr="00832E32">
              <w:rPr>
                <w:rStyle w:val="Hyperlink"/>
                <w:noProof/>
              </w:rPr>
              <w:t>2.</w:t>
            </w:r>
            <w:r w:rsidR="00AB0A9E">
              <w:rPr>
                <w:noProof/>
              </w:rPr>
              <w:tab/>
            </w:r>
            <w:r w:rsidR="00AB0A9E" w:rsidRPr="00832E32">
              <w:rPr>
                <w:rStyle w:val="Hyperlink"/>
                <w:noProof/>
              </w:rPr>
              <w:t>Employer practices and settings</w:t>
            </w:r>
            <w:r w:rsidR="00AB0A9E">
              <w:rPr>
                <w:noProof/>
                <w:webHidden/>
              </w:rPr>
              <w:tab/>
            </w:r>
            <w:r w:rsidR="00AB0A9E">
              <w:rPr>
                <w:noProof/>
                <w:webHidden/>
              </w:rPr>
              <w:fldChar w:fldCharType="begin"/>
            </w:r>
            <w:r w:rsidR="00AB0A9E">
              <w:rPr>
                <w:noProof/>
                <w:webHidden/>
              </w:rPr>
              <w:instrText xml:space="preserve"> PAGEREF _Toc157436088 \h </w:instrText>
            </w:r>
            <w:r w:rsidR="00AB0A9E">
              <w:rPr>
                <w:noProof/>
                <w:webHidden/>
              </w:rPr>
            </w:r>
            <w:r w:rsidR="00AB0A9E">
              <w:rPr>
                <w:noProof/>
                <w:webHidden/>
              </w:rPr>
              <w:fldChar w:fldCharType="separate"/>
            </w:r>
            <w:r w:rsidR="00AB0A9E">
              <w:rPr>
                <w:noProof/>
                <w:webHidden/>
              </w:rPr>
              <w:t>3</w:t>
            </w:r>
            <w:r w:rsidR="00AB0A9E">
              <w:rPr>
                <w:noProof/>
                <w:webHidden/>
              </w:rPr>
              <w:fldChar w:fldCharType="end"/>
            </w:r>
          </w:hyperlink>
        </w:p>
        <w:p w14:paraId="1C656081" w14:textId="78FD0F79" w:rsidR="00AB0A9E" w:rsidRDefault="00D6438C">
          <w:pPr>
            <w:pStyle w:val="TOC3"/>
            <w:tabs>
              <w:tab w:val="left" w:pos="880"/>
              <w:tab w:val="right" w:leader="dot" w:pos="9060"/>
            </w:tabs>
            <w:rPr>
              <w:noProof/>
            </w:rPr>
          </w:pPr>
          <w:hyperlink w:anchor="_Toc157436089" w:history="1">
            <w:r w:rsidR="00AB0A9E" w:rsidRPr="00832E32">
              <w:rPr>
                <w:rStyle w:val="Hyperlink"/>
                <w:noProof/>
              </w:rPr>
              <w:t>3.</w:t>
            </w:r>
            <w:r w:rsidR="00AB0A9E">
              <w:rPr>
                <w:noProof/>
              </w:rPr>
              <w:tab/>
            </w:r>
            <w:r w:rsidR="00AB0A9E" w:rsidRPr="00832E32">
              <w:rPr>
                <w:rStyle w:val="Hyperlink"/>
                <w:noProof/>
              </w:rPr>
              <w:t>Education and training</w:t>
            </w:r>
            <w:r w:rsidR="00AB0A9E">
              <w:rPr>
                <w:noProof/>
                <w:webHidden/>
              </w:rPr>
              <w:tab/>
            </w:r>
            <w:r w:rsidR="00AB0A9E">
              <w:rPr>
                <w:noProof/>
                <w:webHidden/>
              </w:rPr>
              <w:fldChar w:fldCharType="begin"/>
            </w:r>
            <w:r w:rsidR="00AB0A9E">
              <w:rPr>
                <w:noProof/>
                <w:webHidden/>
              </w:rPr>
              <w:instrText xml:space="preserve"> PAGEREF _Toc157436089 \h </w:instrText>
            </w:r>
            <w:r w:rsidR="00AB0A9E">
              <w:rPr>
                <w:noProof/>
                <w:webHidden/>
              </w:rPr>
            </w:r>
            <w:r w:rsidR="00AB0A9E">
              <w:rPr>
                <w:noProof/>
                <w:webHidden/>
              </w:rPr>
              <w:fldChar w:fldCharType="separate"/>
            </w:r>
            <w:r w:rsidR="00AB0A9E">
              <w:rPr>
                <w:noProof/>
                <w:webHidden/>
              </w:rPr>
              <w:t>4</w:t>
            </w:r>
            <w:r w:rsidR="00AB0A9E">
              <w:rPr>
                <w:noProof/>
                <w:webHidden/>
              </w:rPr>
              <w:fldChar w:fldCharType="end"/>
            </w:r>
          </w:hyperlink>
        </w:p>
        <w:p w14:paraId="7834070E" w14:textId="088141C3" w:rsidR="00AB0A9E" w:rsidRDefault="00D6438C">
          <w:pPr>
            <w:pStyle w:val="TOC3"/>
            <w:tabs>
              <w:tab w:val="left" w:pos="880"/>
              <w:tab w:val="right" w:leader="dot" w:pos="9060"/>
            </w:tabs>
            <w:rPr>
              <w:noProof/>
            </w:rPr>
          </w:pPr>
          <w:hyperlink w:anchor="_Toc157436090" w:history="1">
            <w:r w:rsidR="00AB0A9E" w:rsidRPr="00832E32">
              <w:rPr>
                <w:rStyle w:val="Hyperlink"/>
                <w:noProof/>
              </w:rPr>
              <w:t>4.</w:t>
            </w:r>
            <w:r w:rsidR="00AB0A9E">
              <w:rPr>
                <w:noProof/>
              </w:rPr>
              <w:tab/>
            </w:r>
            <w:r w:rsidR="00AB0A9E" w:rsidRPr="00832E32">
              <w:rPr>
                <w:rStyle w:val="Hyperlink"/>
                <w:noProof/>
              </w:rPr>
              <w:t>Funding policy</w:t>
            </w:r>
            <w:r w:rsidR="00AB0A9E">
              <w:rPr>
                <w:noProof/>
                <w:webHidden/>
              </w:rPr>
              <w:tab/>
            </w:r>
            <w:r w:rsidR="00AB0A9E">
              <w:rPr>
                <w:noProof/>
                <w:webHidden/>
              </w:rPr>
              <w:fldChar w:fldCharType="begin"/>
            </w:r>
            <w:r w:rsidR="00AB0A9E">
              <w:rPr>
                <w:noProof/>
                <w:webHidden/>
              </w:rPr>
              <w:instrText xml:space="preserve"> PAGEREF _Toc157436090 \h </w:instrText>
            </w:r>
            <w:r w:rsidR="00AB0A9E">
              <w:rPr>
                <w:noProof/>
                <w:webHidden/>
              </w:rPr>
            </w:r>
            <w:r w:rsidR="00AB0A9E">
              <w:rPr>
                <w:noProof/>
                <w:webHidden/>
              </w:rPr>
              <w:fldChar w:fldCharType="separate"/>
            </w:r>
            <w:r w:rsidR="00AB0A9E">
              <w:rPr>
                <w:noProof/>
                <w:webHidden/>
              </w:rPr>
              <w:t>4</w:t>
            </w:r>
            <w:r w:rsidR="00AB0A9E">
              <w:rPr>
                <w:noProof/>
                <w:webHidden/>
              </w:rPr>
              <w:fldChar w:fldCharType="end"/>
            </w:r>
          </w:hyperlink>
        </w:p>
        <w:p w14:paraId="7EFFAE40" w14:textId="1F9902F0" w:rsidR="00AB0A9E" w:rsidRDefault="00D6438C">
          <w:pPr>
            <w:pStyle w:val="TOC3"/>
            <w:tabs>
              <w:tab w:val="left" w:pos="880"/>
              <w:tab w:val="right" w:leader="dot" w:pos="9060"/>
            </w:tabs>
            <w:rPr>
              <w:noProof/>
            </w:rPr>
          </w:pPr>
          <w:hyperlink w:anchor="_Toc157436091" w:history="1">
            <w:r w:rsidR="00AB0A9E" w:rsidRPr="00832E32">
              <w:rPr>
                <w:rStyle w:val="Hyperlink"/>
                <w:noProof/>
              </w:rPr>
              <w:t>5.</w:t>
            </w:r>
            <w:r w:rsidR="00AB0A9E">
              <w:rPr>
                <w:noProof/>
              </w:rPr>
              <w:tab/>
            </w:r>
            <w:r w:rsidR="00AB0A9E" w:rsidRPr="00832E32">
              <w:rPr>
                <w:rStyle w:val="Hyperlink"/>
                <w:noProof/>
              </w:rPr>
              <w:t>Technology</w:t>
            </w:r>
            <w:r w:rsidR="00AB0A9E">
              <w:rPr>
                <w:noProof/>
                <w:webHidden/>
              </w:rPr>
              <w:tab/>
            </w:r>
            <w:r w:rsidR="00AB0A9E">
              <w:rPr>
                <w:noProof/>
                <w:webHidden/>
              </w:rPr>
              <w:fldChar w:fldCharType="begin"/>
            </w:r>
            <w:r w:rsidR="00AB0A9E">
              <w:rPr>
                <w:noProof/>
                <w:webHidden/>
              </w:rPr>
              <w:instrText xml:space="preserve"> PAGEREF _Toc157436091 \h </w:instrText>
            </w:r>
            <w:r w:rsidR="00AB0A9E">
              <w:rPr>
                <w:noProof/>
                <w:webHidden/>
              </w:rPr>
            </w:r>
            <w:r w:rsidR="00AB0A9E">
              <w:rPr>
                <w:noProof/>
                <w:webHidden/>
              </w:rPr>
              <w:fldChar w:fldCharType="separate"/>
            </w:r>
            <w:r w:rsidR="00AB0A9E">
              <w:rPr>
                <w:noProof/>
                <w:webHidden/>
              </w:rPr>
              <w:t>5</w:t>
            </w:r>
            <w:r w:rsidR="00AB0A9E">
              <w:rPr>
                <w:noProof/>
                <w:webHidden/>
              </w:rPr>
              <w:fldChar w:fldCharType="end"/>
            </w:r>
          </w:hyperlink>
        </w:p>
        <w:p w14:paraId="31CCCB5B" w14:textId="5DAAC5A8" w:rsidR="00AB0A9E" w:rsidRDefault="00D6438C">
          <w:pPr>
            <w:pStyle w:val="TOC2"/>
            <w:tabs>
              <w:tab w:val="right" w:leader="dot" w:pos="9060"/>
            </w:tabs>
            <w:rPr>
              <w:noProof/>
            </w:rPr>
          </w:pPr>
          <w:hyperlink w:anchor="_Toc157436092" w:history="1">
            <w:r w:rsidR="00AB0A9E" w:rsidRPr="00832E32">
              <w:rPr>
                <w:rStyle w:val="Hyperlink"/>
                <w:noProof/>
              </w:rPr>
              <w:t>Next steps</w:t>
            </w:r>
            <w:r w:rsidR="00AB0A9E">
              <w:rPr>
                <w:noProof/>
                <w:webHidden/>
              </w:rPr>
              <w:tab/>
            </w:r>
            <w:r w:rsidR="00AB0A9E">
              <w:rPr>
                <w:noProof/>
                <w:webHidden/>
              </w:rPr>
              <w:fldChar w:fldCharType="begin"/>
            </w:r>
            <w:r w:rsidR="00AB0A9E">
              <w:rPr>
                <w:noProof/>
                <w:webHidden/>
              </w:rPr>
              <w:instrText xml:space="preserve"> PAGEREF _Toc157436092 \h </w:instrText>
            </w:r>
            <w:r w:rsidR="00AB0A9E">
              <w:rPr>
                <w:noProof/>
                <w:webHidden/>
              </w:rPr>
            </w:r>
            <w:r w:rsidR="00AB0A9E">
              <w:rPr>
                <w:noProof/>
                <w:webHidden/>
              </w:rPr>
              <w:fldChar w:fldCharType="separate"/>
            </w:r>
            <w:r w:rsidR="00AB0A9E">
              <w:rPr>
                <w:noProof/>
                <w:webHidden/>
              </w:rPr>
              <w:t>6</w:t>
            </w:r>
            <w:r w:rsidR="00AB0A9E">
              <w:rPr>
                <w:noProof/>
                <w:webHidden/>
              </w:rPr>
              <w:fldChar w:fldCharType="end"/>
            </w:r>
          </w:hyperlink>
        </w:p>
        <w:p w14:paraId="57AB0F42" w14:textId="7B6DAF8B" w:rsidR="00AB0A9E" w:rsidRDefault="00AB0A9E">
          <w:r>
            <w:rPr>
              <w:b/>
              <w:bCs/>
              <w:noProof/>
            </w:rPr>
            <w:fldChar w:fldCharType="end"/>
          </w:r>
        </w:p>
      </w:sdtContent>
    </w:sdt>
    <w:p w14:paraId="311EA036" w14:textId="7EF4F6C7" w:rsidR="008F20BD" w:rsidRPr="00D6438C" w:rsidRDefault="008F20BD" w:rsidP="00D6438C">
      <w:bookmarkStart w:id="1" w:name="_Toc157436082"/>
      <w:r w:rsidRPr="00D6438C">
        <w:br w:type="page"/>
      </w:r>
    </w:p>
    <w:p w14:paraId="3ECF4CAE" w14:textId="304A6558" w:rsidR="00CE6502" w:rsidRDefault="00982047" w:rsidP="001571C7">
      <w:pPr>
        <w:pStyle w:val="Heading2"/>
      </w:pPr>
      <w:r>
        <w:lastRenderedPageBreak/>
        <w:t>Background and context</w:t>
      </w:r>
      <w:bookmarkEnd w:id="1"/>
    </w:p>
    <w:p w14:paraId="5E14C880" w14:textId="78817B69" w:rsidR="00982047" w:rsidRPr="00982047" w:rsidRDefault="00982047" w:rsidP="00982047">
      <w:r w:rsidRPr="00982047">
        <w:t>July 2022</w:t>
      </w:r>
      <w:r>
        <w:t xml:space="preserve"> – </w:t>
      </w:r>
      <w:r w:rsidRPr="00982047">
        <w:t>Strengthening Medicare</w:t>
      </w:r>
      <w:r>
        <w:t xml:space="preserve"> </w:t>
      </w:r>
      <w:r w:rsidRPr="00982047">
        <w:t xml:space="preserve">Taskforce </w:t>
      </w:r>
      <w:r w:rsidR="008F20BD">
        <w:t xml:space="preserve">(SMTF) </w:t>
      </w:r>
      <w:r w:rsidR="008F20BD" w:rsidRPr="00982047">
        <w:t>commenced</w:t>
      </w:r>
      <w:r w:rsidR="008F20BD">
        <w:t>.</w:t>
      </w:r>
    </w:p>
    <w:p w14:paraId="215C347C" w14:textId="7CA8F30F" w:rsidR="00982047" w:rsidRDefault="00982047" w:rsidP="00982047">
      <w:r w:rsidRPr="00982047">
        <w:t>December 2022</w:t>
      </w:r>
      <w:r>
        <w:t xml:space="preserve"> – </w:t>
      </w:r>
      <w:r w:rsidRPr="00982047">
        <w:t>SMTF report released</w:t>
      </w:r>
      <w:r w:rsidR="008F20BD">
        <w:t>.</w:t>
      </w:r>
    </w:p>
    <w:p w14:paraId="0F6BA487" w14:textId="536A4FFF" w:rsidR="00982047" w:rsidRPr="00982047" w:rsidRDefault="00982047" w:rsidP="00982047">
      <w:r w:rsidRPr="00982047">
        <w:t>April 2023</w:t>
      </w:r>
      <w:r>
        <w:t xml:space="preserve"> – </w:t>
      </w:r>
      <w:r w:rsidRPr="00982047">
        <w:t>National Cabinet endorsed</w:t>
      </w:r>
      <w:r>
        <w:t xml:space="preserve"> </w:t>
      </w:r>
      <w:r w:rsidRPr="00982047">
        <w:t xml:space="preserve">Taskforce </w:t>
      </w:r>
      <w:r w:rsidR="008F20BD" w:rsidRPr="00982047">
        <w:t>recommendations.</w:t>
      </w:r>
    </w:p>
    <w:p w14:paraId="655F33C2" w14:textId="1A6859D1" w:rsidR="00A13EB5" w:rsidRDefault="00982047" w:rsidP="00982047">
      <w:r w:rsidRPr="00982047">
        <w:t>May 2023</w:t>
      </w:r>
      <w:r>
        <w:t xml:space="preserve"> – </w:t>
      </w:r>
      <w:r w:rsidRPr="00982047">
        <w:t>Scope of Practice Review</w:t>
      </w:r>
      <w:r>
        <w:t xml:space="preserve"> </w:t>
      </w:r>
      <w:r w:rsidRPr="00982047">
        <w:t>announced</w:t>
      </w:r>
      <w:r w:rsidR="008F20BD">
        <w:t>.</w:t>
      </w:r>
    </w:p>
    <w:p w14:paraId="1A4E9B22" w14:textId="7C36780E" w:rsidR="00982047" w:rsidRDefault="00240B4F" w:rsidP="00240B4F">
      <w:pPr>
        <w:pStyle w:val="Heading2"/>
      </w:pPr>
      <w:bookmarkStart w:id="2" w:name="_Toc157436083"/>
      <w:r w:rsidRPr="00240B4F">
        <w:t>Journey to date</w:t>
      </w:r>
      <w:bookmarkEnd w:id="2"/>
    </w:p>
    <w:p w14:paraId="1C03D719" w14:textId="72104637" w:rsidR="00240B4F" w:rsidRDefault="00240B4F" w:rsidP="00240B4F">
      <w:r w:rsidRPr="00240B4F">
        <w:t>Ministerial announcement of Terms of Reference and review consultation: September 2023</w:t>
      </w:r>
    </w:p>
    <w:p w14:paraId="4DBAF7D7" w14:textId="2E0B945B" w:rsidR="007F2289" w:rsidRPr="00D6438C" w:rsidRDefault="007F2289" w:rsidP="00D6438C">
      <w:pPr>
        <w:pStyle w:val="Heading3nonumbering"/>
      </w:pPr>
      <w:bookmarkStart w:id="3" w:name="_Toc157436084"/>
      <w:r w:rsidRPr="00D6438C">
        <w:t>Expert Advisory Committee</w:t>
      </w:r>
      <w:bookmarkEnd w:id="3"/>
    </w:p>
    <w:p w14:paraId="6FB942B7" w14:textId="137A0663" w:rsidR="004E0756" w:rsidRPr="004E0756" w:rsidRDefault="00504D98" w:rsidP="004E0756">
      <w:pPr>
        <w:rPr>
          <w:rStyle w:val="Strong"/>
        </w:rPr>
      </w:pPr>
      <w:r w:rsidRPr="004E0756">
        <w:rPr>
          <w:rStyle w:val="Strong"/>
        </w:rPr>
        <w:t>Phase 1.</w:t>
      </w:r>
      <w:r w:rsidR="004E0756" w:rsidRPr="004E0756">
        <w:rPr>
          <w:rStyle w:val="Strong"/>
        </w:rPr>
        <w:t xml:space="preserve"> September–November 2023</w:t>
      </w:r>
    </w:p>
    <w:p w14:paraId="3460A115" w14:textId="77777777" w:rsidR="004E0756" w:rsidRDefault="004E0756" w:rsidP="004E0756">
      <w:pPr>
        <w:pStyle w:val="ListBullet2"/>
      </w:pPr>
      <w:r>
        <w:t>Project establishment</w:t>
      </w:r>
    </w:p>
    <w:p w14:paraId="634D92BE" w14:textId="77777777" w:rsidR="004E0756" w:rsidRDefault="004E0756" w:rsidP="004E0756">
      <w:pPr>
        <w:pStyle w:val="ListBullet2"/>
      </w:pPr>
      <w:r>
        <w:t>Public Submissions</w:t>
      </w:r>
    </w:p>
    <w:p w14:paraId="320362B5" w14:textId="77777777" w:rsidR="004E0756" w:rsidRDefault="004E0756" w:rsidP="004E0756">
      <w:pPr>
        <w:pStyle w:val="ListBullet2"/>
      </w:pPr>
      <w:r>
        <w:t>Closed 16 October</w:t>
      </w:r>
    </w:p>
    <w:p w14:paraId="7F5B53EF" w14:textId="495EE2DD" w:rsidR="004E0756" w:rsidRDefault="004E0756" w:rsidP="004E0756">
      <w:pPr>
        <w:pStyle w:val="ListBullet2"/>
      </w:pPr>
      <w:r>
        <w:t>Initial stakeholder consultation</w:t>
      </w:r>
    </w:p>
    <w:p w14:paraId="03A96D98" w14:textId="36609559" w:rsidR="00504D98" w:rsidRPr="007F2289" w:rsidRDefault="00504D98" w:rsidP="00240B4F">
      <w:pPr>
        <w:rPr>
          <w:rStyle w:val="Strong"/>
        </w:rPr>
      </w:pPr>
      <w:r w:rsidRPr="007F2289">
        <w:rPr>
          <w:rStyle w:val="Strong"/>
        </w:rPr>
        <w:t>Phase 2.</w:t>
      </w:r>
      <w:r w:rsidR="004E0756" w:rsidRPr="007F2289">
        <w:rPr>
          <w:rStyle w:val="Strong"/>
        </w:rPr>
        <w:t xml:space="preserve"> December 2023</w:t>
      </w:r>
      <w:r w:rsidR="009B3DC2" w:rsidRPr="007F2289">
        <w:rPr>
          <w:rStyle w:val="Strong"/>
        </w:rPr>
        <w:t>–March 2024</w:t>
      </w:r>
    </w:p>
    <w:p w14:paraId="10FC759E" w14:textId="77777777" w:rsidR="007F2289" w:rsidRDefault="007F2289" w:rsidP="007F2289">
      <w:pPr>
        <w:pStyle w:val="ListBullet2"/>
      </w:pPr>
      <w:r>
        <w:t>Issues Paper 1: key themes, evidence base and legislative context</w:t>
      </w:r>
    </w:p>
    <w:p w14:paraId="7DDB2133" w14:textId="4038FB6D" w:rsidR="009B3DC2" w:rsidRDefault="007F2289" w:rsidP="007F2289">
      <w:pPr>
        <w:pStyle w:val="ListBullet2"/>
      </w:pPr>
      <w:r>
        <w:t>Stakeholder forums and consultation</w:t>
      </w:r>
    </w:p>
    <w:p w14:paraId="1D5872F2" w14:textId="5017E307" w:rsidR="00504D98" w:rsidRPr="0004406E" w:rsidRDefault="00504D98" w:rsidP="009B3DC2">
      <w:pPr>
        <w:rPr>
          <w:rStyle w:val="Strong"/>
        </w:rPr>
      </w:pPr>
      <w:r w:rsidRPr="0004406E">
        <w:rPr>
          <w:rStyle w:val="Strong"/>
        </w:rPr>
        <w:t>Phase 3.</w:t>
      </w:r>
      <w:r w:rsidR="009B3DC2" w:rsidRPr="0004406E">
        <w:rPr>
          <w:rStyle w:val="Strong"/>
        </w:rPr>
        <w:t xml:space="preserve"> April–June 2024</w:t>
      </w:r>
    </w:p>
    <w:p w14:paraId="634EE588" w14:textId="77777777" w:rsidR="0004406E" w:rsidRDefault="0004406E" w:rsidP="0004406E">
      <w:pPr>
        <w:pStyle w:val="ListBullet2"/>
      </w:pPr>
      <w:r>
        <w:t>Issues Paper 2: barriers and enablers</w:t>
      </w:r>
    </w:p>
    <w:p w14:paraId="5C52C68A" w14:textId="64C87F5A" w:rsidR="0065465A" w:rsidRDefault="0004406E" w:rsidP="0004406E">
      <w:pPr>
        <w:pStyle w:val="ListBullet2"/>
      </w:pPr>
      <w:r>
        <w:t>Stakeholder forums and consultation</w:t>
      </w:r>
    </w:p>
    <w:p w14:paraId="6ADF8846" w14:textId="7E5947CC" w:rsidR="00504D98" w:rsidRDefault="00504D98" w:rsidP="00240B4F">
      <w:pPr>
        <w:rPr>
          <w:rStyle w:val="Strong"/>
        </w:rPr>
      </w:pPr>
      <w:r w:rsidRPr="0065465A">
        <w:rPr>
          <w:rStyle w:val="Strong"/>
        </w:rPr>
        <w:t>Phase 4.</w:t>
      </w:r>
      <w:r w:rsidR="009B3DC2" w:rsidRPr="0065465A">
        <w:rPr>
          <w:rStyle w:val="Strong"/>
        </w:rPr>
        <w:t xml:space="preserve"> </w:t>
      </w:r>
      <w:r w:rsidR="0065465A" w:rsidRPr="0065465A">
        <w:rPr>
          <w:rStyle w:val="Strong"/>
        </w:rPr>
        <w:t>July–September 2024</w:t>
      </w:r>
    </w:p>
    <w:p w14:paraId="229EEF61" w14:textId="77777777" w:rsidR="0004406E" w:rsidRDefault="0004406E" w:rsidP="0004406E">
      <w:pPr>
        <w:pStyle w:val="ListBullet2"/>
      </w:pPr>
      <w:r>
        <w:t>Draft final report and implementation plan</w:t>
      </w:r>
    </w:p>
    <w:p w14:paraId="6AF961F6" w14:textId="46523148" w:rsidR="0065465A" w:rsidRPr="0065465A" w:rsidRDefault="0004406E" w:rsidP="0004406E">
      <w:pPr>
        <w:pStyle w:val="ListBullet2"/>
      </w:pPr>
      <w:r>
        <w:t>Stakeholder forums and consultation</w:t>
      </w:r>
    </w:p>
    <w:p w14:paraId="41801ECD" w14:textId="4310EBE9" w:rsidR="00177AD2" w:rsidRPr="00240B4F" w:rsidRDefault="00240B4F" w:rsidP="00240B4F">
      <w:r w:rsidRPr="00240B4F">
        <w:t>Final report and implementation plan by October 2024</w:t>
      </w:r>
      <w:r w:rsidR="008F20BD">
        <w:t>.</w:t>
      </w:r>
    </w:p>
    <w:p w14:paraId="0E0457F7" w14:textId="77777777" w:rsidR="00240B4F" w:rsidRPr="00240B4F" w:rsidRDefault="00240B4F" w:rsidP="00240B4F">
      <w:pPr>
        <w:pStyle w:val="Heading2"/>
      </w:pPr>
      <w:bookmarkStart w:id="4" w:name="_Toc157436085"/>
      <w:r w:rsidRPr="00240B4F">
        <w:t>Purpose and summary of evidence</w:t>
      </w:r>
      <w:bookmarkEnd w:id="4"/>
    </w:p>
    <w:p w14:paraId="2EC3E619" w14:textId="2BB4F39E" w:rsidR="009040E9" w:rsidRDefault="00240B4F" w:rsidP="00240B4F">
      <w:r w:rsidRPr="00240B4F">
        <w:t>The</w:t>
      </w:r>
      <w:r>
        <w:t xml:space="preserve"> </w:t>
      </w:r>
      <w:r w:rsidRPr="00EF03B1">
        <w:rPr>
          <w:rStyle w:val="Strong"/>
        </w:rPr>
        <w:t>purpose</w:t>
      </w:r>
      <w:r w:rsidRPr="00240B4F">
        <w:t xml:space="preserve"> of this Issues Paper is to provide an overview of the evidence collected to</w:t>
      </w:r>
      <w:r>
        <w:t xml:space="preserve"> </w:t>
      </w:r>
      <w:r w:rsidRPr="00240B4F">
        <w:t xml:space="preserve">date through literature review, </w:t>
      </w:r>
      <w:proofErr w:type="gramStart"/>
      <w:r w:rsidRPr="00240B4F">
        <w:t>submissions</w:t>
      </w:r>
      <w:proofErr w:type="gramEnd"/>
      <w:r w:rsidRPr="00240B4F">
        <w:t xml:space="preserve"> and consultations, outline the emerging</w:t>
      </w:r>
      <w:r>
        <w:t xml:space="preserve"> </w:t>
      </w:r>
      <w:r w:rsidRPr="00240B4F">
        <w:t>themes from this evidence that require further exploration through the next phase of</w:t>
      </w:r>
      <w:r>
        <w:t xml:space="preserve"> </w:t>
      </w:r>
      <w:r w:rsidRPr="00240B4F">
        <w:t>consultations, and describe the direction and next steps for this Review.</w:t>
      </w:r>
    </w:p>
    <w:p w14:paraId="7707E5A2" w14:textId="0732C293" w:rsidR="00240B4F" w:rsidRDefault="00240B4F" w:rsidP="00240B4F">
      <w:r>
        <w:t xml:space="preserve">Broadly, the review of the evidence supports </w:t>
      </w:r>
      <w:r w:rsidRPr="00240B4F">
        <w:rPr>
          <w:rStyle w:val="Strong"/>
        </w:rPr>
        <w:t>two key findings</w:t>
      </w:r>
      <w:r>
        <w:t>:</w:t>
      </w:r>
    </w:p>
    <w:p w14:paraId="05017EE0" w14:textId="1B84F3D0" w:rsidR="00240B4F" w:rsidRDefault="00240B4F" w:rsidP="00240B4F">
      <w:pPr>
        <w:pStyle w:val="ListBullet"/>
      </w:pPr>
      <w:r>
        <w:t>Enabling health professionals to work to full scope of practice supports a stronger primary health care system</w:t>
      </w:r>
      <w:r w:rsidR="00BC1103">
        <w:t>.</w:t>
      </w:r>
    </w:p>
    <w:p w14:paraId="256D1724" w14:textId="77777777" w:rsidR="00240B4F" w:rsidRDefault="00240B4F" w:rsidP="00240B4F">
      <w:pPr>
        <w:pStyle w:val="ListBullet"/>
      </w:pPr>
      <w:r>
        <w:t>A range of barriers are currently preventing the primary health care workforce from working at full scope of practice.</w:t>
      </w:r>
    </w:p>
    <w:p w14:paraId="13D425E7" w14:textId="0501D932" w:rsidR="00240B4F" w:rsidRDefault="00240B4F" w:rsidP="00240B4F">
      <w:r w:rsidRPr="00240B4F">
        <w:rPr>
          <w:rStyle w:val="Strong"/>
        </w:rPr>
        <w:lastRenderedPageBreak/>
        <w:t>Benefits</w:t>
      </w:r>
      <w:r>
        <w:t>: Strong evidence of improved consumer access to care, consumer experience of care and health outcomes when health professionals are enabled to work to full scope of practice. Health professionals working to full scope of practice reduces workload for the acute care sector, increases health professional utilisation and retention and creates efficiencies at a system level.</w:t>
      </w:r>
    </w:p>
    <w:p w14:paraId="27F2AA3B" w14:textId="77777777" w:rsidR="00240B4F" w:rsidRDefault="00240B4F" w:rsidP="00240B4F">
      <w:pPr>
        <w:pStyle w:val="Heading2"/>
      </w:pPr>
      <w:bookmarkStart w:id="5" w:name="_Toc157436086"/>
      <w:r>
        <w:t>Emerging themes</w:t>
      </w:r>
      <w:bookmarkEnd w:id="5"/>
    </w:p>
    <w:p w14:paraId="394FE040" w14:textId="03A52A7D" w:rsidR="00240B4F" w:rsidRDefault="00240B4F" w:rsidP="00240B4F">
      <w:r>
        <w:t xml:space="preserve">The barriers, enablers, </w:t>
      </w:r>
      <w:proofErr w:type="gramStart"/>
      <w:r>
        <w:t>risks</w:t>
      </w:r>
      <w:proofErr w:type="gramEnd"/>
      <w:r>
        <w:t xml:space="preserve"> and benefits identified through evidence to date have led to identification of five emerging themes:</w:t>
      </w:r>
    </w:p>
    <w:p w14:paraId="1B1AF7A9" w14:textId="1F33C245" w:rsidR="00240B4F" w:rsidRDefault="00D6438C" w:rsidP="00240B4F">
      <w:pPr>
        <w:pStyle w:val="ListNumber2"/>
      </w:pPr>
      <w:hyperlink w:anchor="_Legislation_and_regulation" w:history="1">
        <w:r w:rsidR="00240B4F" w:rsidRPr="00A34099">
          <w:rPr>
            <w:rStyle w:val="Hyperlink"/>
          </w:rPr>
          <w:t>Legislation and regulation</w:t>
        </w:r>
      </w:hyperlink>
    </w:p>
    <w:p w14:paraId="749BDBB8" w14:textId="77777777" w:rsidR="00240B4F" w:rsidRDefault="00240B4F" w:rsidP="00240B4F">
      <w:r>
        <w:t>Where legislation or regulation authorise or inhibit health professionals in performing a particular activity</w:t>
      </w:r>
    </w:p>
    <w:p w14:paraId="1A490D12" w14:textId="0972C08D" w:rsidR="00240B4F" w:rsidRDefault="00D6438C" w:rsidP="00240B4F">
      <w:pPr>
        <w:pStyle w:val="ListNumber2"/>
      </w:pPr>
      <w:hyperlink w:anchor="_Employer_practices_and" w:history="1">
        <w:r w:rsidR="00240B4F" w:rsidRPr="00A34099">
          <w:rPr>
            <w:rStyle w:val="Hyperlink"/>
          </w:rPr>
          <w:t>Employer practices and settings</w:t>
        </w:r>
      </w:hyperlink>
    </w:p>
    <w:p w14:paraId="7F871C50" w14:textId="3524A224" w:rsidR="00240B4F" w:rsidRDefault="00240B4F" w:rsidP="00240B4F">
      <w:r>
        <w:t>Service level practices and settings which influence health professionals’ ability to work to full scope of practice.</w:t>
      </w:r>
    </w:p>
    <w:p w14:paraId="7D5632C7" w14:textId="69AD0DA1" w:rsidR="00240B4F" w:rsidRDefault="00D6438C" w:rsidP="00240B4F">
      <w:pPr>
        <w:pStyle w:val="ListNumber2"/>
      </w:pPr>
      <w:hyperlink w:anchor="_Education_and_training" w:history="1">
        <w:r w:rsidR="00240B4F" w:rsidRPr="00A34099">
          <w:rPr>
            <w:rStyle w:val="Hyperlink"/>
          </w:rPr>
          <w:t>Education and training</w:t>
        </w:r>
      </w:hyperlink>
    </w:p>
    <w:p w14:paraId="6EE6F719" w14:textId="359D286D" w:rsidR="00240B4F" w:rsidRDefault="00240B4F" w:rsidP="00240B4F">
      <w:r>
        <w:t>Pre and post professional</w:t>
      </w:r>
      <w:r w:rsidR="003347AB">
        <w:t xml:space="preserve"> </w:t>
      </w:r>
      <w:r>
        <w:t>entry learning and qualifications.</w:t>
      </w:r>
    </w:p>
    <w:p w14:paraId="2DA26F32" w14:textId="7DB8837E" w:rsidR="00240B4F" w:rsidRDefault="00D6438C" w:rsidP="00240B4F">
      <w:pPr>
        <w:pStyle w:val="ListNumber2"/>
      </w:pPr>
      <w:hyperlink w:anchor="_Funding_policy" w:history="1">
        <w:r w:rsidR="00240B4F" w:rsidRPr="00A34099">
          <w:rPr>
            <w:rStyle w:val="Hyperlink"/>
          </w:rPr>
          <w:t>Funding policy</w:t>
        </w:r>
      </w:hyperlink>
    </w:p>
    <w:p w14:paraId="4B90A768" w14:textId="00732BE3" w:rsidR="00240B4F" w:rsidRDefault="00240B4F" w:rsidP="00240B4F">
      <w:r>
        <w:t>The way funding and payment is provided for delivery of health care.</w:t>
      </w:r>
    </w:p>
    <w:p w14:paraId="07731D3F" w14:textId="0CD75EDF" w:rsidR="00240B4F" w:rsidRDefault="00D6438C" w:rsidP="00240B4F">
      <w:pPr>
        <w:pStyle w:val="ListNumber2"/>
      </w:pPr>
      <w:hyperlink w:anchor="_Technology" w:history="1">
        <w:r w:rsidR="00240B4F" w:rsidRPr="00A34099">
          <w:rPr>
            <w:rStyle w:val="Hyperlink"/>
          </w:rPr>
          <w:t>Technology</w:t>
        </w:r>
      </w:hyperlink>
    </w:p>
    <w:p w14:paraId="446C9151" w14:textId="6635B2E8" w:rsidR="00240B4F" w:rsidRDefault="00240B4F" w:rsidP="00240B4F">
      <w:r>
        <w:t xml:space="preserve">Integrated and accessible digital tools, </w:t>
      </w:r>
      <w:proofErr w:type="gramStart"/>
      <w:r>
        <w:t>communication</w:t>
      </w:r>
      <w:proofErr w:type="gramEnd"/>
      <w:r>
        <w:t xml:space="preserve"> and information sharing</w:t>
      </w:r>
    </w:p>
    <w:p w14:paraId="7F84DA0D" w14:textId="29C21B29" w:rsidR="00240B4F" w:rsidRDefault="00240B4F" w:rsidP="00240B4F">
      <w:r>
        <w:t xml:space="preserve">Each of the above five emerging themes is presented in the Issues Paper following the structure of context, challenges, opportunities for </w:t>
      </w:r>
      <w:r w:rsidR="00A34099">
        <w:t>improvement,</w:t>
      </w:r>
      <w:r>
        <w:t xml:space="preserve"> and </w:t>
      </w:r>
      <w:r w:rsidR="003347AB">
        <w:t>benefits.</w:t>
      </w:r>
    </w:p>
    <w:p w14:paraId="437A3CA6" w14:textId="7A181EF6" w:rsidR="00A34099" w:rsidRDefault="00240B4F" w:rsidP="00240B4F">
      <w:r>
        <w:t xml:space="preserve">Barriers or enablers within any theme may overlap with those in other themes to inhibit or support full scope of practice. This interdependency, </w:t>
      </w:r>
      <w:proofErr w:type="gramStart"/>
      <w:r>
        <w:t>interaction</w:t>
      </w:r>
      <w:proofErr w:type="gramEnd"/>
      <w:r>
        <w:t xml:space="preserve"> and impact of potential policy actions across themes will be carefully explored in following phases of the Review.</w:t>
      </w:r>
    </w:p>
    <w:p w14:paraId="4AC35123" w14:textId="1EEFF9F6" w:rsidR="00240B4F" w:rsidRDefault="00240B4F" w:rsidP="00240B4F">
      <w:pPr>
        <w:pStyle w:val="Heading3"/>
      </w:pPr>
      <w:bookmarkStart w:id="6" w:name="_Legislation_and_regulation"/>
      <w:bookmarkStart w:id="7" w:name="_Toc157436087"/>
      <w:bookmarkEnd w:id="6"/>
      <w:r w:rsidRPr="00240B4F">
        <w:t>Legislation and regulation</w:t>
      </w:r>
      <w:bookmarkEnd w:id="7"/>
    </w:p>
    <w:p w14:paraId="289F17D5" w14:textId="16B7BF2A" w:rsidR="00240B4F" w:rsidRDefault="00240B4F" w:rsidP="00240B4F">
      <w:pPr>
        <w:pStyle w:val="Heading4"/>
      </w:pPr>
      <w:r>
        <w:t>Policy issue</w:t>
      </w:r>
    </w:p>
    <w:p w14:paraId="42CBD24E" w14:textId="54D70A94" w:rsidR="00240B4F" w:rsidRDefault="00240B4F" w:rsidP="00240B4F">
      <w:r>
        <w:t>Legislation and regulation are key policy levers for scope of practice. Inconsistent regulatory</w:t>
      </w:r>
      <w:r w:rsidR="005271AC">
        <w:t xml:space="preserve"> </w:t>
      </w:r>
      <w:r>
        <w:t>approaches across health professions, named professions in legislation and regulation, and lengthy and inconsistent endorsement processes are all known barriers to health professionals working to full scope.</w:t>
      </w:r>
    </w:p>
    <w:p w14:paraId="23EF4384" w14:textId="77777777" w:rsidR="00240B4F" w:rsidRDefault="00240B4F" w:rsidP="00240B4F">
      <w:pPr>
        <w:pStyle w:val="Heading5"/>
      </w:pPr>
      <w:r w:rsidRPr="00240B4F">
        <w:t>Potential enablers</w:t>
      </w:r>
    </w:p>
    <w:p w14:paraId="355D8DB5" w14:textId="16F3A27F" w:rsidR="00240B4F" w:rsidRDefault="00240B4F" w:rsidP="00240B4F">
      <w:pPr>
        <w:pStyle w:val="ListBullet"/>
      </w:pPr>
      <w:r>
        <w:t>Harmonising Drugs and Poisons legislation</w:t>
      </w:r>
    </w:p>
    <w:p w14:paraId="2FE72344" w14:textId="3041A1EB" w:rsidR="00240B4F" w:rsidRDefault="00240B4F" w:rsidP="00240B4F">
      <w:pPr>
        <w:pStyle w:val="ListBullet"/>
      </w:pPr>
      <w:r>
        <w:t xml:space="preserve">Introducing risk based &amp; activity based regulatory processes to complement named </w:t>
      </w:r>
      <w:proofErr w:type="gramStart"/>
      <w:r w:rsidR="00BC1103">
        <w:t>professions</w:t>
      </w:r>
      <w:proofErr w:type="gramEnd"/>
    </w:p>
    <w:p w14:paraId="2B5F4300" w14:textId="7C70F43A" w:rsidR="00240B4F" w:rsidRDefault="00240B4F" w:rsidP="00240B4F">
      <w:pPr>
        <w:pStyle w:val="ListBullet"/>
      </w:pPr>
      <w:r>
        <w:t xml:space="preserve">Streamlining </w:t>
      </w:r>
      <w:r w:rsidR="00BC1103">
        <w:t>endorsement</w:t>
      </w:r>
      <w:r>
        <w:t xml:space="preserve"> processes</w:t>
      </w:r>
      <w:r w:rsidR="00BC1103">
        <w:t>.</w:t>
      </w:r>
    </w:p>
    <w:p w14:paraId="4356124B" w14:textId="0415FEC8" w:rsidR="00240B4F" w:rsidRPr="00240B4F" w:rsidRDefault="00240B4F" w:rsidP="00240B4F">
      <w:pPr>
        <w:pStyle w:val="ListBullet"/>
      </w:pPr>
      <w:r>
        <w:lastRenderedPageBreak/>
        <w:t xml:space="preserve">Reviewing authorising environments in </w:t>
      </w:r>
      <w:r w:rsidR="003347AB">
        <w:t>self-regulated</w:t>
      </w:r>
      <w:r>
        <w:t xml:space="preserve"> professions/unregulated workforce</w:t>
      </w:r>
      <w:r w:rsidR="00D63842">
        <w:t>.</w:t>
      </w:r>
    </w:p>
    <w:p w14:paraId="2CFDE9A8" w14:textId="77777777" w:rsidR="00240B4F" w:rsidRDefault="00240B4F" w:rsidP="00240B4F">
      <w:pPr>
        <w:pStyle w:val="Heading5"/>
      </w:pPr>
      <w:r w:rsidRPr="00240B4F">
        <w:t>Benefits</w:t>
      </w:r>
    </w:p>
    <w:p w14:paraId="7B10ACD1" w14:textId="60ED84EB" w:rsidR="00240B4F" w:rsidRDefault="00240B4F" w:rsidP="00240B4F">
      <w:pPr>
        <w:pStyle w:val="ListBullet"/>
      </w:pPr>
      <w:r>
        <w:t>Better consumer access and continuity of care</w:t>
      </w:r>
    </w:p>
    <w:p w14:paraId="1D10066E" w14:textId="13110F54" w:rsidR="00240B4F" w:rsidRDefault="00240B4F" w:rsidP="00240B4F">
      <w:pPr>
        <w:pStyle w:val="ListBullet"/>
      </w:pPr>
      <w:r>
        <w:t>Improved workforce satisfaction, retention</w:t>
      </w:r>
    </w:p>
    <w:p w14:paraId="0E71BAA7" w14:textId="08E4A3EC" w:rsidR="00240B4F" w:rsidRPr="00240B4F" w:rsidRDefault="00240B4F" w:rsidP="00240B4F">
      <w:pPr>
        <w:pStyle w:val="ListBullet"/>
      </w:pPr>
      <w:r>
        <w:t xml:space="preserve">Interprofessional trust and </w:t>
      </w:r>
      <w:r w:rsidR="003347AB">
        <w:t>understanding.</w:t>
      </w:r>
    </w:p>
    <w:p w14:paraId="23F9AF8B" w14:textId="77777777" w:rsidR="00240B4F" w:rsidRDefault="00240B4F" w:rsidP="00240B4F">
      <w:pPr>
        <w:pStyle w:val="Heading5"/>
      </w:pPr>
      <w:r>
        <w:t>Risks</w:t>
      </w:r>
    </w:p>
    <w:p w14:paraId="009F50AB" w14:textId="23C5A446" w:rsidR="00240B4F" w:rsidRDefault="00240B4F" w:rsidP="00240B4F">
      <w:r>
        <w:t xml:space="preserve">Reform not effectively implemented due to Employer level practices or Funding </w:t>
      </w:r>
      <w:r w:rsidR="003347AB">
        <w:t>policy.</w:t>
      </w:r>
    </w:p>
    <w:p w14:paraId="718AED25" w14:textId="5A461226" w:rsidR="00240B4F" w:rsidRDefault="00957D16" w:rsidP="00957D16">
      <w:pPr>
        <w:pStyle w:val="Heading3"/>
      </w:pPr>
      <w:bookmarkStart w:id="8" w:name="_Employer_practices_and"/>
      <w:bookmarkStart w:id="9" w:name="_Toc157436088"/>
      <w:bookmarkEnd w:id="8"/>
      <w:r w:rsidRPr="00957D16">
        <w:t>Employer practices and settings</w:t>
      </w:r>
      <w:bookmarkEnd w:id="9"/>
    </w:p>
    <w:p w14:paraId="6F8E424B" w14:textId="77777777" w:rsidR="00240B4F" w:rsidRDefault="00240B4F" w:rsidP="00240B4F">
      <w:pPr>
        <w:pStyle w:val="Heading4"/>
      </w:pPr>
      <w:r>
        <w:t>Policy issue</w:t>
      </w:r>
    </w:p>
    <w:p w14:paraId="3791CDBB" w14:textId="011FB6C7" w:rsidR="00240B4F" w:rsidRDefault="00957D16" w:rsidP="00957D16">
      <w:r>
        <w:t xml:space="preserve">Enabling and authorising environments, at the service level and across multi service care teams, are critical for health professionals to work to full scope of practice. Key barriers include inconsistent authorisation to perform </w:t>
      </w:r>
      <w:proofErr w:type="gramStart"/>
      <w:r>
        <w:t>particular activities</w:t>
      </w:r>
      <w:proofErr w:type="gramEnd"/>
      <w:r>
        <w:t xml:space="preserve"> across settings, gaps in employer recognition of endorsements and skills, and insufficient employer support for multidisciplinary care teams. These barriers interact with other system wide barriers and enablers.</w:t>
      </w:r>
    </w:p>
    <w:p w14:paraId="63585749" w14:textId="6DE10F61" w:rsidR="00240B4F" w:rsidRDefault="00240B4F" w:rsidP="00240B4F">
      <w:pPr>
        <w:pStyle w:val="Heading5"/>
      </w:pPr>
      <w:r w:rsidRPr="00240B4F">
        <w:t>Potential enablers</w:t>
      </w:r>
    </w:p>
    <w:p w14:paraId="6A986C95" w14:textId="294FC652" w:rsidR="00A34099" w:rsidRDefault="00A34099" w:rsidP="00A34099">
      <w:pPr>
        <w:pStyle w:val="ListBullet"/>
      </w:pPr>
      <w:r>
        <w:t>Establishing more consistent approaches to recognition of additional/specialised qualifications and competencies across settings</w:t>
      </w:r>
      <w:r w:rsidR="00D63842">
        <w:t>.</w:t>
      </w:r>
    </w:p>
    <w:p w14:paraId="748A6E03" w14:textId="76D6CBA7" w:rsidR="00A34099" w:rsidRDefault="00A34099" w:rsidP="00A34099">
      <w:pPr>
        <w:pStyle w:val="ListBullet"/>
      </w:pPr>
      <w:r>
        <w:t>Establishing models of multidisciplinary care for target patient cohorts and strengthening support for health professionals to work together across employers</w:t>
      </w:r>
      <w:r w:rsidR="00D63842">
        <w:t>.</w:t>
      </w:r>
    </w:p>
    <w:p w14:paraId="6948F9ED" w14:textId="703BC7AD" w:rsidR="00E06C18" w:rsidRPr="00E06C18" w:rsidRDefault="00A34099" w:rsidP="00A34099">
      <w:pPr>
        <w:pStyle w:val="ListBullet"/>
      </w:pPr>
      <w:r>
        <w:t>Reviewing clinical governance mechanisms in primary health care settings</w:t>
      </w:r>
      <w:r w:rsidR="003347AB">
        <w:t>.</w:t>
      </w:r>
    </w:p>
    <w:p w14:paraId="1D12E36E" w14:textId="259FA4D6" w:rsidR="00240B4F" w:rsidRDefault="00240B4F" w:rsidP="00240B4F">
      <w:pPr>
        <w:pStyle w:val="Heading5"/>
      </w:pPr>
      <w:r w:rsidRPr="00240B4F">
        <w:t>Benefits</w:t>
      </w:r>
    </w:p>
    <w:p w14:paraId="386C35A7" w14:textId="74780CFB" w:rsidR="00F72709" w:rsidRDefault="00F72709" w:rsidP="00F72709">
      <w:pPr>
        <w:pStyle w:val="ListBullet"/>
      </w:pPr>
      <w:r>
        <w:t>Improved consumer access</w:t>
      </w:r>
      <w:r w:rsidR="00D63842">
        <w:t>.</w:t>
      </w:r>
    </w:p>
    <w:p w14:paraId="2A531525" w14:textId="3C96E72E" w:rsidR="00F72709" w:rsidRDefault="00F72709" w:rsidP="00F72709">
      <w:pPr>
        <w:pStyle w:val="ListBullet"/>
      </w:pPr>
      <w:r>
        <w:t>Improved capacity to work effectively as multidisciplinary care teams</w:t>
      </w:r>
      <w:r w:rsidR="00D63842">
        <w:t>.</w:t>
      </w:r>
    </w:p>
    <w:p w14:paraId="505EFF3D" w14:textId="042F9C11" w:rsidR="00F72709" w:rsidRDefault="00F72709" w:rsidP="00F72709">
      <w:pPr>
        <w:pStyle w:val="ListBullet"/>
      </w:pPr>
      <w:r>
        <w:t>Improved workforce satisfaction and retention</w:t>
      </w:r>
      <w:r w:rsidR="00D63842">
        <w:t>.</w:t>
      </w:r>
    </w:p>
    <w:p w14:paraId="00B2EDAD" w14:textId="3182EF2D" w:rsidR="00E06C18" w:rsidRPr="00E06C18" w:rsidRDefault="00F72709" w:rsidP="00F72709">
      <w:pPr>
        <w:pStyle w:val="ListBullet"/>
      </w:pPr>
      <w:r>
        <w:t xml:space="preserve">Improved accountability, </w:t>
      </w:r>
      <w:proofErr w:type="gramStart"/>
      <w:r>
        <w:t>quality</w:t>
      </w:r>
      <w:proofErr w:type="gramEnd"/>
      <w:r>
        <w:t xml:space="preserve"> and safety</w:t>
      </w:r>
      <w:r w:rsidR="00D63842">
        <w:t>.</w:t>
      </w:r>
    </w:p>
    <w:p w14:paraId="70A913FB" w14:textId="486DA225" w:rsidR="00240B4F" w:rsidRDefault="00240B4F" w:rsidP="00240B4F">
      <w:pPr>
        <w:pStyle w:val="Heading5"/>
      </w:pPr>
      <w:r>
        <w:t>Risks</w:t>
      </w:r>
    </w:p>
    <w:p w14:paraId="299076C5" w14:textId="40683C2C" w:rsidR="00E06C18" w:rsidRPr="00E06C18" w:rsidRDefault="00E06C18" w:rsidP="00E06C18">
      <w:r>
        <w:t>Emphasis on multidisciplinary care results in new siloes rather than working in a truly connected way</w:t>
      </w:r>
      <w:r w:rsidR="003347AB">
        <w:t>.</w:t>
      </w:r>
    </w:p>
    <w:p w14:paraId="60BDD5CC" w14:textId="137FA169" w:rsidR="00957D16" w:rsidRPr="00957D16" w:rsidRDefault="00957D16" w:rsidP="00957D16">
      <w:pPr>
        <w:pStyle w:val="Heading3"/>
      </w:pPr>
      <w:bookmarkStart w:id="10" w:name="_Education_and_training"/>
      <w:bookmarkStart w:id="11" w:name="_Toc157436089"/>
      <w:bookmarkEnd w:id="10"/>
      <w:r w:rsidRPr="00957D16">
        <w:t>Education and training</w:t>
      </w:r>
      <w:bookmarkEnd w:id="11"/>
    </w:p>
    <w:p w14:paraId="252C4258" w14:textId="77777777" w:rsidR="00240B4F" w:rsidRDefault="00240B4F" w:rsidP="00240B4F">
      <w:pPr>
        <w:pStyle w:val="Heading4"/>
      </w:pPr>
      <w:r>
        <w:t>Policy issue</w:t>
      </w:r>
    </w:p>
    <w:p w14:paraId="719CBDDA" w14:textId="461CCA47" w:rsidR="00240B4F" w:rsidRDefault="00E06C18" w:rsidP="00240B4F">
      <w:r w:rsidRPr="00E06C18">
        <w:t xml:space="preserve">The Australian primary health care system features a proliferation of education and training requirements for competencies across health professions, which differ depending on how a health profession is regulated. Consultation findings indicate access to continuing professional development training is not consistently supported in practice, and training </w:t>
      </w:r>
      <w:r w:rsidRPr="00E06C18">
        <w:lastRenderedPageBreak/>
        <w:t>requirements for similar/common competencies apply inconsistently across professions in some cases.</w:t>
      </w:r>
    </w:p>
    <w:p w14:paraId="4A412BD2" w14:textId="77777777" w:rsidR="00240B4F" w:rsidRDefault="00240B4F" w:rsidP="00240B4F">
      <w:pPr>
        <w:pStyle w:val="Heading5"/>
      </w:pPr>
      <w:r w:rsidRPr="00240B4F">
        <w:t>Potential enablers</w:t>
      </w:r>
    </w:p>
    <w:p w14:paraId="4377768F" w14:textId="77777777" w:rsidR="00581A67" w:rsidRDefault="00581A67" w:rsidP="00581A67">
      <w:pPr>
        <w:pStyle w:val="ListBullet"/>
      </w:pPr>
      <w:r>
        <w:t>Establishing greater system system-wide clarity about requirements of profession entry learning</w:t>
      </w:r>
    </w:p>
    <w:p w14:paraId="590C2629" w14:textId="77777777" w:rsidR="00581A67" w:rsidRDefault="00581A67" w:rsidP="00581A67">
      <w:pPr>
        <w:pStyle w:val="ListBullet"/>
      </w:pPr>
      <w:r>
        <w:t>Establishing a nationally consistent approach in promoting and implementing common interprofessional competencies</w:t>
      </w:r>
    </w:p>
    <w:p w14:paraId="4220E769" w14:textId="77777777" w:rsidR="00581A67" w:rsidRDefault="00581A67" w:rsidP="00581A67">
      <w:pPr>
        <w:pStyle w:val="ListBullet"/>
      </w:pPr>
      <w:r>
        <w:t>Promoting multi multi-professional learning</w:t>
      </w:r>
    </w:p>
    <w:p w14:paraId="5012579E" w14:textId="79D9356E" w:rsidR="00581A67" w:rsidRPr="00581A67" w:rsidRDefault="00581A67" w:rsidP="00581A67">
      <w:pPr>
        <w:pStyle w:val="ListBullet"/>
      </w:pPr>
      <w:r>
        <w:t>Ensuring ongoing education and training are accessible</w:t>
      </w:r>
      <w:r w:rsidR="003347AB">
        <w:t>.</w:t>
      </w:r>
    </w:p>
    <w:p w14:paraId="413B0030" w14:textId="77777777" w:rsidR="00240B4F" w:rsidRDefault="00240B4F" w:rsidP="00240B4F">
      <w:pPr>
        <w:pStyle w:val="Heading5"/>
      </w:pPr>
      <w:r w:rsidRPr="00240B4F">
        <w:t>Benefits</w:t>
      </w:r>
    </w:p>
    <w:p w14:paraId="5B90DC3A" w14:textId="77777777" w:rsidR="0004677C" w:rsidRDefault="0004677C" w:rsidP="0004677C">
      <w:pPr>
        <w:pStyle w:val="ListBullet"/>
      </w:pPr>
      <w:r>
        <w:t>Improved consumer outcomes</w:t>
      </w:r>
    </w:p>
    <w:p w14:paraId="5F5D8704" w14:textId="77777777" w:rsidR="0004677C" w:rsidRDefault="0004677C" w:rsidP="0004677C">
      <w:pPr>
        <w:pStyle w:val="ListBullet"/>
      </w:pPr>
      <w:r>
        <w:t>Improved workforce satisfaction and retention</w:t>
      </w:r>
    </w:p>
    <w:p w14:paraId="20E542F6" w14:textId="1CE3A7D0" w:rsidR="00581A67" w:rsidRPr="00581A67" w:rsidRDefault="0004677C" w:rsidP="0004677C">
      <w:pPr>
        <w:pStyle w:val="ListBullet"/>
      </w:pPr>
      <w:r>
        <w:t>Improved inter inter-professional trust and multidisciplinary care delivery skills</w:t>
      </w:r>
      <w:r w:rsidR="003347AB">
        <w:t>.</w:t>
      </w:r>
    </w:p>
    <w:p w14:paraId="0F8316AB" w14:textId="77777777" w:rsidR="00240B4F" w:rsidRDefault="00240B4F" w:rsidP="00240B4F">
      <w:pPr>
        <w:pStyle w:val="Heading5"/>
      </w:pPr>
      <w:r>
        <w:t>Risks</w:t>
      </w:r>
    </w:p>
    <w:p w14:paraId="3083E3C5" w14:textId="649E4769" w:rsidR="0004677C" w:rsidRPr="0004677C" w:rsidRDefault="0004677C" w:rsidP="0004677C">
      <w:r w:rsidRPr="0004677C">
        <w:t>Recognition of training, competencies and scope of practice relies on factors outside individual health professionals’ control (</w:t>
      </w:r>
      <w:r w:rsidR="003347AB" w:rsidRPr="0004677C">
        <w:t>e.g.,</w:t>
      </w:r>
      <w:r w:rsidRPr="0004677C">
        <w:t xml:space="preserve"> Employer practices and interprofessional trust)</w:t>
      </w:r>
    </w:p>
    <w:p w14:paraId="55B1D9AC" w14:textId="0627A73E" w:rsidR="00957D16" w:rsidRPr="00957D16" w:rsidRDefault="00957D16" w:rsidP="00957D16">
      <w:pPr>
        <w:pStyle w:val="Heading3"/>
      </w:pPr>
      <w:bookmarkStart w:id="12" w:name="_Funding_policy"/>
      <w:bookmarkStart w:id="13" w:name="_Toc157436090"/>
      <w:bookmarkEnd w:id="12"/>
      <w:r>
        <w:t>Funding policy</w:t>
      </w:r>
      <w:bookmarkEnd w:id="13"/>
    </w:p>
    <w:p w14:paraId="151D3B49" w14:textId="77777777" w:rsidR="00240B4F" w:rsidRDefault="00240B4F" w:rsidP="00240B4F">
      <w:pPr>
        <w:pStyle w:val="Heading4"/>
      </w:pPr>
      <w:r>
        <w:t>Policy issue</w:t>
      </w:r>
    </w:p>
    <w:p w14:paraId="312B69E3" w14:textId="2A5C0BA8" w:rsidR="00957D16" w:rsidRPr="00957D16" w:rsidRDefault="006B6862" w:rsidP="00957D16">
      <w:r w:rsidRPr="006B6862">
        <w:t>Funding policy and payment models underpinning the primary health care system have wide wide-ranging impacts on the ability of health professionals to work to full scope of practice. There are concerns the existing fee for-service funding mechanism is not flexible or broad enough to effectively support long long-term care relationships, continuity of care or multidisciplinary care.</w:t>
      </w:r>
    </w:p>
    <w:p w14:paraId="09D3B201" w14:textId="77777777" w:rsidR="00240B4F" w:rsidRDefault="00240B4F" w:rsidP="00240B4F">
      <w:pPr>
        <w:pStyle w:val="Heading5"/>
      </w:pPr>
      <w:r w:rsidRPr="00240B4F">
        <w:t>Potential enablers</w:t>
      </w:r>
    </w:p>
    <w:p w14:paraId="61C94AF0" w14:textId="6FB9BF73" w:rsidR="0027692D" w:rsidRDefault="0027692D" w:rsidP="00EE252F">
      <w:pPr>
        <w:pStyle w:val="ListBullet"/>
      </w:pPr>
      <w:r>
        <w:t xml:space="preserve">Using block, bundled and blended funding to deliver care </w:t>
      </w:r>
      <w:r w:rsidR="00D7347D">
        <w:t>flexibly.</w:t>
      </w:r>
    </w:p>
    <w:p w14:paraId="024CC52A" w14:textId="161ED279" w:rsidR="0027692D" w:rsidRDefault="0027692D" w:rsidP="0027692D">
      <w:pPr>
        <w:pStyle w:val="ListBullet"/>
      </w:pPr>
      <w:r>
        <w:t xml:space="preserve">Funding and payment types which incentivise working as multidisciplinary care </w:t>
      </w:r>
      <w:r w:rsidR="00D7347D">
        <w:t>teams.</w:t>
      </w:r>
    </w:p>
    <w:p w14:paraId="563485EB" w14:textId="3D34435A" w:rsidR="0027692D" w:rsidRDefault="0027692D" w:rsidP="0027692D">
      <w:pPr>
        <w:pStyle w:val="ListBullet"/>
      </w:pPr>
      <w:r>
        <w:t xml:space="preserve">Enabling </w:t>
      </w:r>
      <w:r w:rsidR="003347AB">
        <w:t>non-</w:t>
      </w:r>
      <w:r>
        <w:t xml:space="preserve">medical professionals to make direct </w:t>
      </w:r>
      <w:r w:rsidR="00D7347D">
        <w:t>referrals.</w:t>
      </w:r>
    </w:p>
    <w:p w14:paraId="61573520" w14:textId="1908B375" w:rsidR="006B6862" w:rsidRPr="006B6862" w:rsidRDefault="0027692D" w:rsidP="0027692D">
      <w:pPr>
        <w:pStyle w:val="ListBullet"/>
      </w:pPr>
      <w:r>
        <w:t>Funding episodes of care regardless of profession (</w:t>
      </w:r>
      <w:r w:rsidR="00D7347D">
        <w:t>i.e.,</w:t>
      </w:r>
      <w:r>
        <w:t xml:space="preserve"> a single MBS rate for a particular activity)</w:t>
      </w:r>
      <w:r w:rsidR="00D7347D">
        <w:t>.</w:t>
      </w:r>
    </w:p>
    <w:p w14:paraId="19608ACF" w14:textId="77777777" w:rsidR="00240B4F" w:rsidRDefault="00240B4F" w:rsidP="00240B4F">
      <w:pPr>
        <w:pStyle w:val="Heading5"/>
      </w:pPr>
      <w:r w:rsidRPr="00240B4F">
        <w:t>Benefits</w:t>
      </w:r>
    </w:p>
    <w:p w14:paraId="1B9644EB" w14:textId="77777777" w:rsidR="00B3321F" w:rsidRDefault="00B3321F" w:rsidP="00B3321F">
      <w:pPr>
        <w:pStyle w:val="ListBullet"/>
      </w:pPr>
      <w:r>
        <w:t>Improved continuity of care and collaborative care delivery</w:t>
      </w:r>
    </w:p>
    <w:p w14:paraId="6EDEA836" w14:textId="77777777" w:rsidR="00B3321F" w:rsidRDefault="00B3321F" w:rsidP="00B3321F">
      <w:pPr>
        <w:pStyle w:val="ListBullet"/>
      </w:pPr>
      <w:r>
        <w:t>Reduced time and cost burden for consumers along care pathway</w:t>
      </w:r>
    </w:p>
    <w:p w14:paraId="6EE80C56" w14:textId="77777777" w:rsidR="00B3321F" w:rsidRDefault="00B3321F" w:rsidP="00B3321F">
      <w:pPr>
        <w:pStyle w:val="ListBullet"/>
      </w:pPr>
      <w:r>
        <w:t>Reduced burden on GP workforce</w:t>
      </w:r>
    </w:p>
    <w:p w14:paraId="697416D7" w14:textId="572E2EA9" w:rsidR="006B6862" w:rsidRPr="006B6862" w:rsidRDefault="00B3321F" w:rsidP="00B3321F">
      <w:pPr>
        <w:pStyle w:val="ListBullet"/>
      </w:pPr>
      <w:r>
        <w:t>More effective chronic illness management</w:t>
      </w:r>
    </w:p>
    <w:p w14:paraId="27B9F4C0" w14:textId="77777777" w:rsidR="00240B4F" w:rsidRDefault="00240B4F" w:rsidP="00240B4F">
      <w:pPr>
        <w:pStyle w:val="Heading5"/>
      </w:pPr>
      <w:r>
        <w:lastRenderedPageBreak/>
        <w:t>Risks</w:t>
      </w:r>
    </w:p>
    <w:p w14:paraId="6CFAECEF" w14:textId="77777777" w:rsidR="003343BE" w:rsidRDefault="003343BE" w:rsidP="003343BE">
      <w:pPr>
        <w:pStyle w:val="ListBullet"/>
      </w:pPr>
      <w:r>
        <w:t>Unintended incentives or disincentives for certain types of care delivery</w:t>
      </w:r>
    </w:p>
    <w:p w14:paraId="71608CE0" w14:textId="77777777" w:rsidR="003343BE" w:rsidRDefault="003343BE" w:rsidP="003343BE">
      <w:pPr>
        <w:pStyle w:val="ListBullet"/>
      </w:pPr>
      <w:r>
        <w:t xml:space="preserve">Poor team cohesion, scope overlap and perceived role </w:t>
      </w:r>
      <w:proofErr w:type="gramStart"/>
      <w:r>
        <w:t>threat</w:t>
      </w:r>
      <w:proofErr w:type="gramEnd"/>
    </w:p>
    <w:p w14:paraId="18EC00E3" w14:textId="2009578D" w:rsidR="006B6862" w:rsidRPr="006B6862" w:rsidRDefault="003343BE" w:rsidP="003343BE">
      <w:pPr>
        <w:pStyle w:val="ListBullet"/>
      </w:pPr>
      <w:r>
        <w:t>Digital infrastructure and adoption</w:t>
      </w:r>
    </w:p>
    <w:p w14:paraId="55E66E65" w14:textId="3CA1EF9C" w:rsidR="00240B4F" w:rsidRDefault="00957D16" w:rsidP="00957D16">
      <w:pPr>
        <w:pStyle w:val="Heading3"/>
      </w:pPr>
      <w:bookmarkStart w:id="14" w:name="_Technology"/>
      <w:bookmarkStart w:id="15" w:name="_Toc157436091"/>
      <w:bookmarkEnd w:id="14"/>
      <w:r>
        <w:t>Technology</w:t>
      </w:r>
      <w:bookmarkEnd w:id="15"/>
    </w:p>
    <w:p w14:paraId="1C0EBB70" w14:textId="77777777" w:rsidR="00957D16" w:rsidRDefault="00957D16" w:rsidP="00957D16">
      <w:pPr>
        <w:pStyle w:val="Heading4"/>
      </w:pPr>
      <w:r>
        <w:t>Policy issue</w:t>
      </w:r>
    </w:p>
    <w:p w14:paraId="1536F431" w14:textId="24A50C0C" w:rsidR="00957D16" w:rsidRPr="00957D16" w:rsidRDefault="00957D16" w:rsidP="00957D16">
      <w:r>
        <w:t xml:space="preserve">Robust digital health infrastructure may enable consumers and health professionals to access and share information, and to work together more collaboratively and equitably, by ensuring all health professionals have visibility over the same information. Modernising data and digital technology </w:t>
      </w:r>
      <w:proofErr w:type="gramStart"/>
      <w:r>
        <w:t>is</w:t>
      </w:r>
      <w:proofErr w:type="gramEnd"/>
      <w:r>
        <w:t xml:space="preserve"> a key government reform direction, but key gaps in current primary care IT systems, infrastructure and adoption remain.</w:t>
      </w:r>
    </w:p>
    <w:p w14:paraId="7C3978A6" w14:textId="77777777" w:rsidR="00957D16" w:rsidRDefault="00957D16" w:rsidP="00957D16">
      <w:pPr>
        <w:pStyle w:val="Heading5"/>
      </w:pPr>
      <w:r w:rsidRPr="00240B4F">
        <w:t>Potential enablers</w:t>
      </w:r>
    </w:p>
    <w:p w14:paraId="2B1569A7" w14:textId="4948A8EA" w:rsidR="00957D16" w:rsidRDefault="00957D16" w:rsidP="00957D16">
      <w:pPr>
        <w:pStyle w:val="ListBullet"/>
      </w:pPr>
      <w:r>
        <w:t>Establishing access to real real-time patient information</w:t>
      </w:r>
    </w:p>
    <w:p w14:paraId="0F4C2B5A" w14:textId="600899B9" w:rsidR="00957D16" w:rsidRDefault="00957D16" w:rsidP="00957D16">
      <w:pPr>
        <w:pStyle w:val="ListBullet"/>
      </w:pPr>
      <w:r>
        <w:t>Introducing platforms for secure messaging and digital referrals</w:t>
      </w:r>
    </w:p>
    <w:p w14:paraId="2DF87163" w14:textId="3033CFB2" w:rsidR="00957D16" w:rsidRDefault="00957D16" w:rsidP="00957D16">
      <w:pPr>
        <w:pStyle w:val="ListBullet"/>
      </w:pPr>
      <w:r>
        <w:t>Using decision support software</w:t>
      </w:r>
    </w:p>
    <w:p w14:paraId="54959613" w14:textId="29AC9050" w:rsidR="00957D16" w:rsidRPr="00957D16" w:rsidRDefault="00957D16" w:rsidP="00957D16">
      <w:pPr>
        <w:pStyle w:val="ListBullet"/>
      </w:pPr>
      <w:r>
        <w:t>Mandating participation in a multidisciplinary care team for primary care providers</w:t>
      </w:r>
    </w:p>
    <w:p w14:paraId="43D664A7" w14:textId="77777777" w:rsidR="00957D16" w:rsidRDefault="00957D16" w:rsidP="00957D16">
      <w:pPr>
        <w:pStyle w:val="Heading5"/>
      </w:pPr>
      <w:r w:rsidRPr="00240B4F">
        <w:t>Benefits</w:t>
      </w:r>
    </w:p>
    <w:p w14:paraId="6A0CB192" w14:textId="13AE7B73" w:rsidR="00957D16" w:rsidRDefault="00957D16" w:rsidP="00957D16">
      <w:pPr>
        <w:pStyle w:val="ListBullet"/>
      </w:pPr>
      <w:r>
        <w:t>Improved care coordination and continuity of care</w:t>
      </w:r>
    </w:p>
    <w:p w14:paraId="0D5DA512" w14:textId="369F28F2" w:rsidR="00957D16" w:rsidRDefault="00957D16" w:rsidP="00957D16">
      <w:pPr>
        <w:pStyle w:val="ListBullet"/>
      </w:pPr>
      <w:r>
        <w:t>Improved quality and safety of health care</w:t>
      </w:r>
    </w:p>
    <w:p w14:paraId="75808F8A" w14:textId="7FEBE7AE" w:rsidR="00957D16" w:rsidRDefault="00957D16" w:rsidP="00957D16">
      <w:pPr>
        <w:pStyle w:val="ListBullet"/>
      </w:pPr>
      <w:r>
        <w:t>Reduced time and cost burden to consumers</w:t>
      </w:r>
    </w:p>
    <w:p w14:paraId="0D8A30CF" w14:textId="6BF2044D" w:rsidR="00957D16" w:rsidRPr="00957D16" w:rsidRDefault="00957D16" w:rsidP="00957D16">
      <w:pPr>
        <w:pStyle w:val="ListBullet"/>
      </w:pPr>
      <w:r>
        <w:t>Reduced cost burden on the health system</w:t>
      </w:r>
    </w:p>
    <w:p w14:paraId="12E02753" w14:textId="77777777" w:rsidR="00957D16" w:rsidRDefault="00957D16" w:rsidP="00957D16">
      <w:pPr>
        <w:pStyle w:val="Heading5"/>
      </w:pPr>
      <w:r>
        <w:t>Risks</w:t>
      </w:r>
    </w:p>
    <w:p w14:paraId="472AA5CC" w14:textId="0D074F52" w:rsidR="00957D16" w:rsidRDefault="00957D16" w:rsidP="00957D16">
      <w:pPr>
        <w:pStyle w:val="ListBullet"/>
      </w:pPr>
      <w:r>
        <w:t>Inconsistent adoption across professions and settings</w:t>
      </w:r>
    </w:p>
    <w:p w14:paraId="2CD8F082" w14:textId="6C7AAD57" w:rsidR="00957D16" w:rsidRDefault="00957D16" w:rsidP="00957D16">
      <w:pPr>
        <w:pStyle w:val="ListBullet"/>
      </w:pPr>
      <w:r>
        <w:t>Any collection of sensitive personal data is associated with the known and ongoing risk of data breaches.</w:t>
      </w:r>
    </w:p>
    <w:p w14:paraId="77DC256D" w14:textId="10202A16" w:rsidR="00957D16" w:rsidRDefault="00957D16" w:rsidP="00957D16">
      <w:pPr>
        <w:pStyle w:val="Heading2"/>
      </w:pPr>
      <w:bookmarkStart w:id="16" w:name="_Toc157436092"/>
      <w:r w:rsidRPr="00957D16">
        <w:t>Next steps</w:t>
      </w:r>
      <w:bookmarkEnd w:id="16"/>
    </w:p>
    <w:p w14:paraId="5394C42D" w14:textId="77777777" w:rsidR="00957D16" w:rsidRDefault="00957D16" w:rsidP="00957D16">
      <w:pPr>
        <w:pStyle w:val="ListBullet"/>
      </w:pPr>
      <w:r>
        <w:t>Online public submissions (23 January to 8 March 2024)</w:t>
      </w:r>
    </w:p>
    <w:p w14:paraId="36ED4E82" w14:textId="0C7EBC1E" w:rsidR="00957D16" w:rsidRDefault="00957D16" w:rsidP="00957D16">
      <w:pPr>
        <w:pStyle w:val="ListBullet"/>
      </w:pPr>
      <w:r>
        <w:t>Stakeholder workshops and discussions on themes raised in Issues Paper 1 (February 2024)</w:t>
      </w:r>
    </w:p>
    <w:p w14:paraId="078BBCDD" w14:textId="46815FC0" w:rsidR="00957D16" w:rsidRDefault="00957D16" w:rsidP="00957D16">
      <w:pPr>
        <w:pStyle w:val="ListBullet"/>
      </w:pPr>
      <w:r>
        <w:t>Phase 3 – Issues Paper 2 (April 2024)</w:t>
      </w:r>
    </w:p>
    <w:p w14:paraId="21EA586E" w14:textId="77777777" w:rsidR="00957D16" w:rsidRDefault="00957D16" w:rsidP="00957D16">
      <w:pPr>
        <w:pStyle w:val="ListBullet"/>
      </w:pPr>
      <w:r>
        <w:t>Further consultation on themes raised in Issues Paper 2</w:t>
      </w:r>
    </w:p>
    <w:p w14:paraId="7493C816" w14:textId="1DB47581" w:rsidR="00957D16" w:rsidRDefault="00957D16" w:rsidP="00957D16">
      <w:pPr>
        <w:pStyle w:val="ListBullet"/>
      </w:pPr>
      <w:r>
        <w:t>Phase 4 – Draft Final Report and Implementation Plan (July 2024)</w:t>
      </w:r>
    </w:p>
    <w:p w14:paraId="6FAA8DA0" w14:textId="1565B2CA" w:rsidR="00957D16" w:rsidRPr="00957D16" w:rsidRDefault="00957D16" w:rsidP="00957D16">
      <w:pPr>
        <w:pStyle w:val="ListBullet"/>
      </w:pPr>
      <w:r>
        <w:t>Final Report and Implementation Plan submitted to Minister for Health and Aged Care (October 2024)</w:t>
      </w:r>
    </w:p>
    <w:sectPr w:rsidR="00957D16" w:rsidRPr="00957D16"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4D6779B5" w:rsidR="00B53987" w:rsidRPr="00DE0A3E" w:rsidRDefault="00DE0A3E" w:rsidP="00DE0A3E">
    <w:pPr>
      <w:pStyle w:val="Footer"/>
      <w:jc w:val="right"/>
    </w:pPr>
    <w:r>
      <w:t xml:space="preserve">Department of Health and Aged Care – </w:t>
    </w:r>
    <w:r w:rsidRPr="00EF03B1">
      <w:t>Unleashing the Potential of our Health Workforce</w:t>
    </w:r>
    <w:r>
      <w:t xml:space="preserve"> – Scope of practice review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541F9404" w:rsidR="00B53987" w:rsidRDefault="00AA262B" w:rsidP="00B53987">
    <w:pPr>
      <w:pStyle w:val="Footer"/>
    </w:pPr>
    <w:r>
      <w:t xml:space="preserve">Department of Health and Aged Care </w:t>
    </w:r>
    <w:r w:rsidR="00B53987">
      <w:t xml:space="preserve">– </w:t>
    </w:r>
    <w:r w:rsidR="00EF03B1" w:rsidRPr="00EF03B1">
      <w:t>Unleashing the Potential of our Health Workforce</w:t>
    </w:r>
    <w:r w:rsidR="00DE0A3E">
      <w:t xml:space="preserve"> – Scope of practice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D557C"/>
    <w:multiLevelType w:val="hybridMultilevel"/>
    <w:tmpl w:val="9FF4C02C"/>
    <w:lvl w:ilvl="0" w:tplc="F2483E9A">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D50FD"/>
    <w:multiLevelType w:val="hybridMultilevel"/>
    <w:tmpl w:val="306E3BE8"/>
    <w:lvl w:ilvl="0" w:tplc="7EE22024">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4"/>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9"/>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19"/>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260186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406E"/>
    <w:rsid w:val="0004677C"/>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0B4F"/>
    <w:rsid w:val="0024797F"/>
    <w:rsid w:val="0025119E"/>
    <w:rsid w:val="00251269"/>
    <w:rsid w:val="002535C0"/>
    <w:rsid w:val="002579FE"/>
    <w:rsid w:val="0026311C"/>
    <w:rsid w:val="0026668C"/>
    <w:rsid w:val="00266AC1"/>
    <w:rsid w:val="0027178C"/>
    <w:rsid w:val="002719FA"/>
    <w:rsid w:val="00272668"/>
    <w:rsid w:val="0027330B"/>
    <w:rsid w:val="0027692D"/>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343BE"/>
    <w:rsid w:val="003347A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0756"/>
    <w:rsid w:val="004E4335"/>
    <w:rsid w:val="004F13EE"/>
    <w:rsid w:val="004F2022"/>
    <w:rsid w:val="004F7C05"/>
    <w:rsid w:val="00501C94"/>
    <w:rsid w:val="00504D98"/>
    <w:rsid w:val="00506432"/>
    <w:rsid w:val="00506E82"/>
    <w:rsid w:val="0052051D"/>
    <w:rsid w:val="005271AC"/>
    <w:rsid w:val="00545EE6"/>
    <w:rsid w:val="005550E7"/>
    <w:rsid w:val="005564FB"/>
    <w:rsid w:val="005572C7"/>
    <w:rsid w:val="005650ED"/>
    <w:rsid w:val="00575754"/>
    <w:rsid w:val="00581A67"/>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465A"/>
    <w:rsid w:val="00657FF8"/>
    <w:rsid w:val="00670D99"/>
    <w:rsid w:val="00670E2B"/>
    <w:rsid w:val="006734BB"/>
    <w:rsid w:val="0067697A"/>
    <w:rsid w:val="006821EB"/>
    <w:rsid w:val="006B2286"/>
    <w:rsid w:val="006B56BB"/>
    <w:rsid w:val="006B6862"/>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2289"/>
    <w:rsid w:val="007F4B3E"/>
    <w:rsid w:val="008127AF"/>
    <w:rsid w:val="00812B46"/>
    <w:rsid w:val="00815700"/>
    <w:rsid w:val="008264EB"/>
    <w:rsid w:val="00826B8F"/>
    <w:rsid w:val="00831E8A"/>
    <w:rsid w:val="00835C76"/>
    <w:rsid w:val="008376E2"/>
    <w:rsid w:val="00843049"/>
    <w:rsid w:val="00845A4E"/>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0BD"/>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57D16"/>
    <w:rsid w:val="00960D6E"/>
    <w:rsid w:val="00974B59"/>
    <w:rsid w:val="00982047"/>
    <w:rsid w:val="0098340B"/>
    <w:rsid w:val="00986830"/>
    <w:rsid w:val="009924C3"/>
    <w:rsid w:val="00993102"/>
    <w:rsid w:val="009B1570"/>
    <w:rsid w:val="009B3DC2"/>
    <w:rsid w:val="009C6F10"/>
    <w:rsid w:val="009D148F"/>
    <w:rsid w:val="009D3D70"/>
    <w:rsid w:val="009D6E31"/>
    <w:rsid w:val="009E11CB"/>
    <w:rsid w:val="009E6F7E"/>
    <w:rsid w:val="009E7A57"/>
    <w:rsid w:val="009F4803"/>
    <w:rsid w:val="009F4F6A"/>
    <w:rsid w:val="00A027CD"/>
    <w:rsid w:val="00A13EB5"/>
    <w:rsid w:val="00A16E36"/>
    <w:rsid w:val="00A24961"/>
    <w:rsid w:val="00A24B10"/>
    <w:rsid w:val="00A277EF"/>
    <w:rsid w:val="00A30E9B"/>
    <w:rsid w:val="00A34099"/>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0A9E"/>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321F"/>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1103"/>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3842"/>
    <w:rsid w:val="00D6438C"/>
    <w:rsid w:val="00D65099"/>
    <w:rsid w:val="00D70E24"/>
    <w:rsid w:val="00D72B61"/>
    <w:rsid w:val="00D7347D"/>
    <w:rsid w:val="00DA3D1D"/>
    <w:rsid w:val="00DB6286"/>
    <w:rsid w:val="00DB645F"/>
    <w:rsid w:val="00DB76E9"/>
    <w:rsid w:val="00DC0A67"/>
    <w:rsid w:val="00DC1D5E"/>
    <w:rsid w:val="00DC5220"/>
    <w:rsid w:val="00DD2061"/>
    <w:rsid w:val="00DD7DAB"/>
    <w:rsid w:val="00DE0A3E"/>
    <w:rsid w:val="00DE3355"/>
    <w:rsid w:val="00DF0C60"/>
    <w:rsid w:val="00DF486F"/>
    <w:rsid w:val="00DF5B5B"/>
    <w:rsid w:val="00DF7619"/>
    <w:rsid w:val="00E042D8"/>
    <w:rsid w:val="00E06C1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252F"/>
    <w:rsid w:val="00EE3E8A"/>
    <w:rsid w:val="00EF03B1"/>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09"/>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CB0DC98-71DD-46DF-8E75-AD8E678F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438C"/>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240B4F"/>
    <w:pPr>
      <w:keepNext/>
      <w:numPr>
        <w:numId w:val="27"/>
      </w:numPr>
      <w:spacing w:before="180" w:after="60"/>
      <w:ind w:left="426" w:hanging="426"/>
      <w:outlineLvl w:val="2"/>
    </w:pPr>
    <w:rPr>
      <w:rFonts w:ascii="Arial" w:hAnsi="Arial" w:cs="Arial"/>
      <w:b/>
      <w:bCs/>
      <w:color w:val="358189"/>
      <w:sz w:val="32"/>
      <w:szCs w:val="26"/>
      <w:lang w:eastAsia="en-US"/>
    </w:rPr>
  </w:style>
  <w:style w:type="paragraph" w:styleId="Heading4">
    <w:name w:val="heading 4"/>
    <w:next w:val="Normal"/>
    <w:qFormat/>
    <w:rsid w:val="00240B4F"/>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240B4F"/>
    <w:pPr>
      <w:numPr>
        <w:numId w:val="21"/>
      </w:numPr>
      <w:tabs>
        <w:tab w:val="clear" w:pos="340"/>
        <w:tab w:val="clear" w:pos="680"/>
      </w:tabs>
      <w:ind w:left="426" w:hanging="426"/>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DE0A3E"/>
    <w:pPr>
      <w:tabs>
        <w:tab w:val="center" w:pos="0"/>
        <w:tab w:val="right" w:pos="9026"/>
      </w:tabs>
    </w:pPr>
    <w:rPr>
      <w:rFonts w:ascii="Arial" w:hAnsi="Arial"/>
      <w:szCs w:val="24"/>
      <w:lang w:eastAsia="en-US"/>
    </w:rPr>
  </w:style>
  <w:style w:type="character" w:customStyle="1" w:styleId="FooterChar">
    <w:name w:val="Footer Char"/>
    <w:basedOn w:val="DefaultParagraphFont"/>
    <w:link w:val="Footer"/>
    <w:uiPriority w:val="99"/>
    <w:rsid w:val="00DE0A3E"/>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A34099"/>
    <w:rPr>
      <w:color w:val="605E5C"/>
      <w:shd w:val="clear" w:color="auto" w:fill="E1DFDD"/>
    </w:rPr>
  </w:style>
  <w:style w:type="paragraph" w:customStyle="1" w:styleId="StyleHeading3nonumbering">
    <w:name w:val="Style Heading 3 (no numbering)"/>
    <w:basedOn w:val="Heading2"/>
    <w:rsid w:val="00DE0A3E"/>
    <w:rPr>
      <w:rFonts w:cs="Times New Roman"/>
      <w:szCs w:val="20"/>
    </w:rPr>
  </w:style>
  <w:style w:type="paragraph" w:styleId="TOCHeading">
    <w:name w:val="TOC Heading"/>
    <w:basedOn w:val="Heading1"/>
    <w:next w:val="Normal"/>
    <w:uiPriority w:val="39"/>
    <w:unhideWhenUsed/>
    <w:qFormat/>
    <w:rsid w:val="00AB0A9E"/>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AB0A9E"/>
    <w:pPr>
      <w:spacing w:after="100"/>
    </w:pPr>
  </w:style>
  <w:style w:type="paragraph" w:styleId="TOC2">
    <w:name w:val="toc 2"/>
    <w:basedOn w:val="Normal"/>
    <w:next w:val="Normal"/>
    <w:autoRedefine/>
    <w:uiPriority w:val="39"/>
    <w:unhideWhenUsed/>
    <w:rsid w:val="00AB0A9E"/>
    <w:pPr>
      <w:spacing w:after="100"/>
      <w:ind w:left="220"/>
    </w:pPr>
  </w:style>
  <w:style w:type="paragraph" w:styleId="TOC3">
    <w:name w:val="toc 3"/>
    <w:basedOn w:val="Normal"/>
    <w:next w:val="Normal"/>
    <w:autoRedefine/>
    <w:uiPriority w:val="39"/>
    <w:unhideWhenUsed/>
    <w:rsid w:val="00AB0A9E"/>
    <w:pPr>
      <w:spacing w:after="100"/>
      <w:ind w:left="440"/>
    </w:pPr>
  </w:style>
  <w:style w:type="paragraph" w:customStyle="1" w:styleId="Heading3nonumbering">
    <w:name w:val="Heading 3 (no numbering)"/>
    <w:basedOn w:val="Heading3"/>
    <w:link w:val="Heading3nonumberingChar"/>
    <w:qFormat/>
    <w:rsid w:val="00D6438C"/>
    <w:pPr>
      <w:numPr>
        <w:numId w:val="0"/>
      </w:numPr>
    </w:pPr>
  </w:style>
  <w:style w:type="character" w:customStyle="1" w:styleId="Heading3Char">
    <w:name w:val="Heading 3 Char"/>
    <w:basedOn w:val="DefaultParagraphFont"/>
    <w:link w:val="Heading3"/>
    <w:rsid w:val="00D6438C"/>
    <w:rPr>
      <w:rFonts w:ascii="Arial" w:hAnsi="Arial" w:cs="Arial"/>
      <w:b/>
      <w:bCs/>
      <w:color w:val="358189"/>
      <w:sz w:val="32"/>
      <w:szCs w:val="26"/>
      <w:lang w:eastAsia="en-US"/>
    </w:rPr>
  </w:style>
  <w:style w:type="character" w:customStyle="1" w:styleId="Heading3nonumberingChar">
    <w:name w:val="Heading 3 (no numbering) Char"/>
    <w:basedOn w:val="Heading3Char"/>
    <w:link w:val="Heading3nonumbering"/>
    <w:rsid w:val="00D6438C"/>
    <w:rPr>
      <w:rFonts w:ascii="Arial" w:hAnsi="Arial" w:cs="Arial"/>
      <w:b/>
      <w:bCs/>
      <w:color w:val="358189"/>
      <w:sz w:val="3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F5085DDB-BA55-4FCF-8780-2F564554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purl.org/dc/dcmitype/"/>
    <ds:schemaRef ds:uri="http://schemas.microsoft.com/office/2006/metadata/properties"/>
    <ds:schemaRef ds:uri="http://purl.org/dc/elements/1.1/"/>
    <ds:schemaRef ds:uri="http://schemas.microsoft.com/office/2006/documentManagement/types"/>
    <ds:schemaRef ds:uri="d29d5f7a-be03-4e9c-abe5-c85ece0a2186"/>
    <ds:schemaRef ds:uri="7b0f5f5d-7db3-4d3b-b63b-ce18a6ecc538"/>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1285</Words>
  <Characters>8877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Unleashing the Potential of our Health Workforce</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Unleashing the Potential of our Health Workforce</dc:title>
  <dc:subject>Health workforce; Primary care</dc:subject>
  <dc:creator>Australian Government Department of Health and Aged Care</dc:creator>
  <cp:keywords>Health workforce; Primary care</cp:keywords>
  <cp:lastModifiedBy>MASCHKE, Elvia</cp:lastModifiedBy>
  <cp:revision>2</cp:revision>
  <dcterms:created xsi:type="dcterms:W3CDTF">2024-01-30T02:15:00Z</dcterms:created>
  <dcterms:modified xsi:type="dcterms:W3CDTF">2024-01-30T02:15:00Z</dcterms:modified>
</cp:coreProperties>
</file>