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804912">
      <w:pPr>
        <w:pStyle w:val="Title"/>
        <w:rPr>
          <w:b w:val="0"/>
          <w:noProof/>
        </w:rPr>
      </w:pPr>
      <w:bookmarkStart w:id="0" w:name="OLE_LINK4"/>
      <w:bookmarkStart w:id="1" w:name="OLE_LINK6"/>
      <w:bookmarkStart w:id="2" w:name="OLE_LINK9"/>
      <w:bookmarkStart w:id="3" w:name="OLE_LINK8"/>
      <w:bookmarkStart w:id="4" w:name="OLE_LINK1"/>
      <w:bookmarkStart w:id="5" w:name="OLE_LINK2"/>
      <w:bookmarkStart w:id="6" w:name="OLE_LINK3"/>
      <w:r w:rsidRPr="0088321F">
        <w:rPr>
          <w:noProof/>
        </w:rPr>
        <w:t>National Communicable Diseases Surveillance Report</w:t>
      </w:r>
    </w:p>
    <w:p w14:paraId="6F25C8A4" w14:textId="699BF0F6" w:rsidR="00807835" w:rsidRPr="0088321F" w:rsidRDefault="00807835" w:rsidP="00804912">
      <w:pPr>
        <w:pStyle w:val="Title"/>
        <w:rPr>
          <w:b w:val="0"/>
          <w:noProof/>
        </w:rPr>
      </w:pPr>
      <w:r w:rsidRPr="0088321F">
        <w:rPr>
          <w:noProof/>
        </w:rPr>
        <w:t xml:space="preserve">Fortnight </w:t>
      </w:r>
      <w:r w:rsidR="006A65C0">
        <w:rPr>
          <w:noProof/>
        </w:rPr>
        <w:t>01</w:t>
      </w:r>
      <w:r w:rsidR="00F816D5">
        <w:rPr>
          <w:noProof/>
        </w:rPr>
        <w:t>,</w:t>
      </w:r>
      <w:r w:rsidR="003D48B5" w:rsidRPr="0088321F">
        <w:rPr>
          <w:noProof/>
        </w:rPr>
        <w:t xml:space="preserve"> </w:t>
      </w:r>
      <w:r w:rsidR="00924FC7">
        <w:rPr>
          <w:noProof/>
        </w:rPr>
        <w:t>202</w:t>
      </w:r>
      <w:r w:rsidR="006A65C0">
        <w:rPr>
          <w:noProof/>
        </w:rPr>
        <w:t>4</w:t>
      </w:r>
      <w:r w:rsidR="00031B33" w:rsidRPr="0088321F">
        <w:rPr>
          <w:noProof/>
        </w:rPr>
        <w:t xml:space="preserve"> </w:t>
      </w:r>
      <w:r w:rsidRPr="0088321F">
        <w:rPr>
          <w:noProof/>
        </w:rPr>
        <w:t>Summary Notes</w:t>
      </w:r>
      <w:r w:rsidR="00EB26EC" w:rsidRPr="0088321F">
        <w:rPr>
          <w:noProof/>
        </w:rPr>
        <w:t xml:space="preserve"> for Selected Diseases</w:t>
      </w:r>
    </w:p>
    <w:p w14:paraId="178F241B" w14:textId="2E6C6425" w:rsidR="00807835" w:rsidRPr="0088321F" w:rsidRDefault="006A65C0" w:rsidP="00804912">
      <w:pPr>
        <w:pStyle w:val="Title"/>
        <w:rPr>
          <w:szCs w:val="24"/>
        </w:rPr>
      </w:pPr>
      <w:r>
        <w:rPr>
          <w:szCs w:val="24"/>
        </w:rPr>
        <w:t>11</w:t>
      </w:r>
      <w:r w:rsidR="002F1D15">
        <w:rPr>
          <w:szCs w:val="24"/>
        </w:rPr>
        <w:t xml:space="preserve"> </w:t>
      </w:r>
      <w:r>
        <w:rPr>
          <w:szCs w:val="24"/>
        </w:rPr>
        <w:t>December</w:t>
      </w:r>
      <w:r w:rsidR="00433EB5">
        <w:rPr>
          <w:szCs w:val="24"/>
        </w:rPr>
        <w:t xml:space="preserve"> </w:t>
      </w:r>
      <w:r w:rsidR="00082C5E">
        <w:rPr>
          <w:szCs w:val="24"/>
        </w:rPr>
        <w:t>202</w:t>
      </w:r>
      <w:r w:rsidR="00352861">
        <w:rPr>
          <w:szCs w:val="24"/>
        </w:rPr>
        <w:t>3</w:t>
      </w:r>
      <w:r w:rsidR="0082527C">
        <w:rPr>
          <w:szCs w:val="24"/>
        </w:rPr>
        <w:t xml:space="preserve"> </w:t>
      </w:r>
      <w:r w:rsidR="00CA37B4">
        <w:rPr>
          <w:szCs w:val="24"/>
        </w:rPr>
        <w:t xml:space="preserve">to </w:t>
      </w:r>
      <w:r>
        <w:rPr>
          <w:szCs w:val="24"/>
        </w:rPr>
        <w:t>07</w:t>
      </w:r>
      <w:r w:rsidR="00A97013">
        <w:rPr>
          <w:szCs w:val="24"/>
        </w:rPr>
        <w:t xml:space="preserve"> </w:t>
      </w:r>
      <w:r>
        <w:rPr>
          <w:szCs w:val="24"/>
        </w:rPr>
        <w:t>January</w:t>
      </w:r>
      <w:r w:rsidR="00924FC7">
        <w:rPr>
          <w:szCs w:val="24"/>
        </w:rPr>
        <w:t xml:space="preserve"> 202</w:t>
      </w:r>
      <w:r>
        <w:rPr>
          <w:szCs w:val="24"/>
        </w:rPr>
        <w:t>4</w:t>
      </w:r>
    </w:p>
    <w:bookmarkEnd w:id="4"/>
    <w:bookmarkEnd w:id="5"/>
    <w:bookmarkEnd w:id="6"/>
    <w:p w14:paraId="7A896A53" w14:textId="77777777" w:rsidR="00B20A8B" w:rsidRPr="00B20A8B" w:rsidRDefault="00B20A8B" w:rsidP="00804912">
      <w:pPr>
        <w:pStyle w:val="Heading1"/>
      </w:pPr>
      <w:r w:rsidRPr="00B20A8B">
        <w:t>Cryptosporidiosis</w:t>
      </w:r>
    </w:p>
    <w:p w14:paraId="04C0F2A9" w14:textId="0022DD9F" w:rsidR="00B20A8B" w:rsidRPr="00B20A8B" w:rsidRDefault="00B20A8B" w:rsidP="00B20A8B">
      <w:pPr>
        <w:autoSpaceDE w:val="0"/>
        <w:autoSpaceDN w:val="0"/>
        <w:rPr>
          <w:rFonts w:asciiTheme="minorHAnsi" w:hAnsiTheme="minorHAnsi" w:cstheme="minorHAnsi"/>
          <w:color w:val="000000"/>
        </w:rPr>
      </w:pPr>
      <w:r w:rsidRPr="00B20A8B">
        <w:rPr>
          <w:rFonts w:asciiTheme="minorHAnsi" w:hAnsiTheme="minorHAnsi" w:cstheme="minorHAnsi"/>
          <w:color w:val="000000"/>
        </w:rPr>
        <w:t xml:space="preserve">Cryptosporidiosis is a parasitic infection that commonly presents as gastroenteritis. In the past 12 months (1 January 2023 – 7 January 2024), there have been 3,694 cases of cryptosporidiosis reported to the National Notifiable Diseases Surveillance System (NNDSS), which is 1.5 times higher than the historical five-year mean (n=2,414). In the past 3 months (10 October 2023 – 7 January 2024), there have been 1,437 cases of cryptosporidiosis reported to the NNDSS, which is 2.9 times higher than the historical five-year mean for this period (n=496). The increase in notifications in the past 3 months is largely driven by increased notifications in NSW, </w:t>
      </w:r>
      <w:proofErr w:type="gramStart"/>
      <w:r w:rsidRPr="00B20A8B">
        <w:rPr>
          <w:rFonts w:asciiTheme="minorHAnsi" w:hAnsiTheme="minorHAnsi" w:cstheme="minorHAnsi"/>
          <w:color w:val="000000"/>
        </w:rPr>
        <w:t>QLD</w:t>
      </w:r>
      <w:proofErr w:type="gramEnd"/>
      <w:r w:rsidRPr="00B20A8B">
        <w:rPr>
          <w:rFonts w:asciiTheme="minorHAnsi" w:hAnsiTheme="minorHAnsi" w:cstheme="minorHAnsi"/>
          <w:color w:val="000000"/>
        </w:rPr>
        <w:t xml:space="preserve"> and VIC. In this special 4 week reporting period (11 December 2023 – 7 January 2024) 540 cases of cryptosporidiosis have been notified (235 in QLD, 130 in NSW, 121 in VIC, 26 in SA, 18 in WA, 5 in NT, 4 in ACT, 1 in TAS).</w:t>
      </w:r>
    </w:p>
    <w:p w14:paraId="6638CA80" w14:textId="76E2442F" w:rsidR="008468D5" w:rsidRDefault="008468D5" w:rsidP="00804912">
      <w:pPr>
        <w:pStyle w:val="Heading1"/>
      </w:pPr>
      <w:r>
        <w:t>Influenza</w:t>
      </w:r>
    </w:p>
    <w:p w14:paraId="098CDCCB" w14:textId="77777777" w:rsidR="006A65C0" w:rsidRPr="006A65C0" w:rsidRDefault="006A65C0" w:rsidP="00064B2A">
      <w:pPr>
        <w:autoSpaceDE w:val="0"/>
        <w:autoSpaceDN w:val="0"/>
        <w:rPr>
          <w:rFonts w:asciiTheme="minorHAnsi" w:hAnsiTheme="minorHAnsi" w:cstheme="minorHAnsi"/>
          <w:color w:val="000000"/>
        </w:rPr>
      </w:pPr>
      <w:r w:rsidRPr="006A65C0">
        <w:rPr>
          <w:rFonts w:asciiTheme="minorHAnsi" w:hAnsiTheme="minorHAnsi" w:cstheme="minorHAnsi"/>
          <w:color w:val="000000"/>
        </w:rPr>
        <w:t xml:space="preserve">Nationally, notifications of laboratory-confirmed influenza are currently higher than expected for the </w:t>
      </w:r>
      <w:proofErr w:type="spellStart"/>
      <w:r w:rsidRPr="006A65C0">
        <w:rPr>
          <w:rFonts w:asciiTheme="minorHAnsi" w:hAnsiTheme="minorHAnsi" w:cstheme="minorHAnsi"/>
          <w:color w:val="000000"/>
        </w:rPr>
        <w:t>interseasonal</w:t>
      </w:r>
      <w:proofErr w:type="spellEnd"/>
      <w:r w:rsidRPr="006A65C0">
        <w:rPr>
          <w:rFonts w:asciiTheme="minorHAnsi" w:hAnsiTheme="minorHAnsi" w:cstheme="minorHAnsi"/>
          <w:color w:val="000000"/>
        </w:rPr>
        <w:t xml:space="preserve"> period (November to March) and for the reporting period are almost 3 times greater than for the same </w:t>
      </w:r>
      <w:proofErr w:type="gramStart"/>
      <w:r w:rsidRPr="006A65C0">
        <w:rPr>
          <w:rFonts w:asciiTheme="minorHAnsi" w:hAnsiTheme="minorHAnsi" w:cstheme="minorHAnsi"/>
          <w:color w:val="000000"/>
        </w:rPr>
        <w:t>time period</w:t>
      </w:r>
      <w:proofErr w:type="gramEnd"/>
      <w:r w:rsidRPr="006A65C0">
        <w:rPr>
          <w:rFonts w:asciiTheme="minorHAnsi" w:hAnsiTheme="minorHAnsi" w:cstheme="minorHAnsi"/>
          <w:color w:val="000000"/>
        </w:rPr>
        <w:t xml:space="preserve"> last year (n=3,900).  This may be due to an increase in disease circulation in the community and waning protection from seasonal Influenza vaccinations given at the start of the </w:t>
      </w:r>
      <w:proofErr w:type="gramStart"/>
      <w:r w:rsidRPr="006A65C0">
        <w:rPr>
          <w:rFonts w:asciiTheme="minorHAnsi" w:hAnsiTheme="minorHAnsi" w:cstheme="minorHAnsi"/>
          <w:color w:val="000000"/>
        </w:rPr>
        <w:t>season, but</w:t>
      </w:r>
      <w:proofErr w:type="gramEnd"/>
      <w:r w:rsidRPr="006A65C0">
        <w:rPr>
          <w:rFonts w:asciiTheme="minorHAnsi" w:hAnsiTheme="minorHAnsi" w:cstheme="minorHAnsi"/>
          <w:color w:val="000000"/>
        </w:rPr>
        <w:t xml:space="preserve"> may also be impacted by changes in health-seeking behaviour associated with current increases in COVID-19 circulation in many jurisdictions, such as increased testing for respiratory infections.</w:t>
      </w:r>
    </w:p>
    <w:p w14:paraId="6968E245" w14:textId="34C5C1D3" w:rsidR="00064B2A" w:rsidRPr="00064B2A" w:rsidRDefault="00064B2A" w:rsidP="00804912">
      <w:pPr>
        <w:pStyle w:val="Heading1"/>
      </w:pPr>
      <w:r w:rsidRPr="00064B2A">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0D85AB71" w14:textId="5320FA80" w:rsidR="00251640" w:rsidRPr="00804912" w:rsidRDefault="00251640" w:rsidP="00804912">
      <w:pPr>
        <w:pStyle w:val="Heading2"/>
      </w:pPr>
      <w:r w:rsidRPr="00804912">
        <w:t>Syphilis response</w:t>
      </w:r>
    </w:p>
    <w:p w14:paraId="5C0EBE3A" w14:textId="549CDA64"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804912">
        <w:t xml:space="preserve"> </w:t>
      </w:r>
      <w:r w:rsidRPr="00804912">
        <w:t xml:space="preserve">2021 </w:t>
      </w:r>
      <w:r w:rsidRPr="00251640">
        <w:rPr>
          <w:rFonts w:asciiTheme="minorHAnsi" w:hAnsiTheme="minorHAnsi" w:cstheme="minorHAnsi"/>
          <w:color w:val="000000"/>
        </w:rPr>
        <w:t>(Strategic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w:t>
      </w:r>
    </w:p>
    <w:p w14:paraId="6ECFB250" w14:textId="20730450"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The CDNA and BBVSS are, in collaboration, developing priority public health actions, including those related to workforce and community engagement, to ensure progress is made towards reducing the incidence of syphilis and elimination of congenital syphilis in Australia.</w:t>
      </w:r>
    </w:p>
    <w:p w14:paraId="2E341299" w14:textId="79F1F7EC" w:rsidR="00804912" w:rsidRDefault="00251640" w:rsidP="00064B2A">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52C11650" w14:textId="77777777" w:rsidR="00804912" w:rsidRDefault="00804912">
      <w:pPr>
        <w:spacing w:before="0" w:after="0"/>
        <w:rPr>
          <w:rFonts w:asciiTheme="minorHAnsi" w:hAnsiTheme="minorHAnsi" w:cstheme="minorHAnsi"/>
          <w:color w:val="000000"/>
        </w:rPr>
      </w:pPr>
      <w:r>
        <w:rPr>
          <w:rFonts w:asciiTheme="minorHAnsi" w:hAnsiTheme="minorHAnsi" w:cstheme="minorHAnsi"/>
          <w:color w:val="000000"/>
        </w:rPr>
        <w:br w:type="page"/>
      </w:r>
    </w:p>
    <w:p w14:paraId="15978A89" w14:textId="1053D83F" w:rsidR="00C37A92" w:rsidRPr="00804912" w:rsidRDefault="00C37A92" w:rsidP="00804912">
      <w:pPr>
        <w:pStyle w:val="Heading1"/>
      </w:pPr>
      <w:r w:rsidRPr="00804912">
        <w:lastRenderedPageBreak/>
        <w:t>Interpretative Notes</w:t>
      </w:r>
    </w:p>
    <w:bookmarkEnd w:id="0"/>
    <w:bookmarkEnd w:id="1"/>
    <w:bookmarkEnd w:id="2"/>
    <w:bookmarkEnd w:id="3"/>
    <w:p w14:paraId="71AA7033" w14:textId="55DFB37A" w:rsidR="00017515" w:rsidRPr="00804912" w:rsidRDefault="00017515" w:rsidP="00804912">
      <w:pPr>
        <w:pStyle w:val="FootnoteText"/>
      </w:pPr>
      <w:r w:rsidRPr="00804912">
        <w:t xml:space="preserve">Selected diseases are chosen each fortnight based on either exceeding two standard deviations from the 90 day and/or </w:t>
      </w:r>
      <w:r w:rsidR="00804912" w:rsidRPr="00804912">
        <w:t>365-day</w:t>
      </w:r>
      <w:r w:rsidRPr="00804912">
        <w:t xml:space="preserve"> five year rolling mean or other disease issues of significance identified during the reporting period.  All diseases reported are analysed by notification receive date.  Data are extracted each Monday of a CDNA week.</w:t>
      </w:r>
    </w:p>
    <w:p w14:paraId="329F4AD7" w14:textId="77777777" w:rsidR="00017515" w:rsidRPr="00804912" w:rsidRDefault="00017515" w:rsidP="00804912">
      <w:pPr>
        <w:pStyle w:val="FootnoteText"/>
      </w:pPr>
      <w:r w:rsidRPr="00804912">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4B41E131" w:rsidR="00017515" w:rsidRPr="00804912" w:rsidRDefault="00017515" w:rsidP="00804912">
      <w:pPr>
        <w:pStyle w:val="FootnoteText"/>
      </w:pPr>
      <w:r w:rsidRPr="00804912">
        <w:rPr>
          <w:rStyle w:val="SuperscriptChar"/>
        </w:rPr>
        <w:t>1</w:t>
      </w:r>
      <w:r w:rsidRPr="00804912">
        <w:t>The past quarter (90 day) surveillance period includes the date range (</w:t>
      </w:r>
      <w:r w:rsidR="006A65C0" w:rsidRPr="00804912">
        <w:t>10</w:t>
      </w:r>
      <w:r w:rsidR="0081611F" w:rsidRPr="00804912">
        <w:t>/</w:t>
      </w:r>
      <w:r w:rsidR="006A65C0" w:rsidRPr="00804912">
        <w:t>10</w:t>
      </w:r>
      <w:r w:rsidR="0081611F" w:rsidRPr="00804912">
        <w:t>/20</w:t>
      </w:r>
      <w:r w:rsidR="007F67BA" w:rsidRPr="00804912">
        <w:t>2</w:t>
      </w:r>
      <w:r w:rsidR="00E8363C" w:rsidRPr="00804912">
        <w:t>3</w:t>
      </w:r>
      <w:r w:rsidR="0081611F" w:rsidRPr="00804912">
        <w:t xml:space="preserve"> to</w:t>
      </w:r>
      <w:r w:rsidR="005F4765" w:rsidRPr="00804912">
        <w:t xml:space="preserve"> </w:t>
      </w:r>
      <w:r w:rsidR="006A65C0" w:rsidRPr="00804912">
        <w:t>07</w:t>
      </w:r>
      <w:r w:rsidR="00270632" w:rsidRPr="00804912">
        <w:t>/</w:t>
      </w:r>
      <w:r w:rsidR="006A65C0" w:rsidRPr="00804912">
        <w:t>01</w:t>
      </w:r>
      <w:r w:rsidR="009C1059" w:rsidRPr="00804912">
        <w:t>/20</w:t>
      </w:r>
      <w:r w:rsidR="006A65C0" w:rsidRPr="00804912">
        <w:t>24</w:t>
      </w:r>
      <w:r w:rsidR="00777AAA" w:rsidRPr="00804912">
        <w:t>).</w:t>
      </w:r>
    </w:p>
    <w:p w14:paraId="38B56901" w14:textId="36A8D67A" w:rsidR="00017515" w:rsidRPr="00804912" w:rsidRDefault="00017515" w:rsidP="00804912">
      <w:pPr>
        <w:pStyle w:val="FootnoteText"/>
      </w:pPr>
      <w:r w:rsidRPr="00804912">
        <w:rPr>
          <w:rStyle w:val="SuperscriptChar"/>
        </w:rPr>
        <w:t>2</w:t>
      </w:r>
      <w:r w:rsidRPr="00804912">
        <w:t xml:space="preserve">The quarterly (90 day) five year rolling mean is the average </w:t>
      </w:r>
      <w:r w:rsidR="00D26EE8" w:rsidRPr="00804912">
        <w:t>of</w:t>
      </w:r>
      <w:r w:rsidR="00CA37B4" w:rsidRPr="00804912">
        <w:t xml:space="preserve"> 5 intervals of 90 days up to</w:t>
      </w:r>
      <w:r w:rsidR="003603F7" w:rsidRPr="00804912">
        <w:t xml:space="preserve"> </w:t>
      </w:r>
      <w:r w:rsidR="006A65C0" w:rsidRPr="00804912">
        <w:t>07</w:t>
      </w:r>
      <w:r w:rsidR="00270632" w:rsidRPr="00804912">
        <w:t>/</w:t>
      </w:r>
      <w:r w:rsidR="006A65C0" w:rsidRPr="00804912">
        <w:t>01</w:t>
      </w:r>
      <w:r w:rsidR="00735187" w:rsidRPr="00804912">
        <w:t>/202</w:t>
      </w:r>
      <w:r w:rsidR="006A65C0" w:rsidRPr="00804912">
        <w:t>4</w:t>
      </w:r>
      <w:r w:rsidRPr="00804912">
        <w:t xml:space="preserve">.  The ratio is the notification activity in the past quarter (90 days) compared with the </w:t>
      </w:r>
      <w:r w:rsidR="00804912" w:rsidRPr="00804912">
        <w:t>five-year</w:t>
      </w:r>
      <w:r w:rsidRPr="00804912">
        <w:t xml:space="preserve"> rolling mean for the same period.</w:t>
      </w:r>
    </w:p>
    <w:p w14:paraId="228A0A61" w14:textId="01367652" w:rsidR="00017515" w:rsidRPr="00804912" w:rsidRDefault="00017515" w:rsidP="00804912">
      <w:pPr>
        <w:pStyle w:val="FootnoteText"/>
      </w:pPr>
      <w:r w:rsidRPr="00804912">
        <w:rPr>
          <w:rStyle w:val="SuperscriptChar"/>
        </w:rPr>
        <w:t>3</w:t>
      </w:r>
      <w:r w:rsidRPr="00804912">
        <w:t xml:space="preserve">The past year (365 day) surveillance period includes the date range </w:t>
      </w:r>
      <w:r w:rsidR="002C38A0" w:rsidRPr="00804912">
        <w:t>(</w:t>
      </w:r>
      <w:r w:rsidR="006A65C0" w:rsidRPr="00804912">
        <w:t>08</w:t>
      </w:r>
      <w:r w:rsidR="00421F52" w:rsidRPr="00804912">
        <w:t>/</w:t>
      </w:r>
      <w:r w:rsidR="006A65C0" w:rsidRPr="00804912">
        <w:t>01</w:t>
      </w:r>
      <w:r w:rsidR="00421F52" w:rsidRPr="00804912">
        <w:t>/</w:t>
      </w:r>
      <w:r w:rsidR="009C1059" w:rsidRPr="00804912">
        <w:t>202</w:t>
      </w:r>
      <w:r w:rsidR="006A65C0" w:rsidRPr="00804912">
        <w:t>3</w:t>
      </w:r>
      <w:r w:rsidR="00493076" w:rsidRPr="00804912">
        <w:t xml:space="preserve"> to</w:t>
      </w:r>
      <w:r w:rsidR="00EA74EE" w:rsidRPr="00804912">
        <w:t xml:space="preserve"> </w:t>
      </w:r>
      <w:r w:rsidR="006A65C0" w:rsidRPr="00804912">
        <w:t>07</w:t>
      </w:r>
      <w:r w:rsidR="00270632" w:rsidRPr="00804912">
        <w:t>/</w:t>
      </w:r>
      <w:r w:rsidR="006A65C0" w:rsidRPr="00804912">
        <w:t>01</w:t>
      </w:r>
      <w:r w:rsidR="009C1059" w:rsidRPr="00804912">
        <w:t>/202</w:t>
      </w:r>
      <w:r w:rsidR="006A65C0" w:rsidRPr="00804912">
        <w:t>4</w:t>
      </w:r>
      <w:r w:rsidR="002C38A0" w:rsidRPr="00804912">
        <w:t>).</w:t>
      </w:r>
    </w:p>
    <w:p w14:paraId="24BCFBDD" w14:textId="5A5FC8D7" w:rsidR="00017515" w:rsidRPr="00804912" w:rsidRDefault="00017515" w:rsidP="00804912">
      <w:pPr>
        <w:pStyle w:val="FootnoteText"/>
      </w:pPr>
      <w:r w:rsidRPr="00804912">
        <w:rPr>
          <w:rStyle w:val="SuperscriptChar"/>
        </w:rPr>
        <w:t>4</w:t>
      </w:r>
      <w:r w:rsidRPr="00804912">
        <w:t>The yearly (365 day) five year rolling mean is the average o</w:t>
      </w:r>
      <w:r w:rsidR="007F67BA" w:rsidRPr="00804912">
        <w:t xml:space="preserve">f </w:t>
      </w:r>
      <w:r w:rsidR="00CA37B4" w:rsidRPr="00804912">
        <w:t>5 intervals of 365 days up to</w:t>
      </w:r>
      <w:r w:rsidR="00A13BC6" w:rsidRPr="00804912">
        <w:t xml:space="preserve"> </w:t>
      </w:r>
      <w:r w:rsidR="006A65C0" w:rsidRPr="00804912">
        <w:t>07</w:t>
      </w:r>
      <w:r w:rsidR="00854ED5" w:rsidRPr="00804912">
        <w:t>/</w:t>
      </w:r>
      <w:r w:rsidR="006A65C0" w:rsidRPr="00804912">
        <w:t>01</w:t>
      </w:r>
      <w:r w:rsidR="0071646F" w:rsidRPr="00804912">
        <w:t>/</w:t>
      </w:r>
      <w:r w:rsidR="00735187" w:rsidRPr="00804912">
        <w:t>202</w:t>
      </w:r>
      <w:r w:rsidR="006A65C0" w:rsidRPr="00804912">
        <w:t>4</w:t>
      </w:r>
      <w:r w:rsidR="002C38A0" w:rsidRPr="00804912">
        <w:t>.</w:t>
      </w:r>
      <w:r w:rsidR="00777AAA" w:rsidRPr="00804912">
        <w:t xml:space="preserve"> </w:t>
      </w:r>
      <w:r w:rsidRPr="00804912">
        <w:t xml:space="preserve">The ratio is the notification activity in the past year (365 days) compared with the </w:t>
      </w:r>
      <w:r w:rsidR="00804912" w:rsidRPr="00804912">
        <w:t>five-year</w:t>
      </w:r>
      <w:r w:rsidRPr="00804912">
        <w:t xml:space="preserve"> rolling mean for the same period.</w:t>
      </w:r>
    </w:p>
    <w:p w14:paraId="011711D9" w14:textId="12874156" w:rsidR="00745E0F" w:rsidRPr="00804912" w:rsidRDefault="00017515" w:rsidP="00804912">
      <w:pPr>
        <w:pStyle w:val="FootnoteText"/>
      </w:pPr>
      <w:r w:rsidRPr="00804912">
        <w:t xml:space="preserve">The </w:t>
      </w:r>
      <w:r w:rsidR="00804912" w:rsidRPr="00804912">
        <w:t>five-year</w:t>
      </w:r>
      <w:r w:rsidRPr="00804912">
        <w:t xml:space="preserve"> rolling mean and the ratio of notifications compared with the </w:t>
      </w:r>
      <w:r w:rsidR="00804912" w:rsidRPr="00804912">
        <w:t>five-year</w:t>
      </w:r>
      <w:r w:rsidRPr="00804912">
        <w:t xml:space="preserve"> rolling mean should be interpreted with caution.  Changes in surveillance practice, diagnostic techniques and reporting may contribute to increases or decreases in the total notifications received over a </w:t>
      </w:r>
      <w:r w:rsidR="00804912" w:rsidRPr="00804912">
        <w:t>five-year</w:t>
      </w:r>
      <w:r w:rsidRPr="00804912">
        <w:t xml:space="preserve"> period. Ratios are to be taken as a crude measure of current disease activity and may reflect changes in reporting rather than changes in disease activity. </w:t>
      </w:r>
    </w:p>
    <w:sectPr w:rsidR="00745E0F" w:rsidRPr="00804912"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BA7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40EB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18B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AC0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34B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9896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61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B69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286538"/>
    <w:lvl w:ilvl="0">
      <w:start w:val="1"/>
      <w:numFmt w:val="decimal"/>
      <w:lvlText w:val="%1."/>
      <w:lvlJc w:val="left"/>
      <w:pPr>
        <w:tabs>
          <w:tab w:val="num" w:pos="360"/>
        </w:tabs>
        <w:ind w:left="360" w:hanging="360"/>
      </w:pPr>
    </w:lvl>
  </w:abstractNum>
  <w:abstractNum w:abstractNumId="9"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11"/>
  </w:num>
  <w:num w:numId="2" w16cid:durableId="1162816864">
    <w:abstractNumId w:val="9"/>
  </w:num>
  <w:num w:numId="3" w16cid:durableId="1496067094">
    <w:abstractNumId w:val="12"/>
  </w:num>
  <w:num w:numId="4" w16cid:durableId="30228586">
    <w:abstractNumId w:val="12"/>
  </w:num>
  <w:num w:numId="5" w16cid:durableId="1166633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4612741">
    <w:abstractNumId w:val="7"/>
  </w:num>
  <w:num w:numId="7" w16cid:durableId="1973124865">
    <w:abstractNumId w:val="6"/>
  </w:num>
  <w:num w:numId="8" w16cid:durableId="167793223">
    <w:abstractNumId w:val="5"/>
  </w:num>
  <w:num w:numId="9" w16cid:durableId="198856610">
    <w:abstractNumId w:val="4"/>
  </w:num>
  <w:num w:numId="10" w16cid:durableId="2078353441">
    <w:abstractNumId w:val="8"/>
  </w:num>
  <w:num w:numId="11" w16cid:durableId="832449881">
    <w:abstractNumId w:val="3"/>
  </w:num>
  <w:num w:numId="12" w16cid:durableId="41176532">
    <w:abstractNumId w:val="2"/>
  </w:num>
  <w:num w:numId="13" w16cid:durableId="1930381386">
    <w:abstractNumId w:val="1"/>
  </w:num>
  <w:num w:numId="14" w16cid:durableId="104518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016F"/>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A65C0"/>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4912"/>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863"/>
    <w:rsid w:val="00ED7F90"/>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12"/>
    <w:pPr>
      <w:spacing w:before="120" w:after="120"/>
    </w:pPr>
    <w:rPr>
      <w:rFonts w:ascii="Calibri" w:hAnsi="Calibri"/>
      <w:sz w:val="24"/>
      <w:szCs w:val="24"/>
    </w:rPr>
  </w:style>
  <w:style w:type="paragraph" w:styleId="Heading1">
    <w:name w:val="heading 1"/>
    <w:basedOn w:val="Normal"/>
    <w:next w:val="Normal"/>
    <w:qFormat/>
    <w:rsid w:val="00804912"/>
    <w:pPr>
      <w:keepNext/>
      <w:spacing w:after="0"/>
      <w:outlineLvl w:val="0"/>
    </w:pPr>
    <w:rPr>
      <w:rFonts w:cs="Arial"/>
      <w:b/>
      <w:bCs/>
      <w:color w:val="000000"/>
      <w:szCs w:val="22"/>
    </w:rPr>
  </w:style>
  <w:style w:type="paragraph" w:styleId="Heading2">
    <w:name w:val="heading 2"/>
    <w:basedOn w:val="Heading1"/>
    <w:next w:val="Normal"/>
    <w:link w:val="Heading2Char"/>
    <w:unhideWhenUsed/>
    <w:qFormat/>
    <w:rsid w:val="00804912"/>
    <w:pPr>
      <w:spacing w:before="240" w:after="60"/>
      <w:outlineLvl w:val="1"/>
    </w:pPr>
    <w:rPr>
      <w:rFonts w:eastAsiaTheme="majorEastAsia" w:cstheme="majorBidi"/>
      <w:b w:val="0"/>
      <w:bCs w:val="0"/>
      <w:i/>
      <w:iCs/>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Superscript">
    <w:name w:val="Superscript"/>
    <w:basedOn w:val="FootnoteText"/>
    <w:link w:val="SuperscriptChar"/>
    <w:qFormat/>
    <w:rsid w:val="00804912"/>
    <w:rPr>
      <w:vertAlign w:val="superscript"/>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cs="Arial"/>
      <w:sz w:val="22"/>
      <w:szCs w:val="22"/>
    </w:rPr>
  </w:style>
  <w:style w:type="character" w:customStyle="1" w:styleId="Heading2Char">
    <w:name w:val="Heading 2 Char"/>
    <w:basedOn w:val="DefaultParagraphFont"/>
    <w:link w:val="Heading2"/>
    <w:rsid w:val="00804912"/>
    <w:rPr>
      <w:rFonts w:ascii="Calibri" w:eastAsiaTheme="majorEastAsia" w:hAnsi="Calibri" w:cstheme="majorBidi"/>
      <w:i/>
      <w:iCs/>
      <w:color w:val="000000"/>
      <w:sz w:val="24"/>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eastAsiaTheme="minorHAns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eastAsiaTheme="minorHAns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eastAsiaTheme="minorHAnsi" w:cs="Calibri"/>
      <w:sz w:val="22"/>
      <w:szCs w:val="22"/>
    </w:rPr>
  </w:style>
  <w:style w:type="character" w:customStyle="1" w:styleId="SuperscriptChar">
    <w:name w:val="Superscript Char"/>
    <w:basedOn w:val="FootnoteTextChar"/>
    <w:link w:val="Superscript"/>
    <w:rsid w:val="00804912"/>
    <w:rPr>
      <w:rFonts w:ascii="Calibri" w:hAnsi="Calibri"/>
      <w:vertAlign w:val="superscript"/>
    </w:rPr>
  </w:style>
  <w:style w:type="paragraph" w:styleId="Title">
    <w:name w:val="Title"/>
    <w:next w:val="Normal"/>
    <w:link w:val="TitleChar"/>
    <w:qFormat/>
    <w:rsid w:val="00804912"/>
    <w:pPr>
      <w:spacing w:before="60"/>
      <w:jc w:val="center"/>
    </w:pPr>
    <w:rPr>
      <w:rFonts w:ascii="Calibri" w:eastAsiaTheme="majorEastAsia" w:hAnsi="Calibri" w:cstheme="majorBidi"/>
      <w:b/>
      <w:spacing w:val="-10"/>
      <w:kern w:val="28"/>
      <w:sz w:val="24"/>
      <w:szCs w:val="56"/>
    </w:rPr>
  </w:style>
  <w:style w:type="character" w:customStyle="1" w:styleId="TitleChar">
    <w:name w:val="Title Char"/>
    <w:basedOn w:val="DefaultParagraphFont"/>
    <w:link w:val="Title"/>
    <w:rsid w:val="00804912"/>
    <w:rPr>
      <w:rFonts w:ascii="Calibri" w:eastAsiaTheme="majorEastAsia" w:hAnsi="Calibri" w:cstheme="majorBidi"/>
      <w:b/>
      <w:spacing w:val="-10"/>
      <w:kern w:val="28"/>
      <w:sz w:val="24"/>
      <w:szCs w:val="56"/>
    </w:rPr>
  </w:style>
  <w:style w:type="paragraph" w:styleId="FootnoteText">
    <w:name w:val="footnote text"/>
    <w:basedOn w:val="Normal"/>
    <w:link w:val="FootnoteTextChar"/>
    <w:unhideWhenUsed/>
    <w:rsid w:val="00804912"/>
    <w:rPr>
      <w:sz w:val="20"/>
      <w:szCs w:val="20"/>
    </w:rPr>
  </w:style>
  <w:style w:type="character" w:customStyle="1" w:styleId="FootnoteTextChar">
    <w:name w:val="Footnote Text Char"/>
    <w:basedOn w:val="DefaultParagraphFont"/>
    <w:link w:val="FootnoteText"/>
    <w:rsid w:val="00804912"/>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4307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National Communicable Diseases Surveillance Report</vt:lpstr>
    </vt:vector>
  </TitlesOfParts>
  <Company>DHA</Company>
  <LinksUpToDate>false</LinksUpToDate>
  <CharactersWithSpaces>5015</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Communicable Diseases Surveillance Report</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MASCHKE, Elvia</cp:lastModifiedBy>
  <cp:revision>2</cp:revision>
  <cp:lastPrinted>2021-04-13T23:49:00Z</cp:lastPrinted>
  <dcterms:created xsi:type="dcterms:W3CDTF">2024-01-22T03:29:00Z</dcterms:created>
  <dcterms:modified xsi:type="dcterms:W3CDTF">2024-01-22T03:29:00Z</dcterms:modified>
</cp:coreProperties>
</file>