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5B007F" w:rsidRPr="005B007F" w14:paraId="228D0DF4" w14:textId="77777777" w:rsidTr="00800DEB">
        <w:tc>
          <w:tcPr>
            <w:tcW w:w="2547" w:type="dxa"/>
          </w:tcPr>
          <w:p w14:paraId="568940A8" w14:textId="77777777" w:rsidR="00800DEB" w:rsidRPr="005B007F" w:rsidRDefault="00800DEB" w:rsidP="00800DEB">
            <w:r w:rsidRPr="005B007F">
              <w:rPr>
                <w:noProof/>
              </w:rPr>
              <w:drawing>
                <wp:inline distT="0" distB="0" distL="0" distR="0" wp14:anchorId="50D14292" wp14:editId="06F3CBBC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6A824FC9" w14:textId="2BE2A869" w:rsidR="00800DEB" w:rsidRPr="005B007F" w:rsidRDefault="00EF173F" w:rsidP="00800DEB">
            <w:pPr>
              <w:pStyle w:val="Title"/>
            </w:pPr>
            <w:r w:rsidRPr="005B007F">
              <w:t>Invasive Group A Streptococcal (iGAS) Disease</w:t>
            </w:r>
          </w:p>
          <w:p w14:paraId="243BBB4C" w14:textId="77777777" w:rsidR="00800DEB" w:rsidRPr="005B007F" w:rsidRDefault="00800DEB" w:rsidP="00800DEB">
            <w:pPr>
              <w:pStyle w:val="Subtitle"/>
              <w:rPr>
                <w:color w:val="auto"/>
              </w:rPr>
            </w:pPr>
            <w:r w:rsidRPr="005B007F">
              <w:rPr>
                <w:color w:val="auto"/>
              </w:rPr>
              <w:t>Australian national notifiable diseases case definition</w:t>
            </w:r>
          </w:p>
        </w:tc>
      </w:tr>
    </w:tbl>
    <w:p w14:paraId="185D1E16" w14:textId="6DC0A01A" w:rsidR="004516E8" w:rsidRPr="005B007F" w:rsidRDefault="00800DEB" w:rsidP="009E0B84">
      <w:pPr>
        <w:pStyle w:val="IntroPara"/>
        <w:rPr>
          <w:color w:val="auto"/>
        </w:rPr>
      </w:pPr>
      <w:r w:rsidRPr="005B007F">
        <w:rPr>
          <w:color w:val="auto"/>
        </w:rPr>
        <w:t xml:space="preserve">This document contains the surveillance case definition for </w:t>
      </w:r>
      <w:r w:rsidR="00EF173F" w:rsidRPr="005B007F">
        <w:rPr>
          <w:color w:val="auto"/>
        </w:rPr>
        <w:t>invasive group A streptococcal (iGAS) disease</w:t>
      </w:r>
      <w:r w:rsidRPr="005B007F">
        <w:rPr>
          <w:color w:val="auto"/>
        </w:rPr>
        <w:t xml:space="preserve">, which is nationally notifiable within Australia. </w:t>
      </w:r>
      <w:r w:rsidR="004516E8" w:rsidRPr="005B007F">
        <w:rPr>
          <w:color w:val="auto"/>
        </w:rPr>
        <w:t>State and territory health departments use this definition to decide whether to notify the Australian Government Department of Health</w:t>
      </w:r>
      <w:r w:rsidR="00B14926" w:rsidRPr="005B007F">
        <w:rPr>
          <w:color w:val="auto"/>
        </w:rPr>
        <w:t xml:space="preserve"> and Aged Care</w:t>
      </w:r>
      <w:r w:rsidR="004516E8" w:rsidRPr="005B007F">
        <w:rPr>
          <w:color w:val="auto"/>
        </w:rPr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4"/>
        <w:gridCol w:w="3611"/>
        <w:gridCol w:w="2183"/>
        <w:gridCol w:w="2252"/>
      </w:tblGrid>
      <w:tr w:rsidR="005B007F" w:rsidRPr="005B007F" w14:paraId="4D7B509D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5800AB" w14:textId="77777777" w:rsidR="00800DEB" w:rsidRPr="005B007F" w:rsidRDefault="00800DEB" w:rsidP="00650561">
            <w:pPr>
              <w:pStyle w:val="TableHeader"/>
              <w:rPr>
                <w:color w:val="auto"/>
                <w:lang w:eastAsia="en-AU"/>
              </w:rPr>
            </w:pPr>
            <w:r w:rsidRPr="005B007F">
              <w:rPr>
                <w:color w:val="auto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161E6F53" w14:textId="77777777" w:rsidR="00800DEB" w:rsidRPr="005B007F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en-AU"/>
              </w:rPr>
            </w:pPr>
            <w:r w:rsidRPr="005B007F">
              <w:rPr>
                <w:color w:val="auto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28A17668" w14:textId="77777777" w:rsidR="00800DEB" w:rsidRPr="005B007F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en-AU"/>
              </w:rPr>
            </w:pPr>
            <w:r w:rsidRPr="005B007F">
              <w:rPr>
                <w:color w:val="auto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5548308C" w14:textId="77777777" w:rsidR="00800DEB" w:rsidRPr="005B007F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en-AU"/>
              </w:rPr>
            </w:pPr>
            <w:r w:rsidRPr="005B007F">
              <w:rPr>
                <w:color w:val="auto"/>
                <w:lang w:eastAsia="en-AU"/>
              </w:rPr>
              <w:t>Implementation date</w:t>
            </w:r>
          </w:p>
        </w:tc>
      </w:tr>
      <w:tr w:rsidR="005B007F" w:rsidRPr="005B007F" w14:paraId="2A906DE9" w14:textId="77777777" w:rsidTr="00650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5CD6A6" w14:textId="02ECB825" w:rsidR="00C051AC" w:rsidRPr="005B007F" w:rsidRDefault="00C051AC" w:rsidP="00C051AC">
            <w:pPr>
              <w:pStyle w:val="TableHeader"/>
              <w:rPr>
                <w:b w:val="0"/>
                <w:bCs/>
                <w:color w:val="auto"/>
                <w:lang w:eastAsia="en-AU"/>
              </w:rPr>
            </w:pPr>
            <w:r w:rsidRPr="005B007F">
              <w:rPr>
                <w:b w:val="0"/>
                <w:bCs/>
                <w:color w:val="auto"/>
                <w:lang w:eastAsia="en-AU"/>
              </w:rPr>
              <w:t>2.0</w:t>
            </w:r>
          </w:p>
        </w:tc>
        <w:tc>
          <w:tcPr>
            <w:tcW w:w="0" w:type="auto"/>
          </w:tcPr>
          <w:p w14:paraId="4E6112F2" w14:textId="77777777" w:rsidR="00C051AC" w:rsidRPr="005B007F" w:rsidRDefault="00C051AC" w:rsidP="0050550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en-AU"/>
              </w:rPr>
            </w:pPr>
            <w:r w:rsidRPr="005B007F">
              <w:rPr>
                <w:color w:val="auto"/>
                <w:lang w:eastAsia="en-AU"/>
              </w:rPr>
              <w:t>Inclusion of Probable case definition.</w:t>
            </w:r>
          </w:p>
          <w:p w14:paraId="7D20ADE5" w14:textId="77777777" w:rsidR="00C051AC" w:rsidRPr="005B007F" w:rsidRDefault="00C051AC" w:rsidP="0050550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en-AU"/>
              </w:rPr>
            </w:pPr>
          </w:p>
          <w:p w14:paraId="69BC352E" w14:textId="77777777" w:rsidR="00C051AC" w:rsidRPr="005B007F" w:rsidRDefault="00C051AC" w:rsidP="0050550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en-AU"/>
              </w:rPr>
            </w:pPr>
            <w:r w:rsidRPr="005B007F">
              <w:rPr>
                <w:color w:val="auto"/>
                <w:lang w:eastAsia="en-AU"/>
              </w:rPr>
              <w:t>Laboratory definitive evidence:</w:t>
            </w:r>
          </w:p>
          <w:p w14:paraId="6FA39643" w14:textId="0BA4F9E7" w:rsidR="00C051AC" w:rsidRPr="005B007F" w:rsidRDefault="00C051AC" w:rsidP="00C051AC">
            <w:pPr>
              <w:pStyle w:val="Table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eastAsia="en-AU"/>
              </w:rPr>
            </w:pPr>
            <w:r w:rsidRPr="005B007F">
              <w:rPr>
                <w:b w:val="0"/>
                <w:bCs/>
                <w:color w:val="auto"/>
                <w:lang w:eastAsia="en-AU"/>
              </w:rPr>
              <w:t>Inclusion of</w:t>
            </w:r>
            <w:r w:rsidR="00133F1D" w:rsidRPr="005B007F">
              <w:rPr>
                <w:b w:val="0"/>
                <w:bCs/>
                <w:color w:val="auto"/>
                <w:lang w:eastAsia="en-AU"/>
              </w:rPr>
              <w:t xml:space="preserve"> a l</w:t>
            </w:r>
            <w:r w:rsidRPr="005B007F">
              <w:rPr>
                <w:b w:val="0"/>
                <w:bCs/>
                <w:color w:val="auto"/>
                <w:lang w:eastAsia="en-AU"/>
              </w:rPr>
              <w:t>ist of normally sterile sites.</w:t>
            </w:r>
          </w:p>
        </w:tc>
        <w:tc>
          <w:tcPr>
            <w:tcW w:w="0" w:type="auto"/>
          </w:tcPr>
          <w:p w14:paraId="71C8811F" w14:textId="5E6B7ECF" w:rsidR="00C051AC" w:rsidRPr="005B007F" w:rsidRDefault="00C051AC" w:rsidP="00C051AC">
            <w:pPr>
              <w:pStyle w:val="Table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eastAsia="en-AU"/>
              </w:rPr>
            </w:pPr>
            <w:r w:rsidRPr="005B007F">
              <w:rPr>
                <w:b w:val="0"/>
                <w:bCs/>
                <w:color w:val="auto"/>
                <w:lang w:eastAsia="en-AU"/>
              </w:rPr>
              <w:t>CDNA 18 August 2023</w:t>
            </w:r>
          </w:p>
        </w:tc>
        <w:tc>
          <w:tcPr>
            <w:tcW w:w="0" w:type="auto"/>
          </w:tcPr>
          <w:p w14:paraId="340E7AF9" w14:textId="7F25B5F9" w:rsidR="00C051AC" w:rsidRPr="005B007F" w:rsidRDefault="00040000" w:rsidP="00C051AC">
            <w:pPr>
              <w:pStyle w:val="Table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eastAsia="en-AU"/>
              </w:rPr>
            </w:pPr>
            <w:r>
              <w:rPr>
                <w:b w:val="0"/>
                <w:bCs/>
                <w:color w:val="auto"/>
                <w:lang w:eastAsia="en-AU"/>
              </w:rPr>
              <w:t>1 Jan</w:t>
            </w:r>
            <w:r w:rsidR="001F0390">
              <w:rPr>
                <w:b w:val="0"/>
                <w:bCs/>
                <w:color w:val="auto"/>
                <w:lang w:eastAsia="en-AU"/>
              </w:rPr>
              <w:t>uary</w:t>
            </w:r>
            <w:r>
              <w:rPr>
                <w:b w:val="0"/>
                <w:bCs/>
                <w:color w:val="auto"/>
                <w:lang w:eastAsia="en-AU"/>
              </w:rPr>
              <w:t xml:space="preserve"> 202</w:t>
            </w:r>
            <w:r w:rsidR="00AE47C8">
              <w:rPr>
                <w:b w:val="0"/>
                <w:bCs/>
                <w:color w:val="auto"/>
                <w:lang w:eastAsia="en-AU"/>
              </w:rPr>
              <w:t>4</w:t>
            </w:r>
          </w:p>
        </w:tc>
      </w:tr>
      <w:tr w:rsidR="005B007F" w:rsidRPr="005B007F" w14:paraId="3B1E70B7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D06424" w14:textId="1BD83054" w:rsidR="00800DEB" w:rsidRPr="005B007F" w:rsidRDefault="00EF173F" w:rsidP="00505508">
            <w:pPr>
              <w:pStyle w:val="TableText"/>
              <w:rPr>
                <w:color w:val="auto"/>
                <w:lang w:eastAsia="en-AU"/>
              </w:rPr>
            </w:pPr>
            <w:r w:rsidRPr="005B007F">
              <w:rPr>
                <w:color w:val="auto"/>
                <w:lang w:eastAsia="en-AU"/>
              </w:rPr>
              <w:t>1.0</w:t>
            </w:r>
          </w:p>
        </w:tc>
        <w:tc>
          <w:tcPr>
            <w:tcW w:w="0" w:type="auto"/>
          </w:tcPr>
          <w:p w14:paraId="6B9E6908" w14:textId="258D1BFD" w:rsidR="00800DEB" w:rsidRPr="005B007F" w:rsidRDefault="00EF173F" w:rsidP="00EF17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lang w:eastAsia="en-AU"/>
              </w:rPr>
            </w:pPr>
            <w:r w:rsidRPr="005B007F">
              <w:rPr>
                <w:color w:val="auto"/>
                <w:lang w:eastAsia="en-AU"/>
              </w:rPr>
              <w:t>Initial CDNA case definition</w:t>
            </w:r>
          </w:p>
        </w:tc>
        <w:tc>
          <w:tcPr>
            <w:tcW w:w="0" w:type="auto"/>
          </w:tcPr>
          <w:p w14:paraId="37303B56" w14:textId="449566B9" w:rsidR="00800DEB" w:rsidRPr="005B007F" w:rsidRDefault="00EF173F" w:rsidP="00EF17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lang w:eastAsia="en-AU"/>
              </w:rPr>
            </w:pPr>
            <w:r w:rsidRPr="005B007F">
              <w:rPr>
                <w:color w:val="auto"/>
                <w:lang w:eastAsia="en-AU"/>
              </w:rPr>
              <w:t>CDNA 25 June 2021</w:t>
            </w:r>
          </w:p>
        </w:tc>
        <w:tc>
          <w:tcPr>
            <w:tcW w:w="0" w:type="auto"/>
          </w:tcPr>
          <w:p w14:paraId="50612D94" w14:textId="08F6F009" w:rsidR="00800DEB" w:rsidRPr="005B007F" w:rsidRDefault="00EF173F" w:rsidP="00EF17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lang w:eastAsia="en-AU"/>
              </w:rPr>
            </w:pPr>
            <w:r w:rsidRPr="005B007F">
              <w:rPr>
                <w:color w:val="auto"/>
                <w:lang w:eastAsia="en-AU"/>
              </w:rPr>
              <w:t>1 July 2021</w:t>
            </w:r>
          </w:p>
        </w:tc>
      </w:tr>
    </w:tbl>
    <w:p w14:paraId="6AC3BF55" w14:textId="77777777" w:rsidR="00EF173F" w:rsidRPr="005B007F" w:rsidRDefault="00EF173F" w:rsidP="00504322">
      <w:pPr>
        <w:pStyle w:val="Heading1"/>
        <w:rPr>
          <w:color w:val="auto"/>
        </w:rPr>
      </w:pPr>
      <w:r w:rsidRPr="005B007F">
        <w:rPr>
          <w:color w:val="auto"/>
        </w:rPr>
        <w:t>Reporting</w:t>
      </w:r>
    </w:p>
    <w:p w14:paraId="17CB795F" w14:textId="094E90A9" w:rsidR="006E1DF7" w:rsidRPr="005B007F" w:rsidRDefault="00BD70C0" w:rsidP="00EF173F">
      <w:p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5B007F">
        <w:rPr>
          <w:rFonts w:ascii="Helvetica" w:hAnsi="Helvetica" w:cs="Helvetica"/>
          <w:sz w:val="20"/>
          <w:szCs w:val="20"/>
          <w:lang w:eastAsia="en-AU"/>
        </w:rPr>
        <w:t>Both</w:t>
      </w:r>
      <w:r w:rsidR="00EF173F" w:rsidRPr="005B007F">
        <w:rPr>
          <w:rFonts w:ascii="Helvetica" w:hAnsi="Helvetica" w:cs="Helvetica"/>
          <w:b/>
          <w:bCs/>
          <w:sz w:val="20"/>
          <w:szCs w:val="20"/>
          <w:lang w:eastAsia="en-AU"/>
        </w:rPr>
        <w:t> confirmed</w:t>
      </w:r>
      <w:r w:rsidR="00EF173F" w:rsidRPr="005B007F">
        <w:rPr>
          <w:rFonts w:ascii="Helvetica" w:hAnsi="Helvetica" w:cs="Helvetica"/>
          <w:sz w:val="20"/>
          <w:szCs w:val="20"/>
          <w:lang w:eastAsia="en-AU"/>
        </w:rPr>
        <w:t> </w:t>
      </w:r>
      <w:r w:rsidR="00EF173F" w:rsidRPr="005B007F">
        <w:rPr>
          <w:rFonts w:ascii="Helvetica" w:hAnsi="Helvetica" w:cs="Helvetica"/>
          <w:b/>
          <w:bCs/>
          <w:sz w:val="20"/>
          <w:szCs w:val="20"/>
          <w:lang w:eastAsia="en-AU"/>
        </w:rPr>
        <w:t>cases</w:t>
      </w:r>
      <w:r w:rsidR="00EF173F" w:rsidRPr="005B007F">
        <w:rPr>
          <w:rFonts w:ascii="Helvetica" w:hAnsi="Helvetica" w:cs="Helvetica"/>
          <w:sz w:val="20"/>
          <w:szCs w:val="20"/>
          <w:lang w:eastAsia="en-AU"/>
        </w:rPr>
        <w:t xml:space="preserve"> </w:t>
      </w:r>
      <w:r w:rsidRPr="005B007F">
        <w:rPr>
          <w:rFonts w:ascii="Helvetica" w:hAnsi="Helvetica" w:cs="Helvetica"/>
          <w:sz w:val="20"/>
          <w:szCs w:val="20"/>
          <w:lang w:eastAsia="en-AU"/>
        </w:rPr>
        <w:t xml:space="preserve">and </w:t>
      </w:r>
      <w:r w:rsidRPr="005B007F">
        <w:rPr>
          <w:rFonts w:ascii="Helvetica" w:hAnsi="Helvetica" w:cs="Helvetica"/>
          <w:b/>
          <w:bCs/>
          <w:sz w:val="20"/>
          <w:szCs w:val="20"/>
          <w:lang w:eastAsia="en-AU"/>
        </w:rPr>
        <w:t>probable cases</w:t>
      </w:r>
      <w:r w:rsidRPr="005B007F">
        <w:rPr>
          <w:rFonts w:ascii="Helvetica" w:hAnsi="Helvetica" w:cs="Helvetica"/>
          <w:sz w:val="20"/>
          <w:szCs w:val="20"/>
          <w:lang w:eastAsia="en-AU"/>
        </w:rPr>
        <w:t xml:space="preserve"> </w:t>
      </w:r>
      <w:r w:rsidR="00EF173F" w:rsidRPr="005B007F">
        <w:rPr>
          <w:rFonts w:ascii="Helvetica" w:hAnsi="Helvetica" w:cs="Helvetica"/>
          <w:sz w:val="20"/>
          <w:szCs w:val="20"/>
          <w:lang w:eastAsia="en-AU"/>
        </w:rPr>
        <w:t>should be notified.</w:t>
      </w:r>
    </w:p>
    <w:p w14:paraId="29639913" w14:textId="77777777" w:rsidR="006E1DF7" w:rsidRPr="005B007F" w:rsidRDefault="006E1DF7" w:rsidP="00EF173F">
      <w:p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</w:p>
    <w:p w14:paraId="1B9C34CA" w14:textId="36745C05" w:rsidR="00EF173F" w:rsidRPr="005B007F" w:rsidRDefault="00EF173F" w:rsidP="00C33C45">
      <w:pPr>
        <w:pStyle w:val="Heading1"/>
        <w:rPr>
          <w:color w:val="auto"/>
        </w:rPr>
      </w:pPr>
      <w:r w:rsidRPr="005B007F">
        <w:rPr>
          <w:color w:val="auto"/>
        </w:rPr>
        <w:t xml:space="preserve">Confirmed </w:t>
      </w:r>
      <w:proofErr w:type="gramStart"/>
      <w:r w:rsidRPr="005B007F">
        <w:rPr>
          <w:color w:val="auto"/>
        </w:rPr>
        <w:t>case</w:t>
      </w:r>
      <w:proofErr w:type="gramEnd"/>
    </w:p>
    <w:p w14:paraId="52A1EF71" w14:textId="2610A78B" w:rsidR="00EF173F" w:rsidRPr="005B007F" w:rsidRDefault="00EF173F" w:rsidP="00EF173F">
      <w:p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5B007F">
        <w:rPr>
          <w:rFonts w:ascii="Helvetica" w:hAnsi="Helvetica" w:cs="Helvetica"/>
          <w:sz w:val="20"/>
          <w:szCs w:val="20"/>
          <w:lang w:eastAsia="en-AU"/>
        </w:rPr>
        <w:t>A confirmed case requires </w:t>
      </w:r>
      <w:r w:rsidRPr="005B007F">
        <w:rPr>
          <w:rFonts w:ascii="Helvetica" w:hAnsi="Helvetica" w:cs="Helvetica"/>
          <w:b/>
          <w:bCs/>
          <w:sz w:val="20"/>
          <w:szCs w:val="20"/>
          <w:lang w:eastAsia="en-AU"/>
        </w:rPr>
        <w:t>laboratory definitive evidence</w:t>
      </w:r>
      <w:r w:rsidRPr="005B007F">
        <w:rPr>
          <w:rFonts w:ascii="Helvetica" w:hAnsi="Helvetica" w:cs="Helvetica"/>
          <w:sz w:val="20"/>
          <w:szCs w:val="20"/>
          <w:lang w:eastAsia="en-AU"/>
        </w:rPr>
        <w:t> only.</w:t>
      </w:r>
    </w:p>
    <w:p w14:paraId="2E23CCB2" w14:textId="74C96FE5" w:rsidR="00206DE2" w:rsidRPr="005B007F" w:rsidRDefault="00206DE2" w:rsidP="00C33C45">
      <w:pPr>
        <w:pStyle w:val="Heading1"/>
        <w:rPr>
          <w:color w:val="auto"/>
        </w:rPr>
      </w:pPr>
      <w:r w:rsidRPr="005B007F">
        <w:rPr>
          <w:color w:val="auto"/>
        </w:rPr>
        <w:t>Probable case</w:t>
      </w:r>
    </w:p>
    <w:p w14:paraId="2E70A5F4" w14:textId="6FF1D545" w:rsidR="00206DE2" w:rsidRPr="005B007F" w:rsidRDefault="00206DE2" w:rsidP="00206DE2">
      <w:p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5B007F">
        <w:rPr>
          <w:rFonts w:ascii="Helvetica" w:hAnsi="Helvetica" w:cs="Helvetica"/>
          <w:sz w:val="20"/>
          <w:szCs w:val="20"/>
          <w:lang w:eastAsia="en-AU"/>
        </w:rPr>
        <w:t>A probable case requires </w:t>
      </w:r>
      <w:r w:rsidR="006D4E0D" w:rsidRPr="005B007F">
        <w:rPr>
          <w:rFonts w:ascii="Helvetica" w:hAnsi="Helvetica" w:cs="Helvetica"/>
          <w:b/>
          <w:bCs/>
          <w:sz w:val="20"/>
          <w:szCs w:val="20"/>
          <w:lang w:eastAsia="en-AU"/>
        </w:rPr>
        <w:t>laboratory</w:t>
      </w:r>
      <w:r w:rsidRPr="005B007F">
        <w:rPr>
          <w:rFonts w:ascii="Helvetica" w:hAnsi="Helvetica" w:cs="Helvetica"/>
          <w:b/>
          <w:bCs/>
          <w:sz w:val="20"/>
          <w:szCs w:val="20"/>
          <w:lang w:eastAsia="en-AU"/>
        </w:rPr>
        <w:t xml:space="preserve"> suggestive</w:t>
      </w:r>
      <w:r w:rsidRPr="005B007F">
        <w:rPr>
          <w:rFonts w:ascii="Helvetica" w:hAnsi="Helvetica" w:cs="Helvetica"/>
          <w:sz w:val="20"/>
          <w:szCs w:val="20"/>
          <w:lang w:eastAsia="en-AU"/>
        </w:rPr>
        <w:t xml:space="preserve"> AND </w:t>
      </w:r>
      <w:r w:rsidR="006D4E0D" w:rsidRPr="005B007F">
        <w:rPr>
          <w:rFonts w:ascii="Helvetica" w:hAnsi="Helvetica" w:cs="Helvetica"/>
          <w:b/>
          <w:bCs/>
          <w:sz w:val="20"/>
          <w:szCs w:val="20"/>
          <w:lang w:eastAsia="en-AU"/>
        </w:rPr>
        <w:t>clinical</w:t>
      </w:r>
      <w:r w:rsidRPr="005B007F">
        <w:rPr>
          <w:rFonts w:ascii="Helvetica" w:hAnsi="Helvetica" w:cs="Helvetica"/>
          <w:b/>
          <w:bCs/>
          <w:sz w:val="20"/>
          <w:szCs w:val="20"/>
          <w:lang w:eastAsia="en-AU"/>
        </w:rPr>
        <w:t xml:space="preserve"> suggestive evidence</w:t>
      </w:r>
      <w:r w:rsidRPr="005B007F">
        <w:rPr>
          <w:rFonts w:ascii="Helvetica" w:hAnsi="Helvetica" w:cs="Helvetica"/>
          <w:sz w:val="20"/>
          <w:szCs w:val="20"/>
          <w:lang w:eastAsia="en-AU"/>
        </w:rPr>
        <w:t>.</w:t>
      </w:r>
    </w:p>
    <w:p w14:paraId="296B9586" w14:textId="77777777" w:rsidR="00EF173F" w:rsidRPr="005B007F" w:rsidRDefault="00EF173F" w:rsidP="00C33C45">
      <w:pPr>
        <w:pStyle w:val="Heading1"/>
        <w:rPr>
          <w:color w:val="auto"/>
        </w:rPr>
      </w:pPr>
      <w:r w:rsidRPr="005B007F">
        <w:rPr>
          <w:color w:val="auto"/>
        </w:rPr>
        <w:lastRenderedPageBreak/>
        <w:t>Laboratory definitive evidence</w:t>
      </w:r>
    </w:p>
    <w:p w14:paraId="1F53F67F" w14:textId="79AD12E7" w:rsidR="00EF173F" w:rsidRPr="005B007F" w:rsidRDefault="00EF173F" w:rsidP="00DE0585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5B007F">
        <w:rPr>
          <w:rFonts w:ascii="Helvetica" w:hAnsi="Helvetica" w:cs="Helvetica"/>
          <w:sz w:val="20"/>
          <w:szCs w:val="20"/>
          <w:lang w:eastAsia="en-AU"/>
        </w:rPr>
        <w:t>Isolation of Group A Streptococci (</w:t>
      </w:r>
      <w:r w:rsidRPr="005B007F">
        <w:rPr>
          <w:rFonts w:ascii="Helvetica" w:hAnsi="Helvetica" w:cs="Helvetica"/>
          <w:i/>
          <w:iCs/>
          <w:sz w:val="20"/>
          <w:szCs w:val="20"/>
          <w:lang w:eastAsia="en-AU"/>
        </w:rPr>
        <w:t>Streptococcus pyogenes</w:t>
      </w:r>
      <w:r w:rsidRPr="005B007F">
        <w:rPr>
          <w:rFonts w:ascii="Helvetica" w:hAnsi="Helvetica" w:cs="Helvetica"/>
          <w:sz w:val="20"/>
          <w:szCs w:val="20"/>
          <w:lang w:eastAsia="en-AU"/>
        </w:rPr>
        <w:t xml:space="preserve">) by culture from a </w:t>
      </w:r>
      <w:r w:rsidRPr="005B007F">
        <w:rPr>
          <w:rFonts w:ascii="Helvetica" w:hAnsi="Helvetica" w:cs="Helvetica"/>
          <w:b/>
          <w:bCs/>
          <w:sz w:val="20"/>
          <w:szCs w:val="20"/>
          <w:lang w:eastAsia="en-AU"/>
        </w:rPr>
        <w:t>normally sterile site</w:t>
      </w:r>
      <w:r w:rsidR="00D25DDF" w:rsidRPr="005B007F">
        <w:rPr>
          <w:rFonts w:ascii="Helvetica" w:hAnsi="Helvetica" w:cs="Helvetica"/>
          <w:sz w:val="20"/>
          <w:szCs w:val="20"/>
          <w:lang w:eastAsia="en-AU"/>
        </w:rPr>
        <w:t>.</w:t>
      </w:r>
      <w:bookmarkStart w:id="0" w:name="_Ref148452544"/>
      <w:r w:rsidR="004B3550" w:rsidRPr="005B007F">
        <w:rPr>
          <w:rStyle w:val="FootnoteReference"/>
          <w:rFonts w:ascii="Helvetica" w:hAnsi="Helvetica" w:cs="Helvetica"/>
          <w:sz w:val="20"/>
          <w:szCs w:val="20"/>
          <w:lang w:eastAsia="en-AU"/>
        </w:rPr>
        <w:footnoteReference w:id="2"/>
      </w:r>
      <w:bookmarkEnd w:id="0"/>
      <w:r w:rsidR="004B3550" w:rsidRPr="005B007F">
        <w:rPr>
          <w:rFonts w:ascii="Helvetica" w:hAnsi="Helvetica" w:cs="Helvetica"/>
          <w:sz w:val="20"/>
          <w:szCs w:val="20"/>
          <w:vertAlign w:val="superscript"/>
          <w:lang w:eastAsia="en-AU"/>
        </w:rPr>
        <w:t>,</w:t>
      </w:r>
      <w:bookmarkStart w:id="1" w:name="_Ref148452546"/>
      <w:r w:rsidR="00DE0585" w:rsidRPr="005B007F">
        <w:rPr>
          <w:rStyle w:val="FootnoteReference"/>
          <w:rFonts w:ascii="Helvetica" w:hAnsi="Helvetica" w:cs="Helvetica"/>
          <w:sz w:val="20"/>
          <w:szCs w:val="20"/>
          <w:lang w:eastAsia="en-AU"/>
        </w:rPr>
        <w:footnoteReference w:id="3"/>
      </w:r>
      <w:bookmarkEnd w:id="1"/>
      <w:r w:rsidR="00DE0585" w:rsidRPr="005B007F">
        <w:rPr>
          <w:rFonts w:ascii="Helvetica" w:hAnsi="Helvetica" w:cs="Helvetica"/>
          <w:sz w:val="20"/>
          <w:szCs w:val="20"/>
          <w:vertAlign w:val="superscript"/>
          <w:lang w:eastAsia="en-AU"/>
        </w:rPr>
        <w:t>,</w:t>
      </w:r>
      <w:bookmarkStart w:id="2" w:name="_Ref148452548"/>
      <w:r w:rsidR="00DE0585" w:rsidRPr="005B007F">
        <w:rPr>
          <w:rStyle w:val="FootnoteReference"/>
          <w:rFonts w:ascii="Helvetica" w:hAnsi="Helvetica" w:cs="Helvetica"/>
          <w:sz w:val="20"/>
          <w:szCs w:val="20"/>
          <w:lang w:eastAsia="en-AU"/>
        </w:rPr>
        <w:footnoteReference w:id="4"/>
      </w:r>
      <w:bookmarkEnd w:id="2"/>
    </w:p>
    <w:p w14:paraId="73241E2E" w14:textId="77777777" w:rsidR="00EF173F" w:rsidRPr="005B007F" w:rsidRDefault="00EF173F" w:rsidP="00EF173F">
      <w:pPr>
        <w:shd w:val="clear" w:color="auto" w:fill="FFFFFF"/>
        <w:spacing w:before="240" w:after="240" w:line="300" w:lineRule="atLeast"/>
        <w:ind w:left="720"/>
        <w:rPr>
          <w:rFonts w:ascii="Helvetica" w:hAnsi="Helvetica" w:cs="Helvetica"/>
          <w:sz w:val="20"/>
          <w:szCs w:val="20"/>
          <w:lang w:eastAsia="en-AU"/>
        </w:rPr>
      </w:pPr>
      <w:r w:rsidRPr="005B007F">
        <w:rPr>
          <w:rFonts w:ascii="Helvetica" w:hAnsi="Helvetica" w:cs="Helvetica"/>
          <w:sz w:val="20"/>
          <w:szCs w:val="20"/>
          <w:lang w:eastAsia="en-AU"/>
        </w:rPr>
        <w:t>OR</w:t>
      </w:r>
    </w:p>
    <w:p w14:paraId="013894BB" w14:textId="235FFB69" w:rsidR="00BD70C0" w:rsidRPr="005B007F" w:rsidRDefault="00EF173F" w:rsidP="00D07121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5B007F">
        <w:rPr>
          <w:rFonts w:ascii="Helvetica" w:hAnsi="Helvetica" w:cs="Helvetica"/>
          <w:sz w:val="20"/>
          <w:szCs w:val="20"/>
          <w:lang w:eastAsia="en-AU"/>
        </w:rPr>
        <w:t>Detection of Group A Streptococci (</w:t>
      </w:r>
      <w:r w:rsidRPr="005B007F">
        <w:rPr>
          <w:rFonts w:ascii="Helvetica" w:hAnsi="Helvetica" w:cs="Helvetica"/>
          <w:i/>
          <w:iCs/>
          <w:sz w:val="20"/>
          <w:szCs w:val="20"/>
          <w:lang w:eastAsia="en-AU"/>
        </w:rPr>
        <w:t>Streptococcus pyogenes</w:t>
      </w:r>
      <w:r w:rsidRPr="005B007F">
        <w:rPr>
          <w:rFonts w:ascii="Helvetica" w:hAnsi="Helvetica" w:cs="Helvetica"/>
          <w:sz w:val="20"/>
          <w:szCs w:val="20"/>
          <w:lang w:eastAsia="en-AU"/>
        </w:rPr>
        <w:t xml:space="preserve">) by </w:t>
      </w:r>
      <w:r w:rsidR="00626DF6" w:rsidRPr="005B007F">
        <w:rPr>
          <w:rFonts w:ascii="Helvetica" w:hAnsi="Helvetica" w:cs="Helvetica"/>
          <w:sz w:val="20"/>
          <w:szCs w:val="20"/>
          <w:lang w:eastAsia="en-AU"/>
        </w:rPr>
        <w:t>nucleic acid testing</w:t>
      </w:r>
      <w:r w:rsidR="007E3EA6" w:rsidRPr="005B007F">
        <w:rPr>
          <w:rFonts w:ascii="Helvetica" w:hAnsi="Helvetica" w:cs="Helvetica"/>
          <w:sz w:val="20"/>
          <w:szCs w:val="20"/>
          <w:lang w:eastAsia="en-AU"/>
        </w:rPr>
        <w:t xml:space="preserve"> </w:t>
      </w:r>
      <w:r w:rsidRPr="005B007F">
        <w:rPr>
          <w:rFonts w:ascii="Helvetica" w:hAnsi="Helvetica" w:cs="Helvetica"/>
          <w:sz w:val="20"/>
          <w:szCs w:val="20"/>
          <w:lang w:eastAsia="en-AU"/>
        </w:rPr>
        <w:t xml:space="preserve">from a </w:t>
      </w:r>
      <w:r w:rsidRPr="005B007F">
        <w:rPr>
          <w:rFonts w:ascii="Helvetica" w:hAnsi="Helvetica" w:cs="Helvetica"/>
          <w:b/>
          <w:bCs/>
          <w:sz w:val="20"/>
          <w:szCs w:val="20"/>
          <w:lang w:eastAsia="en-AU"/>
        </w:rPr>
        <w:t>normally sterile site</w:t>
      </w:r>
      <w:r w:rsidR="004B3550" w:rsidRPr="005B007F">
        <w:rPr>
          <w:rFonts w:ascii="Helvetica" w:hAnsi="Helvetica" w:cs="Helvetica"/>
          <w:sz w:val="20"/>
          <w:szCs w:val="20"/>
          <w:lang w:eastAsia="en-AU"/>
        </w:rPr>
        <w:t>.</w:t>
      </w:r>
      <w:r w:rsidR="00D07121" w:rsidRPr="005B007F">
        <w:rPr>
          <w:rFonts w:ascii="Helvetica" w:hAnsi="Helvetica" w:cs="Helvetica"/>
          <w:sz w:val="20"/>
          <w:szCs w:val="20"/>
          <w:vertAlign w:val="superscript"/>
          <w:lang w:eastAsia="en-AU"/>
        </w:rPr>
        <w:fldChar w:fldCharType="begin"/>
      </w:r>
      <w:r w:rsidR="00D07121" w:rsidRPr="005B007F">
        <w:rPr>
          <w:rFonts w:ascii="Helvetica" w:hAnsi="Helvetica" w:cs="Helvetica"/>
          <w:sz w:val="20"/>
          <w:szCs w:val="20"/>
          <w:vertAlign w:val="superscript"/>
          <w:lang w:eastAsia="en-AU"/>
        </w:rPr>
        <w:instrText xml:space="preserve"> NOTEREF _Ref148452544 \h  \* MERGEFORMAT </w:instrText>
      </w:r>
      <w:r w:rsidR="00D07121" w:rsidRPr="005B007F">
        <w:rPr>
          <w:rFonts w:ascii="Helvetica" w:hAnsi="Helvetica" w:cs="Helvetica"/>
          <w:sz w:val="20"/>
          <w:szCs w:val="20"/>
          <w:vertAlign w:val="superscript"/>
          <w:lang w:eastAsia="en-AU"/>
        </w:rPr>
      </w:r>
      <w:r w:rsidR="00D07121" w:rsidRPr="005B007F">
        <w:rPr>
          <w:rFonts w:ascii="Helvetica" w:hAnsi="Helvetica" w:cs="Helvetica"/>
          <w:sz w:val="20"/>
          <w:szCs w:val="20"/>
          <w:vertAlign w:val="superscript"/>
          <w:lang w:eastAsia="en-AU"/>
        </w:rPr>
        <w:fldChar w:fldCharType="separate"/>
      </w:r>
      <w:r w:rsidR="00A84EA5">
        <w:rPr>
          <w:rFonts w:ascii="Helvetica" w:hAnsi="Helvetica" w:cs="Helvetica"/>
          <w:sz w:val="20"/>
          <w:szCs w:val="20"/>
          <w:vertAlign w:val="superscript"/>
          <w:lang w:eastAsia="en-AU"/>
        </w:rPr>
        <w:t>1</w:t>
      </w:r>
      <w:r w:rsidR="00D07121" w:rsidRPr="005B007F">
        <w:rPr>
          <w:rFonts w:ascii="Helvetica" w:hAnsi="Helvetica" w:cs="Helvetica"/>
          <w:sz w:val="20"/>
          <w:szCs w:val="20"/>
          <w:vertAlign w:val="superscript"/>
          <w:lang w:eastAsia="en-AU"/>
        </w:rPr>
        <w:fldChar w:fldCharType="end"/>
      </w:r>
      <w:r w:rsidR="00D07121" w:rsidRPr="005B007F">
        <w:rPr>
          <w:rFonts w:ascii="Helvetica" w:hAnsi="Helvetica" w:cs="Helvetica"/>
          <w:sz w:val="20"/>
          <w:szCs w:val="20"/>
          <w:vertAlign w:val="superscript"/>
          <w:lang w:eastAsia="en-AU"/>
        </w:rPr>
        <w:t>,</w:t>
      </w:r>
      <w:r w:rsidR="00D07121" w:rsidRPr="005B007F">
        <w:rPr>
          <w:rFonts w:ascii="Helvetica" w:hAnsi="Helvetica" w:cs="Helvetica"/>
          <w:sz w:val="20"/>
          <w:szCs w:val="20"/>
          <w:vertAlign w:val="superscript"/>
          <w:lang w:eastAsia="en-AU"/>
        </w:rPr>
        <w:fldChar w:fldCharType="begin"/>
      </w:r>
      <w:r w:rsidR="00D07121" w:rsidRPr="005B007F">
        <w:rPr>
          <w:rFonts w:ascii="Helvetica" w:hAnsi="Helvetica" w:cs="Helvetica"/>
          <w:sz w:val="20"/>
          <w:szCs w:val="20"/>
          <w:vertAlign w:val="superscript"/>
          <w:lang w:eastAsia="en-AU"/>
        </w:rPr>
        <w:instrText xml:space="preserve"> NOTEREF _Ref148452546 \h  \* MERGEFORMAT </w:instrText>
      </w:r>
      <w:r w:rsidR="00D07121" w:rsidRPr="005B007F">
        <w:rPr>
          <w:rFonts w:ascii="Helvetica" w:hAnsi="Helvetica" w:cs="Helvetica"/>
          <w:sz w:val="20"/>
          <w:szCs w:val="20"/>
          <w:vertAlign w:val="superscript"/>
          <w:lang w:eastAsia="en-AU"/>
        </w:rPr>
      </w:r>
      <w:r w:rsidR="00D07121" w:rsidRPr="005B007F">
        <w:rPr>
          <w:rFonts w:ascii="Helvetica" w:hAnsi="Helvetica" w:cs="Helvetica"/>
          <w:sz w:val="20"/>
          <w:szCs w:val="20"/>
          <w:vertAlign w:val="superscript"/>
          <w:lang w:eastAsia="en-AU"/>
        </w:rPr>
        <w:fldChar w:fldCharType="separate"/>
      </w:r>
      <w:r w:rsidR="00A84EA5">
        <w:rPr>
          <w:rFonts w:ascii="Helvetica" w:hAnsi="Helvetica" w:cs="Helvetica"/>
          <w:sz w:val="20"/>
          <w:szCs w:val="20"/>
          <w:vertAlign w:val="superscript"/>
          <w:lang w:eastAsia="en-AU"/>
        </w:rPr>
        <w:t>2</w:t>
      </w:r>
      <w:r w:rsidR="00D07121" w:rsidRPr="005B007F">
        <w:rPr>
          <w:rFonts w:ascii="Helvetica" w:hAnsi="Helvetica" w:cs="Helvetica"/>
          <w:sz w:val="20"/>
          <w:szCs w:val="20"/>
          <w:vertAlign w:val="superscript"/>
          <w:lang w:eastAsia="en-AU"/>
        </w:rPr>
        <w:fldChar w:fldCharType="end"/>
      </w:r>
      <w:r w:rsidR="00D07121" w:rsidRPr="005B007F">
        <w:rPr>
          <w:rFonts w:ascii="Helvetica" w:hAnsi="Helvetica" w:cs="Helvetica"/>
          <w:sz w:val="20"/>
          <w:szCs w:val="20"/>
          <w:vertAlign w:val="superscript"/>
          <w:lang w:eastAsia="en-AU"/>
        </w:rPr>
        <w:t>,</w:t>
      </w:r>
      <w:r w:rsidR="00D07121" w:rsidRPr="005B007F">
        <w:rPr>
          <w:rFonts w:ascii="Helvetica" w:hAnsi="Helvetica" w:cs="Helvetica"/>
          <w:sz w:val="20"/>
          <w:szCs w:val="20"/>
          <w:vertAlign w:val="superscript"/>
          <w:lang w:eastAsia="en-AU"/>
        </w:rPr>
        <w:fldChar w:fldCharType="begin"/>
      </w:r>
      <w:r w:rsidR="00D07121" w:rsidRPr="005B007F">
        <w:rPr>
          <w:rFonts w:ascii="Helvetica" w:hAnsi="Helvetica" w:cs="Helvetica"/>
          <w:sz w:val="20"/>
          <w:szCs w:val="20"/>
          <w:vertAlign w:val="superscript"/>
          <w:lang w:eastAsia="en-AU"/>
        </w:rPr>
        <w:instrText xml:space="preserve"> NOTEREF _Ref148452548 \h  \* MERGEFORMAT </w:instrText>
      </w:r>
      <w:r w:rsidR="00D07121" w:rsidRPr="005B007F">
        <w:rPr>
          <w:rFonts w:ascii="Helvetica" w:hAnsi="Helvetica" w:cs="Helvetica"/>
          <w:sz w:val="20"/>
          <w:szCs w:val="20"/>
          <w:vertAlign w:val="superscript"/>
          <w:lang w:eastAsia="en-AU"/>
        </w:rPr>
      </w:r>
      <w:r w:rsidR="00D07121" w:rsidRPr="005B007F">
        <w:rPr>
          <w:rFonts w:ascii="Helvetica" w:hAnsi="Helvetica" w:cs="Helvetica"/>
          <w:sz w:val="20"/>
          <w:szCs w:val="20"/>
          <w:vertAlign w:val="superscript"/>
          <w:lang w:eastAsia="en-AU"/>
        </w:rPr>
        <w:fldChar w:fldCharType="separate"/>
      </w:r>
      <w:r w:rsidR="00A84EA5">
        <w:rPr>
          <w:rFonts w:ascii="Helvetica" w:hAnsi="Helvetica" w:cs="Helvetica"/>
          <w:sz w:val="20"/>
          <w:szCs w:val="20"/>
          <w:vertAlign w:val="superscript"/>
          <w:lang w:eastAsia="en-AU"/>
        </w:rPr>
        <w:t>3</w:t>
      </w:r>
      <w:r w:rsidR="00D07121" w:rsidRPr="005B007F">
        <w:rPr>
          <w:rFonts w:ascii="Helvetica" w:hAnsi="Helvetica" w:cs="Helvetica"/>
          <w:sz w:val="20"/>
          <w:szCs w:val="20"/>
          <w:vertAlign w:val="superscript"/>
          <w:lang w:eastAsia="en-AU"/>
        </w:rPr>
        <w:fldChar w:fldCharType="end"/>
      </w:r>
    </w:p>
    <w:p w14:paraId="774BAA75" w14:textId="77777777" w:rsidR="00CA1ED1" w:rsidRPr="005B007F" w:rsidRDefault="00CA1ED1" w:rsidP="00C33C45">
      <w:pPr>
        <w:pStyle w:val="Heading1"/>
        <w:rPr>
          <w:color w:val="auto"/>
        </w:rPr>
      </w:pPr>
      <w:bookmarkStart w:id="3" w:name="_Hlk148097541"/>
    </w:p>
    <w:p w14:paraId="2F013BF6" w14:textId="1AB044CA" w:rsidR="00BD70C0" w:rsidRPr="005B007F" w:rsidRDefault="00BD70C0" w:rsidP="00C33C45">
      <w:pPr>
        <w:pStyle w:val="Heading1"/>
        <w:rPr>
          <w:color w:val="auto"/>
        </w:rPr>
      </w:pPr>
      <w:r w:rsidRPr="005B007F">
        <w:rPr>
          <w:color w:val="auto"/>
        </w:rPr>
        <w:t>Laboratory suggestive evidence</w:t>
      </w:r>
    </w:p>
    <w:p w14:paraId="417DB6A6" w14:textId="66BAAC11" w:rsidR="00C262EB" w:rsidRPr="005B007F" w:rsidRDefault="00C262EB" w:rsidP="00C262EB">
      <w:pPr>
        <w:numPr>
          <w:ilvl w:val="0"/>
          <w:numId w:val="27"/>
        </w:numPr>
        <w:shd w:val="clear" w:color="auto" w:fill="FFFFFF"/>
        <w:spacing w:after="9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5B007F">
        <w:rPr>
          <w:rFonts w:ascii="Helvetica" w:hAnsi="Helvetica" w:cs="Helvetica"/>
          <w:sz w:val="20"/>
          <w:szCs w:val="20"/>
          <w:lang w:eastAsia="en-AU"/>
        </w:rPr>
        <w:t>Isolation of Group A Streptococci (</w:t>
      </w:r>
      <w:r w:rsidRPr="005B007F">
        <w:rPr>
          <w:rFonts w:ascii="Helvetica" w:hAnsi="Helvetica" w:cs="Helvetica"/>
          <w:i/>
          <w:iCs/>
          <w:sz w:val="20"/>
          <w:szCs w:val="20"/>
          <w:lang w:eastAsia="en-AU"/>
        </w:rPr>
        <w:t>Streptococcus pyogenes</w:t>
      </w:r>
      <w:r w:rsidRPr="005B007F">
        <w:rPr>
          <w:rFonts w:ascii="Helvetica" w:hAnsi="Helvetica" w:cs="Helvetica"/>
          <w:sz w:val="20"/>
          <w:szCs w:val="20"/>
          <w:lang w:eastAsia="en-AU"/>
        </w:rPr>
        <w:t xml:space="preserve">) by culture from a </w:t>
      </w:r>
      <w:r w:rsidR="00BB787D" w:rsidRPr="005B007F">
        <w:rPr>
          <w:rFonts w:ascii="Helvetica" w:hAnsi="Helvetica" w:cs="Helvetica"/>
          <w:b/>
          <w:bCs/>
          <w:sz w:val="20"/>
          <w:szCs w:val="20"/>
          <w:lang w:eastAsia="en-AU"/>
        </w:rPr>
        <w:t>normally</w:t>
      </w:r>
      <w:r w:rsidR="00BB787D" w:rsidRPr="005B007F">
        <w:rPr>
          <w:rFonts w:ascii="Helvetica" w:hAnsi="Helvetica" w:cs="Helvetica"/>
          <w:sz w:val="20"/>
          <w:szCs w:val="20"/>
          <w:lang w:eastAsia="en-AU"/>
        </w:rPr>
        <w:t xml:space="preserve"> </w:t>
      </w:r>
      <w:r w:rsidRPr="005B007F">
        <w:rPr>
          <w:rFonts w:ascii="Helvetica" w:hAnsi="Helvetica" w:cs="Helvetica"/>
          <w:b/>
          <w:bCs/>
          <w:sz w:val="20"/>
          <w:szCs w:val="20"/>
          <w:lang w:eastAsia="en-AU"/>
        </w:rPr>
        <w:t>non-sterile site</w:t>
      </w:r>
      <w:r w:rsidRPr="005B007F">
        <w:rPr>
          <w:rFonts w:ascii="Helvetica" w:hAnsi="Helvetica" w:cs="Helvetica"/>
          <w:sz w:val="20"/>
          <w:szCs w:val="20"/>
          <w:lang w:eastAsia="en-AU"/>
        </w:rPr>
        <w:t xml:space="preserve">, including </w:t>
      </w:r>
      <w:r w:rsidR="00206DE2" w:rsidRPr="005B007F">
        <w:rPr>
          <w:rFonts w:ascii="Helvetica" w:hAnsi="Helvetica" w:cs="Helvetica"/>
          <w:sz w:val="20"/>
          <w:szCs w:val="20"/>
          <w:lang w:eastAsia="en-AU"/>
        </w:rPr>
        <w:t xml:space="preserve">deep tissue abscess at </w:t>
      </w:r>
      <w:r w:rsidR="00935DC1" w:rsidRPr="005B007F">
        <w:rPr>
          <w:rFonts w:ascii="Helvetica" w:hAnsi="Helvetica" w:cs="Helvetica"/>
          <w:sz w:val="20"/>
          <w:szCs w:val="20"/>
          <w:lang w:eastAsia="en-AU"/>
        </w:rPr>
        <w:t>procedure</w:t>
      </w:r>
      <w:r w:rsidR="00206DE2" w:rsidRPr="005B007F">
        <w:rPr>
          <w:rFonts w:ascii="Helvetica" w:hAnsi="Helvetica" w:cs="Helvetica"/>
          <w:sz w:val="20"/>
          <w:szCs w:val="20"/>
          <w:lang w:eastAsia="en-AU"/>
        </w:rPr>
        <w:t xml:space="preserve"> or post-mortem</w:t>
      </w:r>
      <w:r w:rsidRPr="005B007F">
        <w:rPr>
          <w:rFonts w:ascii="Helvetica" w:hAnsi="Helvetica" w:cs="Helvetica"/>
          <w:sz w:val="20"/>
          <w:szCs w:val="20"/>
          <w:lang w:eastAsia="en-AU"/>
        </w:rPr>
        <w:t>.</w:t>
      </w:r>
    </w:p>
    <w:p w14:paraId="0ED4D35A" w14:textId="77777777" w:rsidR="00C262EB" w:rsidRPr="005B007F" w:rsidRDefault="00C262EB" w:rsidP="00C262EB">
      <w:pPr>
        <w:shd w:val="clear" w:color="auto" w:fill="FFFFFF"/>
        <w:spacing w:before="240" w:after="240" w:line="300" w:lineRule="atLeast"/>
        <w:ind w:left="720"/>
        <w:rPr>
          <w:rFonts w:ascii="Helvetica" w:hAnsi="Helvetica" w:cs="Helvetica"/>
          <w:sz w:val="20"/>
          <w:szCs w:val="20"/>
          <w:lang w:eastAsia="en-AU"/>
        </w:rPr>
      </w:pPr>
      <w:r w:rsidRPr="005B007F">
        <w:rPr>
          <w:rFonts w:ascii="Helvetica" w:hAnsi="Helvetica" w:cs="Helvetica"/>
          <w:sz w:val="20"/>
          <w:szCs w:val="20"/>
          <w:lang w:eastAsia="en-AU"/>
        </w:rPr>
        <w:t>OR</w:t>
      </w:r>
    </w:p>
    <w:p w14:paraId="15BCDD65" w14:textId="2B43B666" w:rsidR="00C262EB" w:rsidRDefault="00C262EB" w:rsidP="00C262EB">
      <w:pPr>
        <w:numPr>
          <w:ilvl w:val="0"/>
          <w:numId w:val="27"/>
        </w:numPr>
        <w:shd w:val="clear" w:color="auto" w:fill="FFFFFF"/>
        <w:spacing w:after="9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5B007F">
        <w:rPr>
          <w:rFonts w:ascii="Helvetica" w:hAnsi="Helvetica" w:cs="Helvetica"/>
          <w:sz w:val="20"/>
          <w:szCs w:val="20"/>
          <w:lang w:eastAsia="en-AU"/>
        </w:rPr>
        <w:t>Detection of Group A Streptococci (</w:t>
      </w:r>
      <w:r w:rsidRPr="005B007F">
        <w:rPr>
          <w:rFonts w:ascii="Helvetica" w:hAnsi="Helvetica" w:cs="Helvetica"/>
          <w:i/>
          <w:iCs/>
          <w:sz w:val="20"/>
          <w:szCs w:val="20"/>
          <w:lang w:eastAsia="en-AU"/>
        </w:rPr>
        <w:t>Streptococcus pyogenes</w:t>
      </w:r>
      <w:r w:rsidRPr="005B007F">
        <w:rPr>
          <w:rFonts w:ascii="Helvetica" w:hAnsi="Helvetica" w:cs="Helvetica"/>
          <w:sz w:val="20"/>
          <w:szCs w:val="20"/>
          <w:lang w:eastAsia="en-AU"/>
        </w:rPr>
        <w:t xml:space="preserve">) by </w:t>
      </w:r>
      <w:r w:rsidR="00505508" w:rsidRPr="005B007F">
        <w:rPr>
          <w:rFonts w:ascii="Helvetica" w:hAnsi="Helvetica" w:cs="Helvetica"/>
          <w:sz w:val="20"/>
          <w:szCs w:val="20"/>
          <w:lang w:eastAsia="en-AU"/>
        </w:rPr>
        <w:t>nucleic acid testing</w:t>
      </w:r>
      <w:r w:rsidR="00D30E83" w:rsidRPr="005B007F">
        <w:rPr>
          <w:rFonts w:ascii="Helvetica" w:hAnsi="Helvetica" w:cs="Helvetica"/>
          <w:sz w:val="20"/>
          <w:szCs w:val="20"/>
          <w:lang w:eastAsia="en-AU"/>
        </w:rPr>
        <w:t xml:space="preserve"> </w:t>
      </w:r>
      <w:r w:rsidR="00206DE2" w:rsidRPr="005B007F">
        <w:rPr>
          <w:rFonts w:ascii="Helvetica" w:hAnsi="Helvetica" w:cs="Helvetica"/>
          <w:sz w:val="20"/>
          <w:szCs w:val="20"/>
          <w:lang w:eastAsia="en-AU"/>
        </w:rPr>
        <w:t xml:space="preserve">from a </w:t>
      </w:r>
      <w:r w:rsidR="00BB787D" w:rsidRPr="005B007F">
        <w:rPr>
          <w:rFonts w:ascii="Helvetica" w:hAnsi="Helvetica" w:cs="Helvetica"/>
          <w:b/>
          <w:bCs/>
          <w:sz w:val="20"/>
          <w:szCs w:val="20"/>
          <w:lang w:eastAsia="en-AU"/>
        </w:rPr>
        <w:t>normally</w:t>
      </w:r>
      <w:r w:rsidR="00BB787D" w:rsidRPr="005B007F">
        <w:rPr>
          <w:rFonts w:ascii="Helvetica" w:hAnsi="Helvetica" w:cs="Helvetica"/>
          <w:sz w:val="20"/>
          <w:szCs w:val="20"/>
          <w:lang w:eastAsia="en-AU"/>
        </w:rPr>
        <w:t xml:space="preserve"> </w:t>
      </w:r>
      <w:r w:rsidR="00206DE2" w:rsidRPr="005B007F">
        <w:rPr>
          <w:rFonts w:ascii="Helvetica" w:hAnsi="Helvetica" w:cs="Helvetica"/>
          <w:b/>
          <w:bCs/>
          <w:sz w:val="20"/>
          <w:szCs w:val="20"/>
          <w:lang w:eastAsia="en-AU"/>
        </w:rPr>
        <w:t>non-sterile site</w:t>
      </w:r>
      <w:r w:rsidR="00206DE2" w:rsidRPr="005B007F">
        <w:rPr>
          <w:rFonts w:ascii="Helvetica" w:hAnsi="Helvetica" w:cs="Helvetica"/>
          <w:sz w:val="20"/>
          <w:szCs w:val="20"/>
          <w:lang w:eastAsia="en-AU"/>
        </w:rPr>
        <w:t xml:space="preserve">, including deep tissue abscess at </w:t>
      </w:r>
      <w:r w:rsidR="00935DC1" w:rsidRPr="005B007F">
        <w:rPr>
          <w:rFonts w:ascii="Helvetica" w:hAnsi="Helvetica" w:cs="Helvetica"/>
          <w:sz w:val="20"/>
          <w:szCs w:val="20"/>
          <w:lang w:eastAsia="en-AU"/>
        </w:rPr>
        <w:t>procedure</w:t>
      </w:r>
      <w:r w:rsidR="00206DE2" w:rsidRPr="005B007F">
        <w:rPr>
          <w:rFonts w:ascii="Helvetica" w:hAnsi="Helvetica" w:cs="Helvetica"/>
          <w:sz w:val="20"/>
          <w:szCs w:val="20"/>
          <w:lang w:eastAsia="en-AU"/>
        </w:rPr>
        <w:t xml:space="preserve"> or post-mortem.</w:t>
      </w:r>
    </w:p>
    <w:p w14:paraId="75193561" w14:textId="77777777" w:rsidR="00040000" w:rsidRPr="005B007F" w:rsidRDefault="00040000" w:rsidP="00040000">
      <w:pPr>
        <w:pStyle w:val="Heading1"/>
        <w:rPr>
          <w:color w:val="auto"/>
        </w:rPr>
      </w:pPr>
    </w:p>
    <w:p w14:paraId="5C178B0D" w14:textId="492F4EAA" w:rsidR="00EE73C7" w:rsidRPr="005B007F" w:rsidRDefault="00EE73C7" w:rsidP="00C33C45">
      <w:pPr>
        <w:pStyle w:val="Heading1"/>
        <w:rPr>
          <w:rFonts w:ascii="Helvetica" w:hAnsi="Helvetica" w:cs="Helvetica"/>
          <w:color w:val="auto"/>
          <w:sz w:val="20"/>
          <w:szCs w:val="20"/>
        </w:rPr>
      </w:pPr>
      <w:bookmarkStart w:id="4" w:name="_Hlk149133762"/>
      <w:r w:rsidRPr="005B007F">
        <w:rPr>
          <w:color w:val="auto"/>
        </w:rPr>
        <w:t>Clin</w:t>
      </w:r>
      <w:r w:rsidR="00193438" w:rsidRPr="005B007F">
        <w:rPr>
          <w:color w:val="auto"/>
        </w:rPr>
        <w:t>i</w:t>
      </w:r>
      <w:r w:rsidRPr="005B007F">
        <w:rPr>
          <w:color w:val="auto"/>
        </w:rPr>
        <w:t>cal suggestive evidence</w:t>
      </w:r>
    </w:p>
    <w:p w14:paraId="49F12D3C" w14:textId="5A2AE9C1" w:rsidR="00EE73C7" w:rsidRPr="005B007F" w:rsidRDefault="00EE73C7" w:rsidP="00C33C45">
      <w:p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5B007F">
        <w:rPr>
          <w:rFonts w:ascii="Helvetica" w:hAnsi="Helvetica" w:cs="Helvetica"/>
          <w:sz w:val="20"/>
          <w:szCs w:val="20"/>
          <w:lang w:eastAsia="en-AU"/>
        </w:rPr>
        <w:t>Clinical presentation consistent with severe invasive GAS infection</w:t>
      </w:r>
      <w:r w:rsidR="004B3550" w:rsidRPr="005B007F">
        <w:rPr>
          <w:rStyle w:val="FootnoteReference"/>
          <w:rFonts w:ascii="Helvetica" w:hAnsi="Helvetica" w:cs="Helvetica"/>
          <w:sz w:val="20"/>
          <w:szCs w:val="20"/>
          <w:lang w:eastAsia="en-AU"/>
        </w:rPr>
        <w:footnoteReference w:id="5"/>
      </w:r>
      <w:r w:rsidRPr="005B007F">
        <w:rPr>
          <w:rFonts w:ascii="Helvetica" w:hAnsi="Helvetica" w:cs="Helvetica"/>
          <w:sz w:val="20"/>
          <w:szCs w:val="20"/>
          <w:lang w:eastAsia="en-AU"/>
        </w:rPr>
        <w:t xml:space="preserve"> such as:</w:t>
      </w:r>
    </w:p>
    <w:p w14:paraId="446142D8" w14:textId="77777777" w:rsidR="00EE73C7" w:rsidRPr="005B007F" w:rsidRDefault="00EE73C7" w:rsidP="00C33C45">
      <w:pPr>
        <w:pStyle w:val="ListParagraph"/>
        <w:numPr>
          <w:ilvl w:val="0"/>
          <w:numId w:val="26"/>
        </w:num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5B007F">
        <w:rPr>
          <w:rFonts w:ascii="Helvetica" w:hAnsi="Helvetica" w:cs="Helvetica"/>
          <w:sz w:val="20"/>
          <w:szCs w:val="20"/>
          <w:lang w:eastAsia="en-AU"/>
        </w:rPr>
        <w:t>streptococcal toxic shock syndrome (STSS) that includes both hypotension and multi-organ failure</w:t>
      </w:r>
    </w:p>
    <w:p w14:paraId="624E2F75" w14:textId="14746CB0" w:rsidR="00EE73C7" w:rsidRPr="005B007F" w:rsidRDefault="00EE73C7" w:rsidP="00C33C45">
      <w:pPr>
        <w:pStyle w:val="ListParagraph"/>
        <w:numPr>
          <w:ilvl w:val="0"/>
          <w:numId w:val="26"/>
        </w:num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5B007F">
        <w:rPr>
          <w:rFonts w:ascii="Helvetica" w:hAnsi="Helvetica" w:cs="Helvetica"/>
          <w:sz w:val="20"/>
          <w:szCs w:val="20"/>
          <w:lang w:eastAsia="en-AU"/>
        </w:rPr>
        <w:t>necrotising fasciitis (NF)</w:t>
      </w:r>
      <w:r w:rsidRPr="005B007F">
        <w:rPr>
          <w:rFonts w:ascii="Helvetica" w:hAnsi="Helvetica" w:cs="Helvetica"/>
          <w:sz w:val="20"/>
          <w:szCs w:val="20"/>
          <w:lang w:eastAsia="en-AU"/>
        </w:rPr>
        <w:tab/>
      </w:r>
      <w:r w:rsidRPr="005B007F">
        <w:rPr>
          <w:rFonts w:ascii="Helvetica" w:hAnsi="Helvetica" w:cs="Helvetica"/>
          <w:sz w:val="20"/>
          <w:szCs w:val="20"/>
          <w:lang w:eastAsia="en-AU"/>
        </w:rPr>
        <w:tab/>
      </w:r>
    </w:p>
    <w:p w14:paraId="6C7F9748" w14:textId="67DA6A3C" w:rsidR="00EE73C7" w:rsidRPr="005B007F" w:rsidRDefault="00EE73C7" w:rsidP="00C33C45">
      <w:pPr>
        <w:pStyle w:val="ListParagraph"/>
        <w:numPr>
          <w:ilvl w:val="0"/>
          <w:numId w:val="26"/>
        </w:num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5B007F">
        <w:rPr>
          <w:rFonts w:ascii="Helvetica" w:hAnsi="Helvetica" w:cs="Helvetica"/>
          <w:sz w:val="20"/>
          <w:szCs w:val="20"/>
          <w:lang w:eastAsia="en-AU"/>
        </w:rPr>
        <w:t xml:space="preserve">puerperal </w:t>
      </w:r>
      <w:r w:rsidR="00D25543" w:rsidRPr="005B007F">
        <w:rPr>
          <w:rFonts w:ascii="Helvetica" w:hAnsi="Helvetica" w:cs="Helvetica"/>
          <w:sz w:val="20"/>
          <w:szCs w:val="20"/>
          <w:lang w:eastAsia="en-AU"/>
        </w:rPr>
        <w:t xml:space="preserve">and/or neonatal </w:t>
      </w:r>
      <w:r w:rsidRPr="005B007F">
        <w:rPr>
          <w:rFonts w:ascii="Helvetica" w:hAnsi="Helvetica" w:cs="Helvetica"/>
          <w:sz w:val="20"/>
          <w:szCs w:val="20"/>
          <w:lang w:eastAsia="en-AU"/>
        </w:rPr>
        <w:t>sepsis.</w:t>
      </w:r>
    </w:p>
    <w:bookmarkEnd w:id="3"/>
    <w:bookmarkEnd w:id="4"/>
    <w:p w14:paraId="453C633D" w14:textId="77777777" w:rsidR="00DE4674" w:rsidRPr="005B007F" w:rsidRDefault="00DE4674" w:rsidP="00C33C45">
      <w:pPr>
        <w:shd w:val="clear" w:color="auto" w:fill="FFFFFF"/>
        <w:spacing w:after="90" w:line="300" w:lineRule="atLeast"/>
        <w:rPr>
          <w:rFonts w:ascii="Helvetica" w:hAnsi="Helvetica" w:cs="Helvetica"/>
          <w:sz w:val="20"/>
          <w:szCs w:val="20"/>
          <w:lang w:eastAsia="en-AU"/>
        </w:rPr>
      </w:pPr>
    </w:p>
    <w:sectPr w:rsidR="00DE4674" w:rsidRPr="005B007F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922E9" w14:textId="77777777" w:rsidR="00D35A51" w:rsidRDefault="00D35A51" w:rsidP="006B56BB">
      <w:r>
        <w:separator/>
      </w:r>
    </w:p>
    <w:p w14:paraId="7F8D1830" w14:textId="77777777" w:rsidR="00D35A51" w:rsidRDefault="00D35A51"/>
  </w:endnote>
  <w:endnote w:type="continuationSeparator" w:id="0">
    <w:p w14:paraId="268C4992" w14:textId="77777777" w:rsidR="00D35A51" w:rsidRDefault="00D35A51" w:rsidP="006B56BB">
      <w:r>
        <w:continuationSeparator/>
      </w:r>
    </w:p>
    <w:p w14:paraId="6EEF22BA" w14:textId="77777777" w:rsidR="00D35A51" w:rsidRDefault="00D35A51"/>
  </w:endnote>
  <w:endnote w:type="continuationNotice" w:id="1">
    <w:p w14:paraId="0EB6EA25" w14:textId="77777777" w:rsidR="00D35A51" w:rsidRDefault="00D35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468F18" w14:textId="2A87D210" w:rsidR="00CD407A" w:rsidRDefault="00EF173F" w:rsidP="00EF173F">
            <w:pPr>
              <w:pStyle w:val="Footer"/>
              <w:jc w:val="right"/>
            </w:pPr>
            <w:r w:rsidRPr="00EF173F">
              <w:t xml:space="preserve">Invasive Group </w:t>
            </w:r>
            <w:proofErr w:type="gramStart"/>
            <w:r w:rsidRPr="00EF173F">
              <w:t>A</w:t>
            </w:r>
            <w:proofErr w:type="gramEnd"/>
            <w:r w:rsidRPr="00EF173F">
              <w:t xml:space="preserve"> Streptococcal (iGAS) Disease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7ECB" w14:textId="77777777" w:rsidR="00D35A51" w:rsidRDefault="00D35A51" w:rsidP="006B56BB">
      <w:r>
        <w:separator/>
      </w:r>
    </w:p>
    <w:p w14:paraId="609200DE" w14:textId="77777777" w:rsidR="00D35A51" w:rsidRDefault="00D35A51"/>
  </w:footnote>
  <w:footnote w:type="continuationSeparator" w:id="0">
    <w:p w14:paraId="74A23D48" w14:textId="77777777" w:rsidR="00D35A51" w:rsidRDefault="00D35A51" w:rsidP="006B56BB">
      <w:r>
        <w:continuationSeparator/>
      </w:r>
    </w:p>
    <w:p w14:paraId="0F15D88A" w14:textId="77777777" w:rsidR="00D35A51" w:rsidRDefault="00D35A51"/>
  </w:footnote>
  <w:footnote w:type="continuationNotice" w:id="1">
    <w:p w14:paraId="09EA5720" w14:textId="77777777" w:rsidR="00D35A51" w:rsidRDefault="00D35A51"/>
  </w:footnote>
  <w:footnote w:id="2">
    <w:p w14:paraId="01CBC484" w14:textId="0A72CFD4" w:rsidR="004B3550" w:rsidRPr="005B007F" w:rsidRDefault="004B3550" w:rsidP="004B3550">
      <w:pPr>
        <w:pStyle w:val="FootnoteText"/>
        <w:rPr>
          <w:rFonts w:ascii="Helvetica" w:hAnsi="Helvetica" w:cs="Helvetica"/>
          <w:szCs w:val="22"/>
        </w:rPr>
      </w:pPr>
      <w:r w:rsidRPr="005B007F">
        <w:rPr>
          <w:rStyle w:val="FootnoteReference"/>
        </w:rPr>
        <w:footnoteRef/>
      </w:r>
      <w:r w:rsidR="00DE0585" w:rsidRPr="005B007F">
        <w:rPr>
          <w:rFonts w:ascii="Helvetica" w:hAnsi="Helvetica" w:cs="Helvetica"/>
          <w:szCs w:val="22"/>
        </w:rPr>
        <w:t xml:space="preserve"> </w:t>
      </w:r>
      <w:r w:rsidRPr="005B007F">
        <w:rPr>
          <w:rFonts w:ascii="Helvetica" w:hAnsi="Helvetica" w:cs="Helvetica"/>
          <w:szCs w:val="22"/>
        </w:rPr>
        <w:t>Where growth of GAS represents invasion into a normally sterile site and not contiguous spread related to tissue degeneration (such as a deep diabetic ulcer leading to adjacent bone infection).</w:t>
      </w:r>
      <w:r w:rsidR="009D5441" w:rsidRPr="005B007F">
        <w:rPr>
          <w:rFonts w:ascii="Helvetica" w:hAnsi="Helvetica" w:cs="Helvetica"/>
          <w:szCs w:val="22"/>
        </w:rPr>
        <w:t xml:space="preserve"> </w:t>
      </w:r>
      <w:r w:rsidRPr="005B007F">
        <w:rPr>
          <w:rFonts w:ascii="Helvetica" w:hAnsi="Helvetica" w:cs="Helvetica"/>
          <w:szCs w:val="22"/>
        </w:rPr>
        <w:t xml:space="preserve">Normally sterile sites include: </w:t>
      </w:r>
    </w:p>
    <w:p w14:paraId="272F73B1" w14:textId="77777777" w:rsidR="004B3550" w:rsidRPr="005B007F" w:rsidRDefault="004B3550" w:rsidP="004B3550">
      <w:pPr>
        <w:pStyle w:val="FootnoteText"/>
        <w:numPr>
          <w:ilvl w:val="0"/>
          <w:numId w:val="28"/>
        </w:numPr>
      </w:pPr>
      <w:r w:rsidRPr="005B007F">
        <w:t xml:space="preserve">blood, cerebrospinal fluid, pleural fluid, peritoneal fluid, pericardial fluid, joint fluid, bone, bone marrow. </w:t>
      </w:r>
    </w:p>
    <w:p w14:paraId="7B847821" w14:textId="51E61243" w:rsidR="004B3550" w:rsidRPr="005B007F" w:rsidRDefault="00F14BEA" w:rsidP="00F14BEA">
      <w:pPr>
        <w:pStyle w:val="FootnoteText"/>
        <w:numPr>
          <w:ilvl w:val="0"/>
          <w:numId w:val="28"/>
        </w:numPr>
      </w:pPr>
      <w:r w:rsidRPr="005B007F">
        <w:t xml:space="preserve">internal </w:t>
      </w:r>
      <w:proofErr w:type="gramStart"/>
      <w:r w:rsidRPr="005B007F">
        <w:t>organs;</w:t>
      </w:r>
      <w:proofErr w:type="gramEnd"/>
      <w:r w:rsidRPr="005B007F">
        <w:t xml:space="preserve"> specimens </w:t>
      </w:r>
      <w:r w:rsidR="004B3550" w:rsidRPr="005B007F">
        <w:t>obtained from surgery or aspirate from one of the following: lymph node, brain, heart, liver, spleen, vitreous fluid, kidney, pancreas, ovary, or vascular tissue.</w:t>
      </w:r>
    </w:p>
  </w:footnote>
  <w:footnote w:id="3">
    <w:p w14:paraId="70EDEE57" w14:textId="0E1F9303" w:rsidR="00DE0585" w:rsidRPr="005B007F" w:rsidRDefault="00DE0585">
      <w:pPr>
        <w:pStyle w:val="FootnoteText"/>
      </w:pPr>
      <w:r w:rsidRPr="005B007F">
        <w:rPr>
          <w:rStyle w:val="FootnoteReference"/>
        </w:rPr>
        <w:footnoteRef/>
      </w:r>
      <w:r w:rsidRPr="005B007F">
        <w:t xml:space="preserve"> </w:t>
      </w:r>
      <w:r w:rsidRPr="005B007F">
        <w:rPr>
          <w:rFonts w:ascii="Helvetica" w:hAnsi="Helvetica" w:cs="Helvetica"/>
          <w:szCs w:val="22"/>
        </w:rPr>
        <w:t>Lung tissue is not a normally sterile site.</w:t>
      </w:r>
    </w:p>
  </w:footnote>
  <w:footnote w:id="4">
    <w:p w14:paraId="3FC6B411" w14:textId="43EE8DC6" w:rsidR="00DE0585" w:rsidRPr="005B007F" w:rsidRDefault="00DE0585" w:rsidP="006E1DF7">
      <w:pPr>
        <w:rPr>
          <w:rFonts w:ascii="Helvetica" w:hAnsi="Helvetica" w:cs="Helvetica"/>
          <w:sz w:val="20"/>
          <w:szCs w:val="22"/>
        </w:rPr>
      </w:pPr>
      <w:r w:rsidRPr="005B007F">
        <w:rPr>
          <w:rStyle w:val="FootnoteReference"/>
        </w:rPr>
        <w:footnoteRef/>
      </w:r>
      <w:r w:rsidRPr="005B007F">
        <w:t xml:space="preserve"> </w:t>
      </w:r>
      <w:r w:rsidRPr="005B007F">
        <w:rPr>
          <w:rFonts w:ascii="Helvetica" w:hAnsi="Helvetica" w:cs="Helvetica"/>
          <w:sz w:val="20"/>
          <w:szCs w:val="22"/>
        </w:rPr>
        <w:t>Interpretation of post-mortem specimens from normally sterile sites should be interpreted with caution, preferably in conjunction with a pathologist and/or clinical microbiologist.</w:t>
      </w:r>
    </w:p>
  </w:footnote>
  <w:footnote w:id="5">
    <w:p w14:paraId="25144F51" w14:textId="65543BA5" w:rsidR="004B3550" w:rsidRPr="005B007F" w:rsidRDefault="004B3550" w:rsidP="004B3550">
      <w:pPr>
        <w:rPr>
          <w:rFonts w:ascii="Helvetica" w:hAnsi="Helvetica" w:cs="Helvetica"/>
          <w:sz w:val="20"/>
          <w:szCs w:val="22"/>
        </w:rPr>
      </w:pPr>
      <w:r w:rsidRPr="005B007F">
        <w:rPr>
          <w:rStyle w:val="FootnoteReference"/>
        </w:rPr>
        <w:footnoteRef/>
      </w:r>
      <w:r w:rsidRPr="005B007F">
        <w:t xml:space="preserve"> </w:t>
      </w:r>
      <w:r w:rsidRPr="005B007F">
        <w:rPr>
          <w:rFonts w:ascii="Helvetica" w:hAnsi="Helvetica" w:cs="Helvetica"/>
          <w:sz w:val="20"/>
          <w:szCs w:val="22"/>
        </w:rPr>
        <w:t xml:space="preserve">The following clinical presentation </w:t>
      </w:r>
      <w:r w:rsidR="00626DF6" w:rsidRPr="005B007F">
        <w:rPr>
          <w:rFonts w:ascii="Helvetica" w:hAnsi="Helvetica" w:cs="Helvetica"/>
          <w:sz w:val="20"/>
          <w:szCs w:val="22"/>
        </w:rPr>
        <w:t xml:space="preserve">is </w:t>
      </w:r>
      <w:r w:rsidRPr="005B007F">
        <w:rPr>
          <w:rFonts w:ascii="Helvetica" w:hAnsi="Helvetica" w:cs="Helvetica"/>
          <w:b/>
          <w:bCs/>
          <w:sz w:val="20"/>
          <w:szCs w:val="22"/>
        </w:rPr>
        <w:t xml:space="preserve">not </w:t>
      </w:r>
      <w:r w:rsidRPr="005B007F">
        <w:rPr>
          <w:rFonts w:ascii="Helvetica" w:hAnsi="Helvetica" w:cs="Helvetica"/>
          <w:sz w:val="20"/>
          <w:szCs w:val="22"/>
        </w:rPr>
        <w:t>considered sufficient to meet the probable case definition:</w:t>
      </w:r>
    </w:p>
    <w:p w14:paraId="3ED65390" w14:textId="141BDA3A" w:rsidR="001B66E6" w:rsidRPr="005B007F" w:rsidRDefault="004B3550" w:rsidP="00AE47C8">
      <w:pPr>
        <w:pStyle w:val="ListParagraph"/>
        <w:numPr>
          <w:ilvl w:val="0"/>
          <w:numId w:val="23"/>
        </w:numPr>
        <w:contextualSpacing w:val="0"/>
      </w:pPr>
      <w:r w:rsidRPr="00040000">
        <w:rPr>
          <w:rFonts w:ascii="Helvetica" w:hAnsi="Helvetica" w:cs="Helvetica"/>
          <w:sz w:val="20"/>
          <w:szCs w:val="22"/>
        </w:rPr>
        <w:t xml:space="preserve">An abscess that forms above the </w:t>
      </w:r>
      <w:proofErr w:type="spellStart"/>
      <w:r w:rsidR="00695F0C" w:rsidRPr="00040000">
        <w:rPr>
          <w:rFonts w:ascii="Helvetica" w:hAnsi="Helvetica" w:cs="Helvetica"/>
          <w:sz w:val="20"/>
          <w:szCs w:val="22"/>
        </w:rPr>
        <w:t>pretracheal</w:t>
      </w:r>
      <w:proofErr w:type="spellEnd"/>
      <w:r w:rsidR="00695F0C" w:rsidRPr="00040000">
        <w:rPr>
          <w:rFonts w:ascii="Helvetica" w:hAnsi="Helvetica" w:cs="Helvetica"/>
          <w:sz w:val="20"/>
          <w:szCs w:val="22"/>
        </w:rPr>
        <w:t xml:space="preserve"> </w:t>
      </w:r>
      <w:r w:rsidR="00000A2C" w:rsidRPr="00040000">
        <w:rPr>
          <w:rFonts w:ascii="Helvetica" w:hAnsi="Helvetica" w:cs="Helvetica"/>
          <w:sz w:val="20"/>
          <w:szCs w:val="22"/>
        </w:rPr>
        <w:t>fascia</w:t>
      </w:r>
      <w:r w:rsidR="00695F0C" w:rsidRPr="00040000">
        <w:rPr>
          <w:rFonts w:ascii="Helvetica" w:hAnsi="Helvetica" w:cs="Helvetica"/>
          <w:sz w:val="20"/>
          <w:szCs w:val="22"/>
        </w:rPr>
        <w:t xml:space="preserve"> </w:t>
      </w:r>
      <w:r w:rsidRPr="00040000">
        <w:rPr>
          <w:rFonts w:ascii="Helvetica" w:hAnsi="Helvetica" w:cs="Helvetica"/>
          <w:sz w:val="20"/>
          <w:szCs w:val="22"/>
        </w:rPr>
        <w:t>(e.g. peritonsillar abscess, parapharyngeal abscess).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C3FE7"/>
    <w:multiLevelType w:val="hybridMultilevel"/>
    <w:tmpl w:val="A742F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A6632"/>
    <w:multiLevelType w:val="hybridMultilevel"/>
    <w:tmpl w:val="9ED60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A2897"/>
    <w:multiLevelType w:val="multilevel"/>
    <w:tmpl w:val="BC2C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E905CDD"/>
    <w:multiLevelType w:val="hybridMultilevel"/>
    <w:tmpl w:val="3DC630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49C55DF5"/>
    <w:multiLevelType w:val="hybridMultilevel"/>
    <w:tmpl w:val="7D6C1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73753"/>
    <w:multiLevelType w:val="hybridMultilevel"/>
    <w:tmpl w:val="68367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BC7968"/>
    <w:multiLevelType w:val="hybridMultilevel"/>
    <w:tmpl w:val="C8783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13C7D"/>
    <w:multiLevelType w:val="multilevel"/>
    <w:tmpl w:val="BC2C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D66FD2"/>
    <w:multiLevelType w:val="multilevel"/>
    <w:tmpl w:val="BC2C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EF37593"/>
    <w:multiLevelType w:val="hybridMultilevel"/>
    <w:tmpl w:val="BA98E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717114">
    <w:abstractNumId w:val="7"/>
  </w:num>
  <w:num w:numId="2" w16cid:durableId="2092195025">
    <w:abstractNumId w:val="20"/>
  </w:num>
  <w:num w:numId="3" w16cid:durableId="893201065">
    <w:abstractNumId w:val="23"/>
  </w:num>
  <w:num w:numId="4" w16cid:durableId="659188298">
    <w:abstractNumId w:val="8"/>
  </w:num>
  <w:num w:numId="5" w16cid:durableId="865171158">
    <w:abstractNumId w:val="8"/>
    <w:lvlOverride w:ilvl="0">
      <w:startOverride w:val="1"/>
    </w:lvlOverride>
  </w:num>
  <w:num w:numId="6" w16cid:durableId="728069480">
    <w:abstractNumId w:val="10"/>
  </w:num>
  <w:num w:numId="7" w16cid:durableId="70474281">
    <w:abstractNumId w:val="17"/>
  </w:num>
  <w:num w:numId="8" w16cid:durableId="825827163">
    <w:abstractNumId w:val="22"/>
  </w:num>
  <w:num w:numId="9" w16cid:durableId="135729772">
    <w:abstractNumId w:val="5"/>
  </w:num>
  <w:num w:numId="10" w16cid:durableId="105003227">
    <w:abstractNumId w:val="4"/>
  </w:num>
  <w:num w:numId="11" w16cid:durableId="1855262981">
    <w:abstractNumId w:val="3"/>
  </w:num>
  <w:num w:numId="12" w16cid:durableId="2078162560">
    <w:abstractNumId w:val="2"/>
  </w:num>
  <w:num w:numId="13" w16cid:durableId="1547519965">
    <w:abstractNumId w:val="6"/>
  </w:num>
  <w:num w:numId="14" w16cid:durableId="2066877905">
    <w:abstractNumId w:val="1"/>
  </w:num>
  <w:num w:numId="15" w16cid:durableId="297955827">
    <w:abstractNumId w:val="0"/>
  </w:num>
  <w:num w:numId="16" w16cid:durableId="1054933962">
    <w:abstractNumId w:val="26"/>
  </w:num>
  <w:num w:numId="17" w16cid:durableId="856235647">
    <w:abstractNumId w:val="11"/>
  </w:num>
  <w:num w:numId="18" w16cid:durableId="1989625440">
    <w:abstractNumId w:val="12"/>
  </w:num>
  <w:num w:numId="19" w16cid:durableId="220602618">
    <w:abstractNumId w:val="15"/>
  </w:num>
  <w:num w:numId="20" w16cid:durableId="1983195814">
    <w:abstractNumId w:val="14"/>
  </w:num>
  <w:num w:numId="21" w16cid:durableId="394133660">
    <w:abstractNumId w:val="25"/>
  </w:num>
  <w:num w:numId="22" w16cid:durableId="1974601962">
    <w:abstractNumId w:val="27"/>
  </w:num>
  <w:num w:numId="23" w16cid:durableId="989020847">
    <w:abstractNumId w:val="21"/>
  </w:num>
  <w:num w:numId="24" w16cid:durableId="877860132">
    <w:abstractNumId w:val="9"/>
  </w:num>
  <w:num w:numId="25" w16cid:durableId="116946289">
    <w:abstractNumId w:val="19"/>
  </w:num>
  <w:num w:numId="26" w16cid:durableId="724794040">
    <w:abstractNumId w:val="18"/>
  </w:num>
  <w:num w:numId="27" w16cid:durableId="1247229546">
    <w:abstractNumId w:val="24"/>
  </w:num>
  <w:num w:numId="28" w16cid:durableId="1031414746">
    <w:abstractNumId w:val="13"/>
  </w:num>
  <w:num w:numId="29" w16cid:durableId="878479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3F"/>
    <w:rsid w:val="00000A2C"/>
    <w:rsid w:val="00003743"/>
    <w:rsid w:val="000047B4"/>
    <w:rsid w:val="00005712"/>
    <w:rsid w:val="00007FD8"/>
    <w:rsid w:val="000117F8"/>
    <w:rsid w:val="00014399"/>
    <w:rsid w:val="0001460F"/>
    <w:rsid w:val="00022629"/>
    <w:rsid w:val="000245B1"/>
    <w:rsid w:val="00026139"/>
    <w:rsid w:val="00027601"/>
    <w:rsid w:val="00033321"/>
    <w:rsid w:val="000338E5"/>
    <w:rsid w:val="00033ECC"/>
    <w:rsid w:val="0003422F"/>
    <w:rsid w:val="00037AA7"/>
    <w:rsid w:val="00040000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2AE2"/>
    <w:rsid w:val="00093981"/>
    <w:rsid w:val="00096598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3C37"/>
    <w:rsid w:val="0011711B"/>
    <w:rsid w:val="00117F8A"/>
    <w:rsid w:val="00121B9B"/>
    <w:rsid w:val="00122ADC"/>
    <w:rsid w:val="00130F59"/>
    <w:rsid w:val="00133EC0"/>
    <w:rsid w:val="00133F1D"/>
    <w:rsid w:val="00141A81"/>
    <w:rsid w:val="00141CE5"/>
    <w:rsid w:val="00144908"/>
    <w:rsid w:val="001571C7"/>
    <w:rsid w:val="00161094"/>
    <w:rsid w:val="0017665C"/>
    <w:rsid w:val="00177AD2"/>
    <w:rsid w:val="001815A8"/>
    <w:rsid w:val="0018210E"/>
    <w:rsid w:val="001840FA"/>
    <w:rsid w:val="00190079"/>
    <w:rsid w:val="00193438"/>
    <w:rsid w:val="0019622E"/>
    <w:rsid w:val="001966A7"/>
    <w:rsid w:val="001A4627"/>
    <w:rsid w:val="001A4979"/>
    <w:rsid w:val="001B15D3"/>
    <w:rsid w:val="001B3443"/>
    <w:rsid w:val="001B66E6"/>
    <w:rsid w:val="001C0326"/>
    <w:rsid w:val="001C192F"/>
    <w:rsid w:val="001C3C42"/>
    <w:rsid w:val="001D7869"/>
    <w:rsid w:val="001F0390"/>
    <w:rsid w:val="002026CD"/>
    <w:rsid w:val="002033FC"/>
    <w:rsid w:val="002044BB"/>
    <w:rsid w:val="00206DE2"/>
    <w:rsid w:val="00210B09"/>
    <w:rsid w:val="00210C9E"/>
    <w:rsid w:val="00211840"/>
    <w:rsid w:val="00220DBD"/>
    <w:rsid w:val="00220E5F"/>
    <w:rsid w:val="002212B5"/>
    <w:rsid w:val="00226668"/>
    <w:rsid w:val="00232B9A"/>
    <w:rsid w:val="00233809"/>
    <w:rsid w:val="00240046"/>
    <w:rsid w:val="0024797F"/>
    <w:rsid w:val="0025119E"/>
    <w:rsid w:val="00251269"/>
    <w:rsid w:val="002535C0"/>
    <w:rsid w:val="0025450B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388F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17BCC"/>
    <w:rsid w:val="003233DE"/>
    <w:rsid w:val="0032466B"/>
    <w:rsid w:val="00325EDB"/>
    <w:rsid w:val="003330EB"/>
    <w:rsid w:val="003415FD"/>
    <w:rsid w:val="003429F0"/>
    <w:rsid w:val="00345A82"/>
    <w:rsid w:val="0035097A"/>
    <w:rsid w:val="003540A4"/>
    <w:rsid w:val="00357BCC"/>
    <w:rsid w:val="00360E4E"/>
    <w:rsid w:val="00366452"/>
    <w:rsid w:val="00370AAA"/>
    <w:rsid w:val="00372E51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C6EAC"/>
    <w:rsid w:val="003D033A"/>
    <w:rsid w:val="003D17F9"/>
    <w:rsid w:val="003D2D88"/>
    <w:rsid w:val="003D41EA"/>
    <w:rsid w:val="003D4850"/>
    <w:rsid w:val="003D535A"/>
    <w:rsid w:val="003E2FDB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2713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19F1"/>
    <w:rsid w:val="004929A9"/>
    <w:rsid w:val="004A78D9"/>
    <w:rsid w:val="004B3550"/>
    <w:rsid w:val="004C6BCF"/>
    <w:rsid w:val="004D58BF"/>
    <w:rsid w:val="004E4335"/>
    <w:rsid w:val="004F13EE"/>
    <w:rsid w:val="004F2022"/>
    <w:rsid w:val="004F5754"/>
    <w:rsid w:val="004F7C05"/>
    <w:rsid w:val="00501C94"/>
    <w:rsid w:val="00504322"/>
    <w:rsid w:val="00505508"/>
    <w:rsid w:val="00506432"/>
    <w:rsid w:val="0052051D"/>
    <w:rsid w:val="00534644"/>
    <w:rsid w:val="00545EE6"/>
    <w:rsid w:val="005550E7"/>
    <w:rsid w:val="005564FB"/>
    <w:rsid w:val="005572C7"/>
    <w:rsid w:val="005650ED"/>
    <w:rsid w:val="005660C1"/>
    <w:rsid w:val="00575754"/>
    <w:rsid w:val="00581FBA"/>
    <w:rsid w:val="00591E20"/>
    <w:rsid w:val="00595408"/>
    <w:rsid w:val="00595E84"/>
    <w:rsid w:val="005A0C59"/>
    <w:rsid w:val="005A2B69"/>
    <w:rsid w:val="005A48EB"/>
    <w:rsid w:val="005A6CFB"/>
    <w:rsid w:val="005B007F"/>
    <w:rsid w:val="005C5AEB"/>
    <w:rsid w:val="005D75EA"/>
    <w:rsid w:val="005E0A3F"/>
    <w:rsid w:val="005E6883"/>
    <w:rsid w:val="005E772F"/>
    <w:rsid w:val="005F258C"/>
    <w:rsid w:val="005F4DF0"/>
    <w:rsid w:val="005F4ECA"/>
    <w:rsid w:val="006041BE"/>
    <w:rsid w:val="006043C7"/>
    <w:rsid w:val="006232D5"/>
    <w:rsid w:val="00624B52"/>
    <w:rsid w:val="00626DF6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95F0C"/>
    <w:rsid w:val="006B2286"/>
    <w:rsid w:val="006B3F09"/>
    <w:rsid w:val="006B56BB"/>
    <w:rsid w:val="006C77A8"/>
    <w:rsid w:val="006D4098"/>
    <w:rsid w:val="006D4E0D"/>
    <w:rsid w:val="006D7681"/>
    <w:rsid w:val="006D7B2E"/>
    <w:rsid w:val="006E02EA"/>
    <w:rsid w:val="006E0968"/>
    <w:rsid w:val="006E1DF7"/>
    <w:rsid w:val="006E2AF6"/>
    <w:rsid w:val="006F14B1"/>
    <w:rsid w:val="00701275"/>
    <w:rsid w:val="00707F56"/>
    <w:rsid w:val="00712CDA"/>
    <w:rsid w:val="00713558"/>
    <w:rsid w:val="00720D08"/>
    <w:rsid w:val="0072526D"/>
    <w:rsid w:val="007263B9"/>
    <w:rsid w:val="007334F8"/>
    <w:rsid w:val="007339CD"/>
    <w:rsid w:val="007359D8"/>
    <w:rsid w:val="007362D4"/>
    <w:rsid w:val="0076672A"/>
    <w:rsid w:val="00775E45"/>
    <w:rsid w:val="00775F7E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3EA6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C8C"/>
    <w:rsid w:val="00831E8A"/>
    <w:rsid w:val="0083375C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0557"/>
    <w:rsid w:val="009344DE"/>
    <w:rsid w:val="00935DC1"/>
    <w:rsid w:val="00945677"/>
    <w:rsid w:val="00945E7F"/>
    <w:rsid w:val="009557C1"/>
    <w:rsid w:val="00960D6E"/>
    <w:rsid w:val="00974B59"/>
    <w:rsid w:val="0098340B"/>
    <w:rsid w:val="00986830"/>
    <w:rsid w:val="009924C3"/>
    <w:rsid w:val="00993102"/>
    <w:rsid w:val="009A2FCF"/>
    <w:rsid w:val="009B1570"/>
    <w:rsid w:val="009C6F10"/>
    <w:rsid w:val="009C6F23"/>
    <w:rsid w:val="009D148F"/>
    <w:rsid w:val="009D3D70"/>
    <w:rsid w:val="009D5441"/>
    <w:rsid w:val="009E0B84"/>
    <w:rsid w:val="009E6F7E"/>
    <w:rsid w:val="009E7A57"/>
    <w:rsid w:val="009F4803"/>
    <w:rsid w:val="009F4F6A"/>
    <w:rsid w:val="00A13EB5"/>
    <w:rsid w:val="00A16E36"/>
    <w:rsid w:val="00A20B94"/>
    <w:rsid w:val="00A24481"/>
    <w:rsid w:val="00A24961"/>
    <w:rsid w:val="00A24B10"/>
    <w:rsid w:val="00A277EF"/>
    <w:rsid w:val="00A30E9B"/>
    <w:rsid w:val="00A339FD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84EA5"/>
    <w:rsid w:val="00A930AE"/>
    <w:rsid w:val="00A9567F"/>
    <w:rsid w:val="00AA1A95"/>
    <w:rsid w:val="00AA260F"/>
    <w:rsid w:val="00AB1EE7"/>
    <w:rsid w:val="00AB38A1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E46C1"/>
    <w:rsid w:val="00AE47C8"/>
    <w:rsid w:val="00AF7386"/>
    <w:rsid w:val="00AF7934"/>
    <w:rsid w:val="00B00B81"/>
    <w:rsid w:val="00B0310E"/>
    <w:rsid w:val="00B04580"/>
    <w:rsid w:val="00B04B09"/>
    <w:rsid w:val="00B126F8"/>
    <w:rsid w:val="00B14926"/>
    <w:rsid w:val="00B16A51"/>
    <w:rsid w:val="00B24AAF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B787D"/>
    <w:rsid w:val="00BC4A19"/>
    <w:rsid w:val="00BC4E6D"/>
    <w:rsid w:val="00BC7C21"/>
    <w:rsid w:val="00BD0617"/>
    <w:rsid w:val="00BD2E9B"/>
    <w:rsid w:val="00BD70C0"/>
    <w:rsid w:val="00BD7FB2"/>
    <w:rsid w:val="00C00930"/>
    <w:rsid w:val="00C051AC"/>
    <w:rsid w:val="00C060AD"/>
    <w:rsid w:val="00C113BF"/>
    <w:rsid w:val="00C20496"/>
    <w:rsid w:val="00C2176E"/>
    <w:rsid w:val="00C23430"/>
    <w:rsid w:val="00C262EB"/>
    <w:rsid w:val="00C27D67"/>
    <w:rsid w:val="00C3018E"/>
    <w:rsid w:val="00C33C45"/>
    <w:rsid w:val="00C4631F"/>
    <w:rsid w:val="00C47CDE"/>
    <w:rsid w:val="00C50E16"/>
    <w:rsid w:val="00C55258"/>
    <w:rsid w:val="00C82EEB"/>
    <w:rsid w:val="00C971DC"/>
    <w:rsid w:val="00CA16B7"/>
    <w:rsid w:val="00CA1ED1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07121"/>
    <w:rsid w:val="00D147EB"/>
    <w:rsid w:val="00D23BC5"/>
    <w:rsid w:val="00D25543"/>
    <w:rsid w:val="00D25DDF"/>
    <w:rsid w:val="00D30E83"/>
    <w:rsid w:val="00D34667"/>
    <w:rsid w:val="00D35A51"/>
    <w:rsid w:val="00D401E1"/>
    <w:rsid w:val="00D408B4"/>
    <w:rsid w:val="00D524C8"/>
    <w:rsid w:val="00D70E24"/>
    <w:rsid w:val="00D72B61"/>
    <w:rsid w:val="00D8547E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0585"/>
    <w:rsid w:val="00DE3355"/>
    <w:rsid w:val="00DE4674"/>
    <w:rsid w:val="00DF0C60"/>
    <w:rsid w:val="00DF18D3"/>
    <w:rsid w:val="00DF486F"/>
    <w:rsid w:val="00DF5B5B"/>
    <w:rsid w:val="00DF7439"/>
    <w:rsid w:val="00DF7619"/>
    <w:rsid w:val="00DF7652"/>
    <w:rsid w:val="00E042D8"/>
    <w:rsid w:val="00E07EE7"/>
    <w:rsid w:val="00E1103B"/>
    <w:rsid w:val="00E118C5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74D16"/>
    <w:rsid w:val="00E850C3"/>
    <w:rsid w:val="00E87DF2"/>
    <w:rsid w:val="00E9462E"/>
    <w:rsid w:val="00EA470E"/>
    <w:rsid w:val="00EA47A7"/>
    <w:rsid w:val="00EA57EB"/>
    <w:rsid w:val="00EB14CC"/>
    <w:rsid w:val="00EB3226"/>
    <w:rsid w:val="00EC213A"/>
    <w:rsid w:val="00EC5E9A"/>
    <w:rsid w:val="00EC7744"/>
    <w:rsid w:val="00ED0DAD"/>
    <w:rsid w:val="00ED0F46"/>
    <w:rsid w:val="00ED2373"/>
    <w:rsid w:val="00ED361A"/>
    <w:rsid w:val="00ED7FA6"/>
    <w:rsid w:val="00EE3E8A"/>
    <w:rsid w:val="00EE73C7"/>
    <w:rsid w:val="00EF173F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14BEA"/>
    <w:rsid w:val="00F21302"/>
    <w:rsid w:val="00F22865"/>
    <w:rsid w:val="00F321DE"/>
    <w:rsid w:val="00F33777"/>
    <w:rsid w:val="00F40648"/>
    <w:rsid w:val="00F43BAE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66A9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DB240E"/>
  <w15:docId w15:val="{A4E08B39-44AE-464E-BD93-CB3E74C2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E2FDB"/>
    <w:pPr>
      <w:shd w:val="clear" w:color="auto" w:fill="FFFFFF"/>
      <w:spacing w:before="240" w:after="120"/>
      <w:outlineLvl w:val="0"/>
    </w:pPr>
    <w:rPr>
      <w:rFonts w:ascii="Open Sans" w:hAnsi="Open Sans" w:cs="Open Sans"/>
      <w:color w:val="000000"/>
      <w:sz w:val="36"/>
      <w:szCs w:val="36"/>
      <w:lang w:eastAsia="en-AU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aliases w:val="Bullet List Paragraph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05508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EF173F"/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F173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styleId="Revision">
    <w:name w:val="Revision"/>
    <w:hidden/>
    <w:uiPriority w:val="99"/>
    <w:semiHidden/>
    <w:rsid w:val="00037AA7"/>
    <w:rPr>
      <w:rFonts w:ascii="Arial" w:hAnsi="Arial"/>
      <w:sz w:val="22"/>
      <w:szCs w:val="24"/>
      <w:lang w:eastAsia="en-US"/>
    </w:rPr>
  </w:style>
  <w:style w:type="character" w:customStyle="1" w:styleId="ListParagraphChar">
    <w:name w:val="List Paragraph Char"/>
    <w:aliases w:val="Bullet List Paragraph Char"/>
    <w:basedOn w:val="DefaultParagraphFont"/>
    <w:link w:val="ListParagraph"/>
    <w:uiPriority w:val="34"/>
    <w:rsid w:val="00DE4674"/>
    <w:rPr>
      <w:rFonts w:ascii="Arial" w:hAnsi="Arial"/>
      <w:sz w:val="22"/>
      <w:szCs w:val="24"/>
      <w:lang w:eastAsia="en-US"/>
    </w:rPr>
  </w:style>
  <w:style w:type="character" w:styleId="FootnoteReference">
    <w:name w:val="footnote reference"/>
    <w:basedOn w:val="DefaultParagraphFont"/>
    <w:semiHidden/>
    <w:unhideWhenUsed/>
    <w:rsid w:val="004B3550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D2554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55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554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5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5543"/>
    <w:rPr>
      <w:rFonts w:ascii="Arial" w:hAnsi="Arial"/>
      <w:b/>
      <w:bCs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D0712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07121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semiHidden/>
    <w:unhideWhenUsed/>
    <w:rsid w:val="00D07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C8C72E69-5842-4810-B877-79636D7E2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236487dd-ec90-4f99-8970-1318e5f29791"/>
    <ds:schemaRef ds:uri="http://schemas.microsoft.com/office/2006/metadata/properties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1588</Characters>
  <Application>Microsoft Office Word</Application>
  <DocSecurity>4</DocSecurity>
  <Lines>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Invasive Group A Streptococcal (iGAS) Disease – Surveillance case definition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Invasive Group A Streptococcal (iGAS) Disease – Surveillance case definition</dc:title>
  <dc:subject>Streptococcal disease</dc:subject>
  <dc:creator>Australian Government Department of Health and Aged Care</dc:creator>
  <cp:keywords>Communicable diseases; Communicable Diseases Network Australia (CDNA)</cp:keywords>
  <cp:revision>2</cp:revision>
  <cp:lastPrinted>2023-12-22T00:34:00Z</cp:lastPrinted>
  <dcterms:created xsi:type="dcterms:W3CDTF">2024-01-02T00:29:00Z</dcterms:created>
  <dcterms:modified xsi:type="dcterms:W3CDTF">2024-01-02T00:29:00Z</dcterms:modified>
</cp:coreProperties>
</file>