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7CD9" w14:textId="16DE4754" w:rsidR="00BA2732" w:rsidRDefault="003A0007" w:rsidP="003D033A">
      <w:pPr>
        <w:pStyle w:val="Title"/>
      </w:pPr>
      <w:r>
        <w:t>Program Statistics Year to Date</w:t>
      </w:r>
      <w:r w:rsidR="00664506">
        <w:t xml:space="preserve"> 202</w:t>
      </w:r>
      <w:r w:rsidR="003A1C1C">
        <w:t>3</w:t>
      </w:r>
      <w:r w:rsidR="00EB19C2">
        <w:t>–</w:t>
      </w:r>
      <w:r w:rsidR="00664506">
        <w:t>2</w:t>
      </w:r>
      <w:r w:rsidR="003A1C1C">
        <w:t>4</w:t>
      </w:r>
    </w:p>
    <w:p w14:paraId="36BD59B2" w14:textId="31BB93F9" w:rsidR="00926E76" w:rsidRDefault="00664506" w:rsidP="00B53987">
      <w:r>
        <w:t>This</w:t>
      </w:r>
      <w:r w:rsidRPr="00664506">
        <w:t xml:space="preserve"> </w:t>
      </w:r>
      <w:r w:rsidR="00A96469">
        <w:t>report</w:t>
      </w:r>
      <w:r w:rsidR="00A96469" w:rsidRPr="00664506">
        <w:t xml:space="preserve"> </w:t>
      </w:r>
      <w:r w:rsidRPr="00664506">
        <w:t xml:space="preserve">contains monthly statistics for the </w:t>
      </w:r>
      <w:r w:rsidR="00F76F0D">
        <w:t xml:space="preserve">Voucher Scheme component of the </w:t>
      </w:r>
      <w:r w:rsidR="003A0007">
        <w:t>H</w:t>
      </w:r>
      <w:r w:rsidR="006F473D">
        <w:t xml:space="preserve">earing </w:t>
      </w:r>
      <w:r w:rsidR="003A0007">
        <w:t>S</w:t>
      </w:r>
      <w:r w:rsidR="006F473D">
        <w:t>ervice</w:t>
      </w:r>
      <w:r w:rsidR="006E563B">
        <w:t>s</w:t>
      </w:r>
      <w:r w:rsidR="006F473D">
        <w:t xml:space="preserve"> </w:t>
      </w:r>
      <w:r w:rsidR="003A0007">
        <w:t>P</w:t>
      </w:r>
      <w:r w:rsidR="00F76F0D">
        <w:t xml:space="preserve">rogram for the </w:t>
      </w:r>
      <w:r w:rsidRPr="00664506">
        <w:t>202</w:t>
      </w:r>
      <w:r w:rsidR="003A1C1C">
        <w:t>3</w:t>
      </w:r>
      <w:r w:rsidRPr="00664506">
        <w:t>-2</w:t>
      </w:r>
      <w:r w:rsidR="003A1C1C">
        <w:t>4</w:t>
      </w:r>
      <w:r w:rsidRPr="00664506">
        <w:t xml:space="preserve"> financial year</w:t>
      </w:r>
      <w:r w:rsidR="003A0007">
        <w:t xml:space="preserve"> through to 30 September 2023 as of </w:t>
      </w:r>
      <w:r w:rsidR="003A0007">
        <w:br/>
      </w:r>
      <w:r w:rsidR="005700DC">
        <w:t>6</w:t>
      </w:r>
      <w:r w:rsidRPr="00664506">
        <w:t xml:space="preserve"> </w:t>
      </w:r>
      <w:r w:rsidR="005700DC">
        <w:t>October</w:t>
      </w:r>
      <w:r w:rsidRPr="00664506">
        <w:t xml:space="preserve"> 2023. </w:t>
      </w:r>
    </w:p>
    <w:p w14:paraId="69A1BFD8" w14:textId="233583F7" w:rsidR="005700DC" w:rsidRPr="000C5FB4" w:rsidRDefault="00155EA7" w:rsidP="00B53987">
      <w:pPr>
        <w:rPr>
          <w:rFonts w:cs="Arial"/>
        </w:rPr>
      </w:pPr>
      <w:r>
        <w:rPr>
          <w:rFonts w:cs="Arial"/>
          <w:szCs w:val="22"/>
          <w:lang w:eastAsia="en-AU"/>
        </w:rPr>
        <w:t xml:space="preserve">The </w:t>
      </w:r>
      <w:r w:rsidR="005700DC" w:rsidRPr="000C5FB4">
        <w:rPr>
          <w:rFonts w:cs="Arial"/>
          <w:szCs w:val="22"/>
          <w:lang w:eastAsia="en-AU"/>
        </w:rPr>
        <w:t>publishing frequency of th</w:t>
      </w:r>
      <w:r>
        <w:rPr>
          <w:rFonts w:cs="Arial"/>
          <w:szCs w:val="22"/>
          <w:lang w:eastAsia="en-AU"/>
        </w:rPr>
        <w:t>e</w:t>
      </w:r>
      <w:r w:rsidR="005700DC" w:rsidRPr="000C5FB4">
        <w:rPr>
          <w:rFonts w:cs="Arial"/>
          <w:szCs w:val="22"/>
          <w:lang w:eastAsia="en-AU"/>
        </w:rPr>
        <w:t xml:space="preserve"> Hearing Services Program online statistics </w:t>
      </w:r>
      <w:r>
        <w:rPr>
          <w:rFonts w:cs="Arial"/>
          <w:szCs w:val="22"/>
          <w:lang w:eastAsia="en-AU"/>
        </w:rPr>
        <w:t>will change. From October 2023 web</w:t>
      </w:r>
      <w:r w:rsidR="005D7CEE">
        <w:rPr>
          <w:rFonts w:cs="Arial"/>
          <w:szCs w:val="22"/>
          <w:lang w:eastAsia="en-AU"/>
        </w:rPr>
        <w:t xml:space="preserve"> </w:t>
      </w:r>
      <w:r>
        <w:rPr>
          <w:rFonts w:cs="Arial"/>
          <w:szCs w:val="22"/>
          <w:lang w:eastAsia="en-AU"/>
        </w:rPr>
        <w:t xml:space="preserve">stats will be </w:t>
      </w:r>
      <w:r w:rsidR="00D3025A">
        <w:rPr>
          <w:rFonts w:cs="Arial"/>
          <w:szCs w:val="22"/>
          <w:lang w:eastAsia="en-AU"/>
        </w:rPr>
        <w:t xml:space="preserve">published </w:t>
      </w:r>
      <w:r w:rsidR="005700DC" w:rsidRPr="000C5FB4">
        <w:rPr>
          <w:rFonts w:cs="Arial"/>
          <w:szCs w:val="22"/>
          <w:lang w:eastAsia="en-AU"/>
        </w:rPr>
        <w:t>quarterly</w:t>
      </w:r>
      <w:r>
        <w:rPr>
          <w:rFonts w:cs="Arial"/>
          <w:szCs w:val="22"/>
          <w:lang w:eastAsia="en-AU"/>
        </w:rPr>
        <w:t xml:space="preserve"> i</w:t>
      </w:r>
      <w:r w:rsidR="00D3025A">
        <w:rPr>
          <w:rFonts w:cs="Arial"/>
          <w:szCs w:val="22"/>
          <w:lang w:eastAsia="en-AU"/>
        </w:rPr>
        <w:t xml:space="preserve">n place </w:t>
      </w:r>
      <w:r>
        <w:rPr>
          <w:rFonts w:cs="Arial"/>
          <w:szCs w:val="22"/>
          <w:lang w:eastAsia="en-AU"/>
        </w:rPr>
        <w:t xml:space="preserve">of monthly, </w:t>
      </w:r>
      <w:proofErr w:type="gramStart"/>
      <w:r w:rsidR="003A0007">
        <w:rPr>
          <w:rFonts w:cs="Arial"/>
          <w:szCs w:val="22"/>
          <w:lang w:eastAsia="en-AU"/>
        </w:rPr>
        <w:t>T</w:t>
      </w:r>
      <w:r>
        <w:rPr>
          <w:rFonts w:cs="Arial"/>
          <w:szCs w:val="22"/>
          <w:lang w:eastAsia="en-AU"/>
        </w:rPr>
        <w:t>he</w:t>
      </w:r>
      <w:proofErr w:type="gramEnd"/>
      <w:r>
        <w:rPr>
          <w:rFonts w:cs="Arial"/>
          <w:szCs w:val="22"/>
          <w:lang w:eastAsia="en-AU"/>
        </w:rPr>
        <w:t xml:space="preserve"> same information will be provided</w:t>
      </w:r>
      <w:r w:rsidR="005D7CEE">
        <w:rPr>
          <w:rFonts w:cs="Arial"/>
          <w:szCs w:val="22"/>
          <w:lang w:eastAsia="en-AU"/>
        </w:rPr>
        <w:t xml:space="preserve">. </w:t>
      </w:r>
    </w:p>
    <w:p w14:paraId="774EE59F" w14:textId="1D7C201C" w:rsidR="00664506" w:rsidRDefault="00664506" w:rsidP="00664506">
      <w:pPr>
        <w:pStyle w:val="Heading2"/>
      </w:pPr>
      <w:r>
        <w:t>Number of Vouchers Issued by Month</w:t>
      </w:r>
    </w:p>
    <w:p w14:paraId="41B52204" w14:textId="453C136E" w:rsidR="00B50773" w:rsidRDefault="00664506" w:rsidP="00B50773">
      <w:pPr>
        <w:pStyle w:val="Heading3"/>
      </w:pPr>
      <w:r>
        <w:t>New Vouchers Issued</w:t>
      </w:r>
    </w:p>
    <w:tbl>
      <w:tblPr>
        <w:tblStyle w:val="DepartmentofHealthtable"/>
        <w:tblW w:w="8550" w:type="dxa"/>
        <w:tblLayout w:type="fixed"/>
        <w:tblLook w:val="04A0" w:firstRow="1" w:lastRow="0" w:firstColumn="1" w:lastColumn="0" w:noHBand="0" w:noVBand="1"/>
      </w:tblPr>
      <w:tblGrid>
        <w:gridCol w:w="993"/>
        <w:gridCol w:w="791"/>
        <w:gridCol w:w="910"/>
        <w:gridCol w:w="632"/>
        <w:gridCol w:w="859"/>
        <w:gridCol w:w="859"/>
        <w:gridCol w:w="779"/>
        <w:gridCol w:w="859"/>
        <w:gridCol w:w="859"/>
        <w:gridCol w:w="1009"/>
      </w:tblGrid>
      <w:tr w:rsidR="00D27A2D" w:rsidRPr="009040E9" w14:paraId="219EA8ED" w14:textId="4D9E7334" w:rsidTr="00570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3551155" w14:textId="4858EDAA" w:rsidR="00D27A2D" w:rsidRPr="009040E9" w:rsidRDefault="00D27A2D" w:rsidP="00D27A2D">
            <w:pPr>
              <w:pStyle w:val="Tableheader0"/>
              <w:rPr>
                <w:rFonts w:eastAsia="Cambria"/>
                <w:lang w:val="en-US"/>
              </w:rPr>
            </w:pPr>
            <w:bookmarkStart w:id="0" w:name="_Hlk136862180"/>
            <w:r>
              <w:rPr>
                <w:rFonts w:eastAsia="Cambria"/>
                <w:lang w:val="en-US"/>
              </w:rPr>
              <w:t>Month</w:t>
            </w:r>
          </w:p>
        </w:tc>
        <w:tc>
          <w:tcPr>
            <w:tcW w:w="791" w:type="dxa"/>
          </w:tcPr>
          <w:p w14:paraId="74BB2256" w14:textId="2C612C70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ACT</w:t>
            </w:r>
          </w:p>
        </w:tc>
        <w:tc>
          <w:tcPr>
            <w:tcW w:w="910" w:type="dxa"/>
          </w:tcPr>
          <w:p w14:paraId="7DC04755" w14:textId="74D1FA79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NSW</w:t>
            </w:r>
          </w:p>
        </w:tc>
        <w:tc>
          <w:tcPr>
            <w:tcW w:w="632" w:type="dxa"/>
          </w:tcPr>
          <w:p w14:paraId="19EE9091" w14:textId="57FA84C8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NT</w:t>
            </w:r>
          </w:p>
        </w:tc>
        <w:tc>
          <w:tcPr>
            <w:tcW w:w="859" w:type="dxa"/>
          </w:tcPr>
          <w:p w14:paraId="6186C1C5" w14:textId="0535755B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QLD</w:t>
            </w:r>
          </w:p>
        </w:tc>
        <w:tc>
          <w:tcPr>
            <w:tcW w:w="859" w:type="dxa"/>
          </w:tcPr>
          <w:p w14:paraId="519FDFC4" w14:textId="37B07ED8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SA</w:t>
            </w:r>
          </w:p>
        </w:tc>
        <w:tc>
          <w:tcPr>
            <w:tcW w:w="779" w:type="dxa"/>
          </w:tcPr>
          <w:p w14:paraId="09C47EE2" w14:textId="5EB3106A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TAS</w:t>
            </w:r>
          </w:p>
        </w:tc>
        <w:tc>
          <w:tcPr>
            <w:tcW w:w="859" w:type="dxa"/>
          </w:tcPr>
          <w:p w14:paraId="52444F2F" w14:textId="356CFAE3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VIC</w:t>
            </w:r>
          </w:p>
        </w:tc>
        <w:tc>
          <w:tcPr>
            <w:tcW w:w="859" w:type="dxa"/>
          </w:tcPr>
          <w:p w14:paraId="5F77C34F" w14:textId="155B7AB4" w:rsidR="00D27A2D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WA</w:t>
            </w:r>
          </w:p>
        </w:tc>
        <w:tc>
          <w:tcPr>
            <w:tcW w:w="1009" w:type="dxa"/>
          </w:tcPr>
          <w:p w14:paraId="52B66DAD" w14:textId="022355F4" w:rsidR="00D27A2D" w:rsidRPr="002762B0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2762B0">
              <w:rPr>
                <w:rFonts w:eastAsia="Cambria"/>
                <w:lang w:val="en-US"/>
              </w:rPr>
              <w:t>Total</w:t>
            </w:r>
          </w:p>
        </w:tc>
      </w:tr>
      <w:bookmarkEnd w:id="0"/>
      <w:tr w:rsidR="00647CBC" w:rsidRPr="009040E9" w14:paraId="5277C48C" w14:textId="3B9A733E" w:rsidTr="0057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EC34052" w14:textId="39340E1A" w:rsidR="00647CBC" w:rsidRPr="00647CBC" w:rsidRDefault="00647CBC" w:rsidP="002B4528">
            <w:pPr>
              <w:pStyle w:val="Tabletextleft"/>
            </w:pPr>
            <w:r w:rsidRPr="00647CBC">
              <w:t>Jul</w:t>
            </w:r>
          </w:p>
        </w:tc>
        <w:tc>
          <w:tcPr>
            <w:tcW w:w="791" w:type="dxa"/>
            <w:vAlign w:val="center"/>
          </w:tcPr>
          <w:p w14:paraId="75F4AA8A" w14:textId="38710F89" w:rsidR="00647CBC" w:rsidRPr="00647CBC" w:rsidRDefault="00647CBC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140</w:t>
            </w:r>
          </w:p>
        </w:tc>
        <w:tc>
          <w:tcPr>
            <w:tcW w:w="910" w:type="dxa"/>
            <w:vAlign w:val="center"/>
          </w:tcPr>
          <w:p w14:paraId="70CBB477" w14:textId="628E0CD8" w:rsidR="00647CBC" w:rsidRPr="00647CBC" w:rsidRDefault="00647CBC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3,356</w:t>
            </w:r>
          </w:p>
        </w:tc>
        <w:tc>
          <w:tcPr>
            <w:tcW w:w="632" w:type="dxa"/>
            <w:vAlign w:val="center"/>
          </w:tcPr>
          <w:p w14:paraId="019E57CA" w14:textId="6921BF5D" w:rsidR="00647CBC" w:rsidRPr="00647CBC" w:rsidRDefault="00647CBC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31</w:t>
            </w:r>
          </w:p>
        </w:tc>
        <w:tc>
          <w:tcPr>
            <w:tcW w:w="859" w:type="dxa"/>
            <w:vAlign w:val="center"/>
          </w:tcPr>
          <w:p w14:paraId="03877AC9" w14:textId="67B89F72" w:rsidR="00647CBC" w:rsidRPr="00647CBC" w:rsidRDefault="00647CBC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2,404</w:t>
            </w:r>
          </w:p>
        </w:tc>
        <w:tc>
          <w:tcPr>
            <w:tcW w:w="859" w:type="dxa"/>
            <w:vAlign w:val="center"/>
          </w:tcPr>
          <w:p w14:paraId="3F238B3A" w14:textId="477FD9FD" w:rsidR="00647CBC" w:rsidRPr="00647CBC" w:rsidRDefault="00647CBC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852</w:t>
            </w:r>
          </w:p>
        </w:tc>
        <w:tc>
          <w:tcPr>
            <w:tcW w:w="779" w:type="dxa"/>
            <w:vAlign w:val="center"/>
          </w:tcPr>
          <w:p w14:paraId="7F7E2132" w14:textId="73174FF0" w:rsidR="00647CBC" w:rsidRPr="00647CBC" w:rsidRDefault="00647CBC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256</w:t>
            </w:r>
          </w:p>
        </w:tc>
        <w:tc>
          <w:tcPr>
            <w:tcW w:w="859" w:type="dxa"/>
            <w:vAlign w:val="center"/>
          </w:tcPr>
          <w:p w14:paraId="24CC7380" w14:textId="40D6F69D" w:rsidR="00647CBC" w:rsidRPr="00647CBC" w:rsidRDefault="00647CBC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2,568</w:t>
            </w:r>
          </w:p>
        </w:tc>
        <w:tc>
          <w:tcPr>
            <w:tcW w:w="859" w:type="dxa"/>
            <w:vAlign w:val="center"/>
          </w:tcPr>
          <w:p w14:paraId="7BCAF8B2" w14:textId="0515BD06" w:rsidR="00647CBC" w:rsidRPr="00647CBC" w:rsidRDefault="00647CBC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1,034</w:t>
            </w:r>
          </w:p>
        </w:tc>
        <w:tc>
          <w:tcPr>
            <w:tcW w:w="1009" w:type="dxa"/>
            <w:vAlign w:val="center"/>
          </w:tcPr>
          <w:p w14:paraId="2F43F2DB" w14:textId="016418D6" w:rsidR="00647CBC" w:rsidRPr="00647CBC" w:rsidRDefault="00647CBC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7CBC">
              <w:t>10,641</w:t>
            </w:r>
          </w:p>
        </w:tc>
      </w:tr>
      <w:tr w:rsidR="00647CBC" w:rsidRPr="009040E9" w14:paraId="16A61622" w14:textId="77777777" w:rsidTr="005700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693290A" w14:textId="781980E3" w:rsidR="00647CBC" w:rsidRPr="00647CBC" w:rsidRDefault="00647CBC" w:rsidP="002B4528">
            <w:pPr>
              <w:pStyle w:val="Tabletextleft"/>
            </w:pPr>
            <w:r w:rsidRPr="00647CBC">
              <w:t>Aug</w:t>
            </w:r>
          </w:p>
        </w:tc>
        <w:tc>
          <w:tcPr>
            <w:tcW w:w="791" w:type="dxa"/>
            <w:vAlign w:val="center"/>
          </w:tcPr>
          <w:p w14:paraId="769A1FD3" w14:textId="057278AF" w:rsidR="00647CBC" w:rsidRPr="00647CBC" w:rsidRDefault="00647CBC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143</w:t>
            </w:r>
          </w:p>
        </w:tc>
        <w:tc>
          <w:tcPr>
            <w:tcW w:w="910" w:type="dxa"/>
            <w:vAlign w:val="center"/>
          </w:tcPr>
          <w:p w14:paraId="11C3CE87" w14:textId="138C861A" w:rsidR="00647CBC" w:rsidRPr="00647CBC" w:rsidRDefault="00647CBC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3,822</w:t>
            </w:r>
          </w:p>
        </w:tc>
        <w:tc>
          <w:tcPr>
            <w:tcW w:w="632" w:type="dxa"/>
            <w:vAlign w:val="center"/>
          </w:tcPr>
          <w:p w14:paraId="1FD6C1AC" w14:textId="11015396" w:rsidR="00647CBC" w:rsidRPr="00647CBC" w:rsidRDefault="00647CBC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54</w:t>
            </w:r>
          </w:p>
        </w:tc>
        <w:tc>
          <w:tcPr>
            <w:tcW w:w="859" w:type="dxa"/>
            <w:vAlign w:val="center"/>
          </w:tcPr>
          <w:p w14:paraId="0CD0B8E8" w14:textId="7AF0678C" w:rsidR="00647CBC" w:rsidRPr="00647CBC" w:rsidRDefault="00647CBC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2,540</w:t>
            </w:r>
          </w:p>
        </w:tc>
        <w:tc>
          <w:tcPr>
            <w:tcW w:w="859" w:type="dxa"/>
            <w:vAlign w:val="center"/>
          </w:tcPr>
          <w:p w14:paraId="3E525274" w14:textId="73C15FB1" w:rsidR="00647CBC" w:rsidRPr="00647CBC" w:rsidRDefault="00647CBC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1,039</w:t>
            </w:r>
          </w:p>
        </w:tc>
        <w:tc>
          <w:tcPr>
            <w:tcW w:w="779" w:type="dxa"/>
            <w:vAlign w:val="center"/>
          </w:tcPr>
          <w:p w14:paraId="7732127D" w14:textId="5C80F0A0" w:rsidR="00647CBC" w:rsidRPr="00647CBC" w:rsidRDefault="00647CBC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316</w:t>
            </w:r>
          </w:p>
        </w:tc>
        <w:tc>
          <w:tcPr>
            <w:tcW w:w="859" w:type="dxa"/>
            <w:vAlign w:val="center"/>
          </w:tcPr>
          <w:p w14:paraId="56FC4A42" w14:textId="599C168C" w:rsidR="00647CBC" w:rsidRPr="00647CBC" w:rsidRDefault="00647CBC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2,875</w:t>
            </w:r>
          </w:p>
        </w:tc>
        <w:tc>
          <w:tcPr>
            <w:tcW w:w="859" w:type="dxa"/>
            <w:vAlign w:val="center"/>
          </w:tcPr>
          <w:p w14:paraId="27B9A1C4" w14:textId="5419CC54" w:rsidR="00647CBC" w:rsidRPr="00647CBC" w:rsidRDefault="00647CBC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1,206</w:t>
            </w:r>
          </w:p>
        </w:tc>
        <w:tc>
          <w:tcPr>
            <w:tcW w:w="1009" w:type="dxa"/>
            <w:vAlign w:val="center"/>
          </w:tcPr>
          <w:p w14:paraId="177FA33D" w14:textId="7CC099B0" w:rsidR="00647CBC" w:rsidRPr="00647CBC" w:rsidRDefault="00647CBC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47CBC">
              <w:t>11,995</w:t>
            </w:r>
          </w:p>
        </w:tc>
      </w:tr>
      <w:tr w:rsidR="005700DC" w:rsidRPr="009040E9" w14:paraId="76903A64" w14:textId="77777777" w:rsidTr="00570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CC9FD14" w14:textId="40BF1DA8" w:rsidR="005700DC" w:rsidRPr="00647CBC" w:rsidRDefault="005700DC" w:rsidP="005700DC">
            <w:pPr>
              <w:pStyle w:val="Tabletextleft"/>
            </w:pPr>
            <w:r w:rsidRPr="001D1D85">
              <w:t>Sep</w:t>
            </w:r>
          </w:p>
        </w:tc>
        <w:tc>
          <w:tcPr>
            <w:tcW w:w="791" w:type="dxa"/>
          </w:tcPr>
          <w:p w14:paraId="2BFEB1B2" w14:textId="7EE19EDA" w:rsidR="005700DC" w:rsidRPr="00647CBC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130</w:t>
            </w:r>
          </w:p>
        </w:tc>
        <w:tc>
          <w:tcPr>
            <w:tcW w:w="910" w:type="dxa"/>
          </w:tcPr>
          <w:p w14:paraId="64F3D3CD" w14:textId="309815D2" w:rsidR="005700DC" w:rsidRPr="00647CBC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3,439</w:t>
            </w:r>
          </w:p>
        </w:tc>
        <w:tc>
          <w:tcPr>
            <w:tcW w:w="632" w:type="dxa"/>
          </w:tcPr>
          <w:p w14:paraId="79114D04" w14:textId="5589E03F" w:rsidR="005700DC" w:rsidRPr="00647CBC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40</w:t>
            </w:r>
          </w:p>
        </w:tc>
        <w:tc>
          <w:tcPr>
            <w:tcW w:w="859" w:type="dxa"/>
          </w:tcPr>
          <w:p w14:paraId="27C481B9" w14:textId="256CAB41" w:rsidR="005700DC" w:rsidRPr="00647CBC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2,279</w:t>
            </w:r>
          </w:p>
        </w:tc>
        <w:tc>
          <w:tcPr>
            <w:tcW w:w="859" w:type="dxa"/>
          </w:tcPr>
          <w:p w14:paraId="38B16602" w14:textId="54F29256" w:rsidR="005700DC" w:rsidRPr="00647CBC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922</w:t>
            </w:r>
          </w:p>
        </w:tc>
        <w:tc>
          <w:tcPr>
            <w:tcW w:w="779" w:type="dxa"/>
          </w:tcPr>
          <w:p w14:paraId="08A31F5D" w14:textId="78E4D025" w:rsidR="005700DC" w:rsidRPr="00647CBC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288</w:t>
            </w:r>
          </w:p>
        </w:tc>
        <w:tc>
          <w:tcPr>
            <w:tcW w:w="859" w:type="dxa"/>
          </w:tcPr>
          <w:p w14:paraId="74F6F4F2" w14:textId="7D1212A6" w:rsidR="005700DC" w:rsidRPr="00647CBC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2,537</w:t>
            </w:r>
          </w:p>
        </w:tc>
        <w:tc>
          <w:tcPr>
            <w:tcW w:w="859" w:type="dxa"/>
          </w:tcPr>
          <w:p w14:paraId="411FD0AA" w14:textId="39626A35" w:rsidR="005700DC" w:rsidRPr="00647CBC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1,054</w:t>
            </w:r>
          </w:p>
        </w:tc>
        <w:tc>
          <w:tcPr>
            <w:tcW w:w="1009" w:type="dxa"/>
          </w:tcPr>
          <w:p w14:paraId="7C94E132" w14:textId="0F914F7E" w:rsidR="005700DC" w:rsidRPr="00647CBC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1D85">
              <w:t>10,689</w:t>
            </w:r>
          </w:p>
        </w:tc>
      </w:tr>
      <w:tr w:rsidR="005700DC" w:rsidRPr="009D2889" w14:paraId="1D38EC09" w14:textId="15839C4B" w:rsidTr="005700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3F4A75"/>
          </w:tcPr>
          <w:p w14:paraId="6BF33D72" w14:textId="1A8A0939" w:rsidR="005700DC" w:rsidRPr="000C5691" w:rsidRDefault="005700DC" w:rsidP="005700DC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1D1D85">
              <w:t>Total</w:t>
            </w:r>
          </w:p>
        </w:tc>
        <w:tc>
          <w:tcPr>
            <w:tcW w:w="791" w:type="dxa"/>
            <w:shd w:val="clear" w:color="auto" w:fill="3F4A75"/>
          </w:tcPr>
          <w:p w14:paraId="6D89219E" w14:textId="0F13D31A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413</w:t>
            </w:r>
          </w:p>
        </w:tc>
        <w:tc>
          <w:tcPr>
            <w:tcW w:w="910" w:type="dxa"/>
            <w:shd w:val="clear" w:color="auto" w:fill="3F4A75"/>
          </w:tcPr>
          <w:p w14:paraId="40DB971F" w14:textId="4FB71488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10,617</w:t>
            </w:r>
          </w:p>
        </w:tc>
        <w:tc>
          <w:tcPr>
            <w:tcW w:w="632" w:type="dxa"/>
            <w:shd w:val="clear" w:color="auto" w:fill="3F4A75"/>
          </w:tcPr>
          <w:p w14:paraId="43414951" w14:textId="126D3A0D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125</w:t>
            </w:r>
          </w:p>
        </w:tc>
        <w:tc>
          <w:tcPr>
            <w:tcW w:w="859" w:type="dxa"/>
            <w:shd w:val="clear" w:color="auto" w:fill="3F4A75"/>
          </w:tcPr>
          <w:p w14:paraId="3AA68616" w14:textId="0014D1E2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7,223</w:t>
            </w:r>
          </w:p>
        </w:tc>
        <w:tc>
          <w:tcPr>
            <w:tcW w:w="859" w:type="dxa"/>
            <w:shd w:val="clear" w:color="auto" w:fill="3F4A75"/>
          </w:tcPr>
          <w:p w14:paraId="2172D5C8" w14:textId="3F224901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2,813</w:t>
            </w:r>
          </w:p>
        </w:tc>
        <w:tc>
          <w:tcPr>
            <w:tcW w:w="779" w:type="dxa"/>
            <w:shd w:val="clear" w:color="auto" w:fill="3F4A75"/>
          </w:tcPr>
          <w:p w14:paraId="4D8020B0" w14:textId="34F45532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860</w:t>
            </w:r>
          </w:p>
        </w:tc>
        <w:tc>
          <w:tcPr>
            <w:tcW w:w="859" w:type="dxa"/>
            <w:shd w:val="clear" w:color="auto" w:fill="3F4A75"/>
          </w:tcPr>
          <w:p w14:paraId="4772E145" w14:textId="5438F9A7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7,980</w:t>
            </w:r>
          </w:p>
        </w:tc>
        <w:tc>
          <w:tcPr>
            <w:tcW w:w="859" w:type="dxa"/>
            <w:shd w:val="clear" w:color="auto" w:fill="3F4A75"/>
          </w:tcPr>
          <w:p w14:paraId="3FDD49AB" w14:textId="0EFB0AAB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3,294</w:t>
            </w:r>
          </w:p>
        </w:tc>
        <w:tc>
          <w:tcPr>
            <w:tcW w:w="1009" w:type="dxa"/>
            <w:shd w:val="clear" w:color="auto" w:fill="3F4A75"/>
          </w:tcPr>
          <w:p w14:paraId="750FA5B6" w14:textId="399C4C36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1D1D85">
              <w:t>33,325</w:t>
            </w:r>
          </w:p>
        </w:tc>
      </w:tr>
    </w:tbl>
    <w:p w14:paraId="644A7724" w14:textId="3BACF5B3" w:rsidR="00664506" w:rsidRDefault="00664506" w:rsidP="00664506">
      <w:pPr>
        <w:rPr>
          <w:szCs w:val="19"/>
        </w:rPr>
      </w:pPr>
      <w:r>
        <w:rPr>
          <w:szCs w:val="19"/>
        </w:rPr>
        <w:t>Source: HSO Production data.</w:t>
      </w:r>
    </w:p>
    <w:p w14:paraId="111F824F" w14:textId="2D48F1F5" w:rsidR="006505D7" w:rsidRDefault="00A96469" w:rsidP="006505D7">
      <w:pPr>
        <w:rPr>
          <w:szCs w:val="19"/>
        </w:rPr>
      </w:pPr>
      <w:r>
        <w:rPr>
          <w:szCs w:val="19"/>
        </w:rPr>
        <w:t xml:space="preserve">Note: </w:t>
      </w:r>
      <w:r w:rsidR="009F390F">
        <w:rPr>
          <w:szCs w:val="19"/>
        </w:rPr>
        <w:t>F</w:t>
      </w:r>
      <w:r>
        <w:rPr>
          <w:szCs w:val="19"/>
        </w:rPr>
        <w:t>igures may vary</w:t>
      </w:r>
      <w:r w:rsidR="009F390F">
        <w:rPr>
          <w:szCs w:val="19"/>
        </w:rPr>
        <w:t xml:space="preserve"> </w:t>
      </w:r>
      <w:r w:rsidR="009F390F" w:rsidRPr="006F473D">
        <w:rPr>
          <w:szCs w:val="19"/>
        </w:rPr>
        <w:t>from previous published reports due to retrospective claiming or correction of invalid claims.</w:t>
      </w:r>
    </w:p>
    <w:p w14:paraId="5D864952" w14:textId="26A2407B" w:rsidR="004E53B7" w:rsidRPr="00EB19C2" w:rsidRDefault="004E53B7" w:rsidP="003A0007">
      <w:pPr>
        <w:pStyle w:val="Heading3"/>
        <w:spacing w:before="480"/>
      </w:pPr>
      <w:r w:rsidRPr="00EB19C2">
        <w:t>Return Vouchers Issued</w:t>
      </w:r>
    </w:p>
    <w:tbl>
      <w:tblPr>
        <w:tblStyle w:val="DepartmentofHealthtable"/>
        <w:tblW w:w="8472" w:type="dxa"/>
        <w:tblLayout w:type="fixed"/>
        <w:tblLook w:val="04A0" w:firstRow="1" w:lastRow="0" w:firstColumn="1" w:lastColumn="0" w:noHBand="0" w:noVBand="1"/>
      </w:tblPr>
      <w:tblGrid>
        <w:gridCol w:w="999"/>
        <w:gridCol w:w="791"/>
        <w:gridCol w:w="859"/>
        <w:gridCol w:w="632"/>
        <w:gridCol w:w="859"/>
        <w:gridCol w:w="859"/>
        <w:gridCol w:w="779"/>
        <w:gridCol w:w="859"/>
        <w:gridCol w:w="859"/>
        <w:gridCol w:w="976"/>
      </w:tblGrid>
      <w:tr w:rsidR="00D27A2D" w:rsidRPr="009040E9" w14:paraId="2EB584DD" w14:textId="77777777" w:rsidTr="00906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DFEF9F9" w14:textId="77777777" w:rsidR="00D27A2D" w:rsidRPr="009040E9" w:rsidRDefault="00D27A2D" w:rsidP="008D206A">
            <w:pPr>
              <w:pStyle w:val="Tableheader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Month</w:t>
            </w:r>
          </w:p>
        </w:tc>
        <w:tc>
          <w:tcPr>
            <w:tcW w:w="791" w:type="dxa"/>
          </w:tcPr>
          <w:p w14:paraId="09C87A23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ACT</w:t>
            </w:r>
          </w:p>
        </w:tc>
        <w:tc>
          <w:tcPr>
            <w:tcW w:w="859" w:type="dxa"/>
          </w:tcPr>
          <w:p w14:paraId="6B02386D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NSW</w:t>
            </w:r>
          </w:p>
        </w:tc>
        <w:tc>
          <w:tcPr>
            <w:tcW w:w="632" w:type="dxa"/>
          </w:tcPr>
          <w:p w14:paraId="4F3B91C7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NT</w:t>
            </w:r>
          </w:p>
        </w:tc>
        <w:tc>
          <w:tcPr>
            <w:tcW w:w="859" w:type="dxa"/>
          </w:tcPr>
          <w:p w14:paraId="3B545397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QLD</w:t>
            </w:r>
          </w:p>
        </w:tc>
        <w:tc>
          <w:tcPr>
            <w:tcW w:w="859" w:type="dxa"/>
          </w:tcPr>
          <w:p w14:paraId="2D178898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SA</w:t>
            </w:r>
          </w:p>
        </w:tc>
        <w:tc>
          <w:tcPr>
            <w:tcW w:w="779" w:type="dxa"/>
          </w:tcPr>
          <w:p w14:paraId="7AE006A8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TAS</w:t>
            </w:r>
          </w:p>
        </w:tc>
        <w:tc>
          <w:tcPr>
            <w:tcW w:w="859" w:type="dxa"/>
          </w:tcPr>
          <w:p w14:paraId="7F6C5A42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VIC</w:t>
            </w:r>
          </w:p>
        </w:tc>
        <w:tc>
          <w:tcPr>
            <w:tcW w:w="859" w:type="dxa"/>
          </w:tcPr>
          <w:p w14:paraId="7ACF804C" w14:textId="77777777" w:rsidR="00D27A2D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WA</w:t>
            </w:r>
          </w:p>
        </w:tc>
        <w:tc>
          <w:tcPr>
            <w:tcW w:w="976" w:type="dxa"/>
          </w:tcPr>
          <w:p w14:paraId="0579DA3A" w14:textId="77777777" w:rsidR="00D27A2D" w:rsidRPr="002762B0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 w:rsidRPr="002762B0">
              <w:rPr>
                <w:rFonts w:eastAsia="Cambria"/>
                <w:lang w:val="en-US"/>
              </w:rPr>
              <w:t>Total</w:t>
            </w:r>
          </w:p>
        </w:tc>
      </w:tr>
      <w:tr w:rsidR="00414432" w:rsidRPr="009040E9" w14:paraId="4A5FC886" w14:textId="77777777" w:rsidTr="009F7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04B6E90E" w14:textId="19F970CC" w:rsidR="00414432" w:rsidRPr="00414432" w:rsidRDefault="00414432" w:rsidP="002B4528">
            <w:pPr>
              <w:pStyle w:val="Tabletextleft"/>
            </w:pPr>
            <w:r w:rsidRPr="00414432">
              <w:t>Jul</w:t>
            </w:r>
          </w:p>
        </w:tc>
        <w:tc>
          <w:tcPr>
            <w:tcW w:w="791" w:type="dxa"/>
            <w:vAlign w:val="center"/>
          </w:tcPr>
          <w:p w14:paraId="78177E99" w14:textId="02FB6929" w:rsidR="00414432" w:rsidRPr="00414432" w:rsidRDefault="00414432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45</w:t>
            </w:r>
          </w:p>
        </w:tc>
        <w:tc>
          <w:tcPr>
            <w:tcW w:w="859" w:type="dxa"/>
            <w:vAlign w:val="center"/>
          </w:tcPr>
          <w:p w14:paraId="38609C7C" w14:textId="05F6EDD2" w:rsidR="00414432" w:rsidRPr="00414432" w:rsidRDefault="00414432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1,282</w:t>
            </w:r>
          </w:p>
        </w:tc>
        <w:tc>
          <w:tcPr>
            <w:tcW w:w="632" w:type="dxa"/>
            <w:vAlign w:val="center"/>
          </w:tcPr>
          <w:p w14:paraId="6D5FFFE9" w14:textId="59A9DD46" w:rsidR="00414432" w:rsidRPr="00414432" w:rsidRDefault="00414432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7</w:t>
            </w:r>
          </w:p>
        </w:tc>
        <w:tc>
          <w:tcPr>
            <w:tcW w:w="859" w:type="dxa"/>
            <w:vAlign w:val="center"/>
          </w:tcPr>
          <w:p w14:paraId="16E976B2" w14:textId="1F8C947E" w:rsidR="00414432" w:rsidRPr="00414432" w:rsidRDefault="00414432" w:rsidP="002B4528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1,178</w:t>
            </w:r>
          </w:p>
        </w:tc>
        <w:tc>
          <w:tcPr>
            <w:tcW w:w="859" w:type="dxa"/>
            <w:vAlign w:val="center"/>
          </w:tcPr>
          <w:p w14:paraId="157B579E" w14:textId="23B5D6DE" w:rsidR="00414432" w:rsidRPr="00414432" w:rsidRDefault="00414432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388</w:t>
            </w:r>
          </w:p>
        </w:tc>
        <w:tc>
          <w:tcPr>
            <w:tcW w:w="779" w:type="dxa"/>
            <w:vAlign w:val="center"/>
          </w:tcPr>
          <w:p w14:paraId="37DD10C8" w14:textId="437C9716" w:rsidR="00414432" w:rsidRPr="00414432" w:rsidRDefault="00414432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169</w:t>
            </w:r>
          </w:p>
        </w:tc>
        <w:tc>
          <w:tcPr>
            <w:tcW w:w="859" w:type="dxa"/>
            <w:vAlign w:val="center"/>
          </w:tcPr>
          <w:p w14:paraId="36D98DF7" w14:textId="765182FF" w:rsidR="00414432" w:rsidRPr="00414432" w:rsidRDefault="00414432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1,001</w:t>
            </w:r>
          </w:p>
        </w:tc>
        <w:tc>
          <w:tcPr>
            <w:tcW w:w="859" w:type="dxa"/>
            <w:vAlign w:val="center"/>
          </w:tcPr>
          <w:p w14:paraId="5328173E" w14:textId="275D3E83" w:rsidR="00414432" w:rsidRPr="00414432" w:rsidRDefault="00414432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365</w:t>
            </w:r>
          </w:p>
        </w:tc>
        <w:tc>
          <w:tcPr>
            <w:tcW w:w="976" w:type="dxa"/>
            <w:vAlign w:val="center"/>
          </w:tcPr>
          <w:p w14:paraId="44108F8C" w14:textId="439E8A64" w:rsidR="00414432" w:rsidRPr="00414432" w:rsidRDefault="00414432" w:rsidP="002B4528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432">
              <w:t>4,435</w:t>
            </w:r>
          </w:p>
        </w:tc>
      </w:tr>
      <w:tr w:rsidR="00414432" w:rsidRPr="009040E9" w14:paraId="72FBE727" w14:textId="77777777" w:rsidTr="009F7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14:paraId="2BFFD746" w14:textId="342FF625" w:rsidR="00414432" w:rsidRPr="00414432" w:rsidRDefault="00414432" w:rsidP="002B4528">
            <w:pPr>
              <w:pStyle w:val="Tabletextleft"/>
            </w:pPr>
            <w:r w:rsidRPr="00414432">
              <w:t>Aug</w:t>
            </w:r>
          </w:p>
        </w:tc>
        <w:tc>
          <w:tcPr>
            <w:tcW w:w="791" w:type="dxa"/>
            <w:vAlign w:val="center"/>
          </w:tcPr>
          <w:p w14:paraId="10F2580C" w14:textId="2F02BEC9" w:rsidR="00414432" w:rsidRPr="00414432" w:rsidRDefault="00414432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98</w:t>
            </w:r>
          </w:p>
        </w:tc>
        <w:tc>
          <w:tcPr>
            <w:tcW w:w="859" w:type="dxa"/>
            <w:vAlign w:val="center"/>
          </w:tcPr>
          <w:p w14:paraId="3C288001" w14:textId="175DFA97" w:rsidR="00414432" w:rsidRPr="00414432" w:rsidRDefault="00414432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2,697</w:t>
            </w:r>
          </w:p>
        </w:tc>
        <w:tc>
          <w:tcPr>
            <w:tcW w:w="632" w:type="dxa"/>
            <w:vAlign w:val="center"/>
          </w:tcPr>
          <w:p w14:paraId="78C37050" w14:textId="0B6336F8" w:rsidR="00414432" w:rsidRPr="00414432" w:rsidRDefault="00414432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11</w:t>
            </w:r>
          </w:p>
        </w:tc>
        <w:tc>
          <w:tcPr>
            <w:tcW w:w="859" w:type="dxa"/>
            <w:vAlign w:val="center"/>
          </w:tcPr>
          <w:p w14:paraId="7CB8B7FA" w14:textId="78407FD6" w:rsidR="00414432" w:rsidRPr="00414432" w:rsidRDefault="00414432" w:rsidP="002B4528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2,181</w:t>
            </w:r>
          </w:p>
        </w:tc>
        <w:tc>
          <w:tcPr>
            <w:tcW w:w="859" w:type="dxa"/>
            <w:vAlign w:val="center"/>
          </w:tcPr>
          <w:p w14:paraId="5576E908" w14:textId="5D753A56" w:rsidR="00414432" w:rsidRPr="00414432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789</w:t>
            </w:r>
          </w:p>
        </w:tc>
        <w:tc>
          <w:tcPr>
            <w:tcW w:w="779" w:type="dxa"/>
            <w:vAlign w:val="center"/>
          </w:tcPr>
          <w:p w14:paraId="4DD6B172" w14:textId="754BF059" w:rsidR="00414432" w:rsidRPr="00414432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256</w:t>
            </w:r>
          </w:p>
        </w:tc>
        <w:tc>
          <w:tcPr>
            <w:tcW w:w="859" w:type="dxa"/>
            <w:vAlign w:val="center"/>
          </w:tcPr>
          <w:p w14:paraId="40623E93" w14:textId="7D5070E0" w:rsidR="00414432" w:rsidRPr="00414432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2,038</w:t>
            </w:r>
          </w:p>
        </w:tc>
        <w:tc>
          <w:tcPr>
            <w:tcW w:w="859" w:type="dxa"/>
            <w:vAlign w:val="center"/>
          </w:tcPr>
          <w:p w14:paraId="14077747" w14:textId="12074CF8" w:rsidR="00414432" w:rsidRPr="00414432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799</w:t>
            </w:r>
          </w:p>
        </w:tc>
        <w:tc>
          <w:tcPr>
            <w:tcW w:w="976" w:type="dxa"/>
            <w:vAlign w:val="center"/>
          </w:tcPr>
          <w:p w14:paraId="7D77AB84" w14:textId="3D2088DB" w:rsidR="00414432" w:rsidRPr="00414432" w:rsidRDefault="00414432" w:rsidP="002B4528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14432">
              <w:t>8,869</w:t>
            </w:r>
          </w:p>
        </w:tc>
      </w:tr>
      <w:tr w:rsidR="005700DC" w:rsidRPr="009040E9" w14:paraId="78F29DB2" w14:textId="77777777" w:rsidTr="00AF7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704F7F08" w14:textId="3A52E76C" w:rsidR="005700DC" w:rsidRPr="00414432" w:rsidRDefault="005700DC" w:rsidP="005700DC">
            <w:pPr>
              <w:pStyle w:val="Tabletextleft"/>
            </w:pPr>
            <w:r w:rsidRPr="00677BC1">
              <w:t>Sep</w:t>
            </w:r>
          </w:p>
        </w:tc>
        <w:tc>
          <w:tcPr>
            <w:tcW w:w="791" w:type="dxa"/>
          </w:tcPr>
          <w:p w14:paraId="34C94926" w14:textId="1984FAF8" w:rsidR="005700DC" w:rsidRPr="00414432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84</w:t>
            </w:r>
          </w:p>
        </w:tc>
        <w:tc>
          <w:tcPr>
            <w:tcW w:w="859" w:type="dxa"/>
          </w:tcPr>
          <w:p w14:paraId="2907F85E" w14:textId="1D9CC2AE" w:rsidR="005700DC" w:rsidRPr="00414432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3,005</w:t>
            </w:r>
          </w:p>
        </w:tc>
        <w:tc>
          <w:tcPr>
            <w:tcW w:w="632" w:type="dxa"/>
          </w:tcPr>
          <w:p w14:paraId="31D00584" w14:textId="21E544BC" w:rsidR="005700DC" w:rsidRPr="00414432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14</w:t>
            </w:r>
          </w:p>
        </w:tc>
        <w:tc>
          <w:tcPr>
            <w:tcW w:w="859" w:type="dxa"/>
          </w:tcPr>
          <w:p w14:paraId="14706ADA" w14:textId="738AAA9F" w:rsidR="005700DC" w:rsidRPr="00414432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2,503</w:t>
            </w:r>
          </w:p>
        </w:tc>
        <w:tc>
          <w:tcPr>
            <w:tcW w:w="859" w:type="dxa"/>
          </w:tcPr>
          <w:p w14:paraId="37BFF521" w14:textId="29C09D29" w:rsidR="005700DC" w:rsidRPr="00414432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925</w:t>
            </w:r>
          </w:p>
        </w:tc>
        <w:tc>
          <w:tcPr>
            <w:tcW w:w="779" w:type="dxa"/>
          </w:tcPr>
          <w:p w14:paraId="5A2BB4D9" w14:textId="5D59EA0F" w:rsidR="005700DC" w:rsidRPr="00414432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305</w:t>
            </w:r>
          </w:p>
        </w:tc>
        <w:tc>
          <w:tcPr>
            <w:tcW w:w="859" w:type="dxa"/>
          </w:tcPr>
          <w:p w14:paraId="59C5DC12" w14:textId="5D753C2E" w:rsidR="005700DC" w:rsidRPr="00414432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2,345</w:t>
            </w:r>
          </w:p>
        </w:tc>
        <w:tc>
          <w:tcPr>
            <w:tcW w:w="859" w:type="dxa"/>
          </w:tcPr>
          <w:p w14:paraId="16988651" w14:textId="75929EC7" w:rsidR="005700DC" w:rsidRPr="00414432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829</w:t>
            </w:r>
          </w:p>
        </w:tc>
        <w:tc>
          <w:tcPr>
            <w:tcW w:w="976" w:type="dxa"/>
          </w:tcPr>
          <w:p w14:paraId="74659ADA" w14:textId="14E231FB" w:rsidR="005700DC" w:rsidRPr="00414432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7BC1">
              <w:t>10,010</w:t>
            </w:r>
          </w:p>
        </w:tc>
      </w:tr>
      <w:tr w:rsidR="005700DC" w:rsidRPr="009040E9" w14:paraId="74E43600" w14:textId="77777777" w:rsidTr="00AF7C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shd w:val="clear" w:color="auto" w:fill="3F4A75"/>
          </w:tcPr>
          <w:p w14:paraId="01397110" w14:textId="66FBAF19" w:rsidR="005700DC" w:rsidRPr="000C5691" w:rsidRDefault="005700DC" w:rsidP="005700DC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Total</w:t>
            </w:r>
          </w:p>
        </w:tc>
        <w:tc>
          <w:tcPr>
            <w:tcW w:w="791" w:type="dxa"/>
            <w:shd w:val="clear" w:color="auto" w:fill="3F4A75"/>
          </w:tcPr>
          <w:p w14:paraId="13B31702" w14:textId="28765648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227</w:t>
            </w:r>
          </w:p>
        </w:tc>
        <w:tc>
          <w:tcPr>
            <w:tcW w:w="859" w:type="dxa"/>
            <w:shd w:val="clear" w:color="auto" w:fill="3F4A75"/>
          </w:tcPr>
          <w:p w14:paraId="588650F0" w14:textId="3DBF6F36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6,984</w:t>
            </w:r>
          </w:p>
        </w:tc>
        <w:tc>
          <w:tcPr>
            <w:tcW w:w="632" w:type="dxa"/>
            <w:shd w:val="clear" w:color="auto" w:fill="3F4A75"/>
          </w:tcPr>
          <w:p w14:paraId="33DBE8C8" w14:textId="2D905BE3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32</w:t>
            </w:r>
          </w:p>
        </w:tc>
        <w:tc>
          <w:tcPr>
            <w:tcW w:w="859" w:type="dxa"/>
            <w:shd w:val="clear" w:color="auto" w:fill="3F4A75"/>
          </w:tcPr>
          <w:p w14:paraId="167E1DDF" w14:textId="2B01C465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5,862</w:t>
            </w:r>
          </w:p>
        </w:tc>
        <w:tc>
          <w:tcPr>
            <w:tcW w:w="859" w:type="dxa"/>
            <w:shd w:val="clear" w:color="auto" w:fill="3F4A75"/>
          </w:tcPr>
          <w:p w14:paraId="7F4CA5FC" w14:textId="66218D3C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2,102</w:t>
            </w:r>
          </w:p>
        </w:tc>
        <w:tc>
          <w:tcPr>
            <w:tcW w:w="779" w:type="dxa"/>
            <w:shd w:val="clear" w:color="auto" w:fill="3F4A75"/>
          </w:tcPr>
          <w:p w14:paraId="3A88BAAB" w14:textId="5E3A4C27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730</w:t>
            </w:r>
          </w:p>
        </w:tc>
        <w:tc>
          <w:tcPr>
            <w:tcW w:w="859" w:type="dxa"/>
            <w:shd w:val="clear" w:color="auto" w:fill="3F4A75"/>
          </w:tcPr>
          <w:p w14:paraId="2A6E115B" w14:textId="745B8F69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5,384</w:t>
            </w:r>
          </w:p>
        </w:tc>
        <w:tc>
          <w:tcPr>
            <w:tcW w:w="859" w:type="dxa"/>
            <w:shd w:val="clear" w:color="auto" w:fill="3F4A75"/>
          </w:tcPr>
          <w:p w14:paraId="5B9CA4BA" w14:textId="59AFEBB4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1,993</w:t>
            </w:r>
          </w:p>
        </w:tc>
        <w:tc>
          <w:tcPr>
            <w:tcW w:w="976" w:type="dxa"/>
            <w:shd w:val="clear" w:color="auto" w:fill="3F4A75"/>
          </w:tcPr>
          <w:p w14:paraId="23685727" w14:textId="05B9ADDD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677BC1">
              <w:t>23,314</w:t>
            </w:r>
          </w:p>
        </w:tc>
      </w:tr>
    </w:tbl>
    <w:p w14:paraId="7B1E4E67" w14:textId="01472882" w:rsidR="004E53B7" w:rsidRDefault="004E53B7" w:rsidP="004E53B7">
      <w:pPr>
        <w:rPr>
          <w:rFonts w:ascii="Helvetica" w:hAnsi="Helvetica" w:cstheme="minorBidi"/>
          <w:color w:val="auto"/>
          <w:sz w:val="19"/>
          <w:szCs w:val="19"/>
        </w:rPr>
      </w:pPr>
      <w:r>
        <w:rPr>
          <w:szCs w:val="19"/>
        </w:rPr>
        <w:t>Source: HSO Production data.</w:t>
      </w:r>
    </w:p>
    <w:p w14:paraId="761126EA" w14:textId="7E279E49" w:rsidR="002C150F" w:rsidRDefault="004E53B7" w:rsidP="009F390F">
      <w:pPr>
        <w:rPr>
          <w:szCs w:val="19"/>
        </w:rPr>
      </w:pPr>
      <w:r>
        <w:rPr>
          <w:szCs w:val="19"/>
        </w:rPr>
        <w:t>Note: On 1 July 2021 all current vouchers were extended from 3 years to 5 years, resulting in a significantly lower number of return vouchers issued in 2021-22</w:t>
      </w:r>
      <w:r w:rsidR="00A3158F">
        <w:rPr>
          <w:szCs w:val="19"/>
        </w:rPr>
        <w:t xml:space="preserve"> </w:t>
      </w:r>
      <w:r w:rsidR="003A0007">
        <w:rPr>
          <w:szCs w:val="19"/>
        </w:rPr>
        <w:t>and 2022-23.</w:t>
      </w:r>
      <w:r w:rsidR="00A96469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 xml:space="preserve">from previous published reports due to retrospective claiming or correction of invalid claims. </w:t>
      </w:r>
      <w:r w:rsidR="002C150F">
        <w:rPr>
          <w:szCs w:val="19"/>
        </w:rPr>
        <w:br w:type="page"/>
      </w:r>
    </w:p>
    <w:p w14:paraId="20732EA7" w14:textId="77777777" w:rsidR="004E53B7" w:rsidRPr="00EB19C2" w:rsidRDefault="004E53B7" w:rsidP="00EB19C2">
      <w:pPr>
        <w:pStyle w:val="Heading3"/>
      </w:pPr>
      <w:r w:rsidRPr="00EB19C2">
        <w:lastRenderedPageBreak/>
        <w:t>Clients Serviced</w:t>
      </w:r>
    </w:p>
    <w:tbl>
      <w:tblPr>
        <w:tblStyle w:val="DepartmentofHealthtable"/>
        <w:tblW w:w="9639" w:type="dxa"/>
        <w:tblLayout w:type="fixed"/>
        <w:tblLook w:val="04A0" w:firstRow="1" w:lastRow="0" w:firstColumn="1" w:lastColumn="0" w:noHBand="0" w:noVBand="1"/>
      </w:tblPr>
      <w:tblGrid>
        <w:gridCol w:w="851"/>
        <w:gridCol w:w="930"/>
        <w:gridCol w:w="1067"/>
        <w:gridCol w:w="838"/>
        <w:gridCol w:w="1070"/>
        <w:gridCol w:w="954"/>
        <w:gridCol w:w="954"/>
        <w:gridCol w:w="991"/>
        <w:gridCol w:w="917"/>
        <w:gridCol w:w="1067"/>
      </w:tblGrid>
      <w:tr w:rsidR="00DE1FFA" w:rsidRPr="009040E9" w14:paraId="04938ABD" w14:textId="77777777" w:rsidTr="00154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14A87" w14:textId="77777777" w:rsidR="00D27A2D" w:rsidRPr="00DD5B89" w:rsidRDefault="00D27A2D" w:rsidP="008D206A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930" w:type="dxa"/>
          </w:tcPr>
          <w:p w14:paraId="63350A10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ACT</w:t>
            </w:r>
          </w:p>
        </w:tc>
        <w:tc>
          <w:tcPr>
            <w:tcW w:w="1067" w:type="dxa"/>
          </w:tcPr>
          <w:p w14:paraId="04CFECAB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NSW</w:t>
            </w:r>
          </w:p>
        </w:tc>
        <w:tc>
          <w:tcPr>
            <w:tcW w:w="838" w:type="dxa"/>
          </w:tcPr>
          <w:p w14:paraId="37B72254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NT</w:t>
            </w:r>
          </w:p>
        </w:tc>
        <w:tc>
          <w:tcPr>
            <w:tcW w:w="1070" w:type="dxa"/>
          </w:tcPr>
          <w:p w14:paraId="07ACD1ED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QLD</w:t>
            </w:r>
          </w:p>
        </w:tc>
        <w:tc>
          <w:tcPr>
            <w:tcW w:w="954" w:type="dxa"/>
          </w:tcPr>
          <w:p w14:paraId="0BFE29AC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SA</w:t>
            </w:r>
          </w:p>
        </w:tc>
        <w:tc>
          <w:tcPr>
            <w:tcW w:w="954" w:type="dxa"/>
          </w:tcPr>
          <w:p w14:paraId="30916448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TAS</w:t>
            </w:r>
          </w:p>
        </w:tc>
        <w:tc>
          <w:tcPr>
            <w:tcW w:w="991" w:type="dxa"/>
          </w:tcPr>
          <w:p w14:paraId="54C0EBDB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VIC</w:t>
            </w:r>
          </w:p>
        </w:tc>
        <w:tc>
          <w:tcPr>
            <w:tcW w:w="917" w:type="dxa"/>
          </w:tcPr>
          <w:p w14:paraId="08251843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WA</w:t>
            </w:r>
          </w:p>
        </w:tc>
        <w:tc>
          <w:tcPr>
            <w:tcW w:w="1067" w:type="dxa"/>
          </w:tcPr>
          <w:p w14:paraId="122084CE" w14:textId="77777777" w:rsidR="00D27A2D" w:rsidRPr="002762B0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762B0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</w:tr>
      <w:tr w:rsidR="005700DC" w:rsidRPr="009040E9" w14:paraId="0E10AAA3" w14:textId="77777777" w:rsidTr="0081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E151B" w14:textId="003B300E" w:rsidR="005700DC" w:rsidRPr="000C5691" w:rsidRDefault="005700DC" w:rsidP="005700DC">
            <w:pPr>
              <w:pStyle w:val="Tabletextleft"/>
            </w:pPr>
            <w:r w:rsidRPr="00E32DFC">
              <w:t>Jul</w:t>
            </w:r>
          </w:p>
        </w:tc>
        <w:tc>
          <w:tcPr>
            <w:tcW w:w="930" w:type="dxa"/>
          </w:tcPr>
          <w:p w14:paraId="07BC793D" w14:textId="506E8C1C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771</w:t>
            </w:r>
          </w:p>
        </w:tc>
        <w:tc>
          <w:tcPr>
            <w:tcW w:w="1067" w:type="dxa"/>
          </w:tcPr>
          <w:p w14:paraId="6483D720" w14:textId="308A88A0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22,056</w:t>
            </w:r>
          </w:p>
        </w:tc>
        <w:tc>
          <w:tcPr>
            <w:tcW w:w="838" w:type="dxa"/>
          </w:tcPr>
          <w:p w14:paraId="30E0C8C8" w14:textId="477C2226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187</w:t>
            </w:r>
          </w:p>
        </w:tc>
        <w:tc>
          <w:tcPr>
            <w:tcW w:w="1070" w:type="dxa"/>
          </w:tcPr>
          <w:p w14:paraId="3A83788C" w14:textId="535450CA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17,967</w:t>
            </w:r>
          </w:p>
        </w:tc>
        <w:tc>
          <w:tcPr>
            <w:tcW w:w="954" w:type="dxa"/>
          </w:tcPr>
          <w:p w14:paraId="60B46F2B" w14:textId="3B26CE94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7,454</w:t>
            </w:r>
          </w:p>
        </w:tc>
        <w:tc>
          <w:tcPr>
            <w:tcW w:w="954" w:type="dxa"/>
          </w:tcPr>
          <w:p w14:paraId="0519BC6F" w14:textId="7278605C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2,155</w:t>
            </w:r>
          </w:p>
        </w:tc>
        <w:tc>
          <w:tcPr>
            <w:tcW w:w="991" w:type="dxa"/>
          </w:tcPr>
          <w:p w14:paraId="475EB2CF" w14:textId="49E315DC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17,757</w:t>
            </w:r>
          </w:p>
        </w:tc>
        <w:tc>
          <w:tcPr>
            <w:tcW w:w="917" w:type="dxa"/>
          </w:tcPr>
          <w:p w14:paraId="16FE89CA" w14:textId="1C035BA1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7,478</w:t>
            </w:r>
          </w:p>
        </w:tc>
        <w:tc>
          <w:tcPr>
            <w:tcW w:w="1067" w:type="dxa"/>
          </w:tcPr>
          <w:p w14:paraId="3DF8D503" w14:textId="4C1D9642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75,825</w:t>
            </w:r>
          </w:p>
        </w:tc>
      </w:tr>
      <w:tr w:rsidR="005700DC" w:rsidRPr="009040E9" w14:paraId="01EAE8A1" w14:textId="77777777" w:rsidTr="00813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9308E8" w14:textId="55A107AD" w:rsidR="005700DC" w:rsidRPr="000C5691" w:rsidRDefault="005700DC" w:rsidP="005700DC">
            <w:pPr>
              <w:pStyle w:val="Tabletextleft"/>
            </w:pPr>
            <w:r w:rsidRPr="00E32DFC">
              <w:t>Aug</w:t>
            </w:r>
          </w:p>
        </w:tc>
        <w:tc>
          <w:tcPr>
            <w:tcW w:w="930" w:type="dxa"/>
          </w:tcPr>
          <w:p w14:paraId="0AC96036" w14:textId="13179DA2" w:rsidR="005700DC" w:rsidRPr="000C5691" w:rsidRDefault="005700DC" w:rsidP="005700D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1,051</w:t>
            </w:r>
          </w:p>
        </w:tc>
        <w:tc>
          <w:tcPr>
            <w:tcW w:w="1067" w:type="dxa"/>
          </w:tcPr>
          <w:p w14:paraId="6A7CA65F" w14:textId="078437BF" w:rsidR="005700DC" w:rsidRPr="000C5691" w:rsidRDefault="005700DC" w:rsidP="005700D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30,647</w:t>
            </w:r>
          </w:p>
        </w:tc>
        <w:tc>
          <w:tcPr>
            <w:tcW w:w="838" w:type="dxa"/>
          </w:tcPr>
          <w:p w14:paraId="4B07718A" w14:textId="29117A16" w:rsidR="005700DC" w:rsidRPr="000C5691" w:rsidRDefault="005700DC" w:rsidP="005700D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255</w:t>
            </w:r>
          </w:p>
        </w:tc>
        <w:tc>
          <w:tcPr>
            <w:tcW w:w="1070" w:type="dxa"/>
          </w:tcPr>
          <w:p w14:paraId="779B8B9A" w14:textId="7F3C501A" w:rsidR="005700DC" w:rsidRPr="000C5691" w:rsidRDefault="005700DC" w:rsidP="005700D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24,703</w:t>
            </w:r>
          </w:p>
        </w:tc>
        <w:tc>
          <w:tcPr>
            <w:tcW w:w="954" w:type="dxa"/>
          </w:tcPr>
          <w:p w14:paraId="2547964C" w14:textId="0F83B520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10,154</w:t>
            </w:r>
          </w:p>
        </w:tc>
        <w:tc>
          <w:tcPr>
            <w:tcW w:w="954" w:type="dxa"/>
          </w:tcPr>
          <w:p w14:paraId="465DA51F" w14:textId="7EAC1E7C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3,072</w:t>
            </w:r>
          </w:p>
        </w:tc>
        <w:tc>
          <w:tcPr>
            <w:tcW w:w="991" w:type="dxa"/>
          </w:tcPr>
          <w:p w14:paraId="119462FE" w14:textId="0F9AF08E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24,457</w:t>
            </w:r>
          </w:p>
        </w:tc>
        <w:tc>
          <w:tcPr>
            <w:tcW w:w="917" w:type="dxa"/>
          </w:tcPr>
          <w:p w14:paraId="04A65DC1" w14:textId="34B97F69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10,300</w:t>
            </w:r>
          </w:p>
        </w:tc>
        <w:tc>
          <w:tcPr>
            <w:tcW w:w="1067" w:type="dxa"/>
          </w:tcPr>
          <w:p w14:paraId="7D67606B" w14:textId="48A7F4EC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32DFC">
              <w:t>104,639</w:t>
            </w:r>
          </w:p>
        </w:tc>
      </w:tr>
      <w:tr w:rsidR="005700DC" w:rsidRPr="009040E9" w14:paraId="739AA466" w14:textId="77777777" w:rsidTr="0081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D52FD8" w14:textId="6E6BDA4C" w:rsidR="005700DC" w:rsidRPr="000C5691" w:rsidRDefault="005700DC" w:rsidP="005700DC">
            <w:pPr>
              <w:pStyle w:val="Tabletextleft"/>
            </w:pPr>
            <w:r w:rsidRPr="00E32DFC">
              <w:t>Sep</w:t>
            </w:r>
          </w:p>
        </w:tc>
        <w:tc>
          <w:tcPr>
            <w:tcW w:w="930" w:type="dxa"/>
          </w:tcPr>
          <w:p w14:paraId="7E9948E8" w14:textId="3AA28A46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1,019</w:t>
            </w:r>
          </w:p>
        </w:tc>
        <w:tc>
          <w:tcPr>
            <w:tcW w:w="1067" w:type="dxa"/>
          </w:tcPr>
          <w:p w14:paraId="598EEB82" w14:textId="089F723B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29,221</w:t>
            </w:r>
          </w:p>
        </w:tc>
        <w:tc>
          <w:tcPr>
            <w:tcW w:w="838" w:type="dxa"/>
          </w:tcPr>
          <w:p w14:paraId="5AEDC48C" w14:textId="67EDE9E5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239</w:t>
            </w:r>
          </w:p>
        </w:tc>
        <w:tc>
          <w:tcPr>
            <w:tcW w:w="1070" w:type="dxa"/>
          </w:tcPr>
          <w:p w14:paraId="6E9A2565" w14:textId="2D32D354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22,050</w:t>
            </w:r>
          </w:p>
        </w:tc>
        <w:tc>
          <w:tcPr>
            <w:tcW w:w="954" w:type="dxa"/>
          </w:tcPr>
          <w:p w14:paraId="2A997B2B" w14:textId="11E20EE4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9,478</w:t>
            </w:r>
          </w:p>
        </w:tc>
        <w:tc>
          <w:tcPr>
            <w:tcW w:w="954" w:type="dxa"/>
          </w:tcPr>
          <w:p w14:paraId="5D16F49D" w14:textId="2861FE59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3,043</w:t>
            </w:r>
          </w:p>
        </w:tc>
        <w:tc>
          <w:tcPr>
            <w:tcW w:w="991" w:type="dxa"/>
          </w:tcPr>
          <w:p w14:paraId="54B31CA0" w14:textId="526754AD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22,897</w:t>
            </w:r>
          </w:p>
        </w:tc>
        <w:tc>
          <w:tcPr>
            <w:tcW w:w="917" w:type="dxa"/>
          </w:tcPr>
          <w:p w14:paraId="765E0E0C" w14:textId="61286177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9,037</w:t>
            </w:r>
          </w:p>
        </w:tc>
        <w:tc>
          <w:tcPr>
            <w:tcW w:w="1067" w:type="dxa"/>
          </w:tcPr>
          <w:p w14:paraId="114DE018" w14:textId="652FEC4B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2DFC">
              <w:t>96,984</w:t>
            </w:r>
          </w:p>
        </w:tc>
      </w:tr>
      <w:tr w:rsidR="005700DC" w:rsidRPr="009040E9" w14:paraId="137169ED" w14:textId="77777777" w:rsidTr="00813C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F4A75"/>
          </w:tcPr>
          <w:p w14:paraId="71C1D519" w14:textId="6FFF6EAD" w:rsidR="005700DC" w:rsidRPr="000C5691" w:rsidRDefault="005700DC" w:rsidP="005700DC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Total</w:t>
            </w:r>
          </w:p>
        </w:tc>
        <w:tc>
          <w:tcPr>
            <w:tcW w:w="930" w:type="dxa"/>
            <w:shd w:val="clear" w:color="auto" w:fill="3F4A75"/>
          </w:tcPr>
          <w:p w14:paraId="3419144C" w14:textId="5391CD93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2,555</w:t>
            </w:r>
          </w:p>
        </w:tc>
        <w:tc>
          <w:tcPr>
            <w:tcW w:w="1067" w:type="dxa"/>
            <w:shd w:val="clear" w:color="auto" w:fill="3F4A75"/>
          </w:tcPr>
          <w:p w14:paraId="412C76F5" w14:textId="5A2E605B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73,112</w:t>
            </w:r>
          </w:p>
        </w:tc>
        <w:tc>
          <w:tcPr>
            <w:tcW w:w="838" w:type="dxa"/>
            <w:shd w:val="clear" w:color="auto" w:fill="3F4A75"/>
          </w:tcPr>
          <w:p w14:paraId="61DC7C8E" w14:textId="1056F483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623</w:t>
            </w:r>
          </w:p>
        </w:tc>
        <w:tc>
          <w:tcPr>
            <w:tcW w:w="1070" w:type="dxa"/>
            <w:shd w:val="clear" w:color="auto" w:fill="3F4A75"/>
          </w:tcPr>
          <w:p w14:paraId="62A32E79" w14:textId="53BEFF64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57,643</w:t>
            </w:r>
          </w:p>
        </w:tc>
        <w:tc>
          <w:tcPr>
            <w:tcW w:w="954" w:type="dxa"/>
            <w:shd w:val="clear" w:color="auto" w:fill="3F4A75"/>
          </w:tcPr>
          <w:p w14:paraId="293ABE76" w14:textId="1C88DD23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24,077</w:t>
            </w:r>
          </w:p>
        </w:tc>
        <w:tc>
          <w:tcPr>
            <w:tcW w:w="954" w:type="dxa"/>
            <w:shd w:val="clear" w:color="auto" w:fill="3F4A75"/>
          </w:tcPr>
          <w:p w14:paraId="4DA97AED" w14:textId="729BFC05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7,474</w:t>
            </w:r>
          </w:p>
        </w:tc>
        <w:tc>
          <w:tcPr>
            <w:tcW w:w="991" w:type="dxa"/>
            <w:shd w:val="clear" w:color="auto" w:fill="3F4A75"/>
          </w:tcPr>
          <w:p w14:paraId="79DDA991" w14:textId="1F5C983E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58,177</w:t>
            </w:r>
          </w:p>
        </w:tc>
        <w:tc>
          <w:tcPr>
            <w:tcW w:w="917" w:type="dxa"/>
            <w:shd w:val="clear" w:color="auto" w:fill="3F4A75"/>
          </w:tcPr>
          <w:p w14:paraId="47BF06DA" w14:textId="1D38A6AE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23,993</w:t>
            </w:r>
          </w:p>
        </w:tc>
        <w:tc>
          <w:tcPr>
            <w:tcW w:w="1067" w:type="dxa"/>
            <w:shd w:val="clear" w:color="auto" w:fill="3F4A75"/>
          </w:tcPr>
          <w:p w14:paraId="0676B7AF" w14:textId="574A99E0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E32DFC">
              <w:t>247,654</w:t>
            </w:r>
          </w:p>
        </w:tc>
      </w:tr>
    </w:tbl>
    <w:p w14:paraId="06C093A5" w14:textId="0E7EED71" w:rsidR="004E53B7" w:rsidRDefault="004E53B7" w:rsidP="004E53B7">
      <w:pPr>
        <w:rPr>
          <w:rFonts w:ascii="Helvetica" w:hAnsi="Helvetica" w:cstheme="minorBidi"/>
          <w:sz w:val="19"/>
          <w:szCs w:val="19"/>
        </w:rPr>
      </w:pPr>
      <w:r>
        <w:rPr>
          <w:szCs w:val="19"/>
        </w:rPr>
        <w:t>Source: HSO Production data.</w:t>
      </w:r>
    </w:p>
    <w:p w14:paraId="24427828" w14:textId="77777777" w:rsidR="003A0007" w:rsidRDefault="004E53B7" w:rsidP="003A0007">
      <w:pPr>
        <w:rPr>
          <w:szCs w:val="19"/>
        </w:rPr>
      </w:pPr>
      <w:r>
        <w:rPr>
          <w:szCs w:val="19"/>
        </w:rPr>
        <w:t xml:space="preserve">Note: </w:t>
      </w:r>
      <w:r w:rsidR="003A0007">
        <w:rPr>
          <w:szCs w:val="19"/>
        </w:rPr>
        <w:t xml:space="preserve">This table shows the </w:t>
      </w:r>
      <w:r w:rsidR="003A0007" w:rsidRPr="005C00A1">
        <w:rPr>
          <w:color w:val="auto"/>
          <w:szCs w:val="19"/>
        </w:rPr>
        <w:t xml:space="preserve">number of clients receiving at least one service in each month. </w:t>
      </w:r>
      <w:bookmarkStart w:id="1" w:name="_Hlk155362075"/>
      <w:r w:rsidR="003A0007" w:rsidRPr="005C00A1">
        <w:rPr>
          <w:color w:val="auto"/>
          <w:szCs w:val="19"/>
        </w:rPr>
        <w:t>Only one service is counted per client within each month/period as a single client may have services over multiple months. The total figure is the number of unique clients who received at least one service during the reporting period</w:t>
      </w:r>
      <w:r w:rsidR="003A0007" w:rsidRPr="008A0C56">
        <w:rPr>
          <w:color w:val="FF0000"/>
          <w:szCs w:val="19"/>
        </w:rPr>
        <w:t>.</w:t>
      </w:r>
      <w:bookmarkEnd w:id="1"/>
    </w:p>
    <w:p w14:paraId="25086AC1" w14:textId="77777777" w:rsidR="003A0007" w:rsidRDefault="003A0007" w:rsidP="003A0007">
      <w:pPr>
        <w:rPr>
          <w:rFonts w:ascii="Segoe UI" w:hAnsi="Segoe UI" w:cs="Segoe UI"/>
          <w:color w:val="auto"/>
          <w:sz w:val="24"/>
          <w:lang w:eastAsia="en-AU"/>
        </w:rPr>
      </w:pPr>
      <w:r>
        <w:rPr>
          <w:szCs w:val="19"/>
        </w:rPr>
        <w:t xml:space="preserve">Figures may vary </w:t>
      </w:r>
      <w:r w:rsidRPr="006F473D">
        <w:rPr>
          <w:szCs w:val="19"/>
        </w:rPr>
        <w:t>from previous published reports due to retrospective claiming or correction of invalid claims.</w:t>
      </w:r>
    </w:p>
    <w:p w14:paraId="12B854E5" w14:textId="327096FF" w:rsidR="002C150F" w:rsidRDefault="002C150F" w:rsidP="009F390F">
      <w:pPr>
        <w:rPr>
          <w:szCs w:val="19"/>
        </w:rPr>
      </w:pPr>
    </w:p>
    <w:p w14:paraId="351855B6" w14:textId="77777777" w:rsidR="004E53B7" w:rsidRDefault="004E53B7" w:rsidP="004E53B7">
      <w:pPr>
        <w:pStyle w:val="Heading2"/>
        <w:rPr>
          <w:rFonts w:ascii="Helvetica" w:hAnsi="Helvetica"/>
          <w:color w:val="1F3445"/>
          <w:sz w:val="28"/>
          <w:szCs w:val="26"/>
        </w:rPr>
      </w:pPr>
      <w:r>
        <w:t>Number of Devices Fitted by Month</w:t>
      </w:r>
    </w:p>
    <w:p w14:paraId="48472746" w14:textId="77777777" w:rsidR="006F6A76" w:rsidRDefault="004E53B7" w:rsidP="006F6A76">
      <w:pPr>
        <w:pStyle w:val="Heading3"/>
      </w:pPr>
      <w:r>
        <w:t>Devices Fitted</w:t>
      </w:r>
    </w:p>
    <w:tbl>
      <w:tblPr>
        <w:tblStyle w:val="DepartmentofHealthtable"/>
        <w:tblW w:w="963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850"/>
        <w:gridCol w:w="1134"/>
        <w:gridCol w:w="992"/>
        <w:gridCol w:w="993"/>
        <w:gridCol w:w="992"/>
        <w:gridCol w:w="850"/>
        <w:gridCol w:w="1134"/>
      </w:tblGrid>
      <w:tr w:rsidR="006F6A76" w:rsidRPr="009040E9" w14:paraId="4FACF049" w14:textId="77777777" w:rsidTr="000C5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86E9E" w14:textId="77777777" w:rsidR="006F6A76" w:rsidRPr="00DF6AEF" w:rsidRDefault="006F6A76" w:rsidP="008D206A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850" w:type="dxa"/>
          </w:tcPr>
          <w:p w14:paraId="3B2872D3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ACT</w:t>
            </w:r>
          </w:p>
        </w:tc>
        <w:tc>
          <w:tcPr>
            <w:tcW w:w="993" w:type="dxa"/>
          </w:tcPr>
          <w:p w14:paraId="19C9D0D0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NSW</w:t>
            </w:r>
          </w:p>
        </w:tc>
        <w:tc>
          <w:tcPr>
            <w:tcW w:w="850" w:type="dxa"/>
          </w:tcPr>
          <w:p w14:paraId="6E5C6BF7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NT</w:t>
            </w:r>
          </w:p>
        </w:tc>
        <w:tc>
          <w:tcPr>
            <w:tcW w:w="1134" w:type="dxa"/>
          </w:tcPr>
          <w:p w14:paraId="6AA6C99B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QLD</w:t>
            </w:r>
          </w:p>
        </w:tc>
        <w:tc>
          <w:tcPr>
            <w:tcW w:w="992" w:type="dxa"/>
          </w:tcPr>
          <w:p w14:paraId="1B912849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SA</w:t>
            </w:r>
          </w:p>
        </w:tc>
        <w:tc>
          <w:tcPr>
            <w:tcW w:w="993" w:type="dxa"/>
          </w:tcPr>
          <w:p w14:paraId="2AC33E5B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TAS</w:t>
            </w:r>
          </w:p>
        </w:tc>
        <w:tc>
          <w:tcPr>
            <w:tcW w:w="992" w:type="dxa"/>
          </w:tcPr>
          <w:p w14:paraId="1F3BE7A0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VIC</w:t>
            </w:r>
          </w:p>
        </w:tc>
        <w:tc>
          <w:tcPr>
            <w:tcW w:w="850" w:type="dxa"/>
          </w:tcPr>
          <w:p w14:paraId="5831B24D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WA</w:t>
            </w:r>
          </w:p>
        </w:tc>
        <w:tc>
          <w:tcPr>
            <w:tcW w:w="1134" w:type="dxa"/>
          </w:tcPr>
          <w:p w14:paraId="05921143" w14:textId="77777777" w:rsidR="006F6A76" w:rsidRPr="002762B0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2762B0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</w:tr>
      <w:tr w:rsidR="005700DC" w:rsidRPr="009040E9" w14:paraId="5FC0C0FE" w14:textId="77777777" w:rsidTr="000C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8AFC28" w14:textId="108C42AB" w:rsidR="005700DC" w:rsidRPr="000C5691" w:rsidRDefault="005700DC" w:rsidP="005700DC">
            <w:pPr>
              <w:pStyle w:val="Tabletextleft"/>
            </w:pPr>
            <w:r w:rsidRPr="00D2041D">
              <w:t>Jul</w:t>
            </w:r>
          </w:p>
        </w:tc>
        <w:tc>
          <w:tcPr>
            <w:tcW w:w="850" w:type="dxa"/>
          </w:tcPr>
          <w:p w14:paraId="46F869FD" w14:textId="70BA5E12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389</w:t>
            </w:r>
          </w:p>
        </w:tc>
        <w:tc>
          <w:tcPr>
            <w:tcW w:w="993" w:type="dxa"/>
          </w:tcPr>
          <w:p w14:paraId="4306F87C" w14:textId="7F000E68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9,167</w:t>
            </w:r>
          </w:p>
        </w:tc>
        <w:tc>
          <w:tcPr>
            <w:tcW w:w="850" w:type="dxa"/>
          </w:tcPr>
          <w:p w14:paraId="7D778443" w14:textId="65251EF3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92</w:t>
            </w:r>
          </w:p>
        </w:tc>
        <w:tc>
          <w:tcPr>
            <w:tcW w:w="1134" w:type="dxa"/>
          </w:tcPr>
          <w:p w14:paraId="6D19E8A9" w14:textId="048C76B2" w:rsidR="005700DC" w:rsidRPr="000C5691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6,780</w:t>
            </w:r>
          </w:p>
        </w:tc>
        <w:tc>
          <w:tcPr>
            <w:tcW w:w="992" w:type="dxa"/>
          </w:tcPr>
          <w:p w14:paraId="15FF9202" w14:textId="21798C12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2,915</w:t>
            </w:r>
          </w:p>
        </w:tc>
        <w:tc>
          <w:tcPr>
            <w:tcW w:w="993" w:type="dxa"/>
          </w:tcPr>
          <w:p w14:paraId="08911EE3" w14:textId="3254FC76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841</w:t>
            </w:r>
          </w:p>
        </w:tc>
        <w:tc>
          <w:tcPr>
            <w:tcW w:w="992" w:type="dxa"/>
          </w:tcPr>
          <w:p w14:paraId="425A9ADE" w14:textId="4301A344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7,318</w:t>
            </w:r>
          </w:p>
        </w:tc>
        <w:tc>
          <w:tcPr>
            <w:tcW w:w="850" w:type="dxa"/>
          </w:tcPr>
          <w:p w14:paraId="28F41D87" w14:textId="49A290E7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2,851</w:t>
            </w:r>
          </w:p>
        </w:tc>
        <w:tc>
          <w:tcPr>
            <w:tcW w:w="1134" w:type="dxa"/>
          </w:tcPr>
          <w:p w14:paraId="381D8695" w14:textId="4D6F5EDA" w:rsidR="005700DC" w:rsidRPr="000C5691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30,353</w:t>
            </w:r>
          </w:p>
        </w:tc>
      </w:tr>
      <w:tr w:rsidR="005700DC" w:rsidRPr="009040E9" w14:paraId="7EB78D7B" w14:textId="77777777" w:rsidTr="000C5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D980E3" w14:textId="65C72BF0" w:rsidR="005700DC" w:rsidRPr="000C5691" w:rsidRDefault="005700DC" w:rsidP="005700DC">
            <w:pPr>
              <w:pStyle w:val="Tabletextleft"/>
            </w:pPr>
            <w:r w:rsidRPr="00D2041D">
              <w:t>Aug</w:t>
            </w:r>
          </w:p>
        </w:tc>
        <w:tc>
          <w:tcPr>
            <w:tcW w:w="850" w:type="dxa"/>
          </w:tcPr>
          <w:p w14:paraId="32322B5B" w14:textId="445149D1" w:rsidR="005700DC" w:rsidRPr="000C5691" w:rsidRDefault="005700DC" w:rsidP="005700D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425</w:t>
            </w:r>
          </w:p>
        </w:tc>
        <w:tc>
          <w:tcPr>
            <w:tcW w:w="993" w:type="dxa"/>
          </w:tcPr>
          <w:p w14:paraId="49B5FFF3" w14:textId="283D8AA2" w:rsidR="005700DC" w:rsidRPr="000C5691" w:rsidRDefault="005700DC" w:rsidP="005700D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11,857</w:t>
            </w:r>
          </w:p>
        </w:tc>
        <w:tc>
          <w:tcPr>
            <w:tcW w:w="850" w:type="dxa"/>
          </w:tcPr>
          <w:p w14:paraId="6628E877" w14:textId="74CE720B" w:rsidR="005700DC" w:rsidRPr="000C5691" w:rsidRDefault="005700DC" w:rsidP="005700D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79</w:t>
            </w:r>
          </w:p>
        </w:tc>
        <w:tc>
          <w:tcPr>
            <w:tcW w:w="1134" w:type="dxa"/>
          </w:tcPr>
          <w:p w14:paraId="4A6AF93E" w14:textId="482A1ED9" w:rsidR="005700DC" w:rsidRPr="000C5691" w:rsidRDefault="005700DC" w:rsidP="005700DC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9,213</w:t>
            </w:r>
          </w:p>
        </w:tc>
        <w:tc>
          <w:tcPr>
            <w:tcW w:w="992" w:type="dxa"/>
          </w:tcPr>
          <w:p w14:paraId="04E89B77" w14:textId="576347F6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3,714</w:t>
            </w:r>
          </w:p>
        </w:tc>
        <w:tc>
          <w:tcPr>
            <w:tcW w:w="993" w:type="dxa"/>
          </w:tcPr>
          <w:p w14:paraId="6AA0D2D5" w14:textId="3F27975D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1,168</w:t>
            </w:r>
          </w:p>
        </w:tc>
        <w:tc>
          <w:tcPr>
            <w:tcW w:w="992" w:type="dxa"/>
          </w:tcPr>
          <w:p w14:paraId="36C534D5" w14:textId="6965A75A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9,310</w:t>
            </w:r>
          </w:p>
        </w:tc>
        <w:tc>
          <w:tcPr>
            <w:tcW w:w="850" w:type="dxa"/>
          </w:tcPr>
          <w:p w14:paraId="4688A818" w14:textId="468588EB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3,450</w:t>
            </w:r>
          </w:p>
        </w:tc>
        <w:tc>
          <w:tcPr>
            <w:tcW w:w="1134" w:type="dxa"/>
          </w:tcPr>
          <w:p w14:paraId="03A57CF6" w14:textId="0B595265" w:rsidR="005700DC" w:rsidRPr="000C5691" w:rsidRDefault="005700DC" w:rsidP="005700DC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2041D">
              <w:t>39,216</w:t>
            </w:r>
          </w:p>
        </w:tc>
      </w:tr>
      <w:tr w:rsidR="005700DC" w:rsidRPr="009040E9" w14:paraId="55BAAA05" w14:textId="77777777" w:rsidTr="000C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723661" w14:textId="39014852" w:rsidR="005700DC" w:rsidRPr="000C5691" w:rsidRDefault="003A0007" w:rsidP="005700DC">
            <w:pPr>
              <w:pStyle w:val="Tabletextleft"/>
            </w:pPr>
            <w:r>
              <w:t>Sep</w:t>
            </w:r>
          </w:p>
        </w:tc>
        <w:tc>
          <w:tcPr>
            <w:tcW w:w="850" w:type="dxa"/>
          </w:tcPr>
          <w:p w14:paraId="6B9CFBAE" w14:textId="7CBAA436" w:rsidR="005700DC" w:rsidRPr="00B270E9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355</w:t>
            </w:r>
          </w:p>
        </w:tc>
        <w:tc>
          <w:tcPr>
            <w:tcW w:w="993" w:type="dxa"/>
          </w:tcPr>
          <w:p w14:paraId="00703741" w14:textId="1F3A9C50" w:rsidR="005700DC" w:rsidRPr="00B270E9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11,630</w:t>
            </w:r>
          </w:p>
        </w:tc>
        <w:tc>
          <w:tcPr>
            <w:tcW w:w="850" w:type="dxa"/>
          </w:tcPr>
          <w:p w14:paraId="6C046199" w14:textId="268B63BC" w:rsidR="005700DC" w:rsidRPr="00B270E9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95</w:t>
            </w:r>
          </w:p>
        </w:tc>
        <w:tc>
          <w:tcPr>
            <w:tcW w:w="1134" w:type="dxa"/>
          </w:tcPr>
          <w:p w14:paraId="7F211221" w14:textId="4C7DDF64" w:rsidR="005700DC" w:rsidRPr="00B270E9" w:rsidRDefault="005700DC" w:rsidP="005700DC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7,968</w:t>
            </w:r>
          </w:p>
        </w:tc>
        <w:tc>
          <w:tcPr>
            <w:tcW w:w="992" w:type="dxa"/>
          </w:tcPr>
          <w:p w14:paraId="32C188C8" w14:textId="13EFCCBB" w:rsidR="005700DC" w:rsidRPr="00B270E9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3,368</w:t>
            </w:r>
          </w:p>
        </w:tc>
        <w:tc>
          <w:tcPr>
            <w:tcW w:w="993" w:type="dxa"/>
          </w:tcPr>
          <w:p w14:paraId="45A91FD2" w14:textId="718DEDC2" w:rsidR="005700DC" w:rsidRPr="00B270E9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1,012</w:t>
            </w:r>
          </w:p>
        </w:tc>
        <w:tc>
          <w:tcPr>
            <w:tcW w:w="992" w:type="dxa"/>
          </w:tcPr>
          <w:p w14:paraId="043699DA" w14:textId="6CE724C8" w:rsidR="005700DC" w:rsidRPr="00B270E9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8,722</w:t>
            </w:r>
          </w:p>
        </w:tc>
        <w:tc>
          <w:tcPr>
            <w:tcW w:w="850" w:type="dxa"/>
          </w:tcPr>
          <w:p w14:paraId="3DB8FC83" w14:textId="7A7B0FDA" w:rsidR="005700DC" w:rsidRPr="00B270E9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3,139</w:t>
            </w:r>
          </w:p>
        </w:tc>
        <w:tc>
          <w:tcPr>
            <w:tcW w:w="1134" w:type="dxa"/>
          </w:tcPr>
          <w:p w14:paraId="7CBC0FE4" w14:textId="5E1C207E" w:rsidR="005700DC" w:rsidRPr="00B270E9" w:rsidRDefault="005700DC" w:rsidP="005700DC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041D">
              <w:t>36,289</w:t>
            </w:r>
          </w:p>
        </w:tc>
      </w:tr>
      <w:tr w:rsidR="005700DC" w:rsidRPr="00DD5B89" w14:paraId="211C3969" w14:textId="77777777" w:rsidTr="000C5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F4A75"/>
          </w:tcPr>
          <w:p w14:paraId="19DE5A4A" w14:textId="382A2DC5" w:rsidR="005700DC" w:rsidRPr="000C5691" w:rsidRDefault="005700DC" w:rsidP="005700DC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Total</w:t>
            </w:r>
          </w:p>
        </w:tc>
        <w:tc>
          <w:tcPr>
            <w:tcW w:w="850" w:type="dxa"/>
            <w:shd w:val="clear" w:color="auto" w:fill="3F4A75"/>
          </w:tcPr>
          <w:p w14:paraId="023A8D72" w14:textId="122DC840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1,169</w:t>
            </w:r>
          </w:p>
        </w:tc>
        <w:tc>
          <w:tcPr>
            <w:tcW w:w="993" w:type="dxa"/>
            <w:shd w:val="clear" w:color="auto" w:fill="3F4A75"/>
          </w:tcPr>
          <w:p w14:paraId="1B51099C" w14:textId="0D86C7D9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32,654</w:t>
            </w:r>
          </w:p>
        </w:tc>
        <w:tc>
          <w:tcPr>
            <w:tcW w:w="850" w:type="dxa"/>
            <w:shd w:val="clear" w:color="auto" w:fill="3F4A75"/>
          </w:tcPr>
          <w:p w14:paraId="0EEA6C2F" w14:textId="48DB5326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266</w:t>
            </w:r>
          </w:p>
        </w:tc>
        <w:tc>
          <w:tcPr>
            <w:tcW w:w="1134" w:type="dxa"/>
            <w:shd w:val="clear" w:color="auto" w:fill="3F4A75"/>
          </w:tcPr>
          <w:p w14:paraId="52450EA1" w14:textId="4067F56C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23,961</w:t>
            </w:r>
          </w:p>
        </w:tc>
        <w:tc>
          <w:tcPr>
            <w:tcW w:w="992" w:type="dxa"/>
            <w:shd w:val="clear" w:color="auto" w:fill="3F4A75"/>
          </w:tcPr>
          <w:p w14:paraId="3E4F223C" w14:textId="5E222737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9,997</w:t>
            </w:r>
          </w:p>
        </w:tc>
        <w:tc>
          <w:tcPr>
            <w:tcW w:w="993" w:type="dxa"/>
            <w:shd w:val="clear" w:color="auto" w:fill="3F4A75"/>
          </w:tcPr>
          <w:p w14:paraId="7CE13946" w14:textId="4C87BC33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3,021</w:t>
            </w:r>
          </w:p>
        </w:tc>
        <w:tc>
          <w:tcPr>
            <w:tcW w:w="992" w:type="dxa"/>
            <w:shd w:val="clear" w:color="auto" w:fill="3F4A75"/>
          </w:tcPr>
          <w:p w14:paraId="675F3EB2" w14:textId="0FBE65DF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25,350</w:t>
            </w:r>
          </w:p>
        </w:tc>
        <w:tc>
          <w:tcPr>
            <w:tcW w:w="850" w:type="dxa"/>
            <w:shd w:val="clear" w:color="auto" w:fill="3F4A75"/>
          </w:tcPr>
          <w:p w14:paraId="4BF50DB4" w14:textId="1C1AB7CF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9,440</w:t>
            </w:r>
          </w:p>
        </w:tc>
        <w:tc>
          <w:tcPr>
            <w:tcW w:w="1134" w:type="dxa"/>
            <w:shd w:val="clear" w:color="auto" w:fill="3F4A75"/>
          </w:tcPr>
          <w:p w14:paraId="131B8078" w14:textId="4B13FE05" w:rsidR="005700DC" w:rsidRPr="000C5691" w:rsidRDefault="005700DC" w:rsidP="005700DC">
            <w:pPr>
              <w:pStyle w:val="Tableheader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2041D">
              <w:t>105,858</w:t>
            </w:r>
          </w:p>
        </w:tc>
      </w:tr>
    </w:tbl>
    <w:p w14:paraId="52D3455D" w14:textId="77777777" w:rsidR="006F6A76" w:rsidRDefault="006F6A76" w:rsidP="006F6A76">
      <w:pPr>
        <w:rPr>
          <w:rFonts w:ascii="Helvetica" w:hAnsi="Helvetica" w:cstheme="minorBidi"/>
          <w:sz w:val="19"/>
          <w:szCs w:val="19"/>
        </w:rPr>
      </w:pPr>
      <w:r>
        <w:rPr>
          <w:szCs w:val="19"/>
        </w:rPr>
        <w:t>Source: HSO Production data.</w:t>
      </w:r>
    </w:p>
    <w:p w14:paraId="0D141A4B" w14:textId="00ADE037" w:rsidR="00664506" w:rsidRPr="006F473D" w:rsidRDefault="00B50773" w:rsidP="00664506">
      <w:pPr>
        <w:rPr>
          <w:szCs w:val="19"/>
        </w:rPr>
      </w:pPr>
      <w:r>
        <w:rPr>
          <w:szCs w:val="19"/>
        </w:rPr>
        <w:t xml:space="preserve">Note: This table </w:t>
      </w:r>
      <w:r w:rsidR="00F76F0D">
        <w:rPr>
          <w:szCs w:val="19"/>
        </w:rPr>
        <w:t xml:space="preserve">shows </w:t>
      </w:r>
      <w:r>
        <w:rPr>
          <w:szCs w:val="19"/>
        </w:rPr>
        <w:t>the number of subsidised devices (hearing aids and Assistive Listening Devices) fitted, replaced, or provided as a spare aid each month.</w:t>
      </w:r>
      <w:r w:rsidR="00A96469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>from previous published reports due to retrospective claiming or correction of invalid claims.</w:t>
      </w:r>
    </w:p>
    <w:sectPr w:rsidR="00664506" w:rsidRPr="006F473D" w:rsidSect="003A000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441A" w14:textId="77777777" w:rsidR="00081531" w:rsidRDefault="00081531" w:rsidP="006B56BB">
      <w:r>
        <w:separator/>
      </w:r>
    </w:p>
    <w:p w14:paraId="084E4249" w14:textId="77777777" w:rsidR="00081531" w:rsidRDefault="00081531"/>
  </w:endnote>
  <w:endnote w:type="continuationSeparator" w:id="0">
    <w:p w14:paraId="7F1E71B1" w14:textId="77777777" w:rsidR="00081531" w:rsidRDefault="00081531" w:rsidP="006B56BB">
      <w:r>
        <w:continuationSeparator/>
      </w:r>
    </w:p>
    <w:p w14:paraId="4DFC9F6B" w14:textId="77777777" w:rsidR="00081531" w:rsidRDefault="00081531"/>
  </w:endnote>
  <w:endnote w:type="continuationNotice" w:id="1">
    <w:p w14:paraId="1A0B1E85" w14:textId="77777777" w:rsidR="00081531" w:rsidRDefault="00081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4592D6FD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</w:t>
    </w:r>
    <w:r w:rsidR="007E69FE">
      <w:t>3</w:t>
    </w:r>
    <w:r w:rsidR="00EB19C2">
      <w:t>–</w:t>
    </w:r>
    <w:r w:rsidR="00433F51">
      <w:t>2</w:t>
    </w:r>
    <w:r w:rsidR="007E69FE">
      <w:t>4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A0007">
          <w:t xml:space="preserve"> Year to Date</w:t>
        </w:r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0CA25464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</w:t>
    </w:r>
    <w:r w:rsidR="0023394B">
      <w:t>3</w:t>
    </w:r>
    <w:r w:rsidR="00EB19C2">
      <w:t>–</w:t>
    </w:r>
    <w:r w:rsidR="00433F51">
      <w:t>2</w:t>
    </w:r>
    <w:r w:rsidR="0023394B">
      <w:t>4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3A0007">
          <w:t xml:space="preserve"> Year to Date</w:t>
        </w:r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523B" w14:textId="77777777" w:rsidR="00081531" w:rsidRDefault="00081531" w:rsidP="006B56BB">
      <w:r>
        <w:separator/>
      </w:r>
    </w:p>
    <w:p w14:paraId="3D478803" w14:textId="77777777" w:rsidR="00081531" w:rsidRDefault="00081531"/>
  </w:footnote>
  <w:footnote w:type="continuationSeparator" w:id="0">
    <w:p w14:paraId="4AF3563F" w14:textId="77777777" w:rsidR="00081531" w:rsidRDefault="00081531" w:rsidP="006B56BB">
      <w:r>
        <w:continuationSeparator/>
      </w:r>
    </w:p>
    <w:p w14:paraId="74409682" w14:textId="77777777" w:rsidR="00081531" w:rsidRDefault="00081531"/>
  </w:footnote>
  <w:footnote w:type="continuationNotice" w:id="1">
    <w:p w14:paraId="28D354F2" w14:textId="77777777" w:rsidR="00081531" w:rsidRDefault="000815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331541B5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9" name="Picture 9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06727054">
    <w:abstractNumId w:val="7"/>
  </w:num>
  <w:num w:numId="2" w16cid:durableId="1894079847">
    <w:abstractNumId w:val="15"/>
  </w:num>
  <w:num w:numId="3" w16cid:durableId="1664774246">
    <w:abstractNumId w:val="17"/>
  </w:num>
  <w:num w:numId="4" w16cid:durableId="1120034277">
    <w:abstractNumId w:val="8"/>
  </w:num>
  <w:num w:numId="5" w16cid:durableId="370151142">
    <w:abstractNumId w:val="8"/>
    <w:lvlOverride w:ilvl="0">
      <w:startOverride w:val="1"/>
    </w:lvlOverride>
  </w:num>
  <w:num w:numId="6" w16cid:durableId="1234050409">
    <w:abstractNumId w:val="9"/>
  </w:num>
  <w:num w:numId="7" w16cid:durableId="423651552">
    <w:abstractNumId w:val="13"/>
  </w:num>
  <w:num w:numId="8" w16cid:durableId="2130858220">
    <w:abstractNumId w:val="16"/>
  </w:num>
  <w:num w:numId="9" w16cid:durableId="761071865">
    <w:abstractNumId w:val="5"/>
  </w:num>
  <w:num w:numId="10" w16cid:durableId="346716474">
    <w:abstractNumId w:val="4"/>
  </w:num>
  <w:num w:numId="11" w16cid:durableId="1518234004">
    <w:abstractNumId w:val="3"/>
  </w:num>
  <w:num w:numId="12" w16cid:durableId="496382745">
    <w:abstractNumId w:val="2"/>
  </w:num>
  <w:num w:numId="13" w16cid:durableId="653485953">
    <w:abstractNumId w:val="6"/>
  </w:num>
  <w:num w:numId="14" w16cid:durableId="1331175035">
    <w:abstractNumId w:val="1"/>
  </w:num>
  <w:num w:numId="15" w16cid:durableId="786200380">
    <w:abstractNumId w:val="0"/>
  </w:num>
  <w:num w:numId="16" w16cid:durableId="1720977624">
    <w:abstractNumId w:val="18"/>
  </w:num>
  <w:num w:numId="17" w16cid:durableId="706566593">
    <w:abstractNumId w:val="10"/>
  </w:num>
  <w:num w:numId="18" w16cid:durableId="705985570">
    <w:abstractNumId w:val="11"/>
  </w:num>
  <w:num w:numId="19" w16cid:durableId="675766271">
    <w:abstractNumId w:val="12"/>
  </w:num>
  <w:num w:numId="20" w16cid:durableId="2082216543">
    <w:abstractNumId w:val="10"/>
  </w:num>
  <w:num w:numId="21" w16cid:durableId="818376800">
    <w:abstractNumId w:val="12"/>
  </w:num>
  <w:num w:numId="22" w16cid:durableId="1964773592">
    <w:abstractNumId w:val="18"/>
  </w:num>
  <w:num w:numId="23" w16cid:durableId="77412370">
    <w:abstractNumId w:val="15"/>
  </w:num>
  <w:num w:numId="24" w16cid:durableId="498547896">
    <w:abstractNumId w:val="17"/>
  </w:num>
  <w:num w:numId="25" w16cid:durableId="613907528">
    <w:abstractNumId w:val="8"/>
  </w:num>
  <w:num w:numId="26" w16cid:durableId="21245676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531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691"/>
    <w:rsid w:val="000C5E14"/>
    <w:rsid w:val="000C5FB4"/>
    <w:rsid w:val="000D21F6"/>
    <w:rsid w:val="000D4500"/>
    <w:rsid w:val="000D7AEA"/>
    <w:rsid w:val="000E2C66"/>
    <w:rsid w:val="000E7C21"/>
    <w:rsid w:val="000F123C"/>
    <w:rsid w:val="000F2FED"/>
    <w:rsid w:val="000F47BC"/>
    <w:rsid w:val="00101723"/>
    <w:rsid w:val="0010616D"/>
    <w:rsid w:val="00110478"/>
    <w:rsid w:val="0011711B"/>
    <w:rsid w:val="00117F8A"/>
    <w:rsid w:val="00121B9B"/>
    <w:rsid w:val="00122ADC"/>
    <w:rsid w:val="00130F59"/>
    <w:rsid w:val="00133EC0"/>
    <w:rsid w:val="00140D3D"/>
    <w:rsid w:val="00141CE5"/>
    <w:rsid w:val="00144908"/>
    <w:rsid w:val="00154C4F"/>
    <w:rsid w:val="00155EA7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0057"/>
    <w:rsid w:val="001A4627"/>
    <w:rsid w:val="001A4979"/>
    <w:rsid w:val="001B15D3"/>
    <w:rsid w:val="001B3443"/>
    <w:rsid w:val="001C0326"/>
    <w:rsid w:val="001C192F"/>
    <w:rsid w:val="001C3C42"/>
    <w:rsid w:val="001C4FE6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42CA"/>
    <w:rsid w:val="00226668"/>
    <w:rsid w:val="00232354"/>
    <w:rsid w:val="00233809"/>
    <w:rsid w:val="0023394B"/>
    <w:rsid w:val="00240046"/>
    <w:rsid w:val="0024797F"/>
    <w:rsid w:val="0025119E"/>
    <w:rsid w:val="00251269"/>
    <w:rsid w:val="002535C0"/>
    <w:rsid w:val="00255FEE"/>
    <w:rsid w:val="002579FE"/>
    <w:rsid w:val="0026311C"/>
    <w:rsid w:val="0026668C"/>
    <w:rsid w:val="00266AC1"/>
    <w:rsid w:val="0027178C"/>
    <w:rsid w:val="002719FA"/>
    <w:rsid w:val="00272668"/>
    <w:rsid w:val="0027330B"/>
    <w:rsid w:val="002762B0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97A5F"/>
    <w:rsid w:val="002B20E6"/>
    <w:rsid w:val="002B42A3"/>
    <w:rsid w:val="002B4528"/>
    <w:rsid w:val="002C0CDD"/>
    <w:rsid w:val="002C150F"/>
    <w:rsid w:val="002C38C4"/>
    <w:rsid w:val="002E1A1D"/>
    <w:rsid w:val="002E4081"/>
    <w:rsid w:val="002E5B78"/>
    <w:rsid w:val="002F2E00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2CE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0007"/>
    <w:rsid w:val="003A1C1C"/>
    <w:rsid w:val="003A2E4F"/>
    <w:rsid w:val="003A4438"/>
    <w:rsid w:val="003A5013"/>
    <w:rsid w:val="003A5078"/>
    <w:rsid w:val="003A62DD"/>
    <w:rsid w:val="003A775A"/>
    <w:rsid w:val="003B213A"/>
    <w:rsid w:val="003B43AD"/>
    <w:rsid w:val="003C0839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4432"/>
    <w:rsid w:val="00415C81"/>
    <w:rsid w:val="00432378"/>
    <w:rsid w:val="00433F51"/>
    <w:rsid w:val="00440D65"/>
    <w:rsid w:val="00442C6B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3E8C"/>
    <w:rsid w:val="004A78D9"/>
    <w:rsid w:val="004C6BCF"/>
    <w:rsid w:val="004D1CAA"/>
    <w:rsid w:val="004D58BF"/>
    <w:rsid w:val="004E4335"/>
    <w:rsid w:val="004E53B7"/>
    <w:rsid w:val="004F13EE"/>
    <w:rsid w:val="004F2022"/>
    <w:rsid w:val="004F7C05"/>
    <w:rsid w:val="00501C94"/>
    <w:rsid w:val="00506432"/>
    <w:rsid w:val="00506E82"/>
    <w:rsid w:val="005140AB"/>
    <w:rsid w:val="0052051D"/>
    <w:rsid w:val="00545EE6"/>
    <w:rsid w:val="005550E7"/>
    <w:rsid w:val="005564FB"/>
    <w:rsid w:val="005572C7"/>
    <w:rsid w:val="005650ED"/>
    <w:rsid w:val="005700DC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1380"/>
    <w:rsid w:val="005D7CEE"/>
    <w:rsid w:val="005E0A3F"/>
    <w:rsid w:val="005E6883"/>
    <w:rsid w:val="005E7729"/>
    <w:rsid w:val="005E772F"/>
    <w:rsid w:val="005F4ECA"/>
    <w:rsid w:val="006041BE"/>
    <w:rsid w:val="006043C7"/>
    <w:rsid w:val="006172D1"/>
    <w:rsid w:val="00624B52"/>
    <w:rsid w:val="00630794"/>
    <w:rsid w:val="00631DF4"/>
    <w:rsid w:val="00634175"/>
    <w:rsid w:val="006408AC"/>
    <w:rsid w:val="00647CBC"/>
    <w:rsid w:val="006505D7"/>
    <w:rsid w:val="006511B6"/>
    <w:rsid w:val="00657FF8"/>
    <w:rsid w:val="00662737"/>
    <w:rsid w:val="00664506"/>
    <w:rsid w:val="00670D99"/>
    <w:rsid w:val="00670E2B"/>
    <w:rsid w:val="006734BB"/>
    <w:rsid w:val="0067697A"/>
    <w:rsid w:val="006821EB"/>
    <w:rsid w:val="006B0867"/>
    <w:rsid w:val="006B2286"/>
    <w:rsid w:val="006B56BB"/>
    <w:rsid w:val="006C77A8"/>
    <w:rsid w:val="006D2E53"/>
    <w:rsid w:val="006D4098"/>
    <w:rsid w:val="006D7681"/>
    <w:rsid w:val="006D7B2E"/>
    <w:rsid w:val="006E02EA"/>
    <w:rsid w:val="006E0968"/>
    <w:rsid w:val="006E2AF6"/>
    <w:rsid w:val="006E563B"/>
    <w:rsid w:val="006F473D"/>
    <w:rsid w:val="006F6A76"/>
    <w:rsid w:val="00701275"/>
    <w:rsid w:val="00707F56"/>
    <w:rsid w:val="00711FAD"/>
    <w:rsid w:val="00713558"/>
    <w:rsid w:val="00720D08"/>
    <w:rsid w:val="007263B9"/>
    <w:rsid w:val="007334F8"/>
    <w:rsid w:val="007339CD"/>
    <w:rsid w:val="007359D8"/>
    <w:rsid w:val="007362D4"/>
    <w:rsid w:val="00737762"/>
    <w:rsid w:val="00760268"/>
    <w:rsid w:val="00761F27"/>
    <w:rsid w:val="0076672A"/>
    <w:rsid w:val="00774D7F"/>
    <w:rsid w:val="00775E45"/>
    <w:rsid w:val="00776E74"/>
    <w:rsid w:val="00785169"/>
    <w:rsid w:val="007954AB"/>
    <w:rsid w:val="007A14C5"/>
    <w:rsid w:val="007A4A10"/>
    <w:rsid w:val="007B1760"/>
    <w:rsid w:val="007B1E87"/>
    <w:rsid w:val="007C1FDC"/>
    <w:rsid w:val="007C6D9C"/>
    <w:rsid w:val="007C7DDB"/>
    <w:rsid w:val="007D2CC7"/>
    <w:rsid w:val="007D673D"/>
    <w:rsid w:val="007E0FB8"/>
    <w:rsid w:val="007E4D09"/>
    <w:rsid w:val="007E69FE"/>
    <w:rsid w:val="007F2220"/>
    <w:rsid w:val="007F4B3E"/>
    <w:rsid w:val="008127AF"/>
    <w:rsid w:val="00812B46"/>
    <w:rsid w:val="00815700"/>
    <w:rsid w:val="00823F19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0E0B"/>
    <w:rsid w:val="008A646E"/>
    <w:rsid w:val="008A7438"/>
    <w:rsid w:val="008B1334"/>
    <w:rsid w:val="008B25C7"/>
    <w:rsid w:val="008C0278"/>
    <w:rsid w:val="008C24E9"/>
    <w:rsid w:val="008D0533"/>
    <w:rsid w:val="008D2CDB"/>
    <w:rsid w:val="008D42CB"/>
    <w:rsid w:val="008D48C9"/>
    <w:rsid w:val="008D6381"/>
    <w:rsid w:val="008E0C77"/>
    <w:rsid w:val="008E625F"/>
    <w:rsid w:val="008F264D"/>
    <w:rsid w:val="00902EB8"/>
    <w:rsid w:val="009040E9"/>
    <w:rsid w:val="0090638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6E76"/>
    <w:rsid w:val="009271EE"/>
    <w:rsid w:val="009344AE"/>
    <w:rsid w:val="009344DE"/>
    <w:rsid w:val="00945E7F"/>
    <w:rsid w:val="009557C1"/>
    <w:rsid w:val="00960D6E"/>
    <w:rsid w:val="0096372E"/>
    <w:rsid w:val="00974B59"/>
    <w:rsid w:val="009804CA"/>
    <w:rsid w:val="0098340B"/>
    <w:rsid w:val="00986830"/>
    <w:rsid w:val="009924C3"/>
    <w:rsid w:val="00993102"/>
    <w:rsid w:val="009B1570"/>
    <w:rsid w:val="009C6319"/>
    <w:rsid w:val="009C6F10"/>
    <w:rsid w:val="009D148F"/>
    <w:rsid w:val="009D2889"/>
    <w:rsid w:val="009D3D70"/>
    <w:rsid w:val="009D6E31"/>
    <w:rsid w:val="009E6F7E"/>
    <w:rsid w:val="009E7A57"/>
    <w:rsid w:val="009F0149"/>
    <w:rsid w:val="009F390F"/>
    <w:rsid w:val="009F4803"/>
    <w:rsid w:val="009F4F6A"/>
    <w:rsid w:val="00A13EB5"/>
    <w:rsid w:val="00A1449C"/>
    <w:rsid w:val="00A16E36"/>
    <w:rsid w:val="00A24961"/>
    <w:rsid w:val="00A24B10"/>
    <w:rsid w:val="00A277EF"/>
    <w:rsid w:val="00A30E9B"/>
    <w:rsid w:val="00A3158F"/>
    <w:rsid w:val="00A31BEC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96469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30BA"/>
    <w:rsid w:val="00AF7386"/>
    <w:rsid w:val="00AF7934"/>
    <w:rsid w:val="00B00B81"/>
    <w:rsid w:val="00B04580"/>
    <w:rsid w:val="00B04B09"/>
    <w:rsid w:val="00B14496"/>
    <w:rsid w:val="00B16A51"/>
    <w:rsid w:val="00B32222"/>
    <w:rsid w:val="00B3618D"/>
    <w:rsid w:val="00B36233"/>
    <w:rsid w:val="00B42851"/>
    <w:rsid w:val="00B45AC7"/>
    <w:rsid w:val="00B506DC"/>
    <w:rsid w:val="00B50773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BF43E5"/>
    <w:rsid w:val="00C00930"/>
    <w:rsid w:val="00C060AD"/>
    <w:rsid w:val="00C073B9"/>
    <w:rsid w:val="00C113BF"/>
    <w:rsid w:val="00C2176E"/>
    <w:rsid w:val="00C23430"/>
    <w:rsid w:val="00C27D67"/>
    <w:rsid w:val="00C40067"/>
    <w:rsid w:val="00C4631F"/>
    <w:rsid w:val="00C47CDE"/>
    <w:rsid w:val="00C50E16"/>
    <w:rsid w:val="00C55258"/>
    <w:rsid w:val="00C82EEB"/>
    <w:rsid w:val="00C971DC"/>
    <w:rsid w:val="00CA16B7"/>
    <w:rsid w:val="00CA62AE"/>
    <w:rsid w:val="00CB4332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27A2D"/>
    <w:rsid w:val="00D3025A"/>
    <w:rsid w:val="00D34667"/>
    <w:rsid w:val="00D401E1"/>
    <w:rsid w:val="00D408B4"/>
    <w:rsid w:val="00D524C8"/>
    <w:rsid w:val="00D605F6"/>
    <w:rsid w:val="00D65099"/>
    <w:rsid w:val="00D70E24"/>
    <w:rsid w:val="00D72B61"/>
    <w:rsid w:val="00DA3D1D"/>
    <w:rsid w:val="00DB6286"/>
    <w:rsid w:val="00DB62AD"/>
    <w:rsid w:val="00DB645F"/>
    <w:rsid w:val="00DB76E9"/>
    <w:rsid w:val="00DC0A67"/>
    <w:rsid w:val="00DC1D5E"/>
    <w:rsid w:val="00DC5220"/>
    <w:rsid w:val="00DD2061"/>
    <w:rsid w:val="00DD5B89"/>
    <w:rsid w:val="00DD7DAB"/>
    <w:rsid w:val="00DE1FFA"/>
    <w:rsid w:val="00DE3355"/>
    <w:rsid w:val="00DF0C60"/>
    <w:rsid w:val="00DF486F"/>
    <w:rsid w:val="00DF5B5B"/>
    <w:rsid w:val="00DF6AEF"/>
    <w:rsid w:val="00DF7619"/>
    <w:rsid w:val="00E042D8"/>
    <w:rsid w:val="00E05BD7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2A01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19C2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1201"/>
    <w:rsid w:val="00F321DE"/>
    <w:rsid w:val="00F33777"/>
    <w:rsid w:val="00F40648"/>
    <w:rsid w:val="00F47DA2"/>
    <w:rsid w:val="00F519FC"/>
    <w:rsid w:val="00F6239D"/>
    <w:rsid w:val="00F715D2"/>
    <w:rsid w:val="00F7274F"/>
    <w:rsid w:val="00F735DF"/>
    <w:rsid w:val="00F74E84"/>
    <w:rsid w:val="00F76F0D"/>
    <w:rsid w:val="00F76FA8"/>
    <w:rsid w:val="00F93F08"/>
    <w:rsid w:val="00F94CED"/>
    <w:rsid w:val="00FA02BB"/>
    <w:rsid w:val="00FA2CEE"/>
    <w:rsid w:val="00FA318C"/>
    <w:rsid w:val="00FB0C03"/>
    <w:rsid w:val="00FB6F92"/>
    <w:rsid w:val="00FC026E"/>
    <w:rsid w:val="00FC5124"/>
    <w:rsid w:val="00FD4731"/>
    <w:rsid w:val="00FD6768"/>
    <w:rsid w:val="00FE2E66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2B4528"/>
    <w:pPr>
      <w:spacing w:before="60" w:after="60"/>
    </w:pPr>
    <w:rPr>
      <w:rFonts w:ascii="Arial" w:hAnsi="Arial"/>
      <w:color w:val="000000" w:themeColor="text1"/>
      <w:sz w:val="21"/>
      <w:szCs w:val="21"/>
      <w:lang w:eastAsia="en-US"/>
    </w:rPr>
  </w:style>
  <w:style w:type="paragraph" w:customStyle="1" w:styleId="TabletextRight">
    <w:name w:val="Table text Right"/>
    <w:basedOn w:val="Tabletextleft"/>
    <w:rsid w:val="009040E9"/>
  </w:style>
  <w:style w:type="paragraph" w:customStyle="1" w:styleId="Tabletextright0">
    <w:name w:val="Table text right"/>
    <w:basedOn w:val="Tabletextleft"/>
    <w:rsid w:val="00A719F6"/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F735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3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3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5DF"/>
    <w:rPr>
      <w:rFonts w:ascii="Arial" w:hAnsi="Arial"/>
      <w:b/>
      <w:bCs/>
      <w:color w:val="000000" w:themeColor="text1"/>
      <w:lang w:eastAsia="en-US"/>
    </w:rPr>
  </w:style>
  <w:style w:type="paragraph" w:styleId="Revision">
    <w:name w:val="Revision"/>
    <w:hidden/>
    <w:uiPriority w:val="99"/>
    <w:semiHidden/>
    <w:rsid w:val="00155EA7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6b98d56-25b7-479b-bf58-c8a0702ccf2c"/>
    <ds:schemaRef ds:uri="3e9090f6-0245-48e3-bd19-46cc0b4d31f0"/>
  </ds:schemaRefs>
</ds:datastoreItem>
</file>

<file path=customXml/itemProps3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statistics – Year to Date 2023-24 to 30 September 2023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statistics – Year to Date 2023-24 to 30 September 2023</dc:title>
  <dc:subject>Ear health and hearing</dc:subject>
  <dc:creator>Australian Government Department of Health and Aged Care</dc:creator>
  <cp:keywords>HSP</cp:keywords>
  <cp:lastModifiedBy>HAMLEY, Erynn</cp:lastModifiedBy>
  <cp:revision>2</cp:revision>
  <cp:lastPrinted>2023-10-06T06:39:00Z</cp:lastPrinted>
  <dcterms:created xsi:type="dcterms:W3CDTF">2024-01-15T02:20:00Z</dcterms:created>
  <dcterms:modified xsi:type="dcterms:W3CDTF">2024-01-15T02:20:00Z</dcterms:modified>
</cp:coreProperties>
</file>