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BBECF" w14:textId="77777777" w:rsidR="007507C3" w:rsidRPr="009529F6" w:rsidRDefault="005C7A61" w:rsidP="009529F6">
      <w:pPr>
        <w:pStyle w:val="Title"/>
        <w:jc w:val="left"/>
        <w:rPr>
          <w:sz w:val="40"/>
          <w:szCs w:val="40"/>
        </w:rPr>
      </w:pPr>
      <w:r>
        <w:rPr>
          <w:rStyle w:val="TitleChar"/>
        </w:rPr>
        <w:t>Gono</w:t>
      </w:r>
      <w:r w:rsidR="009529F6">
        <w:rPr>
          <w:rStyle w:val="TitleChar"/>
        </w:rPr>
        <w:t xml:space="preserve">coccal infection </w:t>
      </w:r>
      <w:r w:rsidR="007507C3" w:rsidRPr="00584A1E">
        <w:rPr>
          <w:b/>
          <w:bCs/>
          <w:color w:val="0A0A23"/>
          <w:szCs w:val="48"/>
          <w:shd w:val="clear" w:color="auto" w:fill="FFFFFF"/>
        </w:rPr>
        <w:t>|</w:t>
      </w:r>
      <w:r w:rsidR="007507C3">
        <w:rPr>
          <w:b/>
          <w:bCs/>
          <w:color w:val="0A0A23"/>
          <w:szCs w:val="48"/>
          <w:shd w:val="clear" w:color="auto" w:fill="FFFFFF"/>
        </w:rPr>
        <w:t xml:space="preserve"> </w:t>
      </w:r>
      <w:r w:rsidRPr="009529F6">
        <w:rPr>
          <w:rStyle w:val="TitleChar"/>
          <w:i/>
          <w:iCs/>
          <w:sz w:val="40"/>
          <w:szCs w:val="40"/>
        </w:rPr>
        <w:t xml:space="preserve">Neisseria </w:t>
      </w:r>
      <w:r w:rsidR="009529F6" w:rsidRPr="009529F6">
        <w:rPr>
          <w:rStyle w:val="TitleChar"/>
          <w:i/>
          <w:iCs/>
          <w:sz w:val="40"/>
          <w:szCs w:val="40"/>
        </w:rPr>
        <w:t>g</w:t>
      </w:r>
      <w:r w:rsidRPr="009529F6">
        <w:rPr>
          <w:rStyle w:val="TitleChar"/>
          <w:i/>
          <w:iCs/>
          <w:sz w:val="40"/>
          <w:szCs w:val="40"/>
        </w:rPr>
        <w:t>onorrhoeae</w:t>
      </w:r>
    </w:p>
    <w:p w14:paraId="6A2B32F1" w14:textId="77777777" w:rsidR="006B7635" w:rsidRPr="004F61C6" w:rsidRDefault="006B7635" w:rsidP="00A53F74">
      <w:pPr>
        <w:pStyle w:val="Title"/>
      </w:pPr>
      <w:r w:rsidRPr="004F61C6">
        <w:t xml:space="preserve">Laboratory </w:t>
      </w:r>
      <w:r w:rsidR="00866892" w:rsidRPr="004F61C6">
        <w:t>c</w:t>
      </w:r>
      <w:r w:rsidRPr="004F61C6">
        <w:t xml:space="preserve">ase </w:t>
      </w:r>
      <w:r w:rsidR="00866892" w:rsidRPr="004F61C6">
        <w:t>d</w:t>
      </w:r>
      <w:r w:rsidRPr="004F61C6">
        <w:t>efinition</w:t>
      </w:r>
    </w:p>
    <w:p w14:paraId="79094C6D" w14:textId="77777777" w:rsidR="006B7635" w:rsidRDefault="006B7635" w:rsidP="00495BE0">
      <w:r w:rsidRPr="00C46834">
        <w:t xml:space="preserve">The Public Health Laboratory Network </w:t>
      </w:r>
      <w:r w:rsidR="00866892" w:rsidRPr="00C46834">
        <w:t xml:space="preserve">(PHLN) </w:t>
      </w:r>
      <w:r w:rsidR="00664005" w:rsidRPr="00C46834">
        <w:t>has</w:t>
      </w:r>
      <w:r w:rsidRPr="00C46834">
        <w:t xml:space="preserve"> developed </w:t>
      </w:r>
      <w:r w:rsidR="00866892" w:rsidRPr="00C46834">
        <w:t>standard case definitions to inform</w:t>
      </w:r>
      <w:r w:rsidRPr="00C46834">
        <w:t xml:space="preserve"> the diagnosis of </w:t>
      </w:r>
      <w:r w:rsidR="00866892" w:rsidRPr="00C46834">
        <w:t xml:space="preserve">key </w:t>
      </w:r>
      <w:r w:rsidRPr="00C46834">
        <w:t>disease</w:t>
      </w:r>
      <w:r w:rsidR="00866892" w:rsidRPr="00C46834">
        <w:t>s</w:t>
      </w:r>
      <w:r w:rsidR="004F61C6" w:rsidRPr="00C46834">
        <w:t xml:space="preserve"> in Australia</w:t>
      </w:r>
      <w:r w:rsidRPr="00C46834">
        <w:t xml:space="preserve">. This </w:t>
      </w:r>
      <w:r w:rsidR="00866892" w:rsidRPr="00C46834">
        <w:t>document</w:t>
      </w:r>
      <w:r w:rsidRPr="00C46834">
        <w:t xml:space="preserve"> contains the </w:t>
      </w:r>
      <w:r w:rsidR="00866892" w:rsidRPr="00C46834">
        <w:t>laboratory case definition</w:t>
      </w:r>
      <w:r w:rsidRPr="00C46834">
        <w:t xml:space="preserve"> </w:t>
      </w:r>
      <w:r w:rsidR="006431D9" w:rsidRPr="00C46834">
        <w:t xml:space="preserve">(LCD) </w:t>
      </w:r>
      <w:r w:rsidRPr="00C46834">
        <w:t>for</w:t>
      </w:r>
      <w:r w:rsidR="00415085" w:rsidRPr="00C46834">
        <w:t xml:space="preserve"> </w:t>
      </w:r>
      <w:r w:rsidR="005C7A61">
        <w:t>gonorrhoea</w:t>
      </w:r>
      <w:r w:rsidR="006431D9" w:rsidRPr="00C46834">
        <w:t>.</w:t>
      </w:r>
    </w:p>
    <w:tbl>
      <w:tblPr>
        <w:tblStyle w:val="ListTable3-Accent1"/>
        <w:tblW w:w="0" w:type="auto"/>
        <w:tblLook w:val="04A0" w:firstRow="1" w:lastRow="0" w:firstColumn="1" w:lastColumn="0" w:noHBand="0" w:noVBand="1"/>
      </w:tblPr>
      <w:tblGrid>
        <w:gridCol w:w="1023"/>
        <w:gridCol w:w="3744"/>
        <w:gridCol w:w="1944"/>
        <w:gridCol w:w="2306"/>
      </w:tblGrid>
      <w:tr w:rsidR="00495BE0" w14:paraId="6321823C" w14:textId="77777777" w:rsidTr="00A53F7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9" w:type="dxa"/>
          </w:tcPr>
          <w:p w14:paraId="6B814A1E" w14:textId="77777777" w:rsidR="00A53F74" w:rsidRDefault="00A53F74" w:rsidP="00495BE0">
            <w:pPr>
              <w:spacing w:before="120" w:after="120" w:line="240" w:lineRule="auto"/>
            </w:pPr>
            <w:r>
              <w:t>Version</w:t>
            </w:r>
          </w:p>
        </w:tc>
        <w:tc>
          <w:tcPr>
            <w:tcW w:w="4229" w:type="dxa"/>
          </w:tcPr>
          <w:p w14:paraId="1B9FBFDD" w14:textId="77777777" w:rsidR="00A53F74" w:rsidRDefault="00A53F74" w:rsidP="00495BE0">
            <w:pPr>
              <w:spacing w:before="120" w:after="120" w:line="240" w:lineRule="auto"/>
              <w:cnfStyle w:val="100000000000" w:firstRow="1" w:lastRow="0" w:firstColumn="0" w:lastColumn="0" w:oddVBand="0" w:evenVBand="0" w:oddHBand="0" w:evenHBand="0" w:firstRowFirstColumn="0" w:firstRowLastColumn="0" w:lastRowFirstColumn="0" w:lastRowLastColumn="0"/>
            </w:pPr>
            <w:r>
              <w:t>Status</w:t>
            </w:r>
          </w:p>
        </w:tc>
        <w:tc>
          <w:tcPr>
            <w:tcW w:w="2008" w:type="dxa"/>
          </w:tcPr>
          <w:p w14:paraId="0097BA7B" w14:textId="77777777" w:rsidR="00A53F74" w:rsidRDefault="00A53F74" w:rsidP="00495BE0">
            <w:pPr>
              <w:spacing w:before="120" w:after="120" w:line="240" w:lineRule="auto"/>
              <w:cnfStyle w:val="100000000000" w:firstRow="1" w:lastRow="0" w:firstColumn="0" w:lastColumn="0" w:oddVBand="0" w:evenVBand="0" w:oddHBand="0" w:evenHBand="0" w:firstRowFirstColumn="0" w:firstRowLastColumn="0" w:lastRowFirstColumn="0" w:lastRowLastColumn="0"/>
            </w:pPr>
            <w:r>
              <w:t>Authorisation</w:t>
            </w:r>
          </w:p>
        </w:tc>
        <w:tc>
          <w:tcPr>
            <w:tcW w:w="2501" w:type="dxa"/>
          </w:tcPr>
          <w:p w14:paraId="2A21AF80" w14:textId="77777777" w:rsidR="00A53F74" w:rsidRDefault="00A53F74" w:rsidP="00495BE0">
            <w:pPr>
              <w:spacing w:before="120" w:after="120" w:line="240" w:lineRule="auto"/>
              <w:cnfStyle w:val="100000000000" w:firstRow="1" w:lastRow="0" w:firstColumn="0" w:lastColumn="0" w:oddVBand="0" w:evenVBand="0" w:oddHBand="0" w:evenHBand="0" w:firstRowFirstColumn="0" w:firstRowLastColumn="0" w:lastRowFirstColumn="0" w:lastRowLastColumn="0"/>
            </w:pPr>
            <w:r>
              <w:t>Consensus Date</w:t>
            </w:r>
          </w:p>
        </w:tc>
      </w:tr>
      <w:tr w:rsidR="00A53F74" w14:paraId="6DDBED69" w14:textId="77777777" w:rsidTr="00A53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tcPr>
          <w:p w14:paraId="55D8B3B0" w14:textId="77777777" w:rsidR="00A53F74" w:rsidRDefault="00A53F74" w:rsidP="00495BE0">
            <w:pPr>
              <w:spacing w:before="120" w:after="120" w:line="240" w:lineRule="auto"/>
            </w:pPr>
            <w:r>
              <w:t>1.1</w:t>
            </w:r>
          </w:p>
        </w:tc>
        <w:tc>
          <w:tcPr>
            <w:tcW w:w="4229" w:type="dxa"/>
          </w:tcPr>
          <w:p w14:paraId="39D669F7" w14:textId="77777777" w:rsidR="00A53F74" w:rsidRDefault="00763AFB" w:rsidP="00027325">
            <w:pPr>
              <w:spacing w:before="120" w:after="120" w:line="240" w:lineRule="auto"/>
              <w:cnfStyle w:val="000000100000" w:firstRow="0" w:lastRow="0" w:firstColumn="0" w:lastColumn="0" w:oddVBand="0" w:evenVBand="0" w:oddHBand="1" w:evenHBand="0" w:firstRowFirstColumn="0" w:firstRowLastColumn="0" w:lastRowFirstColumn="0" w:lastRowLastColumn="0"/>
            </w:pPr>
            <w:r>
              <w:t xml:space="preserve">Update to new template and content to ensure gold standards of practice has been incorporated. </w:t>
            </w:r>
          </w:p>
        </w:tc>
        <w:tc>
          <w:tcPr>
            <w:tcW w:w="2008" w:type="dxa"/>
          </w:tcPr>
          <w:p w14:paraId="182CC7D3" w14:textId="77777777" w:rsidR="00A53F74" w:rsidRDefault="00A53F74" w:rsidP="00495BE0">
            <w:pPr>
              <w:spacing w:before="120" w:after="120" w:line="240" w:lineRule="auto"/>
              <w:cnfStyle w:val="000000100000" w:firstRow="0" w:lastRow="0" w:firstColumn="0" w:lastColumn="0" w:oddVBand="0" w:evenVBand="0" w:oddHBand="1" w:evenHBand="0" w:firstRowFirstColumn="0" w:firstRowLastColumn="0" w:lastRowFirstColumn="0" w:lastRowLastColumn="0"/>
            </w:pPr>
            <w:r>
              <w:t>PHLN</w:t>
            </w:r>
          </w:p>
        </w:tc>
        <w:tc>
          <w:tcPr>
            <w:tcW w:w="2501" w:type="dxa"/>
          </w:tcPr>
          <w:p w14:paraId="189D25FD" w14:textId="519C389B" w:rsidR="00A53F74" w:rsidRDefault="00EB35F1" w:rsidP="00495BE0">
            <w:pPr>
              <w:spacing w:before="120" w:after="120" w:line="240" w:lineRule="auto"/>
              <w:cnfStyle w:val="000000100000" w:firstRow="0" w:lastRow="0" w:firstColumn="0" w:lastColumn="0" w:oddVBand="0" w:evenVBand="0" w:oddHBand="1" w:evenHBand="0" w:firstRowFirstColumn="0" w:firstRowLastColumn="0" w:lastRowFirstColumn="0" w:lastRowLastColumn="0"/>
            </w:pPr>
            <w:r>
              <w:t>11 December 2023</w:t>
            </w:r>
          </w:p>
        </w:tc>
      </w:tr>
      <w:tr w:rsidR="00A53F74" w14:paraId="3DEE8222" w14:textId="77777777" w:rsidTr="00A53F74">
        <w:tc>
          <w:tcPr>
            <w:cnfStyle w:val="001000000000" w:firstRow="0" w:lastRow="0" w:firstColumn="1" w:lastColumn="0" w:oddVBand="0" w:evenVBand="0" w:oddHBand="0" w:evenHBand="0" w:firstRowFirstColumn="0" w:firstRowLastColumn="0" w:lastRowFirstColumn="0" w:lastRowLastColumn="0"/>
            <w:tcW w:w="279" w:type="dxa"/>
          </w:tcPr>
          <w:p w14:paraId="4B3AA50C" w14:textId="77777777" w:rsidR="00A53F74" w:rsidRDefault="00A53F74" w:rsidP="00495BE0">
            <w:pPr>
              <w:spacing w:before="120" w:after="120" w:line="240" w:lineRule="auto"/>
            </w:pPr>
            <w:r>
              <w:t>1.0</w:t>
            </w:r>
          </w:p>
        </w:tc>
        <w:tc>
          <w:tcPr>
            <w:tcW w:w="4229" w:type="dxa"/>
          </w:tcPr>
          <w:p w14:paraId="67703B06" w14:textId="77777777" w:rsidR="00A53F74" w:rsidRDefault="00A53F74" w:rsidP="00495BE0">
            <w:pPr>
              <w:spacing w:before="120" w:after="120" w:line="240" w:lineRule="auto"/>
              <w:cnfStyle w:val="000000000000" w:firstRow="0" w:lastRow="0" w:firstColumn="0" w:lastColumn="0" w:oddVBand="0" w:evenVBand="0" w:oddHBand="0" w:evenHBand="0" w:firstRowFirstColumn="0" w:firstRowLastColumn="0" w:lastRowFirstColumn="0" w:lastRowLastColumn="0"/>
            </w:pPr>
            <w:r>
              <w:t>Initial PHLN Laboratory Case Definition</w:t>
            </w:r>
          </w:p>
        </w:tc>
        <w:tc>
          <w:tcPr>
            <w:tcW w:w="2008" w:type="dxa"/>
          </w:tcPr>
          <w:p w14:paraId="76A7E1ED" w14:textId="77777777" w:rsidR="00A53F74" w:rsidRDefault="00A53F74" w:rsidP="00495BE0">
            <w:pPr>
              <w:spacing w:before="120" w:after="120" w:line="240" w:lineRule="auto"/>
              <w:cnfStyle w:val="000000000000" w:firstRow="0" w:lastRow="0" w:firstColumn="0" w:lastColumn="0" w:oddVBand="0" w:evenVBand="0" w:oddHBand="0" w:evenHBand="0" w:firstRowFirstColumn="0" w:firstRowLastColumn="0" w:lastRowFirstColumn="0" w:lastRowLastColumn="0"/>
            </w:pPr>
            <w:r>
              <w:t>PHLN</w:t>
            </w:r>
          </w:p>
        </w:tc>
        <w:tc>
          <w:tcPr>
            <w:tcW w:w="2501" w:type="dxa"/>
          </w:tcPr>
          <w:p w14:paraId="3A950712" w14:textId="77777777" w:rsidR="00A53F74" w:rsidRDefault="00AB150F" w:rsidP="00495BE0">
            <w:pPr>
              <w:spacing w:before="120" w:after="120" w:line="240" w:lineRule="auto"/>
              <w:cnfStyle w:val="000000000000" w:firstRow="0" w:lastRow="0" w:firstColumn="0" w:lastColumn="0" w:oddVBand="0" w:evenVBand="0" w:oddHBand="0" w:evenHBand="0" w:firstRowFirstColumn="0" w:firstRowLastColumn="0" w:lastRowFirstColumn="0" w:lastRowLastColumn="0"/>
            </w:pPr>
            <w:r>
              <w:t>25 July 2002</w:t>
            </w:r>
          </w:p>
        </w:tc>
      </w:tr>
    </w:tbl>
    <w:p w14:paraId="672A6659" w14:textId="77777777" w:rsidR="00495BE0" w:rsidRDefault="00495BE0" w:rsidP="00495BE0">
      <w:pPr>
        <w:pStyle w:val="Heading1"/>
        <w:numPr>
          <w:ilvl w:val="0"/>
          <w:numId w:val="0"/>
        </w:numPr>
        <w:ind w:left="397"/>
      </w:pPr>
      <w:r>
        <w:br w:type="page"/>
      </w:r>
    </w:p>
    <w:p w14:paraId="187C34BB" w14:textId="77777777" w:rsidR="006B7635" w:rsidRPr="007D0923" w:rsidRDefault="006B7635" w:rsidP="00A53F74">
      <w:pPr>
        <w:pStyle w:val="Heading1"/>
      </w:pPr>
      <w:r w:rsidRPr="007D0923">
        <w:lastRenderedPageBreak/>
        <w:t xml:space="preserve">PHLN </w:t>
      </w:r>
      <w:r w:rsidR="006431D9">
        <w:t>s</w:t>
      </w:r>
      <w:r w:rsidRPr="007D0923">
        <w:t>ummary laboratory definition</w:t>
      </w:r>
    </w:p>
    <w:p w14:paraId="08FF7FEF" w14:textId="77777777" w:rsidR="006B7635" w:rsidRPr="007D0923" w:rsidRDefault="006B7635" w:rsidP="00C000BA">
      <w:pPr>
        <w:pStyle w:val="Heading2"/>
      </w:pPr>
      <w:r w:rsidRPr="00A53F74">
        <w:t>Condition</w:t>
      </w:r>
    </w:p>
    <w:p w14:paraId="227D1E73" w14:textId="77777777" w:rsidR="006B7635" w:rsidRPr="00C46834" w:rsidRDefault="005C7A61" w:rsidP="00A53F74">
      <w:r>
        <w:t>Gonococcal infection</w:t>
      </w:r>
    </w:p>
    <w:p w14:paraId="2728CBF1" w14:textId="77777777" w:rsidR="006B7635" w:rsidRPr="007D0923" w:rsidRDefault="006B7635" w:rsidP="00A53F74">
      <w:pPr>
        <w:pStyle w:val="Heading3"/>
      </w:pPr>
      <w:r w:rsidRPr="00E71D87">
        <w:t>Definitive</w:t>
      </w:r>
      <w:r w:rsidRPr="007D0923">
        <w:t xml:space="preserve"> </w:t>
      </w:r>
      <w:r w:rsidR="006D70F9">
        <w:t>c</w:t>
      </w:r>
      <w:r w:rsidRPr="007D0923">
        <w:t>riteria</w:t>
      </w:r>
    </w:p>
    <w:bookmarkStart w:id="0" w:name="_Hlk120698183"/>
    <w:bookmarkStart w:id="1" w:name="_Hlk123904107"/>
    <w:p w14:paraId="123395AE" w14:textId="728EBB23" w:rsidR="0049615E" w:rsidRPr="004F61C6" w:rsidRDefault="00976AB2" w:rsidP="00A53F74">
      <w:pPr>
        <w:pStyle w:val="NoSpacing"/>
      </w:pPr>
      <w:sdt>
        <w:sdtPr>
          <w:id w:val="-779954258"/>
          <w:placeholder>
            <w:docPart w:val="AA90EE60B5B1456EBD82805A4662F7E0"/>
          </w:placeholder>
          <w:text/>
        </w:sdtPr>
        <w:sdtEndPr/>
        <w:sdtContent>
          <w:r w:rsidR="00B25F30">
            <w:t>Isolation</w:t>
          </w:r>
        </w:sdtContent>
      </w:sdt>
      <w:r w:rsidR="00380691">
        <w:t xml:space="preserve"> </w:t>
      </w:r>
      <w:r w:rsidR="00866892" w:rsidRPr="004F61C6">
        <w:t xml:space="preserve">of </w:t>
      </w:r>
      <w:sdt>
        <w:sdtPr>
          <w:rPr>
            <w:i/>
            <w:iCs/>
          </w:rPr>
          <w:id w:val="1753165068"/>
          <w:placeholder>
            <w:docPart w:val="E197EC56741549E0B23ED4A691CD8BD9"/>
          </w:placeholder>
          <w:text/>
        </w:sdtPr>
        <w:sdtEndPr/>
        <w:sdtContent>
          <w:r w:rsidR="00B25F30" w:rsidRPr="005C7A61" w:rsidDel="00B25F30">
            <w:rPr>
              <w:i/>
              <w:iCs/>
            </w:rPr>
            <w:t xml:space="preserve">Neisseria </w:t>
          </w:r>
          <w:r w:rsidR="00B25F30">
            <w:rPr>
              <w:i/>
              <w:iCs/>
            </w:rPr>
            <w:t>gonorrhoeae</w:t>
          </w:r>
        </w:sdtContent>
      </w:sdt>
      <w:r w:rsidR="00ED586D">
        <w:t xml:space="preserve"> </w:t>
      </w:r>
      <w:r w:rsidR="00866892" w:rsidRPr="004F61C6">
        <w:t>by</w:t>
      </w:r>
      <w:r w:rsidR="00380691">
        <w:t xml:space="preserve"> </w:t>
      </w:r>
      <w:sdt>
        <w:sdtPr>
          <w:id w:val="-200868120"/>
          <w:placeholder>
            <w:docPart w:val="1EC059E242854C2C890715A2B050A733"/>
          </w:placeholder>
          <w:text/>
        </w:sdtPr>
        <w:sdtEndPr/>
        <w:sdtContent>
          <w:r w:rsidR="00B25F30" w:rsidRPr="00A86F37">
            <w:t>culture</w:t>
          </w:r>
        </w:sdtContent>
      </w:sdt>
      <w:r w:rsidR="0049615E" w:rsidRPr="00A86F37">
        <w:t xml:space="preserve">; </w:t>
      </w:r>
      <w:sdt>
        <w:sdtPr>
          <w:id w:val="-334774623"/>
          <w:placeholder>
            <w:docPart w:val="DEDEA9DEAD6C454FAFD16F9CDC170AB5"/>
          </w:placeholder>
          <w:text/>
        </w:sdtPr>
        <w:sdtEndPr/>
        <w:sdtContent>
          <w:r w:rsidR="00B25F30" w:rsidRPr="00A86F37" w:rsidDel="00B25F30">
            <w:t>or</w:t>
          </w:r>
          <w:r w:rsidR="00B25F30" w:rsidRPr="00A86F37">
            <w:t xml:space="preserve"> </w:t>
          </w:r>
        </w:sdtContent>
      </w:sdt>
    </w:p>
    <w:bookmarkEnd w:id="0"/>
    <w:p w14:paraId="73AEB6AF" w14:textId="6C04A9DE" w:rsidR="00380691" w:rsidRDefault="00976AB2" w:rsidP="00A53F74">
      <w:pPr>
        <w:pStyle w:val="NoSpacing"/>
      </w:pPr>
      <w:sdt>
        <w:sdtPr>
          <w:id w:val="-1864888416"/>
          <w:placeholder>
            <w:docPart w:val="0C2221E770004440933232844AF9A58A"/>
          </w:placeholder>
          <w:text/>
        </w:sdtPr>
        <w:sdtEndPr/>
        <w:sdtContent>
          <w:r w:rsidR="00B25F30">
            <w:t>Detection</w:t>
          </w:r>
        </w:sdtContent>
      </w:sdt>
      <w:r w:rsidR="00380691">
        <w:t xml:space="preserve"> </w:t>
      </w:r>
      <w:r w:rsidR="00380691" w:rsidRPr="004F61C6">
        <w:t xml:space="preserve">of </w:t>
      </w:r>
      <w:sdt>
        <w:sdtPr>
          <w:rPr>
            <w:i/>
            <w:iCs/>
          </w:rPr>
          <w:id w:val="-1424186842"/>
          <w:placeholder>
            <w:docPart w:val="AB2B279A0BCD4C7C809D8550E8264AC9"/>
          </w:placeholder>
          <w:text/>
        </w:sdtPr>
        <w:sdtEndPr/>
        <w:sdtContent>
          <w:r w:rsidR="00B25F30" w:rsidRPr="00FC3322" w:rsidDel="00B25F30">
            <w:rPr>
              <w:i/>
              <w:iCs/>
            </w:rPr>
            <w:t xml:space="preserve">Neisseria </w:t>
          </w:r>
          <w:r w:rsidR="00B25F30">
            <w:rPr>
              <w:i/>
              <w:iCs/>
            </w:rPr>
            <w:t>gonorrhoeae</w:t>
          </w:r>
        </w:sdtContent>
      </w:sdt>
      <w:r w:rsidR="00380691">
        <w:t xml:space="preserve"> </w:t>
      </w:r>
      <w:r w:rsidR="00380691" w:rsidRPr="004F61C6">
        <w:t>by</w:t>
      </w:r>
      <w:r w:rsidR="00380691">
        <w:t xml:space="preserve"> </w:t>
      </w:r>
      <w:sdt>
        <w:sdtPr>
          <w:id w:val="-425201625"/>
          <w:placeholder>
            <w:docPart w:val="80F657076B724443A63E813CEAA65DE6"/>
          </w:placeholder>
          <w:text/>
        </w:sdtPr>
        <w:sdtEndPr/>
        <w:sdtContent>
          <w:r w:rsidR="00B25F30" w:rsidDel="00B25F30">
            <w:t>nucleic acid amplification testing (NAAT)</w:t>
          </w:r>
        </w:sdtContent>
      </w:sdt>
      <w:r w:rsidR="00380691">
        <w:t>.</w:t>
      </w:r>
    </w:p>
    <w:p w14:paraId="7364ABC2" w14:textId="65DC080C" w:rsidR="00FC3322" w:rsidRPr="00FC3322" w:rsidRDefault="00F97903" w:rsidP="00A86F37">
      <w:pPr>
        <w:pStyle w:val="NoSpacing"/>
        <w:numPr>
          <w:ilvl w:val="0"/>
          <w:numId w:val="0"/>
        </w:numPr>
        <w:rPr>
          <w:color w:val="333333"/>
        </w:rPr>
      </w:pPr>
      <w:r>
        <w:t xml:space="preserve">Note: </w:t>
      </w:r>
      <w:r w:rsidR="00FC3322">
        <w:t xml:space="preserve">The identification of </w:t>
      </w:r>
      <w:r w:rsidR="00FC3322" w:rsidRPr="22074AAC">
        <w:rPr>
          <w:i/>
          <w:iCs/>
        </w:rPr>
        <w:t>N. gonorrhoeae</w:t>
      </w:r>
      <w:r w:rsidR="00FC3322">
        <w:t xml:space="preserve"> from any anatomical site constitutes a case </w:t>
      </w:r>
      <w:r w:rsidR="0099063C">
        <w:t xml:space="preserve">of </w:t>
      </w:r>
      <w:r w:rsidR="00FC3322">
        <w:t xml:space="preserve">gonococcal disease for public health purposes. </w:t>
      </w:r>
    </w:p>
    <w:bookmarkEnd w:id="1"/>
    <w:p w14:paraId="7A02AF7A" w14:textId="77777777" w:rsidR="00664005" w:rsidRPr="00A86F37" w:rsidRDefault="009E03DB" w:rsidP="00A53F74">
      <w:pPr>
        <w:pStyle w:val="Heading3"/>
      </w:pPr>
      <w:r w:rsidRPr="00A86F37">
        <w:rPr>
          <w:rFonts w:eastAsia="Arial"/>
          <w:lang w:eastAsia="en-US"/>
        </w:rPr>
        <w:t>P</w:t>
      </w:r>
      <w:r w:rsidR="00B63726" w:rsidRPr="00A86F37">
        <w:rPr>
          <w:rFonts w:eastAsia="Arial"/>
          <w:lang w:eastAsia="en-US"/>
        </w:rPr>
        <w:t xml:space="preserve">oint Of </w:t>
      </w:r>
      <w:r w:rsidRPr="00A86F37">
        <w:rPr>
          <w:rFonts w:eastAsia="Arial"/>
          <w:lang w:eastAsia="en-US"/>
        </w:rPr>
        <w:t>C</w:t>
      </w:r>
      <w:r w:rsidR="00B63726" w:rsidRPr="00A86F37">
        <w:rPr>
          <w:rFonts w:eastAsia="Arial"/>
          <w:lang w:eastAsia="en-US"/>
        </w:rPr>
        <w:t xml:space="preserve">are </w:t>
      </w:r>
      <w:r w:rsidRPr="00A86F37">
        <w:rPr>
          <w:rFonts w:eastAsia="Arial"/>
          <w:lang w:eastAsia="en-US"/>
        </w:rPr>
        <w:t>T</w:t>
      </w:r>
      <w:r w:rsidR="00B63726" w:rsidRPr="00A86F37">
        <w:rPr>
          <w:rFonts w:eastAsia="Arial"/>
          <w:lang w:eastAsia="en-US"/>
        </w:rPr>
        <w:t>ests (POCT)</w:t>
      </w:r>
    </w:p>
    <w:p w14:paraId="6921F3E6" w14:textId="26EBAA42" w:rsidR="002F405C" w:rsidRDefault="009E03DB" w:rsidP="00A86F37">
      <w:pPr>
        <w:jc w:val="both"/>
        <w:rPr>
          <w:lang w:eastAsia="en-US"/>
        </w:rPr>
      </w:pPr>
      <w:r w:rsidRPr="009E03DB">
        <w:rPr>
          <w:lang w:eastAsia="en-US"/>
        </w:rPr>
        <w:t xml:space="preserve">The use of </w:t>
      </w:r>
      <w:r w:rsidR="00B63726">
        <w:rPr>
          <w:lang w:eastAsia="en-US"/>
        </w:rPr>
        <w:t xml:space="preserve">POCT </w:t>
      </w:r>
      <w:r w:rsidRPr="009E03DB">
        <w:rPr>
          <w:lang w:eastAsia="en-US"/>
        </w:rPr>
        <w:t>as they relate to this case definition are for the purposes of surveillance. This includes point</w:t>
      </w:r>
      <w:r w:rsidRPr="009E03DB">
        <w:rPr>
          <w:rFonts w:ascii="Cambria Math" w:hAnsi="Cambria Math" w:cs="Cambria Math"/>
          <w:lang w:eastAsia="en-US"/>
        </w:rPr>
        <w:t>‐</w:t>
      </w:r>
      <w:r w:rsidRPr="009E03DB">
        <w:rPr>
          <w:lang w:eastAsia="en-US"/>
        </w:rPr>
        <w:t>of</w:t>
      </w:r>
      <w:r w:rsidRPr="009E03DB">
        <w:rPr>
          <w:rFonts w:ascii="Cambria Math" w:hAnsi="Cambria Math" w:cs="Cambria Math"/>
          <w:lang w:eastAsia="en-US"/>
        </w:rPr>
        <w:t>‐</w:t>
      </w:r>
      <w:r w:rsidRPr="009E03DB">
        <w:rPr>
          <w:lang w:eastAsia="en-US"/>
        </w:rPr>
        <w:t>care tests for detecting</w:t>
      </w:r>
      <w:r w:rsidRPr="009E03DB">
        <w:rPr>
          <w:i/>
          <w:iCs/>
          <w:lang w:eastAsia="en-US"/>
        </w:rPr>
        <w:t xml:space="preserve"> N. gonorrhoeae </w:t>
      </w:r>
      <w:r w:rsidRPr="009E03DB">
        <w:rPr>
          <w:lang w:eastAsia="en-US"/>
        </w:rPr>
        <w:t>which are listed on the Australian Register of Therapeutic Goods and administered by appropriately trained persons in</w:t>
      </w:r>
      <w:r w:rsidRPr="009E03DB">
        <w:rPr>
          <w:rFonts w:ascii="Cambria Math" w:hAnsi="Cambria Math" w:cs="Cambria Math"/>
          <w:lang w:eastAsia="en-US"/>
        </w:rPr>
        <w:t>‐</w:t>
      </w:r>
      <w:r w:rsidRPr="009E03DB">
        <w:rPr>
          <w:lang w:eastAsia="en-US"/>
        </w:rPr>
        <w:t xml:space="preserve">line with the Requirements for </w:t>
      </w:r>
      <w:r w:rsidR="00B63726">
        <w:rPr>
          <w:lang w:eastAsia="en-US"/>
        </w:rPr>
        <w:t>POCT</w:t>
      </w:r>
      <w:r w:rsidRPr="009E03DB">
        <w:rPr>
          <w:lang w:eastAsia="en-US"/>
        </w:rPr>
        <w:t>. It is acknowledged that point of care tests may be used outside of a quality management governance environment or an accredited pathology laboratory, however the laboratory case definition does not apply to tests performed in these settings</w:t>
      </w:r>
      <w:r w:rsidR="00571AD4">
        <w:rPr>
          <w:lang w:eastAsia="en-US"/>
        </w:rPr>
        <w:t xml:space="preserve">. </w:t>
      </w:r>
    </w:p>
    <w:p w14:paraId="03C27851" w14:textId="53567B7A" w:rsidR="002F405C" w:rsidRPr="00642451" w:rsidRDefault="002F405C" w:rsidP="22074AAC">
      <w:pPr>
        <w:rPr>
          <w:i/>
          <w:iCs/>
        </w:rPr>
      </w:pPr>
      <w:r w:rsidRPr="22074AAC">
        <w:rPr>
          <w:i/>
          <w:iCs/>
        </w:rPr>
        <w:t>The CDNA case definition may have been updated since the publication of this LCD. Please check the current case definitions webpage on the Australian Government Department of</w:t>
      </w:r>
      <w:r w:rsidR="38135359" w:rsidRPr="22074AAC">
        <w:rPr>
          <w:i/>
          <w:iCs/>
        </w:rPr>
        <w:t xml:space="preserve"> </w:t>
      </w:r>
      <w:r w:rsidRPr="22074AAC">
        <w:rPr>
          <w:i/>
          <w:iCs/>
        </w:rPr>
        <w:t xml:space="preserve">Health’s website: </w:t>
      </w:r>
      <w:hyperlink r:id="rId11">
        <w:r w:rsidRPr="22074AAC">
          <w:rPr>
            <w:i/>
            <w:iCs/>
          </w:rPr>
          <w:t>www.health.gov.au/internet/main/publishing.nsf/Content/cdna-casedefinitions.htm</w:t>
        </w:r>
      </w:hyperlink>
      <w:r w:rsidRPr="22074AAC">
        <w:rPr>
          <w:i/>
          <w:iCs/>
        </w:rPr>
        <w:t xml:space="preserve">  for the latest version.</w:t>
      </w:r>
    </w:p>
    <w:p w14:paraId="58BDBAF1" w14:textId="77777777" w:rsidR="009E03DB" w:rsidRDefault="00642451" w:rsidP="00642451">
      <w:pPr>
        <w:pStyle w:val="Heading3"/>
        <w:rPr>
          <w:rFonts w:eastAsia="Arial"/>
          <w:lang w:eastAsia="en-US"/>
        </w:rPr>
      </w:pPr>
      <w:r>
        <w:rPr>
          <w:rFonts w:eastAsia="Arial"/>
          <w:lang w:eastAsia="en-US"/>
        </w:rPr>
        <w:t>L</w:t>
      </w:r>
      <w:r w:rsidR="009E03DB">
        <w:rPr>
          <w:rFonts w:eastAsia="Arial"/>
          <w:lang w:eastAsia="en-US"/>
        </w:rPr>
        <w:t>inks to related documents and websites</w:t>
      </w:r>
    </w:p>
    <w:p w14:paraId="1781113D" w14:textId="77777777" w:rsidR="009E03DB" w:rsidRPr="009E03DB" w:rsidRDefault="00976AB2" w:rsidP="009E03DB">
      <w:pPr>
        <w:pStyle w:val="ListParagraph"/>
        <w:numPr>
          <w:ilvl w:val="0"/>
          <w:numId w:val="40"/>
        </w:numPr>
        <w:shd w:val="clear" w:color="auto" w:fill="FFFFFF"/>
        <w:spacing w:before="0" w:after="90" w:line="300" w:lineRule="atLeast"/>
        <w:jc w:val="both"/>
        <w:rPr>
          <w:rFonts w:eastAsia="Times New Roman"/>
          <w:color w:val="222222"/>
        </w:rPr>
      </w:pPr>
      <w:hyperlink r:id="rId12" w:history="1">
        <w:r w:rsidR="009E03DB" w:rsidRPr="006400D1">
          <w:rPr>
            <w:rStyle w:val="Hyperlink"/>
            <w:rFonts w:eastAsia="Times New Roman"/>
          </w:rPr>
          <w:t>https://www1.health.gov.au/internet/main/publishing.nsf/Content/063E816933017261CA2583F300074085/$File/Gonococcal-Infection.pdf</w:t>
        </w:r>
      </w:hyperlink>
      <w:r w:rsidR="009E03DB" w:rsidRPr="009E03DB">
        <w:rPr>
          <w:rFonts w:eastAsia="Times New Roman"/>
          <w:color w:val="222222"/>
        </w:rPr>
        <w:t xml:space="preserve"> </w:t>
      </w:r>
    </w:p>
    <w:p w14:paraId="04417027" w14:textId="77777777" w:rsidR="009E03DB" w:rsidRPr="009E03DB" w:rsidRDefault="00976AB2" w:rsidP="009E03DB">
      <w:pPr>
        <w:pStyle w:val="ListParagraph"/>
        <w:numPr>
          <w:ilvl w:val="0"/>
          <w:numId w:val="40"/>
        </w:numPr>
        <w:shd w:val="clear" w:color="auto" w:fill="FFFFFF"/>
        <w:spacing w:before="0" w:after="90" w:line="300" w:lineRule="atLeast"/>
        <w:jc w:val="both"/>
        <w:rPr>
          <w:rFonts w:eastAsia="Times New Roman"/>
          <w:color w:val="222222"/>
        </w:rPr>
      </w:pPr>
      <w:hyperlink r:id="rId13" w:history="1">
        <w:r w:rsidR="009E03DB" w:rsidRPr="006400D1">
          <w:rPr>
            <w:rStyle w:val="Hyperlink"/>
            <w:rFonts w:eastAsia="Times New Roman"/>
          </w:rPr>
          <w:t>https://www1.health.gov.au/internet/main/publishing.nsf/Content/cda-surveil-nndss-casedefs-cd_gono.htm</w:t>
        </w:r>
      </w:hyperlink>
      <w:r w:rsidR="009E03DB" w:rsidRPr="009E03DB">
        <w:rPr>
          <w:rFonts w:eastAsia="Times New Roman"/>
          <w:color w:val="222222"/>
        </w:rPr>
        <w:t xml:space="preserve"> </w:t>
      </w:r>
    </w:p>
    <w:p w14:paraId="20C7DF73" w14:textId="77777777" w:rsidR="009E03DB" w:rsidRPr="009E03DB" w:rsidRDefault="00976AB2" w:rsidP="009E03DB">
      <w:pPr>
        <w:pStyle w:val="ListParagraph"/>
        <w:numPr>
          <w:ilvl w:val="0"/>
          <w:numId w:val="40"/>
        </w:numPr>
        <w:shd w:val="clear" w:color="auto" w:fill="FFFFFF"/>
        <w:spacing w:before="0" w:after="90" w:line="300" w:lineRule="atLeast"/>
        <w:jc w:val="both"/>
        <w:rPr>
          <w:rFonts w:eastAsia="Times New Roman"/>
          <w:color w:val="222222"/>
        </w:rPr>
      </w:pPr>
      <w:hyperlink r:id="rId14" w:history="1">
        <w:r w:rsidR="009E03DB" w:rsidRPr="006400D1">
          <w:rPr>
            <w:rStyle w:val="Hyperlink"/>
          </w:rPr>
          <w:t>http://www.sti.guidelines.org.au/sexually-transmissible-infections/gonorrhoea</w:t>
        </w:r>
      </w:hyperlink>
    </w:p>
    <w:p w14:paraId="172EB7C3" w14:textId="77777777" w:rsidR="009E03DB" w:rsidRPr="009E03DB" w:rsidRDefault="00976AB2" w:rsidP="009E03DB">
      <w:pPr>
        <w:pStyle w:val="ListParagraph"/>
        <w:numPr>
          <w:ilvl w:val="0"/>
          <w:numId w:val="40"/>
        </w:numPr>
        <w:shd w:val="clear" w:color="auto" w:fill="FFFFFF"/>
        <w:spacing w:before="0" w:after="90" w:line="300" w:lineRule="atLeast"/>
        <w:jc w:val="both"/>
        <w:rPr>
          <w:rFonts w:eastAsia="Times New Roman"/>
          <w:color w:val="222222"/>
        </w:rPr>
      </w:pPr>
      <w:hyperlink r:id="rId15" w:history="1">
        <w:r w:rsidR="009E03DB" w:rsidRPr="006400D1">
          <w:rPr>
            <w:rStyle w:val="Hyperlink"/>
            <w:rFonts w:eastAsia="Times New Roman"/>
          </w:rPr>
          <w:t>https://www1.health.gov.au/internet/main/publishing.nsf/Content/cda-pubs-annlrpt-gonoanrep.htm</w:t>
        </w:r>
      </w:hyperlink>
    </w:p>
    <w:p w14:paraId="2D6DD3F7" w14:textId="77777777" w:rsidR="009E03DB" w:rsidRPr="009E03DB" w:rsidRDefault="00976AB2" w:rsidP="009E03DB">
      <w:pPr>
        <w:pStyle w:val="ListParagraph"/>
        <w:numPr>
          <w:ilvl w:val="0"/>
          <w:numId w:val="40"/>
        </w:numPr>
        <w:shd w:val="clear" w:color="auto" w:fill="FFFFFF"/>
        <w:spacing w:before="0" w:after="90" w:line="300" w:lineRule="atLeast"/>
        <w:jc w:val="both"/>
        <w:rPr>
          <w:rFonts w:eastAsia="Times New Roman"/>
          <w:color w:val="222222"/>
        </w:rPr>
      </w:pPr>
      <w:hyperlink r:id="rId16" w:history="1">
        <w:r w:rsidR="009E03DB" w:rsidRPr="006400D1">
          <w:rPr>
            <w:rStyle w:val="Hyperlink"/>
            <w:rFonts w:eastAsia="Times New Roman"/>
          </w:rPr>
          <w:t>https://kirby.unsw.edu.au/report-type/annual-reports</w:t>
        </w:r>
      </w:hyperlink>
      <w:r w:rsidR="009E03DB" w:rsidRPr="009E03DB">
        <w:rPr>
          <w:rFonts w:eastAsia="Times New Roman"/>
          <w:color w:val="222222"/>
        </w:rPr>
        <w:t xml:space="preserve"> </w:t>
      </w:r>
    </w:p>
    <w:p w14:paraId="23467E74" w14:textId="77777777" w:rsidR="009E03DB" w:rsidRPr="009E03DB" w:rsidRDefault="00976AB2" w:rsidP="00A53F74">
      <w:pPr>
        <w:pStyle w:val="ListParagraph"/>
        <w:numPr>
          <w:ilvl w:val="0"/>
          <w:numId w:val="40"/>
        </w:numPr>
        <w:shd w:val="clear" w:color="auto" w:fill="FFFFFF"/>
        <w:spacing w:before="0" w:after="90" w:line="300" w:lineRule="atLeast"/>
        <w:jc w:val="both"/>
        <w:rPr>
          <w:rFonts w:eastAsia="Times New Roman"/>
          <w:color w:val="222222"/>
        </w:rPr>
      </w:pPr>
      <w:hyperlink r:id="rId17" w:history="1">
        <w:r w:rsidR="009E03DB" w:rsidRPr="006400D1">
          <w:rPr>
            <w:rStyle w:val="Hyperlink"/>
            <w:rFonts w:eastAsia="Times New Roman"/>
          </w:rPr>
          <w:t>https://www1.health.gov.au/internet/main/publishing.nsf/Content/cda-cdi3901-pdf-cnt.htm/$FILE/cdi3901f.pdf</w:t>
        </w:r>
      </w:hyperlink>
      <w:r w:rsidR="009E03DB" w:rsidRPr="009E03DB">
        <w:rPr>
          <w:rFonts w:eastAsia="Times New Roman"/>
          <w:color w:val="222222"/>
        </w:rPr>
        <w:t xml:space="preserve"> </w:t>
      </w:r>
    </w:p>
    <w:p w14:paraId="3E7A9F1C" w14:textId="77777777" w:rsidR="006B7635" w:rsidRPr="007D0923" w:rsidRDefault="006B7635" w:rsidP="00C000BA">
      <w:pPr>
        <w:pStyle w:val="Heading1"/>
      </w:pPr>
      <w:r w:rsidRPr="007D0923">
        <w:lastRenderedPageBreak/>
        <w:t>Introduction</w:t>
      </w:r>
    </w:p>
    <w:p w14:paraId="4C703C0B" w14:textId="77777777" w:rsidR="00642451" w:rsidRDefault="00BA6F06" w:rsidP="006B186A">
      <w:pPr>
        <w:jc w:val="both"/>
      </w:pPr>
      <w:r w:rsidRPr="00B970CE">
        <w:rPr>
          <w:i/>
          <w:iCs/>
        </w:rPr>
        <w:t>Neisseria gonorrhoeae</w:t>
      </w:r>
      <w:r>
        <w:t xml:space="preserve"> is an exclusively human pathogen. Sexual transmission occurs most commonly. Primary infection can occur in the mucus membranes of the reproductive tract (cervix, fallopian </w:t>
      </w:r>
      <w:proofErr w:type="gramStart"/>
      <w:r>
        <w:t>tubes</w:t>
      </w:r>
      <w:proofErr w:type="gramEnd"/>
      <w:r>
        <w:t xml:space="preserve"> and uterus), the urethra, rectum, pharynx and conjunctiva.  Infection may be symptomatic or asymptomatic and confined to local infections, local complicated </w:t>
      </w:r>
      <w:proofErr w:type="gramStart"/>
      <w:r>
        <w:t>infections</w:t>
      </w:r>
      <w:proofErr w:type="gramEnd"/>
      <w:r>
        <w:t xml:space="preserve"> or systemic dissemination. Infection is highly contagious, and usually transmitted by direct inoculation of infected secretions from one mucous membrane to another </w:t>
      </w:r>
      <w:r w:rsidR="00AB150F">
        <w:t>[</w:t>
      </w:r>
      <w:r>
        <w:t>1</w:t>
      </w:r>
      <w:r w:rsidR="00AB150F">
        <w:t>]</w:t>
      </w:r>
      <w:r>
        <w:t xml:space="preserve">.  </w:t>
      </w:r>
    </w:p>
    <w:p w14:paraId="182BBB26" w14:textId="77777777" w:rsidR="00642451" w:rsidRDefault="00BA6F06" w:rsidP="006B186A">
      <w:pPr>
        <w:jc w:val="both"/>
      </w:pPr>
      <w:r>
        <w:t xml:space="preserve">Infection can also be transmitted vertically during childbirth resulting in </w:t>
      </w:r>
      <w:r w:rsidRPr="00642451">
        <w:rPr>
          <w:i/>
          <w:iCs/>
        </w:rPr>
        <w:t>ophthalmia neonatorum</w:t>
      </w:r>
      <w:r>
        <w:t xml:space="preserve"> </w:t>
      </w:r>
      <w:r w:rsidR="00AB150F">
        <w:t>[</w:t>
      </w:r>
      <w:r>
        <w:t>2</w:t>
      </w:r>
      <w:r w:rsidR="00AB150F">
        <w:t>]</w:t>
      </w:r>
      <w:r w:rsidR="00642451">
        <w:t xml:space="preserve">. </w:t>
      </w:r>
      <w:r>
        <w:t xml:space="preserve">Gonococcal conjunctivitis is a sight threatening infection at any age and a medical emergency requiring urgent treatment </w:t>
      </w:r>
      <w:r w:rsidR="00AB150F">
        <w:t>[</w:t>
      </w:r>
      <w:r>
        <w:t>5,6</w:t>
      </w:r>
      <w:r w:rsidR="00AB150F">
        <w:t>]</w:t>
      </w:r>
      <w:r>
        <w:t>. More rarely gonococcal infections can be transmitted via non-</w:t>
      </w:r>
      <w:r w:rsidR="00642451">
        <w:t>sexual mechanisms</w:t>
      </w:r>
      <w:r>
        <w:t xml:space="preserve"> </w:t>
      </w:r>
      <w:r w:rsidR="00AB150F">
        <w:t>[</w:t>
      </w:r>
      <w:r>
        <w:t>3</w:t>
      </w:r>
      <w:r w:rsidR="00AB150F">
        <w:t>]</w:t>
      </w:r>
      <w:r>
        <w:t xml:space="preserve">.  </w:t>
      </w:r>
    </w:p>
    <w:p w14:paraId="497BEEEB" w14:textId="77777777" w:rsidR="001A6A17" w:rsidRDefault="00BA6F06" w:rsidP="006B186A">
      <w:pPr>
        <w:jc w:val="both"/>
      </w:pPr>
      <w:r>
        <w:t xml:space="preserve">Disseminated gonococcal infection (DGI) is estimated to occur in 0.5 to 3% of patients infected with </w:t>
      </w:r>
      <w:r w:rsidRPr="00642451">
        <w:rPr>
          <w:i/>
          <w:iCs/>
        </w:rPr>
        <w:t>N. gonorrhoeae</w:t>
      </w:r>
      <w:r>
        <w:t xml:space="preserve"> </w:t>
      </w:r>
      <w:r w:rsidR="00AB150F">
        <w:t>[</w:t>
      </w:r>
      <w:r>
        <w:t>7</w:t>
      </w:r>
      <w:r w:rsidR="00AB150F">
        <w:t>]</w:t>
      </w:r>
      <w:r>
        <w:t xml:space="preserve"> and can lead to a range of clinical presentations including septic arthritis, arthritis-dermatitis syndrome (arthralgias, tenosynovitis, skin lesions), bacteraemia, fever, </w:t>
      </w:r>
      <w:proofErr w:type="gramStart"/>
      <w:r>
        <w:t>endocarditis</w:t>
      </w:r>
      <w:proofErr w:type="gramEnd"/>
      <w:r>
        <w:t xml:space="preserve"> and meningitis </w:t>
      </w:r>
      <w:r w:rsidR="00AB150F">
        <w:t>[</w:t>
      </w:r>
      <w:r>
        <w:t>8,9</w:t>
      </w:r>
      <w:r w:rsidR="00AB150F">
        <w:t>]</w:t>
      </w:r>
      <w:r>
        <w:t xml:space="preserve">.  </w:t>
      </w:r>
      <w:r w:rsidR="001A6A17">
        <w:t>T</w:t>
      </w:r>
      <w:r>
        <w:t xml:space="preserve">he complications of gonorrhoea disproportionally affect women and include pelvic inflammatory disease, ectopic pregnancy, and infertility. There is an increased risk of HIV acquisition in both women and men </w:t>
      </w:r>
      <w:r w:rsidR="00AB150F">
        <w:t>[</w:t>
      </w:r>
      <w:r>
        <w:t>10-12</w:t>
      </w:r>
      <w:r w:rsidR="00AB150F">
        <w:t>]</w:t>
      </w:r>
      <w:r>
        <w:t xml:space="preserve">. </w:t>
      </w:r>
    </w:p>
    <w:p w14:paraId="4B45390E" w14:textId="77777777" w:rsidR="00FA0205" w:rsidRDefault="00BA6F06" w:rsidP="006B186A">
      <w:pPr>
        <w:jc w:val="both"/>
      </w:pPr>
      <w:r>
        <w:t xml:space="preserve">Up to 80% of females and 10-15% of males with urogenital gonococcal infection are asymptomatic </w:t>
      </w:r>
      <w:r w:rsidR="00AB150F">
        <w:t>[</w:t>
      </w:r>
      <w:r>
        <w:t>4</w:t>
      </w:r>
      <w:r w:rsidR="00AB150F">
        <w:t>]</w:t>
      </w:r>
      <w:r>
        <w:t xml:space="preserve">. Additionally, </w:t>
      </w:r>
      <w:proofErr w:type="gramStart"/>
      <w:r>
        <w:t>rectal</w:t>
      </w:r>
      <w:proofErr w:type="gramEnd"/>
      <w:r>
        <w:t xml:space="preserve"> and pharyngeal infections are usually asymptomatic both in males and females </w:t>
      </w:r>
      <w:r w:rsidR="00AB150F">
        <w:t>[</w:t>
      </w:r>
      <w:r>
        <w:t>1</w:t>
      </w:r>
      <w:r w:rsidR="00AB150F">
        <w:t>]</w:t>
      </w:r>
      <w:r>
        <w:t xml:space="preserve">. For pharyngeal, </w:t>
      </w:r>
      <w:proofErr w:type="gramStart"/>
      <w:r>
        <w:t>rectal</w:t>
      </w:r>
      <w:proofErr w:type="gramEnd"/>
      <w:r>
        <w:t xml:space="preserve"> or cervical infection, test of cure (</w:t>
      </w:r>
      <w:r w:rsidR="00FA0205">
        <w:t>TOC) by</w:t>
      </w:r>
      <w:r>
        <w:t xml:space="preserve"> Nucleic Acid Amplification Test (NAAT) should be performed 2 weeks after treatment is completed </w:t>
      </w:r>
      <w:r w:rsidR="00AB150F">
        <w:t>[</w:t>
      </w:r>
      <w:r>
        <w:t>4</w:t>
      </w:r>
      <w:r w:rsidR="00AB150F">
        <w:t>]</w:t>
      </w:r>
      <w:r>
        <w:t xml:space="preserve">. Gonococcal infections may be coincident with other infections causing symptomatology, such as </w:t>
      </w:r>
      <w:r w:rsidRPr="00FA0205">
        <w:rPr>
          <w:i/>
          <w:iCs/>
        </w:rPr>
        <w:t>Chlamydia trachomatis, Trichomonas vaginalis</w:t>
      </w:r>
      <w:r>
        <w:t xml:space="preserve"> and </w:t>
      </w:r>
      <w:r w:rsidRPr="00FA0205">
        <w:rPr>
          <w:i/>
          <w:iCs/>
        </w:rPr>
        <w:t xml:space="preserve">Candida albicans </w:t>
      </w:r>
      <w:r w:rsidR="00AB150F">
        <w:t>[</w:t>
      </w:r>
      <w:r>
        <w:t>1</w:t>
      </w:r>
      <w:r w:rsidR="00AB150F">
        <w:t>]</w:t>
      </w:r>
      <w:r w:rsidR="00FA0205">
        <w:t xml:space="preserve">. </w:t>
      </w:r>
    </w:p>
    <w:p w14:paraId="1007165D" w14:textId="49261B85" w:rsidR="00FA0205" w:rsidRDefault="00FA0205" w:rsidP="006B186A">
      <w:pPr>
        <w:jc w:val="both"/>
      </w:pPr>
      <w:r>
        <w:t>In</w:t>
      </w:r>
      <w:r w:rsidR="00BA6F06">
        <w:t xml:space="preserve"> Australia, between 2012 and 2019 the gonorrhoea notification rate increased 127% (62.3 to 141.4 per 100 000), then decreased 23% between 2019 and 2021 (109.4 per 100 000 in 2021). </w:t>
      </w:r>
      <w:r w:rsidR="00A07244">
        <w:t>I</w:t>
      </w:r>
      <w:r w:rsidR="006B186A">
        <w:t>n 2023</w:t>
      </w:r>
      <w:r w:rsidR="00BA6F06">
        <w:t xml:space="preserve">, notification rates have </w:t>
      </w:r>
      <w:r w:rsidR="006B186A">
        <w:t xml:space="preserve">exceeded </w:t>
      </w:r>
      <w:r w:rsidR="00BA6F06">
        <w:t>pre-pandemic levels</w:t>
      </w:r>
      <w:r w:rsidR="00551D1C">
        <w:t xml:space="preserve"> [13, 14]</w:t>
      </w:r>
      <w:r w:rsidR="00571AD4">
        <w:t xml:space="preserve">. </w:t>
      </w:r>
    </w:p>
    <w:p w14:paraId="04CF869B" w14:textId="30F47C45" w:rsidR="00FA0205" w:rsidRDefault="00BA6F06" w:rsidP="00A86F37">
      <w:pPr>
        <w:jc w:val="both"/>
      </w:pPr>
      <w:r>
        <w:t xml:space="preserve">A recent Australian jurisdictional epidemiological and genomic analysis of 2,186 </w:t>
      </w:r>
      <w:r w:rsidRPr="00FA0205">
        <w:rPr>
          <w:i/>
          <w:iCs/>
        </w:rPr>
        <w:t>N. gonorrhoeae</w:t>
      </w:r>
      <w:r>
        <w:t xml:space="preserve"> isolates demonstrated widespread transmission within and between population groups, with distinct transmission clusters associated with men who have sex with men and heterosexuals. Men who have sex with men and women were identified as potential bridging population between these groups. The study also identified transmission of </w:t>
      </w:r>
      <w:r w:rsidRPr="00FA0205">
        <w:rPr>
          <w:i/>
          <w:iCs/>
        </w:rPr>
        <w:t>N. gonorrhoeae</w:t>
      </w:r>
      <w:r>
        <w:t xml:space="preserve"> </w:t>
      </w:r>
      <w:r>
        <w:lastRenderedPageBreak/>
        <w:t>between HIV-positive and HIV-negative individuals receiving pre-exposure prophylaxis (</w:t>
      </w:r>
      <w:proofErr w:type="spellStart"/>
      <w:r>
        <w:t>PrEP</w:t>
      </w:r>
      <w:proofErr w:type="spellEnd"/>
      <w:r>
        <w:t xml:space="preserve">) </w:t>
      </w:r>
      <w:r w:rsidR="00AB150F">
        <w:t>[</w:t>
      </w:r>
      <w:r w:rsidR="00551D1C">
        <w:t>15</w:t>
      </w:r>
      <w:r w:rsidR="00AB150F">
        <w:t>]</w:t>
      </w:r>
      <w:r>
        <w:t>.</w:t>
      </w:r>
    </w:p>
    <w:p w14:paraId="6341840D" w14:textId="5299DD53" w:rsidR="000B2A46" w:rsidRDefault="00BA6F06" w:rsidP="000B2A46">
      <w:pPr>
        <w:jc w:val="both"/>
      </w:pPr>
      <w:r>
        <w:t>Globally, disease control strategies for gonorrhoea rely on effective antimicrobial therapy</w:t>
      </w:r>
      <w:r w:rsidR="00FC4ECA">
        <w:t>; and a</w:t>
      </w:r>
      <w:r>
        <w:t>ntimicrobial resistance (AMR) poses a substantial threat</w:t>
      </w:r>
      <w:r w:rsidR="00AC14FD">
        <w:t xml:space="preserve"> </w:t>
      </w:r>
      <w:r w:rsidR="00FC4ECA">
        <w:t xml:space="preserve">as, over time, </w:t>
      </w:r>
      <w:r w:rsidRPr="7B0E81AC">
        <w:rPr>
          <w:i/>
          <w:iCs/>
        </w:rPr>
        <w:t>N. gonorrhoeae</w:t>
      </w:r>
      <w:r>
        <w:t xml:space="preserve"> has progressively developed resistance to all drugs used for empirical first-line treatment </w:t>
      </w:r>
      <w:r w:rsidR="00AB150F">
        <w:t>[</w:t>
      </w:r>
      <w:r w:rsidR="00C70240">
        <w:t>16</w:t>
      </w:r>
      <w:r w:rsidR="00AB150F">
        <w:t>]</w:t>
      </w:r>
      <w:r>
        <w:t>. Currently</w:t>
      </w:r>
      <w:r w:rsidR="00AC14FD">
        <w:t xml:space="preserve"> </w:t>
      </w:r>
      <w:r>
        <w:t>ceftriaxone is the mainstay of therapy</w:t>
      </w:r>
      <w:r w:rsidR="00C70240">
        <w:t xml:space="preserve"> however</w:t>
      </w:r>
      <w:r>
        <w:t xml:space="preserve">, raised minimum inhibitory concentration (MIC) values </w:t>
      </w:r>
      <w:r w:rsidR="00C66530">
        <w:t xml:space="preserve">or resistance </w:t>
      </w:r>
      <w:r>
        <w:t>to ceftriaxone</w:t>
      </w:r>
      <w:r w:rsidR="00C66530">
        <w:t>,</w:t>
      </w:r>
      <w:r>
        <w:t xml:space="preserve"> </w:t>
      </w:r>
      <w:r w:rsidR="00C66530">
        <w:t xml:space="preserve">and treatment failures have </w:t>
      </w:r>
      <w:r>
        <w:t xml:space="preserve">been reported </w:t>
      </w:r>
      <w:r w:rsidR="00AB150F">
        <w:t>[</w:t>
      </w:r>
      <w:r w:rsidR="00256BC9" w:rsidRPr="00A86F37">
        <w:t>16</w:t>
      </w:r>
      <w:r w:rsidR="00AB150F">
        <w:t>]</w:t>
      </w:r>
      <w:r w:rsidR="00E54CC1">
        <w:t>.</w:t>
      </w:r>
      <w:r>
        <w:t xml:space="preserve"> </w:t>
      </w:r>
      <w:r w:rsidR="00C66530">
        <w:t>In recent years the i</w:t>
      </w:r>
      <w:r>
        <w:t xml:space="preserve">nternational spread of ceftriaxone-resistant gonococcal strains has been confirmed </w:t>
      </w:r>
      <w:r w:rsidR="00AB150F">
        <w:t>[</w:t>
      </w:r>
      <w:r w:rsidR="00256BC9">
        <w:t>17</w:t>
      </w:r>
      <w:r w:rsidR="00AB150F">
        <w:t>]</w:t>
      </w:r>
      <w:r>
        <w:t xml:space="preserve"> and the first gonococcal clone with resistance to ceftriaxone combined with high-level resistance to azithromycin was isolated in the UK and Australia</w:t>
      </w:r>
      <w:r w:rsidR="00C66530">
        <w:t xml:space="preserve"> in 2018</w:t>
      </w:r>
      <w:r>
        <w:t xml:space="preserve"> </w:t>
      </w:r>
      <w:r w:rsidR="00AB150F">
        <w:t>[</w:t>
      </w:r>
      <w:r w:rsidR="00256BC9">
        <w:t>18</w:t>
      </w:r>
      <w:r w:rsidR="00AB150F">
        <w:t>]</w:t>
      </w:r>
      <w:r>
        <w:t xml:space="preserve">. Due to gaps in AMR surveillance, the extent of gonococcal antimicrobial resistance and treatment failure rates is not well understood globally, especially in low-resource settings with high disease prevalence </w:t>
      </w:r>
      <w:r w:rsidR="00AB150F">
        <w:t>[</w:t>
      </w:r>
      <w:r>
        <w:t>1</w:t>
      </w:r>
      <w:r w:rsidR="00256BC9">
        <w:t>6</w:t>
      </w:r>
      <w:r w:rsidR="00C66530">
        <w:t xml:space="preserve">]. However, infections </w:t>
      </w:r>
      <w:r>
        <w:t xml:space="preserve">acquired in, or from, the Asia-Pacific represent most of the verified ceftriaxone treatment failures </w:t>
      </w:r>
      <w:r w:rsidR="00AB150F">
        <w:t>[</w:t>
      </w:r>
      <w:r w:rsidR="00256BC9">
        <w:t>16</w:t>
      </w:r>
      <w:r w:rsidR="00AB150F">
        <w:t>]</w:t>
      </w:r>
      <w:r w:rsidR="00E54CC1">
        <w:t>.</w:t>
      </w:r>
      <w:r w:rsidR="001E2E3D">
        <w:t xml:space="preserve"> </w:t>
      </w:r>
      <w:r w:rsidR="000B2A46" w:rsidRPr="00A86F37">
        <w:t xml:space="preserve">Since 2022, </w:t>
      </w:r>
      <w:r w:rsidR="001E2E3D" w:rsidRPr="00A86F37">
        <w:t xml:space="preserve">reports </w:t>
      </w:r>
      <w:r w:rsidR="000B2A46" w:rsidRPr="00A86F37">
        <w:t>of ceftriaxone resistant and extensively drug resistant isolates in Australia, the United Kingdom and Europe have increased</w:t>
      </w:r>
      <w:r w:rsidR="000B2A46">
        <w:t xml:space="preserve"> </w:t>
      </w:r>
      <w:r w:rsidR="001E2E3D">
        <w:t>[</w:t>
      </w:r>
      <w:r w:rsidR="00695CF5">
        <w:t>19-21</w:t>
      </w:r>
      <w:r w:rsidR="001E2E3D">
        <w:t xml:space="preserve">] </w:t>
      </w:r>
      <w:r w:rsidR="00677982">
        <w:t xml:space="preserve">The importation of MDR and XDR </w:t>
      </w:r>
      <w:r w:rsidR="00677982" w:rsidRPr="7B0E81AC">
        <w:rPr>
          <w:i/>
          <w:iCs/>
        </w:rPr>
        <w:t>N. gonorrhoeae</w:t>
      </w:r>
      <w:r w:rsidR="00677982">
        <w:t xml:space="preserve"> remains an ongoing threat to Australia</w:t>
      </w:r>
      <w:r w:rsidR="000B2A46">
        <w:t xml:space="preserve"> [</w:t>
      </w:r>
      <w:r w:rsidR="00695CF5">
        <w:t>22-23</w:t>
      </w:r>
      <w:r w:rsidR="000B2A46">
        <w:t xml:space="preserve">]. </w:t>
      </w:r>
    </w:p>
    <w:p w14:paraId="0C6CF10B" w14:textId="24499220" w:rsidR="002B718F" w:rsidRDefault="00BA6F06" w:rsidP="00A86F37">
      <w:pPr>
        <w:jc w:val="both"/>
      </w:pPr>
      <w:r>
        <w:t>The Australian Gonococcal Surveillance Programme (AGSP) has continuous</w:t>
      </w:r>
      <w:r w:rsidR="0C896E22">
        <w:t>ly</w:t>
      </w:r>
      <w:r>
        <w:t xml:space="preserve"> monitored gonococcal AMR since 1981.  The emergence of gonococcal AMR in Australia has been driven by importation of resistant strains</w:t>
      </w:r>
      <w:r w:rsidR="000B2A46">
        <w:t xml:space="preserve"> and recent findings heighten concerns for the</w:t>
      </w:r>
      <w:r w:rsidR="00695CF5">
        <w:t xml:space="preserve"> future of treatment and disease control.</w:t>
      </w:r>
    </w:p>
    <w:p w14:paraId="2A861721" w14:textId="1BF9E95D" w:rsidR="00A53F74" w:rsidRPr="00A53F74" w:rsidRDefault="00BA6F06" w:rsidP="00A86F37">
      <w:pPr>
        <w:jc w:val="both"/>
      </w:pPr>
      <w:r>
        <w:t xml:space="preserve">The WHO Global Action Plan on </w:t>
      </w:r>
      <w:r w:rsidR="002B718F">
        <w:t>AMR identifies</w:t>
      </w:r>
      <w:r>
        <w:t xml:space="preserve"> key priorities including detection and prompt treatment of patients and their sexual partners, good compliance with recommended treatment regimen, patient education, and strengthening surveillance and research </w:t>
      </w:r>
      <w:r w:rsidR="00AB150F">
        <w:t>[</w:t>
      </w:r>
      <w:r w:rsidR="00695CF5">
        <w:t>24</w:t>
      </w:r>
      <w:r>
        <w:t xml:space="preserve">, </w:t>
      </w:r>
      <w:r w:rsidR="00695CF5">
        <w:t>25</w:t>
      </w:r>
      <w:r w:rsidR="00AB150F">
        <w:t>]</w:t>
      </w:r>
      <w:r w:rsidR="002B718F">
        <w:t xml:space="preserve">. </w:t>
      </w:r>
    </w:p>
    <w:p w14:paraId="62B20DC4" w14:textId="77777777" w:rsidR="00751598" w:rsidRDefault="00A432D2" w:rsidP="00A53F74">
      <w:pPr>
        <w:pStyle w:val="Heading1"/>
      </w:pPr>
      <w:r>
        <w:t>Laboratory diagnosis</w:t>
      </w:r>
    </w:p>
    <w:p w14:paraId="421A8D6B" w14:textId="77777777" w:rsidR="00644CD8" w:rsidRDefault="00644CD8" w:rsidP="00644CD8">
      <w:bookmarkStart w:id="2" w:name="_Hlk125031091"/>
      <w:r w:rsidRPr="00644CD8">
        <w:t xml:space="preserve">Reporting: Gonorrhoea is a notifiable disease in Australia. Only confirmed cases should be notified. </w:t>
      </w:r>
    </w:p>
    <w:p w14:paraId="56641CB2" w14:textId="77777777" w:rsidR="00644CD8" w:rsidRPr="005D6601" w:rsidRDefault="00976AB2" w:rsidP="00644CD8">
      <w:hyperlink r:id="rId18" w:history="1">
        <w:r w:rsidR="00644CD8" w:rsidRPr="00A2114D">
          <w:rPr>
            <w:rStyle w:val="Hyperlink"/>
          </w:rPr>
          <w:t>https://www1.health.gov.au/internet/main/publishing.nsf/Content/cda-surveil-nndss-casedefs-cd_gono.htm</w:t>
        </w:r>
      </w:hyperlink>
      <w:r w:rsidR="00644CD8" w:rsidRPr="005D6601">
        <w:t xml:space="preserve"> </w:t>
      </w:r>
    </w:p>
    <w:p w14:paraId="1253391D" w14:textId="77777777" w:rsidR="002B718F" w:rsidRDefault="00644CD8" w:rsidP="00A86F37">
      <w:pPr>
        <w:jc w:val="both"/>
      </w:pPr>
      <w:r w:rsidRPr="00644CD8">
        <w:t xml:space="preserve">Laboratory diagnosis of gonorrhoea is by bacterial culture and/or nucleic acid amplification testing (NAAT). NAAT has the advantage over culture of having greater diagnostic sensitivity, generally lower result turnaround time and the ability to detect other sexually transmitted </w:t>
      </w:r>
      <w:r w:rsidRPr="00644CD8">
        <w:lastRenderedPageBreak/>
        <w:t>infections (</w:t>
      </w:r>
      <w:proofErr w:type="gramStart"/>
      <w:r w:rsidRPr="00644CD8">
        <w:t>e.g.</w:t>
      </w:r>
      <w:proofErr w:type="gramEnd"/>
      <w:r w:rsidRPr="00644CD8">
        <w:t xml:space="preserve"> </w:t>
      </w:r>
      <w:r w:rsidRPr="002B718F">
        <w:rPr>
          <w:i/>
          <w:iCs/>
        </w:rPr>
        <w:t>Chlamydia trachomatis</w:t>
      </w:r>
      <w:r w:rsidRPr="00644CD8">
        <w:t xml:space="preserve">), so is the mainstay of diagnosis. However, where possible, all patients with probable gonococcal infection clinically, or who have tested positive by NAAT, should have a swab </w:t>
      </w:r>
      <w:r w:rsidR="002B718F" w:rsidRPr="00644CD8">
        <w:t>collected for</w:t>
      </w:r>
      <w:r w:rsidRPr="00644CD8">
        <w:t xml:space="preserve"> culture and susceptibility testing, prior to antibiotic treatment. This is increasingly important with the emergence of AMR.  </w:t>
      </w:r>
    </w:p>
    <w:p w14:paraId="5C0BAE66" w14:textId="6B70BBCE" w:rsidR="00F62BFF" w:rsidRDefault="00644CD8" w:rsidP="00A86F37">
      <w:pPr>
        <w:jc w:val="both"/>
      </w:pPr>
      <w:r>
        <w:t>Rapid (</w:t>
      </w:r>
      <w:r w:rsidR="00695CF5">
        <w:t>~</w:t>
      </w:r>
      <w:r>
        <w:t xml:space="preserve">90 minute) NAAT tests for gonococcal infection and chlamydia are available, greatly reducing the time to treatment. These tests may be performed within laboratories or based at the clinician-patient interface as point-of care tests (POCTs).  Within Australia, POCTs may be supervised within the scope of practice and accreditation quality framework of a NATA accredited laboratory; or performed independently of a supervising laboratory such as in a clinic setting.   Positive results from POCTs performed independently of a supervising laboratory should be confirmed by </w:t>
      </w:r>
      <w:r w:rsidR="07ABA15B">
        <w:t xml:space="preserve">a </w:t>
      </w:r>
      <w:r>
        <w:t>NATA accredited laboratory.  Those that are not confirmed with conventional laboratory testing should be notified to the relevant state/territory health authority by the person performing the test. Rapid lateral flow tests for gonococcal infection are not currently recommended due to poor performance.</w:t>
      </w:r>
    </w:p>
    <w:bookmarkEnd w:id="2"/>
    <w:p w14:paraId="6231C5DB" w14:textId="77777777" w:rsidR="00E71D87" w:rsidRDefault="00BA6F06" w:rsidP="00C000BA">
      <w:pPr>
        <w:pStyle w:val="Heading2"/>
      </w:pPr>
      <w:r>
        <w:t>Microscopy</w:t>
      </w:r>
    </w:p>
    <w:p w14:paraId="0A37501D" w14:textId="29D0A6C3" w:rsidR="002B54B5" w:rsidRDefault="00BC020A" w:rsidP="00A86F37">
      <w:pPr>
        <w:jc w:val="both"/>
        <w:sectPr w:rsidR="002B54B5" w:rsidSect="00AE5C18">
          <w:headerReference w:type="default" r:id="rId19"/>
          <w:footerReference w:type="default" r:id="rId20"/>
          <w:headerReference w:type="first" r:id="rId21"/>
          <w:pgSz w:w="11907" w:h="16840" w:code="9"/>
          <w:pgMar w:top="1440" w:right="1440" w:bottom="1440" w:left="1440" w:header="680" w:footer="457" w:gutter="0"/>
          <w:paperSrc w:first="2" w:other="2"/>
          <w:cols w:space="720"/>
          <w:titlePg/>
          <w:docGrid w:linePitch="326"/>
        </w:sectPr>
      </w:pPr>
      <w:r w:rsidRPr="22074AAC">
        <w:rPr>
          <w:i/>
          <w:iCs/>
        </w:rPr>
        <w:t>N. gonorrhoeae</w:t>
      </w:r>
      <w:r>
        <w:t xml:space="preserve"> appears as Gram-negative diplococci on Gram’s staining, with either extracellular placement, or intracellular placement in polymorphonuclear leukocytes. Direct microscopy of a </w:t>
      </w:r>
      <w:r w:rsidR="003B1DAF">
        <w:t>Gram-stained</w:t>
      </w:r>
      <w:r>
        <w:t xml:space="preserve"> smear is suitable in defined settings for the rapid presumptive diagnosis of symptomatic </w:t>
      </w:r>
      <w:r w:rsidRPr="22074AAC">
        <w:rPr>
          <w:i/>
          <w:iCs/>
        </w:rPr>
        <w:t>N. gonorrhoea</w:t>
      </w:r>
      <w:r>
        <w:t xml:space="preserve"> from male patients, with &gt;95% sensitivity and specificity. Given poor sensitivity and specificity, microscopy is not recommended for cervical, vaginal, rectal and throat infections</w:t>
      </w:r>
      <w:r w:rsidR="002B07F3">
        <w:t>.</w:t>
      </w:r>
      <w:r>
        <w:t xml:space="preserve"> </w:t>
      </w:r>
      <w:r w:rsidR="00AB150F">
        <w:t>[</w:t>
      </w:r>
      <w:r w:rsidR="00695CF5">
        <w:t>26</w:t>
      </w:r>
      <w:r w:rsidR="00AB150F">
        <w:t>]</w:t>
      </w:r>
      <w:r>
        <w:t>. Diagnosis is confirmed by culture or NAAT.</w:t>
      </w:r>
    </w:p>
    <w:p w14:paraId="74C100EA" w14:textId="77777777" w:rsidR="00495BE0" w:rsidRDefault="002B07F3" w:rsidP="00C000BA">
      <w:pPr>
        <w:pStyle w:val="Heading2"/>
      </w:pPr>
      <w:r>
        <w:lastRenderedPageBreak/>
        <w:t>Culture</w:t>
      </w:r>
    </w:p>
    <w:p w14:paraId="7FAB1822" w14:textId="70A49B05" w:rsidR="00495BE0" w:rsidRDefault="002B07F3" w:rsidP="00A86F37">
      <w:pPr>
        <w:jc w:val="both"/>
      </w:pPr>
      <w:r>
        <w:t xml:space="preserve">Bacterial culture is sensitive and highly </w:t>
      </w:r>
      <w:proofErr w:type="gramStart"/>
      <w:r w:rsidR="00DF18C5">
        <w:t>specific</w:t>
      </w:r>
      <w:proofErr w:type="gramEnd"/>
      <w:r w:rsidR="00DF18C5">
        <w:t xml:space="preserve"> but</w:t>
      </w:r>
      <w:r>
        <w:t xml:space="preserve"> </w:t>
      </w:r>
      <w:r w:rsidR="00F85932">
        <w:t xml:space="preserve">this </w:t>
      </w:r>
      <w:r>
        <w:t xml:space="preserve">varies by sample. For urethral and cervical specimens, sensitivity approaches 85–95% under optimal conditions </w:t>
      </w:r>
      <w:r w:rsidR="00AB150F">
        <w:t>[</w:t>
      </w:r>
      <w:r w:rsidR="00E8507E" w:rsidRPr="00A86F37">
        <w:t>27</w:t>
      </w:r>
      <w:r>
        <w:t xml:space="preserve">, </w:t>
      </w:r>
      <w:r w:rsidR="00E8507E" w:rsidRPr="00A86F37">
        <w:t>28</w:t>
      </w:r>
      <w:r w:rsidR="00AB150F">
        <w:t>]</w:t>
      </w:r>
      <w:r>
        <w:t xml:space="preserve"> and specificity up to 100%. Culture remains necessary for comprehensive antimicrobial susceptibility testing.  For optimal results, swabs should be immediately inoculated </w:t>
      </w:r>
      <w:r w:rsidR="00DF18C5">
        <w:t>onto specific</w:t>
      </w:r>
      <w:r>
        <w:t xml:space="preserve"> enriched media for growth, and selective media for isolation from mucosal sites with commensal </w:t>
      </w:r>
      <w:r w:rsidR="007D54A4">
        <w:t>flora and</w:t>
      </w:r>
      <w:r w:rsidR="00F85932">
        <w:t xml:space="preserve"> incubated </w:t>
      </w:r>
      <w:r>
        <w:t xml:space="preserve">in 4-6% CO2 at 35-37C with 70-80% humidity for 24 hours. Macroscopically </w:t>
      </w:r>
      <w:r w:rsidRPr="22074AAC">
        <w:rPr>
          <w:i/>
          <w:iCs/>
        </w:rPr>
        <w:t>N. gonorrhoeae</w:t>
      </w:r>
      <w:r>
        <w:t xml:space="preserve"> appear as small, shiny gr</w:t>
      </w:r>
      <w:r w:rsidR="35BAFA32">
        <w:t>e</w:t>
      </w:r>
      <w:r>
        <w:t xml:space="preserve">y colonies; </w:t>
      </w:r>
      <w:r w:rsidR="007D54A4">
        <w:t>however,</w:t>
      </w:r>
      <w:r>
        <w:t xml:space="preserve"> variation is possible.</w:t>
      </w:r>
    </w:p>
    <w:p w14:paraId="6AEC6BD9" w14:textId="77777777" w:rsidR="00495BE0" w:rsidRDefault="002B07F3" w:rsidP="22074AAC">
      <w:pPr>
        <w:pStyle w:val="Heading3"/>
      </w:pPr>
      <w:r>
        <w:t>Confirmation of Identification</w:t>
      </w:r>
    </w:p>
    <w:p w14:paraId="70F61D7A" w14:textId="674DA44D" w:rsidR="00495BE0" w:rsidRDefault="002B07F3" w:rsidP="00A86F37">
      <w:pPr>
        <w:jc w:val="both"/>
      </w:pPr>
      <w:r w:rsidRPr="002B07F3">
        <w:rPr>
          <w:lang w:val="en" w:eastAsia="en-US"/>
        </w:rPr>
        <w:t xml:space="preserve">Historically, confirmation of isolate identity relied on various tests, including Gram’s staining and microscopy, positive cytochrome oxidase reaction, biochemical tests, immunological, spectrometric, and molecular </w:t>
      </w:r>
      <w:r w:rsidRPr="00E8507E">
        <w:rPr>
          <w:lang w:val="en" w:eastAsia="en-US"/>
        </w:rPr>
        <w:t xml:space="preserve">tests </w:t>
      </w:r>
      <w:r w:rsidR="00E8507E">
        <w:rPr>
          <w:lang w:val="en" w:eastAsia="en-US"/>
        </w:rPr>
        <w:t>[</w:t>
      </w:r>
      <w:r w:rsidR="00E8507E" w:rsidRPr="00E8507E">
        <w:rPr>
          <w:lang w:val="en" w:eastAsia="en-US"/>
        </w:rPr>
        <w:t>2</w:t>
      </w:r>
      <w:r w:rsidR="00E8507E" w:rsidRPr="00A86F37">
        <w:rPr>
          <w:lang w:val="en" w:eastAsia="en-US"/>
        </w:rPr>
        <w:t>9</w:t>
      </w:r>
      <w:r w:rsidR="00E8507E">
        <w:rPr>
          <w:lang w:val="en" w:eastAsia="en-US"/>
        </w:rPr>
        <w:t>]</w:t>
      </w:r>
      <w:r w:rsidR="00E8507E" w:rsidRPr="00E8507E">
        <w:rPr>
          <w:lang w:val="en" w:eastAsia="en-US"/>
        </w:rPr>
        <w:t xml:space="preserve">. </w:t>
      </w:r>
      <w:r w:rsidR="00E8507E">
        <w:rPr>
          <w:lang w:val="en" w:eastAsia="en-US"/>
        </w:rPr>
        <w:t>M</w:t>
      </w:r>
      <w:r w:rsidRPr="002B07F3">
        <w:rPr>
          <w:lang w:val="en" w:eastAsia="en-US"/>
        </w:rPr>
        <w:t xml:space="preserve">ass spectrometry technology is now widely used for </w:t>
      </w:r>
      <w:r w:rsidR="00DF18C5" w:rsidRPr="002B07F3">
        <w:rPr>
          <w:lang w:val="en" w:eastAsia="en-US"/>
        </w:rPr>
        <w:t>identification of</w:t>
      </w:r>
      <w:r w:rsidRPr="002B07F3">
        <w:rPr>
          <w:lang w:val="en" w:eastAsia="en-US"/>
        </w:rPr>
        <w:t xml:space="preserve"> bacteria. For </w:t>
      </w:r>
      <w:r w:rsidRPr="00DF18C5">
        <w:rPr>
          <w:i/>
          <w:iCs/>
          <w:lang w:val="en" w:eastAsia="en-US"/>
        </w:rPr>
        <w:t>N. gonorrhoeae</w:t>
      </w:r>
      <w:r w:rsidRPr="002B07F3">
        <w:rPr>
          <w:lang w:val="en" w:eastAsia="en-US"/>
        </w:rPr>
        <w:t xml:space="preserve">, this technology has a positive predictive value exceeding 99%. Gonococcal typing and genome sequencing is performed for scientific, epidemiological, and public health investigations.     </w:t>
      </w:r>
    </w:p>
    <w:p w14:paraId="13AE0CBA" w14:textId="77777777" w:rsidR="00AE5C18" w:rsidRDefault="002B07F3" w:rsidP="00AE5C18">
      <w:pPr>
        <w:pStyle w:val="Heading3"/>
      </w:pPr>
      <w:r>
        <w:t>Antimicrobial Susceptibility Testing</w:t>
      </w:r>
    </w:p>
    <w:p w14:paraId="5DAB6C7B" w14:textId="407EFEF5" w:rsidR="00A07244" w:rsidRDefault="002B07F3" w:rsidP="22074AAC">
      <w:pPr>
        <w:jc w:val="both"/>
      </w:pPr>
      <w:r>
        <w:t xml:space="preserve">Antimicrobial susceptibility testing should be part of the diagnostic and public health process and determined from MIC values using agar dilution methodology or </w:t>
      </w:r>
      <w:proofErr w:type="spellStart"/>
      <w:r>
        <w:t>Etest</w:t>
      </w:r>
      <w:proofErr w:type="spellEnd"/>
      <w:r>
        <w:t xml:space="preserve">® gradient diffusion strips. Disc diffusion testing is not recommended except in resource constrained settings. </w:t>
      </w:r>
      <w:r w:rsidR="00AB150F">
        <w:t>[</w:t>
      </w:r>
      <w:r w:rsidR="00E8507E">
        <w:t>29</w:t>
      </w:r>
      <w:r w:rsidR="00AB150F">
        <w:t>]</w:t>
      </w:r>
      <w:r>
        <w:t xml:space="preserve"> The Australian National Neisseria Network jurisdictional reference laboratories perform MIC testing for a panel of antibiotics including penicillin, ciprofloxacin, </w:t>
      </w:r>
      <w:proofErr w:type="gramStart"/>
      <w:r>
        <w:t>ceftriaxone</w:t>
      </w:r>
      <w:proofErr w:type="gramEnd"/>
      <w:r>
        <w:t xml:space="preserve"> and azithromycin on </w:t>
      </w:r>
      <w:r w:rsidRPr="22074AAC">
        <w:rPr>
          <w:i/>
          <w:iCs/>
        </w:rPr>
        <w:t>N. gonorrhoeae</w:t>
      </w:r>
      <w:r>
        <w:t xml:space="preserve"> for clinical management, and the Australian Gonococcal Surveillance Programme (AGSP). Both the European Committee on Antimicrobial Susceptibility Testing (EUCAST) and Clinical Laboratory Standards Institute (CLSI) provide interpretive criteria for gonococcal antimicrobial susceptibility testing. The 2016 WHO </w:t>
      </w:r>
      <w:r w:rsidRPr="22074AAC">
        <w:rPr>
          <w:i/>
          <w:iCs/>
        </w:rPr>
        <w:t>N. gonorrhoeae</w:t>
      </w:r>
      <w:r>
        <w:t xml:space="preserve"> reference strains are recommended for quality control in MIC testing</w:t>
      </w:r>
      <w:r w:rsidR="007D54A4">
        <w:t xml:space="preserve"> </w:t>
      </w:r>
      <w:r w:rsidR="00AB150F">
        <w:t>[</w:t>
      </w:r>
      <w:r>
        <w:t>3</w:t>
      </w:r>
      <w:r w:rsidR="00E8507E" w:rsidRPr="00A86F37">
        <w:t>0</w:t>
      </w:r>
      <w:r w:rsidR="00AB150F">
        <w:t>]</w:t>
      </w:r>
      <w:r w:rsidR="007D54A4">
        <w:t>.</w:t>
      </w:r>
      <w:r>
        <w:t xml:space="preserve"> The Communicable Diseases Intelligence publishes quarterly and annual AGSP reports</w:t>
      </w:r>
      <w:r w:rsidR="007D54A4">
        <w:t xml:space="preserve"> </w:t>
      </w:r>
      <w:r w:rsidR="00AB150F">
        <w:t>[</w:t>
      </w:r>
      <w:r w:rsidR="00E8507E">
        <w:t>3</w:t>
      </w:r>
      <w:r w:rsidR="00E8507E" w:rsidRPr="00A86F37">
        <w:t>1</w:t>
      </w:r>
      <w:r w:rsidR="00AB150F">
        <w:t>]</w:t>
      </w:r>
      <w:r w:rsidR="007D54A4">
        <w:t xml:space="preserve">. </w:t>
      </w:r>
    </w:p>
    <w:p w14:paraId="1F5182B8" w14:textId="77777777" w:rsidR="00E506CD" w:rsidRDefault="00E506CD" w:rsidP="00E506CD">
      <w:pPr>
        <w:pStyle w:val="Heading2"/>
      </w:pPr>
      <w:r>
        <w:t>Nucleic Acid Amplification Tests</w:t>
      </w:r>
    </w:p>
    <w:p w14:paraId="7BE944E1" w14:textId="47810E85" w:rsidR="00E506CD" w:rsidRPr="008037C5" w:rsidRDefault="00E506CD" w:rsidP="00A86F37">
      <w:pPr>
        <w:jc w:val="both"/>
      </w:pPr>
      <w:proofErr w:type="gramStart"/>
      <w:r>
        <w:t>The majority of</w:t>
      </w:r>
      <w:proofErr w:type="gramEnd"/>
      <w:r>
        <w:t xml:space="preserve"> infections are diagnosed by NAATS.  Advantages of NAATs versus culture include faster turnaround, higher sensitivity, simultaneous detection via multiplex targets, and </w:t>
      </w:r>
      <w:r w:rsidRPr="008037C5">
        <w:t xml:space="preserve">efficiency gains by adopting batch testing </w:t>
      </w:r>
      <w:r w:rsidR="00AB150F" w:rsidRPr="008037C5">
        <w:t>[</w:t>
      </w:r>
      <w:r w:rsidR="00E8507E" w:rsidRPr="008037C5">
        <w:t>32</w:t>
      </w:r>
      <w:r w:rsidRPr="008037C5">
        <w:t xml:space="preserve">, </w:t>
      </w:r>
      <w:r w:rsidR="00E8507E" w:rsidRPr="008037C5">
        <w:t>33</w:t>
      </w:r>
      <w:r w:rsidRPr="008037C5">
        <w:t xml:space="preserve">, </w:t>
      </w:r>
      <w:r w:rsidR="00E8507E" w:rsidRPr="008037C5">
        <w:t>34</w:t>
      </w:r>
      <w:r w:rsidRPr="008037C5">
        <w:t xml:space="preserve">, </w:t>
      </w:r>
      <w:r w:rsidR="00E8507E" w:rsidRPr="008037C5">
        <w:t>35</w:t>
      </w:r>
      <w:r w:rsidR="00AB150F" w:rsidRPr="008037C5">
        <w:t>]</w:t>
      </w:r>
      <w:r w:rsidRPr="008037C5">
        <w:t xml:space="preserve">.  </w:t>
      </w:r>
    </w:p>
    <w:p w14:paraId="2D1E1DAE" w14:textId="1B6F6CA5" w:rsidR="00E506CD" w:rsidRDefault="00E506CD" w:rsidP="00A86F37">
      <w:pPr>
        <w:tabs>
          <w:tab w:val="center" w:pos="4513"/>
        </w:tabs>
        <w:jc w:val="both"/>
      </w:pPr>
      <w:r w:rsidRPr="008037C5">
        <w:lastRenderedPageBreak/>
        <w:t xml:space="preserve">NAATs have proved of benefit in extra-genital sites where organism loads are typically lower, </w:t>
      </w:r>
      <w:r w:rsidR="00AB150F" w:rsidRPr="008037C5">
        <w:t>[</w:t>
      </w:r>
      <w:r w:rsidR="00E8507E" w:rsidRPr="008037C5">
        <w:t>33</w:t>
      </w:r>
      <w:r w:rsidRPr="008037C5">
        <w:t xml:space="preserve">, </w:t>
      </w:r>
      <w:r w:rsidR="008037C5" w:rsidRPr="008037C5">
        <w:t>3</w:t>
      </w:r>
      <w:r w:rsidR="008037C5" w:rsidRPr="00A86F37">
        <w:t>6</w:t>
      </w:r>
      <w:r w:rsidR="00AB150F" w:rsidRPr="008037C5">
        <w:t>]</w:t>
      </w:r>
      <w:r w:rsidRPr="008037C5">
        <w:t xml:space="preserve"> However, frequent mutations and gene transfer between commensal </w:t>
      </w:r>
      <w:r w:rsidRPr="008037C5">
        <w:rPr>
          <w:i/>
          <w:iCs/>
        </w:rPr>
        <w:t>Neisseria spp</w:t>
      </w:r>
      <w:r w:rsidRPr="008037C5">
        <w:t xml:space="preserve">. and </w:t>
      </w:r>
      <w:r w:rsidRPr="008037C5">
        <w:rPr>
          <w:i/>
          <w:iCs/>
        </w:rPr>
        <w:t>N. gonorrhoeae</w:t>
      </w:r>
      <w:r w:rsidRPr="008037C5">
        <w:t xml:space="preserve"> require a confirmatory assay from extra-genital sites. </w:t>
      </w:r>
      <w:r w:rsidR="00AB150F" w:rsidRPr="008037C5">
        <w:t>[</w:t>
      </w:r>
      <w:r w:rsidR="008037C5" w:rsidRPr="008037C5">
        <w:t>3</w:t>
      </w:r>
      <w:r w:rsidR="008037C5" w:rsidRPr="00A86F37">
        <w:t>6,37</w:t>
      </w:r>
      <w:r w:rsidR="00AB150F" w:rsidRPr="008037C5">
        <w:t>]</w:t>
      </w:r>
      <w:r>
        <w:t xml:space="preserve">    </w:t>
      </w:r>
    </w:p>
    <w:p w14:paraId="1696CA35" w14:textId="77777777" w:rsidR="00E506CD" w:rsidRPr="00C000BA" w:rsidRDefault="00E506CD" w:rsidP="00A86F37">
      <w:pPr>
        <w:tabs>
          <w:tab w:val="center" w:pos="4513"/>
        </w:tabs>
        <w:jc w:val="both"/>
      </w:pPr>
      <w:r>
        <w:t xml:space="preserve">Whilst some commercial NAATs are available for detection of </w:t>
      </w:r>
      <w:r w:rsidRPr="22074AAC">
        <w:rPr>
          <w:i/>
          <w:iCs/>
        </w:rPr>
        <w:t>N. gonorrhoeae</w:t>
      </w:r>
      <w:r>
        <w:t xml:space="preserve"> AMR markers, these are typically targeted to a single antibiotic and/or resistance mechanism. Consequently, culture remains the definitive method for characterising AMR.</w:t>
      </w:r>
    </w:p>
    <w:p w14:paraId="620C5675" w14:textId="77777777" w:rsidR="2F52BCB5" w:rsidRDefault="00432574" w:rsidP="00644CD8">
      <w:pPr>
        <w:pStyle w:val="Heading1"/>
        <w:numPr>
          <w:ilvl w:val="0"/>
          <w:numId w:val="45"/>
        </w:numPr>
      </w:pPr>
      <w:r>
        <w:t>SNOMED CT concepts</w:t>
      </w:r>
    </w:p>
    <w:tbl>
      <w:tblPr>
        <w:tblStyle w:val="ListTable3-Accent1"/>
        <w:tblW w:w="0" w:type="auto"/>
        <w:tblLook w:val="04A0" w:firstRow="1" w:lastRow="0" w:firstColumn="1" w:lastColumn="0" w:noHBand="0" w:noVBand="1"/>
      </w:tblPr>
      <w:tblGrid>
        <w:gridCol w:w="3005"/>
        <w:gridCol w:w="3006"/>
        <w:gridCol w:w="3006"/>
      </w:tblGrid>
      <w:tr w:rsidR="0AF9E4E0" w14:paraId="38F303D9" w14:textId="77777777" w:rsidTr="0AF9E4E0">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005" w:type="dxa"/>
          </w:tcPr>
          <w:p w14:paraId="4A09874F" w14:textId="77777777" w:rsidR="50F344E8" w:rsidRDefault="50F344E8" w:rsidP="0AF9E4E0">
            <w:pPr>
              <w:spacing w:before="120" w:after="120" w:line="240" w:lineRule="auto"/>
            </w:pPr>
            <w:r>
              <w:t>SNOMED CT co</w:t>
            </w:r>
            <w:r w:rsidR="006137DB">
              <w:t>de</w:t>
            </w:r>
          </w:p>
        </w:tc>
        <w:tc>
          <w:tcPr>
            <w:tcW w:w="3006" w:type="dxa"/>
          </w:tcPr>
          <w:p w14:paraId="2A298F16" w14:textId="77777777" w:rsidR="45F50DE6" w:rsidRDefault="006137DB" w:rsidP="0AF9E4E0">
            <w:pPr>
              <w:spacing w:before="120" w:after="120" w:line="240" w:lineRule="auto"/>
              <w:cnfStyle w:val="100000000000" w:firstRow="1" w:lastRow="0" w:firstColumn="0" w:lastColumn="0" w:oddVBand="0" w:evenVBand="0" w:oddHBand="0" w:evenHBand="0" w:firstRowFirstColumn="0" w:firstRowLastColumn="0" w:lastRowFirstColumn="0" w:lastRowLastColumn="0"/>
            </w:pPr>
            <w:r>
              <w:t>Concept</w:t>
            </w:r>
            <w:r w:rsidR="45F50DE6">
              <w:t xml:space="preserve"> n</w:t>
            </w:r>
            <w:r w:rsidR="50F344E8">
              <w:t>ame</w:t>
            </w:r>
          </w:p>
        </w:tc>
        <w:tc>
          <w:tcPr>
            <w:tcW w:w="3006" w:type="dxa"/>
          </w:tcPr>
          <w:p w14:paraId="31FF54C8" w14:textId="77777777" w:rsidR="50F344E8" w:rsidRDefault="50F344E8" w:rsidP="0AF9E4E0">
            <w:pPr>
              <w:spacing w:before="120" w:after="120" w:line="240" w:lineRule="auto"/>
              <w:cnfStyle w:val="100000000000" w:firstRow="1" w:lastRow="0" w:firstColumn="0" w:lastColumn="0" w:oddVBand="0" w:evenVBand="0" w:oddHBand="0" w:evenHBand="0" w:firstRowFirstColumn="0" w:firstRowLastColumn="0" w:lastRowFirstColumn="0" w:lastRowLastColumn="0"/>
            </w:pPr>
            <w:r>
              <w:t>Description</w:t>
            </w:r>
          </w:p>
        </w:tc>
      </w:tr>
      <w:tr w:rsidR="0AF9E4E0" w14:paraId="1E58489A" w14:textId="77777777" w:rsidTr="0AF9E4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5" w:type="dxa"/>
          </w:tcPr>
          <w:p w14:paraId="715474AA" w14:textId="77777777" w:rsidR="1A07964B" w:rsidRPr="003E5025" w:rsidRDefault="00E506CD" w:rsidP="0AF9E4E0">
            <w:pPr>
              <w:spacing w:before="120" w:after="120" w:line="240" w:lineRule="auto"/>
              <w:rPr>
                <w:b w:val="0"/>
                <w:bCs w:val="0"/>
              </w:rPr>
            </w:pPr>
            <w:r w:rsidRPr="003E5025">
              <w:rPr>
                <w:b w:val="0"/>
                <w:bCs w:val="0"/>
              </w:rPr>
              <w:t>68704007</w:t>
            </w:r>
          </w:p>
        </w:tc>
        <w:tc>
          <w:tcPr>
            <w:tcW w:w="3006" w:type="dxa"/>
          </w:tcPr>
          <w:p w14:paraId="530B1F01" w14:textId="77777777" w:rsidR="1A07964B" w:rsidRPr="003E5025" w:rsidRDefault="00E506CD" w:rsidP="0AF9E4E0">
            <w:pPr>
              <w:spacing w:before="120" w:after="120" w:line="240" w:lineRule="auto"/>
              <w:cnfStyle w:val="000000100000" w:firstRow="0" w:lastRow="0" w:firstColumn="0" w:lastColumn="0" w:oddVBand="0" w:evenVBand="0" w:oddHBand="1" w:evenHBand="0" w:firstRowFirstColumn="0" w:firstRowLastColumn="0" w:lastRowFirstColumn="0" w:lastRowLastColumn="0"/>
            </w:pPr>
            <w:r w:rsidRPr="003E5025">
              <w:t>Organism</w:t>
            </w:r>
          </w:p>
        </w:tc>
        <w:tc>
          <w:tcPr>
            <w:tcW w:w="3006" w:type="dxa"/>
          </w:tcPr>
          <w:p w14:paraId="48DC7AD1" w14:textId="77777777" w:rsidR="362B8187" w:rsidRPr="00A86F37" w:rsidRDefault="00E506CD" w:rsidP="0AF9E4E0">
            <w:pPr>
              <w:spacing w:before="120" w:after="120" w:line="240" w:lineRule="auto"/>
              <w:cnfStyle w:val="000000100000" w:firstRow="0" w:lastRow="0" w:firstColumn="0" w:lastColumn="0" w:oddVBand="0" w:evenVBand="0" w:oddHBand="1" w:evenHBand="0" w:firstRowFirstColumn="0" w:firstRowLastColumn="0" w:lastRowFirstColumn="0" w:lastRowLastColumn="0"/>
              <w:rPr>
                <w:i/>
              </w:rPr>
            </w:pPr>
            <w:r w:rsidRPr="00A86F37">
              <w:rPr>
                <w:i/>
              </w:rPr>
              <w:t>Neisseria gonorrhoeae</w:t>
            </w:r>
          </w:p>
        </w:tc>
      </w:tr>
      <w:tr w:rsidR="0AF9E4E0" w14:paraId="14A1ED23" w14:textId="77777777" w:rsidTr="0AF9E4E0">
        <w:trPr>
          <w:trHeight w:val="300"/>
        </w:trPr>
        <w:tc>
          <w:tcPr>
            <w:cnfStyle w:val="001000000000" w:firstRow="0" w:lastRow="0" w:firstColumn="1" w:lastColumn="0" w:oddVBand="0" w:evenVBand="0" w:oddHBand="0" w:evenHBand="0" w:firstRowFirstColumn="0" w:firstRowLastColumn="0" w:lastRowFirstColumn="0" w:lastRowLastColumn="0"/>
            <w:tcW w:w="3005" w:type="dxa"/>
          </w:tcPr>
          <w:p w14:paraId="7A8D107A" w14:textId="77777777" w:rsidR="0AF9E4E0" w:rsidRPr="003E5025" w:rsidRDefault="00E506CD" w:rsidP="0AF9E4E0">
            <w:pPr>
              <w:spacing w:before="120" w:after="120" w:line="240" w:lineRule="auto"/>
            </w:pPr>
            <w:r w:rsidRPr="003E5025">
              <w:rPr>
                <w:b w:val="0"/>
                <w:bCs w:val="0"/>
              </w:rPr>
              <w:t>15628003</w:t>
            </w:r>
          </w:p>
        </w:tc>
        <w:tc>
          <w:tcPr>
            <w:tcW w:w="3006" w:type="dxa"/>
          </w:tcPr>
          <w:p w14:paraId="43CA45B7" w14:textId="77777777" w:rsidR="0AF9E4E0" w:rsidRPr="003E5025" w:rsidRDefault="00E506CD" w:rsidP="0AF9E4E0">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3E5025">
              <w:t>Disorder</w:t>
            </w:r>
          </w:p>
        </w:tc>
        <w:tc>
          <w:tcPr>
            <w:tcW w:w="3006" w:type="dxa"/>
          </w:tcPr>
          <w:p w14:paraId="3F80B0E9" w14:textId="77777777" w:rsidR="0AF9E4E0" w:rsidRPr="003E5025" w:rsidRDefault="00E506CD" w:rsidP="0AF9E4E0">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3E5025">
              <w:t>Gonorrhoea</w:t>
            </w:r>
          </w:p>
        </w:tc>
      </w:tr>
      <w:tr w:rsidR="00E506CD" w14:paraId="22235495" w14:textId="77777777" w:rsidTr="0AF9E4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5" w:type="dxa"/>
          </w:tcPr>
          <w:p w14:paraId="7ED6DF60" w14:textId="77777777" w:rsidR="00E506CD" w:rsidRPr="003E5025" w:rsidRDefault="00E506CD" w:rsidP="0AF9E4E0">
            <w:pPr>
              <w:spacing w:before="120" w:after="120" w:line="240" w:lineRule="auto"/>
              <w:rPr>
                <w:b w:val="0"/>
                <w:bCs w:val="0"/>
              </w:rPr>
            </w:pPr>
            <w:r w:rsidRPr="003E5025">
              <w:rPr>
                <w:b w:val="0"/>
                <w:bCs w:val="0"/>
              </w:rPr>
              <w:t>122266004</w:t>
            </w:r>
          </w:p>
        </w:tc>
        <w:tc>
          <w:tcPr>
            <w:tcW w:w="3006" w:type="dxa"/>
          </w:tcPr>
          <w:p w14:paraId="6B5AB5D5" w14:textId="77777777" w:rsidR="00E506CD" w:rsidRPr="003E5025" w:rsidRDefault="00E506CD" w:rsidP="0AF9E4E0">
            <w:pPr>
              <w:spacing w:before="120" w:after="120" w:line="240" w:lineRule="auto"/>
              <w:cnfStyle w:val="000000100000" w:firstRow="0" w:lastRow="0" w:firstColumn="0" w:lastColumn="0" w:oddVBand="0" w:evenVBand="0" w:oddHBand="1" w:evenHBand="0" w:firstRowFirstColumn="0" w:firstRowLastColumn="0" w:lastRowFirstColumn="0" w:lastRowLastColumn="0"/>
            </w:pPr>
            <w:r w:rsidRPr="003E5025">
              <w:t>Procedure</w:t>
            </w:r>
          </w:p>
        </w:tc>
        <w:tc>
          <w:tcPr>
            <w:tcW w:w="3006" w:type="dxa"/>
          </w:tcPr>
          <w:p w14:paraId="2680B066" w14:textId="77777777" w:rsidR="00E506CD" w:rsidRPr="003E5025" w:rsidRDefault="00E506CD" w:rsidP="0AF9E4E0">
            <w:pPr>
              <w:spacing w:before="120" w:after="120" w:line="240" w:lineRule="auto"/>
              <w:cnfStyle w:val="000000100000" w:firstRow="0" w:lastRow="0" w:firstColumn="0" w:lastColumn="0" w:oddVBand="0" w:evenVBand="0" w:oddHBand="1" w:evenHBand="0" w:firstRowFirstColumn="0" w:firstRowLastColumn="0" w:lastRowFirstColumn="0" w:lastRowLastColumn="0"/>
            </w:pPr>
            <w:r w:rsidRPr="003E5025">
              <w:t>Neisseria gonorrhoeae culture</w:t>
            </w:r>
          </w:p>
        </w:tc>
      </w:tr>
      <w:tr w:rsidR="00E506CD" w14:paraId="112FBD0F" w14:textId="77777777" w:rsidTr="0AF9E4E0">
        <w:trPr>
          <w:trHeight w:val="300"/>
        </w:trPr>
        <w:tc>
          <w:tcPr>
            <w:cnfStyle w:val="001000000000" w:firstRow="0" w:lastRow="0" w:firstColumn="1" w:lastColumn="0" w:oddVBand="0" w:evenVBand="0" w:oddHBand="0" w:evenHBand="0" w:firstRowFirstColumn="0" w:firstRowLastColumn="0" w:lastRowFirstColumn="0" w:lastRowLastColumn="0"/>
            <w:tcW w:w="3005" w:type="dxa"/>
          </w:tcPr>
          <w:p w14:paraId="759CEC38" w14:textId="77777777" w:rsidR="00E506CD" w:rsidRPr="003E5025" w:rsidRDefault="00E506CD" w:rsidP="0AF9E4E0">
            <w:pPr>
              <w:spacing w:before="120" w:after="120" w:line="240" w:lineRule="auto"/>
              <w:rPr>
                <w:b w:val="0"/>
                <w:bCs w:val="0"/>
              </w:rPr>
            </w:pPr>
            <w:r w:rsidRPr="003E5025">
              <w:rPr>
                <w:b w:val="0"/>
                <w:bCs w:val="0"/>
              </w:rPr>
              <w:t>398381009</w:t>
            </w:r>
          </w:p>
        </w:tc>
        <w:tc>
          <w:tcPr>
            <w:tcW w:w="3006" w:type="dxa"/>
          </w:tcPr>
          <w:p w14:paraId="04235287" w14:textId="77777777" w:rsidR="00E506CD" w:rsidRPr="003E5025" w:rsidRDefault="00E506CD" w:rsidP="0AF9E4E0">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3E5025">
              <w:t>Procedure</w:t>
            </w:r>
          </w:p>
        </w:tc>
        <w:tc>
          <w:tcPr>
            <w:tcW w:w="3006" w:type="dxa"/>
          </w:tcPr>
          <w:p w14:paraId="6F01B47C" w14:textId="77777777" w:rsidR="00E506CD" w:rsidRPr="003E5025" w:rsidRDefault="00E506CD" w:rsidP="0AF9E4E0">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A86F37">
              <w:rPr>
                <w:i/>
              </w:rPr>
              <w:t>Neisseria gonorrhoeae</w:t>
            </w:r>
            <w:r w:rsidRPr="003E5025">
              <w:t xml:space="preserve"> nucleic acid detection</w:t>
            </w:r>
          </w:p>
        </w:tc>
      </w:tr>
      <w:tr w:rsidR="00E506CD" w14:paraId="33A36524" w14:textId="77777777" w:rsidTr="00CA028E">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3005" w:type="dxa"/>
          </w:tcPr>
          <w:p w14:paraId="6DE1700E" w14:textId="77777777" w:rsidR="00E506CD" w:rsidRPr="003E5025" w:rsidRDefault="00E506CD" w:rsidP="0AF9E4E0">
            <w:pPr>
              <w:spacing w:before="120" w:after="120" w:line="240" w:lineRule="auto"/>
              <w:rPr>
                <w:b w:val="0"/>
                <w:bCs w:val="0"/>
              </w:rPr>
            </w:pPr>
            <w:r w:rsidRPr="003E5025">
              <w:rPr>
                <w:b w:val="0"/>
                <w:bCs w:val="0"/>
              </w:rPr>
              <w:t>399143002</w:t>
            </w:r>
          </w:p>
        </w:tc>
        <w:tc>
          <w:tcPr>
            <w:tcW w:w="3006" w:type="dxa"/>
          </w:tcPr>
          <w:p w14:paraId="1F241533" w14:textId="77777777" w:rsidR="00E506CD" w:rsidRPr="003E5025" w:rsidRDefault="00C473D9" w:rsidP="0AF9E4E0">
            <w:pPr>
              <w:spacing w:before="120" w:after="120" w:line="240" w:lineRule="auto"/>
              <w:cnfStyle w:val="000000100000" w:firstRow="0" w:lastRow="0" w:firstColumn="0" w:lastColumn="0" w:oddVBand="0" w:evenVBand="0" w:oddHBand="1" w:evenHBand="0" w:firstRowFirstColumn="0" w:firstRowLastColumn="0" w:lastRowFirstColumn="0" w:lastRowLastColumn="0"/>
            </w:pPr>
            <w:r w:rsidRPr="003E5025">
              <w:t>Procedure</w:t>
            </w:r>
          </w:p>
        </w:tc>
        <w:tc>
          <w:tcPr>
            <w:tcW w:w="3006" w:type="dxa"/>
          </w:tcPr>
          <w:p w14:paraId="3DCF7262" w14:textId="77777777" w:rsidR="00E506CD" w:rsidRPr="003E5025" w:rsidRDefault="00C473D9" w:rsidP="0AF9E4E0">
            <w:pPr>
              <w:spacing w:before="120" w:after="120" w:line="240" w:lineRule="auto"/>
              <w:cnfStyle w:val="000000100000" w:firstRow="0" w:lastRow="0" w:firstColumn="0" w:lastColumn="0" w:oddVBand="0" w:evenVBand="0" w:oddHBand="1" w:evenHBand="0" w:firstRowFirstColumn="0" w:firstRowLastColumn="0" w:lastRowFirstColumn="0" w:lastRowLastColumn="0"/>
            </w:pPr>
            <w:r w:rsidRPr="003E5025">
              <w:t xml:space="preserve">Polymerase chain reaction test for </w:t>
            </w:r>
            <w:r w:rsidRPr="00A86F37">
              <w:rPr>
                <w:i/>
              </w:rPr>
              <w:t>Neisseria gonorrhoeae</w:t>
            </w:r>
          </w:p>
        </w:tc>
      </w:tr>
    </w:tbl>
    <w:p w14:paraId="02EB378F" w14:textId="77777777" w:rsidR="0078601B" w:rsidRDefault="0078601B">
      <w:pPr>
        <w:spacing w:before="0" w:after="200" w:line="276" w:lineRule="auto"/>
        <w:rPr>
          <w:rFonts w:eastAsia="Times New Roman"/>
          <w:color w:val="000000"/>
          <w:sz w:val="36"/>
          <w:szCs w:val="36"/>
        </w:rPr>
      </w:pPr>
      <w:r>
        <w:br w:type="page"/>
      </w:r>
    </w:p>
    <w:p w14:paraId="071E4E01" w14:textId="77777777" w:rsidR="00CD23B2" w:rsidRPr="007D0923" w:rsidRDefault="00CD23B2" w:rsidP="00CA028E">
      <w:pPr>
        <w:pStyle w:val="Heading1"/>
      </w:pPr>
      <w:r>
        <w:lastRenderedPageBreak/>
        <w:t>References</w:t>
      </w:r>
    </w:p>
    <w:p w14:paraId="53A6EB9A" w14:textId="77777777" w:rsidR="00584A1E" w:rsidRDefault="00C440A9" w:rsidP="00C000BA">
      <w:pPr>
        <w:pStyle w:val="ListParagraph"/>
        <w:numPr>
          <w:ilvl w:val="0"/>
          <w:numId w:val="38"/>
        </w:numPr>
        <w:ind w:left="360"/>
      </w:pPr>
      <w:proofErr w:type="spellStart"/>
      <w:r w:rsidRPr="00C440A9">
        <w:rPr>
          <w:rFonts w:eastAsia="Times New Roman"/>
          <w:color w:val="222222"/>
        </w:rPr>
        <w:t>Bignell</w:t>
      </w:r>
      <w:proofErr w:type="spellEnd"/>
      <w:r w:rsidRPr="00C440A9">
        <w:rPr>
          <w:rFonts w:eastAsia="Times New Roman"/>
          <w:color w:val="222222"/>
        </w:rPr>
        <w:t xml:space="preserve"> C, Fitzgerald M, Guideline Development Group, British Association for Sexual </w:t>
      </w:r>
      <w:proofErr w:type="gramStart"/>
      <w:r w:rsidRPr="00C440A9">
        <w:rPr>
          <w:rFonts w:eastAsia="Times New Roman"/>
          <w:color w:val="222222"/>
        </w:rPr>
        <w:t>Health</w:t>
      </w:r>
      <w:proofErr w:type="gramEnd"/>
      <w:r w:rsidRPr="00C440A9">
        <w:rPr>
          <w:rFonts w:eastAsia="Times New Roman"/>
          <w:color w:val="222222"/>
        </w:rPr>
        <w:t xml:space="preserve"> and HIV UK. UK national guideline for the management of gonorrhoea in adults. Int J STD AIDS 2011;22(10):541-7. </w:t>
      </w:r>
    </w:p>
    <w:p w14:paraId="5FD68F4C" w14:textId="77777777" w:rsidR="00C000BA" w:rsidRDefault="00C440A9" w:rsidP="00C000BA">
      <w:pPr>
        <w:pStyle w:val="ListParagraph"/>
        <w:numPr>
          <w:ilvl w:val="0"/>
          <w:numId w:val="38"/>
        </w:numPr>
        <w:ind w:left="360"/>
      </w:pPr>
      <w:r w:rsidRPr="00C440A9">
        <w:rPr>
          <w:rFonts w:eastAsia="Times New Roman"/>
          <w:color w:val="222222"/>
        </w:rPr>
        <w:t xml:space="preserve">Fletcher J, Gordon R. Perinatal transmission of bacterial sexually transmitted diseases. Part 1: Syphilis and </w:t>
      </w:r>
      <w:proofErr w:type="spellStart"/>
      <w:r w:rsidRPr="00C440A9">
        <w:rPr>
          <w:rFonts w:eastAsia="Times New Roman"/>
          <w:color w:val="222222"/>
        </w:rPr>
        <w:t>Gonorrhea</w:t>
      </w:r>
      <w:proofErr w:type="spellEnd"/>
      <w:r w:rsidRPr="00C440A9">
        <w:rPr>
          <w:rFonts w:eastAsia="Times New Roman"/>
          <w:color w:val="222222"/>
        </w:rPr>
        <w:t xml:space="preserve">. J Fam </w:t>
      </w:r>
      <w:proofErr w:type="spellStart"/>
      <w:r w:rsidRPr="00C440A9">
        <w:rPr>
          <w:rFonts w:eastAsia="Times New Roman"/>
          <w:color w:val="222222"/>
        </w:rPr>
        <w:t>Pract</w:t>
      </w:r>
      <w:proofErr w:type="spellEnd"/>
      <w:r w:rsidRPr="00C440A9">
        <w:rPr>
          <w:rFonts w:eastAsia="Times New Roman"/>
          <w:color w:val="222222"/>
        </w:rPr>
        <w:t>. 1990;30(4):448-56. xx</w:t>
      </w:r>
    </w:p>
    <w:p w14:paraId="219C829B" w14:textId="77777777" w:rsidR="00C000BA" w:rsidRDefault="00C440A9" w:rsidP="00C000BA">
      <w:pPr>
        <w:pStyle w:val="ListParagraph"/>
        <w:numPr>
          <w:ilvl w:val="0"/>
          <w:numId w:val="38"/>
        </w:numPr>
        <w:ind w:left="360"/>
      </w:pPr>
      <w:r>
        <w:rPr>
          <w:lang w:eastAsia="en-US"/>
        </w:rPr>
        <w:t xml:space="preserve">Goodyear-Smith F. What is the evidence for non-sexual transmission of gonorrhoea in children after the neonatal period? A systematic review. J Forensic and Legal Medicine 2007;14(8):489-502. </w:t>
      </w:r>
    </w:p>
    <w:p w14:paraId="06AB19CF" w14:textId="77777777" w:rsidR="00C000BA" w:rsidRDefault="00C440A9" w:rsidP="00C000BA">
      <w:pPr>
        <w:pStyle w:val="ListParagraph"/>
        <w:numPr>
          <w:ilvl w:val="0"/>
          <w:numId w:val="38"/>
        </w:numPr>
        <w:ind w:left="360"/>
      </w:pPr>
      <w:r w:rsidRPr="00C440A9">
        <w:rPr>
          <w:rFonts w:eastAsia="Times New Roman"/>
          <w:color w:val="222222"/>
        </w:rPr>
        <w:t>Australian Sexual Health Alliance (ASHA). Australian STI Management Guidelines for use in primary care 2022 [Accessed May 2023]. Available from: www.sti.guidelines.org.au/.</w:t>
      </w:r>
    </w:p>
    <w:p w14:paraId="31DD2AD7" w14:textId="77777777" w:rsidR="00C000BA" w:rsidRDefault="00C440A9" w:rsidP="00C000BA">
      <w:pPr>
        <w:pStyle w:val="ListParagraph"/>
        <w:numPr>
          <w:ilvl w:val="0"/>
          <w:numId w:val="38"/>
        </w:numPr>
        <w:ind w:left="360"/>
      </w:pPr>
      <w:proofErr w:type="spellStart"/>
      <w:r>
        <w:rPr>
          <w:lang w:eastAsia="en-US"/>
        </w:rPr>
        <w:t>Costumbrado</w:t>
      </w:r>
      <w:proofErr w:type="spellEnd"/>
      <w:r>
        <w:rPr>
          <w:lang w:eastAsia="en-US"/>
        </w:rPr>
        <w:t xml:space="preserve"> J, </w:t>
      </w:r>
      <w:proofErr w:type="spellStart"/>
      <w:r>
        <w:rPr>
          <w:lang w:eastAsia="en-US"/>
        </w:rPr>
        <w:t>Ghassemzadeh</w:t>
      </w:r>
      <w:proofErr w:type="spellEnd"/>
      <w:r>
        <w:rPr>
          <w:lang w:eastAsia="en-US"/>
        </w:rPr>
        <w:t xml:space="preserve"> S. Conjunctivitis, Gonococcal. Treasure Island (FL): </w:t>
      </w:r>
      <w:proofErr w:type="spellStart"/>
      <w:r>
        <w:rPr>
          <w:lang w:eastAsia="en-US"/>
        </w:rPr>
        <w:t>StatPearls</w:t>
      </w:r>
      <w:proofErr w:type="spellEnd"/>
      <w:r>
        <w:rPr>
          <w:lang w:eastAsia="en-US"/>
        </w:rPr>
        <w:t xml:space="preserve"> Publishing LLC; 2018 [Updated 2018 Jun 23]. </w:t>
      </w:r>
    </w:p>
    <w:p w14:paraId="2560848E" w14:textId="77777777" w:rsidR="00C000BA" w:rsidRDefault="00C440A9" w:rsidP="00C000BA">
      <w:pPr>
        <w:pStyle w:val="ListParagraph"/>
        <w:numPr>
          <w:ilvl w:val="0"/>
          <w:numId w:val="38"/>
        </w:numPr>
        <w:ind w:left="360"/>
      </w:pPr>
      <w:proofErr w:type="spellStart"/>
      <w:r>
        <w:rPr>
          <w:lang w:eastAsia="en-US"/>
        </w:rPr>
        <w:t>Dolange</w:t>
      </w:r>
      <w:proofErr w:type="spellEnd"/>
      <w:r>
        <w:rPr>
          <w:lang w:eastAsia="en-US"/>
        </w:rPr>
        <w:t xml:space="preserve"> V, Churchward C, Christodoulides M, Snyder L. The growing threat of gonococcal blindness. Antibiotics (Basel). 2018;7(3</w:t>
      </w:r>
      <w:proofErr w:type="gramStart"/>
      <w:r>
        <w:rPr>
          <w:lang w:eastAsia="en-US"/>
        </w:rPr>
        <w:t>):E</w:t>
      </w:r>
      <w:proofErr w:type="gramEnd"/>
      <w:r>
        <w:rPr>
          <w:lang w:eastAsia="en-US"/>
        </w:rPr>
        <w:t>59.</w:t>
      </w:r>
    </w:p>
    <w:p w14:paraId="4A436926" w14:textId="77777777" w:rsidR="00C000BA" w:rsidRPr="00C440A9" w:rsidRDefault="00C440A9" w:rsidP="00C000BA">
      <w:pPr>
        <w:pStyle w:val="ListParagraph"/>
        <w:numPr>
          <w:ilvl w:val="0"/>
          <w:numId w:val="38"/>
        </w:numPr>
        <w:ind w:left="360"/>
      </w:pPr>
      <w:r w:rsidRPr="00C440A9">
        <w:rPr>
          <w:rFonts w:eastAsia="Times New Roman"/>
          <w:color w:val="222222"/>
        </w:rPr>
        <w:t xml:space="preserve">Klausner J. Disseminated gonococcal infection: UpToDate; 2018 [updated 17 June 2018. Available from: </w:t>
      </w:r>
      <w:r w:rsidRPr="00C20CF9">
        <w:rPr>
          <w:rFonts w:eastAsia="Times New Roman"/>
        </w:rPr>
        <w:t>www.uptodate.com/contents/disseminated-gonococcal-infection/print</w:t>
      </w:r>
      <w:r w:rsidRPr="00C440A9">
        <w:rPr>
          <w:rFonts w:eastAsia="Times New Roman"/>
          <w:color w:val="222222"/>
        </w:rPr>
        <w:t>.</w:t>
      </w:r>
    </w:p>
    <w:p w14:paraId="06A88E96" w14:textId="77777777" w:rsidR="00C440A9" w:rsidRPr="00C440A9" w:rsidRDefault="00C440A9" w:rsidP="00C440A9">
      <w:pPr>
        <w:pStyle w:val="ListParagraph"/>
        <w:numPr>
          <w:ilvl w:val="0"/>
          <w:numId w:val="38"/>
        </w:numPr>
        <w:ind w:left="360"/>
        <w:rPr>
          <w:rFonts w:eastAsia="Times New Roman"/>
          <w:color w:val="222222"/>
        </w:rPr>
      </w:pPr>
      <w:r w:rsidRPr="00C440A9">
        <w:rPr>
          <w:rFonts w:eastAsia="Times New Roman"/>
          <w:color w:val="222222"/>
        </w:rPr>
        <w:t xml:space="preserve">Lee M, Byun J, Jung M, Yang J, Park K-H, Moon S-Y, et al. Disseminated gonococcal infection presenting as </w:t>
      </w:r>
      <w:proofErr w:type="spellStart"/>
      <w:r w:rsidRPr="00C440A9">
        <w:rPr>
          <w:rFonts w:eastAsia="Times New Roman"/>
          <w:color w:val="222222"/>
        </w:rPr>
        <w:t>bacteremia</w:t>
      </w:r>
      <w:proofErr w:type="spellEnd"/>
      <w:r w:rsidRPr="00C440A9">
        <w:rPr>
          <w:rFonts w:eastAsia="Times New Roman"/>
          <w:color w:val="222222"/>
        </w:rPr>
        <w:t xml:space="preserve"> and liver abscesses in a healthy adult. Infect </w:t>
      </w:r>
      <w:proofErr w:type="spellStart"/>
      <w:r w:rsidRPr="00C440A9">
        <w:rPr>
          <w:rFonts w:eastAsia="Times New Roman"/>
          <w:color w:val="222222"/>
        </w:rPr>
        <w:t>Chemother</w:t>
      </w:r>
      <w:proofErr w:type="spellEnd"/>
      <w:r w:rsidRPr="00C440A9">
        <w:rPr>
          <w:rFonts w:eastAsia="Times New Roman"/>
          <w:color w:val="222222"/>
        </w:rPr>
        <w:t>. 2015;47(1):60-3.</w:t>
      </w:r>
    </w:p>
    <w:p w14:paraId="11E2A558" w14:textId="77777777" w:rsidR="00DF1684" w:rsidRPr="00F43098" w:rsidRDefault="00DF1684" w:rsidP="00DF1684">
      <w:pPr>
        <w:pStyle w:val="ListParagraph"/>
        <w:numPr>
          <w:ilvl w:val="0"/>
          <w:numId w:val="38"/>
        </w:numPr>
        <w:ind w:left="360"/>
        <w:rPr>
          <w:rFonts w:eastAsia="Times New Roman"/>
          <w:color w:val="222222"/>
        </w:rPr>
      </w:pPr>
      <w:r w:rsidRPr="00DF1684">
        <w:rPr>
          <w:rFonts w:eastAsia="Times New Roman"/>
          <w:color w:val="222222"/>
        </w:rPr>
        <w:t>Li</w:t>
      </w:r>
      <w:r w:rsidRPr="00F43098">
        <w:t xml:space="preserve"> R, Hatcher JD. Gonococcal Arthritis. [Updated 2020 Jul 26]. In: </w:t>
      </w:r>
      <w:proofErr w:type="spellStart"/>
      <w:r w:rsidRPr="00F43098">
        <w:t>StatPearls</w:t>
      </w:r>
      <w:proofErr w:type="spellEnd"/>
      <w:r w:rsidRPr="00F43098">
        <w:t xml:space="preserve"> [Internet]. Treasure Island (FL): </w:t>
      </w:r>
      <w:proofErr w:type="spellStart"/>
      <w:r w:rsidRPr="00F43098">
        <w:t>StatPearls</w:t>
      </w:r>
      <w:proofErr w:type="spellEnd"/>
      <w:r w:rsidRPr="00F43098">
        <w:t xml:space="preserve"> Publishing; 2020 Jan-. Available from: </w:t>
      </w:r>
      <w:r w:rsidRPr="00C20CF9">
        <w:t>https://www.ncbi.nlm.nih.gov/books/NBK470439/</w:t>
      </w:r>
    </w:p>
    <w:p w14:paraId="7E2E0E52" w14:textId="77777777" w:rsidR="00DF1684" w:rsidRPr="00DF1684" w:rsidRDefault="00DF1684" w:rsidP="00DF1684">
      <w:pPr>
        <w:pStyle w:val="ListParagraph"/>
        <w:numPr>
          <w:ilvl w:val="0"/>
          <w:numId w:val="38"/>
        </w:numPr>
        <w:ind w:left="360"/>
        <w:rPr>
          <w:rFonts w:eastAsia="Times New Roman"/>
          <w:color w:val="222222"/>
          <w:lang w:val="en-US"/>
        </w:rPr>
      </w:pPr>
      <w:proofErr w:type="spellStart"/>
      <w:r w:rsidRPr="00DF1684">
        <w:t>Unemo</w:t>
      </w:r>
      <w:proofErr w:type="spellEnd"/>
      <w:r w:rsidRPr="00F43098">
        <w:rPr>
          <w:rFonts w:eastAsia="Times New Roman"/>
          <w:color w:val="222222"/>
          <w:lang w:val="en-US"/>
        </w:rPr>
        <w:t xml:space="preserve"> M, Seifert HS, Hook EW 3rd, Hawkes S, </w:t>
      </w:r>
      <w:proofErr w:type="spellStart"/>
      <w:r w:rsidRPr="00F43098">
        <w:rPr>
          <w:rFonts w:eastAsia="Times New Roman"/>
          <w:color w:val="222222"/>
          <w:lang w:val="en-US"/>
        </w:rPr>
        <w:t>Ndowa</w:t>
      </w:r>
      <w:proofErr w:type="spellEnd"/>
      <w:r w:rsidRPr="00F43098">
        <w:rPr>
          <w:rFonts w:eastAsia="Times New Roman"/>
          <w:color w:val="222222"/>
          <w:lang w:val="en-US"/>
        </w:rPr>
        <w:t xml:space="preserve"> F, Dillon JR. </w:t>
      </w:r>
      <w:proofErr w:type="spellStart"/>
      <w:r w:rsidRPr="00F43098">
        <w:rPr>
          <w:rFonts w:eastAsia="Times New Roman"/>
          <w:color w:val="222222"/>
          <w:lang w:val="en-US"/>
        </w:rPr>
        <w:t>Gonorrhoea</w:t>
      </w:r>
      <w:proofErr w:type="spellEnd"/>
      <w:r w:rsidRPr="00F43098">
        <w:rPr>
          <w:rFonts w:eastAsia="Times New Roman"/>
          <w:color w:val="222222"/>
          <w:lang w:val="en-US"/>
        </w:rPr>
        <w:t xml:space="preserve">. </w:t>
      </w:r>
      <w:r w:rsidRPr="00F43098">
        <w:rPr>
          <w:rFonts w:eastAsia="Times New Roman"/>
          <w:i/>
          <w:color w:val="222222"/>
          <w:lang w:val="en-US"/>
        </w:rPr>
        <w:t>Nat Rev Dis Primers</w:t>
      </w:r>
      <w:r w:rsidRPr="00F43098">
        <w:rPr>
          <w:rFonts w:eastAsia="Times New Roman"/>
          <w:color w:val="222222"/>
          <w:lang w:val="en-US"/>
        </w:rPr>
        <w:t xml:space="preserve"> 2019; </w:t>
      </w:r>
      <w:r w:rsidRPr="00DF1684">
        <w:rPr>
          <w:rFonts w:eastAsia="Times New Roman"/>
          <w:color w:val="222222"/>
          <w:lang w:val="en-US"/>
        </w:rPr>
        <w:t>5</w:t>
      </w:r>
      <w:r w:rsidRPr="00F43098">
        <w:rPr>
          <w:rFonts w:eastAsia="Times New Roman"/>
          <w:color w:val="222222"/>
          <w:lang w:val="en-US"/>
        </w:rPr>
        <w:t xml:space="preserve">(1): 79. </w:t>
      </w:r>
      <w:proofErr w:type="spellStart"/>
      <w:r w:rsidRPr="00F43098">
        <w:rPr>
          <w:rFonts w:eastAsia="Times New Roman"/>
          <w:color w:val="222222"/>
          <w:lang w:val="en-US"/>
        </w:rPr>
        <w:t>doi</w:t>
      </w:r>
      <w:proofErr w:type="spellEnd"/>
      <w:r w:rsidRPr="00F43098">
        <w:rPr>
          <w:rFonts w:eastAsia="Times New Roman"/>
          <w:color w:val="222222"/>
          <w:lang w:val="en-US"/>
        </w:rPr>
        <w:t>: 10.1038/s41572-019-0128-6.</w:t>
      </w:r>
    </w:p>
    <w:p w14:paraId="0232B616" w14:textId="77777777" w:rsidR="00DF1684" w:rsidRPr="00DF1684" w:rsidRDefault="00DF1684" w:rsidP="00DF1684">
      <w:pPr>
        <w:pStyle w:val="ListParagraph"/>
        <w:numPr>
          <w:ilvl w:val="0"/>
          <w:numId w:val="38"/>
        </w:numPr>
        <w:ind w:left="360"/>
        <w:rPr>
          <w:rFonts w:eastAsia="Times New Roman"/>
          <w:color w:val="222222"/>
          <w:lang w:val="en-US"/>
        </w:rPr>
      </w:pPr>
      <w:r w:rsidRPr="00F43098">
        <w:rPr>
          <w:rFonts w:eastAsia="Times New Roman"/>
          <w:color w:val="222222"/>
          <w:lang w:val="en-US"/>
        </w:rPr>
        <w:t xml:space="preserve">Wi T, </w:t>
      </w:r>
      <w:proofErr w:type="spellStart"/>
      <w:r w:rsidRPr="00F43098">
        <w:rPr>
          <w:rFonts w:eastAsia="Times New Roman"/>
          <w:color w:val="222222"/>
          <w:lang w:val="en-US"/>
        </w:rPr>
        <w:t>Lahra</w:t>
      </w:r>
      <w:proofErr w:type="spellEnd"/>
      <w:r w:rsidRPr="00F43098">
        <w:rPr>
          <w:rFonts w:eastAsia="Times New Roman"/>
          <w:color w:val="222222"/>
          <w:lang w:val="en-US"/>
        </w:rPr>
        <w:t xml:space="preserve"> MM, </w:t>
      </w:r>
      <w:proofErr w:type="spellStart"/>
      <w:r w:rsidRPr="00F43098">
        <w:rPr>
          <w:rFonts w:eastAsia="Times New Roman"/>
          <w:color w:val="222222"/>
          <w:lang w:val="en-US"/>
        </w:rPr>
        <w:t>Ndowa</w:t>
      </w:r>
      <w:proofErr w:type="spellEnd"/>
      <w:r w:rsidRPr="00F43098">
        <w:rPr>
          <w:rFonts w:eastAsia="Times New Roman"/>
          <w:color w:val="222222"/>
          <w:lang w:val="en-US"/>
        </w:rPr>
        <w:t xml:space="preserve"> F, et al. </w:t>
      </w:r>
      <w:proofErr w:type="gramStart"/>
      <w:r w:rsidRPr="00F43098">
        <w:rPr>
          <w:rFonts w:eastAsia="Times New Roman"/>
          <w:color w:val="222222"/>
          <w:lang w:val="en-US"/>
        </w:rPr>
        <w:t>Antimicrobial</w:t>
      </w:r>
      <w:proofErr w:type="gramEnd"/>
      <w:r w:rsidRPr="00F43098">
        <w:rPr>
          <w:rFonts w:eastAsia="Times New Roman"/>
          <w:color w:val="222222"/>
          <w:lang w:val="en-US"/>
        </w:rPr>
        <w:t xml:space="preserve"> resistance in </w:t>
      </w:r>
      <w:r w:rsidRPr="00DF1684">
        <w:rPr>
          <w:rFonts w:eastAsia="Times New Roman"/>
          <w:color w:val="222222"/>
          <w:lang w:val="en-US"/>
        </w:rPr>
        <w:t>Neisseria gonorrhoeae</w:t>
      </w:r>
      <w:r w:rsidRPr="00F43098">
        <w:rPr>
          <w:rFonts w:eastAsia="Times New Roman"/>
          <w:color w:val="222222"/>
          <w:lang w:val="en-US"/>
        </w:rPr>
        <w:t xml:space="preserve">: Global surveillance and a call for international collaborative action. </w:t>
      </w:r>
      <w:proofErr w:type="spellStart"/>
      <w:r w:rsidRPr="00DF1684">
        <w:rPr>
          <w:rFonts w:eastAsia="Times New Roman"/>
          <w:color w:val="222222"/>
          <w:lang w:val="en-US"/>
        </w:rPr>
        <w:t>PLoS</w:t>
      </w:r>
      <w:proofErr w:type="spellEnd"/>
      <w:r w:rsidRPr="00DF1684">
        <w:rPr>
          <w:rFonts w:eastAsia="Times New Roman"/>
          <w:color w:val="222222"/>
          <w:lang w:val="en-US"/>
        </w:rPr>
        <w:t xml:space="preserve"> Med</w:t>
      </w:r>
      <w:r w:rsidRPr="00F43098">
        <w:rPr>
          <w:rFonts w:eastAsia="Times New Roman"/>
          <w:color w:val="222222"/>
          <w:lang w:val="en-US"/>
        </w:rPr>
        <w:t xml:space="preserve"> 2017; </w:t>
      </w:r>
      <w:r w:rsidRPr="00DF1684">
        <w:rPr>
          <w:rFonts w:eastAsia="Times New Roman"/>
          <w:color w:val="222222"/>
          <w:lang w:val="en-US"/>
        </w:rPr>
        <w:t>14</w:t>
      </w:r>
      <w:r w:rsidRPr="00F43098">
        <w:rPr>
          <w:rFonts w:eastAsia="Times New Roman"/>
          <w:color w:val="222222"/>
          <w:lang w:val="en-US"/>
        </w:rPr>
        <w:t>: e1002344.</w:t>
      </w:r>
    </w:p>
    <w:p w14:paraId="240D515E" w14:textId="77777777" w:rsidR="00DF1684" w:rsidRPr="00DF1684" w:rsidRDefault="00DF1684" w:rsidP="00DF1684">
      <w:pPr>
        <w:pStyle w:val="ListParagraph"/>
        <w:numPr>
          <w:ilvl w:val="0"/>
          <w:numId w:val="38"/>
        </w:numPr>
        <w:ind w:left="360"/>
        <w:rPr>
          <w:rFonts w:eastAsia="Times New Roman"/>
          <w:color w:val="222222"/>
          <w:lang w:val="en-US"/>
        </w:rPr>
      </w:pPr>
      <w:proofErr w:type="spellStart"/>
      <w:r w:rsidRPr="00DF1684">
        <w:rPr>
          <w:rFonts w:eastAsia="Times New Roman"/>
          <w:color w:val="222222"/>
          <w:lang w:val="en-US"/>
        </w:rPr>
        <w:lastRenderedPageBreak/>
        <w:t>Unemo</w:t>
      </w:r>
      <w:proofErr w:type="spellEnd"/>
      <w:r w:rsidRPr="00DF1684">
        <w:rPr>
          <w:rFonts w:eastAsia="Times New Roman"/>
          <w:color w:val="222222"/>
          <w:lang w:val="en-US"/>
        </w:rPr>
        <w:t xml:space="preserve"> M, </w:t>
      </w:r>
      <w:proofErr w:type="spellStart"/>
      <w:r w:rsidRPr="00DF1684">
        <w:rPr>
          <w:rFonts w:eastAsia="Times New Roman"/>
          <w:color w:val="222222"/>
          <w:lang w:val="en-US"/>
        </w:rPr>
        <w:t>Lahra</w:t>
      </w:r>
      <w:proofErr w:type="spellEnd"/>
      <w:r w:rsidRPr="00DF1684">
        <w:rPr>
          <w:rFonts w:eastAsia="Times New Roman"/>
          <w:color w:val="222222"/>
          <w:lang w:val="en-US"/>
        </w:rPr>
        <w:t xml:space="preserve"> MM, Cole M, et al. World Health Organization Global Gonococcal Antimicrobial Surveillance Program (WHO GASP): review of new data and evidence to inform international collaborative actions and research efforts. Sex Health 2019; 16: 412-25</w:t>
      </w:r>
    </w:p>
    <w:p w14:paraId="6B1B2925" w14:textId="77777777" w:rsidR="00551D1C" w:rsidRPr="00C70240" w:rsidRDefault="00976AB2" w:rsidP="00DF1684">
      <w:pPr>
        <w:pStyle w:val="ListParagraph"/>
        <w:numPr>
          <w:ilvl w:val="0"/>
          <w:numId w:val="38"/>
        </w:numPr>
        <w:ind w:left="360"/>
        <w:rPr>
          <w:rFonts w:eastAsia="Times New Roman"/>
          <w:color w:val="222222"/>
          <w:lang w:val="en-US"/>
        </w:rPr>
      </w:pPr>
      <w:hyperlink r:id="rId22" w:history="1">
        <w:r w:rsidR="00551D1C" w:rsidRPr="00CD4E47">
          <w:rPr>
            <w:rStyle w:val="Hyperlink"/>
          </w:rPr>
          <w:t>https://nindss.health.gov.au/pbi-dashboard/</w:t>
        </w:r>
      </w:hyperlink>
      <w:r w:rsidR="00551D1C">
        <w:t xml:space="preserve"> accessed </w:t>
      </w:r>
      <w:proofErr w:type="gramStart"/>
      <w:r w:rsidR="00551D1C">
        <w:t>16/11/2023</w:t>
      </w:r>
      <w:proofErr w:type="gramEnd"/>
    </w:p>
    <w:p w14:paraId="59DAF208" w14:textId="3E93C0D5" w:rsidR="00DF1684" w:rsidRPr="00DF1684" w:rsidRDefault="00DF1684" w:rsidP="00551D1C">
      <w:pPr>
        <w:pStyle w:val="ListParagraph"/>
        <w:numPr>
          <w:ilvl w:val="0"/>
          <w:numId w:val="38"/>
        </w:numPr>
        <w:ind w:left="426" w:hanging="426"/>
        <w:rPr>
          <w:rFonts w:eastAsia="Times New Roman"/>
          <w:color w:val="222222"/>
          <w:lang w:val="en-US"/>
        </w:rPr>
      </w:pPr>
      <w:r w:rsidRPr="00DF1684">
        <w:rPr>
          <w:rFonts w:eastAsia="Times New Roman"/>
          <w:color w:val="222222"/>
          <w:lang w:val="en-US"/>
        </w:rPr>
        <w:t xml:space="preserve">HIV, viral hepatitis and sexually transmissible infections in Australia Annual Surveillance report 2022 </w:t>
      </w:r>
      <w:hyperlink r:id="rId23" w:history="1">
        <w:r w:rsidR="00551D1C" w:rsidRPr="000B530A">
          <w:rPr>
            <w:rStyle w:val="Hyperlink"/>
            <w:rFonts w:eastAsia="Times New Roman"/>
            <w:lang w:val="en-US"/>
          </w:rPr>
          <w:t>https://www.kirby.unsw.edu.au/sites/default/files/documents/Annual-Surveillance-Report-2022_STI.pdf</w:t>
        </w:r>
      </w:hyperlink>
      <w:r w:rsidR="00551D1C">
        <w:rPr>
          <w:rFonts w:eastAsia="Times New Roman"/>
          <w:color w:val="222222"/>
          <w:lang w:val="en-US"/>
        </w:rPr>
        <w:t xml:space="preserve"> accessed 16/11/23</w:t>
      </w:r>
    </w:p>
    <w:p w14:paraId="0CA76CCC" w14:textId="77777777" w:rsidR="00DF1684" w:rsidRPr="00DF1684" w:rsidRDefault="00DF1684" w:rsidP="00DF1684">
      <w:pPr>
        <w:pStyle w:val="ListParagraph"/>
        <w:numPr>
          <w:ilvl w:val="0"/>
          <w:numId w:val="38"/>
        </w:numPr>
        <w:ind w:left="360"/>
        <w:rPr>
          <w:rFonts w:eastAsia="Times New Roman"/>
          <w:color w:val="222222"/>
          <w:lang w:val="en-US"/>
        </w:rPr>
      </w:pPr>
      <w:r w:rsidRPr="00DF1684">
        <w:rPr>
          <w:rFonts w:eastAsia="Times New Roman"/>
          <w:color w:val="222222"/>
          <w:lang w:val="en-US"/>
        </w:rPr>
        <w:t xml:space="preserve">Williamson DA, Chow EPF, Gorrie CL, et al. Bridging of Neisseria gonorrhoeae lineages across sexual networks in the HIV pre-exposure prophylaxis era. Nat </w:t>
      </w:r>
      <w:proofErr w:type="spellStart"/>
      <w:r w:rsidRPr="00DF1684">
        <w:rPr>
          <w:rFonts w:eastAsia="Times New Roman"/>
          <w:color w:val="222222"/>
          <w:lang w:val="en-US"/>
        </w:rPr>
        <w:t>Commun</w:t>
      </w:r>
      <w:proofErr w:type="spellEnd"/>
      <w:r w:rsidRPr="00DF1684">
        <w:rPr>
          <w:rFonts w:eastAsia="Times New Roman"/>
          <w:color w:val="222222"/>
          <w:lang w:val="en-US"/>
        </w:rPr>
        <w:t xml:space="preserve">. 2019;10(1):3988. Published 2019 Sep 5. doi:10.1038/s41467-019-12053-4 </w:t>
      </w:r>
    </w:p>
    <w:p w14:paraId="5DE4F499" w14:textId="427D84B9" w:rsidR="00551D1C" w:rsidRPr="00DF1684" w:rsidRDefault="00551D1C" w:rsidP="00C70240">
      <w:pPr>
        <w:pStyle w:val="ListParagraph"/>
        <w:numPr>
          <w:ilvl w:val="0"/>
          <w:numId w:val="38"/>
        </w:numPr>
        <w:ind w:left="426" w:hanging="426"/>
        <w:rPr>
          <w:rFonts w:eastAsia="Times New Roman"/>
          <w:color w:val="222222"/>
          <w:lang w:val="en-US"/>
        </w:rPr>
      </w:pPr>
      <w:proofErr w:type="spellStart"/>
      <w:r w:rsidRPr="00551D1C">
        <w:rPr>
          <w:rFonts w:eastAsia="Times New Roman"/>
          <w:color w:val="222222"/>
          <w:lang w:val="en-US"/>
        </w:rPr>
        <w:t>Unemo</w:t>
      </w:r>
      <w:proofErr w:type="spellEnd"/>
      <w:r w:rsidRPr="00551D1C">
        <w:rPr>
          <w:rFonts w:eastAsia="Times New Roman"/>
          <w:color w:val="222222"/>
          <w:lang w:val="en-US"/>
        </w:rPr>
        <w:t xml:space="preserve"> M, </w:t>
      </w:r>
      <w:proofErr w:type="spellStart"/>
      <w:r w:rsidRPr="00551D1C">
        <w:rPr>
          <w:rFonts w:eastAsia="Times New Roman"/>
          <w:color w:val="222222"/>
          <w:lang w:val="en-US"/>
        </w:rPr>
        <w:t>Lahra</w:t>
      </w:r>
      <w:proofErr w:type="spellEnd"/>
      <w:r w:rsidRPr="00551D1C">
        <w:rPr>
          <w:rFonts w:eastAsia="Times New Roman"/>
          <w:color w:val="222222"/>
          <w:lang w:val="en-US"/>
        </w:rPr>
        <w:t xml:space="preserve"> MM, Escher M, </w:t>
      </w:r>
      <w:proofErr w:type="spellStart"/>
      <w:r w:rsidRPr="00551D1C">
        <w:rPr>
          <w:rFonts w:eastAsia="Times New Roman"/>
          <w:color w:val="222222"/>
          <w:lang w:val="en-US"/>
        </w:rPr>
        <w:t>Eremin</w:t>
      </w:r>
      <w:proofErr w:type="spellEnd"/>
      <w:r w:rsidRPr="00551D1C">
        <w:rPr>
          <w:rFonts w:eastAsia="Times New Roman"/>
          <w:color w:val="222222"/>
          <w:lang w:val="en-US"/>
        </w:rPr>
        <w:t xml:space="preserve"> S, Cole MJ, Galarza P, </w:t>
      </w:r>
      <w:proofErr w:type="spellStart"/>
      <w:r w:rsidRPr="00551D1C">
        <w:rPr>
          <w:rFonts w:eastAsia="Times New Roman"/>
          <w:color w:val="222222"/>
          <w:lang w:val="en-US"/>
        </w:rPr>
        <w:t>Ndowa</w:t>
      </w:r>
      <w:proofErr w:type="spellEnd"/>
      <w:r w:rsidRPr="00551D1C">
        <w:rPr>
          <w:rFonts w:eastAsia="Times New Roman"/>
          <w:color w:val="222222"/>
          <w:lang w:val="en-US"/>
        </w:rPr>
        <w:t xml:space="preserve"> F, Martin I, Dillon JR, Galas M, Ramon-Pardo P, Weinstock H, Wi T. WHO global antimicrobial resistance surveillance for Neisseria gonorrhoeae 2017-18: a retrospective observational study. Lancet Microbe. 2021 Nov;2(11</w:t>
      </w:r>
      <w:proofErr w:type="gramStart"/>
      <w:r w:rsidRPr="00551D1C">
        <w:rPr>
          <w:rFonts w:eastAsia="Times New Roman"/>
          <w:color w:val="222222"/>
          <w:lang w:val="en-US"/>
        </w:rPr>
        <w:t>):e</w:t>
      </w:r>
      <w:proofErr w:type="gramEnd"/>
      <w:r w:rsidRPr="00551D1C">
        <w:rPr>
          <w:rFonts w:eastAsia="Times New Roman"/>
          <w:color w:val="222222"/>
          <w:lang w:val="en-US"/>
        </w:rPr>
        <w:t xml:space="preserve">627-e636. </w:t>
      </w:r>
      <w:proofErr w:type="spellStart"/>
      <w:r w:rsidRPr="00551D1C">
        <w:rPr>
          <w:rFonts w:eastAsia="Times New Roman"/>
          <w:color w:val="222222"/>
          <w:lang w:val="en-US"/>
        </w:rPr>
        <w:t>doi</w:t>
      </w:r>
      <w:proofErr w:type="spellEnd"/>
      <w:r w:rsidRPr="00551D1C">
        <w:rPr>
          <w:rFonts w:eastAsia="Times New Roman"/>
          <w:color w:val="222222"/>
          <w:lang w:val="en-US"/>
        </w:rPr>
        <w:t xml:space="preserve">: 10.1016/S2666-5247(21)00171-3. </w:t>
      </w:r>
      <w:proofErr w:type="spellStart"/>
      <w:r w:rsidRPr="00551D1C">
        <w:rPr>
          <w:rFonts w:eastAsia="Times New Roman"/>
          <w:color w:val="222222"/>
          <w:lang w:val="en-US"/>
        </w:rPr>
        <w:t>Epub</w:t>
      </w:r>
      <w:proofErr w:type="spellEnd"/>
      <w:r w:rsidRPr="00551D1C">
        <w:rPr>
          <w:rFonts w:eastAsia="Times New Roman"/>
          <w:color w:val="222222"/>
          <w:lang w:val="en-US"/>
        </w:rPr>
        <w:t xml:space="preserve"> 2021 Sep 2. PMID: 35544082.</w:t>
      </w:r>
    </w:p>
    <w:p w14:paraId="57D504EC" w14:textId="77777777" w:rsidR="00DF1684" w:rsidRPr="00DF1684" w:rsidRDefault="00DF1684" w:rsidP="00DF1684">
      <w:pPr>
        <w:pStyle w:val="ListParagraph"/>
        <w:numPr>
          <w:ilvl w:val="0"/>
          <w:numId w:val="38"/>
        </w:numPr>
        <w:ind w:left="360"/>
        <w:rPr>
          <w:rFonts w:eastAsia="Times New Roman"/>
          <w:color w:val="222222"/>
          <w:lang w:val="en-US"/>
        </w:rPr>
      </w:pPr>
      <w:proofErr w:type="spellStart"/>
      <w:r w:rsidRPr="00DF1684">
        <w:rPr>
          <w:rFonts w:eastAsia="Times New Roman"/>
          <w:color w:val="222222"/>
          <w:lang w:val="en-US"/>
        </w:rPr>
        <w:t>Lahra</w:t>
      </w:r>
      <w:proofErr w:type="spellEnd"/>
      <w:r w:rsidRPr="00DF1684">
        <w:rPr>
          <w:rFonts w:eastAsia="Times New Roman"/>
          <w:color w:val="222222"/>
          <w:lang w:val="en-US"/>
        </w:rPr>
        <w:t xml:space="preserve"> MM, Martin I, </w:t>
      </w:r>
      <w:proofErr w:type="spellStart"/>
      <w:r w:rsidRPr="00DF1684">
        <w:rPr>
          <w:rFonts w:eastAsia="Times New Roman"/>
          <w:color w:val="222222"/>
          <w:lang w:val="en-US"/>
        </w:rPr>
        <w:t>Demczuk</w:t>
      </w:r>
      <w:proofErr w:type="spellEnd"/>
      <w:r w:rsidRPr="00DF1684">
        <w:rPr>
          <w:rFonts w:eastAsia="Times New Roman"/>
          <w:color w:val="222222"/>
          <w:lang w:val="en-US"/>
        </w:rPr>
        <w:t xml:space="preserve"> W, et al. Cooperative recognition of internationally disseminated ceftriaxone-resistant Neisseria gonorrhoeae strain. </w:t>
      </w:r>
      <w:proofErr w:type="spellStart"/>
      <w:r w:rsidRPr="00DF1684">
        <w:rPr>
          <w:rFonts w:eastAsia="Times New Roman"/>
          <w:color w:val="222222"/>
          <w:lang w:val="en-US"/>
        </w:rPr>
        <w:t>Emerg</w:t>
      </w:r>
      <w:proofErr w:type="spellEnd"/>
      <w:r w:rsidRPr="00DF1684">
        <w:rPr>
          <w:rFonts w:eastAsia="Times New Roman"/>
          <w:color w:val="222222"/>
          <w:lang w:val="en-US"/>
        </w:rPr>
        <w:t xml:space="preserve"> Infect Dis 2018; 24 (4).</w:t>
      </w:r>
    </w:p>
    <w:p w14:paraId="16968C58" w14:textId="77777777" w:rsidR="00256BC9" w:rsidRDefault="00DF1684" w:rsidP="00A86F37">
      <w:pPr>
        <w:pStyle w:val="ListParagraph"/>
        <w:numPr>
          <w:ilvl w:val="0"/>
          <w:numId w:val="38"/>
        </w:numPr>
        <w:ind w:left="360"/>
        <w:rPr>
          <w:rFonts w:eastAsia="Times New Roman"/>
          <w:color w:val="222222"/>
          <w:lang w:val="en-US"/>
        </w:rPr>
      </w:pPr>
      <w:r w:rsidRPr="00DF1684">
        <w:rPr>
          <w:rFonts w:eastAsia="Times New Roman"/>
          <w:color w:val="222222"/>
          <w:lang w:val="en-US"/>
        </w:rPr>
        <w:t xml:space="preserve">Jennison AV, Whiley D, </w:t>
      </w:r>
      <w:proofErr w:type="spellStart"/>
      <w:r w:rsidRPr="00DF1684">
        <w:rPr>
          <w:rFonts w:eastAsia="Times New Roman"/>
          <w:color w:val="222222"/>
          <w:lang w:val="en-US"/>
        </w:rPr>
        <w:t>Lahra</w:t>
      </w:r>
      <w:proofErr w:type="spellEnd"/>
      <w:r w:rsidRPr="00DF1684">
        <w:rPr>
          <w:rFonts w:eastAsia="Times New Roman"/>
          <w:color w:val="222222"/>
          <w:lang w:val="en-US"/>
        </w:rPr>
        <w:t xml:space="preserve"> MM, et al. Genetic relatedness of ceftriaxone-resistant and high-level azithromycin resistant Neisseria gonorrhoeae cases, United Kingdom and Australia, February to April 2018. Euro </w:t>
      </w:r>
      <w:proofErr w:type="spellStart"/>
      <w:r w:rsidRPr="00DF1684">
        <w:rPr>
          <w:rFonts w:eastAsia="Times New Roman"/>
          <w:color w:val="222222"/>
          <w:lang w:val="en-US"/>
        </w:rPr>
        <w:t>Surveill</w:t>
      </w:r>
      <w:proofErr w:type="spellEnd"/>
      <w:r w:rsidRPr="00DF1684">
        <w:rPr>
          <w:rFonts w:eastAsia="Times New Roman"/>
          <w:color w:val="222222"/>
          <w:lang w:val="en-US"/>
        </w:rPr>
        <w:t xml:space="preserve"> 2019; 24(8). </w:t>
      </w:r>
      <w:proofErr w:type="spellStart"/>
      <w:r w:rsidRPr="00DF1684">
        <w:rPr>
          <w:rFonts w:eastAsia="Times New Roman"/>
          <w:color w:val="222222"/>
          <w:lang w:val="en-US"/>
        </w:rPr>
        <w:t>doi</w:t>
      </w:r>
      <w:proofErr w:type="spellEnd"/>
      <w:r w:rsidRPr="00DF1684">
        <w:rPr>
          <w:rFonts w:eastAsia="Times New Roman"/>
          <w:color w:val="222222"/>
          <w:lang w:val="en-US"/>
        </w:rPr>
        <w:t>: 10.2807/1560-7917.ES.2019.24.8.1900118.</w:t>
      </w:r>
    </w:p>
    <w:p w14:paraId="05D27DDE" w14:textId="77777777" w:rsidR="00256BC9" w:rsidRPr="00A86F37" w:rsidRDefault="00256BC9" w:rsidP="00A86F37">
      <w:pPr>
        <w:pStyle w:val="ListParagraph"/>
        <w:numPr>
          <w:ilvl w:val="0"/>
          <w:numId w:val="38"/>
        </w:numPr>
        <w:ind w:left="360"/>
        <w:rPr>
          <w:rFonts w:eastAsia="Times New Roman"/>
          <w:color w:val="222222"/>
          <w:lang w:val="en-US"/>
        </w:rPr>
      </w:pPr>
      <w:r w:rsidRPr="00256BC9">
        <w:rPr>
          <w:noProof/>
        </w:rPr>
        <w:t>Pleininger S, Indra A, Golparian D, et al. Extensively drug-resistant (XDR) Neisseria gonorrhoeae causing possible gonorrhoea treatment failure with ceftriaxone plus azithromycin in Austria, April 2022. Euro Surveill. 2022;27(24). doi:10.2807/1560-7917.ES.2022.27.24.2200455</w:t>
      </w:r>
    </w:p>
    <w:p w14:paraId="31C105CC" w14:textId="77777777" w:rsidR="00256BC9" w:rsidRPr="00A86F37" w:rsidRDefault="00256BC9" w:rsidP="00A86F37">
      <w:pPr>
        <w:pStyle w:val="ListParagraph"/>
        <w:numPr>
          <w:ilvl w:val="0"/>
          <w:numId w:val="38"/>
        </w:numPr>
        <w:ind w:left="360"/>
        <w:rPr>
          <w:rFonts w:eastAsia="Times New Roman"/>
          <w:color w:val="222222"/>
          <w:lang w:val="en-US"/>
        </w:rPr>
      </w:pPr>
      <w:r w:rsidRPr="00A86F37">
        <w:rPr>
          <w:color w:val="212121"/>
          <w:shd w:val="clear" w:color="auto" w:fill="FFFFFF"/>
        </w:rPr>
        <w:t xml:space="preserve">Day M, Pitt R, </w:t>
      </w:r>
      <w:proofErr w:type="spellStart"/>
      <w:r w:rsidRPr="00A86F37">
        <w:rPr>
          <w:color w:val="212121"/>
          <w:shd w:val="clear" w:color="auto" w:fill="FFFFFF"/>
        </w:rPr>
        <w:t>Mody</w:t>
      </w:r>
      <w:proofErr w:type="spellEnd"/>
      <w:r w:rsidRPr="00A86F37">
        <w:rPr>
          <w:color w:val="212121"/>
          <w:shd w:val="clear" w:color="auto" w:fill="FFFFFF"/>
        </w:rPr>
        <w:t xml:space="preserve"> N, Saunders J, Rai R, Nori A, Church H, </w:t>
      </w:r>
      <w:proofErr w:type="spellStart"/>
      <w:r w:rsidRPr="00A86F37">
        <w:rPr>
          <w:color w:val="212121"/>
          <w:shd w:val="clear" w:color="auto" w:fill="FFFFFF"/>
        </w:rPr>
        <w:t>Mensforth</w:t>
      </w:r>
      <w:proofErr w:type="spellEnd"/>
      <w:r w:rsidRPr="00A86F37">
        <w:rPr>
          <w:color w:val="212121"/>
          <w:shd w:val="clear" w:color="auto" w:fill="FFFFFF"/>
        </w:rPr>
        <w:t xml:space="preserve"> S, </w:t>
      </w:r>
      <w:proofErr w:type="spellStart"/>
      <w:r w:rsidRPr="00A86F37">
        <w:rPr>
          <w:color w:val="212121"/>
          <w:shd w:val="clear" w:color="auto" w:fill="FFFFFF"/>
        </w:rPr>
        <w:t>Corkin</w:t>
      </w:r>
      <w:proofErr w:type="spellEnd"/>
      <w:r w:rsidRPr="00A86F37">
        <w:rPr>
          <w:color w:val="212121"/>
          <w:shd w:val="clear" w:color="auto" w:fill="FFFFFF"/>
        </w:rPr>
        <w:t xml:space="preserve"> H, Jones J, Naicker P, Khan WM, Thomson Glover R, Mortimer K, </w:t>
      </w:r>
      <w:proofErr w:type="spellStart"/>
      <w:r w:rsidRPr="00A86F37">
        <w:rPr>
          <w:color w:val="212121"/>
          <w:shd w:val="clear" w:color="auto" w:fill="FFFFFF"/>
        </w:rPr>
        <w:t>Hylton</w:t>
      </w:r>
      <w:proofErr w:type="spellEnd"/>
      <w:r w:rsidRPr="00A86F37">
        <w:rPr>
          <w:color w:val="212121"/>
          <w:shd w:val="clear" w:color="auto" w:fill="FFFFFF"/>
        </w:rPr>
        <w:t xml:space="preserve"> C, Moss E, </w:t>
      </w:r>
      <w:proofErr w:type="spellStart"/>
      <w:r w:rsidRPr="00A86F37">
        <w:rPr>
          <w:color w:val="212121"/>
          <w:shd w:val="clear" w:color="auto" w:fill="FFFFFF"/>
        </w:rPr>
        <w:t>Pasvol</w:t>
      </w:r>
      <w:proofErr w:type="spellEnd"/>
      <w:r w:rsidRPr="00A86F37">
        <w:rPr>
          <w:color w:val="212121"/>
          <w:shd w:val="clear" w:color="auto" w:fill="FFFFFF"/>
        </w:rPr>
        <w:t xml:space="preserve"> TJ, Richardson A, Sun S, Woodford N, Mohammed H, </w:t>
      </w:r>
      <w:proofErr w:type="spellStart"/>
      <w:r w:rsidRPr="00A86F37">
        <w:rPr>
          <w:color w:val="212121"/>
          <w:shd w:val="clear" w:color="auto" w:fill="FFFFFF"/>
        </w:rPr>
        <w:t>Sinka</w:t>
      </w:r>
      <w:proofErr w:type="spellEnd"/>
      <w:r w:rsidRPr="00A86F37">
        <w:rPr>
          <w:color w:val="212121"/>
          <w:shd w:val="clear" w:color="auto" w:fill="FFFFFF"/>
        </w:rPr>
        <w:t xml:space="preserve"> K, Fifer H. Detection of 10 cases of ceftriaxone-resistant </w:t>
      </w:r>
      <w:r w:rsidRPr="00A86F37">
        <w:rPr>
          <w:i/>
          <w:iCs/>
          <w:color w:val="212121"/>
          <w:shd w:val="clear" w:color="auto" w:fill="FFFFFF"/>
        </w:rPr>
        <w:t>Neisseria gonorrhoeae</w:t>
      </w:r>
      <w:r w:rsidRPr="00A86F37">
        <w:rPr>
          <w:color w:val="212121"/>
          <w:shd w:val="clear" w:color="auto" w:fill="FFFFFF"/>
        </w:rPr>
        <w:t xml:space="preserve"> in the United Kingdom, </w:t>
      </w:r>
      <w:r w:rsidRPr="00A86F37">
        <w:rPr>
          <w:color w:val="212121"/>
          <w:shd w:val="clear" w:color="auto" w:fill="FFFFFF"/>
        </w:rPr>
        <w:lastRenderedPageBreak/>
        <w:t xml:space="preserve">December 2021 to June 2022. Euro </w:t>
      </w:r>
      <w:proofErr w:type="spellStart"/>
      <w:r w:rsidRPr="00A86F37">
        <w:rPr>
          <w:color w:val="212121"/>
          <w:shd w:val="clear" w:color="auto" w:fill="FFFFFF"/>
        </w:rPr>
        <w:t>Surveill</w:t>
      </w:r>
      <w:proofErr w:type="spellEnd"/>
      <w:r w:rsidRPr="00A86F37">
        <w:rPr>
          <w:color w:val="212121"/>
          <w:shd w:val="clear" w:color="auto" w:fill="FFFFFF"/>
        </w:rPr>
        <w:t xml:space="preserve">. 2022 Nov;27(46):2200803. </w:t>
      </w:r>
      <w:proofErr w:type="spellStart"/>
      <w:r w:rsidRPr="00A86F37">
        <w:rPr>
          <w:color w:val="212121"/>
          <w:shd w:val="clear" w:color="auto" w:fill="FFFFFF"/>
        </w:rPr>
        <w:t>doi</w:t>
      </w:r>
      <w:proofErr w:type="spellEnd"/>
      <w:r w:rsidRPr="00A86F37">
        <w:rPr>
          <w:color w:val="212121"/>
          <w:shd w:val="clear" w:color="auto" w:fill="FFFFFF"/>
        </w:rPr>
        <w:t>: 10.2807/1560-7917.ES.2022.27.46.2200803. PMID: 36398578; PMCID: PMC9673238.</w:t>
      </w:r>
    </w:p>
    <w:p w14:paraId="0C8AEE89" w14:textId="77777777" w:rsidR="00256BC9" w:rsidRPr="00256BC9" w:rsidRDefault="00256BC9" w:rsidP="00256BC9">
      <w:pPr>
        <w:pStyle w:val="ListParagraph"/>
        <w:numPr>
          <w:ilvl w:val="0"/>
          <w:numId w:val="38"/>
        </w:numPr>
        <w:ind w:left="360"/>
        <w:rPr>
          <w:rFonts w:eastAsia="Times New Roman"/>
          <w:color w:val="222222"/>
          <w:lang w:val="en-US"/>
        </w:rPr>
      </w:pPr>
      <w:proofErr w:type="spellStart"/>
      <w:r w:rsidRPr="00A86F37">
        <w:rPr>
          <w:color w:val="212121"/>
        </w:rPr>
        <w:t>Lahra</w:t>
      </w:r>
      <w:proofErr w:type="spellEnd"/>
      <w:r w:rsidRPr="00A86F37">
        <w:rPr>
          <w:color w:val="212121"/>
        </w:rPr>
        <w:t xml:space="preserve"> MM, Van Hal SJ, Hogan TR. Australian Gonococcal Surveillance Programme Annual Report 2022. </w:t>
      </w:r>
      <w:proofErr w:type="spellStart"/>
      <w:r>
        <w:t>Commun</w:t>
      </w:r>
      <w:proofErr w:type="spellEnd"/>
      <w:r>
        <w:t xml:space="preserve"> Dis </w:t>
      </w:r>
      <w:proofErr w:type="spellStart"/>
      <w:r>
        <w:t>Intell</w:t>
      </w:r>
      <w:proofErr w:type="spellEnd"/>
      <w:r>
        <w:t xml:space="preserve"> (2018) 2023;47 (https://doi.org/10.33321/cdi.2023.47.45) </w:t>
      </w:r>
      <w:proofErr w:type="spellStart"/>
      <w:r>
        <w:t>Epub</w:t>
      </w:r>
      <w:proofErr w:type="spellEnd"/>
      <w:r>
        <w:t xml:space="preserve"> </w:t>
      </w:r>
      <w:proofErr w:type="gramStart"/>
      <w:r>
        <w:t>24/8/2023</w:t>
      </w:r>
      <w:proofErr w:type="gramEnd"/>
    </w:p>
    <w:p w14:paraId="16039D6D" w14:textId="77777777" w:rsidR="00DF1684" w:rsidRPr="00DF1684" w:rsidRDefault="00DF1684" w:rsidP="00DF1684">
      <w:pPr>
        <w:pStyle w:val="ListParagraph"/>
        <w:numPr>
          <w:ilvl w:val="0"/>
          <w:numId w:val="38"/>
        </w:numPr>
        <w:ind w:left="360"/>
        <w:rPr>
          <w:rFonts w:eastAsia="Times New Roman"/>
          <w:color w:val="222222"/>
          <w:lang w:val="en-US"/>
        </w:rPr>
      </w:pPr>
      <w:r w:rsidRPr="22074AAC">
        <w:rPr>
          <w:rFonts w:eastAsia="Times New Roman"/>
          <w:color w:val="222222"/>
          <w:lang w:val="en-US"/>
        </w:rPr>
        <w:t>Hanrahan JK, Hogan TR, Buckley C, et al. Emergence and spread of ciprofloxacin-resistant Neisseria gonorrhoeae in New South Wales, Australia: lessons from history. The Journal of antimicrobial chemotherapy 2019; 74(8): 2214.</w:t>
      </w:r>
    </w:p>
    <w:p w14:paraId="0B528E52" w14:textId="77777777" w:rsidR="00DF1684" w:rsidRPr="00DF1684" w:rsidRDefault="00DF1684" w:rsidP="00DF1684">
      <w:pPr>
        <w:pStyle w:val="ListParagraph"/>
        <w:numPr>
          <w:ilvl w:val="0"/>
          <w:numId w:val="38"/>
        </w:numPr>
        <w:ind w:left="360"/>
        <w:rPr>
          <w:rFonts w:eastAsia="Times New Roman"/>
          <w:color w:val="222222"/>
          <w:lang w:val="en-US"/>
        </w:rPr>
      </w:pPr>
      <w:r w:rsidRPr="22074AAC">
        <w:rPr>
          <w:rFonts w:eastAsia="Times New Roman"/>
          <w:color w:val="222222"/>
          <w:lang w:val="en-US"/>
        </w:rPr>
        <w:t xml:space="preserve"> </w:t>
      </w:r>
      <w:proofErr w:type="spellStart"/>
      <w:r w:rsidRPr="22074AAC">
        <w:rPr>
          <w:rFonts w:eastAsia="Times New Roman"/>
          <w:color w:val="222222"/>
          <w:lang w:val="en-US"/>
        </w:rPr>
        <w:t>Lahra</w:t>
      </w:r>
      <w:proofErr w:type="spellEnd"/>
      <w:r w:rsidRPr="22074AAC">
        <w:rPr>
          <w:rFonts w:eastAsia="Times New Roman"/>
          <w:color w:val="222222"/>
          <w:lang w:val="en-US"/>
        </w:rPr>
        <w:t xml:space="preserve"> MM, Ryder N, Whiley D. </w:t>
      </w:r>
      <w:proofErr w:type="gramStart"/>
      <w:r w:rsidRPr="22074AAC">
        <w:rPr>
          <w:rFonts w:eastAsia="Times New Roman"/>
          <w:color w:val="222222"/>
          <w:lang w:val="en-US"/>
        </w:rPr>
        <w:t>A New Multidrug-Resistant Strain of Neisseria gonorrhoeae</w:t>
      </w:r>
      <w:proofErr w:type="gramEnd"/>
      <w:r w:rsidRPr="22074AAC">
        <w:rPr>
          <w:rFonts w:eastAsia="Times New Roman"/>
          <w:color w:val="222222"/>
          <w:lang w:val="en-US"/>
        </w:rPr>
        <w:t xml:space="preserve"> in Australia. The New England Journal of Medicine 2014; 371(19): 1850-1.</w:t>
      </w:r>
    </w:p>
    <w:p w14:paraId="43C78590" w14:textId="77777777" w:rsidR="00DF1684" w:rsidRPr="00DF1684" w:rsidRDefault="00DF1684" w:rsidP="00DF1684">
      <w:pPr>
        <w:pStyle w:val="ListParagraph"/>
        <w:numPr>
          <w:ilvl w:val="0"/>
          <w:numId w:val="38"/>
        </w:numPr>
        <w:ind w:left="360"/>
        <w:rPr>
          <w:rFonts w:eastAsia="Times New Roman"/>
          <w:color w:val="222222"/>
          <w:lang w:val="en-US"/>
        </w:rPr>
      </w:pPr>
      <w:r w:rsidRPr="22074AAC">
        <w:rPr>
          <w:rFonts w:eastAsia="Times New Roman"/>
          <w:color w:val="222222"/>
          <w:lang w:val="en-US"/>
        </w:rPr>
        <w:t>World Health Organization (WHO). Global action plan to control the spread and impact of antimicrobial resistance in Neisseria gonorrhoeae. Geneva: WHO; 2012. Available from: http://www.who.int/reproductivehealth/publications/rtis/9789241503501/en/ (accessed Dec 13, 2020)</w:t>
      </w:r>
    </w:p>
    <w:p w14:paraId="03016423" w14:textId="77777777" w:rsidR="00DF1684" w:rsidRPr="00DF1684" w:rsidRDefault="00DF1684" w:rsidP="00DF1684">
      <w:pPr>
        <w:pStyle w:val="ListParagraph"/>
        <w:numPr>
          <w:ilvl w:val="0"/>
          <w:numId w:val="38"/>
        </w:numPr>
        <w:ind w:left="360"/>
        <w:rPr>
          <w:rFonts w:eastAsia="Times New Roman"/>
          <w:color w:val="222222"/>
          <w:lang w:val="en-US"/>
        </w:rPr>
      </w:pPr>
      <w:r w:rsidRPr="22074AAC">
        <w:rPr>
          <w:rFonts w:eastAsia="Times New Roman"/>
          <w:color w:val="222222"/>
          <w:lang w:val="en-US"/>
        </w:rPr>
        <w:t>World Health Organization (WHO). Global action plan on antimicrobial resistance. Geneva: WHO; 2015. Available from: http://www.who.int/antimicrobial-resistance/publications/global-action-plan/en/ (accessed Dec 13, 2020)</w:t>
      </w:r>
    </w:p>
    <w:p w14:paraId="05497467" w14:textId="77777777" w:rsidR="00DF1684" w:rsidRPr="00E8507E" w:rsidRDefault="00DF1684" w:rsidP="00DF1684">
      <w:pPr>
        <w:pStyle w:val="ListParagraph"/>
        <w:numPr>
          <w:ilvl w:val="0"/>
          <w:numId w:val="38"/>
        </w:numPr>
        <w:ind w:left="360"/>
        <w:rPr>
          <w:rFonts w:eastAsia="Times New Roman"/>
          <w:color w:val="222222"/>
          <w:lang w:val="en-US"/>
        </w:rPr>
      </w:pPr>
      <w:r w:rsidRPr="22074AAC">
        <w:rPr>
          <w:rFonts w:eastAsia="Times New Roman"/>
          <w:color w:val="222222"/>
          <w:lang w:val="en-US"/>
        </w:rPr>
        <w:t xml:space="preserve">Meyer T, </w:t>
      </w:r>
      <w:proofErr w:type="spellStart"/>
      <w:r w:rsidRPr="22074AAC">
        <w:rPr>
          <w:rFonts w:eastAsia="Times New Roman"/>
          <w:color w:val="222222"/>
          <w:lang w:val="en-US"/>
        </w:rPr>
        <w:t>Buder</w:t>
      </w:r>
      <w:proofErr w:type="spellEnd"/>
      <w:r w:rsidRPr="22074AAC">
        <w:rPr>
          <w:rFonts w:eastAsia="Times New Roman"/>
          <w:color w:val="222222"/>
          <w:lang w:val="en-US"/>
        </w:rPr>
        <w:t xml:space="preserve"> S. The Laboratory Diagnosis of Neisseria gonorrhoeae: Current Testing and Future Demands. Pathogens. 2020;9(2):91. Published 2020 Jan 31. doi:10.3390/pathogens9020091</w:t>
      </w:r>
    </w:p>
    <w:p w14:paraId="6C0F086C" w14:textId="77777777" w:rsidR="00DF1684" w:rsidRPr="00E8507E" w:rsidRDefault="00DF1684" w:rsidP="00DF1684">
      <w:pPr>
        <w:pStyle w:val="ListParagraph"/>
        <w:numPr>
          <w:ilvl w:val="0"/>
          <w:numId w:val="38"/>
        </w:numPr>
        <w:ind w:left="360"/>
        <w:rPr>
          <w:rFonts w:eastAsia="Times New Roman"/>
          <w:color w:val="222222"/>
          <w:lang w:val="en-US"/>
        </w:rPr>
      </w:pPr>
      <w:proofErr w:type="spellStart"/>
      <w:r w:rsidRPr="22074AAC">
        <w:rPr>
          <w:rFonts w:eastAsia="Times New Roman"/>
          <w:color w:val="222222"/>
          <w:lang w:val="en-US"/>
        </w:rPr>
        <w:t>Unemo</w:t>
      </w:r>
      <w:proofErr w:type="spellEnd"/>
      <w:r w:rsidRPr="22074AAC">
        <w:rPr>
          <w:rFonts w:eastAsia="Times New Roman"/>
          <w:color w:val="222222"/>
          <w:lang w:val="en-US"/>
        </w:rPr>
        <w:t xml:space="preserve"> M., </w:t>
      </w:r>
      <w:proofErr w:type="spellStart"/>
      <w:r w:rsidRPr="22074AAC">
        <w:rPr>
          <w:rFonts w:eastAsia="Times New Roman"/>
          <w:color w:val="222222"/>
          <w:lang w:val="en-US"/>
        </w:rPr>
        <w:t>Ison</w:t>
      </w:r>
      <w:proofErr w:type="spellEnd"/>
      <w:r w:rsidRPr="22074AAC">
        <w:rPr>
          <w:rFonts w:eastAsia="Times New Roman"/>
          <w:color w:val="222222"/>
          <w:lang w:val="en-US"/>
        </w:rPr>
        <w:t xml:space="preserve"> C. Gonorrhea. In: </w:t>
      </w:r>
      <w:proofErr w:type="spellStart"/>
      <w:r w:rsidRPr="22074AAC">
        <w:rPr>
          <w:rFonts w:eastAsia="Times New Roman"/>
          <w:color w:val="222222"/>
          <w:lang w:val="en-US"/>
        </w:rPr>
        <w:t>Unemo</w:t>
      </w:r>
      <w:proofErr w:type="spellEnd"/>
      <w:r w:rsidRPr="22074AAC">
        <w:rPr>
          <w:rFonts w:eastAsia="Times New Roman"/>
          <w:color w:val="222222"/>
          <w:lang w:val="en-US"/>
        </w:rPr>
        <w:t xml:space="preserve"> M., Ballard R., </w:t>
      </w:r>
      <w:proofErr w:type="spellStart"/>
      <w:r w:rsidRPr="22074AAC">
        <w:rPr>
          <w:rFonts w:eastAsia="Times New Roman"/>
          <w:color w:val="222222"/>
          <w:lang w:val="en-US"/>
        </w:rPr>
        <w:t>Ison</w:t>
      </w:r>
      <w:proofErr w:type="spellEnd"/>
      <w:r w:rsidRPr="22074AAC">
        <w:rPr>
          <w:rFonts w:eastAsia="Times New Roman"/>
          <w:color w:val="222222"/>
          <w:lang w:val="en-US"/>
        </w:rPr>
        <w:t xml:space="preserve"> C., Lewis D., </w:t>
      </w:r>
      <w:proofErr w:type="spellStart"/>
      <w:r w:rsidRPr="22074AAC">
        <w:rPr>
          <w:rFonts w:eastAsia="Times New Roman"/>
          <w:color w:val="222222"/>
          <w:lang w:val="en-US"/>
        </w:rPr>
        <w:t>Ndowna</w:t>
      </w:r>
      <w:proofErr w:type="spellEnd"/>
      <w:r w:rsidRPr="22074AAC">
        <w:rPr>
          <w:rFonts w:eastAsia="Times New Roman"/>
          <w:color w:val="222222"/>
          <w:lang w:val="en-US"/>
        </w:rPr>
        <w:t xml:space="preserve"> F., Peeling R., editors. Laboratory Diagnosis of Sexually Transmitted Infections, Including Human Immunodeficiency Virus. WHO; Geneva, Switzerland: 2013. [(accessed on 30 January 2020)]. Available online: </w:t>
      </w:r>
      <w:hyperlink r:id="rId24">
        <w:r w:rsidRPr="22074AAC">
          <w:rPr>
            <w:color w:val="222222"/>
            <w:lang w:val="en-US"/>
          </w:rPr>
          <w:t>https://www.who.int/reproductivehealth/publications/rtis/9789241505840</w:t>
        </w:r>
      </w:hyperlink>
    </w:p>
    <w:p w14:paraId="71E6E148" w14:textId="77777777" w:rsidR="00DF1684" w:rsidRPr="00E8507E" w:rsidRDefault="00DF1684" w:rsidP="00DF1684">
      <w:pPr>
        <w:pStyle w:val="ListParagraph"/>
        <w:numPr>
          <w:ilvl w:val="0"/>
          <w:numId w:val="38"/>
        </w:numPr>
        <w:ind w:left="360"/>
        <w:rPr>
          <w:rFonts w:eastAsia="Times New Roman"/>
          <w:color w:val="222222"/>
          <w:lang w:val="en-US"/>
        </w:rPr>
      </w:pPr>
      <w:proofErr w:type="spellStart"/>
      <w:r w:rsidRPr="22074AAC">
        <w:rPr>
          <w:rFonts w:eastAsia="Times New Roman"/>
          <w:color w:val="222222"/>
          <w:lang w:val="en-US"/>
        </w:rPr>
        <w:t>Gonorrhoea</w:t>
      </w:r>
      <w:proofErr w:type="spellEnd"/>
      <w:r w:rsidRPr="22074AAC">
        <w:rPr>
          <w:rFonts w:eastAsia="Times New Roman"/>
          <w:color w:val="222222"/>
          <w:lang w:val="en-US"/>
        </w:rPr>
        <w:t xml:space="preserve">. </w:t>
      </w:r>
      <w:proofErr w:type="spellStart"/>
      <w:r w:rsidRPr="22074AAC">
        <w:rPr>
          <w:rFonts w:eastAsia="Times New Roman"/>
          <w:color w:val="222222"/>
          <w:lang w:val="en-US"/>
        </w:rPr>
        <w:t>Bignell</w:t>
      </w:r>
      <w:proofErr w:type="spellEnd"/>
      <w:r w:rsidRPr="22074AAC">
        <w:rPr>
          <w:rFonts w:eastAsia="Times New Roman"/>
          <w:color w:val="222222"/>
          <w:lang w:val="en-US"/>
        </w:rPr>
        <w:t xml:space="preserve"> C, </w:t>
      </w:r>
      <w:proofErr w:type="spellStart"/>
      <w:r w:rsidRPr="22074AAC">
        <w:rPr>
          <w:rFonts w:eastAsia="Times New Roman"/>
          <w:color w:val="222222"/>
          <w:lang w:val="en-US"/>
        </w:rPr>
        <w:t>Ison</w:t>
      </w:r>
      <w:proofErr w:type="spellEnd"/>
      <w:r w:rsidRPr="22074AAC">
        <w:rPr>
          <w:rFonts w:eastAsia="Times New Roman"/>
          <w:color w:val="222222"/>
          <w:lang w:val="en-US"/>
        </w:rPr>
        <w:t xml:space="preserve"> CA, Jungmann E Sex </w:t>
      </w:r>
      <w:proofErr w:type="spellStart"/>
      <w:r w:rsidRPr="22074AAC">
        <w:rPr>
          <w:rFonts w:eastAsia="Times New Roman"/>
          <w:color w:val="222222"/>
          <w:lang w:val="en-US"/>
        </w:rPr>
        <w:t>Transm</w:t>
      </w:r>
      <w:proofErr w:type="spellEnd"/>
      <w:r w:rsidRPr="22074AAC">
        <w:rPr>
          <w:rFonts w:eastAsia="Times New Roman"/>
          <w:color w:val="222222"/>
          <w:lang w:val="en-US"/>
        </w:rPr>
        <w:t xml:space="preserve"> Infect. 2006 Dec; 82 Suppl 4(</w:t>
      </w:r>
      <w:proofErr w:type="gramStart"/>
      <w:r w:rsidRPr="22074AAC">
        <w:rPr>
          <w:rFonts w:eastAsia="Times New Roman"/>
          <w:color w:val="222222"/>
          <w:lang w:val="en-US"/>
        </w:rPr>
        <w:t>):iv</w:t>
      </w:r>
      <w:proofErr w:type="gramEnd"/>
      <w:r w:rsidRPr="22074AAC">
        <w:rPr>
          <w:rFonts w:eastAsia="Times New Roman"/>
          <w:color w:val="222222"/>
          <w:lang w:val="en-US"/>
        </w:rPr>
        <w:t>6-9.</w:t>
      </w:r>
    </w:p>
    <w:p w14:paraId="47CB53A3" w14:textId="77777777" w:rsidR="00DF1684" w:rsidRPr="00E8507E" w:rsidRDefault="00DF1684" w:rsidP="00DF1684">
      <w:pPr>
        <w:pStyle w:val="ListParagraph"/>
        <w:numPr>
          <w:ilvl w:val="0"/>
          <w:numId w:val="38"/>
        </w:numPr>
        <w:ind w:left="360"/>
        <w:rPr>
          <w:rFonts w:eastAsia="Times New Roman"/>
          <w:color w:val="222222"/>
          <w:lang w:val="en-US"/>
        </w:rPr>
      </w:pPr>
      <w:proofErr w:type="spellStart"/>
      <w:r w:rsidRPr="22074AAC">
        <w:rPr>
          <w:rFonts w:eastAsia="Times New Roman"/>
          <w:color w:val="222222"/>
          <w:lang w:val="en-US"/>
        </w:rPr>
        <w:t>Unemo</w:t>
      </w:r>
      <w:proofErr w:type="spellEnd"/>
      <w:r w:rsidRPr="22074AAC">
        <w:rPr>
          <w:rFonts w:eastAsia="Times New Roman"/>
          <w:color w:val="222222"/>
          <w:lang w:val="en-US"/>
        </w:rPr>
        <w:t>, Magnus, Ballard, Ronald, </w:t>
      </w:r>
      <w:proofErr w:type="spellStart"/>
      <w:r w:rsidRPr="22074AAC">
        <w:rPr>
          <w:rFonts w:eastAsia="Times New Roman"/>
          <w:color w:val="222222"/>
          <w:lang w:val="en-US"/>
        </w:rPr>
        <w:t>Ison</w:t>
      </w:r>
      <w:proofErr w:type="spellEnd"/>
      <w:r w:rsidRPr="22074AAC">
        <w:rPr>
          <w:rFonts w:eastAsia="Times New Roman"/>
          <w:color w:val="222222"/>
          <w:lang w:val="en-US"/>
        </w:rPr>
        <w:t>, Catherine, Lewis, David, </w:t>
      </w:r>
      <w:proofErr w:type="spellStart"/>
      <w:r w:rsidRPr="22074AAC">
        <w:rPr>
          <w:rFonts w:eastAsia="Times New Roman"/>
          <w:color w:val="222222"/>
          <w:lang w:val="en-US"/>
        </w:rPr>
        <w:t>Ndowa</w:t>
      </w:r>
      <w:proofErr w:type="spellEnd"/>
      <w:r w:rsidRPr="22074AAC">
        <w:rPr>
          <w:rFonts w:eastAsia="Times New Roman"/>
          <w:color w:val="222222"/>
          <w:lang w:val="en-US"/>
        </w:rPr>
        <w:t xml:space="preserve">, Francis. et al. (‎2013)‎. Laboratory diagnosis of sexually transmitted infections, including human immunodeficiency virus / edited by Magnus </w:t>
      </w:r>
      <w:proofErr w:type="spellStart"/>
      <w:r w:rsidRPr="22074AAC">
        <w:rPr>
          <w:rFonts w:eastAsia="Times New Roman"/>
          <w:color w:val="222222"/>
          <w:lang w:val="en-US"/>
        </w:rPr>
        <w:t>Unemo</w:t>
      </w:r>
      <w:proofErr w:type="spellEnd"/>
      <w:r w:rsidRPr="22074AAC">
        <w:rPr>
          <w:rFonts w:eastAsia="Times New Roman"/>
          <w:color w:val="222222"/>
          <w:lang w:val="en-US"/>
        </w:rPr>
        <w:t xml:space="preserve"> … [‎et al]‎. World Health Organization. </w:t>
      </w:r>
      <w:hyperlink r:id="rId25">
        <w:r w:rsidRPr="22074AAC">
          <w:rPr>
            <w:rFonts w:eastAsia="Times New Roman"/>
            <w:color w:val="222222"/>
            <w:lang w:val="en-US"/>
          </w:rPr>
          <w:t>https://apps.who.int/iris/handle/10665/85343</w:t>
        </w:r>
      </w:hyperlink>
    </w:p>
    <w:p w14:paraId="739A9163" w14:textId="77777777" w:rsidR="00DF1684" w:rsidRPr="00E8507E" w:rsidRDefault="00DF1684" w:rsidP="00DF1684">
      <w:pPr>
        <w:pStyle w:val="ListParagraph"/>
        <w:numPr>
          <w:ilvl w:val="0"/>
          <w:numId w:val="38"/>
        </w:numPr>
        <w:ind w:left="360"/>
        <w:rPr>
          <w:rFonts w:eastAsia="Times New Roman"/>
          <w:color w:val="222222"/>
          <w:lang w:val="en-US"/>
        </w:rPr>
      </w:pPr>
      <w:proofErr w:type="spellStart"/>
      <w:r w:rsidRPr="22074AAC">
        <w:rPr>
          <w:rFonts w:eastAsia="Times New Roman"/>
          <w:color w:val="222222"/>
          <w:lang w:val="en-US"/>
        </w:rPr>
        <w:lastRenderedPageBreak/>
        <w:t>Unemo</w:t>
      </w:r>
      <w:proofErr w:type="spellEnd"/>
      <w:r w:rsidRPr="22074AAC">
        <w:rPr>
          <w:rFonts w:eastAsia="Times New Roman"/>
          <w:color w:val="222222"/>
          <w:lang w:val="en-US"/>
        </w:rPr>
        <w:t xml:space="preserve">, M., </w:t>
      </w:r>
      <w:proofErr w:type="spellStart"/>
      <w:r w:rsidRPr="22074AAC">
        <w:rPr>
          <w:rFonts w:eastAsia="Times New Roman"/>
          <w:color w:val="222222"/>
          <w:lang w:val="en-US"/>
        </w:rPr>
        <w:t>Golparian</w:t>
      </w:r>
      <w:proofErr w:type="spellEnd"/>
      <w:r w:rsidRPr="22074AAC">
        <w:rPr>
          <w:rFonts w:eastAsia="Times New Roman"/>
          <w:color w:val="222222"/>
          <w:lang w:val="en-US"/>
        </w:rPr>
        <w:t>, D., Sánchez-</w:t>
      </w:r>
      <w:proofErr w:type="spellStart"/>
      <w:r w:rsidRPr="22074AAC">
        <w:rPr>
          <w:rFonts w:eastAsia="Times New Roman"/>
          <w:color w:val="222222"/>
          <w:lang w:val="en-US"/>
        </w:rPr>
        <w:t>Busó</w:t>
      </w:r>
      <w:proofErr w:type="spellEnd"/>
      <w:r w:rsidRPr="22074AAC">
        <w:rPr>
          <w:rFonts w:eastAsia="Times New Roman"/>
          <w:color w:val="222222"/>
          <w:lang w:val="en-US"/>
        </w:rPr>
        <w:t xml:space="preserve">, L., Grad, Y., </w:t>
      </w:r>
      <w:proofErr w:type="spellStart"/>
      <w:r w:rsidRPr="22074AAC">
        <w:rPr>
          <w:rFonts w:eastAsia="Times New Roman"/>
          <w:color w:val="222222"/>
          <w:lang w:val="en-US"/>
        </w:rPr>
        <w:t>Jacobsson</w:t>
      </w:r>
      <w:proofErr w:type="spellEnd"/>
      <w:r w:rsidRPr="22074AAC">
        <w:rPr>
          <w:rFonts w:eastAsia="Times New Roman"/>
          <w:color w:val="222222"/>
          <w:lang w:val="en-US"/>
        </w:rPr>
        <w:t xml:space="preserve">, S., Ohnishi, M., </w:t>
      </w:r>
      <w:proofErr w:type="spellStart"/>
      <w:r w:rsidRPr="22074AAC">
        <w:rPr>
          <w:rFonts w:eastAsia="Times New Roman"/>
          <w:color w:val="222222"/>
          <w:lang w:val="en-US"/>
        </w:rPr>
        <w:t>Lahra</w:t>
      </w:r>
      <w:proofErr w:type="spellEnd"/>
      <w:r w:rsidRPr="22074AAC">
        <w:rPr>
          <w:rFonts w:eastAsia="Times New Roman"/>
          <w:color w:val="222222"/>
          <w:lang w:val="en-US"/>
        </w:rPr>
        <w:t xml:space="preserve">, M. M., </w:t>
      </w:r>
      <w:proofErr w:type="spellStart"/>
      <w:r w:rsidRPr="22074AAC">
        <w:rPr>
          <w:rFonts w:eastAsia="Times New Roman"/>
          <w:color w:val="222222"/>
          <w:lang w:val="en-US"/>
        </w:rPr>
        <w:t>Limnios</w:t>
      </w:r>
      <w:proofErr w:type="spellEnd"/>
      <w:r w:rsidRPr="22074AAC">
        <w:rPr>
          <w:rFonts w:eastAsia="Times New Roman"/>
          <w:color w:val="222222"/>
          <w:lang w:val="en-US"/>
        </w:rPr>
        <w:t xml:space="preserve">, A., Sikora, A. E., Wi, T., &amp; Harris, S. R. (2016). The novel 2016 WHO Neisseria gonorrhoeae reference strains for global quality assurance of laboratory investigations: phenotypic, genetic and reference genome characterization. The Journal of antimicrobial chemotherapy, 71(11), 3096–3108. </w:t>
      </w:r>
      <w:hyperlink r:id="rId26">
        <w:r w:rsidRPr="22074AAC">
          <w:rPr>
            <w:rFonts w:eastAsia="Times New Roman"/>
            <w:color w:val="222222"/>
            <w:lang w:val="en-US"/>
          </w:rPr>
          <w:t>https://doi.org/10.1093/jac/dkw288</w:t>
        </w:r>
      </w:hyperlink>
    </w:p>
    <w:p w14:paraId="26CCBE2F" w14:textId="77777777" w:rsidR="00E8507E" w:rsidRPr="00A86F37" w:rsidRDefault="00976AB2" w:rsidP="00DF1684">
      <w:pPr>
        <w:pStyle w:val="ListParagraph"/>
        <w:numPr>
          <w:ilvl w:val="0"/>
          <w:numId w:val="38"/>
        </w:numPr>
        <w:ind w:left="360"/>
        <w:rPr>
          <w:rFonts w:eastAsia="Times New Roman"/>
          <w:color w:val="222222"/>
          <w:lang w:val="en-US"/>
        </w:rPr>
      </w:pPr>
      <w:hyperlink r:id="rId27" w:history="1">
        <w:r w:rsidR="00E8507E" w:rsidRPr="00E8507E">
          <w:rPr>
            <w:rStyle w:val="Hyperlink"/>
            <w:lang w:val="en-US"/>
          </w:rPr>
          <w:t>https://www1.health.gov.au/internet/main/publishing.nsf/Content/cda-pubs-annlrpt-gonoanrep.htm</w:t>
        </w:r>
      </w:hyperlink>
      <w:r w:rsidR="00E8507E" w:rsidRPr="00E8507E">
        <w:rPr>
          <w:color w:val="222222"/>
          <w:lang w:val="en-US"/>
        </w:rPr>
        <w:t xml:space="preserve"> accessed </w:t>
      </w:r>
      <w:proofErr w:type="gramStart"/>
      <w:r w:rsidR="00E8507E" w:rsidRPr="00E8507E">
        <w:rPr>
          <w:color w:val="222222"/>
          <w:lang w:val="en-US"/>
        </w:rPr>
        <w:t>16/11/23</w:t>
      </w:r>
      <w:proofErr w:type="gramEnd"/>
    </w:p>
    <w:p w14:paraId="64256F10" w14:textId="77777777" w:rsidR="00DF1684" w:rsidRPr="008037C5" w:rsidRDefault="00DF1684" w:rsidP="00DF1684">
      <w:pPr>
        <w:pStyle w:val="ListParagraph"/>
        <w:numPr>
          <w:ilvl w:val="0"/>
          <w:numId w:val="38"/>
        </w:numPr>
        <w:ind w:left="360"/>
        <w:rPr>
          <w:rFonts w:eastAsia="Times New Roman"/>
          <w:color w:val="222222"/>
          <w:lang w:val="en-US"/>
        </w:rPr>
      </w:pPr>
      <w:r w:rsidRPr="22074AAC">
        <w:rPr>
          <w:rFonts w:eastAsia="Times New Roman"/>
          <w:color w:val="222222"/>
          <w:lang w:val="en-US"/>
        </w:rPr>
        <w:t xml:space="preserve">Papp J.R., Schachter J., Gaydos C.A., van der Pol B. Recommendations for the laboratory-based detection of Chlamydia trachomatis and Neisseria gonorrhoeae—2014. MMWR </w:t>
      </w:r>
      <w:proofErr w:type="spellStart"/>
      <w:r w:rsidRPr="22074AAC">
        <w:rPr>
          <w:rFonts w:eastAsia="Times New Roman"/>
          <w:color w:val="222222"/>
          <w:lang w:val="en-US"/>
        </w:rPr>
        <w:t>Recomm</w:t>
      </w:r>
      <w:proofErr w:type="spellEnd"/>
      <w:r w:rsidRPr="22074AAC">
        <w:rPr>
          <w:rFonts w:eastAsia="Times New Roman"/>
          <w:color w:val="222222"/>
          <w:lang w:val="en-US"/>
        </w:rPr>
        <w:t xml:space="preserve">. Rep. </w:t>
      </w:r>
      <w:proofErr w:type="gramStart"/>
      <w:r w:rsidRPr="22074AAC">
        <w:rPr>
          <w:rFonts w:eastAsia="Times New Roman"/>
          <w:color w:val="222222"/>
          <w:lang w:val="en-US"/>
        </w:rPr>
        <w:t>2014;63:1</w:t>
      </w:r>
      <w:proofErr w:type="gramEnd"/>
      <w:r w:rsidRPr="22074AAC">
        <w:rPr>
          <w:rFonts w:eastAsia="Times New Roman"/>
          <w:color w:val="222222"/>
          <w:lang w:val="en-US"/>
        </w:rPr>
        <w:t>–19.</w:t>
      </w:r>
    </w:p>
    <w:p w14:paraId="557C4E92" w14:textId="77777777" w:rsidR="00DF1684" w:rsidRPr="008037C5" w:rsidRDefault="00DF1684" w:rsidP="00DF1684">
      <w:pPr>
        <w:pStyle w:val="ListParagraph"/>
        <w:numPr>
          <w:ilvl w:val="0"/>
          <w:numId w:val="38"/>
        </w:numPr>
        <w:ind w:left="360"/>
        <w:rPr>
          <w:rFonts w:eastAsia="Times New Roman"/>
          <w:color w:val="222222"/>
          <w:lang w:val="en-US"/>
        </w:rPr>
      </w:pPr>
      <w:r w:rsidRPr="22074AAC">
        <w:rPr>
          <w:rFonts w:eastAsia="Times New Roman"/>
          <w:color w:val="222222"/>
          <w:lang w:val="en-US"/>
        </w:rPr>
        <w:t xml:space="preserve">Cheng A., Kirby J.E. Evaluation of the Hologic gen-probe PANTHER, APTIMA Combo 2 assay in a tertiary care teaching hospital. Am. J. Clin. </w:t>
      </w:r>
      <w:proofErr w:type="spellStart"/>
      <w:r w:rsidRPr="22074AAC">
        <w:rPr>
          <w:rFonts w:eastAsia="Times New Roman"/>
          <w:color w:val="222222"/>
          <w:lang w:val="en-US"/>
        </w:rPr>
        <w:t>Pathol</w:t>
      </w:r>
      <w:proofErr w:type="spellEnd"/>
      <w:r w:rsidRPr="22074AAC">
        <w:rPr>
          <w:rFonts w:eastAsia="Times New Roman"/>
          <w:color w:val="222222"/>
          <w:lang w:val="en-US"/>
        </w:rPr>
        <w:t xml:space="preserve">. </w:t>
      </w:r>
      <w:proofErr w:type="gramStart"/>
      <w:r w:rsidRPr="22074AAC">
        <w:rPr>
          <w:rFonts w:eastAsia="Times New Roman"/>
          <w:color w:val="222222"/>
          <w:lang w:val="en-US"/>
        </w:rPr>
        <w:t>2014;141:397</w:t>
      </w:r>
      <w:proofErr w:type="gramEnd"/>
      <w:r w:rsidRPr="22074AAC">
        <w:rPr>
          <w:rFonts w:eastAsia="Times New Roman"/>
          <w:color w:val="222222"/>
          <w:lang w:val="en-US"/>
        </w:rPr>
        <w:t xml:space="preserve">–403. </w:t>
      </w:r>
      <w:proofErr w:type="spellStart"/>
      <w:r w:rsidRPr="22074AAC">
        <w:rPr>
          <w:rFonts w:eastAsia="Times New Roman"/>
          <w:color w:val="222222"/>
          <w:lang w:val="en-US"/>
        </w:rPr>
        <w:t>doi</w:t>
      </w:r>
      <w:proofErr w:type="spellEnd"/>
      <w:r w:rsidRPr="22074AAC">
        <w:rPr>
          <w:rFonts w:eastAsia="Times New Roman"/>
          <w:color w:val="222222"/>
          <w:lang w:val="en-US"/>
        </w:rPr>
        <w:t xml:space="preserve">: 10.1309/AJCPFQ25SQVZAWHZ. </w:t>
      </w:r>
    </w:p>
    <w:p w14:paraId="130DF8EB" w14:textId="77777777" w:rsidR="00DF1684" w:rsidRPr="008037C5" w:rsidRDefault="00DF1684" w:rsidP="00DF1684">
      <w:pPr>
        <w:pStyle w:val="ListParagraph"/>
        <w:numPr>
          <w:ilvl w:val="0"/>
          <w:numId w:val="38"/>
        </w:numPr>
        <w:ind w:left="360"/>
        <w:rPr>
          <w:rFonts w:eastAsia="Times New Roman"/>
          <w:color w:val="222222"/>
          <w:lang w:val="en-US"/>
        </w:rPr>
      </w:pPr>
      <w:r w:rsidRPr="22074AAC">
        <w:rPr>
          <w:rFonts w:eastAsia="Times New Roman"/>
          <w:color w:val="222222"/>
          <w:lang w:val="en-US"/>
        </w:rPr>
        <w:t xml:space="preserve">Marlowe E.M., Hardy D., </w:t>
      </w:r>
      <w:proofErr w:type="spellStart"/>
      <w:r w:rsidRPr="22074AAC">
        <w:rPr>
          <w:rFonts w:eastAsia="Times New Roman"/>
          <w:color w:val="222222"/>
          <w:lang w:val="en-US"/>
        </w:rPr>
        <w:t>Krevolin</w:t>
      </w:r>
      <w:proofErr w:type="spellEnd"/>
      <w:r w:rsidRPr="22074AAC">
        <w:rPr>
          <w:rFonts w:eastAsia="Times New Roman"/>
          <w:color w:val="222222"/>
          <w:lang w:val="en-US"/>
        </w:rPr>
        <w:t xml:space="preserve"> M., </w:t>
      </w:r>
      <w:proofErr w:type="spellStart"/>
      <w:r w:rsidRPr="22074AAC">
        <w:rPr>
          <w:rFonts w:eastAsia="Times New Roman"/>
          <w:color w:val="222222"/>
          <w:lang w:val="en-US"/>
        </w:rPr>
        <w:t>Gohl</w:t>
      </w:r>
      <w:proofErr w:type="spellEnd"/>
      <w:r w:rsidRPr="22074AAC">
        <w:rPr>
          <w:rFonts w:eastAsia="Times New Roman"/>
          <w:color w:val="222222"/>
          <w:lang w:val="en-US"/>
        </w:rPr>
        <w:t xml:space="preserve"> P., Bertram A., </w:t>
      </w:r>
      <w:proofErr w:type="spellStart"/>
      <w:r w:rsidRPr="22074AAC">
        <w:rPr>
          <w:rFonts w:eastAsia="Times New Roman"/>
          <w:color w:val="222222"/>
          <w:lang w:val="en-US"/>
        </w:rPr>
        <w:t>Arcenas</w:t>
      </w:r>
      <w:proofErr w:type="spellEnd"/>
      <w:r w:rsidRPr="22074AAC">
        <w:rPr>
          <w:rFonts w:eastAsia="Times New Roman"/>
          <w:color w:val="222222"/>
          <w:lang w:val="en-US"/>
        </w:rPr>
        <w:t xml:space="preserve"> R., </w:t>
      </w:r>
      <w:proofErr w:type="spellStart"/>
      <w:r w:rsidRPr="22074AAC">
        <w:rPr>
          <w:rFonts w:eastAsia="Times New Roman"/>
          <w:color w:val="222222"/>
          <w:lang w:val="en-US"/>
        </w:rPr>
        <w:t>Seiverth</w:t>
      </w:r>
      <w:proofErr w:type="spellEnd"/>
      <w:r w:rsidRPr="22074AAC">
        <w:rPr>
          <w:rFonts w:eastAsia="Times New Roman"/>
          <w:color w:val="222222"/>
          <w:lang w:val="en-US"/>
        </w:rPr>
        <w:t xml:space="preserve"> B., Schneider T., </w:t>
      </w:r>
      <w:proofErr w:type="spellStart"/>
      <w:r w:rsidRPr="22074AAC">
        <w:rPr>
          <w:rFonts w:eastAsia="Times New Roman"/>
          <w:color w:val="222222"/>
          <w:lang w:val="en-US"/>
        </w:rPr>
        <w:t>Liesenfeld</w:t>
      </w:r>
      <w:proofErr w:type="spellEnd"/>
      <w:r w:rsidRPr="22074AAC">
        <w:rPr>
          <w:rFonts w:eastAsia="Times New Roman"/>
          <w:color w:val="222222"/>
          <w:lang w:val="en-US"/>
        </w:rPr>
        <w:t xml:space="preserve"> O. High-throughput testing of urogenital and extragenital specimens for detection of Chlamydia trachomatis and Neisseria gonorrhoeae with Cobas CT/NG. Eur. J. </w:t>
      </w:r>
      <w:proofErr w:type="spellStart"/>
      <w:r w:rsidRPr="22074AAC">
        <w:rPr>
          <w:rFonts w:eastAsia="Times New Roman"/>
          <w:color w:val="222222"/>
          <w:lang w:val="en-US"/>
        </w:rPr>
        <w:t>Microbiol</w:t>
      </w:r>
      <w:proofErr w:type="spellEnd"/>
      <w:r w:rsidRPr="22074AAC">
        <w:rPr>
          <w:rFonts w:eastAsia="Times New Roman"/>
          <w:color w:val="222222"/>
          <w:lang w:val="en-US"/>
        </w:rPr>
        <w:t xml:space="preserve">. Immunol. Bp. </w:t>
      </w:r>
      <w:proofErr w:type="gramStart"/>
      <w:r w:rsidRPr="22074AAC">
        <w:rPr>
          <w:rFonts w:eastAsia="Times New Roman"/>
          <w:color w:val="222222"/>
          <w:lang w:val="en-US"/>
        </w:rPr>
        <w:t>2017;7:176</w:t>
      </w:r>
      <w:proofErr w:type="gramEnd"/>
      <w:r w:rsidRPr="22074AAC">
        <w:rPr>
          <w:rFonts w:eastAsia="Times New Roman"/>
          <w:color w:val="222222"/>
          <w:lang w:val="en-US"/>
        </w:rPr>
        <w:t xml:space="preserve">–186. </w:t>
      </w:r>
      <w:proofErr w:type="spellStart"/>
      <w:r w:rsidRPr="22074AAC">
        <w:rPr>
          <w:rFonts w:eastAsia="Times New Roman"/>
          <w:color w:val="222222"/>
          <w:lang w:val="en-US"/>
        </w:rPr>
        <w:t>doi</w:t>
      </w:r>
      <w:proofErr w:type="spellEnd"/>
      <w:r w:rsidRPr="22074AAC">
        <w:rPr>
          <w:rFonts w:eastAsia="Times New Roman"/>
          <w:color w:val="222222"/>
          <w:lang w:val="en-US"/>
        </w:rPr>
        <w:t>: 10.1556/1886.2017.00018.</w:t>
      </w:r>
    </w:p>
    <w:p w14:paraId="56192527" w14:textId="77777777" w:rsidR="00DF1684" w:rsidRPr="008037C5" w:rsidRDefault="00DF1684" w:rsidP="00DF1684">
      <w:pPr>
        <w:pStyle w:val="ListParagraph"/>
        <w:numPr>
          <w:ilvl w:val="0"/>
          <w:numId w:val="38"/>
        </w:numPr>
        <w:ind w:left="360"/>
        <w:rPr>
          <w:rFonts w:eastAsia="Times New Roman"/>
          <w:color w:val="222222"/>
          <w:lang w:val="en-US"/>
        </w:rPr>
      </w:pPr>
      <w:proofErr w:type="spellStart"/>
      <w:r w:rsidRPr="22074AAC">
        <w:rPr>
          <w:rFonts w:eastAsia="Times New Roman"/>
          <w:color w:val="222222"/>
          <w:lang w:val="en-US"/>
        </w:rPr>
        <w:t>Cornelisse</w:t>
      </w:r>
      <w:proofErr w:type="spellEnd"/>
      <w:r w:rsidRPr="22074AAC">
        <w:rPr>
          <w:rFonts w:eastAsia="Times New Roman"/>
          <w:color w:val="222222"/>
          <w:lang w:val="en-US"/>
        </w:rPr>
        <w:t xml:space="preserve"> V.J., Chow E.P., Huffam S., Fairley C.K., </w:t>
      </w:r>
      <w:proofErr w:type="spellStart"/>
      <w:r w:rsidRPr="22074AAC">
        <w:rPr>
          <w:rFonts w:eastAsia="Times New Roman"/>
          <w:color w:val="222222"/>
          <w:lang w:val="en-US"/>
        </w:rPr>
        <w:t>Bissessor</w:t>
      </w:r>
      <w:proofErr w:type="spellEnd"/>
      <w:r w:rsidRPr="22074AAC">
        <w:rPr>
          <w:rFonts w:eastAsia="Times New Roman"/>
          <w:color w:val="222222"/>
          <w:lang w:val="en-US"/>
        </w:rPr>
        <w:t xml:space="preserve"> M., De Petra V., </w:t>
      </w:r>
      <w:proofErr w:type="spellStart"/>
      <w:r w:rsidRPr="22074AAC">
        <w:rPr>
          <w:rFonts w:eastAsia="Times New Roman"/>
          <w:color w:val="222222"/>
          <w:lang w:val="en-US"/>
        </w:rPr>
        <w:t>Howden</w:t>
      </w:r>
      <w:proofErr w:type="spellEnd"/>
      <w:r w:rsidRPr="22074AAC">
        <w:rPr>
          <w:rFonts w:eastAsia="Times New Roman"/>
          <w:color w:val="222222"/>
          <w:lang w:val="en-US"/>
        </w:rPr>
        <w:t xml:space="preserve"> B.P., Denham I., Bradshaw C.S., Williamson D., et al. Increased Detection of Pharyngeal and Rectal Gonorrhea in Men Who Have Sex </w:t>
      </w:r>
      <w:proofErr w:type="gramStart"/>
      <w:r w:rsidRPr="22074AAC">
        <w:rPr>
          <w:rFonts w:eastAsia="Times New Roman"/>
          <w:color w:val="222222"/>
          <w:lang w:val="en-US"/>
        </w:rPr>
        <w:t>With</w:t>
      </w:r>
      <w:proofErr w:type="gramEnd"/>
      <w:r w:rsidRPr="22074AAC">
        <w:rPr>
          <w:rFonts w:eastAsia="Times New Roman"/>
          <w:color w:val="222222"/>
          <w:lang w:val="en-US"/>
        </w:rPr>
        <w:t xml:space="preserve"> Men After Transition From Culture To Nucleic Acid Amplification Testing. Sex </w:t>
      </w:r>
      <w:proofErr w:type="spellStart"/>
      <w:r w:rsidRPr="22074AAC">
        <w:rPr>
          <w:rFonts w:eastAsia="Times New Roman"/>
          <w:color w:val="222222"/>
          <w:lang w:val="en-US"/>
        </w:rPr>
        <w:t>Transm</w:t>
      </w:r>
      <w:proofErr w:type="spellEnd"/>
      <w:r w:rsidRPr="22074AAC">
        <w:rPr>
          <w:rFonts w:eastAsia="Times New Roman"/>
          <w:color w:val="222222"/>
          <w:lang w:val="en-US"/>
        </w:rPr>
        <w:t xml:space="preserve">. Dis. </w:t>
      </w:r>
      <w:proofErr w:type="gramStart"/>
      <w:r w:rsidRPr="22074AAC">
        <w:rPr>
          <w:rFonts w:eastAsia="Times New Roman"/>
          <w:color w:val="222222"/>
          <w:lang w:val="en-US"/>
        </w:rPr>
        <w:t>2017;44:114</w:t>
      </w:r>
      <w:proofErr w:type="gramEnd"/>
      <w:r w:rsidRPr="22074AAC">
        <w:rPr>
          <w:rFonts w:eastAsia="Times New Roman"/>
          <w:color w:val="222222"/>
          <w:lang w:val="en-US"/>
        </w:rPr>
        <w:t xml:space="preserve">–117. </w:t>
      </w:r>
      <w:proofErr w:type="spellStart"/>
      <w:r w:rsidRPr="22074AAC">
        <w:rPr>
          <w:rFonts w:eastAsia="Times New Roman"/>
          <w:color w:val="222222"/>
          <w:lang w:val="en-US"/>
        </w:rPr>
        <w:t>doi</w:t>
      </w:r>
      <w:proofErr w:type="spellEnd"/>
      <w:r w:rsidRPr="22074AAC">
        <w:rPr>
          <w:rFonts w:eastAsia="Times New Roman"/>
          <w:color w:val="222222"/>
          <w:lang w:val="en-US"/>
        </w:rPr>
        <w:t>: 10.1097/OLQ.0000000000000553.</w:t>
      </w:r>
    </w:p>
    <w:p w14:paraId="713D193C" w14:textId="77777777" w:rsidR="00DF1684" w:rsidRPr="00DF1684" w:rsidRDefault="00DF1684" w:rsidP="00DF1684">
      <w:pPr>
        <w:pStyle w:val="ListParagraph"/>
        <w:numPr>
          <w:ilvl w:val="0"/>
          <w:numId w:val="38"/>
        </w:numPr>
        <w:ind w:left="360"/>
        <w:rPr>
          <w:rFonts w:eastAsia="Times New Roman"/>
          <w:color w:val="222222"/>
          <w:lang w:val="en-US"/>
        </w:rPr>
      </w:pPr>
      <w:r w:rsidRPr="22074AAC">
        <w:rPr>
          <w:rFonts w:eastAsia="Times New Roman"/>
          <w:color w:val="222222"/>
          <w:lang w:val="en-US"/>
        </w:rPr>
        <w:t xml:space="preserve">Whiley DM, </w:t>
      </w:r>
      <w:proofErr w:type="spellStart"/>
      <w:r w:rsidRPr="22074AAC">
        <w:rPr>
          <w:rFonts w:eastAsia="Times New Roman"/>
          <w:color w:val="222222"/>
          <w:lang w:val="en-US"/>
        </w:rPr>
        <w:t>Lahra</w:t>
      </w:r>
      <w:proofErr w:type="spellEnd"/>
      <w:r w:rsidRPr="22074AAC">
        <w:rPr>
          <w:rFonts w:eastAsia="Times New Roman"/>
          <w:color w:val="222222"/>
          <w:lang w:val="en-US"/>
        </w:rPr>
        <w:t xml:space="preserve"> MM; National Neisseria Network. Review of 2005 Public Health Laboratory Network Neisseria gonorrhoeae nucleic acid amplification tests guidelines. </w:t>
      </w:r>
      <w:proofErr w:type="spellStart"/>
      <w:r w:rsidRPr="22074AAC">
        <w:rPr>
          <w:rFonts w:eastAsia="Times New Roman"/>
          <w:color w:val="222222"/>
          <w:lang w:val="en-US"/>
        </w:rPr>
        <w:t>Commun</w:t>
      </w:r>
      <w:proofErr w:type="spellEnd"/>
      <w:r w:rsidRPr="22074AAC">
        <w:rPr>
          <w:rFonts w:eastAsia="Times New Roman"/>
          <w:color w:val="222222"/>
          <w:lang w:val="en-US"/>
        </w:rPr>
        <w:t xml:space="preserve"> Dis </w:t>
      </w:r>
      <w:proofErr w:type="spellStart"/>
      <w:r w:rsidRPr="22074AAC">
        <w:rPr>
          <w:rFonts w:eastAsia="Times New Roman"/>
          <w:color w:val="222222"/>
          <w:lang w:val="en-US"/>
        </w:rPr>
        <w:t>Intell</w:t>
      </w:r>
      <w:proofErr w:type="spellEnd"/>
      <w:r w:rsidRPr="22074AAC">
        <w:rPr>
          <w:rFonts w:eastAsia="Times New Roman"/>
          <w:color w:val="222222"/>
          <w:lang w:val="en-US"/>
        </w:rPr>
        <w:t xml:space="preserve"> Q Rep. 2015 Mar 31;39(1</w:t>
      </w:r>
      <w:proofErr w:type="gramStart"/>
      <w:r w:rsidRPr="22074AAC">
        <w:rPr>
          <w:rFonts w:eastAsia="Times New Roman"/>
          <w:color w:val="222222"/>
          <w:lang w:val="en-US"/>
        </w:rPr>
        <w:t>):E</w:t>
      </w:r>
      <w:proofErr w:type="gramEnd"/>
      <w:r w:rsidRPr="22074AAC">
        <w:rPr>
          <w:rFonts w:eastAsia="Times New Roman"/>
          <w:color w:val="222222"/>
          <w:lang w:val="en-US"/>
        </w:rPr>
        <w:t>42-5. PMID: 26063097.</w:t>
      </w:r>
    </w:p>
    <w:p w14:paraId="41CB9FFB" w14:textId="77777777" w:rsidR="00C440A9" w:rsidRPr="00C465E2" w:rsidRDefault="00DF1684" w:rsidP="00C465E2">
      <w:pPr>
        <w:pStyle w:val="ListParagraph"/>
        <w:numPr>
          <w:ilvl w:val="0"/>
          <w:numId w:val="38"/>
        </w:numPr>
        <w:ind w:left="360"/>
        <w:rPr>
          <w:rFonts w:eastAsia="Times New Roman"/>
          <w:color w:val="222222"/>
          <w:lang w:val="en-US"/>
        </w:rPr>
      </w:pPr>
      <w:r w:rsidRPr="22074AAC">
        <w:rPr>
          <w:rFonts w:eastAsia="Times New Roman"/>
          <w:color w:val="222222"/>
          <w:lang w:val="en-US"/>
        </w:rPr>
        <w:t xml:space="preserve">Pryce TM, </w:t>
      </w:r>
      <w:proofErr w:type="spellStart"/>
      <w:r w:rsidRPr="22074AAC">
        <w:rPr>
          <w:rFonts w:eastAsia="Times New Roman"/>
          <w:color w:val="222222"/>
          <w:lang w:val="en-US"/>
        </w:rPr>
        <w:t>Hiew</w:t>
      </w:r>
      <w:proofErr w:type="spellEnd"/>
      <w:r w:rsidRPr="22074AAC">
        <w:rPr>
          <w:rFonts w:eastAsia="Times New Roman"/>
          <w:color w:val="222222"/>
          <w:lang w:val="en-US"/>
        </w:rPr>
        <w:t xml:space="preserve"> VJ, </w:t>
      </w:r>
      <w:proofErr w:type="spellStart"/>
      <w:r w:rsidRPr="22074AAC">
        <w:rPr>
          <w:rFonts w:eastAsia="Times New Roman"/>
          <w:color w:val="222222"/>
          <w:lang w:val="en-US"/>
        </w:rPr>
        <w:t>Haygarth</w:t>
      </w:r>
      <w:proofErr w:type="spellEnd"/>
      <w:r w:rsidRPr="22074AAC">
        <w:rPr>
          <w:rFonts w:eastAsia="Times New Roman"/>
          <w:color w:val="222222"/>
          <w:lang w:val="en-US"/>
        </w:rPr>
        <w:t xml:space="preserve"> EJ, Whiley DM. Second- and third-generation commercial Neisseria gonorrhoeae screening assays and the ongoing issues of false-positive results and confirmatory testing. </w:t>
      </w:r>
      <w:proofErr w:type="spellStart"/>
      <w:r w:rsidRPr="22074AAC">
        <w:rPr>
          <w:rFonts w:eastAsia="Times New Roman"/>
          <w:color w:val="222222"/>
          <w:lang w:val="en-US"/>
        </w:rPr>
        <w:t>Eur</w:t>
      </w:r>
      <w:proofErr w:type="spellEnd"/>
      <w:r w:rsidRPr="22074AAC">
        <w:rPr>
          <w:rFonts w:eastAsia="Times New Roman"/>
          <w:color w:val="222222"/>
          <w:lang w:val="en-US"/>
        </w:rPr>
        <w:t xml:space="preserve"> J Clin </w:t>
      </w:r>
      <w:proofErr w:type="spellStart"/>
      <w:r w:rsidRPr="22074AAC">
        <w:rPr>
          <w:rFonts w:eastAsia="Times New Roman"/>
          <w:color w:val="222222"/>
          <w:lang w:val="en-US"/>
        </w:rPr>
        <w:t>Microbiol</w:t>
      </w:r>
      <w:proofErr w:type="spellEnd"/>
      <w:r w:rsidRPr="22074AAC">
        <w:rPr>
          <w:rFonts w:eastAsia="Times New Roman"/>
          <w:color w:val="222222"/>
          <w:lang w:val="en-US"/>
        </w:rPr>
        <w:t xml:space="preserve"> Infect Dis. 2021 Jan;40(1):67-75.</w:t>
      </w:r>
    </w:p>
    <w:p w14:paraId="5A39BBE3" w14:textId="77777777" w:rsidR="00C20CF9" w:rsidRDefault="00C20CF9">
      <w:pPr>
        <w:spacing w:before="0" w:after="200" w:line="276" w:lineRule="auto"/>
        <w:rPr>
          <w:rFonts w:eastAsia="Times New Roman"/>
          <w:color w:val="000000"/>
          <w:sz w:val="36"/>
          <w:szCs w:val="36"/>
          <w:highlight w:val="lightGray"/>
          <w14:scene3d>
            <w14:camera w14:prst="orthographicFront"/>
            <w14:lightRig w14:rig="threePt" w14:dir="t">
              <w14:rot w14:lat="0" w14:lon="0" w14:rev="0"/>
            </w14:lightRig>
          </w14:scene3d>
        </w:rPr>
      </w:pPr>
      <w:r>
        <w:rPr>
          <w:highlight w:val="lightGray"/>
          <w14:scene3d>
            <w14:camera w14:prst="orthographicFront"/>
            <w14:lightRig w14:rig="threePt" w14:dir="t">
              <w14:rot w14:lat="0" w14:lon="0" w14:rev="0"/>
            </w14:lightRig>
          </w14:scene3d>
        </w:rPr>
        <w:br w:type="page"/>
      </w:r>
    </w:p>
    <w:p w14:paraId="04C7796E" w14:textId="77777777" w:rsidR="00EC3B9A" w:rsidRDefault="00CF2D40" w:rsidP="00C20CF9">
      <w:pPr>
        <w:pStyle w:val="Heading1"/>
      </w:pPr>
      <w:r>
        <w:lastRenderedPageBreak/>
        <w:t>Glossary</w:t>
      </w:r>
    </w:p>
    <w:p w14:paraId="37CBBC08" w14:textId="77777777" w:rsidR="00DC4218" w:rsidRDefault="00DC4218" w:rsidP="00CF2D40">
      <w:pPr>
        <w:rPr>
          <w:rStyle w:val="Strong"/>
          <w:b w:val="0"/>
          <w:bCs w:val="0"/>
          <w:color w:val="222222"/>
          <w:shd w:val="clear" w:color="auto" w:fill="FFFFFF"/>
        </w:rPr>
      </w:pPr>
      <w:r w:rsidRPr="00EC3B9A">
        <w:rPr>
          <w:rStyle w:val="Strong"/>
          <w:color w:val="222222"/>
          <w:shd w:val="clear" w:color="auto" w:fill="FFFFFF"/>
        </w:rPr>
        <w:t>Ag/Ab</w:t>
      </w:r>
      <w:r w:rsidR="006A499C" w:rsidRPr="00EC3B9A">
        <w:rPr>
          <w:rStyle w:val="Strong"/>
          <w:color w:val="222222"/>
          <w:shd w:val="clear" w:color="auto" w:fill="FFFFFF"/>
        </w:rPr>
        <w:t xml:space="preserve"> </w:t>
      </w:r>
      <w:r w:rsidR="006A499C">
        <w:rPr>
          <w:rStyle w:val="Strong"/>
          <w:b w:val="0"/>
          <w:bCs w:val="0"/>
          <w:color w:val="222222"/>
          <w:shd w:val="clear" w:color="auto" w:fill="FFFFFF"/>
        </w:rPr>
        <w:t>– Antigen/Antibody</w:t>
      </w:r>
    </w:p>
    <w:p w14:paraId="4E087543" w14:textId="77777777" w:rsidR="00A26C3D" w:rsidRDefault="00A26C3D" w:rsidP="00CF2D40">
      <w:pPr>
        <w:rPr>
          <w:rStyle w:val="Strong"/>
          <w:b w:val="0"/>
          <w:bCs w:val="0"/>
          <w:color w:val="222222"/>
          <w:shd w:val="clear" w:color="auto" w:fill="FFFFFF"/>
        </w:rPr>
      </w:pPr>
      <w:r w:rsidRPr="00A26C3D">
        <w:rPr>
          <w:rStyle w:val="Strong"/>
          <w:color w:val="222222"/>
          <w:shd w:val="clear" w:color="auto" w:fill="FFFFFF"/>
        </w:rPr>
        <w:t>AMR</w:t>
      </w:r>
      <w:r>
        <w:rPr>
          <w:rStyle w:val="Strong"/>
          <w:b w:val="0"/>
          <w:bCs w:val="0"/>
          <w:color w:val="222222"/>
          <w:shd w:val="clear" w:color="auto" w:fill="FFFFFF"/>
        </w:rPr>
        <w:t xml:space="preserve"> – Antimicrobial resistance </w:t>
      </w:r>
    </w:p>
    <w:p w14:paraId="4BBB182E" w14:textId="77777777" w:rsidR="00BE0113" w:rsidRPr="008A0130" w:rsidRDefault="00BE0113" w:rsidP="00CF2D40">
      <w:r w:rsidRPr="00EC3B9A">
        <w:rPr>
          <w:rStyle w:val="Strong"/>
          <w:color w:val="222222"/>
          <w:shd w:val="clear" w:color="auto" w:fill="FFFFFF"/>
        </w:rPr>
        <w:t>ARTG</w:t>
      </w:r>
      <w:r w:rsidRPr="00EC3B9A">
        <w:rPr>
          <w:color w:val="222222"/>
          <w:shd w:val="clear" w:color="auto" w:fill="FFFFFF"/>
        </w:rPr>
        <w:t> </w:t>
      </w:r>
      <w:r w:rsidR="00A26C3D">
        <w:t xml:space="preserve">– </w:t>
      </w:r>
      <w:r w:rsidRPr="00EC3B9A">
        <w:rPr>
          <w:color w:val="222222"/>
          <w:shd w:val="clear" w:color="auto" w:fill="FFFFFF"/>
        </w:rPr>
        <w:t>Australian Register of Therapeutic Goods</w:t>
      </w:r>
      <w:r w:rsidRPr="008A0130">
        <w:t xml:space="preserve"> </w:t>
      </w:r>
    </w:p>
    <w:p w14:paraId="55E5F0CB" w14:textId="77777777" w:rsidR="00E1346E" w:rsidRDefault="00E1346E" w:rsidP="00CF2D40">
      <w:r w:rsidRPr="00EC3B9A">
        <w:rPr>
          <w:b/>
          <w:bCs/>
        </w:rPr>
        <w:t>BA</w:t>
      </w:r>
      <w:r>
        <w:t xml:space="preserve"> – Blood agar</w:t>
      </w:r>
    </w:p>
    <w:p w14:paraId="5D814616" w14:textId="77777777" w:rsidR="00D20A0B" w:rsidRDefault="00D20A0B" w:rsidP="00CF2D40">
      <w:r w:rsidRPr="00EC3B9A">
        <w:rPr>
          <w:b/>
          <w:bCs/>
        </w:rPr>
        <w:t>Biotype</w:t>
      </w:r>
      <w:r>
        <w:t xml:space="preserve"> </w:t>
      </w:r>
      <w:r w:rsidR="00A26C3D">
        <w:t>– S</w:t>
      </w:r>
      <w:r w:rsidR="003A583C" w:rsidRPr="003A583C">
        <w:t>train distinguished from other microorganisms of the same species by its physiological properties</w:t>
      </w:r>
      <w:r w:rsidR="00DC4218">
        <w:t xml:space="preserve"> or</w:t>
      </w:r>
      <w:r w:rsidR="003A583C" w:rsidRPr="003A583C">
        <w:t xml:space="preserve"> a group of organisms with the same </w:t>
      </w:r>
      <w:proofErr w:type="gramStart"/>
      <w:r w:rsidR="003A583C" w:rsidRPr="003A583C">
        <w:t>genotype</w:t>
      </w:r>
      <w:proofErr w:type="gramEnd"/>
    </w:p>
    <w:p w14:paraId="0781BBC6" w14:textId="77777777" w:rsidR="00D20A0B" w:rsidRDefault="00D20A0B" w:rsidP="00CF2D40">
      <w:r w:rsidRPr="00EC3B9A">
        <w:rPr>
          <w:b/>
          <w:bCs/>
        </w:rPr>
        <w:t>CCNA</w:t>
      </w:r>
      <w:r>
        <w:t xml:space="preserve"> </w:t>
      </w:r>
      <w:r w:rsidR="00A26C3D">
        <w:t xml:space="preserve">– </w:t>
      </w:r>
      <w:r w:rsidR="006A499C" w:rsidRPr="006A499C">
        <w:t>Cell cytotoxicity neutrali</w:t>
      </w:r>
      <w:r w:rsidR="00BF5A7B">
        <w:t>s</w:t>
      </w:r>
      <w:r w:rsidR="006A499C" w:rsidRPr="006A499C">
        <w:t>ation assay</w:t>
      </w:r>
    </w:p>
    <w:p w14:paraId="13B7BCC3" w14:textId="77777777" w:rsidR="00E1346E" w:rsidRDefault="00BF5A7B" w:rsidP="00CF2D40">
      <w:r>
        <w:rPr>
          <w:b/>
          <w:bCs/>
        </w:rPr>
        <w:t xml:space="preserve">(US) </w:t>
      </w:r>
      <w:r w:rsidR="00E1346E" w:rsidRPr="00EC3B9A">
        <w:rPr>
          <w:b/>
          <w:bCs/>
        </w:rPr>
        <w:t>CDC</w:t>
      </w:r>
      <w:r w:rsidR="00E1346E">
        <w:t xml:space="preserve"> </w:t>
      </w:r>
      <w:r w:rsidR="00EC3B9A">
        <w:t>–</w:t>
      </w:r>
      <w:r w:rsidR="00E1346E">
        <w:t xml:space="preserve"> </w:t>
      </w:r>
      <w:proofErr w:type="spellStart"/>
      <w:r w:rsidR="00BE0113">
        <w:t>Cent</w:t>
      </w:r>
      <w:r w:rsidR="00EC3B9A">
        <w:t>ers</w:t>
      </w:r>
      <w:proofErr w:type="spellEnd"/>
      <w:r w:rsidR="00EC3B9A">
        <w:t xml:space="preserve"> </w:t>
      </w:r>
      <w:r w:rsidR="00BE0113">
        <w:t>for Disease Control and Prevention</w:t>
      </w:r>
    </w:p>
    <w:p w14:paraId="5773FE5D" w14:textId="77777777" w:rsidR="00C04E5A" w:rsidRDefault="00C04E5A" w:rsidP="00CF2D40">
      <w:r w:rsidRPr="00EC3B9A">
        <w:rPr>
          <w:b/>
          <w:bCs/>
        </w:rPr>
        <w:t>CDNA</w:t>
      </w:r>
      <w:r>
        <w:t xml:space="preserve"> </w:t>
      </w:r>
      <w:r w:rsidR="00A26C3D">
        <w:t xml:space="preserve">– </w:t>
      </w:r>
      <w:r>
        <w:t>Communicable Diseases Network Australia</w:t>
      </w:r>
    </w:p>
    <w:p w14:paraId="1D85B4F8" w14:textId="77777777" w:rsidR="006A499C" w:rsidRDefault="006A499C" w:rsidP="00CF2D40">
      <w:r w:rsidRPr="00EC3B9A">
        <w:rPr>
          <w:b/>
          <w:bCs/>
        </w:rPr>
        <w:t>CDS</w:t>
      </w:r>
      <w:r>
        <w:t xml:space="preserve"> </w:t>
      </w:r>
      <w:r w:rsidR="00A26C3D">
        <w:t xml:space="preserve">– </w:t>
      </w:r>
      <w:r>
        <w:t xml:space="preserve">Calibrated </w:t>
      </w:r>
      <w:r w:rsidR="00EC3B9A">
        <w:t>d</w:t>
      </w:r>
      <w:r>
        <w:t xml:space="preserve">ichotomous </w:t>
      </w:r>
      <w:proofErr w:type="gramStart"/>
      <w:r w:rsidR="00EC3B9A">
        <w:t>s</w:t>
      </w:r>
      <w:r>
        <w:t>usceptibility</w:t>
      </w:r>
      <w:proofErr w:type="gramEnd"/>
    </w:p>
    <w:p w14:paraId="3A32F952" w14:textId="77777777" w:rsidR="006A499C" w:rsidRDefault="006A499C" w:rsidP="00CF2D40">
      <w:r w:rsidRPr="00EC3B9A">
        <w:rPr>
          <w:b/>
          <w:bCs/>
        </w:rPr>
        <w:t>CIA</w:t>
      </w:r>
      <w:r>
        <w:t xml:space="preserve"> </w:t>
      </w:r>
      <w:r w:rsidR="00A26C3D">
        <w:t xml:space="preserve">– </w:t>
      </w:r>
      <w:r>
        <w:t>Chemiluminescent immunoassay</w:t>
      </w:r>
    </w:p>
    <w:p w14:paraId="61FEBCC3" w14:textId="77777777" w:rsidR="00D20A0B" w:rsidRDefault="00D20A0B" w:rsidP="00CF2D40">
      <w:r w:rsidRPr="00EC3B9A">
        <w:rPr>
          <w:b/>
          <w:bCs/>
        </w:rPr>
        <w:t>Clade</w:t>
      </w:r>
      <w:r w:rsidR="003A583C">
        <w:t xml:space="preserve"> </w:t>
      </w:r>
      <w:r w:rsidR="00A26C3D">
        <w:t>– G</w:t>
      </w:r>
      <w:r w:rsidR="00DC4218" w:rsidRPr="00DC4218">
        <w:t xml:space="preserve">roup of organisms composed of a common ancestor and all its lineal </w:t>
      </w:r>
      <w:proofErr w:type="gramStart"/>
      <w:r w:rsidR="00DC4218" w:rsidRPr="00DC4218">
        <w:t>descendants</w:t>
      </w:r>
      <w:proofErr w:type="gramEnd"/>
      <w:r w:rsidR="00DC4218" w:rsidRPr="00DC4218">
        <w:t xml:space="preserve"> </w:t>
      </w:r>
    </w:p>
    <w:p w14:paraId="14377CA0" w14:textId="77777777" w:rsidR="006A499C" w:rsidRDefault="006A499C" w:rsidP="00CF2D40">
      <w:r w:rsidRPr="00EC3B9A">
        <w:rPr>
          <w:b/>
          <w:bCs/>
        </w:rPr>
        <w:t>CLSI</w:t>
      </w:r>
      <w:r>
        <w:t xml:space="preserve"> </w:t>
      </w:r>
      <w:r w:rsidR="00A26C3D">
        <w:t xml:space="preserve">– </w:t>
      </w:r>
      <w:r>
        <w:t>Clinical and Laboratory Standards Institute</w:t>
      </w:r>
    </w:p>
    <w:p w14:paraId="0DDAC4E5" w14:textId="77777777" w:rsidR="00E1346E" w:rsidRDefault="00E1346E" w:rsidP="00CF2D40">
      <w:r w:rsidRPr="00EC3B9A">
        <w:rPr>
          <w:b/>
          <w:bCs/>
        </w:rPr>
        <w:t>CSF</w:t>
      </w:r>
      <w:r>
        <w:t xml:space="preserve"> </w:t>
      </w:r>
      <w:r w:rsidR="00A26C3D">
        <w:t xml:space="preserve">– </w:t>
      </w:r>
      <w:r>
        <w:t xml:space="preserve">Cerebrospinal fluid </w:t>
      </w:r>
    </w:p>
    <w:p w14:paraId="19F6D1CB" w14:textId="77777777" w:rsidR="006A499C" w:rsidRDefault="006A499C" w:rsidP="00CF2D40">
      <w:r w:rsidRPr="00EC3B9A">
        <w:rPr>
          <w:b/>
          <w:bCs/>
        </w:rPr>
        <w:t>Ct</w:t>
      </w:r>
      <w:r>
        <w:t xml:space="preserve"> – Cycle threshold</w:t>
      </w:r>
    </w:p>
    <w:p w14:paraId="2B4C4AE5" w14:textId="77777777" w:rsidR="00E1346E" w:rsidRDefault="00E1346E" w:rsidP="00CF2D40">
      <w:r w:rsidRPr="0083509D">
        <w:rPr>
          <w:b/>
          <w:bCs/>
        </w:rPr>
        <w:t>DFA</w:t>
      </w:r>
      <w:r>
        <w:t xml:space="preserve"> </w:t>
      </w:r>
      <w:r w:rsidR="00A26C3D">
        <w:t xml:space="preserve">– </w:t>
      </w:r>
      <w:r>
        <w:t xml:space="preserve">Direct </w:t>
      </w:r>
      <w:r w:rsidR="00DD02C4">
        <w:t>f</w:t>
      </w:r>
      <w:r>
        <w:t xml:space="preserve">luorescent </w:t>
      </w:r>
      <w:r w:rsidR="00DD02C4">
        <w:t>a</w:t>
      </w:r>
      <w:r>
        <w:t>ntibody</w:t>
      </w:r>
    </w:p>
    <w:p w14:paraId="7ABEF3FA" w14:textId="77777777" w:rsidR="00E1346E" w:rsidRDefault="00E1346E" w:rsidP="00CF2D40">
      <w:r w:rsidRPr="0083509D">
        <w:rPr>
          <w:b/>
          <w:bCs/>
        </w:rPr>
        <w:t>DNA</w:t>
      </w:r>
      <w:r w:rsidR="008A0130">
        <w:t xml:space="preserve"> </w:t>
      </w:r>
      <w:r w:rsidR="006A499C">
        <w:t>–</w:t>
      </w:r>
      <w:r w:rsidR="008A0130">
        <w:t xml:space="preserve"> </w:t>
      </w:r>
      <w:r w:rsidR="006A499C">
        <w:t xml:space="preserve">Deoxyribonucleic acid </w:t>
      </w:r>
    </w:p>
    <w:p w14:paraId="577C19CD" w14:textId="77777777" w:rsidR="00D20A0B" w:rsidRDefault="00D20A0B" w:rsidP="00CF2D40">
      <w:r w:rsidRPr="0083509D">
        <w:rPr>
          <w:b/>
          <w:bCs/>
        </w:rPr>
        <w:t>EDTA</w:t>
      </w:r>
      <w:r>
        <w:t xml:space="preserve"> </w:t>
      </w:r>
      <w:r w:rsidR="00A26C3D">
        <w:t xml:space="preserve">– </w:t>
      </w:r>
      <w:r w:rsidR="00DC4218" w:rsidRPr="00DC4218">
        <w:t>Ethylenediaminetetraacetic acid</w:t>
      </w:r>
    </w:p>
    <w:p w14:paraId="3226B840" w14:textId="77777777" w:rsidR="00DD02C4" w:rsidRDefault="00DD02C4" w:rsidP="00CF2D40">
      <w:r w:rsidRPr="0083509D">
        <w:rPr>
          <w:b/>
          <w:bCs/>
        </w:rPr>
        <w:t>EIA</w:t>
      </w:r>
      <w:r>
        <w:t xml:space="preserve"> </w:t>
      </w:r>
      <w:r w:rsidR="00A26C3D">
        <w:t xml:space="preserve">– </w:t>
      </w:r>
      <w:r>
        <w:t xml:space="preserve">Enzyme </w:t>
      </w:r>
      <w:r w:rsidR="0083509D">
        <w:t>i</w:t>
      </w:r>
      <w:r>
        <w:t>mmunoassay</w:t>
      </w:r>
    </w:p>
    <w:p w14:paraId="280FACB0" w14:textId="77777777" w:rsidR="00E1346E" w:rsidRDefault="00E1346E" w:rsidP="00CF2D40">
      <w:r w:rsidRPr="0083509D">
        <w:rPr>
          <w:b/>
          <w:bCs/>
        </w:rPr>
        <w:t>ELISA</w:t>
      </w:r>
      <w:r>
        <w:t xml:space="preserve"> </w:t>
      </w:r>
      <w:r w:rsidR="00A26C3D">
        <w:t xml:space="preserve">– </w:t>
      </w:r>
      <w:r w:rsidR="0083509D">
        <w:t>E</w:t>
      </w:r>
      <w:r w:rsidR="00617E04">
        <w:t xml:space="preserve">nzyme linked immunosorbent </w:t>
      </w:r>
      <w:proofErr w:type="gramStart"/>
      <w:r w:rsidR="00617E04">
        <w:t>assay</w:t>
      </w:r>
      <w:proofErr w:type="gramEnd"/>
    </w:p>
    <w:p w14:paraId="51B34BA2" w14:textId="77777777" w:rsidR="006A499C" w:rsidRDefault="006A499C" w:rsidP="00CF2D40">
      <w:r w:rsidRPr="0083509D">
        <w:rPr>
          <w:b/>
          <w:bCs/>
        </w:rPr>
        <w:t>EUCAST</w:t>
      </w:r>
      <w:r>
        <w:t xml:space="preserve"> </w:t>
      </w:r>
      <w:r w:rsidR="00A26C3D">
        <w:t xml:space="preserve">– </w:t>
      </w:r>
      <w:r>
        <w:t xml:space="preserve">European Committee on Antimicrobial Susceptibility Testing </w:t>
      </w:r>
    </w:p>
    <w:p w14:paraId="67883C67" w14:textId="77777777" w:rsidR="00D20A0B" w:rsidRDefault="006A499C" w:rsidP="00CF2D40">
      <w:r w:rsidRPr="0083509D">
        <w:rPr>
          <w:b/>
          <w:bCs/>
        </w:rPr>
        <w:t>HI</w:t>
      </w:r>
      <w:r>
        <w:t xml:space="preserve"> </w:t>
      </w:r>
      <w:r w:rsidR="00A26C3D">
        <w:t xml:space="preserve">– </w:t>
      </w:r>
      <w:r w:rsidR="00D20A0B">
        <w:t xml:space="preserve">Haemagglutination </w:t>
      </w:r>
      <w:proofErr w:type="gramStart"/>
      <w:r>
        <w:t>i</w:t>
      </w:r>
      <w:r w:rsidR="00D20A0B">
        <w:t>nhibition</w:t>
      </w:r>
      <w:proofErr w:type="gramEnd"/>
    </w:p>
    <w:p w14:paraId="22039940" w14:textId="77777777" w:rsidR="00C83210" w:rsidRDefault="00C83210" w:rsidP="00CF2D40">
      <w:r w:rsidRPr="0083509D">
        <w:rPr>
          <w:b/>
          <w:bCs/>
        </w:rPr>
        <w:lastRenderedPageBreak/>
        <w:t>ICT</w:t>
      </w:r>
      <w:r>
        <w:t xml:space="preserve"> </w:t>
      </w:r>
      <w:r w:rsidR="00A26C3D">
        <w:t xml:space="preserve">– </w:t>
      </w:r>
      <w:r>
        <w:t>Immunochromatographic test</w:t>
      </w:r>
    </w:p>
    <w:p w14:paraId="67DA61CB" w14:textId="77777777" w:rsidR="00D20A0B" w:rsidRDefault="00D20A0B" w:rsidP="00CF2D40">
      <w:r w:rsidRPr="0083509D">
        <w:rPr>
          <w:b/>
          <w:bCs/>
        </w:rPr>
        <w:t>IFA</w:t>
      </w:r>
      <w:r>
        <w:t xml:space="preserve"> </w:t>
      </w:r>
      <w:r w:rsidR="00A26C3D">
        <w:t xml:space="preserve">– </w:t>
      </w:r>
      <w:r>
        <w:t xml:space="preserve">Immunofluorescent </w:t>
      </w:r>
      <w:r w:rsidR="006A499C">
        <w:t>a</w:t>
      </w:r>
      <w:r>
        <w:t>ntibody</w:t>
      </w:r>
    </w:p>
    <w:p w14:paraId="3FB33612" w14:textId="77777777" w:rsidR="00DD02C4" w:rsidRDefault="00DD02C4" w:rsidP="00CF2D40">
      <w:r w:rsidRPr="0083509D">
        <w:rPr>
          <w:b/>
          <w:bCs/>
        </w:rPr>
        <w:t>IgA</w:t>
      </w:r>
      <w:r w:rsidR="00BE0113">
        <w:t xml:space="preserve"> </w:t>
      </w:r>
      <w:r w:rsidR="00A26C3D">
        <w:t xml:space="preserve">– </w:t>
      </w:r>
      <w:r w:rsidR="00BE0113" w:rsidRPr="00BE0113">
        <w:t xml:space="preserve">Immunoglobulin </w:t>
      </w:r>
      <w:r w:rsidR="00BE0113">
        <w:t>A</w:t>
      </w:r>
    </w:p>
    <w:p w14:paraId="6856B771" w14:textId="77777777" w:rsidR="00E1346E" w:rsidRDefault="00E1346E" w:rsidP="00CF2D40">
      <w:r w:rsidRPr="0083509D">
        <w:rPr>
          <w:b/>
          <w:bCs/>
        </w:rPr>
        <w:t>IgG</w:t>
      </w:r>
      <w:r w:rsidR="00BE0113">
        <w:t xml:space="preserve"> </w:t>
      </w:r>
      <w:r w:rsidR="00A26C3D">
        <w:t xml:space="preserve">– </w:t>
      </w:r>
      <w:r w:rsidR="00BE0113" w:rsidRPr="00BE0113">
        <w:t xml:space="preserve">Immunoglobulin </w:t>
      </w:r>
      <w:r w:rsidR="00BE0113">
        <w:t>G</w:t>
      </w:r>
    </w:p>
    <w:p w14:paraId="03FBD88B" w14:textId="77777777" w:rsidR="00E1346E" w:rsidRDefault="00E1346E" w:rsidP="00CF2D40">
      <w:r w:rsidRPr="0083509D">
        <w:rPr>
          <w:b/>
          <w:bCs/>
        </w:rPr>
        <w:t>IgM</w:t>
      </w:r>
      <w:r w:rsidR="00BE0113">
        <w:t xml:space="preserve"> </w:t>
      </w:r>
      <w:r w:rsidR="00A26C3D">
        <w:t xml:space="preserve">– </w:t>
      </w:r>
      <w:r w:rsidR="00BE0113" w:rsidRPr="00BE0113">
        <w:t>Immunoglobulin M</w:t>
      </w:r>
    </w:p>
    <w:p w14:paraId="30364E96" w14:textId="77777777" w:rsidR="00C83210" w:rsidRDefault="00C83210" w:rsidP="00CF2D40">
      <w:r w:rsidRPr="0083509D">
        <w:rPr>
          <w:b/>
          <w:bCs/>
        </w:rPr>
        <w:t>IVD (device)</w:t>
      </w:r>
      <w:r>
        <w:t xml:space="preserve"> </w:t>
      </w:r>
      <w:r w:rsidR="00A26C3D">
        <w:t xml:space="preserve">– </w:t>
      </w:r>
      <w:r>
        <w:t>In vitro diagnostic medical device</w:t>
      </w:r>
    </w:p>
    <w:p w14:paraId="0B62DEA8" w14:textId="77777777" w:rsidR="00D20A0B" w:rsidRDefault="00D20A0B" w:rsidP="00CF2D40">
      <w:r w:rsidRPr="0083509D">
        <w:rPr>
          <w:b/>
          <w:bCs/>
        </w:rPr>
        <w:t>In vitro</w:t>
      </w:r>
      <w:r w:rsidR="006A499C" w:rsidRPr="0083509D">
        <w:rPr>
          <w:b/>
          <w:bCs/>
        </w:rPr>
        <w:t xml:space="preserve"> </w:t>
      </w:r>
      <w:r w:rsidR="00A26C3D">
        <w:t xml:space="preserve">– </w:t>
      </w:r>
      <w:r w:rsidR="006A499C" w:rsidRPr="006A499C">
        <w:t xml:space="preserve">performed in a test tube, culture dish, or elsewhere outside a living </w:t>
      </w:r>
      <w:proofErr w:type="gramStart"/>
      <w:r w:rsidR="006A499C" w:rsidRPr="006A499C">
        <w:t>organism</w:t>
      </w:r>
      <w:proofErr w:type="gramEnd"/>
    </w:p>
    <w:p w14:paraId="769CA1EB" w14:textId="77777777" w:rsidR="00D20A0B" w:rsidRDefault="00D20A0B" w:rsidP="00CF2D40">
      <w:r w:rsidRPr="0083509D">
        <w:rPr>
          <w:b/>
          <w:bCs/>
        </w:rPr>
        <w:t>In vivo</w:t>
      </w:r>
      <w:r w:rsidR="006A499C" w:rsidRPr="0083509D">
        <w:rPr>
          <w:b/>
          <w:bCs/>
        </w:rPr>
        <w:t xml:space="preserve"> </w:t>
      </w:r>
      <w:r w:rsidR="00A26C3D">
        <w:t xml:space="preserve">– </w:t>
      </w:r>
      <w:r w:rsidR="006A499C" w:rsidRPr="006A499C">
        <w:t xml:space="preserve">performed or taking place in a living </w:t>
      </w:r>
      <w:proofErr w:type="gramStart"/>
      <w:r w:rsidR="006A499C" w:rsidRPr="006A499C">
        <w:t>organism</w:t>
      </w:r>
      <w:proofErr w:type="gramEnd"/>
    </w:p>
    <w:p w14:paraId="122B1834" w14:textId="77777777" w:rsidR="006A499C" w:rsidRDefault="006A499C" w:rsidP="00CF2D40">
      <w:r w:rsidRPr="0083509D">
        <w:rPr>
          <w:b/>
          <w:bCs/>
        </w:rPr>
        <w:t>ITS</w:t>
      </w:r>
      <w:r>
        <w:t xml:space="preserve"> </w:t>
      </w:r>
      <w:r w:rsidR="00A26C3D">
        <w:t xml:space="preserve">– </w:t>
      </w:r>
      <w:r>
        <w:t>Inter-genic spacer region</w:t>
      </w:r>
    </w:p>
    <w:p w14:paraId="63DF1C22" w14:textId="77777777" w:rsidR="00BE0113" w:rsidRDefault="003A583C" w:rsidP="00CF2D40">
      <w:r w:rsidRPr="0083509D">
        <w:rPr>
          <w:b/>
          <w:bCs/>
        </w:rPr>
        <w:t>LAMP</w:t>
      </w:r>
      <w:r>
        <w:t xml:space="preserve"> </w:t>
      </w:r>
      <w:r w:rsidR="00A26C3D">
        <w:t xml:space="preserve">– </w:t>
      </w:r>
      <w:r w:rsidR="00BE0113">
        <w:t>Loop-mediated isothermal amplification</w:t>
      </w:r>
      <w:r w:rsidR="008A0130">
        <w:t xml:space="preserve"> </w:t>
      </w:r>
    </w:p>
    <w:p w14:paraId="7905F2BD" w14:textId="77777777" w:rsidR="00DD02C4" w:rsidRDefault="00DD02C4" w:rsidP="00CF2D40">
      <w:r w:rsidRPr="0083509D">
        <w:rPr>
          <w:b/>
          <w:bCs/>
        </w:rPr>
        <w:t>LPS</w:t>
      </w:r>
      <w:r>
        <w:t xml:space="preserve"> </w:t>
      </w:r>
      <w:r w:rsidR="00D20A0B">
        <w:t>–</w:t>
      </w:r>
      <w:r>
        <w:t xml:space="preserve"> </w:t>
      </w:r>
      <w:r w:rsidR="003A583C">
        <w:t>L</w:t>
      </w:r>
      <w:r>
        <w:t>ipopolysaccharide</w:t>
      </w:r>
    </w:p>
    <w:p w14:paraId="7BD95372" w14:textId="77777777" w:rsidR="00C83210" w:rsidRDefault="00C83210" w:rsidP="00CF2D40">
      <w:r w:rsidRPr="0083509D">
        <w:rPr>
          <w:b/>
          <w:bCs/>
        </w:rPr>
        <w:t>MALDI-TOF</w:t>
      </w:r>
      <w:r>
        <w:t xml:space="preserve"> </w:t>
      </w:r>
      <w:r w:rsidR="00A26C3D">
        <w:t xml:space="preserve">– </w:t>
      </w:r>
      <w:r>
        <w:t xml:space="preserve">Matrix-assisted laser desorption ionization-time of flight </w:t>
      </w:r>
    </w:p>
    <w:p w14:paraId="60C89798" w14:textId="77777777" w:rsidR="006A499C" w:rsidRPr="007D0923" w:rsidRDefault="006A499C" w:rsidP="006A499C">
      <w:r w:rsidRPr="0083509D">
        <w:rPr>
          <w:b/>
          <w:bCs/>
        </w:rPr>
        <w:t>MAT</w:t>
      </w:r>
      <w:r>
        <w:t xml:space="preserve"> </w:t>
      </w:r>
      <w:r w:rsidR="00A26C3D">
        <w:t xml:space="preserve">– </w:t>
      </w:r>
      <w:r>
        <w:t>Microscopic agglutination test</w:t>
      </w:r>
    </w:p>
    <w:p w14:paraId="12CBABF6" w14:textId="77777777" w:rsidR="006A499C" w:rsidRDefault="00C83210" w:rsidP="00CF2D40">
      <w:r w:rsidRPr="0083509D">
        <w:rPr>
          <w:b/>
          <w:bCs/>
        </w:rPr>
        <w:t>MDST</w:t>
      </w:r>
      <w:r>
        <w:t xml:space="preserve"> </w:t>
      </w:r>
      <w:r w:rsidR="00A26C3D">
        <w:t xml:space="preserve">– </w:t>
      </w:r>
      <w:r>
        <w:t>Molecular drug susceptibility testing</w:t>
      </w:r>
    </w:p>
    <w:p w14:paraId="2E759AB9" w14:textId="77777777" w:rsidR="00A26C3D" w:rsidRDefault="00A26C3D" w:rsidP="00CF2D40">
      <w:r w:rsidRPr="00A26C3D">
        <w:rPr>
          <w:b/>
          <w:bCs/>
        </w:rPr>
        <w:t>MDR</w:t>
      </w:r>
      <w:r>
        <w:t xml:space="preserve"> – Multidrug resistant</w:t>
      </w:r>
    </w:p>
    <w:p w14:paraId="405C6B8D" w14:textId="77777777" w:rsidR="00C83210" w:rsidRDefault="00C83210" w:rsidP="00CF2D40">
      <w:r w:rsidRPr="0083509D">
        <w:rPr>
          <w:b/>
          <w:bCs/>
        </w:rPr>
        <w:t>MIA</w:t>
      </w:r>
      <w:r>
        <w:t xml:space="preserve"> </w:t>
      </w:r>
      <w:r w:rsidR="00A26C3D">
        <w:t xml:space="preserve">– </w:t>
      </w:r>
      <w:r>
        <w:t>Microsphere immunoassay</w:t>
      </w:r>
    </w:p>
    <w:p w14:paraId="569D98FB" w14:textId="77777777" w:rsidR="00D20A0B" w:rsidRDefault="00D20A0B" w:rsidP="00CF2D40">
      <w:r w:rsidRPr="0083509D">
        <w:rPr>
          <w:b/>
          <w:bCs/>
        </w:rPr>
        <w:t>MLST</w:t>
      </w:r>
      <w:r>
        <w:t xml:space="preserve"> </w:t>
      </w:r>
      <w:r w:rsidR="00A26C3D">
        <w:t xml:space="preserve">– </w:t>
      </w:r>
      <w:proofErr w:type="spellStart"/>
      <w:r w:rsidR="003A583C">
        <w:t>M</w:t>
      </w:r>
      <w:r>
        <w:t>ultilocus</w:t>
      </w:r>
      <w:proofErr w:type="spellEnd"/>
      <w:r>
        <w:t xml:space="preserve"> sequence </w:t>
      </w:r>
      <w:proofErr w:type="gramStart"/>
      <w:r>
        <w:t>typing</w:t>
      </w:r>
      <w:proofErr w:type="gramEnd"/>
    </w:p>
    <w:p w14:paraId="4AD12A95" w14:textId="77777777" w:rsidR="00DD02C4" w:rsidRDefault="00DD02C4" w:rsidP="00E1346E">
      <w:r w:rsidRPr="0083509D">
        <w:rPr>
          <w:b/>
          <w:bCs/>
        </w:rPr>
        <w:t>NAAT</w:t>
      </w:r>
      <w:r>
        <w:t xml:space="preserve"> </w:t>
      </w:r>
      <w:r w:rsidR="00A26C3D">
        <w:t xml:space="preserve">– </w:t>
      </w:r>
      <w:r>
        <w:t>Nucleic acid amplification test/</w:t>
      </w:r>
      <w:proofErr w:type="spellStart"/>
      <w:r>
        <w:t>ing</w:t>
      </w:r>
      <w:proofErr w:type="spellEnd"/>
    </w:p>
    <w:p w14:paraId="71F4BFC9" w14:textId="77777777" w:rsidR="00E1346E" w:rsidRDefault="00E1346E" w:rsidP="00E1346E">
      <w:r w:rsidRPr="0083509D">
        <w:rPr>
          <w:b/>
          <w:bCs/>
        </w:rPr>
        <w:t>NATA</w:t>
      </w:r>
      <w:r>
        <w:t xml:space="preserve"> - National Association of Testing Authorities</w:t>
      </w:r>
      <w:r w:rsidR="00BF5A7B">
        <w:t>, Australia</w:t>
      </w:r>
    </w:p>
    <w:p w14:paraId="01D72B3E" w14:textId="77777777" w:rsidR="00BE0113" w:rsidRDefault="00BE0113" w:rsidP="00E1346E">
      <w:r w:rsidRPr="0083509D">
        <w:rPr>
          <w:b/>
          <w:bCs/>
        </w:rPr>
        <w:t>NGS</w:t>
      </w:r>
      <w:r>
        <w:t xml:space="preserve"> </w:t>
      </w:r>
      <w:r w:rsidR="00A26C3D">
        <w:t xml:space="preserve">– </w:t>
      </w:r>
      <w:r w:rsidR="003A583C">
        <w:t>N</w:t>
      </w:r>
      <w:r>
        <w:t>ext generation sequencing</w:t>
      </w:r>
    </w:p>
    <w:p w14:paraId="19EB313B" w14:textId="77777777" w:rsidR="00D20A0B" w:rsidRDefault="00D20A0B" w:rsidP="00E1346E">
      <w:r w:rsidRPr="0083509D">
        <w:rPr>
          <w:b/>
          <w:bCs/>
        </w:rPr>
        <w:t>NPAAC</w:t>
      </w:r>
      <w:r w:rsidR="003A583C">
        <w:t xml:space="preserve"> </w:t>
      </w:r>
      <w:r w:rsidR="00A26C3D">
        <w:t xml:space="preserve">– </w:t>
      </w:r>
      <w:r w:rsidR="003A583C" w:rsidRPr="003A583C">
        <w:t>National Pathology Accreditation Advisory Council</w:t>
      </w:r>
    </w:p>
    <w:p w14:paraId="069EFB6A" w14:textId="77777777" w:rsidR="0083509D" w:rsidRDefault="00DD02C4" w:rsidP="00E1346E">
      <w:r w:rsidRPr="0083509D">
        <w:rPr>
          <w:b/>
          <w:bCs/>
        </w:rPr>
        <w:t>NRL</w:t>
      </w:r>
      <w:r w:rsidR="00DC4218">
        <w:t xml:space="preserve"> </w:t>
      </w:r>
      <w:r w:rsidR="00A26C3D">
        <w:t xml:space="preserve">– </w:t>
      </w:r>
      <w:r w:rsidR="00DC4218">
        <w:t>National Serology Reference Laboratory</w:t>
      </w:r>
    </w:p>
    <w:p w14:paraId="5EF78333" w14:textId="77777777" w:rsidR="00E1346E" w:rsidRDefault="00E1346E" w:rsidP="00E1346E">
      <w:r w:rsidRPr="0083509D">
        <w:rPr>
          <w:b/>
          <w:bCs/>
        </w:rPr>
        <w:t>PCR</w:t>
      </w:r>
      <w:r w:rsidR="00DD02C4">
        <w:t xml:space="preserve"> </w:t>
      </w:r>
      <w:r w:rsidR="00A26C3D">
        <w:t xml:space="preserve">– </w:t>
      </w:r>
      <w:r w:rsidR="00DD02C4">
        <w:t xml:space="preserve">Polymerase </w:t>
      </w:r>
      <w:r w:rsidR="0083509D">
        <w:t>c</w:t>
      </w:r>
      <w:r w:rsidR="00DD02C4">
        <w:t xml:space="preserve">hain </w:t>
      </w:r>
      <w:r w:rsidR="0083509D">
        <w:t>r</w:t>
      </w:r>
      <w:r w:rsidR="00DD02C4">
        <w:t>eact</w:t>
      </w:r>
      <w:r w:rsidR="00DC4218">
        <w:t>i</w:t>
      </w:r>
      <w:r w:rsidR="00DD02C4">
        <w:t>on</w:t>
      </w:r>
    </w:p>
    <w:p w14:paraId="620B2432" w14:textId="77777777" w:rsidR="00DD02C4" w:rsidRDefault="00DD02C4" w:rsidP="00E1346E">
      <w:r w:rsidRPr="0083509D">
        <w:rPr>
          <w:b/>
          <w:bCs/>
        </w:rPr>
        <w:lastRenderedPageBreak/>
        <w:t>PC2</w:t>
      </w:r>
      <w:r w:rsidR="006A499C" w:rsidRPr="0083509D">
        <w:rPr>
          <w:b/>
          <w:bCs/>
        </w:rPr>
        <w:t xml:space="preserve"> </w:t>
      </w:r>
      <w:r w:rsidR="00BF5A7B">
        <w:rPr>
          <w:b/>
          <w:bCs/>
        </w:rPr>
        <w:t>laboratory</w:t>
      </w:r>
      <w:r w:rsidR="006A499C">
        <w:t xml:space="preserve"> </w:t>
      </w:r>
      <w:r w:rsidR="00A26C3D">
        <w:t xml:space="preserve">– </w:t>
      </w:r>
      <w:r w:rsidR="006A499C" w:rsidRPr="006A499C">
        <w:t xml:space="preserve">Physical </w:t>
      </w:r>
      <w:r w:rsidR="0083509D">
        <w:t>c</w:t>
      </w:r>
      <w:r w:rsidR="006A499C" w:rsidRPr="006A499C">
        <w:t xml:space="preserve">ontainment </w:t>
      </w:r>
      <w:r w:rsidR="0083509D">
        <w:t>l</w:t>
      </w:r>
      <w:r w:rsidR="006A499C" w:rsidRPr="006A499C">
        <w:t>evel 2</w:t>
      </w:r>
      <w:r w:rsidR="006A499C">
        <w:t xml:space="preserve"> laboratory </w:t>
      </w:r>
    </w:p>
    <w:p w14:paraId="640E3FC7" w14:textId="77777777" w:rsidR="00DD02C4" w:rsidRDefault="00DD02C4" w:rsidP="00E1346E">
      <w:r w:rsidRPr="0083509D">
        <w:rPr>
          <w:b/>
          <w:bCs/>
        </w:rPr>
        <w:t>PC3</w:t>
      </w:r>
      <w:r w:rsidR="006A499C" w:rsidRPr="0083509D">
        <w:rPr>
          <w:b/>
          <w:bCs/>
        </w:rPr>
        <w:t xml:space="preserve"> </w:t>
      </w:r>
      <w:r w:rsidR="00BF5A7B">
        <w:rPr>
          <w:b/>
          <w:bCs/>
        </w:rPr>
        <w:t>laboratory</w:t>
      </w:r>
      <w:r w:rsidR="00BF5A7B">
        <w:t xml:space="preserve"> </w:t>
      </w:r>
      <w:r w:rsidR="00A26C3D">
        <w:t xml:space="preserve">– </w:t>
      </w:r>
      <w:r w:rsidR="006A499C" w:rsidRPr="006A499C">
        <w:t xml:space="preserve">Physical </w:t>
      </w:r>
      <w:r w:rsidR="0083509D">
        <w:t>c</w:t>
      </w:r>
      <w:r w:rsidR="006A499C" w:rsidRPr="006A499C">
        <w:t xml:space="preserve">ontainment </w:t>
      </w:r>
      <w:r w:rsidR="0083509D">
        <w:t>l</w:t>
      </w:r>
      <w:r w:rsidR="006A499C" w:rsidRPr="006A499C">
        <w:t xml:space="preserve">evel </w:t>
      </w:r>
      <w:r w:rsidR="006A499C">
        <w:t>3 laboratory</w:t>
      </w:r>
    </w:p>
    <w:p w14:paraId="0D1B027C" w14:textId="77777777" w:rsidR="00DC4218" w:rsidRDefault="00DC4218" w:rsidP="00E1346E">
      <w:r w:rsidRPr="0083509D">
        <w:rPr>
          <w:b/>
          <w:bCs/>
        </w:rPr>
        <w:t xml:space="preserve">PC4 </w:t>
      </w:r>
      <w:r w:rsidR="00BF5A7B">
        <w:rPr>
          <w:b/>
          <w:bCs/>
        </w:rPr>
        <w:t xml:space="preserve">laboratory </w:t>
      </w:r>
      <w:r w:rsidR="00A26C3D">
        <w:t xml:space="preserve">– </w:t>
      </w:r>
      <w:r w:rsidR="006A499C" w:rsidRPr="006A499C">
        <w:t xml:space="preserve">Physical </w:t>
      </w:r>
      <w:r w:rsidR="0083509D">
        <w:t>c</w:t>
      </w:r>
      <w:r w:rsidR="006A499C" w:rsidRPr="006A499C">
        <w:t xml:space="preserve">ontainment </w:t>
      </w:r>
      <w:r w:rsidR="0083509D">
        <w:t>l</w:t>
      </w:r>
      <w:r w:rsidR="006A499C" w:rsidRPr="006A499C">
        <w:t xml:space="preserve">evel </w:t>
      </w:r>
      <w:r w:rsidR="006A499C">
        <w:t>4</w:t>
      </w:r>
      <w:r w:rsidR="0083509D">
        <w:t xml:space="preserve"> </w:t>
      </w:r>
      <w:r w:rsidR="006A499C">
        <w:t>laboratory</w:t>
      </w:r>
    </w:p>
    <w:p w14:paraId="4AD75342" w14:textId="77777777" w:rsidR="0083509D" w:rsidRDefault="0083509D" w:rsidP="00E1346E">
      <w:r w:rsidRPr="0083509D">
        <w:rPr>
          <w:b/>
          <w:bCs/>
        </w:rPr>
        <w:t>PFGE</w:t>
      </w:r>
      <w:r>
        <w:t xml:space="preserve"> </w:t>
      </w:r>
      <w:r w:rsidR="00A26C3D">
        <w:t xml:space="preserve">– </w:t>
      </w:r>
      <w:r>
        <w:t>Pulsed field gel electrophoresis</w:t>
      </w:r>
    </w:p>
    <w:p w14:paraId="46DCE7A8" w14:textId="77777777" w:rsidR="00DD02C4" w:rsidRDefault="00DD02C4" w:rsidP="00E1346E">
      <w:r w:rsidRPr="0083509D">
        <w:rPr>
          <w:b/>
          <w:bCs/>
        </w:rPr>
        <w:t>POC</w:t>
      </w:r>
      <w:r>
        <w:t xml:space="preserve"> – </w:t>
      </w:r>
      <w:r w:rsidR="003A583C">
        <w:t>Point-of-care</w:t>
      </w:r>
    </w:p>
    <w:p w14:paraId="11D9BD88" w14:textId="77777777" w:rsidR="0083509D" w:rsidRDefault="0083509D" w:rsidP="0083509D">
      <w:r w:rsidRPr="0083509D">
        <w:rPr>
          <w:b/>
          <w:bCs/>
        </w:rPr>
        <w:t>QAP</w:t>
      </w:r>
      <w:r>
        <w:t xml:space="preserve"> – Quality assurance program</w:t>
      </w:r>
    </w:p>
    <w:p w14:paraId="4049ADFC" w14:textId="77777777" w:rsidR="0083509D" w:rsidRDefault="0083509D" w:rsidP="00E1346E">
      <w:r w:rsidRPr="0083509D">
        <w:rPr>
          <w:b/>
          <w:bCs/>
        </w:rPr>
        <w:t>QC</w:t>
      </w:r>
      <w:r>
        <w:t xml:space="preserve"> – Quality control</w:t>
      </w:r>
    </w:p>
    <w:p w14:paraId="134E370F" w14:textId="77777777" w:rsidR="0083509D" w:rsidRDefault="0083509D" w:rsidP="00E1346E">
      <w:r w:rsidRPr="0083509D">
        <w:rPr>
          <w:b/>
          <w:bCs/>
        </w:rPr>
        <w:t>RAPD</w:t>
      </w:r>
      <w:r>
        <w:t xml:space="preserve"> </w:t>
      </w:r>
      <w:r w:rsidR="00A26C3D">
        <w:t xml:space="preserve">– </w:t>
      </w:r>
      <w:r>
        <w:t xml:space="preserve">Random amplified polymorphic DNA </w:t>
      </w:r>
    </w:p>
    <w:p w14:paraId="3469DE8A" w14:textId="77777777" w:rsidR="00DD02C4" w:rsidRDefault="00DD02C4" w:rsidP="00E1346E">
      <w:r w:rsidRPr="0083509D">
        <w:rPr>
          <w:b/>
          <w:bCs/>
        </w:rPr>
        <w:t>RCPA</w:t>
      </w:r>
      <w:r>
        <w:t xml:space="preserve"> </w:t>
      </w:r>
      <w:r w:rsidR="00A26C3D">
        <w:t xml:space="preserve">– </w:t>
      </w:r>
      <w:r w:rsidR="00D20A0B">
        <w:t>Royal College of Pathologists of Australasia</w:t>
      </w:r>
    </w:p>
    <w:p w14:paraId="24AB2096" w14:textId="77777777" w:rsidR="0083509D" w:rsidRDefault="0083509D" w:rsidP="00E1346E">
      <w:r w:rsidRPr="0083509D">
        <w:rPr>
          <w:b/>
          <w:bCs/>
        </w:rPr>
        <w:t>RFLP</w:t>
      </w:r>
      <w:r>
        <w:t xml:space="preserve"> </w:t>
      </w:r>
      <w:r w:rsidR="00A26C3D">
        <w:t xml:space="preserve">– </w:t>
      </w:r>
      <w:r>
        <w:t>Restriction fragment length polymorphism</w:t>
      </w:r>
    </w:p>
    <w:p w14:paraId="714316B0" w14:textId="77777777" w:rsidR="00E1346E" w:rsidRDefault="00E1346E" w:rsidP="00E1346E">
      <w:r w:rsidRPr="0083509D">
        <w:rPr>
          <w:b/>
          <w:bCs/>
        </w:rPr>
        <w:t>RNA</w:t>
      </w:r>
      <w:r w:rsidR="00DD02C4">
        <w:t xml:space="preserve"> </w:t>
      </w:r>
      <w:r w:rsidR="00A26C3D">
        <w:t xml:space="preserve">– </w:t>
      </w:r>
      <w:r w:rsidR="003A583C">
        <w:t>R</w:t>
      </w:r>
      <w:r w:rsidR="00DD02C4">
        <w:t>ibonucleic acid</w:t>
      </w:r>
    </w:p>
    <w:p w14:paraId="0F383EE6" w14:textId="77777777" w:rsidR="0083509D" w:rsidRDefault="0083509D" w:rsidP="00E1346E">
      <w:r w:rsidRPr="0083509D">
        <w:rPr>
          <w:b/>
          <w:bCs/>
        </w:rPr>
        <w:t>RT</w:t>
      </w:r>
      <w:r>
        <w:t xml:space="preserve"> </w:t>
      </w:r>
      <w:r w:rsidR="00A26C3D">
        <w:t xml:space="preserve">– </w:t>
      </w:r>
      <w:r>
        <w:t xml:space="preserve">Reverse transcriptase </w:t>
      </w:r>
    </w:p>
    <w:p w14:paraId="13817ADC" w14:textId="77777777" w:rsidR="00E1346E" w:rsidRDefault="00E1346E" w:rsidP="00E1346E">
      <w:r w:rsidRPr="0083509D">
        <w:rPr>
          <w:b/>
          <w:bCs/>
        </w:rPr>
        <w:t>RT-PCR</w:t>
      </w:r>
      <w:r w:rsidR="00BE0113">
        <w:t xml:space="preserve"> </w:t>
      </w:r>
      <w:r w:rsidR="00A26C3D">
        <w:t xml:space="preserve">– </w:t>
      </w:r>
      <w:r w:rsidR="003A583C">
        <w:t>R</w:t>
      </w:r>
      <w:r w:rsidR="00BE0113">
        <w:t>everse transcription polymerase chain reaction</w:t>
      </w:r>
    </w:p>
    <w:p w14:paraId="733F19E0" w14:textId="77777777" w:rsidR="00C83210" w:rsidRDefault="00C83210" w:rsidP="00E1346E">
      <w:r w:rsidRPr="0083509D">
        <w:rPr>
          <w:b/>
          <w:bCs/>
        </w:rPr>
        <w:t>SBT</w:t>
      </w:r>
      <w:r>
        <w:t xml:space="preserve"> </w:t>
      </w:r>
      <w:r w:rsidR="00A26C3D">
        <w:t xml:space="preserve">– </w:t>
      </w:r>
      <w:r>
        <w:t xml:space="preserve">Sequence based </w:t>
      </w:r>
      <w:proofErr w:type="gramStart"/>
      <w:r>
        <w:t>typing</w:t>
      </w:r>
      <w:proofErr w:type="gramEnd"/>
    </w:p>
    <w:p w14:paraId="30E7D7BD" w14:textId="77777777" w:rsidR="006A499C" w:rsidRDefault="006A499C" w:rsidP="00E1346E">
      <w:r w:rsidRPr="0083509D">
        <w:rPr>
          <w:b/>
          <w:bCs/>
        </w:rPr>
        <w:t>Serotype</w:t>
      </w:r>
      <w:r>
        <w:t xml:space="preserve"> –</w:t>
      </w:r>
      <w:r w:rsidR="00A26C3D">
        <w:t xml:space="preserve"> Pathogens</w:t>
      </w:r>
      <w:r w:rsidRPr="006A499C">
        <w:t xml:space="preserve"> of the same species that are antigenically </w:t>
      </w:r>
      <w:proofErr w:type="gramStart"/>
      <w:r w:rsidRPr="006A499C">
        <w:t>different</w:t>
      </w:r>
      <w:proofErr w:type="gramEnd"/>
    </w:p>
    <w:p w14:paraId="349917D8" w14:textId="77777777" w:rsidR="00C83210" w:rsidRDefault="00C83210" w:rsidP="00E1346E">
      <w:r w:rsidRPr="0083509D">
        <w:rPr>
          <w:b/>
          <w:bCs/>
        </w:rPr>
        <w:t>SNT</w:t>
      </w:r>
      <w:r>
        <w:t xml:space="preserve"> </w:t>
      </w:r>
      <w:r w:rsidR="00A26C3D">
        <w:t>–</w:t>
      </w:r>
      <w:r>
        <w:t xml:space="preserve"> Serum neutralisation</w:t>
      </w:r>
    </w:p>
    <w:p w14:paraId="1203F551" w14:textId="77777777" w:rsidR="00E1346E" w:rsidRDefault="00E1346E" w:rsidP="00E1346E">
      <w:r w:rsidRPr="0083509D">
        <w:rPr>
          <w:b/>
          <w:bCs/>
        </w:rPr>
        <w:t>SSBA</w:t>
      </w:r>
      <w:r>
        <w:t xml:space="preserve"> </w:t>
      </w:r>
      <w:r w:rsidR="00A26C3D">
        <w:t xml:space="preserve">– </w:t>
      </w:r>
      <w:r>
        <w:t xml:space="preserve">Security </w:t>
      </w:r>
      <w:r w:rsidR="0083509D">
        <w:t>s</w:t>
      </w:r>
      <w:r>
        <w:t xml:space="preserve">ensitive </w:t>
      </w:r>
      <w:r w:rsidR="0083509D">
        <w:t>b</w:t>
      </w:r>
      <w:r>
        <w:t xml:space="preserve">iological </w:t>
      </w:r>
      <w:r w:rsidR="0083509D">
        <w:t>a</w:t>
      </w:r>
      <w:r>
        <w:t>gent</w:t>
      </w:r>
    </w:p>
    <w:p w14:paraId="17B7A688" w14:textId="77777777" w:rsidR="00DD02C4" w:rsidRDefault="00DD02C4" w:rsidP="00E1346E">
      <w:r w:rsidRPr="0083509D">
        <w:rPr>
          <w:b/>
          <w:bCs/>
        </w:rPr>
        <w:t>STI</w:t>
      </w:r>
      <w:r>
        <w:t xml:space="preserve"> </w:t>
      </w:r>
      <w:r w:rsidR="00A26C3D">
        <w:t xml:space="preserve">– </w:t>
      </w:r>
      <w:r w:rsidR="003A583C">
        <w:t>S</w:t>
      </w:r>
      <w:r>
        <w:t>exually transmitted infection</w:t>
      </w:r>
    </w:p>
    <w:p w14:paraId="66606B9E" w14:textId="77777777" w:rsidR="006A499C" w:rsidRDefault="006A499C" w:rsidP="00E1346E">
      <w:r w:rsidRPr="0083509D">
        <w:rPr>
          <w:b/>
          <w:bCs/>
        </w:rPr>
        <w:t>Strain</w:t>
      </w:r>
      <w:r>
        <w:t xml:space="preserve"> </w:t>
      </w:r>
      <w:r w:rsidR="00A26C3D">
        <w:t xml:space="preserve">– </w:t>
      </w:r>
      <w:r w:rsidR="0083509D">
        <w:t>V</w:t>
      </w:r>
      <w:r w:rsidRPr="006A499C">
        <w:t xml:space="preserve">ariant that possesses unique and stable phenotypic </w:t>
      </w:r>
      <w:proofErr w:type="gramStart"/>
      <w:r w:rsidRPr="006A499C">
        <w:t>characteristics</w:t>
      </w:r>
      <w:proofErr w:type="gramEnd"/>
    </w:p>
    <w:p w14:paraId="6E335AE0" w14:textId="77777777" w:rsidR="00C83210" w:rsidRDefault="00C83210" w:rsidP="00E1346E">
      <w:r w:rsidRPr="0083509D">
        <w:rPr>
          <w:b/>
          <w:bCs/>
        </w:rPr>
        <w:t>SQAP</w:t>
      </w:r>
      <w:r>
        <w:t xml:space="preserve"> </w:t>
      </w:r>
      <w:r w:rsidR="00A26C3D">
        <w:t xml:space="preserve">– </w:t>
      </w:r>
      <w:r>
        <w:t>Serology quality assurance program</w:t>
      </w:r>
    </w:p>
    <w:p w14:paraId="1F80D7DE" w14:textId="77777777" w:rsidR="0083509D" w:rsidRDefault="0083509D" w:rsidP="0083509D">
      <w:r w:rsidRPr="0083509D">
        <w:rPr>
          <w:b/>
          <w:bCs/>
        </w:rPr>
        <w:t>Test sensitivity</w:t>
      </w:r>
      <w:r w:rsidRPr="003A583C">
        <w:t xml:space="preserve"> </w:t>
      </w:r>
      <w:r w:rsidR="00A26C3D">
        <w:t xml:space="preserve">– </w:t>
      </w:r>
      <w:r>
        <w:t>A</w:t>
      </w:r>
      <w:r w:rsidRPr="003A583C">
        <w:t xml:space="preserve">bility of a test to correctly identify patients with a </w:t>
      </w:r>
      <w:proofErr w:type="gramStart"/>
      <w:r w:rsidRPr="003A583C">
        <w:t>diseas</w:t>
      </w:r>
      <w:r>
        <w:t>e</w:t>
      </w:r>
      <w:proofErr w:type="gramEnd"/>
    </w:p>
    <w:p w14:paraId="3A55B4A9" w14:textId="77777777" w:rsidR="0083509D" w:rsidRDefault="0083509D" w:rsidP="00E1346E">
      <w:r w:rsidRPr="0083509D">
        <w:rPr>
          <w:b/>
          <w:bCs/>
        </w:rPr>
        <w:t>Test specificity</w:t>
      </w:r>
      <w:r>
        <w:t xml:space="preserve"> </w:t>
      </w:r>
      <w:r w:rsidR="00A26C3D">
        <w:t xml:space="preserve">– </w:t>
      </w:r>
      <w:r>
        <w:t>A</w:t>
      </w:r>
      <w:r w:rsidRPr="003A583C">
        <w:t xml:space="preserve">bility of a test to correctly identify people without the </w:t>
      </w:r>
      <w:proofErr w:type="gramStart"/>
      <w:r w:rsidRPr="003A583C">
        <w:t>disease</w:t>
      </w:r>
      <w:proofErr w:type="gramEnd"/>
    </w:p>
    <w:p w14:paraId="45E31C7F" w14:textId="77777777" w:rsidR="0083509D" w:rsidRDefault="00C83210" w:rsidP="00E1346E">
      <w:r w:rsidRPr="0083509D">
        <w:rPr>
          <w:b/>
          <w:bCs/>
        </w:rPr>
        <w:t>TGA</w:t>
      </w:r>
      <w:r>
        <w:t xml:space="preserve"> </w:t>
      </w:r>
      <w:r w:rsidR="00A26C3D">
        <w:t xml:space="preserve">– </w:t>
      </w:r>
      <w:r>
        <w:t>Therapeutic Goods Administration</w:t>
      </w:r>
    </w:p>
    <w:p w14:paraId="6B20F53F" w14:textId="77777777" w:rsidR="0083509D" w:rsidRDefault="0083509D" w:rsidP="00E1346E">
      <w:r w:rsidRPr="0083509D">
        <w:rPr>
          <w:b/>
          <w:bCs/>
        </w:rPr>
        <w:lastRenderedPageBreak/>
        <w:t>UTM</w:t>
      </w:r>
      <w:r>
        <w:t xml:space="preserve"> </w:t>
      </w:r>
      <w:r w:rsidR="00A26C3D">
        <w:t xml:space="preserve">– </w:t>
      </w:r>
      <w:r>
        <w:t xml:space="preserve">Universal </w:t>
      </w:r>
      <w:r w:rsidR="00A26C3D">
        <w:t>t</w:t>
      </w:r>
      <w:r>
        <w:t xml:space="preserve">ransport </w:t>
      </w:r>
      <w:r w:rsidR="00A26C3D">
        <w:t>m</w:t>
      </w:r>
      <w:r>
        <w:t>edium</w:t>
      </w:r>
    </w:p>
    <w:p w14:paraId="0333E0CC" w14:textId="77777777" w:rsidR="0083509D" w:rsidRDefault="0083509D" w:rsidP="00E1346E">
      <w:r w:rsidRPr="0083509D">
        <w:rPr>
          <w:b/>
          <w:bCs/>
        </w:rPr>
        <w:t>VTM</w:t>
      </w:r>
      <w:r>
        <w:t xml:space="preserve"> </w:t>
      </w:r>
      <w:r w:rsidR="00A26C3D">
        <w:t xml:space="preserve">– </w:t>
      </w:r>
      <w:r>
        <w:t>Viral transport media</w:t>
      </w:r>
    </w:p>
    <w:p w14:paraId="304E5DC1" w14:textId="77777777" w:rsidR="00D20A0B" w:rsidRDefault="00D20A0B" w:rsidP="00E1346E">
      <w:r w:rsidRPr="0083509D">
        <w:rPr>
          <w:b/>
          <w:bCs/>
        </w:rPr>
        <w:t>WGS</w:t>
      </w:r>
      <w:r>
        <w:t xml:space="preserve"> </w:t>
      </w:r>
      <w:r w:rsidR="00A26C3D">
        <w:t xml:space="preserve">– </w:t>
      </w:r>
      <w:r>
        <w:t>Whole genome sequencing</w:t>
      </w:r>
    </w:p>
    <w:p w14:paraId="060F3EDD" w14:textId="77777777" w:rsidR="00E1346E" w:rsidRDefault="00E1346E" w:rsidP="00CF2D40">
      <w:r w:rsidRPr="0083509D">
        <w:rPr>
          <w:b/>
          <w:bCs/>
        </w:rPr>
        <w:t>WHO</w:t>
      </w:r>
      <w:r w:rsidR="00D20A0B">
        <w:t xml:space="preserve"> </w:t>
      </w:r>
      <w:r w:rsidR="00A26C3D">
        <w:t xml:space="preserve">– </w:t>
      </w:r>
      <w:r w:rsidR="00D20A0B">
        <w:t>World Health Organi</w:t>
      </w:r>
      <w:r w:rsidR="00BF5A7B">
        <w:t>z</w:t>
      </w:r>
      <w:r w:rsidR="00D20A0B">
        <w:t>ation</w:t>
      </w:r>
    </w:p>
    <w:p w14:paraId="09AEC7BD" w14:textId="77777777" w:rsidR="0083509D" w:rsidRDefault="0083509D" w:rsidP="00CF2D40">
      <w:r w:rsidRPr="0083509D">
        <w:rPr>
          <w:b/>
          <w:bCs/>
        </w:rPr>
        <w:t>WHO CC</w:t>
      </w:r>
      <w:r>
        <w:t xml:space="preserve"> </w:t>
      </w:r>
      <w:r w:rsidR="00A26C3D">
        <w:t xml:space="preserve">– </w:t>
      </w:r>
      <w:r>
        <w:t>WHO Collaborating Centre</w:t>
      </w:r>
    </w:p>
    <w:p w14:paraId="138C3796" w14:textId="77777777" w:rsidR="00A26C3D" w:rsidRDefault="00A26C3D" w:rsidP="00CF2D40">
      <w:r w:rsidRPr="00A26C3D">
        <w:rPr>
          <w:b/>
          <w:bCs/>
        </w:rPr>
        <w:t>XDR</w:t>
      </w:r>
      <w:r>
        <w:t xml:space="preserve"> – </w:t>
      </w:r>
      <w:r w:rsidRPr="00A26C3D">
        <w:t>Extensive</w:t>
      </w:r>
      <w:r>
        <w:t>ly</w:t>
      </w:r>
      <w:r w:rsidRPr="00A26C3D">
        <w:t xml:space="preserve"> drug </w:t>
      </w:r>
      <w:proofErr w:type="gramStart"/>
      <w:r w:rsidRPr="00A26C3D">
        <w:t>resistan</w:t>
      </w:r>
      <w:r>
        <w:t>t</w:t>
      </w:r>
      <w:proofErr w:type="gramEnd"/>
      <w:r>
        <w:t xml:space="preserve"> </w:t>
      </w:r>
    </w:p>
    <w:p w14:paraId="41C8F396" w14:textId="77777777" w:rsidR="00617E04" w:rsidRPr="007D0923" w:rsidRDefault="00617E04" w:rsidP="006A499C"/>
    <w:sectPr w:rsidR="00617E04" w:rsidRPr="007D0923" w:rsidSect="00AE5C18">
      <w:headerReference w:type="first" r:id="rId28"/>
      <w:pgSz w:w="11907" w:h="16840" w:code="9"/>
      <w:pgMar w:top="1440" w:right="1440" w:bottom="1440" w:left="1440" w:header="680" w:footer="457" w:gutter="0"/>
      <w:paperSrc w:first="2" w:other="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A8177" w14:textId="77777777" w:rsidR="0072439B" w:rsidRDefault="0072439B" w:rsidP="00A53F74">
      <w:r>
        <w:separator/>
      </w:r>
    </w:p>
    <w:p w14:paraId="18857AD7" w14:textId="77777777" w:rsidR="0072439B" w:rsidRDefault="0072439B" w:rsidP="00A53F74"/>
  </w:endnote>
  <w:endnote w:type="continuationSeparator" w:id="0">
    <w:p w14:paraId="7743AE27" w14:textId="77777777" w:rsidR="0072439B" w:rsidRDefault="0072439B" w:rsidP="00A53F74">
      <w:r>
        <w:continuationSeparator/>
      </w:r>
    </w:p>
    <w:p w14:paraId="7A7CF950" w14:textId="77777777" w:rsidR="0072439B" w:rsidRDefault="0072439B" w:rsidP="00A53F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599424"/>
      <w:docPartObj>
        <w:docPartGallery w:val="Page Numbers (Bottom of Page)"/>
        <w:docPartUnique/>
      </w:docPartObj>
    </w:sdtPr>
    <w:sdtEndPr>
      <w:rPr>
        <w:rFonts w:ascii="Arial" w:hAnsi="Arial" w:cs="Arial"/>
        <w:sz w:val="18"/>
        <w:szCs w:val="16"/>
      </w:rPr>
    </w:sdtEndPr>
    <w:sdtContent>
      <w:sdt>
        <w:sdtPr>
          <w:rPr>
            <w:rFonts w:ascii="Arial" w:hAnsi="Arial" w:cs="Arial"/>
            <w:sz w:val="18"/>
            <w:szCs w:val="16"/>
          </w:rPr>
          <w:id w:val="-1769616900"/>
          <w:docPartObj>
            <w:docPartGallery w:val="Page Numbers (Top of Page)"/>
            <w:docPartUnique/>
          </w:docPartObj>
        </w:sdtPr>
        <w:sdtEndPr/>
        <w:sdtContent>
          <w:p w14:paraId="72FD6CB4" w14:textId="77777777" w:rsidR="004F61C6" w:rsidRPr="00AE5C18" w:rsidRDefault="004F61C6" w:rsidP="00A53F74">
            <w:pPr>
              <w:pStyle w:val="Footer"/>
              <w:rPr>
                <w:rFonts w:ascii="Arial" w:hAnsi="Arial" w:cs="Arial"/>
                <w:sz w:val="18"/>
                <w:szCs w:val="16"/>
              </w:rPr>
            </w:pPr>
            <w:r w:rsidRPr="00AE5C18">
              <w:rPr>
                <w:rFonts w:ascii="Arial" w:hAnsi="Arial" w:cs="Arial"/>
                <w:sz w:val="18"/>
                <w:szCs w:val="16"/>
              </w:rPr>
              <w:t xml:space="preserve">Page </w:t>
            </w:r>
            <w:r w:rsidRPr="00AE5C18">
              <w:rPr>
                <w:rFonts w:ascii="Arial" w:hAnsi="Arial" w:cs="Arial"/>
                <w:sz w:val="18"/>
                <w:szCs w:val="16"/>
              </w:rPr>
              <w:fldChar w:fldCharType="begin"/>
            </w:r>
            <w:r w:rsidRPr="00AE5C18">
              <w:rPr>
                <w:rFonts w:ascii="Arial" w:hAnsi="Arial" w:cs="Arial"/>
                <w:sz w:val="18"/>
                <w:szCs w:val="16"/>
              </w:rPr>
              <w:instrText xml:space="preserve"> PAGE </w:instrText>
            </w:r>
            <w:r w:rsidRPr="00AE5C18">
              <w:rPr>
                <w:rFonts w:ascii="Arial" w:hAnsi="Arial" w:cs="Arial"/>
                <w:sz w:val="18"/>
                <w:szCs w:val="16"/>
              </w:rPr>
              <w:fldChar w:fldCharType="separate"/>
            </w:r>
            <w:r w:rsidR="00F97903">
              <w:rPr>
                <w:rFonts w:ascii="Arial" w:hAnsi="Arial" w:cs="Arial"/>
                <w:noProof/>
                <w:sz w:val="18"/>
                <w:szCs w:val="16"/>
              </w:rPr>
              <w:t>8</w:t>
            </w:r>
            <w:r w:rsidRPr="00AE5C18">
              <w:rPr>
                <w:rFonts w:ascii="Arial" w:hAnsi="Arial" w:cs="Arial"/>
                <w:sz w:val="18"/>
                <w:szCs w:val="16"/>
              </w:rPr>
              <w:fldChar w:fldCharType="end"/>
            </w:r>
            <w:r w:rsidRPr="00AE5C18">
              <w:rPr>
                <w:rFonts w:ascii="Arial" w:hAnsi="Arial" w:cs="Arial"/>
                <w:sz w:val="18"/>
                <w:szCs w:val="16"/>
              </w:rPr>
              <w:t xml:space="preserve"> of </w:t>
            </w:r>
            <w:r w:rsidRPr="00AE5C18">
              <w:rPr>
                <w:rFonts w:ascii="Arial" w:hAnsi="Arial" w:cs="Arial"/>
                <w:sz w:val="18"/>
                <w:szCs w:val="16"/>
              </w:rPr>
              <w:fldChar w:fldCharType="begin"/>
            </w:r>
            <w:r w:rsidRPr="00AE5C18">
              <w:rPr>
                <w:rFonts w:ascii="Arial" w:hAnsi="Arial" w:cs="Arial"/>
                <w:sz w:val="18"/>
                <w:szCs w:val="16"/>
              </w:rPr>
              <w:instrText xml:space="preserve"> NUMPAGES  </w:instrText>
            </w:r>
            <w:r w:rsidRPr="00AE5C18">
              <w:rPr>
                <w:rFonts w:ascii="Arial" w:hAnsi="Arial" w:cs="Arial"/>
                <w:sz w:val="18"/>
                <w:szCs w:val="16"/>
              </w:rPr>
              <w:fldChar w:fldCharType="separate"/>
            </w:r>
            <w:r w:rsidR="00F97903">
              <w:rPr>
                <w:rFonts w:ascii="Arial" w:hAnsi="Arial" w:cs="Arial"/>
                <w:noProof/>
                <w:sz w:val="18"/>
                <w:szCs w:val="16"/>
              </w:rPr>
              <w:t>16</w:t>
            </w:r>
            <w:r w:rsidRPr="00AE5C18">
              <w:rPr>
                <w:rFonts w:ascii="Arial" w:hAnsi="Arial" w:cs="Arial"/>
                <w:sz w:val="18"/>
                <w:szCs w:val="16"/>
              </w:rPr>
              <w:fldChar w:fldCharType="end"/>
            </w:r>
          </w:p>
        </w:sdtContent>
      </w:sdt>
    </w:sdtContent>
  </w:sdt>
  <w:p w14:paraId="51A7C66C" w14:textId="7CF574B8" w:rsidR="00110BE3" w:rsidRPr="00AE5C18" w:rsidRDefault="00A86F37" w:rsidP="00AE5C18">
    <w:pPr>
      <w:pStyle w:val="Footer"/>
      <w:rPr>
        <w:rFonts w:ascii="Arial" w:hAnsi="Arial" w:cs="Arial"/>
        <w:sz w:val="18"/>
        <w:szCs w:val="16"/>
      </w:rPr>
    </w:pPr>
    <w:r>
      <w:rPr>
        <w:rFonts w:ascii="Arial" w:hAnsi="Arial" w:cs="Arial"/>
        <w:sz w:val="18"/>
        <w:szCs w:val="16"/>
      </w:rPr>
      <w:t>Gonococcal Infection</w:t>
    </w:r>
    <w:r w:rsidR="00AE5C18" w:rsidRPr="00AE5C18">
      <w:rPr>
        <w:rFonts w:ascii="Arial" w:hAnsi="Arial" w:cs="Arial"/>
        <w:sz w:val="18"/>
        <w:szCs w:val="16"/>
      </w:rPr>
      <w:t xml:space="preserve"> – </w:t>
    </w:r>
    <w:r w:rsidR="006D70F9" w:rsidRPr="00AE5C18">
      <w:rPr>
        <w:rFonts w:ascii="Arial" w:hAnsi="Arial" w:cs="Arial"/>
        <w:sz w:val="18"/>
        <w:szCs w:val="16"/>
      </w:rPr>
      <w:t>Laboratory case definition – Version</w:t>
    </w:r>
    <w:r w:rsidR="00AE5C18" w:rsidRPr="00AE5C18">
      <w:rPr>
        <w:rFonts w:ascii="Arial" w:hAnsi="Arial" w:cs="Arial"/>
        <w:sz w:val="18"/>
        <w:szCs w:val="16"/>
      </w:rPr>
      <w:t xml:space="preserve"> </w:t>
    </w:r>
    <w:r>
      <w:rPr>
        <w:rFonts w:ascii="Arial" w:hAnsi="Arial" w:cs="Arial"/>
        <w:sz w:val="18"/>
        <w:szCs w:val="16"/>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C4D20" w14:textId="77777777" w:rsidR="0072439B" w:rsidRDefault="0072439B" w:rsidP="00A53F74">
      <w:r>
        <w:separator/>
      </w:r>
    </w:p>
    <w:p w14:paraId="22879939" w14:textId="77777777" w:rsidR="0072439B" w:rsidRDefault="0072439B" w:rsidP="00A53F74"/>
  </w:footnote>
  <w:footnote w:type="continuationSeparator" w:id="0">
    <w:p w14:paraId="78D5DEF5" w14:textId="77777777" w:rsidR="0072439B" w:rsidRDefault="0072439B" w:rsidP="00A53F74">
      <w:r>
        <w:continuationSeparator/>
      </w:r>
    </w:p>
    <w:p w14:paraId="3FD75DBB" w14:textId="77777777" w:rsidR="0072439B" w:rsidRDefault="0072439B" w:rsidP="00A53F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D3EC" w14:textId="77777777" w:rsidR="00110BE3" w:rsidRDefault="00866892" w:rsidP="00AE5C18">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77777777" w:rsidR="00AE5C18" w:rsidRDefault="00AE5C18">
    <w:pPr>
      <w:pStyle w:val="Header"/>
    </w:pPr>
    <w:r>
      <w:rPr>
        <w:noProof/>
        <w:lang w:val="en-AU" w:eastAsia="en-AU"/>
      </w:rPr>
      <w:drawing>
        <wp:inline distT="0" distB="0" distL="0" distR="0" wp14:anchorId="55988EBD" wp14:editId="5612A633">
          <wp:extent cx="3240000" cy="1320764"/>
          <wp:effectExtent l="0" t="0" r="0" b="0"/>
          <wp:docPr id="5" name="Picture 5" descr="PHL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HLN logo"/>
                  <pic:cNvPicPr/>
                </pic:nvPicPr>
                <pic:blipFill>
                  <a:blip r:embed="rId1">
                    <a:extLst>
                      <a:ext uri="{28A0092B-C50C-407E-A947-70E740481C1C}">
                        <a14:useLocalDpi xmlns:a14="http://schemas.microsoft.com/office/drawing/2010/main" val="0"/>
                      </a:ext>
                    </a:extLst>
                  </a:blip>
                  <a:stretch>
                    <a:fillRect/>
                  </a:stretch>
                </pic:blipFill>
                <pic:spPr>
                  <a:xfrm>
                    <a:off x="0" y="0"/>
                    <a:ext cx="3240000" cy="132076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2291" w14:textId="5918D311" w:rsidR="00D40136" w:rsidRDefault="00D401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09B"/>
    <w:multiLevelType w:val="multilevel"/>
    <w:tmpl w:val="3D601560"/>
    <w:lvl w:ilvl="0">
      <w:start w:val="1"/>
      <w:numFmt w:val="decimal"/>
      <w:pStyle w:val="Heading1"/>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680"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5216"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397" w:hanging="397"/>
      </w:pPr>
      <w:rPr>
        <w:rFonts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1" w15:restartNumberingAfterBreak="0">
    <w:nsid w:val="03615545"/>
    <w:multiLevelType w:val="hybridMultilevel"/>
    <w:tmpl w:val="F868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AF6E18"/>
    <w:multiLevelType w:val="hybridMultilevel"/>
    <w:tmpl w:val="D18A29F0"/>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697061D"/>
    <w:multiLevelType w:val="hybridMultilevel"/>
    <w:tmpl w:val="935841D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84E381E"/>
    <w:multiLevelType w:val="hybridMultilevel"/>
    <w:tmpl w:val="3D0436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584384"/>
    <w:multiLevelType w:val="multilevel"/>
    <w:tmpl w:val="E084DE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D565BF"/>
    <w:multiLevelType w:val="hybridMultilevel"/>
    <w:tmpl w:val="44BAF7F8"/>
    <w:lvl w:ilvl="0" w:tplc="0C09000F">
      <w:start w:val="1"/>
      <w:numFmt w:val="decimal"/>
      <w:lvlText w:val="%1."/>
      <w:lvlJc w:val="left"/>
      <w:pPr>
        <w:ind w:left="2202" w:hanging="360"/>
      </w:pPr>
    </w:lvl>
    <w:lvl w:ilvl="1" w:tplc="0C090019" w:tentative="1">
      <w:start w:val="1"/>
      <w:numFmt w:val="lowerLetter"/>
      <w:lvlText w:val="%2."/>
      <w:lvlJc w:val="left"/>
      <w:pPr>
        <w:ind w:left="2922" w:hanging="360"/>
      </w:pPr>
    </w:lvl>
    <w:lvl w:ilvl="2" w:tplc="0C09001B" w:tentative="1">
      <w:start w:val="1"/>
      <w:numFmt w:val="lowerRoman"/>
      <w:lvlText w:val="%3."/>
      <w:lvlJc w:val="right"/>
      <w:pPr>
        <w:ind w:left="3642" w:hanging="180"/>
      </w:pPr>
    </w:lvl>
    <w:lvl w:ilvl="3" w:tplc="0C09000F" w:tentative="1">
      <w:start w:val="1"/>
      <w:numFmt w:val="decimal"/>
      <w:lvlText w:val="%4."/>
      <w:lvlJc w:val="left"/>
      <w:pPr>
        <w:ind w:left="4362" w:hanging="360"/>
      </w:pPr>
    </w:lvl>
    <w:lvl w:ilvl="4" w:tplc="0C090019" w:tentative="1">
      <w:start w:val="1"/>
      <w:numFmt w:val="lowerLetter"/>
      <w:lvlText w:val="%5."/>
      <w:lvlJc w:val="left"/>
      <w:pPr>
        <w:ind w:left="5082" w:hanging="360"/>
      </w:pPr>
    </w:lvl>
    <w:lvl w:ilvl="5" w:tplc="0C09001B" w:tentative="1">
      <w:start w:val="1"/>
      <w:numFmt w:val="lowerRoman"/>
      <w:lvlText w:val="%6."/>
      <w:lvlJc w:val="right"/>
      <w:pPr>
        <w:ind w:left="5802" w:hanging="180"/>
      </w:pPr>
    </w:lvl>
    <w:lvl w:ilvl="6" w:tplc="0C09000F" w:tentative="1">
      <w:start w:val="1"/>
      <w:numFmt w:val="decimal"/>
      <w:lvlText w:val="%7."/>
      <w:lvlJc w:val="left"/>
      <w:pPr>
        <w:ind w:left="6522" w:hanging="360"/>
      </w:pPr>
    </w:lvl>
    <w:lvl w:ilvl="7" w:tplc="0C090019" w:tentative="1">
      <w:start w:val="1"/>
      <w:numFmt w:val="lowerLetter"/>
      <w:lvlText w:val="%8."/>
      <w:lvlJc w:val="left"/>
      <w:pPr>
        <w:ind w:left="7242" w:hanging="360"/>
      </w:pPr>
    </w:lvl>
    <w:lvl w:ilvl="8" w:tplc="0C09001B" w:tentative="1">
      <w:start w:val="1"/>
      <w:numFmt w:val="lowerRoman"/>
      <w:lvlText w:val="%9."/>
      <w:lvlJc w:val="right"/>
      <w:pPr>
        <w:ind w:left="7962" w:hanging="180"/>
      </w:pPr>
    </w:lvl>
  </w:abstractNum>
  <w:abstractNum w:abstractNumId="7" w15:restartNumberingAfterBreak="0">
    <w:nsid w:val="0EDE166D"/>
    <w:multiLevelType w:val="hybridMultilevel"/>
    <w:tmpl w:val="6B9262DE"/>
    <w:lvl w:ilvl="0" w:tplc="15326F3A">
      <w:start w:val="1"/>
      <w:numFmt w:val="bullet"/>
      <w:pStyle w:val="ListParagraph"/>
      <w:lvlText w:val=""/>
      <w:lvlJc w:val="left"/>
      <w:pPr>
        <w:ind w:left="2202"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24D3511"/>
    <w:multiLevelType w:val="multilevel"/>
    <w:tmpl w:val="0CA8D3C0"/>
    <w:lvl w:ilvl="0">
      <w:start w:val="1"/>
      <w:numFmt w:val="bullet"/>
      <w:lvlText w:val=""/>
      <w:lvlJc w:val="left"/>
      <w:pPr>
        <w:ind w:left="689" w:hanging="405"/>
      </w:pPr>
      <w:rPr>
        <w:rFonts w:ascii="Symbol" w:hAnsi="Symbol" w:hint="default"/>
      </w:rPr>
    </w:lvl>
    <w:lvl w:ilvl="1">
      <w:start w:val="1"/>
      <w:numFmt w:val="decimal"/>
      <w:lvlText w:val="%1.%2"/>
      <w:lvlJc w:val="left"/>
      <w:pPr>
        <w:ind w:left="1288"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216"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144" w:hanging="1440"/>
      </w:pPr>
      <w:rPr>
        <w:rFonts w:hint="default"/>
      </w:rPr>
    </w:lvl>
    <w:lvl w:ilvl="6">
      <w:start w:val="1"/>
      <w:numFmt w:val="decimal"/>
      <w:lvlText w:val="%1.%2.%3.%4.%5.%6.%7"/>
      <w:lvlJc w:val="left"/>
      <w:pPr>
        <w:ind w:left="3788" w:hanging="1800"/>
      </w:pPr>
      <w:rPr>
        <w:rFonts w:hint="default"/>
      </w:rPr>
    </w:lvl>
    <w:lvl w:ilvl="7">
      <w:start w:val="1"/>
      <w:numFmt w:val="decimal"/>
      <w:lvlText w:val="%1.%2.%3.%4.%5.%6.%7.%8"/>
      <w:lvlJc w:val="left"/>
      <w:pPr>
        <w:ind w:left="4072" w:hanging="1800"/>
      </w:pPr>
      <w:rPr>
        <w:rFonts w:hint="default"/>
      </w:rPr>
    </w:lvl>
    <w:lvl w:ilvl="8">
      <w:start w:val="1"/>
      <w:numFmt w:val="decimal"/>
      <w:lvlText w:val="%1.%2.%3.%4.%5.%6.%7.%8.%9"/>
      <w:lvlJc w:val="left"/>
      <w:pPr>
        <w:ind w:left="4716" w:hanging="2160"/>
      </w:pPr>
      <w:rPr>
        <w:rFonts w:hint="default"/>
      </w:rPr>
    </w:lvl>
  </w:abstractNum>
  <w:abstractNum w:abstractNumId="9" w15:restartNumberingAfterBreak="0">
    <w:nsid w:val="16AC07E2"/>
    <w:multiLevelType w:val="hybridMultilevel"/>
    <w:tmpl w:val="88F6E8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961154"/>
    <w:multiLevelType w:val="multilevel"/>
    <w:tmpl w:val="E37E1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AF4385"/>
    <w:multiLevelType w:val="hybridMultilevel"/>
    <w:tmpl w:val="4A82D9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0BC71D7"/>
    <w:multiLevelType w:val="hybridMultilevel"/>
    <w:tmpl w:val="1D7C8398"/>
    <w:lvl w:ilvl="0" w:tplc="0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31C273A"/>
    <w:multiLevelType w:val="multilevel"/>
    <w:tmpl w:val="252457A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263214E2"/>
    <w:multiLevelType w:val="multilevel"/>
    <w:tmpl w:val="E808F7CC"/>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5" w15:restartNumberingAfterBreak="0">
    <w:nsid w:val="289D3C51"/>
    <w:multiLevelType w:val="hybridMultilevel"/>
    <w:tmpl w:val="3D3C78A2"/>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CD76CF1"/>
    <w:multiLevelType w:val="hybridMultilevel"/>
    <w:tmpl w:val="F1201BAE"/>
    <w:lvl w:ilvl="0" w:tplc="67BE4D6E">
      <w:start w:val="1"/>
      <w:numFmt w:val="bullet"/>
      <w:lvlText w:val=""/>
      <w:lvlJc w:val="left"/>
      <w:pPr>
        <w:ind w:left="720"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D91B27"/>
    <w:multiLevelType w:val="hybridMultilevel"/>
    <w:tmpl w:val="E1E2238A"/>
    <w:lvl w:ilvl="0" w:tplc="829E7B70">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8" w15:restartNumberingAfterBreak="0">
    <w:nsid w:val="2ECD3108"/>
    <w:multiLevelType w:val="hybridMultilevel"/>
    <w:tmpl w:val="9DF89D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2604E1C"/>
    <w:multiLevelType w:val="hybridMultilevel"/>
    <w:tmpl w:val="994A1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9375E5"/>
    <w:multiLevelType w:val="multilevel"/>
    <w:tmpl w:val="618C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1D1A04"/>
    <w:multiLevelType w:val="multilevel"/>
    <w:tmpl w:val="E808F7CC"/>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2" w15:restartNumberingAfterBreak="0">
    <w:nsid w:val="454404B7"/>
    <w:multiLevelType w:val="hybridMultilevel"/>
    <w:tmpl w:val="0DCA4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1F7F25"/>
    <w:multiLevelType w:val="hybridMultilevel"/>
    <w:tmpl w:val="6252389E"/>
    <w:lvl w:ilvl="0" w:tplc="1292AA2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8E60F2"/>
    <w:multiLevelType w:val="hybridMultilevel"/>
    <w:tmpl w:val="E2A68462"/>
    <w:lvl w:ilvl="0" w:tplc="3E466006">
      <w:start w:val="1"/>
      <w:numFmt w:val="bullet"/>
      <w:pStyle w:val="NoSpacing"/>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5" w15:restartNumberingAfterBreak="0">
    <w:nsid w:val="51A32831"/>
    <w:multiLevelType w:val="multilevel"/>
    <w:tmpl w:val="0FA8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C61ED6"/>
    <w:multiLevelType w:val="hybridMultilevel"/>
    <w:tmpl w:val="DA8E060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7" w15:restartNumberingAfterBreak="0">
    <w:nsid w:val="5A152346"/>
    <w:multiLevelType w:val="multilevel"/>
    <w:tmpl w:val="E808F7CC"/>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8" w15:restartNumberingAfterBreak="0">
    <w:nsid w:val="64433016"/>
    <w:multiLevelType w:val="multilevel"/>
    <w:tmpl w:val="BEBE38D2"/>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9" w15:restartNumberingAfterBreak="0">
    <w:nsid w:val="73B11EA7"/>
    <w:multiLevelType w:val="multilevel"/>
    <w:tmpl w:val="E808F7CC"/>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0" w15:restartNumberingAfterBreak="0">
    <w:nsid w:val="73E746F4"/>
    <w:multiLevelType w:val="hybridMultilevel"/>
    <w:tmpl w:val="0CB849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5214679"/>
    <w:multiLevelType w:val="multilevel"/>
    <w:tmpl w:val="BAD4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D8D70D6"/>
    <w:multiLevelType w:val="multilevel"/>
    <w:tmpl w:val="E808F7CC"/>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16cid:durableId="1647781149">
    <w:abstractNumId w:val="0"/>
  </w:num>
  <w:num w:numId="2" w16cid:durableId="672413098">
    <w:abstractNumId w:val="7"/>
  </w:num>
  <w:num w:numId="3" w16cid:durableId="712002960">
    <w:abstractNumId w:val="15"/>
  </w:num>
  <w:num w:numId="4" w16cid:durableId="1203980247">
    <w:abstractNumId w:val="9"/>
  </w:num>
  <w:num w:numId="5" w16cid:durableId="1297838100">
    <w:abstractNumId w:val="13"/>
  </w:num>
  <w:num w:numId="6" w16cid:durableId="629676403">
    <w:abstractNumId w:val="18"/>
  </w:num>
  <w:num w:numId="7" w16cid:durableId="832601504">
    <w:abstractNumId w:val="2"/>
  </w:num>
  <w:num w:numId="8" w16cid:durableId="760829998">
    <w:abstractNumId w:val="11"/>
  </w:num>
  <w:num w:numId="9" w16cid:durableId="1102410634">
    <w:abstractNumId w:val="12"/>
  </w:num>
  <w:num w:numId="10" w16cid:durableId="1041438121">
    <w:abstractNumId w:val="16"/>
  </w:num>
  <w:num w:numId="11" w16cid:durableId="1920360105">
    <w:abstractNumId w:val="30"/>
  </w:num>
  <w:num w:numId="12" w16cid:durableId="847984880">
    <w:abstractNumId w:val="4"/>
  </w:num>
  <w:num w:numId="13" w16cid:durableId="2084137263">
    <w:abstractNumId w:val="7"/>
  </w:num>
  <w:num w:numId="14" w16cid:durableId="656762005">
    <w:abstractNumId w:val="7"/>
  </w:num>
  <w:num w:numId="15" w16cid:durableId="206527699">
    <w:abstractNumId w:val="16"/>
    <w:lvlOverride w:ilvl="0">
      <w:startOverride w:val="1"/>
    </w:lvlOverride>
  </w:num>
  <w:num w:numId="16" w16cid:durableId="2050254511">
    <w:abstractNumId w:val="25"/>
  </w:num>
  <w:num w:numId="17" w16cid:durableId="693001362">
    <w:abstractNumId w:val="31"/>
  </w:num>
  <w:num w:numId="18" w16cid:durableId="1067613239">
    <w:abstractNumId w:val="5"/>
  </w:num>
  <w:num w:numId="19" w16cid:durableId="271714535">
    <w:abstractNumId w:val="20"/>
  </w:num>
  <w:num w:numId="20" w16cid:durableId="1085762626">
    <w:abstractNumId w:val="10"/>
  </w:num>
  <w:num w:numId="21" w16cid:durableId="766317324">
    <w:abstractNumId w:val="0"/>
  </w:num>
  <w:num w:numId="22" w16cid:durableId="693576789">
    <w:abstractNumId w:val="0"/>
  </w:num>
  <w:num w:numId="23" w16cid:durableId="1818111769">
    <w:abstractNumId w:val="0"/>
  </w:num>
  <w:num w:numId="24" w16cid:durableId="855967277">
    <w:abstractNumId w:val="3"/>
  </w:num>
  <w:num w:numId="25" w16cid:durableId="545798508">
    <w:abstractNumId w:val="24"/>
  </w:num>
  <w:num w:numId="26" w16cid:durableId="11135546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56648041">
    <w:abstractNumId w:val="22"/>
  </w:num>
  <w:num w:numId="28" w16cid:durableId="2086798092">
    <w:abstractNumId w:val="28"/>
  </w:num>
  <w:num w:numId="29" w16cid:durableId="1859613308">
    <w:abstractNumId w:val="17"/>
  </w:num>
  <w:num w:numId="30" w16cid:durableId="1990667737">
    <w:abstractNumId w:val="1"/>
  </w:num>
  <w:num w:numId="31" w16cid:durableId="762337588">
    <w:abstractNumId w:val="19"/>
  </w:num>
  <w:num w:numId="32" w16cid:durableId="2095668515">
    <w:abstractNumId w:val="8"/>
  </w:num>
  <w:num w:numId="33" w16cid:durableId="1030766216">
    <w:abstractNumId w:val="29"/>
  </w:num>
  <w:num w:numId="34" w16cid:durableId="61946975">
    <w:abstractNumId w:val="21"/>
  </w:num>
  <w:num w:numId="35" w16cid:durableId="1141339835">
    <w:abstractNumId w:val="27"/>
  </w:num>
  <w:num w:numId="36" w16cid:durableId="1619408031">
    <w:abstractNumId w:val="32"/>
  </w:num>
  <w:num w:numId="37" w16cid:durableId="723216916">
    <w:abstractNumId w:val="14"/>
  </w:num>
  <w:num w:numId="38" w16cid:durableId="453476188">
    <w:abstractNumId w:val="6"/>
  </w:num>
  <w:num w:numId="39" w16cid:durableId="599919477">
    <w:abstractNumId w:val="23"/>
  </w:num>
  <w:num w:numId="40" w16cid:durableId="989600680">
    <w:abstractNumId w:val="26"/>
  </w:num>
  <w:num w:numId="41" w16cid:durableId="188446835">
    <w:abstractNumId w:val="7"/>
  </w:num>
  <w:num w:numId="42" w16cid:durableId="1425564756">
    <w:abstractNumId w:val="7"/>
  </w:num>
  <w:num w:numId="43" w16cid:durableId="328023114">
    <w:abstractNumId w:val="7"/>
  </w:num>
  <w:num w:numId="44" w16cid:durableId="615212431">
    <w:abstractNumId w:val="7"/>
  </w:num>
  <w:num w:numId="45" w16cid:durableId="1459956603">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FCD"/>
    <w:rsid w:val="000109C1"/>
    <w:rsid w:val="0001619D"/>
    <w:rsid w:val="00027325"/>
    <w:rsid w:val="00060A02"/>
    <w:rsid w:val="000B2A46"/>
    <w:rsid w:val="000B7DE0"/>
    <w:rsid w:val="000D43D8"/>
    <w:rsid w:val="00110BE3"/>
    <w:rsid w:val="00134CD9"/>
    <w:rsid w:val="00154072"/>
    <w:rsid w:val="00166373"/>
    <w:rsid w:val="0017110E"/>
    <w:rsid w:val="001A114E"/>
    <w:rsid w:val="001A6A17"/>
    <w:rsid w:val="001E2E3D"/>
    <w:rsid w:val="002148B8"/>
    <w:rsid w:val="00245C1F"/>
    <w:rsid w:val="00256BC9"/>
    <w:rsid w:val="002B07F3"/>
    <w:rsid w:val="002B54B5"/>
    <w:rsid w:val="002B718F"/>
    <w:rsid w:val="002F29D8"/>
    <w:rsid w:val="002F405C"/>
    <w:rsid w:val="002F5A4B"/>
    <w:rsid w:val="0030236C"/>
    <w:rsid w:val="0036492E"/>
    <w:rsid w:val="00380691"/>
    <w:rsid w:val="003A13E3"/>
    <w:rsid w:val="003A583C"/>
    <w:rsid w:val="003B1DAF"/>
    <w:rsid w:val="003E5025"/>
    <w:rsid w:val="004140E2"/>
    <w:rsid w:val="00415085"/>
    <w:rsid w:val="00432574"/>
    <w:rsid w:val="004929B2"/>
    <w:rsid w:val="00495BE0"/>
    <w:rsid w:val="0049615E"/>
    <w:rsid w:val="004B7B63"/>
    <w:rsid w:val="004C193F"/>
    <w:rsid w:val="004D590B"/>
    <w:rsid w:val="004F0B66"/>
    <w:rsid w:val="004F61C6"/>
    <w:rsid w:val="0050174A"/>
    <w:rsid w:val="00533E4C"/>
    <w:rsid w:val="00547282"/>
    <w:rsid w:val="00551D1C"/>
    <w:rsid w:val="005548AB"/>
    <w:rsid w:val="00571AD4"/>
    <w:rsid w:val="00584A1E"/>
    <w:rsid w:val="005C6171"/>
    <w:rsid w:val="005C7A61"/>
    <w:rsid w:val="005E515A"/>
    <w:rsid w:val="006137DB"/>
    <w:rsid w:val="00617E04"/>
    <w:rsid w:val="0062702B"/>
    <w:rsid w:val="00642451"/>
    <w:rsid w:val="006431D9"/>
    <w:rsid w:val="00643C3E"/>
    <w:rsid w:val="00644CD8"/>
    <w:rsid w:val="00654B39"/>
    <w:rsid w:val="00664005"/>
    <w:rsid w:val="00677982"/>
    <w:rsid w:val="00695CF5"/>
    <w:rsid w:val="006A499C"/>
    <w:rsid w:val="006B186A"/>
    <w:rsid w:val="006B5DC9"/>
    <w:rsid w:val="006B7635"/>
    <w:rsid w:val="006D70F9"/>
    <w:rsid w:val="006F24C1"/>
    <w:rsid w:val="006F4457"/>
    <w:rsid w:val="0072439B"/>
    <w:rsid w:val="00736817"/>
    <w:rsid w:val="007507C3"/>
    <w:rsid w:val="00751598"/>
    <w:rsid w:val="00762AA6"/>
    <w:rsid w:val="00763AFB"/>
    <w:rsid w:val="0078601B"/>
    <w:rsid w:val="007C0904"/>
    <w:rsid w:val="007D0923"/>
    <w:rsid w:val="007D54A4"/>
    <w:rsid w:val="007E2E56"/>
    <w:rsid w:val="008037C5"/>
    <w:rsid w:val="00833221"/>
    <w:rsid w:val="0083509D"/>
    <w:rsid w:val="00851A2F"/>
    <w:rsid w:val="00866892"/>
    <w:rsid w:val="00871E00"/>
    <w:rsid w:val="00893E76"/>
    <w:rsid w:val="00897E12"/>
    <w:rsid w:val="008A0130"/>
    <w:rsid w:val="008A2113"/>
    <w:rsid w:val="008B6E31"/>
    <w:rsid w:val="00942B94"/>
    <w:rsid w:val="009431AB"/>
    <w:rsid w:val="009529F6"/>
    <w:rsid w:val="00963E90"/>
    <w:rsid w:val="00976AB2"/>
    <w:rsid w:val="0099063C"/>
    <w:rsid w:val="009A20B5"/>
    <w:rsid w:val="009B1B23"/>
    <w:rsid w:val="009B32A2"/>
    <w:rsid w:val="009D0AFD"/>
    <w:rsid w:val="009E03DB"/>
    <w:rsid w:val="00A07244"/>
    <w:rsid w:val="00A2164F"/>
    <w:rsid w:val="00A26C3D"/>
    <w:rsid w:val="00A34F21"/>
    <w:rsid w:val="00A432D2"/>
    <w:rsid w:val="00A53F74"/>
    <w:rsid w:val="00A86F37"/>
    <w:rsid w:val="00AA2F00"/>
    <w:rsid w:val="00AA2F43"/>
    <w:rsid w:val="00AA5018"/>
    <w:rsid w:val="00AB150F"/>
    <w:rsid w:val="00AB7598"/>
    <w:rsid w:val="00AC14FD"/>
    <w:rsid w:val="00AE5C18"/>
    <w:rsid w:val="00B25F30"/>
    <w:rsid w:val="00B4018F"/>
    <w:rsid w:val="00B47657"/>
    <w:rsid w:val="00B57968"/>
    <w:rsid w:val="00B63726"/>
    <w:rsid w:val="00B81B9B"/>
    <w:rsid w:val="00B970CE"/>
    <w:rsid w:val="00BA01D8"/>
    <w:rsid w:val="00BA6F06"/>
    <w:rsid w:val="00BC020A"/>
    <w:rsid w:val="00BE0113"/>
    <w:rsid w:val="00BF5A7B"/>
    <w:rsid w:val="00C000BA"/>
    <w:rsid w:val="00C04E5A"/>
    <w:rsid w:val="00C20CF9"/>
    <w:rsid w:val="00C36BE2"/>
    <w:rsid w:val="00C440A9"/>
    <w:rsid w:val="00C465E2"/>
    <w:rsid w:val="00C46834"/>
    <w:rsid w:val="00C473D9"/>
    <w:rsid w:val="00C6303A"/>
    <w:rsid w:val="00C66530"/>
    <w:rsid w:val="00C70240"/>
    <w:rsid w:val="00C800B9"/>
    <w:rsid w:val="00C80F3B"/>
    <w:rsid w:val="00C83210"/>
    <w:rsid w:val="00CA028E"/>
    <w:rsid w:val="00CB0F83"/>
    <w:rsid w:val="00CB6D63"/>
    <w:rsid w:val="00CD23B2"/>
    <w:rsid w:val="00CF2D40"/>
    <w:rsid w:val="00D0160F"/>
    <w:rsid w:val="00D01A39"/>
    <w:rsid w:val="00D14776"/>
    <w:rsid w:val="00D20A0B"/>
    <w:rsid w:val="00D2504E"/>
    <w:rsid w:val="00D40136"/>
    <w:rsid w:val="00D94A99"/>
    <w:rsid w:val="00DA072A"/>
    <w:rsid w:val="00DC2046"/>
    <w:rsid w:val="00DC4218"/>
    <w:rsid w:val="00DC626F"/>
    <w:rsid w:val="00DD02C4"/>
    <w:rsid w:val="00DD790A"/>
    <w:rsid w:val="00DE404C"/>
    <w:rsid w:val="00DF1684"/>
    <w:rsid w:val="00DF18C5"/>
    <w:rsid w:val="00E03131"/>
    <w:rsid w:val="00E1066E"/>
    <w:rsid w:val="00E1346E"/>
    <w:rsid w:val="00E14581"/>
    <w:rsid w:val="00E24094"/>
    <w:rsid w:val="00E421D6"/>
    <w:rsid w:val="00E506CD"/>
    <w:rsid w:val="00E54CC1"/>
    <w:rsid w:val="00E71D87"/>
    <w:rsid w:val="00E71F8C"/>
    <w:rsid w:val="00E76FF7"/>
    <w:rsid w:val="00E8507E"/>
    <w:rsid w:val="00E87D7A"/>
    <w:rsid w:val="00E9473C"/>
    <w:rsid w:val="00EB35F1"/>
    <w:rsid w:val="00EC3B9A"/>
    <w:rsid w:val="00ED586D"/>
    <w:rsid w:val="00EE4FD9"/>
    <w:rsid w:val="00EF482D"/>
    <w:rsid w:val="00F16A46"/>
    <w:rsid w:val="00F27649"/>
    <w:rsid w:val="00F61DFB"/>
    <w:rsid w:val="00F62BFF"/>
    <w:rsid w:val="00F848B1"/>
    <w:rsid w:val="00F84FCD"/>
    <w:rsid w:val="00F85932"/>
    <w:rsid w:val="00F97903"/>
    <w:rsid w:val="00FA0205"/>
    <w:rsid w:val="00FA126E"/>
    <w:rsid w:val="00FA76C6"/>
    <w:rsid w:val="00FC3322"/>
    <w:rsid w:val="00FC4ECA"/>
    <w:rsid w:val="00FD1B4F"/>
    <w:rsid w:val="07ABA15B"/>
    <w:rsid w:val="0AF9E4E0"/>
    <w:rsid w:val="0C896E22"/>
    <w:rsid w:val="1083B4C9"/>
    <w:rsid w:val="13DA19A2"/>
    <w:rsid w:val="195D85B9"/>
    <w:rsid w:val="1A07964B"/>
    <w:rsid w:val="1AAA944B"/>
    <w:rsid w:val="1C76F11C"/>
    <w:rsid w:val="22074AAC"/>
    <w:rsid w:val="2A90BB01"/>
    <w:rsid w:val="2BB47B08"/>
    <w:rsid w:val="2F52BCB5"/>
    <w:rsid w:val="35BAFA32"/>
    <w:rsid w:val="362B8187"/>
    <w:rsid w:val="36DB5D41"/>
    <w:rsid w:val="38135359"/>
    <w:rsid w:val="3A15A614"/>
    <w:rsid w:val="45F50DE6"/>
    <w:rsid w:val="4A33B764"/>
    <w:rsid w:val="4DC1E74F"/>
    <w:rsid w:val="50D8925A"/>
    <w:rsid w:val="50F344E8"/>
    <w:rsid w:val="61C9477D"/>
    <w:rsid w:val="6B217131"/>
    <w:rsid w:val="6E0A31C5"/>
    <w:rsid w:val="6F053CEF"/>
    <w:rsid w:val="73DA0628"/>
    <w:rsid w:val="7843BC38"/>
    <w:rsid w:val="7B0E81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A88A3"/>
  <w15:chartTrackingRefBased/>
  <w15:docId w15:val="{538BDC86-8961-4947-8BCB-1A71C5F5A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B9A"/>
    <w:pPr>
      <w:spacing w:before="240" w:after="240" w:line="360" w:lineRule="auto"/>
    </w:pPr>
    <w:rPr>
      <w:rFonts w:ascii="Arial" w:hAnsi="Arial" w:cs="Arial"/>
      <w:lang w:eastAsia="en-AU"/>
    </w:rPr>
  </w:style>
  <w:style w:type="paragraph" w:styleId="Heading1">
    <w:name w:val="heading 1"/>
    <w:basedOn w:val="Normal"/>
    <w:link w:val="Heading1Char"/>
    <w:uiPriority w:val="9"/>
    <w:qFormat/>
    <w:rsid w:val="00E1066E"/>
    <w:pPr>
      <w:numPr>
        <w:numId w:val="1"/>
      </w:numPr>
      <w:shd w:val="clear" w:color="auto" w:fill="FFFFFF"/>
      <w:spacing w:after="120" w:line="240" w:lineRule="auto"/>
      <w:jc w:val="both"/>
      <w:outlineLvl w:val="0"/>
    </w:pPr>
    <w:rPr>
      <w:rFonts w:eastAsia="Times New Roman"/>
      <w:color w:val="000000"/>
      <w:sz w:val="36"/>
      <w:szCs w:val="36"/>
    </w:rPr>
  </w:style>
  <w:style w:type="paragraph" w:styleId="Heading2">
    <w:name w:val="heading 2"/>
    <w:basedOn w:val="Heading1"/>
    <w:next w:val="Normal"/>
    <w:link w:val="Heading2Char"/>
    <w:uiPriority w:val="9"/>
    <w:unhideWhenUsed/>
    <w:qFormat/>
    <w:rsid w:val="00C000BA"/>
    <w:pPr>
      <w:numPr>
        <w:ilvl w:val="1"/>
      </w:numPr>
      <w:ind w:left="397"/>
      <w:outlineLvl w:val="1"/>
    </w:pPr>
    <w:rPr>
      <w:sz w:val="28"/>
      <w:szCs w:val="27"/>
      <w:shd w:val="clear" w:color="auto" w:fill="FFFFFF"/>
    </w:rPr>
  </w:style>
  <w:style w:type="paragraph" w:styleId="Heading3">
    <w:name w:val="heading 3"/>
    <w:basedOn w:val="Heading1"/>
    <w:next w:val="Normal"/>
    <w:link w:val="Heading3Char"/>
    <w:uiPriority w:val="9"/>
    <w:unhideWhenUsed/>
    <w:qFormat/>
    <w:rsid w:val="005C6171"/>
    <w:pPr>
      <w:numPr>
        <w:ilvl w:val="2"/>
      </w:numPr>
      <w:ind w:left="397"/>
      <w:outlineLvl w:val="2"/>
    </w:pPr>
    <w:rPr>
      <w:sz w:val="24"/>
      <w:shd w:val="clear" w:color="auto" w:fill="FFFFFF"/>
    </w:rPr>
  </w:style>
  <w:style w:type="paragraph" w:styleId="Heading4">
    <w:name w:val="heading 4"/>
    <w:basedOn w:val="Heading1"/>
    <w:next w:val="Normal"/>
    <w:link w:val="Heading4Char"/>
    <w:uiPriority w:val="9"/>
    <w:unhideWhenUsed/>
    <w:qFormat/>
    <w:rsid w:val="00F84FCD"/>
    <w:pPr>
      <w:numPr>
        <w:ilvl w:val="3"/>
      </w:numPr>
      <w:outlineLvl w:val="3"/>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066E"/>
    <w:pPr>
      <w:ind w:left="360" w:hanging="360"/>
      <w:jc w:val="both"/>
    </w:pPr>
    <w:rPr>
      <w:sz w:val="48"/>
    </w:rPr>
  </w:style>
  <w:style w:type="character" w:customStyle="1" w:styleId="TitleChar">
    <w:name w:val="Title Char"/>
    <w:basedOn w:val="DefaultParagraphFont"/>
    <w:link w:val="Title"/>
    <w:uiPriority w:val="10"/>
    <w:rsid w:val="00E1066E"/>
    <w:rPr>
      <w:rFonts w:ascii="Arial" w:hAnsi="Arial" w:cs="Arial"/>
      <w:sz w:val="48"/>
      <w:lang w:eastAsia="en-AU"/>
    </w:rPr>
  </w:style>
  <w:style w:type="character" w:customStyle="1" w:styleId="Heading1Char">
    <w:name w:val="Heading 1 Char"/>
    <w:basedOn w:val="DefaultParagraphFont"/>
    <w:link w:val="Heading1"/>
    <w:uiPriority w:val="9"/>
    <w:rsid w:val="00E1066E"/>
    <w:rPr>
      <w:rFonts w:ascii="Arial" w:eastAsia="Times New Roman" w:hAnsi="Arial" w:cs="Arial"/>
      <w:color w:val="000000"/>
      <w:sz w:val="36"/>
      <w:szCs w:val="36"/>
      <w:shd w:val="clear" w:color="auto" w:fill="FFFFFF"/>
      <w:lang w:eastAsia="en-AU"/>
    </w:rPr>
  </w:style>
  <w:style w:type="character" w:customStyle="1" w:styleId="Heading2Char">
    <w:name w:val="Heading 2 Char"/>
    <w:basedOn w:val="DefaultParagraphFont"/>
    <w:link w:val="Heading2"/>
    <w:uiPriority w:val="9"/>
    <w:rsid w:val="00C000BA"/>
    <w:rPr>
      <w:rFonts w:ascii="Arial" w:eastAsia="Times New Roman" w:hAnsi="Arial" w:cs="Arial"/>
      <w:color w:val="000000"/>
      <w:sz w:val="28"/>
      <w:szCs w:val="27"/>
      <w:shd w:val="clear" w:color="auto" w:fill="FFFFFF"/>
      <w:lang w:eastAsia="en-AU"/>
    </w:rPr>
  </w:style>
  <w:style w:type="character" w:customStyle="1" w:styleId="Heading3Char">
    <w:name w:val="Heading 3 Char"/>
    <w:basedOn w:val="DefaultParagraphFont"/>
    <w:link w:val="Heading3"/>
    <w:uiPriority w:val="9"/>
    <w:rsid w:val="005C6171"/>
    <w:rPr>
      <w:rFonts w:ascii="Arial" w:eastAsia="Times New Roman" w:hAnsi="Arial" w:cs="Arial"/>
      <w:color w:val="000000"/>
      <w:sz w:val="24"/>
      <w:szCs w:val="36"/>
      <w:shd w:val="clear" w:color="auto" w:fill="FFFFFF"/>
      <w:lang w:eastAsia="en-AU"/>
    </w:rPr>
  </w:style>
  <w:style w:type="character" w:customStyle="1" w:styleId="Heading4Char">
    <w:name w:val="Heading 4 Char"/>
    <w:basedOn w:val="DefaultParagraphFont"/>
    <w:link w:val="Heading4"/>
    <w:uiPriority w:val="9"/>
    <w:rsid w:val="00F84FCD"/>
    <w:rPr>
      <w:rFonts w:ascii="Century Gothic" w:eastAsia="Times New Roman" w:hAnsi="Century Gothic" w:cs="Helvetica"/>
      <w:color w:val="000000"/>
      <w:szCs w:val="36"/>
      <w:shd w:val="clear" w:color="auto" w:fill="FFFFFF"/>
      <w:lang w:eastAsia="en-AU"/>
    </w:rPr>
  </w:style>
  <w:style w:type="paragraph" w:styleId="ListParagraph">
    <w:name w:val="List Paragraph"/>
    <w:basedOn w:val="Normal"/>
    <w:uiPriority w:val="99"/>
    <w:qFormat/>
    <w:rsid w:val="00871E00"/>
    <w:pPr>
      <w:numPr>
        <w:numId w:val="2"/>
      </w:numPr>
    </w:pPr>
  </w:style>
  <w:style w:type="paragraph" w:styleId="Subtitle">
    <w:name w:val="Subtitle"/>
    <w:basedOn w:val="Normal"/>
    <w:next w:val="Normal"/>
    <w:link w:val="SubtitleChar"/>
    <w:uiPriority w:val="11"/>
    <w:qFormat/>
    <w:rsid w:val="00D14776"/>
    <w:pPr>
      <w:shd w:val="clear" w:color="auto" w:fill="FFFFFF"/>
      <w:spacing w:after="160" w:line="240" w:lineRule="auto"/>
      <w:jc w:val="both"/>
    </w:pPr>
    <w:rPr>
      <w:rFonts w:ascii="Helvetica" w:eastAsia="Times New Roman" w:hAnsi="Helvetica" w:cs="Helvetica"/>
      <w:color w:val="707070"/>
      <w:szCs w:val="20"/>
    </w:rPr>
  </w:style>
  <w:style w:type="character" w:customStyle="1" w:styleId="SubtitleChar">
    <w:name w:val="Subtitle Char"/>
    <w:basedOn w:val="DefaultParagraphFont"/>
    <w:link w:val="Subtitle"/>
    <w:uiPriority w:val="11"/>
    <w:rsid w:val="00D14776"/>
    <w:rPr>
      <w:rFonts w:ascii="Helvetica" w:eastAsia="Times New Roman" w:hAnsi="Helvetica" w:cs="Helvetica"/>
      <w:color w:val="707070"/>
      <w:sz w:val="20"/>
      <w:szCs w:val="20"/>
      <w:shd w:val="clear" w:color="auto" w:fill="FFFFFF"/>
      <w:lang w:eastAsia="en-AU"/>
    </w:rPr>
  </w:style>
  <w:style w:type="paragraph" w:styleId="Header">
    <w:name w:val="header"/>
    <w:basedOn w:val="Normal"/>
    <w:link w:val="HeaderChar"/>
    <w:rsid w:val="00D14776"/>
    <w:pPr>
      <w:tabs>
        <w:tab w:val="center" w:pos="4153"/>
        <w:tab w:val="right" w:pos="8306"/>
      </w:tabs>
      <w:spacing w:after="0" w:line="240" w:lineRule="auto"/>
    </w:pPr>
    <w:rPr>
      <w:rFonts w:ascii="Times New Roman" w:eastAsia="Times New Roman" w:hAnsi="Times New Roman" w:cs="Times New Roman"/>
      <w:szCs w:val="20"/>
      <w:lang w:val="en-US" w:eastAsia="en-US"/>
    </w:rPr>
  </w:style>
  <w:style w:type="character" w:customStyle="1" w:styleId="HeaderChar">
    <w:name w:val="Header Char"/>
    <w:basedOn w:val="DefaultParagraphFont"/>
    <w:link w:val="Header"/>
    <w:rsid w:val="00D14776"/>
    <w:rPr>
      <w:rFonts w:ascii="Times New Roman" w:eastAsia="Times New Roman" w:hAnsi="Times New Roman" w:cs="Times New Roman"/>
      <w:sz w:val="20"/>
      <w:szCs w:val="20"/>
      <w:lang w:val="en-US"/>
    </w:rPr>
  </w:style>
  <w:style w:type="paragraph" w:styleId="Footer">
    <w:name w:val="footer"/>
    <w:basedOn w:val="Normal"/>
    <w:link w:val="FooterChar"/>
    <w:uiPriority w:val="99"/>
    <w:rsid w:val="00D14776"/>
    <w:pPr>
      <w:tabs>
        <w:tab w:val="center" w:pos="4153"/>
        <w:tab w:val="right" w:pos="8306"/>
      </w:tabs>
      <w:spacing w:after="0" w:line="240" w:lineRule="auto"/>
    </w:pPr>
    <w:rPr>
      <w:rFonts w:ascii="Times New Roman" w:eastAsia="Times New Roman" w:hAnsi="Times New Roman" w:cs="Times New Roman"/>
      <w:szCs w:val="20"/>
      <w:lang w:val="en-US" w:eastAsia="en-US"/>
    </w:rPr>
  </w:style>
  <w:style w:type="character" w:customStyle="1" w:styleId="FooterChar">
    <w:name w:val="Footer Char"/>
    <w:basedOn w:val="DefaultParagraphFont"/>
    <w:link w:val="Footer"/>
    <w:uiPriority w:val="99"/>
    <w:rsid w:val="00D14776"/>
    <w:rPr>
      <w:rFonts w:ascii="Times New Roman" w:eastAsia="Times New Roman" w:hAnsi="Times New Roman" w:cs="Times New Roman"/>
      <w:sz w:val="20"/>
      <w:szCs w:val="20"/>
      <w:lang w:val="en-US"/>
    </w:rPr>
  </w:style>
  <w:style w:type="character" w:styleId="Hyperlink">
    <w:name w:val="Hyperlink"/>
    <w:uiPriority w:val="99"/>
    <w:rsid w:val="00D14776"/>
    <w:rPr>
      <w:color w:val="0000FF"/>
      <w:u w:val="single"/>
    </w:rPr>
  </w:style>
  <w:style w:type="paragraph" w:styleId="NoSpacing">
    <w:name w:val="No Spacing"/>
    <w:basedOn w:val="ListParagraph"/>
    <w:uiPriority w:val="1"/>
    <w:qFormat/>
    <w:rsid w:val="00A53F74"/>
    <w:pPr>
      <w:numPr>
        <w:numId w:val="25"/>
      </w:numPr>
      <w:ind w:left="723"/>
    </w:pPr>
    <w:rPr>
      <w:shd w:val="clear" w:color="auto" w:fill="FFFFFF"/>
    </w:rPr>
  </w:style>
  <w:style w:type="paragraph" w:styleId="BalloonText">
    <w:name w:val="Balloon Text"/>
    <w:basedOn w:val="Normal"/>
    <w:link w:val="BalloonTextChar"/>
    <w:uiPriority w:val="99"/>
    <w:semiHidden/>
    <w:unhideWhenUsed/>
    <w:rsid w:val="00FD1B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B4F"/>
    <w:rPr>
      <w:rFonts w:ascii="Segoe UI" w:hAnsi="Segoe UI" w:cs="Segoe UI"/>
      <w:sz w:val="18"/>
      <w:szCs w:val="18"/>
      <w:lang w:eastAsia="en-AU"/>
    </w:rPr>
  </w:style>
  <w:style w:type="character" w:styleId="CommentReference">
    <w:name w:val="annotation reference"/>
    <w:basedOn w:val="DefaultParagraphFont"/>
    <w:uiPriority w:val="99"/>
    <w:semiHidden/>
    <w:unhideWhenUsed/>
    <w:rsid w:val="0001619D"/>
    <w:rPr>
      <w:sz w:val="16"/>
      <w:szCs w:val="16"/>
    </w:rPr>
  </w:style>
  <w:style w:type="paragraph" w:styleId="CommentText">
    <w:name w:val="annotation text"/>
    <w:basedOn w:val="Normal"/>
    <w:link w:val="CommentTextChar"/>
    <w:uiPriority w:val="99"/>
    <w:unhideWhenUsed/>
    <w:rsid w:val="0001619D"/>
    <w:pPr>
      <w:spacing w:line="240" w:lineRule="auto"/>
    </w:pPr>
    <w:rPr>
      <w:sz w:val="20"/>
      <w:szCs w:val="20"/>
    </w:rPr>
  </w:style>
  <w:style w:type="character" w:customStyle="1" w:styleId="CommentTextChar">
    <w:name w:val="Comment Text Char"/>
    <w:basedOn w:val="DefaultParagraphFont"/>
    <w:link w:val="CommentText"/>
    <w:uiPriority w:val="99"/>
    <w:rsid w:val="0001619D"/>
    <w:rPr>
      <w:rFonts w:ascii="Garamond" w:hAnsi="Garamond"/>
      <w:sz w:val="20"/>
      <w:szCs w:val="20"/>
      <w:lang w:eastAsia="en-AU"/>
    </w:rPr>
  </w:style>
  <w:style w:type="paragraph" w:styleId="CommentSubject">
    <w:name w:val="annotation subject"/>
    <w:basedOn w:val="CommentText"/>
    <w:next w:val="CommentText"/>
    <w:link w:val="CommentSubjectChar"/>
    <w:uiPriority w:val="99"/>
    <w:semiHidden/>
    <w:unhideWhenUsed/>
    <w:rsid w:val="0001619D"/>
    <w:rPr>
      <w:b/>
      <w:bCs/>
    </w:rPr>
  </w:style>
  <w:style w:type="character" w:customStyle="1" w:styleId="CommentSubjectChar">
    <w:name w:val="Comment Subject Char"/>
    <w:basedOn w:val="CommentTextChar"/>
    <w:link w:val="CommentSubject"/>
    <w:uiPriority w:val="99"/>
    <w:semiHidden/>
    <w:rsid w:val="0001619D"/>
    <w:rPr>
      <w:rFonts w:ascii="Garamond" w:hAnsi="Garamond"/>
      <w:b/>
      <w:bCs/>
      <w:sz w:val="20"/>
      <w:szCs w:val="20"/>
      <w:lang w:eastAsia="en-AU"/>
    </w:rPr>
  </w:style>
  <w:style w:type="table" w:styleId="TableGrid">
    <w:name w:val="Table Grid"/>
    <w:basedOn w:val="TableNormal"/>
    <w:uiPriority w:val="59"/>
    <w:rsid w:val="00CD2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507C3"/>
    <w:rPr>
      <w:color w:val="808080"/>
    </w:rPr>
  </w:style>
  <w:style w:type="table" w:styleId="ListTable3-Accent1">
    <w:name w:val="List Table 3 Accent 1"/>
    <w:basedOn w:val="TableNormal"/>
    <w:uiPriority w:val="48"/>
    <w:rsid w:val="00A53F74"/>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SubtleEmphasis">
    <w:name w:val="Subtle Emphasis"/>
    <w:basedOn w:val="DefaultParagraphFont"/>
    <w:uiPriority w:val="19"/>
    <w:qFormat/>
    <w:rsid w:val="00C000BA"/>
    <w:rPr>
      <w:i/>
      <w:iCs/>
      <w:color w:val="404040" w:themeColor="text1" w:themeTint="BF"/>
    </w:rPr>
  </w:style>
  <w:style w:type="character" w:styleId="Emphasis">
    <w:name w:val="Emphasis"/>
    <w:basedOn w:val="DefaultParagraphFont"/>
    <w:uiPriority w:val="20"/>
    <w:qFormat/>
    <w:rsid w:val="00C000BA"/>
    <w:rPr>
      <w:i/>
      <w:iCs/>
    </w:rPr>
  </w:style>
  <w:style w:type="paragraph" w:styleId="Caption">
    <w:name w:val="caption"/>
    <w:basedOn w:val="Normal"/>
    <w:next w:val="Normal"/>
    <w:uiPriority w:val="35"/>
    <w:unhideWhenUsed/>
    <w:qFormat/>
    <w:rsid w:val="00C000BA"/>
    <w:pPr>
      <w:spacing w:before="0" w:after="200" w:line="240" w:lineRule="auto"/>
    </w:pPr>
    <w:rPr>
      <w:i/>
      <w:iCs/>
      <w:color w:val="1F497D" w:themeColor="text2"/>
      <w:sz w:val="18"/>
      <w:szCs w:val="18"/>
    </w:rPr>
  </w:style>
  <w:style w:type="character" w:styleId="Strong">
    <w:name w:val="Strong"/>
    <w:basedOn w:val="DefaultParagraphFont"/>
    <w:uiPriority w:val="22"/>
    <w:qFormat/>
    <w:rsid w:val="00BE0113"/>
    <w:rPr>
      <w:b/>
      <w:bCs/>
    </w:rPr>
  </w:style>
  <w:style w:type="character" w:customStyle="1" w:styleId="UnresolvedMention1">
    <w:name w:val="Unresolved Mention1"/>
    <w:basedOn w:val="DefaultParagraphFont"/>
    <w:uiPriority w:val="99"/>
    <w:semiHidden/>
    <w:unhideWhenUsed/>
    <w:rsid w:val="009E03DB"/>
    <w:rPr>
      <w:color w:val="605E5C"/>
      <w:shd w:val="clear" w:color="auto" w:fill="E1DFDD"/>
    </w:rPr>
  </w:style>
  <w:style w:type="paragraph" w:customStyle="1" w:styleId="Default">
    <w:name w:val="Default"/>
    <w:rsid w:val="00644CD8"/>
    <w:pPr>
      <w:autoSpaceDE w:val="0"/>
      <w:autoSpaceDN w:val="0"/>
      <w:adjustRightInd w:val="0"/>
      <w:spacing w:after="0" w:line="240" w:lineRule="auto"/>
      <w:ind w:hanging="357"/>
      <w:jc w:val="both"/>
    </w:pPr>
    <w:rPr>
      <w:rFonts w:ascii="Arial" w:eastAsia="Times New Roman" w:hAnsi="Arial" w:cs="Arial"/>
      <w:color w:val="000000"/>
      <w:sz w:val="24"/>
      <w:szCs w:val="24"/>
      <w:lang w:eastAsia="en-AU"/>
    </w:rPr>
  </w:style>
  <w:style w:type="character" w:styleId="FollowedHyperlink">
    <w:name w:val="FollowedHyperlink"/>
    <w:basedOn w:val="DefaultParagraphFont"/>
    <w:uiPriority w:val="99"/>
    <w:semiHidden/>
    <w:unhideWhenUsed/>
    <w:rsid w:val="0036492E"/>
    <w:rPr>
      <w:color w:val="800080" w:themeColor="followedHyperlink"/>
      <w:u w:val="single"/>
    </w:rPr>
  </w:style>
  <w:style w:type="paragraph" w:styleId="Revision">
    <w:name w:val="Revision"/>
    <w:hidden/>
    <w:uiPriority w:val="99"/>
    <w:semiHidden/>
    <w:rsid w:val="00256BC9"/>
    <w:pPr>
      <w:spacing w:after="0" w:line="240" w:lineRule="auto"/>
    </w:pPr>
    <w:rPr>
      <w:rFonts w:ascii="Arial"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758133">
      <w:bodyDiv w:val="1"/>
      <w:marLeft w:val="0"/>
      <w:marRight w:val="0"/>
      <w:marTop w:val="0"/>
      <w:marBottom w:val="0"/>
      <w:divBdr>
        <w:top w:val="none" w:sz="0" w:space="0" w:color="auto"/>
        <w:left w:val="none" w:sz="0" w:space="0" w:color="auto"/>
        <w:bottom w:val="none" w:sz="0" w:space="0" w:color="auto"/>
        <w:right w:val="none" w:sz="0" w:space="0" w:color="auto"/>
      </w:divBdr>
    </w:div>
    <w:div w:id="204459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1.health.gov.au/internet/main/publishing.nsf/Content/cda-surveil-nndss-casedefs-cd_gono.htm" TargetMode="External"/><Relationship Id="rId18" Type="http://schemas.openxmlformats.org/officeDocument/2006/relationships/hyperlink" Target="https://www1.health.gov.au/internet/main/publishing.nsf/Content/cda-surveil-nndss-casedefs-cd_gono.htm" TargetMode="External"/><Relationship Id="rId26" Type="http://schemas.openxmlformats.org/officeDocument/2006/relationships/hyperlink" Target="https://doi.org/10.1093/jac/dkw288"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1.health.gov.au/internet/main/publishing.nsf/Content/063E816933017261CA2583F300074085/$File/Gonococcal-Infection.pdf" TargetMode="External"/><Relationship Id="rId17" Type="http://schemas.openxmlformats.org/officeDocument/2006/relationships/hyperlink" Target="https://www1.health.gov.au/internet/main/publishing.nsf/Content/cda-cdi3901-pdf-cnt.htm/$FILE/cdi3901f.pdf" TargetMode="External"/><Relationship Id="rId25" Type="http://schemas.openxmlformats.org/officeDocument/2006/relationships/hyperlink" Target="https://apps.who.int/iris/handle/10665/85343" TargetMode="External"/><Relationship Id="rId2" Type="http://schemas.openxmlformats.org/officeDocument/2006/relationships/customXml" Target="../customXml/item2.xml"/><Relationship Id="rId16" Type="http://schemas.openxmlformats.org/officeDocument/2006/relationships/hyperlink" Target="https://kirby.unsw.edu.au/report-type/annual-reports"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au/internet/main/publishing.nsf/Content/cdna-casedefinitions.htm" TargetMode="External"/><Relationship Id="rId24" Type="http://schemas.openxmlformats.org/officeDocument/2006/relationships/hyperlink" Target="https://www.who.int/reproductivehealth/publications/rtis/9789241505840" TargetMode="External"/><Relationship Id="rId5" Type="http://schemas.openxmlformats.org/officeDocument/2006/relationships/numbering" Target="numbering.xml"/><Relationship Id="rId15" Type="http://schemas.openxmlformats.org/officeDocument/2006/relationships/hyperlink" Target="https://www1.health.gov.au/internet/main/publishing.nsf/Content/cda-pubs-annlrpt-gonoanrep.htm" TargetMode="External"/><Relationship Id="rId23" Type="http://schemas.openxmlformats.org/officeDocument/2006/relationships/hyperlink" Target="https://www.kirby.unsw.edu.au/sites/default/files/documents/Annual-Surveillance-Report-2022_STI.pdf"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i.guidelines.org.au/sexually-transmissible-infections/gonorrhoea" TargetMode="External"/><Relationship Id="rId22" Type="http://schemas.openxmlformats.org/officeDocument/2006/relationships/hyperlink" Target="https://nindss.health.gov.au/pbi-dashboard/" TargetMode="External"/><Relationship Id="rId27" Type="http://schemas.openxmlformats.org/officeDocument/2006/relationships/hyperlink" Target="https://www1.health.gov.au/internet/main/publishing.nsf/Content/cda-pubs-annlrpt-gonoanrep.htm" TargetMode="Externa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90EE60B5B1456EBD82805A4662F7E0"/>
        <w:category>
          <w:name w:val="General"/>
          <w:gallery w:val="placeholder"/>
        </w:category>
        <w:types>
          <w:type w:val="bbPlcHdr"/>
        </w:types>
        <w:behaviors>
          <w:behavior w:val="content"/>
        </w:behaviors>
        <w:guid w:val="{FC134BA9-ADD8-4015-8CEE-831C21BD8D7B}"/>
      </w:docPartPr>
      <w:docPartBody>
        <w:p w:rsidR="00942B94" w:rsidRDefault="00942B94" w:rsidP="00942B94">
          <w:pPr>
            <w:pStyle w:val="AA90EE60B5B1456EBD82805A4662F7E014"/>
          </w:pPr>
          <w:r>
            <w:rPr>
              <w:rStyle w:val="PlaceholderText"/>
            </w:rPr>
            <w:t>[Detection/isolation]</w:t>
          </w:r>
        </w:p>
      </w:docPartBody>
    </w:docPart>
    <w:docPart>
      <w:docPartPr>
        <w:name w:val="E197EC56741549E0B23ED4A691CD8BD9"/>
        <w:category>
          <w:name w:val="General"/>
          <w:gallery w:val="placeholder"/>
        </w:category>
        <w:types>
          <w:type w:val="bbPlcHdr"/>
        </w:types>
        <w:behaviors>
          <w:behavior w:val="content"/>
        </w:behaviors>
        <w:guid w:val="{CE89A46E-6CAE-4DE9-BD55-56A02DD8F768}"/>
      </w:docPartPr>
      <w:docPartBody>
        <w:p w:rsidR="00942B94" w:rsidRDefault="00942B94" w:rsidP="00942B94">
          <w:pPr>
            <w:pStyle w:val="E197EC56741549E0B23ED4A691CD8BD914"/>
          </w:pPr>
          <w:r>
            <w:rPr>
              <w:rStyle w:val="PlaceholderText"/>
            </w:rPr>
            <w:t>[infectious agent]</w:t>
          </w:r>
        </w:p>
      </w:docPartBody>
    </w:docPart>
    <w:docPart>
      <w:docPartPr>
        <w:name w:val="1EC059E242854C2C890715A2B050A733"/>
        <w:category>
          <w:name w:val="General"/>
          <w:gallery w:val="placeholder"/>
        </w:category>
        <w:types>
          <w:type w:val="bbPlcHdr"/>
        </w:types>
        <w:behaviors>
          <w:behavior w:val="content"/>
        </w:behaviors>
        <w:guid w:val="{A4EBD23E-C9B2-4CD4-BF5A-81D2F074E736}"/>
      </w:docPartPr>
      <w:docPartBody>
        <w:p w:rsidR="00942B94" w:rsidRDefault="00942B94" w:rsidP="00942B94">
          <w:pPr>
            <w:pStyle w:val="1EC059E242854C2C890715A2B050A73314"/>
          </w:pPr>
          <w:r>
            <w:rPr>
              <w:rStyle w:val="PlaceholderText"/>
            </w:rPr>
            <w:t>[method]</w:t>
          </w:r>
        </w:p>
      </w:docPartBody>
    </w:docPart>
    <w:docPart>
      <w:docPartPr>
        <w:name w:val="DEDEA9DEAD6C454FAFD16F9CDC170AB5"/>
        <w:category>
          <w:name w:val="General"/>
          <w:gallery w:val="placeholder"/>
        </w:category>
        <w:types>
          <w:type w:val="bbPlcHdr"/>
        </w:types>
        <w:behaviors>
          <w:behavior w:val="content"/>
        </w:behaviors>
        <w:guid w:val="{9FF1AA6D-4AFF-4449-AD32-F527DE7D7DA9}"/>
      </w:docPartPr>
      <w:docPartBody>
        <w:p w:rsidR="00942B94" w:rsidRDefault="00942B94" w:rsidP="00942B94">
          <w:pPr>
            <w:pStyle w:val="DEDEA9DEAD6C454FAFD16F9CDC170AB514"/>
          </w:pPr>
          <w:r>
            <w:rPr>
              <w:rStyle w:val="PlaceholderText"/>
            </w:rPr>
            <w:t>[and/or]</w:t>
          </w:r>
        </w:p>
      </w:docPartBody>
    </w:docPart>
    <w:docPart>
      <w:docPartPr>
        <w:name w:val="0C2221E770004440933232844AF9A58A"/>
        <w:category>
          <w:name w:val="General"/>
          <w:gallery w:val="placeholder"/>
        </w:category>
        <w:types>
          <w:type w:val="bbPlcHdr"/>
        </w:types>
        <w:behaviors>
          <w:behavior w:val="content"/>
        </w:behaviors>
        <w:guid w:val="{FFD0B42F-8773-458D-A650-7A40FA7D283C}"/>
      </w:docPartPr>
      <w:docPartBody>
        <w:p w:rsidR="00942B94" w:rsidRDefault="00942B94" w:rsidP="00942B94">
          <w:pPr>
            <w:pStyle w:val="0C2221E770004440933232844AF9A58A14"/>
          </w:pPr>
          <w:r>
            <w:rPr>
              <w:rStyle w:val="PlaceholderText"/>
            </w:rPr>
            <w:t>[Detection/isolation]</w:t>
          </w:r>
        </w:p>
      </w:docPartBody>
    </w:docPart>
    <w:docPart>
      <w:docPartPr>
        <w:name w:val="AB2B279A0BCD4C7C809D8550E8264AC9"/>
        <w:category>
          <w:name w:val="General"/>
          <w:gallery w:val="placeholder"/>
        </w:category>
        <w:types>
          <w:type w:val="bbPlcHdr"/>
        </w:types>
        <w:behaviors>
          <w:behavior w:val="content"/>
        </w:behaviors>
        <w:guid w:val="{F3E70903-7733-4CDD-A707-08900B6F6DA4}"/>
      </w:docPartPr>
      <w:docPartBody>
        <w:p w:rsidR="00942B94" w:rsidRDefault="00942B94" w:rsidP="00942B94">
          <w:pPr>
            <w:pStyle w:val="AB2B279A0BCD4C7C809D8550E8264AC914"/>
          </w:pPr>
          <w:r>
            <w:rPr>
              <w:rStyle w:val="PlaceholderText"/>
            </w:rPr>
            <w:t>[infectious agent]</w:t>
          </w:r>
        </w:p>
      </w:docPartBody>
    </w:docPart>
    <w:docPart>
      <w:docPartPr>
        <w:name w:val="80F657076B724443A63E813CEAA65DE6"/>
        <w:category>
          <w:name w:val="General"/>
          <w:gallery w:val="placeholder"/>
        </w:category>
        <w:types>
          <w:type w:val="bbPlcHdr"/>
        </w:types>
        <w:behaviors>
          <w:behavior w:val="content"/>
        </w:behaviors>
        <w:guid w:val="{18011D73-E31B-4980-8025-8075BA4D2C75}"/>
      </w:docPartPr>
      <w:docPartBody>
        <w:p w:rsidR="00942B94" w:rsidRDefault="00942B94" w:rsidP="00942B94">
          <w:pPr>
            <w:pStyle w:val="80F657076B724443A63E813CEAA65DE614"/>
          </w:pPr>
          <w:r>
            <w:rPr>
              <w:rStyle w:val="PlaceholderText"/>
            </w:rPr>
            <w:t>[method]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92D4A"/>
    <w:multiLevelType w:val="multilevel"/>
    <w:tmpl w:val="668A3C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3033CFF"/>
    <w:multiLevelType w:val="multilevel"/>
    <w:tmpl w:val="9FC250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13639224">
    <w:abstractNumId w:val="1"/>
  </w:num>
  <w:num w:numId="2" w16cid:durableId="1334184590">
    <w:abstractNumId w:val="0"/>
  </w:num>
  <w:num w:numId="3" w16cid:durableId="20105987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C58"/>
    <w:rsid w:val="00032AB0"/>
    <w:rsid w:val="001D42F4"/>
    <w:rsid w:val="00213632"/>
    <w:rsid w:val="00424158"/>
    <w:rsid w:val="005B52EA"/>
    <w:rsid w:val="006904E8"/>
    <w:rsid w:val="008578F5"/>
    <w:rsid w:val="008A0412"/>
    <w:rsid w:val="008C1C58"/>
    <w:rsid w:val="00942B94"/>
    <w:rsid w:val="00A21BAA"/>
    <w:rsid w:val="00A442CF"/>
    <w:rsid w:val="00B32B36"/>
    <w:rsid w:val="00C07858"/>
    <w:rsid w:val="00C254D1"/>
    <w:rsid w:val="00CF34CF"/>
    <w:rsid w:val="00D577DE"/>
    <w:rsid w:val="00EB2DCB"/>
    <w:rsid w:val="00ED1725"/>
    <w:rsid w:val="00FA7E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4E8"/>
    <w:rPr>
      <w:color w:val="808080"/>
    </w:rPr>
  </w:style>
  <w:style w:type="paragraph" w:customStyle="1" w:styleId="AA90EE60B5B1456EBD82805A4662F7E014">
    <w:name w:val="AA90EE60B5B1456EBD82805A4662F7E014"/>
    <w:rsid w:val="00942B94"/>
    <w:pPr>
      <w:tabs>
        <w:tab w:val="num" w:pos="720"/>
      </w:tabs>
      <w:spacing w:before="240" w:after="240" w:line="360" w:lineRule="auto"/>
      <w:ind w:left="723" w:hanging="360"/>
    </w:pPr>
    <w:rPr>
      <w:rFonts w:ascii="Arial" w:eastAsiaTheme="minorHAnsi" w:hAnsi="Arial" w:cs="Arial"/>
      <w:shd w:val="clear" w:color="auto" w:fill="FFFFFF"/>
    </w:rPr>
  </w:style>
  <w:style w:type="paragraph" w:customStyle="1" w:styleId="E197EC56741549E0B23ED4A691CD8BD914">
    <w:name w:val="E197EC56741549E0B23ED4A691CD8BD914"/>
    <w:rsid w:val="00942B94"/>
    <w:pPr>
      <w:tabs>
        <w:tab w:val="num" w:pos="720"/>
      </w:tabs>
      <w:spacing w:before="240" w:after="240" w:line="360" w:lineRule="auto"/>
      <w:ind w:left="723" w:hanging="360"/>
    </w:pPr>
    <w:rPr>
      <w:rFonts w:ascii="Arial" w:eastAsiaTheme="minorHAnsi" w:hAnsi="Arial" w:cs="Arial"/>
      <w:shd w:val="clear" w:color="auto" w:fill="FFFFFF"/>
    </w:rPr>
  </w:style>
  <w:style w:type="paragraph" w:customStyle="1" w:styleId="1EC059E242854C2C890715A2B050A73314">
    <w:name w:val="1EC059E242854C2C890715A2B050A73314"/>
    <w:rsid w:val="00942B94"/>
    <w:pPr>
      <w:tabs>
        <w:tab w:val="num" w:pos="720"/>
      </w:tabs>
      <w:spacing w:before="240" w:after="240" w:line="360" w:lineRule="auto"/>
      <w:ind w:left="723" w:hanging="360"/>
    </w:pPr>
    <w:rPr>
      <w:rFonts w:ascii="Arial" w:eastAsiaTheme="minorHAnsi" w:hAnsi="Arial" w:cs="Arial"/>
      <w:shd w:val="clear" w:color="auto" w:fill="FFFFFF"/>
    </w:rPr>
  </w:style>
  <w:style w:type="paragraph" w:customStyle="1" w:styleId="DEDEA9DEAD6C454FAFD16F9CDC170AB514">
    <w:name w:val="DEDEA9DEAD6C454FAFD16F9CDC170AB514"/>
    <w:rsid w:val="00942B94"/>
    <w:pPr>
      <w:tabs>
        <w:tab w:val="num" w:pos="720"/>
      </w:tabs>
      <w:spacing w:before="240" w:after="240" w:line="360" w:lineRule="auto"/>
      <w:ind w:left="723" w:hanging="360"/>
    </w:pPr>
    <w:rPr>
      <w:rFonts w:ascii="Arial" w:eastAsiaTheme="minorHAnsi" w:hAnsi="Arial" w:cs="Arial"/>
      <w:shd w:val="clear" w:color="auto" w:fill="FFFFFF"/>
    </w:rPr>
  </w:style>
  <w:style w:type="paragraph" w:customStyle="1" w:styleId="0C2221E770004440933232844AF9A58A14">
    <w:name w:val="0C2221E770004440933232844AF9A58A14"/>
    <w:rsid w:val="00942B94"/>
    <w:pPr>
      <w:tabs>
        <w:tab w:val="num" w:pos="720"/>
      </w:tabs>
      <w:spacing w:before="240" w:after="240" w:line="360" w:lineRule="auto"/>
      <w:ind w:left="723" w:hanging="360"/>
    </w:pPr>
    <w:rPr>
      <w:rFonts w:ascii="Arial" w:eastAsiaTheme="minorHAnsi" w:hAnsi="Arial" w:cs="Arial"/>
      <w:shd w:val="clear" w:color="auto" w:fill="FFFFFF"/>
    </w:rPr>
  </w:style>
  <w:style w:type="paragraph" w:customStyle="1" w:styleId="AB2B279A0BCD4C7C809D8550E8264AC914">
    <w:name w:val="AB2B279A0BCD4C7C809D8550E8264AC914"/>
    <w:rsid w:val="00942B94"/>
    <w:pPr>
      <w:tabs>
        <w:tab w:val="num" w:pos="720"/>
      </w:tabs>
      <w:spacing w:before="240" w:after="240" w:line="360" w:lineRule="auto"/>
      <w:ind w:left="723" w:hanging="360"/>
    </w:pPr>
    <w:rPr>
      <w:rFonts w:ascii="Arial" w:eastAsiaTheme="minorHAnsi" w:hAnsi="Arial" w:cs="Arial"/>
      <w:shd w:val="clear" w:color="auto" w:fill="FFFFFF"/>
    </w:rPr>
  </w:style>
  <w:style w:type="paragraph" w:customStyle="1" w:styleId="80F657076B724443A63E813CEAA65DE614">
    <w:name w:val="80F657076B724443A63E813CEAA65DE614"/>
    <w:rsid w:val="00942B94"/>
    <w:pPr>
      <w:tabs>
        <w:tab w:val="num" w:pos="720"/>
      </w:tabs>
      <w:spacing w:before="240" w:after="240" w:line="360" w:lineRule="auto"/>
      <w:ind w:left="723" w:hanging="360"/>
    </w:pPr>
    <w:rPr>
      <w:rFonts w:ascii="Arial" w:eastAsiaTheme="minorHAnsi" w:hAnsi="Arial" w:cs="Arial"/>
      <w:shd w:val="clear" w:color="auto" w:fill="FFFFFF"/>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F22E431BBE12409AFF64C86A6197B7" ma:contentTypeVersion="7" ma:contentTypeDescription="Create a new document." ma:contentTypeScope="" ma:versionID="b0cb394a09027cb113278862a58f0b25">
  <xsd:schema xmlns:xsd="http://www.w3.org/2001/XMLSchema" xmlns:xs="http://www.w3.org/2001/XMLSchema" xmlns:p="http://schemas.microsoft.com/office/2006/metadata/properties" xmlns:ns2="0ebf5690-dfa9-46aa-9761-8b851342f711" xmlns:ns3="d48bfc06-5762-4cfb-85f8-969387ebc8ab" targetNamespace="http://schemas.microsoft.com/office/2006/metadata/properties" ma:root="true" ma:fieldsID="c91a5327445b8a4e39ca9aa0430f10cc" ns2:_="" ns3:_="">
    <xsd:import namespace="0ebf5690-dfa9-46aa-9761-8b851342f711"/>
    <xsd:import namespace="d48bfc06-5762-4cfb-85f8-969387ebc8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f5690-dfa9-46aa-9761-8b851342f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8bfc06-5762-4cfb-85f8-969387ebc8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F378D-1A33-4470-9E24-E29334E150A9}">
  <ds:schemaRefs>
    <ds:schemaRef ds:uri="http://schemas.microsoft.com/sharepoint/v3/contenttype/forms"/>
  </ds:schemaRefs>
</ds:datastoreItem>
</file>

<file path=customXml/itemProps2.xml><?xml version="1.0" encoding="utf-8"?>
<ds:datastoreItem xmlns:ds="http://schemas.openxmlformats.org/officeDocument/2006/customXml" ds:itemID="{65460147-F05C-4F13-9872-256A425961F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ebf5690-dfa9-46aa-9761-8b851342f711"/>
    <ds:schemaRef ds:uri="http://purl.org/dc/terms/"/>
    <ds:schemaRef ds:uri="d48bfc06-5762-4cfb-85f8-969387ebc8ab"/>
    <ds:schemaRef ds:uri="http://www.w3.org/XML/1998/namespace"/>
    <ds:schemaRef ds:uri="http://purl.org/dc/dcmitype/"/>
  </ds:schemaRefs>
</ds:datastoreItem>
</file>

<file path=customXml/itemProps3.xml><?xml version="1.0" encoding="utf-8"?>
<ds:datastoreItem xmlns:ds="http://schemas.openxmlformats.org/officeDocument/2006/customXml" ds:itemID="{5429D32E-F1A2-4B0C-90F1-45989BFDF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f5690-dfa9-46aa-9761-8b851342f711"/>
    <ds:schemaRef ds:uri="d48bfc06-5762-4cfb-85f8-969387ebc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304398-CB88-4DAD-8557-A9DBF09F1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3129</Words>
  <Characters>21124</Characters>
  <Application>Microsoft Office Word</Application>
  <DocSecurity>4</DocSecurity>
  <Lines>396</Lines>
  <Paragraphs>190</Paragraphs>
  <ScaleCrop>false</ScaleCrop>
  <HeadingPairs>
    <vt:vector size="2" baseType="variant">
      <vt:variant>
        <vt:lpstr>Title</vt:lpstr>
      </vt:variant>
      <vt:variant>
        <vt:i4>1</vt:i4>
      </vt:variant>
    </vt:vector>
  </HeadingPairs>
  <TitlesOfParts>
    <vt:vector size="1" baseType="lpstr">
      <vt:lpstr>Gonococcal infection – Laboratory case definition</vt:lpstr>
    </vt:vector>
  </TitlesOfParts>
  <Company/>
  <LinksUpToDate>false</LinksUpToDate>
  <CharactersWithSpaces>24196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Gonococcal infection – Laboratory case definition</dc:title>
  <dc:subject>Gonococcal</dc:subject>
  <dc:creator>Australian Government Department of Health and Aged Care</dc:creator>
  <cp:keywords>Public Health Laboratory Network (PHLN); Communicable diseases</cp:keywords>
  <dc:description/>
  <cp:revision>2</cp:revision>
  <cp:lastPrinted>2021-07-01T01:09:00Z</cp:lastPrinted>
  <dcterms:created xsi:type="dcterms:W3CDTF">2024-01-15T04:58:00Z</dcterms:created>
  <dcterms:modified xsi:type="dcterms:W3CDTF">2024-01-15T04:58:00Z</dcterms:modified>
</cp:coreProperties>
</file>