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2.xml" ContentType="application/vnd.openxmlformats-officedocument.drawingml.chartshapes+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53060C" w14:textId="6B9D913E" w:rsidR="006840B3" w:rsidRPr="008E2604" w:rsidRDefault="000574AD" w:rsidP="008E2604">
      <w:r w:rsidRPr="008E2604">
        <w:rPr>
          <w:noProof/>
        </w:rPr>
        <w:drawing>
          <wp:anchor distT="0" distB="0" distL="114300" distR="114300" simplePos="0" relativeHeight="251698176" behindDoc="0" locked="0" layoutInCell="1" allowOverlap="1" wp14:anchorId="16D9ECA4" wp14:editId="13DBDBE5">
            <wp:simplePos x="0" y="0"/>
            <wp:positionH relativeFrom="page">
              <wp:align>right</wp:align>
            </wp:positionH>
            <wp:positionV relativeFrom="paragraph">
              <wp:posOffset>-1079379</wp:posOffset>
            </wp:positionV>
            <wp:extent cx="7554097" cy="10683176"/>
            <wp:effectExtent l="0" t="0" r="8890" b="4445"/>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4097" cy="10683176"/>
                    </a:xfrm>
                    <a:prstGeom prst="rect">
                      <a:avLst/>
                    </a:prstGeom>
                  </pic:spPr>
                </pic:pic>
              </a:graphicData>
            </a:graphic>
            <wp14:sizeRelH relativeFrom="margin">
              <wp14:pctWidth>0</wp14:pctWidth>
            </wp14:sizeRelH>
            <wp14:sizeRelV relativeFrom="margin">
              <wp14:pctHeight>0</wp14:pctHeight>
            </wp14:sizeRelV>
          </wp:anchor>
        </w:drawing>
      </w:r>
      <w:r w:rsidR="006840B3" w:rsidRPr="008E2604">
        <w:br w:type="page"/>
      </w:r>
    </w:p>
    <w:p w14:paraId="3DD30E61" w14:textId="77777777" w:rsidR="00D0690C" w:rsidRDefault="00D0690C" w:rsidP="004F075D">
      <w:pPr>
        <w:pStyle w:val="SectionTitle"/>
        <w:sectPr w:rsidR="00D0690C" w:rsidSect="00A86E33">
          <w:headerReference w:type="even" r:id="rId12"/>
          <w:headerReference w:type="default" r:id="rId13"/>
          <w:footerReference w:type="default" r:id="rId14"/>
          <w:pgSz w:w="11906" w:h="16838"/>
          <w:pgMar w:top="1701" w:right="1418" w:bottom="1418" w:left="1418" w:header="709" w:footer="709" w:gutter="0"/>
          <w:cols w:space="708"/>
          <w:docGrid w:linePitch="360"/>
        </w:sectPr>
      </w:pPr>
    </w:p>
    <w:p w14:paraId="5B5A246B" w14:textId="126CC1D4" w:rsidR="000B64C3" w:rsidRPr="00443160" w:rsidRDefault="0043280C" w:rsidP="00443160">
      <w:r>
        <w:rPr>
          <w:b/>
          <w:noProof/>
          <w:sz w:val="60"/>
          <w:szCs w:val="60"/>
        </w:rPr>
        <w:lastRenderedPageBreak/>
        <mc:AlternateContent>
          <mc:Choice Requires="wps">
            <w:drawing>
              <wp:anchor distT="0" distB="0" distL="114300" distR="114300" simplePos="0" relativeHeight="251706368" behindDoc="1" locked="0" layoutInCell="1" allowOverlap="1" wp14:anchorId="715495CA" wp14:editId="4BC9A2B9">
                <wp:simplePos x="0" y="0"/>
                <wp:positionH relativeFrom="page">
                  <wp:align>left</wp:align>
                </wp:positionH>
                <wp:positionV relativeFrom="paragraph">
                  <wp:posOffset>-1159344</wp:posOffset>
                </wp:positionV>
                <wp:extent cx="7545788" cy="10789920"/>
                <wp:effectExtent l="0" t="0" r="17145" b="11430"/>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5788" cy="107899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3B9181" id="Rectangle 13" o:spid="_x0000_s1026" alt="&quot;&quot;" style="position:absolute;margin-left:0;margin-top:-91.3pt;width:594.15pt;height:849.6pt;z-index:-25161011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" fillcolor="#2ab1bb [3204]" strokecolor="#15575d [1604]" strokeweight="2pt">
                <w10:wrap anchorx="page"/>
              </v:rect>
            </w:pict>
          </mc:Fallback>
        </mc:AlternateContent>
      </w:r>
      <w:r w:rsidR="000B64C3">
        <w:rPr>
          <w:b/>
          <w:sz w:val="60"/>
          <w:szCs w:val="60"/>
        </w:rPr>
        <w:br w:type="page"/>
      </w:r>
    </w:p>
    <w:p w14:paraId="23100B7D" w14:textId="2EDC7AA7" w:rsidR="00B44EFB" w:rsidRPr="002A2E5B" w:rsidRDefault="00B44EFB" w:rsidP="002A2E5B">
      <w:pPr>
        <w:pStyle w:val="Heading1nonumber"/>
      </w:pPr>
      <w:r w:rsidRPr="002A2E5B">
        <w:lastRenderedPageBreak/>
        <w:t>Contents</w:t>
      </w:r>
    </w:p>
    <w:sdt>
      <w:sdtPr>
        <w:rPr>
          <w:b w:val="0"/>
          <w:bCs w:val="0"/>
          <w:szCs w:val="24"/>
        </w:rPr>
        <w:id w:val="1277214992"/>
        <w:docPartObj>
          <w:docPartGallery w:val="Table of Contents"/>
          <w:docPartUnique/>
        </w:docPartObj>
      </w:sdtPr>
      <w:sdtEndPr>
        <w:rPr>
          <w:noProof/>
        </w:rPr>
      </w:sdtEndPr>
      <w:sdtContent>
        <w:p w14:paraId="409F5A0C" w14:textId="0F7EBE85" w:rsidR="00823630" w:rsidRDefault="003360BA" w:rsidP="00443160">
          <w:pPr>
            <w:pStyle w:val="TOC1"/>
            <w:rPr>
              <w:rFonts w:asciiTheme="minorHAnsi" w:eastAsiaTheme="minorEastAsia" w:hAnsiTheme="minorHAnsi" w:cstheme="minorBidi"/>
              <w:noProof/>
              <w:color w:val="auto"/>
              <w:kern w:val="2"/>
              <w:sz w:val="22"/>
              <w:szCs w:val="22"/>
              <w:lang w:eastAsia="en-AU"/>
              <w14:ligatures w14:val="standardContextual"/>
            </w:rPr>
          </w:pPr>
          <w:r w:rsidRPr="000E4ABF">
            <w:fldChar w:fldCharType="begin"/>
          </w:r>
          <w:r>
            <w:instrText xml:space="preserve"> TOC \o "1-3" \h \z \u </w:instrText>
          </w:r>
          <w:r w:rsidRPr="000E4ABF">
            <w:fldChar w:fldCharType="separate"/>
          </w:r>
          <w:hyperlink w:anchor="_Toc149245289" w:history="1">
            <w:r w:rsidR="00823630" w:rsidRPr="00357C97">
              <w:rPr>
                <w:rStyle w:val="Hyperlink"/>
                <w:noProof/>
              </w:rPr>
              <w:t>Introduction</w:t>
            </w:r>
            <w:r w:rsidR="00823630">
              <w:rPr>
                <w:noProof/>
                <w:webHidden/>
              </w:rPr>
              <w:tab/>
            </w:r>
            <w:r w:rsidR="00823630">
              <w:rPr>
                <w:noProof/>
                <w:webHidden/>
              </w:rPr>
              <w:fldChar w:fldCharType="begin"/>
            </w:r>
            <w:r w:rsidR="00823630">
              <w:rPr>
                <w:noProof/>
                <w:webHidden/>
              </w:rPr>
              <w:instrText xml:space="preserve"> PAGEREF _Toc149245289 \h </w:instrText>
            </w:r>
            <w:r w:rsidR="00823630">
              <w:rPr>
                <w:noProof/>
                <w:webHidden/>
              </w:rPr>
            </w:r>
            <w:r w:rsidR="00823630">
              <w:rPr>
                <w:noProof/>
                <w:webHidden/>
              </w:rPr>
              <w:fldChar w:fldCharType="separate"/>
            </w:r>
            <w:r w:rsidR="00510AE3">
              <w:rPr>
                <w:noProof/>
                <w:webHidden/>
              </w:rPr>
              <w:t>6</w:t>
            </w:r>
            <w:r w:rsidR="00823630">
              <w:rPr>
                <w:noProof/>
                <w:webHidden/>
              </w:rPr>
              <w:fldChar w:fldCharType="end"/>
            </w:r>
          </w:hyperlink>
        </w:p>
        <w:p w14:paraId="3C4E5A99" w14:textId="24CB4B28" w:rsidR="00823630" w:rsidRDefault="00502D88">
          <w:pPr>
            <w:pStyle w:val="TOC3"/>
            <w:rPr>
              <w:rFonts w:asciiTheme="minorHAnsi" w:eastAsiaTheme="minorEastAsia" w:hAnsiTheme="minorHAnsi" w:cstheme="minorBidi"/>
              <w:color w:val="auto"/>
              <w:kern w:val="2"/>
              <w:sz w:val="22"/>
              <w:szCs w:val="22"/>
              <w:lang w:eastAsia="en-AU"/>
              <w14:ligatures w14:val="standardContextual"/>
            </w:rPr>
          </w:pPr>
          <w:hyperlink w:anchor="_Toc149245290" w:history="1">
            <w:r w:rsidR="00823630" w:rsidRPr="00357C97">
              <w:rPr>
                <w:rStyle w:val="Hyperlink"/>
              </w:rPr>
              <w:t>Summary of findings</w:t>
            </w:r>
            <w:r w:rsidR="00823630">
              <w:rPr>
                <w:webHidden/>
              </w:rPr>
              <w:tab/>
            </w:r>
            <w:r w:rsidR="00823630">
              <w:rPr>
                <w:webHidden/>
              </w:rPr>
              <w:fldChar w:fldCharType="begin"/>
            </w:r>
            <w:r w:rsidR="00823630">
              <w:rPr>
                <w:webHidden/>
              </w:rPr>
              <w:instrText xml:space="preserve"> PAGEREF _Toc149245290 \h </w:instrText>
            </w:r>
            <w:r w:rsidR="00823630">
              <w:rPr>
                <w:webHidden/>
              </w:rPr>
            </w:r>
            <w:r w:rsidR="00823630">
              <w:rPr>
                <w:webHidden/>
              </w:rPr>
              <w:fldChar w:fldCharType="separate"/>
            </w:r>
            <w:r w:rsidR="00510AE3">
              <w:rPr>
                <w:webHidden/>
              </w:rPr>
              <w:t>7</w:t>
            </w:r>
            <w:r w:rsidR="00823630">
              <w:rPr>
                <w:webHidden/>
              </w:rPr>
              <w:fldChar w:fldCharType="end"/>
            </w:r>
          </w:hyperlink>
        </w:p>
        <w:p w14:paraId="24F66A10" w14:textId="02693FE8" w:rsidR="00823630" w:rsidRDefault="00502D88">
          <w:pPr>
            <w:pStyle w:val="TOC2"/>
            <w:rPr>
              <w:rFonts w:asciiTheme="minorHAnsi" w:eastAsiaTheme="minorEastAsia" w:hAnsiTheme="minorHAnsi" w:cstheme="minorBidi"/>
              <w:color w:val="auto"/>
              <w:kern w:val="2"/>
              <w:sz w:val="22"/>
              <w:szCs w:val="22"/>
              <w:lang w:eastAsia="en-AU"/>
              <w14:ligatures w14:val="standardContextual"/>
            </w:rPr>
          </w:pPr>
          <w:hyperlink w:anchor="_Toc149245291" w:history="1">
            <w:r w:rsidR="00823630" w:rsidRPr="00357C97">
              <w:rPr>
                <w:rStyle w:val="Hyperlink"/>
              </w:rPr>
              <w:t>Reforming Australia’s aged care system</w:t>
            </w:r>
            <w:r w:rsidR="00823630">
              <w:rPr>
                <w:webHidden/>
              </w:rPr>
              <w:tab/>
            </w:r>
            <w:r w:rsidR="00823630">
              <w:rPr>
                <w:webHidden/>
              </w:rPr>
              <w:fldChar w:fldCharType="begin"/>
            </w:r>
            <w:r w:rsidR="00823630">
              <w:rPr>
                <w:webHidden/>
              </w:rPr>
              <w:instrText xml:space="preserve"> PAGEREF _Toc149245291 \h </w:instrText>
            </w:r>
            <w:r w:rsidR="00823630">
              <w:rPr>
                <w:webHidden/>
              </w:rPr>
            </w:r>
            <w:r w:rsidR="00823630">
              <w:rPr>
                <w:webHidden/>
              </w:rPr>
              <w:fldChar w:fldCharType="separate"/>
            </w:r>
            <w:r w:rsidR="00510AE3">
              <w:rPr>
                <w:webHidden/>
              </w:rPr>
              <w:t>10</w:t>
            </w:r>
            <w:r w:rsidR="00823630">
              <w:rPr>
                <w:webHidden/>
              </w:rPr>
              <w:fldChar w:fldCharType="end"/>
            </w:r>
          </w:hyperlink>
        </w:p>
        <w:p w14:paraId="1C4FB06C" w14:textId="6716C8DF" w:rsidR="00823630" w:rsidRDefault="00502D88">
          <w:pPr>
            <w:pStyle w:val="TOC3"/>
            <w:rPr>
              <w:rFonts w:asciiTheme="minorHAnsi" w:eastAsiaTheme="minorEastAsia" w:hAnsiTheme="minorHAnsi" w:cstheme="minorBidi"/>
              <w:color w:val="auto"/>
              <w:kern w:val="2"/>
              <w:sz w:val="22"/>
              <w:szCs w:val="22"/>
              <w:lang w:eastAsia="en-AU"/>
              <w14:ligatures w14:val="standardContextual"/>
            </w:rPr>
          </w:pPr>
          <w:hyperlink w:anchor="_Toc149245292" w:history="1">
            <w:r w:rsidR="00823630" w:rsidRPr="00357C97">
              <w:rPr>
                <w:rStyle w:val="Hyperlink"/>
              </w:rPr>
              <w:t>Increased funding for care</w:t>
            </w:r>
            <w:r w:rsidR="00823630">
              <w:rPr>
                <w:webHidden/>
              </w:rPr>
              <w:tab/>
            </w:r>
            <w:r w:rsidR="00823630">
              <w:rPr>
                <w:webHidden/>
              </w:rPr>
              <w:fldChar w:fldCharType="begin"/>
            </w:r>
            <w:r w:rsidR="00823630">
              <w:rPr>
                <w:webHidden/>
              </w:rPr>
              <w:instrText xml:space="preserve"> PAGEREF _Toc149245292 \h </w:instrText>
            </w:r>
            <w:r w:rsidR="00823630">
              <w:rPr>
                <w:webHidden/>
              </w:rPr>
            </w:r>
            <w:r w:rsidR="00823630">
              <w:rPr>
                <w:webHidden/>
              </w:rPr>
              <w:fldChar w:fldCharType="separate"/>
            </w:r>
            <w:r w:rsidR="00510AE3">
              <w:rPr>
                <w:webHidden/>
              </w:rPr>
              <w:t>10</w:t>
            </w:r>
            <w:r w:rsidR="00823630">
              <w:rPr>
                <w:webHidden/>
              </w:rPr>
              <w:fldChar w:fldCharType="end"/>
            </w:r>
          </w:hyperlink>
        </w:p>
        <w:p w14:paraId="382FD316" w14:textId="0C88E5C7" w:rsidR="00823630" w:rsidRDefault="00502D88">
          <w:pPr>
            <w:pStyle w:val="TOC3"/>
            <w:rPr>
              <w:rFonts w:asciiTheme="minorHAnsi" w:eastAsiaTheme="minorEastAsia" w:hAnsiTheme="minorHAnsi" w:cstheme="minorBidi"/>
              <w:color w:val="auto"/>
              <w:kern w:val="2"/>
              <w:sz w:val="22"/>
              <w:szCs w:val="22"/>
              <w:lang w:eastAsia="en-AU"/>
              <w14:ligatures w14:val="standardContextual"/>
            </w:rPr>
          </w:pPr>
          <w:hyperlink w:anchor="_Toc149245293" w:history="1">
            <w:r w:rsidR="00823630" w:rsidRPr="00357C97">
              <w:rPr>
                <w:rStyle w:val="Hyperlink"/>
              </w:rPr>
              <w:t>Fair pay for aged care workers</w:t>
            </w:r>
            <w:r w:rsidR="00823630">
              <w:rPr>
                <w:webHidden/>
              </w:rPr>
              <w:tab/>
            </w:r>
            <w:r w:rsidR="00823630">
              <w:rPr>
                <w:webHidden/>
              </w:rPr>
              <w:fldChar w:fldCharType="begin"/>
            </w:r>
            <w:r w:rsidR="00823630">
              <w:rPr>
                <w:webHidden/>
              </w:rPr>
              <w:instrText xml:space="preserve"> PAGEREF _Toc149245293 \h </w:instrText>
            </w:r>
            <w:r w:rsidR="00823630">
              <w:rPr>
                <w:webHidden/>
              </w:rPr>
            </w:r>
            <w:r w:rsidR="00823630">
              <w:rPr>
                <w:webHidden/>
              </w:rPr>
              <w:fldChar w:fldCharType="separate"/>
            </w:r>
            <w:r w:rsidR="00510AE3">
              <w:rPr>
                <w:webHidden/>
              </w:rPr>
              <w:t>11</w:t>
            </w:r>
            <w:r w:rsidR="00823630">
              <w:rPr>
                <w:webHidden/>
              </w:rPr>
              <w:fldChar w:fldCharType="end"/>
            </w:r>
          </w:hyperlink>
        </w:p>
        <w:p w14:paraId="1DC1C125" w14:textId="6A812AB8" w:rsidR="00823630" w:rsidRDefault="00502D88">
          <w:pPr>
            <w:pStyle w:val="TOC3"/>
            <w:rPr>
              <w:rFonts w:asciiTheme="minorHAnsi" w:eastAsiaTheme="minorEastAsia" w:hAnsiTheme="minorHAnsi" w:cstheme="minorBidi"/>
              <w:color w:val="auto"/>
              <w:kern w:val="2"/>
              <w:sz w:val="22"/>
              <w:szCs w:val="22"/>
              <w:lang w:eastAsia="en-AU"/>
              <w14:ligatures w14:val="standardContextual"/>
            </w:rPr>
          </w:pPr>
          <w:hyperlink w:anchor="_Toc149245294" w:history="1">
            <w:r w:rsidR="00823630" w:rsidRPr="00357C97">
              <w:rPr>
                <w:rStyle w:val="Hyperlink"/>
              </w:rPr>
              <w:t>Transparency and accountability</w:t>
            </w:r>
            <w:r w:rsidR="00823630">
              <w:rPr>
                <w:webHidden/>
              </w:rPr>
              <w:tab/>
            </w:r>
            <w:r w:rsidR="00823630">
              <w:rPr>
                <w:webHidden/>
              </w:rPr>
              <w:fldChar w:fldCharType="begin"/>
            </w:r>
            <w:r w:rsidR="00823630">
              <w:rPr>
                <w:webHidden/>
              </w:rPr>
              <w:instrText xml:space="preserve"> PAGEREF _Toc149245294 \h </w:instrText>
            </w:r>
            <w:r w:rsidR="00823630">
              <w:rPr>
                <w:webHidden/>
              </w:rPr>
            </w:r>
            <w:r w:rsidR="00823630">
              <w:rPr>
                <w:webHidden/>
              </w:rPr>
              <w:fldChar w:fldCharType="separate"/>
            </w:r>
            <w:r w:rsidR="00510AE3">
              <w:rPr>
                <w:webHidden/>
              </w:rPr>
              <w:t>12</w:t>
            </w:r>
            <w:r w:rsidR="00823630">
              <w:rPr>
                <w:webHidden/>
              </w:rPr>
              <w:fldChar w:fldCharType="end"/>
            </w:r>
          </w:hyperlink>
        </w:p>
        <w:p w14:paraId="2D1B6D3A" w14:textId="1C7BD015" w:rsidR="00823630" w:rsidRDefault="00502D88">
          <w:pPr>
            <w:pStyle w:val="TOC3"/>
            <w:rPr>
              <w:rFonts w:asciiTheme="minorHAnsi" w:eastAsiaTheme="minorEastAsia" w:hAnsiTheme="minorHAnsi" w:cstheme="minorBidi"/>
              <w:color w:val="auto"/>
              <w:kern w:val="2"/>
              <w:sz w:val="22"/>
              <w:szCs w:val="22"/>
              <w:lang w:eastAsia="en-AU"/>
              <w14:ligatures w14:val="standardContextual"/>
            </w:rPr>
          </w:pPr>
          <w:hyperlink w:anchor="_Toc149245295" w:history="1">
            <w:r w:rsidR="00823630" w:rsidRPr="00357C97">
              <w:rPr>
                <w:rStyle w:val="Hyperlink"/>
              </w:rPr>
              <w:t>Digital Transformation</w:t>
            </w:r>
            <w:r w:rsidR="00823630">
              <w:rPr>
                <w:webHidden/>
              </w:rPr>
              <w:tab/>
            </w:r>
            <w:r w:rsidR="00823630">
              <w:rPr>
                <w:webHidden/>
              </w:rPr>
              <w:fldChar w:fldCharType="begin"/>
            </w:r>
            <w:r w:rsidR="00823630">
              <w:rPr>
                <w:webHidden/>
              </w:rPr>
              <w:instrText xml:space="preserve"> PAGEREF _Toc149245295 \h </w:instrText>
            </w:r>
            <w:r w:rsidR="00823630">
              <w:rPr>
                <w:webHidden/>
              </w:rPr>
            </w:r>
            <w:r w:rsidR="00823630">
              <w:rPr>
                <w:webHidden/>
              </w:rPr>
              <w:fldChar w:fldCharType="separate"/>
            </w:r>
            <w:r w:rsidR="00510AE3">
              <w:rPr>
                <w:webHidden/>
              </w:rPr>
              <w:t>13</w:t>
            </w:r>
            <w:r w:rsidR="00823630">
              <w:rPr>
                <w:webHidden/>
              </w:rPr>
              <w:fldChar w:fldCharType="end"/>
            </w:r>
          </w:hyperlink>
        </w:p>
        <w:p w14:paraId="103A1A2C" w14:textId="0CB80189" w:rsidR="00823630" w:rsidRDefault="00502D88">
          <w:pPr>
            <w:pStyle w:val="TOC3"/>
            <w:rPr>
              <w:rFonts w:asciiTheme="minorHAnsi" w:eastAsiaTheme="minorEastAsia" w:hAnsiTheme="minorHAnsi" w:cstheme="minorBidi"/>
              <w:color w:val="auto"/>
              <w:kern w:val="2"/>
              <w:sz w:val="22"/>
              <w:szCs w:val="22"/>
              <w:lang w:eastAsia="en-AU"/>
              <w14:ligatures w14:val="standardContextual"/>
            </w:rPr>
          </w:pPr>
          <w:hyperlink w:anchor="_Toc149245296" w:history="1">
            <w:r w:rsidR="00823630" w:rsidRPr="00357C97">
              <w:rPr>
                <w:rStyle w:val="Hyperlink"/>
              </w:rPr>
              <w:t>Rural and remote and First Nations elders</w:t>
            </w:r>
            <w:r w:rsidR="00823630">
              <w:rPr>
                <w:webHidden/>
              </w:rPr>
              <w:tab/>
            </w:r>
            <w:r w:rsidR="00823630">
              <w:rPr>
                <w:webHidden/>
              </w:rPr>
              <w:fldChar w:fldCharType="begin"/>
            </w:r>
            <w:r w:rsidR="00823630">
              <w:rPr>
                <w:webHidden/>
              </w:rPr>
              <w:instrText xml:space="preserve"> PAGEREF _Toc149245296 \h </w:instrText>
            </w:r>
            <w:r w:rsidR="00823630">
              <w:rPr>
                <w:webHidden/>
              </w:rPr>
            </w:r>
            <w:r w:rsidR="00823630">
              <w:rPr>
                <w:webHidden/>
              </w:rPr>
              <w:fldChar w:fldCharType="separate"/>
            </w:r>
            <w:r w:rsidR="00510AE3">
              <w:rPr>
                <w:webHidden/>
              </w:rPr>
              <w:t>13</w:t>
            </w:r>
            <w:r w:rsidR="00823630">
              <w:rPr>
                <w:webHidden/>
              </w:rPr>
              <w:fldChar w:fldCharType="end"/>
            </w:r>
          </w:hyperlink>
        </w:p>
        <w:p w14:paraId="200AC422" w14:textId="1E397B8B" w:rsidR="00823630" w:rsidRDefault="00502D88">
          <w:pPr>
            <w:pStyle w:val="TOC3"/>
            <w:rPr>
              <w:rFonts w:asciiTheme="minorHAnsi" w:eastAsiaTheme="minorEastAsia" w:hAnsiTheme="minorHAnsi" w:cstheme="minorBidi"/>
              <w:color w:val="auto"/>
              <w:kern w:val="2"/>
              <w:sz w:val="22"/>
              <w:szCs w:val="22"/>
              <w:lang w:eastAsia="en-AU"/>
              <w14:ligatures w14:val="standardContextual"/>
            </w:rPr>
          </w:pPr>
          <w:hyperlink w:anchor="_Toc149245297" w:history="1">
            <w:r w:rsidR="00823630" w:rsidRPr="00357C97">
              <w:rPr>
                <w:rStyle w:val="Hyperlink"/>
              </w:rPr>
              <w:t>A roadmap for reform</w:t>
            </w:r>
            <w:r w:rsidR="00823630">
              <w:rPr>
                <w:webHidden/>
              </w:rPr>
              <w:tab/>
            </w:r>
            <w:r w:rsidR="00823630">
              <w:rPr>
                <w:webHidden/>
              </w:rPr>
              <w:fldChar w:fldCharType="begin"/>
            </w:r>
            <w:r w:rsidR="00823630">
              <w:rPr>
                <w:webHidden/>
              </w:rPr>
              <w:instrText xml:space="preserve"> PAGEREF _Toc149245297 \h </w:instrText>
            </w:r>
            <w:r w:rsidR="00823630">
              <w:rPr>
                <w:webHidden/>
              </w:rPr>
            </w:r>
            <w:r w:rsidR="00823630">
              <w:rPr>
                <w:webHidden/>
              </w:rPr>
              <w:fldChar w:fldCharType="separate"/>
            </w:r>
            <w:r w:rsidR="00510AE3">
              <w:rPr>
                <w:webHidden/>
              </w:rPr>
              <w:t>15</w:t>
            </w:r>
            <w:r w:rsidR="00823630">
              <w:rPr>
                <w:webHidden/>
              </w:rPr>
              <w:fldChar w:fldCharType="end"/>
            </w:r>
          </w:hyperlink>
        </w:p>
        <w:p w14:paraId="5812FE07" w14:textId="3AF1CD70" w:rsidR="00823630" w:rsidRDefault="00502D88">
          <w:pPr>
            <w:pStyle w:val="TOC2"/>
            <w:rPr>
              <w:rFonts w:asciiTheme="minorHAnsi" w:eastAsiaTheme="minorEastAsia" w:hAnsiTheme="minorHAnsi" w:cstheme="minorBidi"/>
              <w:color w:val="auto"/>
              <w:kern w:val="2"/>
              <w:sz w:val="22"/>
              <w:szCs w:val="22"/>
              <w:lang w:eastAsia="en-AU"/>
              <w14:ligatures w14:val="standardContextual"/>
            </w:rPr>
          </w:pPr>
          <w:hyperlink w:anchor="_Toc149245298" w:history="1">
            <w:r w:rsidR="00823630" w:rsidRPr="00357C97">
              <w:rPr>
                <w:rStyle w:val="Hyperlink"/>
              </w:rPr>
              <w:t>This report</w:t>
            </w:r>
            <w:r w:rsidR="00823630">
              <w:rPr>
                <w:webHidden/>
              </w:rPr>
              <w:tab/>
            </w:r>
            <w:r w:rsidR="00823630">
              <w:rPr>
                <w:webHidden/>
              </w:rPr>
              <w:fldChar w:fldCharType="begin"/>
            </w:r>
            <w:r w:rsidR="00823630">
              <w:rPr>
                <w:webHidden/>
              </w:rPr>
              <w:instrText xml:space="preserve"> PAGEREF _Toc149245298 \h </w:instrText>
            </w:r>
            <w:r w:rsidR="00823630">
              <w:rPr>
                <w:webHidden/>
              </w:rPr>
            </w:r>
            <w:r w:rsidR="00823630">
              <w:rPr>
                <w:webHidden/>
              </w:rPr>
              <w:fldChar w:fldCharType="separate"/>
            </w:r>
            <w:r w:rsidR="00510AE3">
              <w:rPr>
                <w:webHidden/>
              </w:rPr>
              <w:t>16</w:t>
            </w:r>
            <w:r w:rsidR="00823630">
              <w:rPr>
                <w:webHidden/>
              </w:rPr>
              <w:fldChar w:fldCharType="end"/>
            </w:r>
          </w:hyperlink>
        </w:p>
        <w:p w14:paraId="6BA83CCA" w14:textId="1BB0D241" w:rsidR="00823630" w:rsidRDefault="00502D88">
          <w:pPr>
            <w:pStyle w:val="TOC3"/>
            <w:rPr>
              <w:rFonts w:asciiTheme="minorHAnsi" w:eastAsiaTheme="minorEastAsia" w:hAnsiTheme="minorHAnsi" w:cstheme="minorBidi"/>
              <w:color w:val="auto"/>
              <w:kern w:val="2"/>
              <w:sz w:val="22"/>
              <w:szCs w:val="22"/>
              <w:lang w:eastAsia="en-AU"/>
              <w14:ligatures w14:val="standardContextual"/>
            </w:rPr>
          </w:pPr>
          <w:hyperlink w:anchor="_Toc149245299" w:history="1">
            <w:r w:rsidR="00823630" w:rsidRPr="00357C97">
              <w:rPr>
                <w:rStyle w:val="Hyperlink"/>
              </w:rPr>
              <w:t>Methodology</w:t>
            </w:r>
            <w:r w:rsidR="00823630">
              <w:rPr>
                <w:webHidden/>
              </w:rPr>
              <w:tab/>
            </w:r>
            <w:r w:rsidR="00823630">
              <w:rPr>
                <w:webHidden/>
              </w:rPr>
              <w:fldChar w:fldCharType="begin"/>
            </w:r>
            <w:r w:rsidR="00823630">
              <w:rPr>
                <w:webHidden/>
              </w:rPr>
              <w:instrText xml:space="preserve"> PAGEREF _Toc149245299 \h </w:instrText>
            </w:r>
            <w:r w:rsidR="00823630">
              <w:rPr>
                <w:webHidden/>
              </w:rPr>
            </w:r>
            <w:r w:rsidR="00823630">
              <w:rPr>
                <w:webHidden/>
              </w:rPr>
              <w:fldChar w:fldCharType="separate"/>
            </w:r>
            <w:r w:rsidR="00510AE3">
              <w:rPr>
                <w:webHidden/>
              </w:rPr>
              <w:t>16</w:t>
            </w:r>
            <w:r w:rsidR="00823630">
              <w:rPr>
                <w:webHidden/>
              </w:rPr>
              <w:fldChar w:fldCharType="end"/>
            </w:r>
          </w:hyperlink>
        </w:p>
        <w:p w14:paraId="303100F4" w14:textId="4E14E4C8" w:rsidR="00823630" w:rsidRDefault="00502D88">
          <w:pPr>
            <w:pStyle w:val="TOC2"/>
            <w:rPr>
              <w:rFonts w:asciiTheme="minorHAnsi" w:eastAsiaTheme="minorEastAsia" w:hAnsiTheme="minorHAnsi" w:cstheme="minorBidi"/>
              <w:color w:val="auto"/>
              <w:kern w:val="2"/>
              <w:sz w:val="22"/>
              <w:szCs w:val="22"/>
              <w:lang w:eastAsia="en-AU"/>
              <w14:ligatures w14:val="standardContextual"/>
            </w:rPr>
          </w:pPr>
          <w:hyperlink w:anchor="_Toc149245300" w:history="1">
            <w:r w:rsidR="00823630" w:rsidRPr="00357C97">
              <w:rPr>
                <w:rStyle w:val="Hyperlink"/>
              </w:rPr>
              <w:t>What’s new or changed</w:t>
            </w:r>
            <w:r w:rsidR="00823630">
              <w:rPr>
                <w:webHidden/>
              </w:rPr>
              <w:tab/>
            </w:r>
            <w:r w:rsidR="00823630">
              <w:rPr>
                <w:webHidden/>
              </w:rPr>
              <w:fldChar w:fldCharType="begin"/>
            </w:r>
            <w:r w:rsidR="00823630">
              <w:rPr>
                <w:webHidden/>
              </w:rPr>
              <w:instrText xml:space="preserve"> PAGEREF _Toc149245300 \h </w:instrText>
            </w:r>
            <w:r w:rsidR="00823630">
              <w:rPr>
                <w:webHidden/>
              </w:rPr>
            </w:r>
            <w:r w:rsidR="00823630">
              <w:rPr>
                <w:webHidden/>
              </w:rPr>
              <w:fldChar w:fldCharType="separate"/>
            </w:r>
            <w:r w:rsidR="00510AE3">
              <w:rPr>
                <w:webHidden/>
              </w:rPr>
              <w:t>17</w:t>
            </w:r>
            <w:r w:rsidR="00823630">
              <w:rPr>
                <w:webHidden/>
              </w:rPr>
              <w:fldChar w:fldCharType="end"/>
            </w:r>
          </w:hyperlink>
        </w:p>
        <w:p w14:paraId="62FE55F3" w14:textId="6A820B99" w:rsidR="00823630" w:rsidRDefault="00502D88">
          <w:pPr>
            <w:pStyle w:val="TOC1"/>
            <w:rPr>
              <w:rFonts w:asciiTheme="minorHAnsi" w:eastAsiaTheme="minorEastAsia" w:hAnsiTheme="minorHAnsi" w:cstheme="minorBidi"/>
              <w:b w:val="0"/>
              <w:bCs w:val="0"/>
              <w:noProof/>
              <w:color w:val="auto"/>
              <w:kern w:val="2"/>
              <w:sz w:val="22"/>
              <w:szCs w:val="22"/>
              <w:lang w:eastAsia="en-AU"/>
              <w14:ligatures w14:val="standardContextual"/>
            </w:rPr>
          </w:pPr>
          <w:hyperlink w:anchor="_Toc149245301" w:history="1">
            <w:r w:rsidR="00823630" w:rsidRPr="00357C97">
              <w:rPr>
                <w:rStyle w:val="Hyperlink"/>
                <w:noProof/>
              </w:rPr>
              <w:t>Report summary</w:t>
            </w:r>
            <w:r w:rsidR="00823630">
              <w:rPr>
                <w:noProof/>
                <w:webHidden/>
              </w:rPr>
              <w:tab/>
            </w:r>
            <w:r w:rsidR="00823630">
              <w:rPr>
                <w:noProof/>
                <w:webHidden/>
              </w:rPr>
              <w:fldChar w:fldCharType="begin"/>
            </w:r>
            <w:r w:rsidR="00823630">
              <w:rPr>
                <w:noProof/>
                <w:webHidden/>
              </w:rPr>
              <w:instrText xml:space="preserve"> PAGEREF _Toc149245301 \h </w:instrText>
            </w:r>
            <w:r w:rsidR="00823630">
              <w:rPr>
                <w:noProof/>
                <w:webHidden/>
              </w:rPr>
            </w:r>
            <w:r w:rsidR="00823630">
              <w:rPr>
                <w:noProof/>
                <w:webHidden/>
              </w:rPr>
              <w:fldChar w:fldCharType="separate"/>
            </w:r>
            <w:r w:rsidR="00510AE3">
              <w:rPr>
                <w:noProof/>
                <w:webHidden/>
              </w:rPr>
              <w:t>20</w:t>
            </w:r>
            <w:r w:rsidR="00823630">
              <w:rPr>
                <w:noProof/>
                <w:webHidden/>
              </w:rPr>
              <w:fldChar w:fldCharType="end"/>
            </w:r>
          </w:hyperlink>
        </w:p>
        <w:p w14:paraId="523425CA" w14:textId="648661E7" w:rsidR="00823630" w:rsidRDefault="00502D88">
          <w:pPr>
            <w:pStyle w:val="TOC1"/>
            <w:tabs>
              <w:tab w:val="left" w:pos="480"/>
            </w:tabs>
            <w:rPr>
              <w:rFonts w:asciiTheme="minorHAnsi" w:eastAsiaTheme="minorEastAsia" w:hAnsiTheme="minorHAnsi" w:cstheme="minorBidi"/>
              <w:b w:val="0"/>
              <w:bCs w:val="0"/>
              <w:noProof/>
              <w:color w:val="auto"/>
              <w:kern w:val="2"/>
              <w:sz w:val="22"/>
              <w:szCs w:val="22"/>
              <w:lang w:eastAsia="en-AU"/>
              <w14:ligatures w14:val="standardContextual"/>
            </w:rPr>
          </w:pPr>
          <w:hyperlink w:anchor="_Toc149245302" w:history="1">
            <w:r w:rsidR="00823630" w:rsidRPr="00357C97">
              <w:rPr>
                <w:rStyle w:val="Hyperlink"/>
                <w:noProof/>
              </w:rPr>
              <w:t>1</w:t>
            </w:r>
            <w:r w:rsidR="00823630">
              <w:rPr>
                <w:rFonts w:asciiTheme="minorHAnsi" w:eastAsiaTheme="minorEastAsia" w:hAnsiTheme="minorHAnsi" w:cstheme="minorBidi"/>
                <w:b w:val="0"/>
                <w:bCs w:val="0"/>
                <w:noProof/>
                <w:color w:val="auto"/>
                <w:kern w:val="2"/>
                <w:sz w:val="22"/>
                <w:szCs w:val="22"/>
                <w:lang w:eastAsia="en-AU"/>
                <w14:ligatures w14:val="standardContextual"/>
              </w:rPr>
              <w:tab/>
            </w:r>
            <w:r w:rsidR="00823630" w:rsidRPr="00357C97">
              <w:rPr>
                <w:rStyle w:val="Hyperlink"/>
                <w:noProof/>
              </w:rPr>
              <w:t>Home care</w:t>
            </w:r>
            <w:r w:rsidR="00823630">
              <w:rPr>
                <w:noProof/>
                <w:webHidden/>
              </w:rPr>
              <w:tab/>
            </w:r>
            <w:r w:rsidR="00823630">
              <w:rPr>
                <w:noProof/>
                <w:webHidden/>
              </w:rPr>
              <w:fldChar w:fldCharType="begin"/>
            </w:r>
            <w:r w:rsidR="00823630">
              <w:rPr>
                <w:noProof/>
                <w:webHidden/>
              </w:rPr>
              <w:instrText xml:space="preserve"> PAGEREF _Toc149245302 \h </w:instrText>
            </w:r>
            <w:r w:rsidR="00823630">
              <w:rPr>
                <w:noProof/>
                <w:webHidden/>
              </w:rPr>
            </w:r>
            <w:r w:rsidR="00823630">
              <w:rPr>
                <w:noProof/>
                <w:webHidden/>
              </w:rPr>
              <w:fldChar w:fldCharType="separate"/>
            </w:r>
            <w:r w:rsidR="00510AE3">
              <w:rPr>
                <w:noProof/>
                <w:webHidden/>
              </w:rPr>
              <w:t>24</w:t>
            </w:r>
            <w:r w:rsidR="00823630">
              <w:rPr>
                <w:noProof/>
                <w:webHidden/>
              </w:rPr>
              <w:fldChar w:fldCharType="end"/>
            </w:r>
          </w:hyperlink>
        </w:p>
        <w:p w14:paraId="359AA068" w14:textId="6F573982"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03" w:history="1">
            <w:r w:rsidR="00823630" w:rsidRPr="00357C97">
              <w:rPr>
                <w:rStyle w:val="Hyperlink"/>
              </w:rPr>
              <w:t>1.1</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Recipients</w:t>
            </w:r>
            <w:r w:rsidR="00823630">
              <w:rPr>
                <w:webHidden/>
              </w:rPr>
              <w:tab/>
            </w:r>
            <w:r w:rsidR="00823630">
              <w:rPr>
                <w:webHidden/>
              </w:rPr>
              <w:fldChar w:fldCharType="begin"/>
            </w:r>
            <w:r w:rsidR="00823630">
              <w:rPr>
                <w:webHidden/>
              </w:rPr>
              <w:instrText xml:space="preserve"> PAGEREF _Toc149245303 \h </w:instrText>
            </w:r>
            <w:r w:rsidR="00823630">
              <w:rPr>
                <w:webHidden/>
              </w:rPr>
            </w:r>
            <w:r w:rsidR="00823630">
              <w:rPr>
                <w:webHidden/>
              </w:rPr>
              <w:fldChar w:fldCharType="separate"/>
            </w:r>
            <w:r w:rsidR="00510AE3">
              <w:rPr>
                <w:webHidden/>
              </w:rPr>
              <w:t>24</w:t>
            </w:r>
            <w:r w:rsidR="00823630">
              <w:rPr>
                <w:webHidden/>
              </w:rPr>
              <w:fldChar w:fldCharType="end"/>
            </w:r>
          </w:hyperlink>
        </w:p>
        <w:p w14:paraId="08089073" w14:textId="0EEE5525"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04" w:history="1">
            <w:r w:rsidR="00823630" w:rsidRPr="00357C97">
              <w:rPr>
                <w:rStyle w:val="Hyperlink"/>
              </w:rPr>
              <w:t>1.2</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Providers</w:t>
            </w:r>
            <w:r w:rsidR="00823630">
              <w:rPr>
                <w:webHidden/>
              </w:rPr>
              <w:tab/>
            </w:r>
            <w:r w:rsidR="00823630">
              <w:rPr>
                <w:webHidden/>
              </w:rPr>
              <w:fldChar w:fldCharType="begin"/>
            </w:r>
            <w:r w:rsidR="00823630">
              <w:rPr>
                <w:webHidden/>
              </w:rPr>
              <w:instrText xml:space="preserve"> PAGEREF _Toc149245304 \h </w:instrText>
            </w:r>
            <w:r w:rsidR="00823630">
              <w:rPr>
                <w:webHidden/>
              </w:rPr>
            </w:r>
            <w:r w:rsidR="00823630">
              <w:rPr>
                <w:webHidden/>
              </w:rPr>
              <w:fldChar w:fldCharType="separate"/>
            </w:r>
            <w:r w:rsidR="00510AE3">
              <w:rPr>
                <w:webHidden/>
              </w:rPr>
              <w:t>26</w:t>
            </w:r>
            <w:r w:rsidR="00823630">
              <w:rPr>
                <w:webHidden/>
              </w:rPr>
              <w:fldChar w:fldCharType="end"/>
            </w:r>
          </w:hyperlink>
        </w:p>
        <w:p w14:paraId="4B9A3703" w14:textId="7DC23809"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05" w:history="1">
            <w:r w:rsidR="00823630" w:rsidRPr="00357C97">
              <w:rPr>
                <w:rStyle w:val="Hyperlink"/>
              </w:rPr>
              <w:t>1.3</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Funding</w:t>
            </w:r>
            <w:r w:rsidR="00823630">
              <w:rPr>
                <w:webHidden/>
              </w:rPr>
              <w:tab/>
            </w:r>
            <w:r w:rsidR="00823630">
              <w:rPr>
                <w:webHidden/>
              </w:rPr>
              <w:fldChar w:fldCharType="begin"/>
            </w:r>
            <w:r w:rsidR="00823630">
              <w:rPr>
                <w:webHidden/>
              </w:rPr>
              <w:instrText xml:space="preserve"> PAGEREF _Toc149245305 \h </w:instrText>
            </w:r>
            <w:r w:rsidR="00823630">
              <w:rPr>
                <w:webHidden/>
              </w:rPr>
            </w:r>
            <w:r w:rsidR="00823630">
              <w:rPr>
                <w:webHidden/>
              </w:rPr>
              <w:fldChar w:fldCharType="separate"/>
            </w:r>
            <w:r w:rsidR="00510AE3">
              <w:rPr>
                <w:webHidden/>
              </w:rPr>
              <w:t>27</w:t>
            </w:r>
            <w:r w:rsidR="00823630">
              <w:rPr>
                <w:webHidden/>
              </w:rPr>
              <w:fldChar w:fldCharType="end"/>
            </w:r>
          </w:hyperlink>
        </w:p>
        <w:p w14:paraId="763D4082" w14:textId="2629E402"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06" w:history="1">
            <w:r w:rsidR="00823630" w:rsidRPr="00357C97">
              <w:rPr>
                <w:rStyle w:val="Hyperlink"/>
              </w:rPr>
              <w:t>1.4</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Financial summary</w:t>
            </w:r>
            <w:r w:rsidR="00823630">
              <w:rPr>
                <w:webHidden/>
              </w:rPr>
              <w:tab/>
            </w:r>
            <w:r w:rsidR="00823630">
              <w:rPr>
                <w:webHidden/>
              </w:rPr>
              <w:fldChar w:fldCharType="begin"/>
            </w:r>
            <w:r w:rsidR="00823630">
              <w:rPr>
                <w:webHidden/>
              </w:rPr>
              <w:instrText xml:space="preserve"> PAGEREF _Toc149245306 \h </w:instrText>
            </w:r>
            <w:r w:rsidR="00823630">
              <w:rPr>
                <w:webHidden/>
              </w:rPr>
            </w:r>
            <w:r w:rsidR="00823630">
              <w:rPr>
                <w:webHidden/>
              </w:rPr>
              <w:fldChar w:fldCharType="separate"/>
            </w:r>
            <w:r w:rsidR="00510AE3">
              <w:rPr>
                <w:webHidden/>
              </w:rPr>
              <w:t>28</w:t>
            </w:r>
            <w:r w:rsidR="00823630">
              <w:rPr>
                <w:webHidden/>
              </w:rPr>
              <w:fldChar w:fldCharType="end"/>
            </w:r>
          </w:hyperlink>
        </w:p>
        <w:p w14:paraId="26E0B3F0" w14:textId="06C865F2"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07" w:history="1">
            <w:r w:rsidR="00823630" w:rsidRPr="00357C97">
              <w:rPr>
                <w:rStyle w:val="Hyperlink"/>
              </w:rPr>
              <w:t>1.5</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Financial performance – revenue</w:t>
            </w:r>
            <w:r w:rsidR="00823630">
              <w:rPr>
                <w:webHidden/>
              </w:rPr>
              <w:tab/>
            </w:r>
            <w:r w:rsidR="00823630">
              <w:rPr>
                <w:webHidden/>
              </w:rPr>
              <w:fldChar w:fldCharType="begin"/>
            </w:r>
            <w:r w:rsidR="00823630">
              <w:rPr>
                <w:webHidden/>
              </w:rPr>
              <w:instrText xml:space="preserve"> PAGEREF _Toc149245307 \h </w:instrText>
            </w:r>
            <w:r w:rsidR="00823630">
              <w:rPr>
                <w:webHidden/>
              </w:rPr>
            </w:r>
            <w:r w:rsidR="00823630">
              <w:rPr>
                <w:webHidden/>
              </w:rPr>
              <w:fldChar w:fldCharType="separate"/>
            </w:r>
            <w:r w:rsidR="00510AE3">
              <w:rPr>
                <w:webHidden/>
              </w:rPr>
              <w:t>31</w:t>
            </w:r>
            <w:r w:rsidR="00823630">
              <w:rPr>
                <w:webHidden/>
              </w:rPr>
              <w:fldChar w:fldCharType="end"/>
            </w:r>
          </w:hyperlink>
        </w:p>
        <w:p w14:paraId="1563C9A5" w14:textId="3CE44873"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08" w:history="1">
            <w:r w:rsidR="00823630" w:rsidRPr="00357C97">
              <w:rPr>
                <w:rStyle w:val="Hyperlink"/>
              </w:rPr>
              <w:t>1.6</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Financial performance – expenditure</w:t>
            </w:r>
            <w:r w:rsidR="00823630">
              <w:rPr>
                <w:webHidden/>
              </w:rPr>
              <w:tab/>
            </w:r>
            <w:r w:rsidR="00823630">
              <w:rPr>
                <w:webHidden/>
              </w:rPr>
              <w:fldChar w:fldCharType="begin"/>
            </w:r>
            <w:r w:rsidR="00823630">
              <w:rPr>
                <w:webHidden/>
              </w:rPr>
              <w:instrText xml:space="preserve"> PAGEREF _Toc149245308 \h </w:instrText>
            </w:r>
            <w:r w:rsidR="00823630">
              <w:rPr>
                <w:webHidden/>
              </w:rPr>
            </w:r>
            <w:r w:rsidR="00823630">
              <w:rPr>
                <w:webHidden/>
              </w:rPr>
              <w:fldChar w:fldCharType="separate"/>
            </w:r>
            <w:r w:rsidR="00510AE3">
              <w:rPr>
                <w:webHidden/>
              </w:rPr>
              <w:t>32</w:t>
            </w:r>
            <w:r w:rsidR="00823630">
              <w:rPr>
                <w:webHidden/>
              </w:rPr>
              <w:fldChar w:fldCharType="end"/>
            </w:r>
          </w:hyperlink>
        </w:p>
        <w:p w14:paraId="303B6F0C" w14:textId="7936B595"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12" w:history="1">
            <w:r w:rsidR="00823630" w:rsidRPr="00357C97">
              <w:rPr>
                <w:rStyle w:val="Hyperlink"/>
              </w:rPr>
              <w:t>1.7</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Operating performance</w:t>
            </w:r>
            <w:r w:rsidR="00823630">
              <w:rPr>
                <w:webHidden/>
              </w:rPr>
              <w:tab/>
            </w:r>
            <w:r w:rsidR="00823630">
              <w:rPr>
                <w:webHidden/>
              </w:rPr>
              <w:fldChar w:fldCharType="begin"/>
            </w:r>
            <w:r w:rsidR="00823630">
              <w:rPr>
                <w:webHidden/>
              </w:rPr>
              <w:instrText xml:space="preserve"> PAGEREF _Toc149245312 \h </w:instrText>
            </w:r>
            <w:r w:rsidR="00823630">
              <w:rPr>
                <w:webHidden/>
              </w:rPr>
            </w:r>
            <w:r w:rsidR="00823630">
              <w:rPr>
                <w:webHidden/>
              </w:rPr>
              <w:fldChar w:fldCharType="separate"/>
            </w:r>
            <w:r w:rsidR="00510AE3">
              <w:rPr>
                <w:webHidden/>
              </w:rPr>
              <w:t>33</w:t>
            </w:r>
            <w:r w:rsidR="00823630">
              <w:rPr>
                <w:webHidden/>
              </w:rPr>
              <w:fldChar w:fldCharType="end"/>
            </w:r>
          </w:hyperlink>
        </w:p>
        <w:p w14:paraId="731FEA5C" w14:textId="734954BA" w:rsidR="00823630" w:rsidRDefault="00502D88">
          <w:pPr>
            <w:pStyle w:val="TOC1"/>
            <w:tabs>
              <w:tab w:val="left" w:pos="480"/>
            </w:tabs>
            <w:rPr>
              <w:rFonts w:asciiTheme="minorHAnsi" w:eastAsiaTheme="minorEastAsia" w:hAnsiTheme="minorHAnsi" w:cstheme="minorBidi"/>
              <w:b w:val="0"/>
              <w:bCs w:val="0"/>
              <w:noProof/>
              <w:color w:val="auto"/>
              <w:kern w:val="2"/>
              <w:sz w:val="22"/>
              <w:szCs w:val="22"/>
              <w:lang w:eastAsia="en-AU"/>
              <w14:ligatures w14:val="standardContextual"/>
            </w:rPr>
          </w:pPr>
          <w:hyperlink w:anchor="_Toc149245313" w:history="1">
            <w:r w:rsidR="00823630" w:rsidRPr="00357C97">
              <w:rPr>
                <w:rStyle w:val="Hyperlink"/>
                <w:noProof/>
              </w:rPr>
              <w:t>2</w:t>
            </w:r>
            <w:r w:rsidR="00823630">
              <w:rPr>
                <w:rFonts w:asciiTheme="minorHAnsi" w:eastAsiaTheme="minorEastAsia" w:hAnsiTheme="minorHAnsi" w:cstheme="minorBidi"/>
                <w:b w:val="0"/>
                <w:bCs w:val="0"/>
                <w:noProof/>
                <w:color w:val="auto"/>
                <w:kern w:val="2"/>
                <w:sz w:val="22"/>
                <w:szCs w:val="22"/>
                <w:lang w:eastAsia="en-AU"/>
                <w14:ligatures w14:val="standardContextual"/>
              </w:rPr>
              <w:tab/>
            </w:r>
            <w:r w:rsidR="00823630" w:rsidRPr="00357C97">
              <w:rPr>
                <w:rStyle w:val="Hyperlink"/>
                <w:noProof/>
              </w:rPr>
              <w:t>Residential care: residents and providers</w:t>
            </w:r>
            <w:r w:rsidR="00823630">
              <w:rPr>
                <w:noProof/>
                <w:webHidden/>
              </w:rPr>
              <w:tab/>
            </w:r>
            <w:r w:rsidR="00823630">
              <w:rPr>
                <w:noProof/>
                <w:webHidden/>
              </w:rPr>
              <w:fldChar w:fldCharType="begin"/>
            </w:r>
            <w:r w:rsidR="00823630">
              <w:rPr>
                <w:noProof/>
                <w:webHidden/>
              </w:rPr>
              <w:instrText xml:space="preserve"> PAGEREF _Toc149245313 \h </w:instrText>
            </w:r>
            <w:r w:rsidR="00823630">
              <w:rPr>
                <w:noProof/>
                <w:webHidden/>
              </w:rPr>
            </w:r>
            <w:r w:rsidR="00823630">
              <w:rPr>
                <w:noProof/>
                <w:webHidden/>
              </w:rPr>
              <w:fldChar w:fldCharType="separate"/>
            </w:r>
            <w:r w:rsidR="00510AE3">
              <w:rPr>
                <w:noProof/>
                <w:webHidden/>
              </w:rPr>
              <w:t>41</w:t>
            </w:r>
            <w:r w:rsidR="00823630">
              <w:rPr>
                <w:noProof/>
                <w:webHidden/>
              </w:rPr>
              <w:fldChar w:fldCharType="end"/>
            </w:r>
          </w:hyperlink>
        </w:p>
        <w:p w14:paraId="2A6EC4CF" w14:textId="4B9B68FE"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17" w:history="1">
            <w:r w:rsidR="00823630" w:rsidRPr="00357C97">
              <w:rPr>
                <w:rStyle w:val="Hyperlink"/>
              </w:rPr>
              <w:t>2.1</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Residents</w:t>
            </w:r>
            <w:r w:rsidR="00823630">
              <w:rPr>
                <w:webHidden/>
              </w:rPr>
              <w:tab/>
            </w:r>
            <w:r w:rsidR="00823630">
              <w:rPr>
                <w:webHidden/>
              </w:rPr>
              <w:fldChar w:fldCharType="begin"/>
            </w:r>
            <w:r w:rsidR="00823630">
              <w:rPr>
                <w:webHidden/>
              </w:rPr>
              <w:instrText xml:space="preserve"> PAGEREF _Toc149245317 \h </w:instrText>
            </w:r>
            <w:r w:rsidR="00823630">
              <w:rPr>
                <w:webHidden/>
              </w:rPr>
            </w:r>
            <w:r w:rsidR="00823630">
              <w:rPr>
                <w:webHidden/>
              </w:rPr>
              <w:fldChar w:fldCharType="separate"/>
            </w:r>
            <w:r w:rsidR="00510AE3">
              <w:rPr>
                <w:webHidden/>
              </w:rPr>
              <w:t>41</w:t>
            </w:r>
            <w:r w:rsidR="00823630">
              <w:rPr>
                <w:webHidden/>
              </w:rPr>
              <w:fldChar w:fldCharType="end"/>
            </w:r>
          </w:hyperlink>
        </w:p>
        <w:p w14:paraId="7680F690" w14:textId="73AF39B9"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18" w:history="1">
            <w:r w:rsidR="00823630" w:rsidRPr="00357C97">
              <w:rPr>
                <w:rStyle w:val="Hyperlink"/>
              </w:rPr>
              <w:t>2.2</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Providers</w:t>
            </w:r>
            <w:r w:rsidR="00823630">
              <w:rPr>
                <w:webHidden/>
              </w:rPr>
              <w:tab/>
            </w:r>
            <w:r w:rsidR="00823630">
              <w:rPr>
                <w:webHidden/>
              </w:rPr>
              <w:fldChar w:fldCharType="begin"/>
            </w:r>
            <w:r w:rsidR="00823630">
              <w:rPr>
                <w:webHidden/>
              </w:rPr>
              <w:instrText xml:space="preserve"> PAGEREF _Toc149245318 \h </w:instrText>
            </w:r>
            <w:r w:rsidR="00823630">
              <w:rPr>
                <w:webHidden/>
              </w:rPr>
            </w:r>
            <w:r w:rsidR="00823630">
              <w:rPr>
                <w:webHidden/>
              </w:rPr>
              <w:fldChar w:fldCharType="separate"/>
            </w:r>
            <w:r w:rsidR="00510AE3">
              <w:rPr>
                <w:webHidden/>
              </w:rPr>
              <w:t>48</w:t>
            </w:r>
            <w:r w:rsidR="00823630">
              <w:rPr>
                <w:webHidden/>
              </w:rPr>
              <w:fldChar w:fldCharType="end"/>
            </w:r>
          </w:hyperlink>
        </w:p>
        <w:p w14:paraId="4C7FE973" w14:textId="09D63D68" w:rsidR="00823630" w:rsidRDefault="00502D88">
          <w:pPr>
            <w:pStyle w:val="TOC1"/>
            <w:tabs>
              <w:tab w:val="left" w:pos="480"/>
            </w:tabs>
            <w:rPr>
              <w:rFonts w:asciiTheme="minorHAnsi" w:eastAsiaTheme="minorEastAsia" w:hAnsiTheme="minorHAnsi" w:cstheme="minorBidi"/>
              <w:b w:val="0"/>
              <w:bCs w:val="0"/>
              <w:noProof/>
              <w:color w:val="auto"/>
              <w:kern w:val="2"/>
              <w:sz w:val="22"/>
              <w:szCs w:val="22"/>
              <w:lang w:eastAsia="en-AU"/>
              <w14:ligatures w14:val="standardContextual"/>
            </w:rPr>
          </w:pPr>
          <w:hyperlink w:anchor="_Toc149245319" w:history="1">
            <w:r w:rsidR="00823630" w:rsidRPr="00357C97">
              <w:rPr>
                <w:rStyle w:val="Hyperlink"/>
                <w:noProof/>
              </w:rPr>
              <w:t>3</w:t>
            </w:r>
            <w:r w:rsidR="00823630">
              <w:rPr>
                <w:rFonts w:asciiTheme="minorHAnsi" w:eastAsiaTheme="minorEastAsia" w:hAnsiTheme="minorHAnsi" w:cstheme="minorBidi"/>
                <w:b w:val="0"/>
                <w:bCs w:val="0"/>
                <w:noProof/>
                <w:color w:val="auto"/>
                <w:kern w:val="2"/>
                <w:sz w:val="22"/>
                <w:szCs w:val="22"/>
                <w:lang w:eastAsia="en-AU"/>
                <w14:ligatures w14:val="standardContextual"/>
              </w:rPr>
              <w:tab/>
            </w:r>
            <w:r w:rsidR="00823630" w:rsidRPr="00357C97">
              <w:rPr>
                <w:rStyle w:val="Hyperlink"/>
                <w:noProof/>
              </w:rPr>
              <w:t>Residential care: financial performance</w:t>
            </w:r>
            <w:r w:rsidR="00823630">
              <w:rPr>
                <w:noProof/>
                <w:webHidden/>
              </w:rPr>
              <w:tab/>
            </w:r>
            <w:r w:rsidR="00823630">
              <w:rPr>
                <w:noProof/>
                <w:webHidden/>
              </w:rPr>
              <w:fldChar w:fldCharType="begin"/>
            </w:r>
            <w:r w:rsidR="00823630">
              <w:rPr>
                <w:noProof/>
                <w:webHidden/>
              </w:rPr>
              <w:instrText xml:space="preserve"> PAGEREF _Toc149245319 \h </w:instrText>
            </w:r>
            <w:r w:rsidR="00823630">
              <w:rPr>
                <w:noProof/>
                <w:webHidden/>
              </w:rPr>
            </w:r>
            <w:r w:rsidR="00823630">
              <w:rPr>
                <w:noProof/>
                <w:webHidden/>
              </w:rPr>
              <w:fldChar w:fldCharType="separate"/>
            </w:r>
            <w:r w:rsidR="00510AE3">
              <w:rPr>
                <w:noProof/>
                <w:webHidden/>
              </w:rPr>
              <w:t>53</w:t>
            </w:r>
            <w:r w:rsidR="00823630">
              <w:rPr>
                <w:noProof/>
                <w:webHidden/>
              </w:rPr>
              <w:fldChar w:fldCharType="end"/>
            </w:r>
          </w:hyperlink>
        </w:p>
        <w:p w14:paraId="622BB36C" w14:textId="14C993D5"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20" w:history="1">
            <w:r w:rsidR="00823630" w:rsidRPr="00357C97">
              <w:rPr>
                <w:rStyle w:val="Hyperlink"/>
              </w:rPr>
              <w:t>3.1</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Operational funding</w:t>
            </w:r>
            <w:r w:rsidR="00823630">
              <w:rPr>
                <w:webHidden/>
              </w:rPr>
              <w:tab/>
            </w:r>
            <w:r w:rsidR="00823630">
              <w:rPr>
                <w:webHidden/>
              </w:rPr>
              <w:fldChar w:fldCharType="begin"/>
            </w:r>
            <w:r w:rsidR="00823630">
              <w:rPr>
                <w:webHidden/>
              </w:rPr>
              <w:instrText xml:space="preserve"> PAGEREF _Toc149245320 \h </w:instrText>
            </w:r>
            <w:r w:rsidR="00823630">
              <w:rPr>
                <w:webHidden/>
              </w:rPr>
            </w:r>
            <w:r w:rsidR="00823630">
              <w:rPr>
                <w:webHidden/>
              </w:rPr>
              <w:fldChar w:fldCharType="separate"/>
            </w:r>
            <w:r w:rsidR="00510AE3">
              <w:rPr>
                <w:webHidden/>
              </w:rPr>
              <w:t>53</w:t>
            </w:r>
            <w:r w:rsidR="00823630">
              <w:rPr>
                <w:webHidden/>
              </w:rPr>
              <w:fldChar w:fldCharType="end"/>
            </w:r>
          </w:hyperlink>
        </w:p>
        <w:p w14:paraId="418F1D7C" w14:textId="19506C20"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21" w:history="1">
            <w:r w:rsidR="00823630" w:rsidRPr="00357C97">
              <w:rPr>
                <w:rStyle w:val="Hyperlink"/>
              </w:rPr>
              <w:t>3.2</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Financial summary</w:t>
            </w:r>
            <w:r w:rsidR="00823630">
              <w:rPr>
                <w:webHidden/>
              </w:rPr>
              <w:tab/>
            </w:r>
            <w:r w:rsidR="00823630">
              <w:rPr>
                <w:webHidden/>
              </w:rPr>
              <w:fldChar w:fldCharType="begin"/>
            </w:r>
            <w:r w:rsidR="00823630">
              <w:rPr>
                <w:webHidden/>
              </w:rPr>
              <w:instrText xml:space="preserve"> PAGEREF _Toc149245321 \h </w:instrText>
            </w:r>
            <w:r w:rsidR="00823630">
              <w:rPr>
                <w:webHidden/>
              </w:rPr>
            </w:r>
            <w:r w:rsidR="00823630">
              <w:rPr>
                <w:webHidden/>
              </w:rPr>
              <w:fldChar w:fldCharType="separate"/>
            </w:r>
            <w:r w:rsidR="00510AE3">
              <w:rPr>
                <w:webHidden/>
              </w:rPr>
              <w:t>55</w:t>
            </w:r>
            <w:r w:rsidR="00823630">
              <w:rPr>
                <w:webHidden/>
              </w:rPr>
              <w:fldChar w:fldCharType="end"/>
            </w:r>
          </w:hyperlink>
        </w:p>
        <w:p w14:paraId="2A6B036D" w14:textId="6CC1986F"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22" w:history="1">
            <w:r w:rsidR="00823630" w:rsidRPr="00357C97">
              <w:rPr>
                <w:rStyle w:val="Hyperlink"/>
              </w:rPr>
              <w:t>3.3</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Financial performance – revenue</w:t>
            </w:r>
            <w:r w:rsidR="00823630">
              <w:rPr>
                <w:webHidden/>
              </w:rPr>
              <w:tab/>
            </w:r>
            <w:r w:rsidR="00823630">
              <w:rPr>
                <w:webHidden/>
              </w:rPr>
              <w:fldChar w:fldCharType="begin"/>
            </w:r>
            <w:r w:rsidR="00823630">
              <w:rPr>
                <w:webHidden/>
              </w:rPr>
              <w:instrText xml:space="preserve"> PAGEREF _Toc149245322 \h </w:instrText>
            </w:r>
            <w:r w:rsidR="00823630">
              <w:rPr>
                <w:webHidden/>
              </w:rPr>
            </w:r>
            <w:r w:rsidR="00823630">
              <w:rPr>
                <w:webHidden/>
              </w:rPr>
              <w:fldChar w:fldCharType="separate"/>
            </w:r>
            <w:r w:rsidR="00510AE3">
              <w:rPr>
                <w:webHidden/>
              </w:rPr>
              <w:t>60</w:t>
            </w:r>
            <w:r w:rsidR="00823630">
              <w:rPr>
                <w:webHidden/>
              </w:rPr>
              <w:fldChar w:fldCharType="end"/>
            </w:r>
          </w:hyperlink>
        </w:p>
        <w:p w14:paraId="666F3D38" w14:textId="10F9ED69"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23" w:history="1">
            <w:r w:rsidR="00823630" w:rsidRPr="00357C97">
              <w:rPr>
                <w:rStyle w:val="Hyperlink"/>
              </w:rPr>
              <w:t>3.4</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Financial performance – expenditure</w:t>
            </w:r>
            <w:r w:rsidR="00823630">
              <w:rPr>
                <w:webHidden/>
              </w:rPr>
              <w:tab/>
            </w:r>
            <w:r w:rsidR="00823630">
              <w:rPr>
                <w:webHidden/>
              </w:rPr>
              <w:fldChar w:fldCharType="begin"/>
            </w:r>
            <w:r w:rsidR="00823630">
              <w:rPr>
                <w:webHidden/>
              </w:rPr>
              <w:instrText xml:space="preserve"> PAGEREF _Toc149245323 \h </w:instrText>
            </w:r>
            <w:r w:rsidR="00823630">
              <w:rPr>
                <w:webHidden/>
              </w:rPr>
            </w:r>
            <w:r w:rsidR="00823630">
              <w:rPr>
                <w:webHidden/>
              </w:rPr>
              <w:fldChar w:fldCharType="separate"/>
            </w:r>
            <w:r w:rsidR="00510AE3">
              <w:rPr>
                <w:webHidden/>
              </w:rPr>
              <w:t>65</w:t>
            </w:r>
            <w:r w:rsidR="00823630">
              <w:rPr>
                <w:webHidden/>
              </w:rPr>
              <w:fldChar w:fldCharType="end"/>
            </w:r>
          </w:hyperlink>
        </w:p>
        <w:p w14:paraId="548C7844" w14:textId="702FE3A0"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24" w:history="1">
            <w:r w:rsidR="00823630" w:rsidRPr="00357C97">
              <w:rPr>
                <w:rStyle w:val="Hyperlink"/>
              </w:rPr>
              <w:t>3.5</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Operating performance</w:t>
            </w:r>
            <w:r w:rsidR="00823630">
              <w:rPr>
                <w:webHidden/>
              </w:rPr>
              <w:tab/>
            </w:r>
            <w:r w:rsidR="00823630">
              <w:rPr>
                <w:webHidden/>
              </w:rPr>
              <w:fldChar w:fldCharType="begin"/>
            </w:r>
            <w:r w:rsidR="00823630">
              <w:rPr>
                <w:webHidden/>
              </w:rPr>
              <w:instrText xml:space="preserve"> PAGEREF _Toc149245324 \h </w:instrText>
            </w:r>
            <w:r w:rsidR="00823630">
              <w:rPr>
                <w:webHidden/>
              </w:rPr>
            </w:r>
            <w:r w:rsidR="00823630">
              <w:rPr>
                <w:webHidden/>
              </w:rPr>
              <w:fldChar w:fldCharType="separate"/>
            </w:r>
            <w:r w:rsidR="00510AE3">
              <w:rPr>
                <w:webHidden/>
              </w:rPr>
              <w:t>70</w:t>
            </w:r>
            <w:r w:rsidR="00823630">
              <w:rPr>
                <w:webHidden/>
              </w:rPr>
              <w:fldChar w:fldCharType="end"/>
            </w:r>
          </w:hyperlink>
        </w:p>
        <w:p w14:paraId="2BEEAA43" w14:textId="195BA041" w:rsidR="00823630" w:rsidRDefault="00502D88">
          <w:pPr>
            <w:pStyle w:val="TOC1"/>
            <w:tabs>
              <w:tab w:val="left" w:pos="480"/>
            </w:tabs>
            <w:rPr>
              <w:rFonts w:asciiTheme="minorHAnsi" w:eastAsiaTheme="minorEastAsia" w:hAnsiTheme="minorHAnsi" w:cstheme="minorBidi"/>
              <w:b w:val="0"/>
              <w:bCs w:val="0"/>
              <w:noProof/>
              <w:color w:val="auto"/>
              <w:kern w:val="2"/>
              <w:sz w:val="22"/>
              <w:szCs w:val="22"/>
              <w:lang w:eastAsia="en-AU"/>
              <w14:ligatures w14:val="standardContextual"/>
            </w:rPr>
          </w:pPr>
          <w:hyperlink w:anchor="_Toc149245325" w:history="1">
            <w:r w:rsidR="00823630" w:rsidRPr="00357C97">
              <w:rPr>
                <w:rStyle w:val="Hyperlink"/>
                <w:noProof/>
              </w:rPr>
              <w:t>4</w:t>
            </w:r>
            <w:r w:rsidR="00823630">
              <w:rPr>
                <w:rFonts w:asciiTheme="minorHAnsi" w:eastAsiaTheme="minorEastAsia" w:hAnsiTheme="minorHAnsi" w:cstheme="minorBidi"/>
                <w:b w:val="0"/>
                <w:bCs w:val="0"/>
                <w:noProof/>
                <w:color w:val="auto"/>
                <w:kern w:val="2"/>
                <w:sz w:val="22"/>
                <w:szCs w:val="22"/>
                <w:lang w:eastAsia="en-AU"/>
                <w14:ligatures w14:val="standardContextual"/>
              </w:rPr>
              <w:tab/>
            </w:r>
            <w:r w:rsidR="00823630" w:rsidRPr="00357C97">
              <w:rPr>
                <w:rStyle w:val="Hyperlink"/>
                <w:noProof/>
              </w:rPr>
              <w:t>Residential care: balance sheet</w:t>
            </w:r>
            <w:r w:rsidR="00823630">
              <w:rPr>
                <w:noProof/>
                <w:webHidden/>
              </w:rPr>
              <w:tab/>
            </w:r>
            <w:r w:rsidR="00823630">
              <w:rPr>
                <w:noProof/>
                <w:webHidden/>
              </w:rPr>
              <w:fldChar w:fldCharType="begin"/>
            </w:r>
            <w:r w:rsidR="00823630">
              <w:rPr>
                <w:noProof/>
                <w:webHidden/>
              </w:rPr>
              <w:instrText xml:space="preserve"> PAGEREF _Toc149245325 \h </w:instrText>
            </w:r>
            <w:r w:rsidR="00823630">
              <w:rPr>
                <w:noProof/>
                <w:webHidden/>
              </w:rPr>
            </w:r>
            <w:r w:rsidR="00823630">
              <w:rPr>
                <w:noProof/>
                <w:webHidden/>
              </w:rPr>
              <w:fldChar w:fldCharType="separate"/>
            </w:r>
            <w:r w:rsidR="00510AE3">
              <w:rPr>
                <w:noProof/>
                <w:webHidden/>
              </w:rPr>
              <w:t>79</w:t>
            </w:r>
            <w:r w:rsidR="00823630">
              <w:rPr>
                <w:noProof/>
                <w:webHidden/>
              </w:rPr>
              <w:fldChar w:fldCharType="end"/>
            </w:r>
          </w:hyperlink>
        </w:p>
        <w:p w14:paraId="7E0692D8" w14:textId="4D0ADA0B"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26" w:history="1">
            <w:r w:rsidR="00823630" w:rsidRPr="00357C97">
              <w:rPr>
                <w:rStyle w:val="Hyperlink"/>
              </w:rPr>
              <w:t>4.1</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Balance sheet</w:t>
            </w:r>
            <w:r w:rsidR="00823630">
              <w:rPr>
                <w:webHidden/>
              </w:rPr>
              <w:tab/>
            </w:r>
            <w:r w:rsidR="00823630">
              <w:rPr>
                <w:webHidden/>
              </w:rPr>
              <w:fldChar w:fldCharType="begin"/>
            </w:r>
            <w:r w:rsidR="00823630">
              <w:rPr>
                <w:webHidden/>
              </w:rPr>
              <w:instrText xml:space="preserve"> PAGEREF _Toc149245326 \h </w:instrText>
            </w:r>
            <w:r w:rsidR="00823630">
              <w:rPr>
                <w:webHidden/>
              </w:rPr>
            </w:r>
            <w:r w:rsidR="00823630">
              <w:rPr>
                <w:webHidden/>
              </w:rPr>
              <w:fldChar w:fldCharType="separate"/>
            </w:r>
            <w:r w:rsidR="00510AE3">
              <w:rPr>
                <w:webHidden/>
              </w:rPr>
              <w:t>79</w:t>
            </w:r>
            <w:r w:rsidR="00823630">
              <w:rPr>
                <w:webHidden/>
              </w:rPr>
              <w:fldChar w:fldCharType="end"/>
            </w:r>
          </w:hyperlink>
        </w:p>
        <w:p w14:paraId="5D3C65BF" w14:textId="694530FB" w:rsidR="00823630" w:rsidRDefault="00502D88">
          <w:pPr>
            <w:pStyle w:val="TOC1"/>
            <w:tabs>
              <w:tab w:val="left" w:pos="480"/>
            </w:tabs>
            <w:rPr>
              <w:rFonts w:asciiTheme="minorHAnsi" w:eastAsiaTheme="minorEastAsia" w:hAnsiTheme="minorHAnsi" w:cstheme="minorBidi"/>
              <w:b w:val="0"/>
              <w:bCs w:val="0"/>
              <w:noProof/>
              <w:color w:val="auto"/>
              <w:kern w:val="2"/>
              <w:sz w:val="22"/>
              <w:szCs w:val="22"/>
              <w:lang w:eastAsia="en-AU"/>
              <w14:ligatures w14:val="standardContextual"/>
            </w:rPr>
          </w:pPr>
          <w:hyperlink w:anchor="_Toc149245327" w:history="1">
            <w:r w:rsidR="00823630" w:rsidRPr="00357C97">
              <w:rPr>
                <w:rStyle w:val="Hyperlink"/>
                <w:noProof/>
              </w:rPr>
              <w:t>5</w:t>
            </w:r>
            <w:r w:rsidR="00823630">
              <w:rPr>
                <w:rFonts w:asciiTheme="minorHAnsi" w:eastAsiaTheme="minorEastAsia" w:hAnsiTheme="minorHAnsi" w:cstheme="minorBidi"/>
                <w:b w:val="0"/>
                <w:bCs w:val="0"/>
                <w:noProof/>
                <w:color w:val="auto"/>
                <w:kern w:val="2"/>
                <w:sz w:val="22"/>
                <w:szCs w:val="22"/>
                <w:lang w:eastAsia="en-AU"/>
                <w14:ligatures w14:val="standardContextual"/>
              </w:rPr>
              <w:tab/>
            </w:r>
            <w:r w:rsidR="00823630" w:rsidRPr="00357C97">
              <w:rPr>
                <w:rStyle w:val="Hyperlink"/>
                <w:noProof/>
              </w:rPr>
              <w:t>Commonwealth Home Support Programme</w:t>
            </w:r>
            <w:r w:rsidR="00823630">
              <w:rPr>
                <w:noProof/>
                <w:webHidden/>
              </w:rPr>
              <w:tab/>
            </w:r>
            <w:r w:rsidR="00823630">
              <w:rPr>
                <w:noProof/>
                <w:webHidden/>
              </w:rPr>
              <w:fldChar w:fldCharType="begin"/>
            </w:r>
            <w:r w:rsidR="00823630">
              <w:rPr>
                <w:noProof/>
                <w:webHidden/>
              </w:rPr>
              <w:instrText xml:space="preserve"> PAGEREF _Toc149245327 \h </w:instrText>
            </w:r>
            <w:r w:rsidR="00823630">
              <w:rPr>
                <w:noProof/>
                <w:webHidden/>
              </w:rPr>
            </w:r>
            <w:r w:rsidR="00823630">
              <w:rPr>
                <w:noProof/>
                <w:webHidden/>
              </w:rPr>
              <w:fldChar w:fldCharType="separate"/>
            </w:r>
            <w:r w:rsidR="00510AE3">
              <w:rPr>
                <w:noProof/>
                <w:webHidden/>
              </w:rPr>
              <w:t>100</w:t>
            </w:r>
            <w:r w:rsidR="00823630">
              <w:rPr>
                <w:noProof/>
                <w:webHidden/>
              </w:rPr>
              <w:fldChar w:fldCharType="end"/>
            </w:r>
          </w:hyperlink>
        </w:p>
        <w:p w14:paraId="71184532" w14:textId="0DB00F33"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28" w:history="1">
            <w:r w:rsidR="00823630" w:rsidRPr="00357C97">
              <w:rPr>
                <w:rStyle w:val="Hyperlink"/>
              </w:rPr>
              <w:t>5.1</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Recipients</w:t>
            </w:r>
            <w:r w:rsidR="00823630">
              <w:rPr>
                <w:webHidden/>
              </w:rPr>
              <w:tab/>
            </w:r>
            <w:r w:rsidR="00823630">
              <w:rPr>
                <w:webHidden/>
              </w:rPr>
              <w:fldChar w:fldCharType="begin"/>
            </w:r>
            <w:r w:rsidR="00823630">
              <w:rPr>
                <w:webHidden/>
              </w:rPr>
              <w:instrText xml:space="preserve"> PAGEREF _Toc149245328 \h </w:instrText>
            </w:r>
            <w:r w:rsidR="00823630">
              <w:rPr>
                <w:webHidden/>
              </w:rPr>
            </w:r>
            <w:r w:rsidR="00823630">
              <w:rPr>
                <w:webHidden/>
              </w:rPr>
              <w:fldChar w:fldCharType="separate"/>
            </w:r>
            <w:r w:rsidR="00510AE3">
              <w:rPr>
                <w:webHidden/>
              </w:rPr>
              <w:t>100</w:t>
            </w:r>
            <w:r w:rsidR="00823630">
              <w:rPr>
                <w:webHidden/>
              </w:rPr>
              <w:fldChar w:fldCharType="end"/>
            </w:r>
          </w:hyperlink>
        </w:p>
        <w:p w14:paraId="4B23962F" w14:textId="234AC872" w:rsidR="00823630" w:rsidRDefault="00502D88">
          <w:pPr>
            <w:pStyle w:val="TOC2"/>
            <w:tabs>
              <w:tab w:val="left" w:pos="720"/>
            </w:tabs>
            <w:rPr>
              <w:rFonts w:asciiTheme="minorHAnsi" w:eastAsiaTheme="minorEastAsia" w:hAnsiTheme="minorHAnsi" w:cstheme="minorBidi"/>
              <w:color w:val="auto"/>
              <w:kern w:val="2"/>
              <w:sz w:val="22"/>
              <w:szCs w:val="22"/>
              <w:lang w:eastAsia="en-AU"/>
              <w14:ligatures w14:val="standardContextual"/>
            </w:rPr>
          </w:pPr>
          <w:hyperlink w:anchor="_Toc149245329" w:history="1">
            <w:r w:rsidR="00823630" w:rsidRPr="00357C97">
              <w:rPr>
                <w:rStyle w:val="Hyperlink"/>
              </w:rPr>
              <w:t>5.2</w:t>
            </w:r>
            <w:r w:rsidR="00823630">
              <w:rPr>
                <w:rFonts w:asciiTheme="minorHAnsi" w:eastAsiaTheme="minorEastAsia" w:hAnsiTheme="minorHAnsi" w:cstheme="minorBidi"/>
                <w:color w:val="auto"/>
                <w:kern w:val="2"/>
                <w:sz w:val="22"/>
                <w:szCs w:val="22"/>
                <w:lang w:eastAsia="en-AU"/>
                <w14:ligatures w14:val="standardContextual"/>
              </w:rPr>
              <w:tab/>
            </w:r>
            <w:r w:rsidR="00823630" w:rsidRPr="00357C97">
              <w:rPr>
                <w:rStyle w:val="Hyperlink"/>
              </w:rPr>
              <w:t>Providers</w:t>
            </w:r>
            <w:r w:rsidR="00823630">
              <w:rPr>
                <w:webHidden/>
              </w:rPr>
              <w:tab/>
            </w:r>
            <w:r w:rsidR="00823630">
              <w:rPr>
                <w:webHidden/>
              </w:rPr>
              <w:fldChar w:fldCharType="begin"/>
            </w:r>
            <w:r w:rsidR="00823630">
              <w:rPr>
                <w:webHidden/>
              </w:rPr>
              <w:instrText xml:space="preserve"> PAGEREF _Toc149245329 \h </w:instrText>
            </w:r>
            <w:r w:rsidR="00823630">
              <w:rPr>
                <w:webHidden/>
              </w:rPr>
            </w:r>
            <w:r w:rsidR="00823630">
              <w:rPr>
                <w:webHidden/>
              </w:rPr>
              <w:fldChar w:fldCharType="separate"/>
            </w:r>
            <w:r w:rsidR="00510AE3">
              <w:rPr>
                <w:webHidden/>
              </w:rPr>
              <w:t>101</w:t>
            </w:r>
            <w:r w:rsidR="00823630">
              <w:rPr>
                <w:webHidden/>
              </w:rPr>
              <w:fldChar w:fldCharType="end"/>
            </w:r>
          </w:hyperlink>
        </w:p>
        <w:p w14:paraId="2F456F34" w14:textId="267BCC1C" w:rsidR="00823630" w:rsidRDefault="00502D88">
          <w:pPr>
            <w:pStyle w:val="TOC1"/>
            <w:tabs>
              <w:tab w:val="left" w:pos="480"/>
            </w:tabs>
            <w:rPr>
              <w:rFonts w:asciiTheme="minorHAnsi" w:eastAsiaTheme="minorEastAsia" w:hAnsiTheme="minorHAnsi" w:cstheme="minorBidi"/>
              <w:b w:val="0"/>
              <w:bCs w:val="0"/>
              <w:noProof/>
              <w:color w:val="auto"/>
              <w:kern w:val="2"/>
              <w:sz w:val="22"/>
              <w:szCs w:val="22"/>
              <w:lang w:eastAsia="en-AU"/>
              <w14:ligatures w14:val="standardContextual"/>
            </w:rPr>
          </w:pPr>
          <w:hyperlink w:anchor="_Toc149245330" w:history="1">
            <w:r w:rsidR="00823630" w:rsidRPr="00357C97">
              <w:rPr>
                <w:rStyle w:val="Hyperlink"/>
                <w:noProof/>
              </w:rPr>
              <w:t>6</w:t>
            </w:r>
            <w:r w:rsidR="00823630">
              <w:rPr>
                <w:rFonts w:asciiTheme="minorHAnsi" w:eastAsiaTheme="minorEastAsia" w:hAnsiTheme="minorHAnsi" w:cstheme="minorBidi"/>
                <w:b w:val="0"/>
                <w:bCs w:val="0"/>
                <w:noProof/>
                <w:color w:val="auto"/>
                <w:kern w:val="2"/>
                <w:sz w:val="22"/>
                <w:szCs w:val="22"/>
                <w:lang w:eastAsia="en-AU"/>
                <w14:ligatures w14:val="standardContextual"/>
              </w:rPr>
              <w:tab/>
            </w:r>
            <w:r w:rsidR="00823630" w:rsidRPr="00357C97">
              <w:rPr>
                <w:rStyle w:val="Hyperlink"/>
                <w:noProof/>
              </w:rPr>
              <w:t>Future demand for aged care</w:t>
            </w:r>
            <w:r w:rsidR="00823630">
              <w:rPr>
                <w:noProof/>
                <w:webHidden/>
              </w:rPr>
              <w:tab/>
            </w:r>
            <w:r w:rsidR="00823630">
              <w:rPr>
                <w:noProof/>
                <w:webHidden/>
              </w:rPr>
              <w:fldChar w:fldCharType="begin"/>
            </w:r>
            <w:r w:rsidR="00823630">
              <w:rPr>
                <w:noProof/>
                <w:webHidden/>
              </w:rPr>
              <w:instrText xml:space="preserve"> PAGEREF _Toc149245330 \h </w:instrText>
            </w:r>
            <w:r w:rsidR="00823630">
              <w:rPr>
                <w:noProof/>
                <w:webHidden/>
              </w:rPr>
            </w:r>
            <w:r w:rsidR="00823630">
              <w:rPr>
                <w:noProof/>
                <w:webHidden/>
              </w:rPr>
              <w:fldChar w:fldCharType="separate"/>
            </w:r>
            <w:r w:rsidR="00510AE3">
              <w:rPr>
                <w:noProof/>
                <w:webHidden/>
              </w:rPr>
              <w:t>105</w:t>
            </w:r>
            <w:r w:rsidR="00823630">
              <w:rPr>
                <w:noProof/>
                <w:webHidden/>
              </w:rPr>
              <w:fldChar w:fldCharType="end"/>
            </w:r>
          </w:hyperlink>
        </w:p>
        <w:p w14:paraId="15C7E779" w14:textId="3192D759" w:rsidR="00823630" w:rsidRDefault="00502D88">
          <w:pPr>
            <w:pStyle w:val="TOC1"/>
            <w:rPr>
              <w:rFonts w:asciiTheme="minorHAnsi" w:eastAsiaTheme="minorEastAsia" w:hAnsiTheme="minorHAnsi" w:cstheme="minorBidi"/>
              <w:b w:val="0"/>
              <w:bCs w:val="0"/>
              <w:noProof/>
              <w:color w:val="auto"/>
              <w:kern w:val="2"/>
              <w:sz w:val="22"/>
              <w:szCs w:val="22"/>
              <w:lang w:eastAsia="en-AU"/>
              <w14:ligatures w14:val="standardContextual"/>
            </w:rPr>
          </w:pPr>
          <w:hyperlink w:anchor="_Toc149245331" w:history="1">
            <w:r w:rsidR="00823630" w:rsidRPr="00357C97">
              <w:rPr>
                <w:rStyle w:val="Hyperlink"/>
                <w:noProof/>
              </w:rPr>
              <w:t>Glossary</w:t>
            </w:r>
            <w:r w:rsidR="00823630">
              <w:rPr>
                <w:noProof/>
                <w:webHidden/>
              </w:rPr>
              <w:tab/>
            </w:r>
            <w:r w:rsidR="00823630">
              <w:rPr>
                <w:noProof/>
                <w:webHidden/>
              </w:rPr>
              <w:fldChar w:fldCharType="begin"/>
            </w:r>
            <w:r w:rsidR="00823630">
              <w:rPr>
                <w:noProof/>
                <w:webHidden/>
              </w:rPr>
              <w:instrText xml:space="preserve"> PAGEREF _Toc149245331 \h </w:instrText>
            </w:r>
            <w:r w:rsidR="00823630">
              <w:rPr>
                <w:noProof/>
                <w:webHidden/>
              </w:rPr>
            </w:r>
            <w:r w:rsidR="00823630">
              <w:rPr>
                <w:noProof/>
                <w:webHidden/>
              </w:rPr>
              <w:fldChar w:fldCharType="separate"/>
            </w:r>
            <w:r w:rsidR="00510AE3">
              <w:rPr>
                <w:noProof/>
                <w:webHidden/>
              </w:rPr>
              <w:t>134</w:t>
            </w:r>
            <w:r w:rsidR="00823630">
              <w:rPr>
                <w:noProof/>
                <w:webHidden/>
              </w:rPr>
              <w:fldChar w:fldCharType="end"/>
            </w:r>
          </w:hyperlink>
        </w:p>
        <w:p w14:paraId="3107CEAC" w14:textId="19196601" w:rsidR="00823630" w:rsidRDefault="00502D88">
          <w:pPr>
            <w:pStyle w:val="TOC1"/>
            <w:rPr>
              <w:rFonts w:asciiTheme="minorHAnsi" w:eastAsiaTheme="minorEastAsia" w:hAnsiTheme="minorHAnsi" w:cstheme="minorBidi"/>
              <w:b w:val="0"/>
              <w:bCs w:val="0"/>
              <w:noProof/>
              <w:color w:val="auto"/>
              <w:kern w:val="2"/>
              <w:sz w:val="22"/>
              <w:szCs w:val="22"/>
              <w:lang w:eastAsia="en-AU"/>
              <w14:ligatures w14:val="standardContextual"/>
            </w:rPr>
          </w:pPr>
          <w:hyperlink w:anchor="_Toc149245332" w:history="1">
            <w:r w:rsidR="00823630" w:rsidRPr="00357C97">
              <w:rPr>
                <w:rStyle w:val="Hyperlink"/>
                <w:noProof/>
              </w:rPr>
              <w:t>Charts, tables and figures index</w:t>
            </w:r>
            <w:r w:rsidR="00823630">
              <w:rPr>
                <w:noProof/>
                <w:webHidden/>
              </w:rPr>
              <w:tab/>
            </w:r>
            <w:r w:rsidR="00823630">
              <w:rPr>
                <w:noProof/>
                <w:webHidden/>
              </w:rPr>
              <w:fldChar w:fldCharType="begin"/>
            </w:r>
            <w:r w:rsidR="00823630">
              <w:rPr>
                <w:noProof/>
                <w:webHidden/>
              </w:rPr>
              <w:instrText xml:space="preserve"> PAGEREF _Toc149245332 \h </w:instrText>
            </w:r>
            <w:r w:rsidR="00823630">
              <w:rPr>
                <w:noProof/>
                <w:webHidden/>
              </w:rPr>
            </w:r>
            <w:r w:rsidR="00823630">
              <w:rPr>
                <w:noProof/>
                <w:webHidden/>
              </w:rPr>
              <w:fldChar w:fldCharType="separate"/>
            </w:r>
            <w:r w:rsidR="00510AE3">
              <w:rPr>
                <w:noProof/>
                <w:webHidden/>
              </w:rPr>
              <w:t>140</w:t>
            </w:r>
            <w:r w:rsidR="00823630">
              <w:rPr>
                <w:noProof/>
                <w:webHidden/>
              </w:rPr>
              <w:fldChar w:fldCharType="end"/>
            </w:r>
          </w:hyperlink>
        </w:p>
        <w:p w14:paraId="13905B6D" w14:textId="1A50E364" w:rsidR="00823630" w:rsidRDefault="00502D88">
          <w:pPr>
            <w:pStyle w:val="TOC2"/>
            <w:rPr>
              <w:rFonts w:asciiTheme="minorHAnsi" w:eastAsiaTheme="minorEastAsia" w:hAnsiTheme="minorHAnsi" w:cstheme="minorBidi"/>
              <w:color w:val="auto"/>
              <w:kern w:val="2"/>
              <w:sz w:val="22"/>
              <w:szCs w:val="22"/>
              <w:lang w:eastAsia="en-AU"/>
              <w14:ligatures w14:val="standardContextual"/>
            </w:rPr>
          </w:pPr>
          <w:hyperlink w:anchor="_Toc149245333" w:history="1">
            <w:r w:rsidR="00823630" w:rsidRPr="00357C97">
              <w:rPr>
                <w:rStyle w:val="Hyperlink"/>
              </w:rPr>
              <w:t>Charts</w:t>
            </w:r>
            <w:r w:rsidR="00823630">
              <w:rPr>
                <w:webHidden/>
              </w:rPr>
              <w:tab/>
            </w:r>
            <w:r w:rsidR="00823630">
              <w:rPr>
                <w:webHidden/>
              </w:rPr>
              <w:fldChar w:fldCharType="begin"/>
            </w:r>
            <w:r w:rsidR="00823630">
              <w:rPr>
                <w:webHidden/>
              </w:rPr>
              <w:instrText xml:space="preserve"> PAGEREF _Toc149245333 \h </w:instrText>
            </w:r>
            <w:r w:rsidR="00823630">
              <w:rPr>
                <w:webHidden/>
              </w:rPr>
            </w:r>
            <w:r w:rsidR="00823630">
              <w:rPr>
                <w:webHidden/>
              </w:rPr>
              <w:fldChar w:fldCharType="separate"/>
            </w:r>
            <w:r w:rsidR="00510AE3">
              <w:rPr>
                <w:webHidden/>
              </w:rPr>
              <w:t>140</w:t>
            </w:r>
            <w:r w:rsidR="00823630">
              <w:rPr>
                <w:webHidden/>
              </w:rPr>
              <w:fldChar w:fldCharType="end"/>
            </w:r>
          </w:hyperlink>
        </w:p>
        <w:p w14:paraId="24102E41" w14:textId="08AC5D84" w:rsidR="00823630" w:rsidRDefault="00502D88">
          <w:pPr>
            <w:pStyle w:val="TOC2"/>
            <w:rPr>
              <w:rFonts w:asciiTheme="minorHAnsi" w:eastAsiaTheme="minorEastAsia" w:hAnsiTheme="minorHAnsi" w:cstheme="minorBidi"/>
              <w:color w:val="auto"/>
              <w:kern w:val="2"/>
              <w:sz w:val="22"/>
              <w:szCs w:val="22"/>
              <w:lang w:eastAsia="en-AU"/>
              <w14:ligatures w14:val="standardContextual"/>
            </w:rPr>
          </w:pPr>
          <w:hyperlink w:anchor="_Toc149245334" w:history="1">
            <w:r w:rsidR="00823630" w:rsidRPr="00357C97">
              <w:rPr>
                <w:rStyle w:val="Hyperlink"/>
              </w:rPr>
              <w:t>Tables</w:t>
            </w:r>
            <w:r w:rsidR="00823630">
              <w:rPr>
                <w:webHidden/>
              </w:rPr>
              <w:tab/>
            </w:r>
            <w:r w:rsidR="00823630">
              <w:rPr>
                <w:webHidden/>
              </w:rPr>
              <w:fldChar w:fldCharType="begin"/>
            </w:r>
            <w:r w:rsidR="00823630">
              <w:rPr>
                <w:webHidden/>
              </w:rPr>
              <w:instrText xml:space="preserve"> PAGEREF _Toc149245334 \h </w:instrText>
            </w:r>
            <w:r w:rsidR="00823630">
              <w:rPr>
                <w:webHidden/>
              </w:rPr>
            </w:r>
            <w:r w:rsidR="00823630">
              <w:rPr>
                <w:webHidden/>
              </w:rPr>
              <w:fldChar w:fldCharType="separate"/>
            </w:r>
            <w:r w:rsidR="00510AE3">
              <w:rPr>
                <w:webHidden/>
              </w:rPr>
              <w:t>143</w:t>
            </w:r>
            <w:r w:rsidR="00823630">
              <w:rPr>
                <w:webHidden/>
              </w:rPr>
              <w:fldChar w:fldCharType="end"/>
            </w:r>
          </w:hyperlink>
        </w:p>
        <w:p w14:paraId="1BCB3C4C" w14:textId="40FD1202" w:rsidR="00823630" w:rsidRDefault="00502D88">
          <w:pPr>
            <w:pStyle w:val="TOC2"/>
            <w:rPr>
              <w:rFonts w:asciiTheme="minorHAnsi" w:eastAsiaTheme="minorEastAsia" w:hAnsiTheme="minorHAnsi" w:cstheme="minorBidi"/>
              <w:color w:val="auto"/>
              <w:kern w:val="2"/>
              <w:sz w:val="22"/>
              <w:szCs w:val="22"/>
              <w:lang w:eastAsia="en-AU"/>
              <w14:ligatures w14:val="standardContextual"/>
            </w:rPr>
          </w:pPr>
          <w:hyperlink w:anchor="_Toc149245335" w:history="1">
            <w:r w:rsidR="00823630" w:rsidRPr="00357C97">
              <w:rPr>
                <w:rStyle w:val="Hyperlink"/>
              </w:rPr>
              <w:t>Figures</w:t>
            </w:r>
            <w:r w:rsidR="00823630">
              <w:rPr>
                <w:webHidden/>
              </w:rPr>
              <w:tab/>
            </w:r>
            <w:r w:rsidR="00823630">
              <w:rPr>
                <w:webHidden/>
              </w:rPr>
              <w:fldChar w:fldCharType="begin"/>
            </w:r>
            <w:r w:rsidR="00823630">
              <w:rPr>
                <w:webHidden/>
              </w:rPr>
              <w:instrText xml:space="preserve"> PAGEREF _Toc149245335 \h </w:instrText>
            </w:r>
            <w:r w:rsidR="00823630">
              <w:rPr>
                <w:webHidden/>
              </w:rPr>
            </w:r>
            <w:r w:rsidR="00823630">
              <w:rPr>
                <w:webHidden/>
              </w:rPr>
              <w:fldChar w:fldCharType="separate"/>
            </w:r>
            <w:r w:rsidR="00510AE3">
              <w:rPr>
                <w:webHidden/>
              </w:rPr>
              <w:t>144</w:t>
            </w:r>
            <w:r w:rsidR="00823630">
              <w:rPr>
                <w:webHidden/>
              </w:rPr>
              <w:fldChar w:fldCharType="end"/>
            </w:r>
          </w:hyperlink>
        </w:p>
        <w:p w14:paraId="790FF3B0" w14:textId="5ED4EA6D" w:rsidR="003360BA" w:rsidRDefault="003360BA">
          <w:pPr>
            <w:sectPr w:rsidR="003360BA" w:rsidSect="000D706A">
              <w:headerReference w:type="even" r:id="rId15"/>
              <w:headerReference w:type="default" r:id="rId16"/>
              <w:footerReference w:type="even" r:id="rId17"/>
              <w:headerReference w:type="first" r:id="rId18"/>
              <w:pgSz w:w="11906" w:h="16838"/>
              <w:pgMar w:top="1701" w:right="1418" w:bottom="1418" w:left="1418" w:header="709" w:footer="709" w:gutter="0"/>
              <w:cols w:space="708"/>
              <w:docGrid w:linePitch="360"/>
            </w:sectPr>
          </w:pPr>
          <w:r w:rsidRPr="000E4ABF">
            <w:rPr>
              <w:b/>
              <w:bCs/>
              <w:noProof/>
            </w:rPr>
            <w:fldChar w:fldCharType="end"/>
          </w:r>
        </w:p>
      </w:sdtContent>
    </w:sdt>
    <w:p w14:paraId="24556FB7" w14:textId="514E552E" w:rsidR="002B7BBE" w:rsidRPr="008E2604" w:rsidRDefault="00875B05" w:rsidP="008E2604">
      <w:r w:rsidRPr="008E2604">
        <w:br w:type="page"/>
      </w:r>
    </w:p>
    <w:p w14:paraId="4DA87EB7" w14:textId="77777777" w:rsidR="00C4585D" w:rsidRDefault="00C4585D" w:rsidP="00B44EFB">
      <w:pPr>
        <w:pStyle w:val="SectionTitle"/>
        <w:sectPr w:rsidR="00C4585D" w:rsidSect="00FF7FC3">
          <w:type w:val="continuous"/>
          <w:pgSz w:w="11906" w:h="16838"/>
          <w:pgMar w:top="1701" w:right="1418" w:bottom="1418" w:left="1418" w:header="709" w:footer="709" w:gutter="0"/>
          <w:cols w:space="708"/>
          <w:docGrid w:linePitch="360"/>
        </w:sectPr>
      </w:pPr>
    </w:p>
    <w:p w14:paraId="7E0BF7D6" w14:textId="2D359FDB" w:rsidR="00283948" w:rsidRPr="008E2604" w:rsidRDefault="00283948" w:rsidP="008E2604">
      <w:r w:rsidRPr="008E2604">
        <w:rPr>
          <w:noProof/>
        </w:rPr>
        <w:lastRenderedPageBreak/>
        <w:drawing>
          <wp:anchor distT="0" distB="0" distL="114300" distR="114300" simplePos="0" relativeHeight="251640832" behindDoc="0" locked="0" layoutInCell="1" allowOverlap="1" wp14:anchorId="48E68736" wp14:editId="748FA3D9">
            <wp:simplePos x="0" y="0"/>
            <wp:positionH relativeFrom="page">
              <wp:posOffset>19050</wp:posOffset>
            </wp:positionH>
            <wp:positionV relativeFrom="paragraph">
              <wp:posOffset>-1078230</wp:posOffset>
            </wp:positionV>
            <wp:extent cx="7530353" cy="9672396"/>
            <wp:effectExtent l="0" t="0" r="0" b="5080"/>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30353" cy="96723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2604">
        <w:br w:type="page"/>
      </w:r>
    </w:p>
    <w:p w14:paraId="314B64A1" w14:textId="27C9A6AD" w:rsidR="00A63A7A" w:rsidRPr="00757D47" w:rsidRDefault="00CA7630" w:rsidP="008A6FDC">
      <w:pPr>
        <w:pStyle w:val="Heading1nonumber"/>
      </w:pPr>
      <w:bookmarkStart w:id="0" w:name="_Toc149245289"/>
      <w:r w:rsidRPr="00DA013E">
        <w:lastRenderedPageBreak/>
        <w:t>Introduction</w:t>
      </w:r>
      <w:bookmarkEnd w:id="0"/>
    </w:p>
    <w:p w14:paraId="1B7280FF" w14:textId="74B4F449" w:rsidR="00F57BDF" w:rsidRDefault="00C25186" w:rsidP="00024089">
      <w:pPr>
        <w:pStyle w:val="PullOut"/>
      </w:pPr>
      <w:r>
        <w:t>The</w:t>
      </w:r>
      <w:r>
        <w:rPr>
          <w:spacing w:val="-1"/>
        </w:rPr>
        <w:t xml:space="preserve"> </w:t>
      </w:r>
      <w:r>
        <w:t>Department</w:t>
      </w:r>
      <w:r>
        <w:rPr>
          <w:spacing w:val="-1"/>
        </w:rPr>
        <w:t xml:space="preserve"> </w:t>
      </w:r>
      <w:r>
        <w:t>of</w:t>
      </w:r>
      <w:r>
        <w:rPr>
          <w:spacing w:val="-1"/>
        </w:rPr>
        <w:t xml:space="preserve"> </w:t>
      </w:r>
      <w:r>
        <w:t>Health</w:t>
      </w:r>
      <w:r>
        <w:rPr>
          <w:spacing w:val="-1"/>
        </w:rPr>
        <w:t xml:space="preserve"> </w:t>
      </w:r>
      <w:r>
        <w:t>and</w:t>
      </w:r>
      <w:r>
        <w:rPr>
          <w:spacing w:val="-1"/>
        </w:rPr>
        <w:t xml:space="preserve"> </w:t>
      </w:r>
      <w:r>
        <w:t>Aged</w:t>
      </w:r>
      <w:r>
        <w:rPr>
          <w:spacing w:val="-1"/>
        </w:rPr>
        <w:t xml:space="preserve"> </w:t>
      </w:r>
      <w:r>
        <w:t>Care</w:t>
      </w:r>
      <w:r>
        <w:rPr>
          <w:spacing w:val="-1"/>
        </w:rPr>
        <w:t xml:space="preserve"> </w:t>
      </w:r>
      <w:r>
        <w:t>has</w:t>
      </w:r>
      <w:r>
        <w:rPr>
          <w:spacing w:val="-1"/>
        </w:rPr>
        <w:t xml:space="preserve"> </w:t>
      </w:r>
      <w:r>
        <w:t xml:space="preserve">prepared the </w:t>
      </w:r>
      <w:r w:rsidR="004E7574">
        <w:t>2021</w:t>
      </w:r>
      <w:r w:rsidR="18A995A5">
        <w:t>-</w:t>
      </w:r>
      <w:r w:rsidR="004E7574">
        <w:t>22</w:t>
      </w:r>
      <w:r>
        <w:rPr>
          <w:spacing w:val="-9"/>
        </w:rPr>
        <w:t xml:space="preserve"> </w:t>
      </w:r>
      <w:r>
        <w:t>Financial</w:t>
      </w:r>
      <w:r>
        <w:rPr>
          <w:spacing w:val="-9"/>
        </w:rPr>
        <w:t xml:space="preserve"> </w:t>
      </w:r>
      <w:r>
        <w:t>Report</w:t>
      </w:r>
      <w:r>
        <w:rPr>
          <w:spacing w:val="-9"/>
        </w:rPr>
        <w:t xml:space="preserve"> </w:t>
      </w:r>
      <w:r>
        <w:t>on</w:t>
      </w:r>
      <w:r>
        <w:rPr>
          <w:spacing w:val="-9"/>
        </w:rPr>
        <w:t xml:space="preserve"> </w:t>
      </w:r>
      <w:r>
        <w:t>the</w:t>
      </w:r>
      <w:r>
        <w:rPr>
          <w:spacing w:val="-9"/>
        </w:rPr>
        <w:t xml:space="preserve"> </w:t>
      </w:r>
      <w:r>
        <w:t>Australian</w:t>
      </w:r>
      <w:r>
        <w:rPr>
          <w:spacing w:val="-9"/>
        </w:rPr>
        <w:t xml:space="preserve"> </w:t>
      </w:r>
      <w:r>
        <w:t>Aged</w:t>
      </w:r>
      <w:r>
        <w:rPr>
          <w:spacing w:val="-9"/>
        </w:rPr>
        <w:t xml:space="preserve"> </w:t>
      </w:r>
      <w:r>
        <w:t>Care</w:t>
      </w:r>
      <w:r>
        <w:rPr>
          <w:spacing w:val="-9"/>
        </w:rPr>
        <w:t xml:space="preserve"> </w:t>
      </w:r>
      <w:r>
        <w:t>Sector to share data and analysis on the financial performance</w:t>
      </w:r>
      <w:r w:rsidR="00B3297A">
        <w:t xml:space="preserve"> </w:t>
      </w:r>
      <w:r w:rsidR="00F44027">
        <w:t xml:space="preserve">of </w:t>
      </w:r>
      <w:r w:rsidR="006A0598">
        <w:t xml:space="preserve">the </w:t>
      </w:r>
      <w:r w:rsidR="00B473A8">
        <w:t>sector</w:t>
      </w:r>
      <w:r w:rsidR="00F57BDF">
        <w:t>.</w:t>
      </w:r>
    </w:p>
    <w:p w14:paraId="6C005153" w14:textId="38BF128B" w:rsidR="00C25186" w:rsidRDefault="00F57BDF" w:rsidP="00C25186">
      <w:r>
        <w:t>Th</w:t>
      </w:r>
      <w:r w:rsidR="00A66D8A">
        <w:t>is report covers</w:t>
      </w:r>
      <w:r w:rsidR="00B473A8" w:rsidDel="00A66D8A">
        <w:t xml:space="preserve"> </w:t>
      </w:r>
      <w:r w:rsidR="00F44027">
        <w:t xml:space="preserve">home care </w:t>
      </w:r>
      <w:r w:rsidR="00DE5F6A">
        <w:t>(including the Commonwealth Home Support Programme)</w:t>
      </w:r>
      <w:r w:rsidR="00F44027">
        <w:t xml:space="preserve"> and </w:t>
      </w:r>
      <w:r w:rsidR="00B3297A">
        <w:t xml:space="preserve">residential </w:t>
      </w:r>
      <w:r w:rsidR="006A0598">
        <w:t>aged care</w:t>
      </w:r>
      <w:r w:rsidR="005B053D">
        <w:t>.</w:t>
      </w:r>
    </w:p>
    <w:p w14:paraId="633CD902" w14:textId="161D7F24" w:rsidR="00530F82" w:rsidRDefault="00251A3C" w:rsidP="00C25186">
      <w:r>
        <w:rPr>
          <w:spacing w:val="-2"/>
        </w:rPr>
        <w:t>The Financial Report on the Australian Aged Care Sector (FRAACS)</w:t>
      </w:r>
      <w:r w:rsidR="00530F82" w:rsidRPr="00AD41F0">
        <w:t xml:space="preserve"> is principally based on providers’ performance </w:t>
      </w:r>
      <w:r w:rsidR="00530F82">
        <w:t>for</w:t>
      </w:r>
      <w:r w:rsidR="00530F82" w:rsidRPr="00AD41F0">
        <w:t xml:space="preserve"> </w:t>
      </w:r>
      <w:r w:rsidR="00530F82">
        <w:t>the</w:t>
      </w:r>
      <w:r w:rsidR="00530F82" w:rsidRPr="00AD41F0">
        <w:t xml:space="preserve"> </w:t>
      </w:r>
      <w:r w:rsidR="00530F82">
        <w:t>2021–22</w:t>
      </w:r>
      <w:r w:rsidR="00530F82" w:rsidRPr="00AD41F0">
        <w:t xml:space="preserve"> </w:t>
      </w:r>
      <w:r w:rsidR="00530F82">
        <w:t>financial</w:t>
      </w:r>
      <w:r w:rsidR="00530F82" w:rsidRPr="00AD41F0">
        <w:t xml:space="preserve"> </w:t>
      </w:r>
      <w:r w:rsidR="00530F82">
        <w:t>year and shows relevant comparisons from previous years.</w:t>
      </w:r>
    </w:p>
    <w:p w14:paraId="4B026A91" w14:textId="4AA27FD8" w:rsidR="00DD40A2" w:rsidRPr="00204DF0" w:rsidRDefault="00C25186" w:rsidP="00204DF0">
      <w:pPr>
        <w:rPr>
          <w:rStyle w:val="Strong"/>
        </w:rPr>
      </w:pPr>
      <w:r w:rsidRPr="00204DF0">
        <w:rPr>
          <w:rStyle w:val="Strong"/>
        </w:rPr>
        <w:t xml:space="preserve">The objective of this report is to </w:t>
      </w:r>
      <w:r w:rsidR="00B13D49" w:rsidRPr="00204DF0">
        <w:rPr>
          <w:rStyle w:val="Strong"/>
        </w:rPr>
        <w:t>increase</w:t>
      </w:r>
      <w:r w:rsidRPr="00204DF0">
        <w:rPr>
          <w:rStyle w:val="Strong"/>
        </w:rPr>
        <w:t xml:space="preserve"> transparency of the aged care sector, and help older Australians, their families and carers make informed decisions about their care.</w:t>
      </w:r>
      <w:r w:rsidR="00B13D49" w:rsidRPr="00204DF0">
        <w:rPr>
          <w:rStyle w:val="Strong"/>
        </w:rPr>
        <w:t xml:space="preserve"> </w:t>
      </w:r>
    </w:p>
    <w:p w14:paraId="305E054F" w14:textId="4D798C26" w:rsidR="00C25186" w:rsidRPr="00204DF0" w:rsidRDefault="00320EB4" w:rsidP="00204DF0">
      <w:pPr>
        <w:rPr>
          <w:rStyle w:val="Strong"/>
        </w:rPr>
      </w:pPr>
      <w:r w:rsidRPr="00204DF0">
        <w:rPr>
          <w:rStyle w:val="Strong"/>
        </w:rPr>
        <w:t xml:space="preserve">Aged care service providers can also use the report to </w:t>
      </w:r>
      <w:r w:rsidR="00C932C6" w:rsidRPr="00204DF0">
        <w:rPr>
          <w:rStyle w:val="Strong"/>
        </w:rPr>
        <w:t xml:space="preserve">compare </w:t>
      </w:r>
      <w:r w:rsidR="00045DB6" w:rsidRPr="00204DF0">
        <w:rPr>
          <w:rStyle w:val="Strong"/>
        </w:rPr>
        <w:t xml:space="preserve">their own financial performance with sector-level results. </w:t>
      </w:r>
    </w:p>
    <w:p w14:paraId="008EEAE4" w14:textId="1B8F7A89" w:rsidR="00321EDB" w:rsidRDefault="00390B77" w:rsidP="00AD41F0">
      <w:r>
        <w:t>Using</w:t>
      </w:r>
      <w:r w:rsidR="00F75ED7">
        <w:t xml:space="preserve"> </w:t>
      </w:r>
      <w:r>
        <w:t xml:space="preserve">financial </w:t>
      </w:r>
      <w:r w:rsidR="00A322F7">
        <w:t>information</w:t>
      </w:r>
      <w:r w:rsidR="00644B13">
        <w:t xml:space="preserve"> submitted by providers through the Aged Care Financial Report (ACFR)</w:t>
      </w:r>
      <w:r w:rsidR="00A322F7">
        <w:t>, t</w:t>
      </w:r>
      <w:r w:rsidR="000F3E6C">
        <w:t xml:space="preserve">he FRAACS </w:t>
      </w:r>
      <w:r w:rsidR="00E7520F">
        <w:t xml:space="preserve">acts as an annual </w:t>
      </w:r>
      <w:r w:rsidR="006B0BF2">
        <w:t>authoritative</w:t>
      </w:r>
      <w:r w:rsidR="00695002">
        <w:t xml:space="preserve"> </w:t>
      </w:r>
      <w:r w:rsidR="00A75A2B">
        <w:t>record of the aged care sector’s financial performance</w:t>
      </w:r>
      <w:r w:rsidR="007A3C65">
        <w:t>.</w:t>
      </w:r>
    </w:p>
    <w:p w14:paraId="3849E482" w14:textId="50DC905E" w:rsidR="00B23B10" w:rsidRDefault="00321EDB" w:rsidP="00AD41F0">
      <w:r>
        <w:t xml:space="preserve">FRAACS </w:t>
      </w:r>
      <w:r w:rsidR="00A75A2B">
        <w:t xml:space="preserve">complements other </w:t>
      </w:r>
      <w:r w:rsidR="00C110C2">
        <w:t xml:space="preserve">transparency measures </w:t>
      </w:r>
      <w:r w:rsidR="00B23B10">
        <w:t>implemented by</w:t>
      </w:r>
      <w:r w:rsidR="000D3474">
        <w:t xml:space="preserve"> the department</w:t>
      </w:r>
      <w:r w:rsidR="00B23B10">
        <w:t>, including:</w:t>
      </w:r>
    </w:p>
    <w:p w14:paraId="05D027CC" w14:textId="1F378B77" w:rsidR="00386174" w:rsidRDefault="00083793" w:rsidP="00204DF0">
      <w:pPr>
        <w:pStyle w:val="ListBullet"/>
      </w:pPr>
      <w:r>
        <w:t>L</w:t>
      </w:r>
      <w:r w:rsidR="00606687">
        <w:t>aunched in February 2023</w:t>
      </w:r>
      <w:r>
        <w:t xml:space="preserve">, </w:t>
      </w:r>
      <w:r w:rsidR="003B603A">
        <w:t>Quarterly Financial Snapshot</w:t>
      </w:r>
      <w:r w:rsidR="00BB03BC">
        <w:t>s</w:t>
      </w:r>
      <w:r w:rsidR="004643E5">
        <w:t xml:space="preserve"> (QFS</w:t>
      </w:r>
      <w:r w:rsidR="00055E2E">
        <w:t>)</w:t>
      </w:r>
      <w:r w:rsidR="004643E5">
        <w:t xml:space="preserve"> on the financial performance </w:t>
      </w:r>
      <w:r w:rsidR="00AD5540">
        <w:t>of the aged care sector</w:t>
      </w:r>
      <w:r w:rsidR="004A3E53">
        <w:t>,</w:t>
      </w:r>
      <w:r w:rsidR="009738EC">
        <w:t xml:space="preserve"> </w:t>
      </w:r>
      <w:r w:rsidR="008D422A">
        <w:t xml:space="preserve">to </w:t>
      </w:r>
      <w:r w:rsidR="00F81635">
        <w:t xml:space="preserve">build transparency </w:t>
      </w:r>
      <w:r w:rsidR="000A2DB2">
        <w:t xml:space="preserve">and </w:t>
      </w:r>
      <w:r w:rsidR="002A00DA">
        <w:t xml:space="preserve">ensure </w:t>
      </w:r>
      <w:r w:rsidR="000A2DB2">
        <w:t xml:space="preserve">timely </w:t>
      </w:r>
      <w:r w:rsidR="005A3749">
        <w:t xml:space="preserve">reporting </w:t>
      </w:r>
      <w:r w:rsidR="000A2DB2">
        <w:t>o</w:t>
      </w:r>
      <w:r w:rsidR="00C1183B">
        <w:t xml:space="preserve">f </w:t>
      </w:r>
      <w:r w:rsidR="00B915D5">
        <w:t>key</w:t>
      </w:r>
      <w:r w:rsidR="00C1183B">
        <w:t xml:space="preserve"> financial performance data</w:t>
      </w:r>
      <w:r w:rsidR="00074B34">
        <w:rPr>
          <w:rStyle w:val="FootnoteReference"/>
        </w:rPr>
        <w:footnoteReference w:id="2"/>
      </w:r>
      <w:r w:rsidR="00436765">
        <w:t>.</w:t>
      </w:r>
    </w:p>
    <w:p w14:paraId="1D93650C" w14:textId="77777777" w:rsidR="004A3E53" w:rsidRDefault="00A51E6F" w:rsidP="00204DF0">
      <w:pPr>
        <w:pStyle w:val="ListBullet"/>
      </w:pPr>
      <w:r>
        <w:t>From</w:t>
      </w:r>
      <w:r w:rsidR="00686B49">
        <w:t xml:space="preserve"> December 2022, </w:t>
      </w:r>
      <w:r w:rsidR="002210EB">
        <w:t>S</w:t>
      </w:r>
      <w:r w:rsidR="00AF18EB">
        <w:t>tar rating</w:t>
      </w:r>
      <w:r w:rsidR="00C54648">
        <w:t>s</w:t>
      </w:r>
      <w:r w:rsidR="00AF18EB">
        <w:t xml:space="preserve"> for residential aged care</w:t>
      </w:r>
      <w:r w:rsidR="001777D6">
        <w:t xml:space="preserve"> </w:t>
      </w:r>
      <w:r w:rsidR="00872740">
        <w:t>have supported</w:t>
      </w:r>
      <w:r w:rsidR="001777D6">
        <w:t xml:space="preserve"> older Australian</w:t>
      </w:r>
      <w:r w:rsidR="002B5CB0">
        <w:t xml:space="preserve">s and their representatives </w:t>
      </w:r>
      <w:r w:rsidR="009E7A2A">
        <w:t xml:space="preserve">to </w:t>
      </w:r>
      <w:r w:rsidR="002B5CB0">
        <w:t>make more informed choices about their aged care</w:t>
      </w:r>
      <w:r w:rsidR="00B72772">
        <w:t>.</w:t>
      </w:r>
    </w:p>
    <w:p w14:paraId="3A985015" w14:textId="77777777" w:rsidR="00BA6AA0" w:rsidRDefault="00922AD2" w:rsidP="00204DF0">
      <w:pPr>
        <w:pStyle w:val="ListBullet"/>
      </w:pPr>
      <w:r w:rsidRPr="00024089">
        <w:t>Commencing from 1 October 2022, ongoing quarterly</w:t>
      </w:r>
      <w:r w:rsidRPr="001D6347">
        <w:rPr>
          <w:color w:val="auto"/>
        </w:rPr>
        <w:t xml:space="preserve"> </w:t>
      </w:r>
      <w:r w:rsidR="00864A27">
        <w:t>f</w:t>
      </w:r>
      <w:r w:rsidR="003F6D40">
        <w:t>ood an</w:t>
      </w:r>
      <w:r w:rsidR="00C24AF2">
        <w:t>d</w:t>
      </w:r>
      <w:r w:rsidR="003F6D40">
        <w:t xml:space="preserve"> </w:t>
      </w:r>
      <w:r w:rsidR="00C24AF2">
        <w:t xml:space="preserve">nutrition reporting </w:t>
      </w:r>
      <w:r w:rsidR="003565FC">
        <w:t>detail</w:t>
      </w:r>
      <w:r w:rsidR="00864A27">
        <w:t>s</w:t>
      </w:r>
      <w:r w:rsidR="003565FC">
        <w:t xml:space="preserve"> trend</w:t>
      </w:r>
      <w:r w:rsidR="001D7286">
        <w:t>s and analysis</w:t>
      </w:r>
      <w:r w:rsidR="00C72931">
        <w:t xml:space="preserve"> on f</w:t>
      </w:r>
      <w:r w:rsidR="00891FCB">
        <w:t>ood and nutrition expenditure in residential care</w:t>
      </w:r>
      <w:r w:rsidR="00D9629D">
        <w:t>.</w:t>
      </w:r>
    </w:p>
    <w:p w14:paraId="0044FD7D" w14:textId="6C916167" w:rsidR="003F783C" w:rsidRDefault="003F783C" w:rsidP="00204DF0">
      <w:pPr>
        <w:pStyle w:val="ListBullet"/>
      </w:pPr>
      <w:r w:rsidRPr="003F783C">
        <w:lastRenderedPageBreak/>
        <w:t xml:space="preserve">Since November 2022, non-Government residential providers must publish their </w:t>
      </w:r>
      <w:proofErr w:type="gramStart"/>
      <w:r w:rsidRPr="003F783C">
        <w:t>General Purpose</w:t>
      </w:r>
      <w:proofErr w:type="gramEnd"/>
      <w:r w:rsidRPr="003F783C">
        <w:t xml:space="preserve"> Financial Report </w:t>
      </w:r>
      <w:r w:rsidR="42FAB366">
        <w:t>(GPFR)</w:t>
      </w:r>
      <w:r>
        <w:t xml:space="preserve"> </w:t>
      </w:r>
      <w:r w:rsidRPr="003F783C">
        <w:t>within 5 months of the end of the provider's financial year</w:t>
      </w:r>
      <w:r w:rsidR="00D80AA6">
        <w:t>.</w:t>
      </w:r>
    </w:p>
    <w:p w14:paraId="71BD5F4D" w14:textId="77777777" w:rsidR="003D76A1" w:rsidRDefault="00E04EC4" w:rsidP="002B2FC6">
      <w:bookmarkStart w:id="1" w:name="_Hlk137476490"/>
      <w:r>
        <w:t>To further build on th</w:t>
      </w:r>
      <w:r w:rsidR="001522C2">
        <w:t xml:space="preserve">ese important </w:t>
      </w:r>
      <w:r w:rsidR="00681D88">
        <w:t>transparency and accountability measures, from early 2024</w:t>
      </w:r>
      <w:r w:rsidR="00E03B60">
        <w:t>,</w:t>
      </w:r>
      <w:r w:rsidR="00681D88">
        <w:t xml:space="preserve"> the department will: </w:t>
      </w:r>
    </w:p>
    <w:p w14:paraId="08FE0457" w14:textId="029310E2" w:rsidR="000376A4" w:rsidRPr="00886BCD" w:rsidRDefault="000376A4" w:rsidP="00204DF0">
      <w:pPr>
        <w:pStyle w:val="ListBullet"/>
      </w:pPr>
      <w:r w:rsidRPr="00886BCD">
        <w:t>Publish more information o</w:t>
      </w:r>
      <w:r w:rsidR="005B0AD6">
        <w:t>n</w:t>
      </w:r>
      <w:r w:rsidRPr="00886BCD">
        <w:t xml:space="preserve"> each residential and home care </w:t>
      </w:r>
      <w:r w:rsidR="00F677FE">
        <w:t>service</w:t>
      </w:r>
      <w:r w:rsidR="00F677FE" w:rsidRPr="00886BCD">
        <w:t xml:space="preserve"> </w:t>
      </w:r>
      <w:r w:rsidRPr="00886BCD">
        <w:t xml:space="preserve">on My Aged Care, including income and expenditure. </w:t>
      </w:r>
      <w:r w:rsidR="003F783C" w:rsidRPr="003F783C">
        <w:t xml:space="preserve">For residential services, the department will also publish information about provider’s expenditure </w:t>
      </w:r>
      <w:proofErr w:type="gramStart"/>
      <w:r w:rsidR="003F783C" w:rsidRPr="003F783C">
        <w:t>on:</w:t>
      </w:r>
      <w:proofErr w:type="gramEnd"/>
      <w:r w:rsidR="003F783C" w:rsidRPr="003F783C">
        <w:t xml:space="preserve"> care (including labour costs); catering; maintenance; cleaning and laundry; and administration</w:t>
      </w:r>
      <w:r w:rsidR="008B6FAC">
        <w:t>.</w:t>
      </w:r>
    </w:p>
    <w:p w14:paraId="3E7BF84B" w14:textId="38532BE0" w:rsidR="000B28B3" w:rsidRDefault="003F783C" w:rsidP="00204DF0">
      <w:pPr>
        <w:pStyle w:val="ListBullet"/>
      </w:pPr>
      <w:r w:rsidRPr="003F783C">
        <w:t>Publish more information on approved providers’ operations via My Aged Care including</w:t>
      </w:r>
      <w:r w:rsidR="000B28B3">
        <w:t>:</w:t>
      </w:r>
    </w:p>
    <w:p w14:paraId="49E2FD11" w14:textId="44406F60" w:rsidR="00791077" w:rsidRDefault="003F783C" w:rsidP="00204DF0">
      <w:pPr>
        <w:pStyle w:val="ListBullet2"/>
      </w:pPr>
      <w:r w:rsidRPr="003F783C">
        <w:t xml:space="preserve">diversity information, </w:t>
      </w:r>
      <w:r w:rsidR="00791077">
        <w:t xml:space="preserve">which </w:t>
      </w:r>
      <w:r w:rsidR="00CB770D">
        <w:t xml:space="preserve">incorporates </w:t>
      </w:r>
      <w:r w:rsidR="00791077">
        <w:t>whether a</w:t>
      </w:r>
      <w:r w:rsidR="003475A3">
        <w:t xml:space="preserve"> </w:t>
      </w:r>
      <w:r w:rsidR="00742924">
        <w:t xml:space="preserve">provider’s governing body includes representatives from </w:t>
      </w:r>
      <w:r w:rsidR="00F8410D">
        <w:t>any diversity demographic (</w:t>
      </w:r>
      <w:proofErr w:type="gramStart"/>
      <w:r w:rsidR="00AB1F21">
        <w:t>e.g</w:t>
      </w:r>
      <w:r w:rsidR="00F8410D">
        <w:t>.</w:t>
      </w:r>
      <w:proofErr w:type="gramEnd"/>
      <w:r w:rsidR="00F8410D">
        <w:t xml:space="preserve"> First Nations</w:t>
      </w:r>
      <w:r w:rsidR="00BD7036">
        <w:t xml:space="preserve"> communities)</w:t>
      </w:r>
      <w:r w:rsidR="005D5E11">
        <w:t xml:space="preserve"> </w:t>
      </w:r>
      <w:r w:rsidR="00EA0437">
        <w:t>and initiative</w:t>
      </w:r>
      <w:r w:rsidR="00FF69C8">
        <w:t xml:space="preserve">s to support </w:t>
      </w:r>
      <w:r w:rsidR="007D2D09">
        <w:t xml:space="preserve">a diverse and inclusive environment </w:t>
      </w:r>
      <w:r w:rsidR="00C70523">
        <w:t>for care recipients/residents and staff at each service</w:t>
      </w:r>
      <w:r w:rsidRPr="003F783C">
        <w:t>,</w:t>
      </w:r>
    </w:p>
    <w:p w14:paraId="145AD7A9" w14:textId="6F594B13" w:rsidR="00791077" w:rsidRDefault="003F783C" w:rsidP="00204DF0">
      <w:pPr>
        <w:pStyle w:val="ListBullet2"/>
      </w:pPr>
      <w:r w:rsidRPr="003F783C">
        <w:t xml:space="preserve">the most common kinds of feedback and complaints and </w:t>
      </w:r>
    </w:p>
    <w:p w14:paraId="13F926BE" w14:textId="241352C3" w:rsidR="003F783C" w:rsidRDefault="003F783C" w:rsidP="00204DF0">
      <w:pPr>
        <w:pStyle w:val="ListBullet2"/>
      </w:pPr>
      <w:r w:rsidRPr="003F783C">
        <w:t xml:space="preserve">key improvements made to service quality. </w:t>
      </w:r>
    </w:p>
    <w:p w14:paraId="58501626" w14:textId="77777777" w:rsidR="003F783C" w:rsidRPr="003F783C" w:rsidRDefault="003F783C" w:rsidP="00EA246C">
      <w:pPr>
        <w:pStyle w:val="Heading2nonumbers"/>
      </w:pPr>
      <w:bookmarkStart w:id="2" w:name="_Toc149245290"/>
      <w:bookmarkEnd w:id="1"/>
      <w:r w:rsidRPr="003F783C">
        <w:t>Summary of findings</w:t>
      </w:r>
      <w:bookmarkEnd w:id="2"/>
    </w:p>
    <w:p w14:paraId="136E8274" w14:textId="369DB99B" w:rsidR="00CB1984" w:rsidRPr="00E66FD7" w:rsidRDefault="002B7623" w:rsidP="00F81635">
      <w:r w:rsidRPr="00E66FD7">
        <w:t>Consistent with the 20</w:t>
      </w:r>
      <w:r w:rsidR="00260203" w:rsidRPr="00E66FD7">
        <w:t xml:space="preserve">20-21 FRAACS, this report </w:t>
      </w:r>
      <w:r w:rsidR="00DD7C2E" w:rsidRPr="00E66FD7">
        <w:t xml:space="preserve">highlights </w:t>
      </w:r>
      <w:r w:rsidR="00962F8C">
        <w:t xml:space="preserve">the </w:t>
      </w:r>
      <w:r w:rsidR="00DD7C2E" w:rsidRPr="00E66FD7">
        <w:t xml:space="preserve">financial stress </w:t>
      </w:r>
      <w:r w:rsidR="00D91826">
        <w:t>experienced by</w:t>
      </w:r>
      <w:r w:rsidR="00D91826" w:rsidRPr="00E66FD7">
        <w:t xml:space="preserve"> </w:t>
      </w:r>
      <w:r w:rsidR="003B0DA2" w:rsidRPr="00E66FD7">
        <w:t xml:space="preserve">providers in the residential </w:t>
      </w:r>
      <w:r w:rsidR="009B0ED4" w:rsidRPr="00E66FD7">
        <w:t>aged care sector</w:t>
      </w:r>
      <w:r w:rsidR="00652ACF">
        <w:t xml:space="preserve"> during the 2021-22 financial year</w:t>
      </w:r>
      <w:r w:rsidR="009B0ED4" w:rsidRPr="00E66FD7">
        <w:t>.</w:t>
      </w:r>
    </w:p>
    <w:p w14:paraId="1340CA1E" w14:textId="00B028B6" w:rsidR="00A40D1A" w:rsidRPr="00E66FD7" w:rsidRDefault="00E57F46" w:rsidP="00F81635">
      <w:r w:rsidRPr="00204DF0">
        <w:rPr>
          <w:rStyle w:val="Strong"/>
        </w:rPr>
        <w:t>The residential care sector operated at a loss of $2.264</w:t>
      </w:r>
      <w:r w:rsidR="00793DBD" w:rsidRPr="00204DF0">
        <w:rPr>
          <w:rStyle w:val="Strong"/>
        </w:rPr>
        <w:t xml:space="preserve"> </w:t>
      </w:r>
      <w:r w:rsidRPr="00204DF0">
        <w:rPr>
          <w:rStyle w:val="Strong"/>
        </w:rPr>
        <w:t>b</w:t>
      </w:r>
      <w:r w:rsidR="00793DBD" w:rsidRPr="00204DF0">
        <w:rPr>
          <w:rStyle w:val="Strong"/>
        </w:rPr>
        <w:t>illion</w:t>
      </w:r>
      <w:r w:rsidRPr="00204DF0">
        <w:rPr>
          <w:rStyle w:val="Strong"/>
        </w:rPr>
        <w:t xml:space="preserve"> in total</w:t>
      </w:r>
      <w:r w:rsidR="00C60E81" w:rsidRPr="00204DF0">
        <w:rPr>
          <w:rStyle w:val="Strong"/>
        </w:rPr>
        <w:t>.</w:t>
      </w:r>
      <w:r w:rsidR="0043541E">
        <w:t xml:space="preserve"> </w:t>
      </w:r>
      <w:r w:rsidR="00C60E81">
        <w:t>T</w:t>
      </w:r>
      <w:r w:rsidR="0043541E">
        <w:t>his equate</w:t>
      </w:r>
      <w:r w:rsidR="00DE046F">
        <w:t>s</w:t>
      </w:r>
      <w:r w:rsidR="0043541E">
        <w:t xml:space="preserve"> to an average</w:t>
      </w:r>
      <w:r>
        <w:t xml:space="preserve"> net loss per resident per day </w:t>
      </w:r>
      <w:r w:rsidR="0043541E">
        <w:t xml:space="preserve">of </w:t>
      </w:r>
      <w:r>
        <w:t>$32.97. Most of this result was attributed to a loss of $</w:t>
      </w:r>
      <w:r w:rsidR="003E6626">
        <w:t>14.86</w:t>
      </w:r>
      <w:r>
        <w:t xml:space="preserve"> per resident per day</w:t>
      </w:r>
      <w:r w:rsidDel="003E3BED">
        <w:t xml:space="preserve"> for the accommodation funding </w:t>
      </w:r>
      <w:r w:rsidR="1FFC22A8">
        <w:t>stream</w:t>
      </w:r>
      <w:r w:rsidR="00866B35">
        <w:t>,</w:t>
      </w:r>
      <w:r w:rsidR="00A40D1A">
        <w:t xml:space="preserve"> which included</w:t>
      </w:r>
      <w:r w:rsidR="00866B35">
        <w:t xml:space="preserve"> </w:t>
      </w:r>
      <w:r w:rsidR="007D6BEB">
        <w:t xml:space="preserve">a </w:t>
      </w:r>
      <w:r w:rsidR="007D6BEB" w:rsidRPr="00217FE0">
        <w:t>loss of $813</w:t>
      </w:r>
      <w:r w:rsidR="00522686">
        <w:t xml:space="preserve"> </w:t>
      </w:r>
      <w:r w:rsidR="007D6BEB" w:rsidRPr="00217FE0">
        <w:t>m</w:t>
      </w:r>
      <w:r w:rsidR="00522686">
        <w:t>illion</w:t>
      </w:r>
      <w:r w:rsidR="007D6BEB" w:rsidRPr="00217FE0">
        <w:t xml:space="preserve"> in </w:t>
      </w:r>
      <w:r w:rsidR="00866B35" w:rsidRPr="00217FE0">
        <w:t xml:space="preserve">bed </w:t>
      </w:r>
      <w:r w:rsidR="00BE6AEA" w:rsidRPr="00217FE0">
        <w:t>license</w:t>
      </w:r>
      <w:r w:rsidR="00866B35" w:rsidRPr="00217FE0">
        <w:t xml:space="preserve"> </w:t>
      </w:r>
      <w:r w:rsidR="00BE6AEA" w:rsidRPr="00217FE0">
        <w:t>amortisation</w:t>
      </w:r>
      <w:r w:rsidR="007D6BEB">
        <w:t>,</w:t>
      </w:r>
      <w:r>
        <w:t xml:space="preserve"> and a loss of $</w:t>
      </w:r>
      <w:r w:rsidR="00A40D1A">
        <w:t>6.37</w:t>
      </w:r>
      <w:r>
        <w:t xml:space="preserve"> for COVID-19 related expenses</w:t>
      </w:r>
      <w:r w:rsidR="009867C9">
        <w:t>.</w:t>
      </w:r>
    </w:p>
    <w:p w14:paraId="1A50D639" w14:textId="01167E3A" w:rsidR="00110BAE" w:rsidRDefault="003F783C" w:rsidP="003F783C">
      <w:r w:rsidRPr="00204DF0">
        <w:rPr>
          <w:rStyle w:val="Strong"/>
        </w:rPr>
        <w:t>The $813</w:t>
      </w:r>
      <w:r w:rsidR="00522686" w:rsidRPr="00204DF0">
        <w:rPr>
          <w:rStyle w:val="Strong"/>
        </w:rPr>
        <w:t xml:space="preserve"> </w:t>
      </w:r>
      <w:r w:rsidRPr="00204DF0">
        <w:rPr>
          <w:rStyle w:val="Strong"/>
        </w:rPr>
        <w:t>m</w:t>
      </w:r>
      <w:r w:rsidR="00522686" w:rsidRPr="00204DF0">
        <w:rPr>
          <w:rStyle w:val="Strong"/>
        </w:rPr>
        <w:t>illion</w:t>
      </w:r>
      <w:r w:rsidRPr="00204DF0">
        <w:rPr>
          <w:rStyle w:val="Strong"/>
        </w:rPr>
        <w:t xml:space="preserve"> bed license amortisation loss is a result of the removal of the Aged Care Approvals Round (ACAR)</w:t>
      </w:r>
      <w:r w:rsidRPr="003F783C">
        <w:t xml:space="preserve"> and the need for providers to readjust the treatment of bed licences as intangible assets. The impact of bed license amortisation will not be ongoing post 1 July 2024</w:t>
      </w:r>
      <w:r w:rsidR="00200097">
        <w:t>, when residential aged care places will be allocated directly to older people, rather than providers</w:t>
      </w:r>
      <w:r w:rsidRPr="003F783C">
        <w:t xml:space="preserve">. </w:t>
      </w:r>
      <w:r w:rsidR="00C74156">
        <w:t>For more information on ACAR, please visit the departments website:</w:t>
      </w:r>
    </w:p>
    <w:p w14:paraId="49463175" w14:textId="45904A23" w:rsidR="00110BAE" w:rsidRPr="00204DF0" w:rsidRDefault="00502D88" w:rsidP="003F783C">
      <w:pPr>
        <w:rPr>
          <w:rStyle w:val="Hyperlink"/>
        </w:rPr>
      </w:pPr>
      <w:hyperlink r:id="rId20" w:history="1">
        <w:r w:rsidR="00CF6866" w:rsidRPr="00204DF0">
          <w:rPr>
            <w:rStyle w:val="Hyperlink"/>
          </w:rPr>
          <w:t>Places to people – Embedding choice in residential aged care | Australian Government Department of Health and Aged Care</w:t>
        </w:r>
      </w:hyperlink>
    </w:p>
    <w:p w14:paraId="053FC05C" w14:textId="78E401C0" w:rsidR="00B75FCE" w:rsidRPr="00E66FD7" w:rsidRDefault="00F309E4" w:rsidP="00F81635">
      <w:r w:rsidRPr="00204DF0">
        <w:rPr>
          <w:rStyle w:val="Strong"/>
        </w:rPr>
        <w:t xml:space="preserve">Occupancy rates can have a significant impact on provider profitability </w:t>
      </w:r>
      <w:r>
        <w:t xml:space="preserve">if they fall below levels that are insufficient to cover fixed costs. This can impact the viability and overall financial performance of providers. </w:t>
      </w:r>
      <w:r w:rsidR="005B50A6" w:rsidRPr="00204DF0">
        <w:rPr>
          <w:rStyle w:val="Strong"/>
        </w:rPr>
        <w:t>In 2021-22, occupancy within residential aged care continued to decline, falling to an average of 86.2 per cent</w:t>
      </w:r>
      <w:r w:rsidR="007E4767" w:rsidRPr="00204DF0">
        <w:rPr>
          <w:rStyle w:val="Strong"/>
        </w:rPr>
        <w:t>.</w:t>
      </w:r>
      <w:r w:rsidR="005B50A6" w:rsidRPr="00204DF0">
        <w:rPr>
          <w:rStyle w:val="Strong"/>
        </w:rPr>
        <w:t xml:space="preserve"> </w:t>
      </w:r>
      <w:r>
        <w:t xml:space="preserve">The occupancy rates across 2021-22 continued to be impacted by COVID-19 </w:t>
      </w:r>
      <w:r>
        <w:lastRenderedPageBreak/>
        <w:t>as preferences for older Australians entering residential aged care changed during this time.</w:t>
      </w:r>
    </w:p>
    <w:p w14:paraId="79C34DFA" w14:textId="4364C1DB" w:rsidR="00BE14E1" w:rsidRDefault="00EA2264" w:rsidP="00F81635">
      <w:r>
        <w:t xml:space="preserve">For providers </w:t>
      </w:r>
      <w:r w:rsidRPr="00024F39">
        <w:t>delivering residential aged care services</w:t>
      </w:r>
      <w:r>
        <w:t>,</w:t>
      </w:r>
      <w:r w:rsidRPr="00024F39">
        <w:t xml:space="preserve"> </w:t>
      </w:r>
      <w:r w:rsidR="00EF731C" w:rsidRPr="00024F39">
        <w:t xml:space="preserve">profitability challenges </w:t>
      </w:r>
      <w:r>
        <w:t>were</w:t>
      </w:r>
      <w:r w:rsidRPr="00024F39">
        <w:t xml:space="preserve"> </w:t>
      </w:r>
      <w:r w:rsidR="00EF731C" w:rsidRPr="00024F39">
        <w:t xml:space="preserve">demonstrated by </w:t>
      </w:r>
      <w:r w:rsidR="00F550D6" w:rsidRPr="00024F39">
        <w:t>negative average</w:t>
      </w:r>
      <w:r w:rsidR="005973C4" w:rsidRPr="00024F39">
        <w:t xml:space="preserve"> </w:t>
      </w:r>
      <w:r w:rsidR="005973C4" w:rsidRPr="006B2F90">
        <w:t>e</w:t>
      </w:r>
      <w:r w:rsidR="00B92905" w:rsidRPr="006B2F90">
        <w:t>arnings before interest, tax</w:t>
      </w:r>
      <w:r w:rsidR="008B2BF5" w:rsidRPr="006B2F90">
        <w:t xml:space="preserve">, </w:t>
      </w:r>
      <w:proofErr w:type="gramStart"/>
      <w:r w:rsidR="008B2BF5" w:rsidRPr="006B2F90">
        <w:t>depreciation</w:t>
      </w:r>
      <w:proofErr w:type="gramEnd"/>
      <w:r w:rsidR="008B2BF5" w:rsidRPr="006B2F90">
        <w:t xml:space="preserve"> and amortisation (EBITDA) </w:t>
      </w:r>
      <w:r w:rsidR="00BE14E1">
        <w:t>per resident per year</w:t>
      </w:r>
      <w:r w:rsidR="00CF5AE0">
        <w:t xml:space="preserve">. </w:t>
      </w:r>
      <w:r w:rsidR="00FB1794" w:rsidRPr="00204DF0">
        <w:rPr>
          <w:rStyle w:val="Strong"/>
        </w:rPr>
        <w:t>In 2021-22, t</w:t>
      </w:r>
      <w:r w:rsidR="00CF5AE0" w:rsidRPr="00204DF0">
        <w:rPr>
          <w:rStyle w:val="Strong"/>
        </w:rPr>
        <w:t>he average</w:t>
      </w:r>
      <w:r w:rsidR="00BE14E1" w:rsidRPr="00204DF0">
        <w:rPr>
          <w:rStyle w:val="Strong"/>
        </w:rPr>
        <w:t xml:space="preserve"> </w:t>
      </w:r>
      <w:r w:rsidR="004A16C3" w:rsidRPr="00204DF0">
        <w:rPr>
          <w:rStyle w:val="Strong"/>
        </w:rPr>
        <w:t>EBITDA</w:t>
      </w:r>
      <w:r w:rsidR="00472073" w:rsidRPr="00204DF0">
        <w:rPr>
          <w:rStyle w:val="Strong"/>
        </w:rPr>
        <w:t xml:space="preserve"> </w:t>
      </w:r>
      <w:r w:rsidR="00BE14E1" w:rsidRPr="00204DF0">
        <w:rPr>
          <w:rStyle w:val="Strong"/>
        </w:rPr>
        <w:t xml:space="preserve">declined for a </w:t>
      </w:r>
      <w:r w:rsidR="005973C4" w:rsidRPr="00204DF0">
        <w:rPr>
          <w:rStyle w:val="Strong"/>
        </w:rPr>
        <w:t>fifth</w:t>
      </w:r>
      <w:r w:rsidR="00BE14E1" w:rsidRPr="00204DF0">
        <w:rPr>
          <w:rStyle w:val="Strong"/>
        </w:rPr>
        <w:t xml:space="preserve"> </w:t>
      </w:r>
      <w:r w:rsidR="00BA2CDB" w:rsidRPr="00204DF0">
        <w:rPr>
          <w:rStyle w:val="Strong"/>
        </w:rPr>
        <w:t>consecutive year</w:t>
      </w:r>
      <w:r w:rsidR="00596DE9" w:rsidRPr="00204DF0">
        <w:rPr>
          <w:rStyle w:val="Strong"/>
        </w:rPr>
        <w:t xml:space="preserve"> to </w:t>
      </w:r>
      <w:r w:rsidR="004926CD" w:rsidRPr="00204DF0">
        <w:rPr>
          <w:rStyle w:val="Strong"/>
        </w:rPr>
        <w:t xml:space="preserve">negative $46 per resident per </w:t>
      </w:r>
      <w:r w:rsidR="00472073" w:rsidRPr="00204DF0">
        <w:rPr>
          <w:rStyle w:val="Strong"/>
        </w:rPr>
        <w:t>year</w:t>
      </w:r>
      <w:r w:rsidR="000C24DA">
        <w:t xml:space="preserve">, </w:t>
      </w:r>
      <w:r w:rsidR="00C579B4">
        <w:t xml:space="preserve">a further decline </w:t>
      </w:r>
      <w:r w:rsidR="00BE14E1">
        <w:t xml:space="preserve">from </w:t>
      </w:r>
      <w:r w:rsidR="00472073">
        <w:t>$</w:t>
      </w:r>
      <w:r w:rsidR="00182CD7">
        <w:t>3,771</w:t>
      </w:r>
      <w:r w:rsidR="00E759B1">
        <w:t xml:space="preserve"> </w:t>
      </w:r>
      <w:r w:rsidR="00C6257B">
        <w:t xml:space="preserve">per resident per year </w:t>
      </w:r>
      <w:r w:rsidR="00182CD7">
        <w:t>in 2020-21</w:t>
      </w:r>
      <w:r w:rsidR="009C2832">
        <w:t xml:space="preserve">. </w:t>
      </w:r>
    </w:p>
    <w:p w14:paraId="05CC0312" w14:textId="65C8CC5F" w:rsidR="00E63E53" w:rsidRPr="003F783C" w:rsidRDefault="004D035D">
      <w:r>
        <w:t xml:space="preserve">While this decrease followed </w:t>
      </w:r>
      <w:r w:rsidR="00367A19">
        <w:t>a</w:t>
      </w:r>
      <w:r>
        <w:t xml:space="preserve"> trend </w:t>
      </w:r>
      <w:r w:rsidR="00367A19">
        <w:t>in recent years</w:t>
      </w:r>
      <w:r>
        <w:t xml:space="preserve">, </w:t>
      </w:r>
      <w:r w:rsidR="00367A19">
        <w:t>the</w:t>
      </w:r>
      <w:r>
        <w:t xml:space="preserve"> decrease was greater </w:t>
      </w:r>
      <w:r w:rsidR="00367A19">
        <w:t xml:space="preserve">in 2021-22 </w:t>
      </w:r>
      <w:r>
        <w:t xml:space="preserve">than all previous </w:t>
      </w:r>
      <w:r w:rsidRPr="004D035D">
        <w:t>years. This decrease can be likely attributed to a large increase in COVID-19 expenses and increasing labour costs across all expense categories.</w:t>
      </w:r>
    </w:p>
    <w:p w14:paraId="7E9E7B23" w14:textId="67504612" w:rsidR="00E63E53" w:rsidRDefault="00E63E53" w:rsidP="00204DF0">
      <w:r w:rsidRPr="00204DF0">
        <w:rPr>
          <w:rStyle w:val="Strong"/>
        </w:rPr>
        <w:t>Residential aged care providers received $306 million in 2021-22 in COVID-19 grants and subsidies.</w:t>
      </w:r>
      <w:r>
        <w:t xml:space="preserve"> There were </w:t>
      </w:r>
      <w:proofErr w:type="gramStart"/>
      <w:r>
        <w:t>a number of</w:t>
      </w:r>
      <w:proofErr w:type="gramEnd"/>
      <w:r>
        <w:t xml:space="preserve"> COVID-19 grants that residential aged care providers could apply for in 2021-22, including the COVID-19 Viability Fund</w:t>
      </w:r>
      <w:r w:rsidDel="00B854B7">
        <w:t xml:space="preserve">, COVID-19 </w:t>
      </w:r>
      <w:r w:rsidRPr="007C57FE">
        <w:t>Aged Care Workforce Bonus Payments</w:t>
      </w:r>
      <w:r>
        <w:t xml:space="preserve"> and the </w:t>
      </w:r>
      <w:r w:rsidRPr="007C57FE">
        <w:t>COVID-19 Aged Care Preparedness Packages</w:t>
      </w:r>
      <w:r>
        <w:t>.</w:t>
      </w:r>
    </w:p>
    <w:p w14:paraId="20E6F75C" w14:textId="01446AB1" w:rsidR="00E63E53" w:rsidRPr="003F783C" w:rsidRDefault="00E63E53" w:rsidP="00204DF0">
      <w:r>
        <w:t>In the 2021-22 ACFR, p</w:t>
      </w:r>
      <w:r w:rsidRPr="003F783C">
        <w:t>roviders self-reported $742 million in</w:t>
      </w:r>
      <w:r>
        <w:t xml:space="preserve"> COVID-19</w:t>
      </w:r>
      <w:r w:rsidRPr="003F783C">
        <w:t xml:space="preserve"> grant reimbursements </w:t>
      </w:r>
      <w:r>
        <w:t xml:space="preserve">that had been claimed but not yet approved or paid. This amount is not recognised as income for 2021-22 in this report, and it is a self-reported provider figure that is based on the available COVID-19 grants in 2021-22. </w:t>
      </w:r>
      <w:r w:rsidRPr="003F783C">
        <w:t>The</w:t>
      </w:r>
      <w:r>
        <w:t xml:space="preserve"> department continues to work through these claims and assess them in 2022-23. The correlating</w:t>
      </w:r>
      <w:r w:rsidRPr="003F783C">
        <w:t xml:space="preserve"> </w:t>
      </w:r>
      <w:r>
        <w:t>approved COVID-19 grant funding</w:t>
      </w:r>
      <w:r w:rsidRPr="003F783C">
        <w:t xml:space="preserve"> may vary from the</w:t>
      </w:r>
      <w:r>
        <w:t xml:space="preserve"> providers’ </w:t>
      </w:r>
      <w:r w:rsidRPr="003F783C">
        <w:t>self-reported figure</w:t>
      </w:r>
      <w:r>
        <w:t xml:space="preserve">.  </w:t>
      </w:r>
    </w:p>
    <w:p w14:paraId="57AC51D2" w14:textId="2B5DA7FF" w:rsidR="00E63E53" w:rsidRPr="00C30505" w:rsidRDefault="00E63E53" w:rsidP="00204DF0">
      <w:r w:rsidRPr="00C30505">
        <w:t>The department continues to process grant applications across all the different COVID-19 grants and subsidies; including</w:t>
      </w:r>
      <w:r>
        <w:t>, but not limited to,</w:t>
      </w:r>
      <w:r w:rsidRPr="00C30505">
        <w:t xml:space="preserve"> </w:t>
      </w:r>
      <w:r w:rsidRPr="0074223C">
        <w:t>Aged Care Worker COVID-19 leave payment grants</w:t>
      </w:r>
      <w:r>
        <w:t xml:space="preserve"> which opens in </w:t>
      </w:r>
      <w:r w:rsidR="00234C9C">
        <w:t>the early part</w:t>
      </w:r>
      <w:r w:rsidR="00893CE9">
        <w:t xml:space="preserve"> of the 2023-24 financ</w:t>
      </w:r>
      <w:r w:rsidR="00165AD9">
        <w:t>i</w:t>
      </w:r>
      <w:r w:rsidR="00893CE9">
        <w:t>al year</w:t>
      </w:r>
      <w:r w:rsidRPr="0074223C">
        <w:t xml:space="preserve"> </w:t>
      </w:r>
      <w:r>
        <w:t xml:space="preserve">and the </w:t>
      </w:r>
      <w:r w:rsidRPr="003F783C">
        <w:t xml:space="preserve">COVID-19 </w:t>
      </w:r>
      <w:r w:rsidRPr="00C30505">
        <w:t>Aged Care Support Program Extension grant which closed on 31</w:t>
      </w:r>
      <w:r>
        <w:t> </w:t>
      </w:r>
      <w:r w:rsidRPr="00C30505">
        <w:t>March</w:t>
      </w:r>
      <w:r>
        <w:t> </w:t>
      </w:r>
      <w:r w:rsidRPr="00C30505">
        <w:t xml:space="preserve">2023. </w:t>
      </w:r>
    </w:p>
    <w:p w14:paraId="2522CEFA" w14:textId="77777777" w:rsidR="005720E5" w:rsidRDefault="003F783C" w:rsidP="00204DF0">
      <w:r w:rsidRPr="003F783C">
        <w:t>Care is primarily funded by the Australian Government</w:t>
      </w:r>
      <w:r w:rsidR="00106DEA">
        <w:t>.</w:t>
      </w:r>
      <w:r w:rsidRPr="003F783C">
        <w:t xml:space="preserve"> </w:t>
      </w:r>
      <w:r w:rsidR="00106DEA">
        <w:t>In</w:t>
      </w:r>
      <w:r w:rsidR="00402D1E">
        <w:t xml:space="preserve"> 2021-22</w:t>
      </w:r>
      <w:r w:rsidR="00106DEA">
        <w:t>,</w:t>
      </w:r>
      <w:r w:rsidR="00402D1E">
        <w:t xml:space="preserve"> </w:t>
      </w:r>
      <w:r w:rsidR="001F5F23">
        <w:t>the</w:t>
      </w:r>
      <w:r w:rsidR="00EE5A1B">
        <w:t xml:space="preserve"> funding model </w:t>
      </w:r>
      <w:r w:rsidR="0090084E">
        <w:t xml:space="preserve">used for </w:t>
      </w:r>
      <w:r w:rsidR="0012500E">
        <w:t xml:space="preserve">residential care was </w:t>
      </w:r>
      <w:r w:rsidR="00CD3ABC">
        <w:t>the Aged Care Funding Instrument (ACFI).</w:t>
      </w:r>
      <w:r w:rsidR="00FC1795">
        <w:t xml:space="preserve"> From 1 October 2022</w:t>
      </w:r>
      <w:r w:rsidR="00B6290F">
        <w:t>,</w:t>
      </w:r>
      <w:r w:rsidR="00586B73">
        <w:t xml:space="preserve"> the Australian </w:t>
      </w:r>
      <w:r w:rsidR="001437A7">
        <w:t xml:space="preserve">National Aged Care </w:t>
      </w:r>
      <w:r w:rsidR="007D64F3">
        <w:t>Classification</w:t>
      </w:r>
      <w:r w:rsidR="00353BA6">
        <w:t xml:space="preserve"> (AN-ACC</w:t>
      </w:r>
      <w:r w:rsidR="00464ABF">
        <w:t>)</w:t>
      </w:r>
      <w:r w:rsidR="007D64F3">
        <w:t xml:space="preserve"> </w:t>
      </w:r>
      <w:r w:rsidR="00A91434">
        <w:t xml:space="preserve">funding </w:t>
      </w:r>
      <w:r w:rsidR="00CB5C0F">
        <w:t>was introduced</w:t>
      </w:r>
      <w:r w:rsidR="00464ABF">
        <w:t>.</w:t>
      </w:r>
      <w:r w:rsidR="004E1A15">
        <w:t xml:space="preserve"> </w:t>
      </w:r>
      <w:r w:rsidR="004E1A15" w:rsidRPr="00555F64">
        <w:t>The introduction of AN-ACC, together with independent pricing, will likely see positive improvement for the sector in coming years</w:t>
      </w:r>
      <w:r w:rsidR="004E1A15">
        <w:t xml:space="preserve">. </w:t>
      </w:r>
    </w:p>
    <w:p w14:paraId="1DF8D637" w14:textId="2D70DD1F" w:rsidR="00591960" w:rsidRPr="003F783C" w:rsidRDefault="0038577E" w:rsidP="003F783C">
      <w:r>
        <w:t>W</w:t>
      </w:r>
      <w:r w:rsidR="003F783C" w:rsidRPr="003F783C">
        <w:t xml:space="preserve">hen comparing care income with care expenses, there was a positive result of $19.36 per resident per day. </w:t>
      </w:r>
      <w:r w:rsidR="00591960" w:rsidRPr="00591960">
        <w:t xml:space="preserve">On the other hand, the accommodation category continues to result in a significant loss at the sector level, with providers reporting a result of </w:t>
      </w:r>
      <w:r w:rsidR="007049E2">
        <w:t xml:space="preserve">negative </w:t>
      </w:r>
      <w:r w:rsidR="00591960" w:rsidRPr="00591960">
        <w:t>$14.8</w:t>
      </w:r>
      <w:r w:rsidR="00A43EC7">
        <w:t>6</w:t>
      </w:r>
      <w:r w:rsidR="00591960" w:rsidRPr="00591960">
        <w:t xml:space="preserve"> per resident per day in 2021-22. This represents the largest decrease of all categories of income and expenditure in 2021-22, falling by $14.2</w:t>
      </w:r>
      <w:r w:rsidR="008C0291">
        <w:t>2</w:t>
      </w:r>
      <w:r w:rsidR="00591960" w:rsidRPr="00591960">
        <w:t xml:space="preserve"> per resident per day from 2020-21. </w:t>
      </w:r>
      <w:r w:rsidR="00C96839" w:rsidRPr="00591960">
        <w:t xml:space="preserve">This continues to demonstrate </w:t>
      </w:r>
      <w:r w:rsidR="00C96839">
        <w:t xml:space="preserve">the need to </w:t>
      </w:r>
      <w:r w:rsidR="00C96839" w:rsidRPr="00591960">
        <w:t>focus on accommodation funding reform to improve the financial performance</w:t>
      </w:r>
      <w:r w:rsidR="00C96839">
        <w:t xml:space="preserve"> of aged care providers.</w:t>
      </w:r>
    </w:p>
    <w:p w14:paraId="43D47502" w14:textId="1B48FAF0" w:rsidR="00FE6458" w:rsidRDefault="00D22ADA" w:rsidP="00FE6458">
      <w:r>
        <w:lastRenderedPageBreak/>
        <w:t>The home care sector remains profitable, however</w:t>
      </w:r>
      <w:r w:rsidR="004C3B08">
        <w:t xml:space="preserve"> </w:t>
      </w:r>
      <w:r w:rsidR="00CA2122">
        <w:t xml:space="preserve">there was a decrease in profitability </w:t>
      </w:r>
      <w:r w:rsidR="0026153E">
        <w:t xml:space="preserve">for </w:t>
      </w:r>
      <w:r w:rsidR="00B148FE">
        <w:t>the 2021-22</w:t>
      </w:r>
      <w:r w:rsidR="00BD531A">
        <w:t xml:space="preserve"> </w:t>
      </w:r>
      <w:r w:rsidR="0026153E">
        <w:t xml:space="preserve">financial year. </w:t>
      </w:r>
      <w:r w:rsidR="0026153E" w:rsidRPr="00204DF0">
        <w:rPr>
          <w:rStyle w:val="Strong"/>
        </w:rPr>
        <w:t xml:space="preserve">In 2021-22, </w:t>
      </w:r>
      <w:r w:rsidR="00C30726" w:rsidRPr="00204DF0">
        <w:rPr>
          <w:rStyle w:val="Strong"/>
        </w:rPr>
        <w:t xml:space="preserve">EBITDA per </w:t>
      </w:r>
      <w:r w:rsidR="001B752E" w:rsidRPr="00204DF0">
        <w:rPr>
          <w:rStyle w:val="Strong"/>
        </w:rPr>
        <w:t xml:space="preserve">home </w:t>
      </w:r>
      <w:r w:rsidR="00C30726" w:rsidRPr="00204DF0">
        <w:rPr>
          <w:rStyle w:val="Strong"/>
        </w:rPr>
        <w:t xml:space="preserve">care recipient per year </w:t>
      </w:r>
      <w:r w:rsidR="00B148FE" w:rsidRPr="00204DF0">
        <w:rPr>
          <w:rStyle w:val="Strong"/>
        </w:rPr>
        <w:t xml:space="preserve">was </w:t>
      </w:r>
      <w:r w:rsidR="00D80031" w:rsidRPr="00204DF0">
        <w:rPr>
          <w:rStyle w:val="Strong"/>
        </w:rPr>
        <w:t>$</w:t>
      </w:r>
      <w:r w:rsidR="00E868A6" w:rsidRPr="00204DF0">
        <w:rPr>
          <w:rStyle w:val="Strong"/>
        </w:rPr>
        <w:t>1,232, down</w:t>
      </w:r>
      <w:r w:rsidR="00D80031" w:rsidRPr="00204DF0">
        <w:rPr>
          <w:rStyle w:val="Strong"/>
        </w:rPr>
        <w:t xml:space="preserve"> from $1,792 in 2020-21</w:t>
      </w:r>
      <w:r w:rsidR="00E868A6" w:rsidRPr="00204DF0">
        <w:rPr>
          <w:rStyle w:val="Strong"/>
        </w:rPr>
        <w:t>.</w:t>
      </w:r>
      <w:r w:rsidR="00E868A6">
        <w:t xml:space="preserve"> </w:t>
      </w:r>
      <w:r w:rsidR="00347849">
        <w:t>N</w:t>
      </w:r>
      <w:r w:rsidR="00E868A6">
        <w:t xml:space="preserve">et profit before tax </w:t>
      </w:r>
      <w:r w:rsidR="00711A58">
        <w:t xml:space="preserve">(NPBT) </w:t>
      </w:r>
      <w:r w:rsidR="00E868A6">
        <w:t>also</w:t>
      </w:r>
      <w:r w:rsidR="00D80031">
        <w:t xml:space="preserve"> decreased from $</w:t>
      </w:r>
      <w:r w:rsidR="00396EF1">
        <w:t xml:space="preserve">1,566 </w:t>
      </w:r>
      <w:r w:rsidR="0026153E">
        <w:t>per care recipient per year</w:t>
      </w:r>
      <w:r w:rsidR="00E868A6">
        <w:t xml:space="preserve"> </w:t>
      </w:r>
      <w:r w:rsidR="00396EF1">
        <w:t xml:space="preserve">in </w:t>
      </w:r>
      <w:r w:rsidR="00E868A6">
        <w:t>2020-21 to $1,013 in 2021-22</w:t>
      </w:r>
      <w:r w:rsidR="00EA3141">
        <w:t>.</w:t>
      </w:r>
      <w:r w:rsidR="00E32F2F">
        <w:t xml:space="preserve"> </w:t>
      </w:r>
      <w:r w:rsidR="00A86309">
        <w:t>NPBT</w:t>
      </w:r>
      <w:r w:rsidR="0008143B">
        <w:t xml:space="preserve"> per </w:t>
      </w:r>
      <w:r w:rsidR="007B1B3A">
        <w:t>care recipient</w:t>
      </w:r>
      <w:r w:rsidR="0008143B">
        <w:t xml:space="preserve"> per day also decreased</w:t>
      </w:r>
      <w:r w:rsidR="00C34613">
        <w:t xml:space="preserve"> in 2021-22</w:t>
      </w:r>
      <w:r w:rsidR="00A84C57">
        <w:t xml:space="preserve"> to </w:t>
      </w:r>
      <w:r w:rsidR="00156AC3">
        <w:t>$2.</w:t>
      </w:r>
      <w:r w:rsidR="00BC3CEC">
        <w:t xml:space="preserve">78, down from $4.29 </w:t>
      </w:r>
      <w:r w:rsidR="007B4719">
        <w:t xml:space="preserve">in 2020-21. </w:t>
      </w:r>
    </w:p>
    <w:p w14:paraId="4899ACA9" w14:textId="0AF8E151" w:rsidR="00E868A6" w:rsidRPr="00204DF0" w:rsidRDefault="007B4719" w:rsidP="00F73E95">
      <w:pPr>
        <w:rPr>
          <w:rStyle w:val="Strong"/>
        </w:rPr>
      </w:pPr>
      <w:r w:rsidRPr="00204DF0">
        <w:rPr>
          <w:rStyle w:val="Strong"/>
        </w:rPr>
        <w:t xml:space="preserve">The decrease in EBITDA and NPBT </w:t>
      </w:r>
      <w:r w:rsidR="00AD457B" w:rsidRPr="00204DF0">
        <w:rPr>
          <w:rStyle w:val="Strong"/>
        </w:rPr>
        <w:t xml:space="preserve">for home care </w:t>
      </w:r>
      <w:r w:rsidR="00C26BA0" w:rsidRPr="00204DF0">
        <w:rPr>
          <w:rStyle w:val="Strong"/>
        </w:rPr>
        <w:t xml:space="preserve">providers </w:t>
      </w:r>
      <w:r w:rsidR="00B341E4" w:rsidRPr="00204DF0">
        <w:rPr>
          <w:rStyle w:val="Strong"/>
        </w:rPr>
        <w:t xml:space="preserve">reported in the 2021-22 FRAACS </w:t>
      </w:r>
      <w:r w:rsidRPr="00204DF0">
        <w:rPr>
          <w:rStyle w:val="Strong"/>
        </w:rPr>
        <w:t>represent</w:t>
      </w:r>
      <w:r w:rsidR="00B341E4" w:rsidRPr="00204DF0">
        <w:rPr>
          <w:rStyle w:val="Strong"/>
        </w:rPr>
        <w:t>s</w:t>
      </w:r>
      <w:r w:rsidRPr="00204DF0">
        <w:rPr>
          <w:rStyle w:val="Strong"/>
        </w:rPr>
        <w:t xml:space="preserve"> a return to </w:t>
      </w:r>
      <w:r w:rsidR="000521F0" w:rsidRPr="00204DF0">
        <w:rPr>
          <w:rStyle w:val="Strong"/>
        </w:rPr>
        <w:t xml:space="preserve">similar </w:t>
      </w:r>
      <w:r w:rsidR="0063601B" w:rsidRPr="00204DF0">
        <w:rPr>
          <w:rStyle w:val="Strong"/>
        </w:rPr>
        <w:t xml:space="preserve">profit levels to 2018-19 and 2019-20. </w:t>
      </w:r>
    </w:p>
    <w:p w14:paraId="4A81AE8E" w14:textId="260E9E37" w:rsidR="003A3A58" w:rsidRDefault="00C30420" w:rsidP="00F81635">
      <w:r>
        <w:t xml:space="preserve">The </w:t>
      </w:r>
      <w:r w:rsidR="006655BB">
        <w:t xml:space="preserve">trend of </w:t>
      </w:r>
      <w:r>
        <w:t>increase</w:t>
      </w:r>
      <w:r w:rsidR="000521F0">
        <w:t>d</w:t>
      </w:r>
      <w:r w:rsidR="004B66CA">
        <w:t xml:space="preserve"> </w:t>
      </w:r>
      <w:r w:rsidR="00917C68">
        <w:t xml:space="preserve">demand </w:t>
      </w:r>
      <w:r>
        <w:t xml:space="preserve">for </w:t>
      </w:r>
      <w:r w:rsidR="00355401">
        <w:t xml:space="preserve">home care </w:t>
      </w:r>
      <w:r>
        <w:t xml:space="preserve">packages </w:t>
      </w:r>
      <w:r w:rsidR="00917C68">
        <w:t>continued</w:t>
      </w:r>
      <w:r w:rsidR="00355401">
        <w:t xml:space="preserve"> </w:t>
      </w:r>
      <w:r w:rsidR="00CE7A93">
        <w:t>in 2021-22</w:t>
      </w:r>
      <w:r w:rsidR="00917C68">
        <w:t xml:space="preserve">. The department </w:t>
      </w:r>
      <w:r w:rsidR="00387102">
        <w:t>is continuing</w:t>
      </w:r>
      <w:r w:rsidR="00626AFC">
        <w:t xml:space="preserve"> to develop reforms that support older Australians to remain in their own homes for longer</w:t>
      </w:r>
      <w:r w:rsidR="006F7752">
        <w:t>.</w:t>
      </w:r>
      <w:r w:rsidR="5F907505">
        <w:t xml:space="preserve"> </w:t>
      </w:r>
      <w:r w:rsidR="00FB01E8">
        <w:t>A</w:t>
      </w:r>
      <w:r w:rsidR="006562AF">
        <w:t xml:space="preserve"> new Support at Home </w:t>
      </w:r>
      <w:r w:rsidR="00CF4B92">
        <w:t xml:space="preserve">Program </w:t>
      </w:r>
      <w:r w:rsidR="006562AF">
        <w:t xml:space="preserve">will commence </w:t>
      </w:r>
      <w:r w:rsidR="0044361E">
        <w:t>from 1 July 2025</w:t>
      </w:r>
      <w:r w:rsidR="009D79B2">
        <w:t xml:space="preserve"> and will</w:t>
      </w:r>
      <w:r w:rsidR="00EB449B">
        <w:t xml:space="preserve"> reform the </w:t>
      </w:r>
      <w:r w:rsidR="003451C0">
        <w:t xml:space="preserve">delivery of in-home care. This includes assessment, provider funding and regulation of the market. </w:t>
      </w:r>
      <w:r w:rsidR="00FA270A">
        <w:t>Support at Home</w:t>
      </w:r>
      <w:r w:rsidR="003F4263">
        <w:t xml:space="preserve"> will put a greater focus on reablement and restorative care. </w:t>
      </w:r>
    </w:p>
    <w:p w14:paraId="08F354F5" w14:textId="77777777" w:rsidR="0041156A" w:rsidRPr="00204DF0" w:rsidRDefault="0041156A" w:rsidP="00204DF0">
      <w:r>
        <w:rPr>
          <w:b/>
          <w:szCs w:val="36"/>
        </w:rPr>
        <w:br w:type="page"/>
      </w:r>
    </w:p>
    <w:p w14:paraId="2AEA9A13" w14:textId="39E00102" w:rsidR="00CD2F75" w:rsidRPr="00D07C1F" w:rsidRDefault="00CD2F75" w:rsidP="00EA246C">
      <w:pPr>
        <w:pStyle w:val="Heading2nonumbers"/>
      </w:pPr>
      <w:bookmarkStart w:id="3" w:name="_Toc149245291"/>
      <w:r w:rsidRPr="00D07C1F">
        <w:lastRenderedPageBreak/>
        <w:t>Reforming Australia’s aged care system</w:t>
      </w:r>
      <w:bookmarkEnd w:id="3"/>
    </w:p>
    <w:p w14:paraId="052588DF" w14:textId="23D1ADBD" w:rsidR="00E9093F" w:rsidRDefault="0094270A">
      <w:r>
        <w:t>The</w:t>
      </w:r>
      <w:r w:rsidR="006A4EBA">
        <w:t xml:space="preserve"> financial </w:t>
      </w:r>
      <w:r w:rsidR="003E52E6">
        <w:t>performance</w:t>
      </w:r>
      <w:r w:rsidR="006A4EBA">
        <w:t xml:space="preserve"> of the residential aged care sector</w:t>
      </w:r>
      <w:r w:rsidR="00190D25">
        <w:t xml:space="preserve"> has been declining since 2016-17 and</w:t>
      </w:r>
      <w:r w:rsidR="005D6118">
        <w:t xml:space="preserve"> </w:t>
      </w:r>
      <w:r w:rsidR="00D4521C">
        <w:t xml:space="preserve">has </w:t>
      </w:r>
      <w:r w:rsidR="00EA1B0C">
        <w:t xml:space="preserve">likely </w:t>
      </w:r>
      <w:r w:rsidR="006C37B6">
        <w:t>reached</w:t>
      </w:r>
      <w:r w:rsidR="00EA1B0C">
        <w:t xml:space="preserve"> </w:t>
      </w:r>
      <w:r w:rsidR="006C37B6">
        <w:t>its</w:t>
      </w:r>
      <w:r w:rsidR="006A4EBA">
        <w:t xml:space="preserve"> lowest point in the 2021-22 financial year</w:t>
      </w:r>
      <w:r w:rsidR="007B61F3">
        <w:t>.</w:t>
      </w:r>
      <w:r w:rsidR="00F700D5">
        <w:t xml:space="preserve"> </w:t>
      </w:r>
      <w:r w:rsidR="003F783C" w:rsidRPr="003F783C">
        <w:t>In 2021-22, the residential care sector experienced a collective loss of $2.264</w:t>
      </w:r>
      <w:r w:rsidR="00C6406E">
        <w:t xml:space="preserve"> </w:t>
      </w:r>
      <w:r w:rsidR="003F783C" w:rsidRPr="003F783C">
        <w:t>b</w:t>
      </w:r>
      <w:r w:rsidR="00C6406E">
        <w:t>illion</w:t>
      </w:r>
      <w:r w:rsidR="003F783C" w:rsidRPr="003F783C">
        <w:t xml:space="preserve"> </w:t>
      </w:r>
      <w:r w:rsidR="00EB6EE4">
        <w:t>(a decrease of $</w:t>
      </w:r>
      <w:r w:rsidR="00075F66">
        <w:t>1.41 billion</w:t>
      </w:r>
      <w:r w:rsidR="00357FBC">
        <w:t xml:space="preserve"> </w:t>
      </w:r>
      <w:r w:rsidR="009E5CA6">
        <w:t xml:space="preserve">on </w:t>
      </w:r>
      <w:r w:rsidR="003744FF">
        <w:t>2020-21)</w:t>
      </w:r>
      <w:r w:rsidR="003F783C" w:rsidRPr="003F783C">
        <w:t>, losing on average $32.97 per resident per day</w:t>
      </w:r>
      <w:r w:rsidR="003744FF">
        <w:t xml:space="preserve"> (a decrease of $</w:t>
      </w:r>
      <w:r w:rsidR="00B37A06">
        <w:t>20.59</w:t>
      </w:r>
      <w:r w:rsidR="003744FF">
        <w:t xml:space="preserve"> per resident per day on 2020-21)</w:t>
      </w:r>
      <w:r w:rsidR="003F783C" w:rsidRPr="003F783C">
        <w:t xml:space="preserve">. </w:t>
      </w:r>
      <w:r w:rsidR="003F783C" w:rsidRPr="00EA246C">
        <w:rPr>
          <w:rStyle w:val="Strong"/>
        </w:rPr>
        <w:t xml:space="preserve">In future FRAACS reports we expect to see improvements in sector financial performance </w:t>
      </w:r>
      <w:proofErr w:type="gramStart"/>
      <w:r w:rsidR="003F783C" w:rsidRPr="00EA246C">
        <w:rPr>
          <w:rStyle w:val="Strong"/>
        </w:rPr>
        <w:t>as a result of</w:t>
      </w:r>
      <w:proofErr w:type="gramEnd"/>
      <w:r w:rsidR="003F783C" w:rsidRPr="00EA246C">
        <w:rPr>
          <w:rStyle w:val="Strong"/>
        </w:rPr>
        <w:t xml:space="preserve"> key aged care reforms which have come into effect following the 2021-22 financial year</w:t>
      </w:r>
      <w:r w:rsidR="003F783C" w:rsidRPr="003F783C">
        <w:t xml:space="preserve">, including:  </w:t>
      </w:r>
    </w:p>
    <w:p w14:paraId="0C008ECF" w14:textId="5F2E9BF8" w:rsidR="00E9093F" w:rsidRDefault="00E9093F" w:rsidP="00EA246C">
      <w:pPr>
        <w:pStyle w:val="ListBullet"/>
      </w:pPr>
      <w:r>
        <w:t>the</w:t>
      </w:r>
      <w:r w:rsidRPr="00137A57">
        <w:t xml:space="preserve"> implementation of the AN-ACC funding model</w:t>
      </w:r>
      <w:r>
        <w:t>, which commenced on 1 October 2022</w:t>
      </w:r>
    </w:p>
    <w:p w14:paraId="0C734CBB" w14:textId="6A42C3EF" w:rsidR="003F783C" w:rsidRPr="003F783C" w:rsidRDefault="003F783C" w:rsidP="00EA246C">
      <w:pPr>
        <w:pStyle w:val="ListBullet"/>
      </w:pPr>
      <w:r w:rsidRPr="003F783C">
        <w:t>an additional 9,500 home care places in 2023-24</w:t>
      </w:r>
    </w:p>
    <w:p w14:paraId="3E5357E2" w14:textId="6C5DB250" w:rsidR="00E9093F" w:rsidRDefault="00E9093F" w:rsidP="00EA246C">
      <w:pPr>
        <w:pStyle w:val="ListBullet"/>
      </w:pPr>
      <w:r>
        <w:t>the</w:t>
      </w:r>
      <w:r w:rsidRPr="00137A57">
        <w:t xml:space="preserve"> expanded role of the Independent Health and Aged Care Pricing Authority (IHACPA)</w:t>
      </w:r>
      <w:r w:rsidR="00881CB3">
        <w:t xml:space="preserve">, which will </w:t>
      </w:r>
      <w:r w:rsidR="00670CCE">
        <w:t>provide advice to Government to ensure</w:t>
      </w:r>
      <w:r w:rsidR="00881CB3" w:rsidDel="00670CCE">
        <w:t xml:space="preserve"> </w:t>
      </w:r>
      <w:r w:rsidR="00881CB3">
        <w:t>care funding moves in line with the costs of delivering care</w:t>
      </w:r>
      <w:r w:rsidR="001C06E6">
        <w:t>. IHACPA</w:t>
      </w:r>
      <w:r w:rsidR="00911702">
        <w:t xml:space="preserve">’s first </w:t>
      </w:r>
      <w:r w:rsidR="000C6977">
        <w:t xml:space="preserve">recommendation to Government was delivered in May 2023 and </w:t>
      </w:r>
      <w:r w:rsidR="00696F79">
        <w:t>AN-ACC funding increased by</w:t>
      </w:r>
      <w:r w:rsidR="000C6977">
        <w:t xml:space="preserve"> 17 per </w:t>
      </w:r>
      <w:proofErr w:type="gramStart"/>
      <w:r w:rsidR="000C6977">
        <w:t>cent</w:t>
      </w:r>
      <w:proofErr w:type="gramEnd"/>
      <w:r>
        <w:t xml:space="preserve"> </w:t>
      </w:r>
    </w:p>
    <w:p w14:paraId="1E5F4A8D" w14:textId="32F0FFB2" w:rsidR="00E9093F" w:rsidRDefault="00E9093F" w:rsidP="00EA246C">
      <w:pPr>
        <w:pStyle w:val="ListBullet"/>
      </w:pPr>
      <w:r>
        <w:t xml:space="preserve">funding for higher wages </w:t>
      </w:r>
      <w:r w:rsidR="17868623">
        <w:t>for</w:t>
      </w:r>
      <w:r w:rsidR="00945407">
        <w:t xml:space="preserve"> aged care workers</w:t>
      </w:r>
      <w:r w:rsidRPr="00137A57">
        <w:t xml:space="preserve"> </w:t>
      </w:r>
    </w:p>
    <w:p w14:paraId="38F1CA76" w14:textId="5DF89103" w:rsidR="00B53A29" w:rsidRDefault="00E74102" w:rsidP="00EA246C">
      <w:pPr>
        <w:pStyle w:val="ListBullet"/>
      </w:pPr>
      <w:r w:rsidRPr="00D1106A">
        <w:t xml:space="preserve">additional </w:t>
      </w:r>
      <w:r w:rsidR="00745FBE">
        <w:t xml:space="preserve">Australian Government </w:t>
      </w:r>
      <w:r w:rsidR="008E2757">
        <w:t xml:space="preserve">investment into </w:t>
      </w:r>
      <w:r>
        <w:t xml:space="preserve">care and nursing, which will restore confidence in </w:t>
      </w:r>
      <w:r w:rsidRPr="00FF311F">
        <w:t xml:space="preserve">the </w:t>
      </w:r>
      <w:r>
        <w:t xml:space="preserve">quality of residential </w:t>
      </w:r>
      <w:r w:rsidR="00E41B91">
        <w:t xml:space="preserve">aged </w:t>
      </w:r>
      <w:r>
        <w:t>care.</w:t>
      </w:r>
    </w:p>
    <w:p w14:paraId="48BBC7B5" w14:textId="17209F47" w:rsidR="0029592D" w:rsidRPr="00D91826" w:rsidRDefault="001147DE" w:rsidP="00DE3B58">
      <w:r w:rsidRPr="00EA246C">
        <w:rPr>
          <w:rStyle w:val="Strong"/>
        </w:rPr>
        <w:t xml:space="preserve">The </w:t>
      </w:r>
      <w:r w:rsidR="00D30017" w:rsidRPr="00EA246C">
        <w:rPr>
          <w:rStyle w:val="Strong"/>
        </w:rPr>
        <w:t xml:space="preserve">residential aged care </w:t>
      </w:r>
      <w:r w:rsidRPr="00EA246C">
        <w:rPr>
          <w:rStyle w:val="Strong"/>
        </w:rPr>
        <w:t xml:space="preserve">sector has already seen improvements since the </w:t>
      </w:r>
      <w:r w:rsidR="00E22595" w:rsidRPr="00EA246C">
        <w:rPr>
          <w:rStyle w:val="Strong"/>
        </w:rPr>
        <w:t>commencement</w:t>
      </w:r>
      <w:r w:rsidRPr="00EA246C">
        <w:rPr>
          <w:rStyle w:val="Strong"/>
        </w:rPr>
        <w:t xml:space="preserve"> of the AN-ACC funding model</w:t>
      </w:r>
      <w:r w:rsidR="00AA08F3" w:rsidRPr="00EA246C">
        <w:rPr>
          <w:rStyle w:val="Strong"/>
        </w:rPr>
        <w:t xml:space="preserve"> on 1 October 202</w:t>
      </w:r>
      <w:r w:rsidR="005C62BF" w:rsidRPr="00EA246C">
        <w:rPr>
          <w:rStyle w:val="Strong"/>
        </w:rPr>
        <w:t>2</w:t>
      </w:r>
      <w:r w:rsidR="00A24D90">
        <w:t xml:space="preserve"> as </w:t>
      </w:r>
      <w:r w:rsidR="00DE40EA">
        <w:t xml:space="preserve">shown </w:t>
      </w:r>
      <w:r w:rsidR="00A24D90">
        <w:t xml:space="preserve">through the second </w:t>
      </w:r>
      <w:r w:rsidR="00065EE6">
        <w:t>QFS</w:t>
      </w:r>
      <w:r w:rsidR="00A24D90">
        <w:t xml:space="preserve"> for 2022-</w:t>
      </w:r>
      <w:r w:rsidR="798C84A0">
        <w:t>23</w:t>
      </w:r>
      <w:r w:rsidR="00AA08F3">
        <w:t xml:space="preserve">. The department will continue to monitor the financial performance </w:t>
      </w:r>
      <w:r w:rsidR="00E74564">
        <w:t xml:space="preserve">of the sector through the </w:t>
      </w:r>
      <w:r w:rsidR="00141490">
        <w:t xml:space="preserve">Quarterly Financial Report and publish this financial performance </w:t>
      </w:r>
      <w:r w:rsidR="003F783C" w:rsidRPr="003F783C">
        <w:t xml:space="preserve">in the QFS. </w:t>
      </w:r>
    </w:p>
    <w:p w14:paraId="66E94557" w14:textId="5B9594C5" w:rsidR="003F783C" w:rsidRDefault="003F783C" w:rsidP="003F783C">
      <w:pPr>
        <w:rPr>
          <w:rFonts w:cs="Arial"/>
        </w:rPr>
      </w:pPr>
      <w:r w:rsidRPr="003F783C">
        <w:rPr>
          <w:rFonts w:cs="Arial"/>
        </w:rPr>
        <w:t>In addition</w:t>
      </w:r>
      <w:r w:rsidR="00201EAA">
        <w:rPr>
          <w:rFonts w:cs="Arial"/>
        </w:rPr>
        <w:t xml:space="preserve">, </w:t>
      </w:r>
      <w:r w:rsidR="00CD2F75" w:rsidRPr="007E7319">
        <w:rPr>
          <w:rFonts w:cs="Arial"/>
        </w:rPr>
        <w:t>the</w:t>
      </w:r>
      <w:r w:rsidR="00060D0F">
        <w:rPr>
          <w:rFonts w:cs="Arial"/>
        </w:rPr>
        <w:t xml:space="preserve"> Australian</w:t>
      </w:r>
      <w:r w:rsidR="00CD2F75" w:rsidRPr="007E7319">
        <w:rPr>
          <w:rFonts w:cs="Arial"/>
        </w:rPr>
        <w:t xml:space="preserve"> Government is</w:t>
      </w:r>
      <w:r w:rsidR="005C62BF">
        <w:rPr>
          <w:rFonts w:cs="Arial"/>
        </w:rPr>
        <w:t xml:space="preserve"> continuing to</w:t>
      </w:r>
      <w:r w:rsidR="00CD2F75" w:rsidRPr="007E7319">
        <w:rPr>
          <w:rFonts w:cs="Arial"/>
        </w:rPr>
        <w:t xml:space="preserve"> </w:t>
      </w:r>
      <w:r w:rsidR="00CD2F75" w:rsidRPr="7DA329DB">
        <w:rPr>
          <w:rFonts w:cs="Arial"/>
        </w:rPr>
        <w:t>reform</w:t>
      </w:r>
      <w:r w:rsidR="00CD2F75" w:rsidRPr="007E7319">
        <w:rPr>
          <w:rFonts w:cs="Arial"/>
        </w:rPr>
        <w:t xml:space="preserve"> the Australian aged care system through critical initiatives aimed at driving structural change, improving financial sustainability, and </w:t>
      </w:r>
      <w:r w:rsidRPr="003F783C">
        <w:rPr>
          <w:rFonts w:cs="Arial"/>
        </w:rPr>
        <w:t>increased</w:t>
      </w:r>
      <w:r w:rsidR="00CD2F75" w:rsidRPr="007E7319">
        <w:rPr>
          <w:rFonts w:cs="Arial"/>
        </w:rPr>
        <w:t xml:space="preserve"> transparency</w:t>
      </w:r>
      <w:r w:rsidRPr="003F783C">
        <w:rPr>
          <w:rFonts w:cs="Arial"/>
        </w:rPr>
        <w:t>.</w:t>
      </w:r>
      <w:r w:rsidR="00DC7B94" w:rsidRPr="00DC7B94">
        <w:rPr>
          <w:rFonts w:cs="Arial"/>
        </w:rPr>
        <w:t xml:space="preserve"> </w:t>
      </w:r>
      <w:r w:rsidR="00305C2D">
        <w:rPr>
          <w:rFonts w:cs="Arial"/>
        </w:rPr>
        <w:t>A</w:t>
      </w:r>
      <w:r w:rsidR="00C26704">
        <w:rPr>
          <w:rFonts w:cs="Arial"/>
        </w:rPr>
        <w:t xml:space="preserve"> new </w:t>
      </w:r>
      <w:hyperlink r:id="rId21" w:history="1">
        <w:r w:rsidR="00C26704" w:rsidRPr="00A44DC2">
          <w:rPr>
            <w:rStyle w:val="Hyperlink"/>
            <w:rFonts w:cs="Arial"/>
          </w:rPr>
          <w:t xml:space="preserve">Aged Care </w:t>
        </w:r>
        <w:r w:rsidR="004D71F9" w:rsidRPr="00A44DC2">
          <w:rPr>
            <w:rStyle w:val="Hyperlink"/>
            <w:rFonts w:cs="Arial"/>
          </w:rPr>
          <w:t>Taskforce</w:t>
        </w:r>
      </w:hyperlink>
      <w:r w:rsidR="004D71F9">
        <w:rPr>
          <w:rFonts w:cs="Arial"/>
        </w:rPr>
        <w:t xml:space="preserve"> </w:t>
      </w:r>
      <w:r w:rsidR="006834AF">
        <w:rPr>
          <w:rFonts w:cs="Arial"/>
        </w:rPr>
        <w:t>was</w:t>
      </w:r>
      <w:r w:rsidR="004D71F9">
        <w:rPr>
          <w:rFonts w:cs="Arial"/>
        </w:rPr>
        <w:t xml:space="preserve"> establishe</w:t>
      </w:r>
      <w:r w:rsidR="00731095">
        <w:rPr>
          <w:rFonts w:cs="Arial"/>
        </w:rPr>
        <w:t>d</w:t>
      </w:r>
      <w:r w:rsidR="006834AF">
        <w:rPr>
          <w:rFonts w:cs="Arial"/>
        </w:rPr>
        <w:t xml:space="preserve"> in June 2023</w:t>
      </w:r>
      <w:r w:rsidR="00731095">
        <w:rPr>
          <w:rFonts w:cs="Arial"/>
        </w:rPr>
        <w:t xml:space="preserve"> </w:t>
      </w:r>
      <w:r w:rsidR="004265CC">
        <w:rPr>
          <w:rFonts w:cs="Arial"/>
        </w:rPr>
        <w:t xml:space="preserve">to provide advice to the Government </w:t>
      </w:r>
      <w:r w:rsidR="00900CAB">
        <w:rPr>
          <w:rFonts w:cs="Arial"/>
        </w:rPr>
        <w:t>on funding arrangement</w:t>
      </w:r>
      <w:r w:rsidR="00EB3AEF">
        <w:rPr>
          <w:rFonts w:cs="Arial"/>
        </w:rPr>
        <w:t>s</w:t>
      </w:r>
      <w:r w:rsidR="00900CAB">
        <w:rPr>
          <w:rFonts w:cs="Arial"/>
        </w:rPr>
        <w:t xml:space="preserve"> for aged care to ensure the</w:t>
      </w:r>
      <w:r w:rsidR="00036CB2">
        <w:rPr>
          <w:rFonts w:cs="Arial"/>
        </w:rPr>
        <w:t xml:space="preserve"> aged care system is fair and equitable </w:t>
      </w:r>
      <w:r w:rsidR="00E92349">
        <w:rPr>
          <w:rFonts w:cs="Arial"/>
        </w:rPr>
        <w:t xml:space="preserve">for </w:t>
      </w:r>
      <w:r w:rsidR="00036CB2">
        <w:rPr>
          <w:rFonts w:cs="Arial"/>
        </w:rPr>
        <w:t>all Aust</w:t>
      </w:r>
      <w:r w:rsidR="00E87DC4">
        <w:rPr>
          <w:rFonts w:cs="Arial"/>
        </w:rPr>
        <w:t>ralians.</w:t>
      </w:r>
      <w:r w:rsidR="00AD0472">
        <w:rPr>
          <w:rFonts w:cs="Arial"/>
        </w:rPr>
        <w:t xml:space="preserve"> </w:t>
      </w:r>
      <w:r w:rsidR="00DC7B94" w:rsidRPr="007E7319">
        <w:rPr>
          <w:rFonts w:cs="Arial"/>
        </w:rPr>
        <w:t xml:space="preserve">Improving the </w:t>
      </w:r>
      <w:r w:rsidR="00DC7B94">
        <w:rPr>
          <w:rFonts w:cs="Arial"/>
        </w:rPr>
        <w:t>system to ensure long</w:t>
      </w:r>
      <w:r w:rsidR="001B6512">
        <w:rPr>
          <w:rFonts w:cs="Arial"/>
        </w:rPr>
        <w:t>-</w:t>
      </w:r>
      <w:r w:rsidR="00DC7B94">
        <w:rPr>
          <w:rFonts w:cs="Arial"/>
        </w:rPr>
        <w:t xml:space="preserve">term sustainability for the future of aged care </w:t>
      </w:r>
      <w:r w:rsidR="00DC7B94" w:rsidRPr="007E7319">
        <w:rPr>
          <w:rFonts w:cs="Arial"/>
        </w:rPr>
        <w:t>remains a priority for the Australian Government</w:t>
      </w:r>
      <w:r w:rsidRPr="003F783C">
        <w:rPr>
          <w:rFonts w:cs="Arial"/>
        </w:rPr>
        <w:t>.</w:t>
      </w:r>
      <w:r w:rsidR="00DC7B94" w:rsidRPr="007E7319">
        <w:rPr>
          <w:rFonts w:cs="Arial"/>
        </w:rPr>
        <w:t xml:space="preserve"> </w:t>
      </w:r>
      <w:r w:rsidR="00201EAA">
        <w:rPr>
          <w:rFonts w:cs="Arial"/>
        </w:rPr>
        <w:t>These</w:t>
      </w:r>
      <w:r w:rsidR="00DE280D">
        <w:rPr>
          <w:rFonts w:cs="Arial"/>
        </w:rPr>
        <w:t xml:space="preserve"> key</w:t>
      </w:r>
      <w:r w:rsidR="00201EAA">
        <w:rPr>
          <w:rFonts w:cs="Arial"/>
        </w:rPr>
        <w:t xml:space="preserve"> reforms</w:t>
      </w:r>
      <w:r w:rsidR="005C62BF">
        <w:rPr>
          <w:rFonts w:cs="Arial"/>
        </w:rPr>
        <w:t>,</w:t>
      </w:r>
      <w:r w:rsidR="00DE280D">
        <w:rPr>
          <w:rFonts w:cs="Arial"/>
        </w:rPr>
        <w:t xml:space="preserve"> including </w:t>
      </w:r>
      <w:proofErr w:type="gramStart"/>
      <w:r w:rsidR="00DE280D">
        <w:rPr>
          <w:rFonts w:cs="Arial"/>
        </w:rPr>
        <w:t>a number of</w:t>
      </w:r>
      <w:proofErr w:type="gramEnd"/>
      <w:r w:rsidR="00DE280D">
        <w:rPr>
          <w:rFonts w:cs="Arial"/>
        </w:rPr>
        <w:t xml:space="preserve"> </w:t>
      </w:r>
      <w:r w:rsidR="00D473CC">
        <w:rPr>
          <w:rFonts w:cs="Arial"/>
        </w:rPr>
        <w:t>2022-23 October Budget and</w:t>
      </w:r>
      <w:r w:rsidR="00DE280D">
        <w:rPr>
          <w:rFonts w:cs="Arial"/>
        </w:rPr>
        <w:t xml:space="preserve"> 2023-24 Budget measures</w:t>
      </w:r>
      <w:r w:rsidR="00E4705A">
        <w:rPr>
          <w:rFonts w:cs="Arial"/>
        </w:rPr>
        <w:t>,</w:t>
      </w:r>
      <w:r w:rsidR="00201EAA">
        <w:rPr>
          <w:rFonts w:cs="Arial"/>
        </w:rPr>
        <w:t xml:space="preserve"> are detailed below.</w:t>
      </w:r>
    </w:p>
    <w:p w14:paraId="1E160B9A" w14:textId="77777777" w:rsidR="00CD2F75" w:rsidRPr="007E7319" w:rsidRDefault="00AA365F" w:rsidP="00EA246C">
      <w:pPr>
        <w:pStyle w:val="Heading3"/>
      </w:pPr>
      <w:bookmarkStart w:id="4" w:name="_Toc149245292"/>
      <w:r w:rsidRPr="003F783C">
        <w:t>Increased funding for care</w:t>
      </w:r>
      <w:bookmarkEnd w:id="4"/>
    </w:p>
    <w:p w14:paraId="4EC7C320" w14:textId="7D71928C" w:rsidR="00C67ACB" w:rsidRDefault="00C67ACB" w:rsidP="00C67ACB">
      <w:r>
        <w:t xml:space="preserve">The Australian Government funds and regulates residential aged care to ensure </w:t>
      </w:r>
      <w:r w:rsidRPr="003E75A4">
        <w:t xml:space="preserve">aged care providers can deliver </w:t>
      </w:r>
      <w:r>
        <w:t>well-staffed and consistent high</w:t>
      </w:r>
      <w:r w:rsidR="001F3546">
        <w:t>-</w:t>
      </w:r>
      <w:r>
        <w:t xml:space="preserve">quality and safe care. </w:t>
      </w:r>
      <w:r w:rsidRPr="003E75A4">
        <w:t>Funding for residential aged care is delivered through the AN-ACC</w:t>
      </w:r>
      <w:r w:rsidR="00EB382B">
        <w:t xml:space="preserve"> </w:t>
      </w:r>
      <w:r w:rsidRPr="003E75A4">
        <w:t>funding model</w:t>
      </w:r>
      <w:r>
        <w:t xml:space="preserve">. </w:t>
      </w:r>
    </w:p>
    <w:p w14:paraId="60957498" w14:textId="2CFFF8C7" w:rsidR="00CC5112" w:rsidRPr="008E2604" w:rsidRDefault="005C2A58" w:rsidP="008E2604">
      <w:r>
        <w:lastRenderedPageBreak/>
        <w:t xml:space="preserve">As part of the 2023-24 </w:t>
      </w:r>
      <w:r w:rsidR="003152ED">
        <w:t>B</w:t>
      </w:r>
      <w:r>
        <w:t>udget</w:t>
      </w:r>
      <w:r w:rsidR="00A96D1D">
        <w:t>,</w:t>
      </w:r>
      <w:r>
        <w:t xml:space="preserve"> </w:t>
      </w:r>
      <w:r w:rsidRPr="003E75A4">
        <w:t xml:space="preserve">the Government announced an investment of </w:t>
      </w:r>
      <w:r w:rsidR="00A62B5C">
        <w:br/>
        <w:t>$</w:t>
      </w:r>
      <w:r w:rsidRPr="003E75A4">
        <w:t>11.1 billion</w:t>
      </w:r>
      <w:r w:rsidR="00AB74AB">
        <w:t xml:space="preserve"> </w:t>
      </w:r>
      <w:r w:rsidR="002154F0">
        <w:t xml:space="preserve">for residential aged care over the next four years from 1 July </w:t>
      </w:r>
      <w:r w:rsidR="001138F0">
        <w:t>2023</w:t>
      </w:r>
      <w:r w:rsidR="002154F0">
        <w:t xml:space="preserve"> and this builds </w:t>
      </w:r>
      <w:r w:rsidR="002154F0" w:rsidRPr="003152ED">
        <w:t xml:space="preserve">on around $15.7 billion of previous Budget announcements from 2021-22 over the forward estimates to 2026-27. </w:t>
      </w:r>
      <w:r w:rsidR="00CC5112" w:rsidRPr="003152ED">
        <w:rPr>
          <w:rFonts w:cstheme="minorHAnsi"/>
        </w:rPr>
        <w:t xml:space="preserve">Since 2020-21, the average funding per resident per day has increased from $186 under the </w:t>
      </w:r>
      <w:r w:rsidR="00664368">
        <w:rPr>
          <w:rFonts w:cstheme="minorHAnsi"/>
        </w:rPr>
        <w:t>ACFI</w:t>
      </w:r>
      <w:r w:rsidR="00CC5112" w:rsidRPr="003152ED">
        <w:rPr>
          <w:rFonts w:cstheme="minorHAnsi"/>
        </w:rPr>
        <w:t xml:space="preserve"> to an estimated $260 in 2023-24 under AN-ACC, </w:t>
      </w:r>
      <w:r w:rsidR="00CC5112" w:rsidRPr="003152ED">
        <w:t xml:space="preserve">representing an increase of $74 or approximately 40% in </w:t>
      </w:r>
      <w:r w:rsidR="00CC5112" w:rsidRPr="008E2604">
        <w:t>average funding per resident per day in 3 years.</w:t>
      </w:r>
    </w:p>
    <w:p w14:paraId="60A6E07B" w14:textId="77777777" w:rsidR="00760288" w:rsidRPr="008E2604" w:rsidRDefault="00760288" w:rsidP="008E2604">
      <w:r w:rsidRPr="008E2604">
        <w:t>This additional funding of $11.1 billion includes:</w:t>
      </w:r>
    </w:p>
    <w:p w14:paraId="7CFEB2C9" w14:textId="002C5D2A" w:rsidR="00760288" w:rsidRPr="003152ED" w:rsidRDefault="00760288" w:rsidP="008E2604">
      <w:pPr>
        <w:pStyle w:val="ListBullet"/>
      </w:pPr>
      <w:r w:rsidRPr="6C270B32">
        <w:t>$10.1 billion to implement the new AN-ACC price of $243.10 as recommended by the IHACPA to fund the 15</w:t>
      </w:r>
      <w:r w:rsidR="00517D92">
        <w:t xml:space="preserve"> per cent</w:t>
      </w:r>
      <w:r w:rsidRPr="6C270B32">
        <w:t xml:space="preserve"> Fair Work Commission </w:t>
      </w:r>
      <w:r w:rsidR="005B43AB">
        <w:t>(FWC)</w:t>
      </w:r>
      <w:r w:rsidR="1B299F9D" w:rsidRPr="6C270B32">
        <w:t xml:space="preserve"> </w:t>
      </w:r>
      <w:r w:rsidRPr="6C270B32">
        <w:t xml:space="preserve">wage increase, as well as other increases in care costs since </w:t>
      </w:r>
      <w:r w:rsidR="1B299F9D" w:rsidRPr="21341379">
        <w:t>AN</w:t>
      </w:r>
      <w:r w:rsidR="236098A7" w:rsidRPr="21341379">
        <w:t>-</w:t>
      </w:r>
      <w:r w:rsidR="1B299F9D" w:rsidRPr="21341379">
        <w:t>ACC</w:t>
      </w:r>
      <w:r w:rsidRPr="6C270B32">
        <w:t xml:space="preserve"> was introduced on 1 October last </w:t>
      </w:r>
      <w:proofErr w:type="gramStart"/>
      <w:r w:rsidRPr="6C270B32">
        <w:t>year;</w:t>
      </w:r>
      <w:proofErr w:type="gramEnd"/>
    </w:p>
    <w:p w14:paraId="521DBCA2" w14:textId="77777777" w:rsidR="00760288" w:rsidRPr="003152ED" w:rsidRDefault="00760288" w:rsidP="008E2604">
      <w:pPr>
        <w:pStyle w:val="ListBullet"/>
      </w:pPr>
      <w:r w:rsidRPr="003152ED">
        <w:rPr>
          <w:rFonts w:cstheme="minorHAnsi"/>
        </w:rPr>
        <w:t xml:space="preserve">an additional $116 million to establish a new $10.80 hotelling supplement per resident per </w:t>
      </w:r>
      <w:proofErr w:type="gramStart"/>
      <w:r w:rsidRPr="003152ED">
        <w:rPr>
          <w:rFonts w:cstheme="minorHAnsi"/>
        </w:rPr>
        <w:t>day;</w:t>
      </w:r>
      <w:proofErr w:type="gramEnd"/>
      <w:r w:rsidRPr="003152ED">
        <w:rPr>
          <w:rFonts w:cstheme="minorHAnsi"/>
        </w:rPr>
        <w:t xml:space="preserve">  </w:t>
      </w:r>
    </w:p>
    <w:p w14:paraId="59DA772E" w14:textId="21343F72" w:rsidR="00760288" w:rsidRPr="003152ED" w:rsidRDefault="00760288" w:rsidP="008E2604">
      <w:pPr>
        <w:pStyle w:val="ListBullet"/>
      </w:pPr>
      <w:r w:rsidRPr="003152ED">
        <w:t>an additional $6 million to establish a new one-off grant opportunity under the existing AN</w:t>
      </w:r>
      <w:r w:rsidR="56149392" w:rsidRPr="003152ED">
        <w:t>-</w:t>
      </w:r>
      <w:r w:rsidRPr="003152ED">
        <w:t xml:space="preserve">ACC Transition Fund to support residential aged care services with specific characteristics, such as those in isolated communities and in remote and very remote locations to cover higher care costs related to their location for the 2023-24 financial year </w:t>
      </w:r>
      <w:proofErr w:type="gramStart"/>
      <w:r w:rsidRPr="003152ED">
        <w:t>only;</w:t>
      </w:r>
      <w:proofErr w:type="gramEnd"/>
    </w:p>
    <w:p w14:paraId="2D1B01DE" w14:textId="7A3AB8F5" w:rsidR="00760288" w:rsidRPr="003152ED" w:rsidRDefault="00760288" w:rsidP="008E2604">
      <w:pPr>
        <w:pStyle w:val="ListBullet"/>
        <w:rPr>
          <w:rFonts w:cstheme="minorHAnsi"/>
        </w:rPr>
      </w:pPr>
      <w:r w:rsidRPr="003152ED">
        <w:rPr>
          <w:rFonts w:cstheme="minorHAnsi"/>
        </w:rPr>
        <w:t>an additional $743 million to cover the costs of delivering 215 care minutes, over three years from 2024-25 following the 15</w:t>
      </w:r>
      <w:r w:rsidR="00517D92">
        <w:rPr>
          <w:rFonts w:cstheme="minorHAnsi"/>
        </w:rPr>
        <w:t xml:space="preserve"> per cent</w:t>
      </w:r>
      <w:r w:rsidRPr="003152ED">
        <w:rPr>
          <w:rFonts w:cstheme="minorHAnsi"/>
        </w:rPr>
        <w:t xml:space="preserve"> </w:t>
      </w:r>
      <w:r w:rsidR="00DA2F5C">
        <w:rPr>
          <w:rFonts w:cstheme="minorHAnsi"/>
        </w:rPr>
        <w:t>FWC</w:t>
      </w:r>
      <w:r w:rsidRPr="003152ED">
        <w:rPr>
          <w:rFonts w:cstheme="minorHAnsi"/>
        </w:rPr>
        <w:t xml:space="preserve"> wage increase; and </w:t>
      </w:r>
    </w:p>
    <w:p w14:paraId="77A6B80F" w14:textId="167DBBED" w:rsidR="000E7A09" w:rsidRPr="008E2604" w:rsidRDefault="00760288" w:rsidP="008E2604">
      <w:pPr>
        <w:pStyle w:val="ListBullet"/>
        <w:rPr>
          <w:rFonts w:cstheme="minorHAnsi"/>
        </w:rPr>
      </w:pPr>
      <w:r w:rsidRPr="003152ED">
        <w:rPr>
          <w:rFonts w:cstheme="minorHAnsi"/>
        </w:rPr>
        <w:t xml:space="preserve">an </w:t>
      </w:r>
      <w:r w:rsidRPr="003152ED">
        <w:t>additional</w:t>
      </w:r>
      <w:r w:rsidRPr="003152ED">
        <w:rPr>
          <w:rFonts w:cstheme="minorHAnsi"/>
        </w:rPr>
        <w:t xml:space="preserve"> $178 million to align the 24/7 registered nurse supplement with the 15</w:t>
      </w:r>
      <w:r w:rsidR="00A33816">
        <w:rPr>
          <w:rFonts w:cstheme="minorHAnsi"/>
        </w:rPr>
        <w:t xml:space="preserve"> per cent</w:t>
      </w:r>
      <w:r w:rsidRPr="003152ED">
        <w:rPr>
          <w:rFonts w:cstheme="minorHAnsi"/>
        </w:rPr>
        <w:t xml:space="preserve"> increase in award wages.</w:t>
      </w:r>
    </w:p>
    <w:p w14:paraId="6BFA7F71" w14:textId="6E159F4A" w:rsidR="00760288" w:rsidRPr="003152ED" w:rsidRDefault="00760288" w:rsidP="008E2604">
      <w:r w:rsidRPr="003152ED">
        <w:t>The increase to the AN-ACC price from $206.80 (excluding the former $10 Basic Daily Fee Supplement) to $243.10 represents 17.6</w:t>
      </w:r>
      <w:r w:rsidR="00D80FDA">
        <w:t xml:space="preserve"> per cent</w:t>
      </w:r>
      <w:r w:rsidR="00D74B08">
        <w:t xml:space="preserve"> increase</w:t>
      </w:r>
      <w:r w:rsidR="00D31620">
        <w:t>.</w:t>
      </w:r>
      <w:r w:rsidRPr="003152ED">
        <w:t xml:space="preserve"> The former $10 Basic Daily Fee </w:t>
      </w:r>
      <w:r w:rsidR="00744152">
        <w:t>S</w:t>
      </w:r>
      <w:r w:rsidRPr="003152ED">
        <w:t>upplement will be rolled into a new $10.80 hotelling supplement, which will commence from 1 July 2023 and be paid in addition to the AN-ACC price.</w:t>
      </w:r>
    </w:p>
    <w:p w14:paraId="03F809DE" w14:textId="7E1B0FC8" w:rsidR="00760288" w:rsidRPr="003152ED" w:rsidRDefault="00760288" w:rsidP="00760288">
      <w:pPr>
        <w:rPr>
          <w:color w:val="548235"/>
        </w:rPr>
      </w:pPr>
      <w:r w:rsidRPr="003152ED">
        <w:t xml:space="preserve">The AN-ACC price will be set annually, based on advice from the IHACPA, to </w:t>
      </w:r>
      <w:r w:rsidR="004B0A18">
        <w:t>ensure</w:t>
      </w:r>
      <w:r w:rsidR="004B0A18" w:rsidRPr="003152ED">
        <w:t xml:space="preserve"> </w:t>
      </w:r>
      <w:r w:rsidRPr="003152ED">
        <w:t xml:space="preserve">care funding moves in line with the actual costs of delivering care. IHACPA has released the Residential Aged Care Pricing Advice 2023-24 and Technical Specifications, which details IHACPA’s pricing methodology used to develop the 2023-24 pricing advice to </w:t>
      </w:r>
      <w:r w:rsidR="00E94102">
        <w:t>the</w:t>
      </w:r>
      <w:r w:rsidRPr="003152ED">
        <w:t xml:space="preserve"> Government</w:t>
      </w:r>
      <w:r w:rsidRPr="003152ED">
        <w:rPr>
          <w:color w:val="548235"/>
        </w:rPr>
        <w:t>.</w:t>
      </w:r>
    </w:p>
    <w:p w14:paraId="5D9F363B" w14:textId="77777777" w:rsidR="003F783C" w:rsidRPr="003F783C" w:rsidRDefault="003F783C" w:rsidP="00EA246C">
      <w:pPr>
        <w:pStyle w:val="Heading3"/>
      </w:pPr>
      <w:bookmarkStart w:id="5" w:name="_Toc149245293"/>
      <w:r w:rsidRPr="003F783C">
        <w:t>Fair pay for aged care workers</w:t>
      </w:r>
      <w:bookmarkEnd w:id="5"/>
    </w:p>
    <w:p w14:paraId="3FF05232" w14:textId="0D91501D" w:rsidR="00CD2F75" w:rsidRPr="0056443B" w:rsidRDefault="00CD2F75" w:rsidP="00CD2F75">
      <w:pPr>
        <w:rPr>
          <w:rFonts w:cs="Arial"/>
        </w:rPr>
      </w:pPr>
      <w:r w:rsidRPr="0056443B">
        <w:rPr>
          <w:rFonts w:cs="Arial"/>
        </w:rPr>
        <w:t xml:space="preserve">The Australian Government is investing $11.3 billion to deliver on its commitment to fund the outcome of the </w:t>
      </w:r>
      <w:r w:rsidR="00A20E61">
        <w:rPr>
          <w:rFonts w:cs="Arial"/>
        </w:rPr>
        <w:t>FWC</w:t>
      </w:r>
      <w:r w:rsidRPr="0056443B">
        <w:rPr>
          <w:rFonts w:cs="Arial"/>
        </w:rPr>
        <w:t xml:space="preserve"> Aged Care Work Value </w:t>
      </w:r>
      <w:r w:rsidR="008645D7">
        <w:rPr>
          <w:rFonts w:cs="Arial"/>
        </w:rPr>
        <w:t>C</w:t>
      </w:r>
      <w:r w:rsidRPr="0056443B">
        <w:rPr>
          <w:rFonts w:cs="Arial"/>
        </w:rPr>
        <w:t xml:space="preserve">ase. On </w:t>
      </w:r>
      <w:r w:rsidR="00337DDB" w:rsidRPr="0056443B">
        <w:rPr>
          <w:rFonts w:cs="Arial"/>
        </w:rPr>
        <w:br/>
      </w:r>
      <w:r w:rsidRPr="0056443B">
        <w:rPr>
          <w:rFonts w:cs="Arial"/>
        </w:rPr>
        <w:t xml:space="preserve">21 February 2023, the FWC </w:t>
      </w:r>
      <w:proofErr w:type="gramStart"/>
      <w:r w:rsidRPr="0056443B">
        <w:rPr>
          <w:rFonts w:cs="Arial"/>
        </w:rPr>
        <w:t>made a decision</w:t>
      </w:r>
      <w:proofErr w:type="gramEnd"/>
      <w:r w:rsidRPr="0056443B">
        <w:rPr>
          <w:rFonts w:cs="Arial"/>
        </w:rPr>
        <w:t xml:space="preserve"> in the </w:t>
      </w:r>
      <w:r w:rsidR="008645D7">
        <w:rPr>
          <w:rFonts w:cs="Arial"/>
        </w:rPr>
        <w:t>Aged Care Work Value Case</w:t>
      </w:r>
      <w:r w:rsidRPr="0056443B">
        <w:rPr>
          <w:rFonts w:cs="Arial"/>
        </w:rPr>
        <w:t xml:space="preserve"> for an increase to award wages for many aged care workers of 15 per cent, </w:t>
      </w:r>
      <w:r w:rsidR="00A95CDB">
        <w:rPr>
          <w:rFonts w:cs="Arial"/>
        </w:rPr>
        <w:t>which took</w:t>
      </w:r>
      <w:r w:rsidRPr="0056443B">
        <w:rPr>
          <w:rFonts w:cs="Arial"/>
        </w:rPr>
        <w:t xml:space="preserve"> effect from 30 June 2023. The wage increase is expected to benefit around 250,000 registered nurses, enrolled nurses, assistants in nursing, personal care workers, </w:t>
      </w:r>
      <w:r w:rsidRPr="0056443B">
        <w:rPr>
          <w:rFonts w:cs="Arial"/>
        </w:rPr>
        <w:lastRenderedPageBreak/>
        <w:t>head chefs and cooks, recreational activities officers (lifestyle workers) and home care workers. </w:t>
      </w:r>
    </w:p>
    <w:p w14:paraId="018E1D10" w14:textId="6EB1DAF3" w:rsidR="00CD2F75" w:rsidRPr="007E7319" w:rsidRDefault="003226FD" w:rsidP="00CD2F75">
      <w:proofErr w:type="gramStart"/>
      <w:r>
        <w:rPr>
          <w:rFonts w:cs="Arial"/>
        </w:rPr>
        <w:t>In order to</w:t>
      </w:r>
      <w:proofErr w:type="gramEnd"/>
      <w:r>
        <w:rPr>
          <w:rFonts w:cs="Arial"/>
        </w:rPr>
        <w:t xml:space="preserve"> deliver this pay rise</w:t>
      </w:r>
      <w:r w:rsidR="00FC026F">
        <w:rPr>
          <w:rFonts w:cs="Arial"/>
        </w:rPr>
        <w:t>,</w:t>
      </w:r>
      <w:r>
        <w:rPr>
          <w:rFonts w:cs="Arial"/>
        </w:rPr>
        <w:t xml:space="preserve"> r</w:t>
      </w:r>
      <w:r w:rsidR="00CD2F75" w:rsidRPr="007E7319">
        <w:rPr>
          <w:rFonts w:cs="Arial"/>
        </w:rPr>
        <w:t xml:space="preserve">esidential care funding will increase by $8.5 billion over the next 4 years, the Home Care Package </w:t>
      </w:r>
      <w:r w:rsidR="00D22EEA">
        <w:rPr>
          <w:rFonts w:cs="Arial"/>
        </w:rPr>
        <w:t>Program</w:t>
      </w:r>
      <w:r w:rsidR="00D22EEA" w:rsidRPr="007E7319">
        <w:rPr>
          <w:rFonts w:cs="Arial"/>
        </w:rPr>
        <w:t xml:space="preserve"> </w:t>
      </w:r>
      <w:r w:rsidR="00CD2F75" w:rsidRPr="007E7319">
        <w:rPr>
          <w:rFonts w:cs="Arial"/>
        </w:rPr>
        <w:t xml:space="preserve">subsidy will increase by $2.2 billion, and the </w:t>
      </w:r>
      <w:r w:rsidR="00CD2F75" w:rsidRPr="002E6372">
        <w:rPr>
          <w:rFonts w:cs="Arial"/>
        </w:rPr>
        <w:t>Commonwealth Home Support Programme</w:t>
      </w:r>
      <w:r w:rsidR="003F783C">
        <w:rPr>
          <w:rFonts w:cs="Arial"/>
        </w:rPr>
        <w:t xml:space="preserve"> </w:t>
      </w:r>
      <w:r w:rsidR="13F648AD">
        <w:rPr>
          <w:rFonts w:cs="Arial"/>
        </w:rPr>
        <w:t>(CHSP)</w:t>
      </w:r>
      <w:r w:rsidRPr="3BB2ECD5" w:rsidDel="003F783C">
        <w:rPr>
          <w:rFonts w:cs="Arial"/>
        </w:rPr>
        <w:t xml:space="preserve"> </w:t>
      </w:r>
      <w:r w:rsidR="003F783C" w:rsidRPr="003F783C">
        <w:rPr>
          <w:rFonts w:cs="Arial"/>
        </w:rPr>
        <w:t xml:space="preserve">grant will increase by $310 million. The Government is also funding </w:t>
      </w:r>
      <w:r w:rsidR="009026C8">
        <w:rPr>
          <w:rFonts w:cs="Arial"/>
        </w:rPr>
        <w:t xml:space="preserve">historic </w:t>
      </w:r>
      <w:r w:rsidR="003F783C" w:rsidRPr="003F783C">
        <w:rPr>
          <w:rFonts w:cs="Arial"/>
        </w:rPr>
        <w:t xml:space="preserve">leave liabilities in 2023-24 worth $98.7 million. </w:t>
      </w:r>
    </w:p>
    <w:p w14:paraId="43FD9A92" w14:textId="18E87DCB" w:rsidR="00CD2F75" w:rsidRPr="003F783C" w:rsidRDefault="00CD2F75" w:rsidP="00CD2F75">
      <w:r w:rsidRPr="0056443B">
        <w:t>The Aged Care Work Value case continues with the FWC considering further increases for direct care workers in the sector and whether wage increases should also be applied to ancillary staff, including administration and support workers. The Government has also committed to fund the FWC’s decision in relation to this case following the outcome of deliberations.</w:t>
      </w:r>
    </w:p>
    <w:p w14:paraId="731FAFE0" w14:textId="6068F020" w:rsidR="003F783C" w:rsidRDefault="003F783C" w:rsidP="003F783C">
      <w:r w:rsidRPr="003F783C">
        <w:t xml:space="preserve">The department will monitor how much providers spend on wages through both the Quarterly Financial Report and QFS. </w:t>
      </w:r>
    </w:p>
    <w:p w14:paraId="21AB0BB4" w14:textId="77777777" w:rsidR="003F783C" w:rsidRPr="003F783C" w:rsidRDefault="003F783C" w:rsidP="00EA246C">
      <w:pPr>
        <w:pStyle w:val="Heading3"/>
      </w:pPr>
      <w:bookmarkStart w:id="6" w:name="_Toc149245294"/>
      <w:r w:rsidRPr="003F783C">
        <w:t>Transparency and accountability</w:t>
      </w:r>
      <w:bookmarkEnd w:id="6"/>
    </w:p>
    <w:p w14:paraId="39ECBE73" w14:textId="77777777" w:rsidR="00C77D45" w:rsidRPr="003F783C" w:rsidRDefault="00C77D45" w:rsidP="003F783C">
      <w:r w:rsidRPr="003F783C">
        <w:t>The Australian Government is delivering stronger regulation, reporting and improved data so that older people living in Australia, their families and carers will have the right information to choose their provider.</w:t>
      </w:r>
    </w:p>
    <w:p w14:paraId="4A53153F" w14:textId="725F57AA" w:rsidR="00C77D45" w:rsidRPr="003F783C" w:rsidRDefault="003F783C" w:rsidP="00C77D45">
      <w:r w:rsidRPr="003F783C">
        <w:t>The Government has invested $72.3 million in 2023–24 to develop a</w:t>
      </w:r>
      <w:r w:rsidR="00C77D45" w:rsidRPr="003F783C">
        <w:t xml:space="preserve"> new regulatory framework and prudential model which will enable a more risk-based and proportionate approach to regulation.</w:t>
      </w:r>
    </w:p>
    <w:p w14:paraId="7062F90F" w14:textId="10CCEBC7" w:rsidR="00C77D45" w:rsidRPr="003F783C" w:rsidRDefault="00C77D45" w:rsidP="00C77D45">
      <w:r w:rsidRPr="003F783C">
        <w:t>This includes an additional $12.9 million</w:t>
      </w:r>
      <w:r w:rsidR="0057143B">
        <w:t xml:space="preserve"> to</w:t>
      </w:r>
      <w:r w:rsidRPr="003F783C">
        <w:t xml:space="preserve"> enhance the Aged Care Quality and Safety Commission</w:t>
      </w:r>
      <w:r w:rsidR="006A21FA">
        <w:t>’s</w:t>
      </w:r>
      <w:r w:rsidRPr="003F783C">
        <w:t xml:space="preserve"> (ACQSC) role as the prudential regulator of aged care. This will deliver a more stable and viable sector, and in doing so support the continuity and quality of aged care services for older Australians.</w:t>
      </w:r>
    </w:p>
    <w:p w14:paraId="1FF9B939" w14:textId="0C306C79" w:rsidR="00C77D45" w:rsidRPr="003F783C" w:rsidRDefault="00C77D45" w:rsidP="003F783C">
      <w:r w:rsidRPr="003F783C">
        <w:t xml:space="preserve">Regulation will also be strengthened with up to 720 spot checks by the </w:t>
      </w:r>
      <w:r w:rsidR="006C4C0E" w:rsidRPr="006C4C0E">
        <w:t>ACQSC</w:t>
      </w:r>
      <w:r w:rsidRPr="003F783C">
        <w:t xml:space="preserve"> on food in residential aged care per year and up to 500 independent Menu and </w:t>
      </w:r>
      <w:proofErr w:type="gramStart"/>
      <w:r w:rsidRPr="003F783C">
        <w:t xml:space="preserve">Meal </w:t>
      </w:r>
      <w:r w:rsidR="0044269B">
        <w:t>T</w:t>
      </w:r>
      <w:r w:rsidRPr="003F783C">
        <w:t>ime</w:t>
      </w:r>
      <w:proofErr w:type="gramEnd"/>
      <w:r w:rsidRPr="003F783C">
        <w:t xml:space="preserve"> </w:t>
      </w:r>
      <w:r w:rsidR="00814A91">
        <w:t>Quality A</w:t>
      </w:r>
      <w:r w:rsidRPr="003F783C">
        <w:t xml:space="preserve">ssessments by </w:t>
      </w:r>
      <w:r w:rsidR="003547E6">
        <w:t>d</w:t>
      </w:r>
      <w:r w:rsidRPr="003F783C">
        <w:t>ietitians per year to build sector capability ($12.9 million over 2 years).</w:t>
      </w:r>
    </w:p>
    <w:p w14:paraId="4A439473" w14:textId="77777777" w:rsidR="00C77D45" w:rsidRPr="003F783C" w:rsidRDefault="00C77D45" w:rsidP="003F783C">
      <w:r w:rsidRPr="003F783C">
        <w:t xml:space="preserve">Transparency will also be improved through </w:t>
      </w:r>
      <w:proofErr w:type="gramStart"/>
      <w:r w:rsidRPr="003F783C">
        <w:t>a number of</w:t>
      </w:r>
      <w:proofErr w:type="gramEnd"/>
      <w:r w:rsidRPr="003F783C">
        <w:t xml:space="preserve"> initiatives ($139.9 million over 4 years) including:</w:t>
      </w:r>
    </w:p>
    <w:p w14:paraId="1DA2EA54" w14:textId="77777777" w:rsidR="00C77D45" w:rsidRPr="00C37746" w:rsidRDefault="00C77D45" w:rsidP="003B1144">
      <w:pPr>
        <w:pStyle w:val="ListBullet"/>
      </w:pPr>
      <w:r w:rsidRPr="00C37746">
        <w:t xml:space="preserve">enhancing Star Ratings with an expanded scope, including more information to inform choice for older </w:t>
      </w:r>
      <w:proofErr w:type="gramStart"/>
      <w:r w:rsidRPr="00C37746">
        <w:t>people</w:t>
      </w:r>
      <w:proofErr w:type="gramEnd"/>
    </w:p>
    <w:p w14:paraId="0E04573C" w14:textId="38BE04C5" w:rsidR="00C77D45" w:rsidRPr="00C37746" w:rsidRDefault="00C77D45" w:rsidP="003B1144">
      <w:pPr>
        <w:pStyle w:val="ListBullet"/>
      </w:pPr>
      <w:r w:rsidRPr="00C37746">
        <w:t>enhancing independent resident experience surveys with around 20 percent of residents annually</w:t>
      </w:r>
    </w:p>
    <w:p w14:paraId="57934D8C" w14:textId="59B84240" w:rsidR="00C77D45" w:rsidRPr="00C37746" w:rsidRDefault="00C77D45" w:rsidP="003B1144">
      <w:pPr>
        <w:pStyle w:val="ListBullet"/>
      </w:pPr>
      <w:r w:rsidRPr="00C37746">
        <w:t>introducing new staffing quality indicators in residential aged care, and work to expand quality indicators into home care</w:t>
      </w:r>
      <w:r w:rsidR="002B19BB" w:rsidRPr="00C37746">
        <w:t>,</w:t>
      </w:r>
      <w:r w:rsidRPr="00C37746">
        <w:t xml:space="preserve"> and </w:t>
      </w:r>
    </w:p>
    <w:p w14:paraId="4912C8E7" w14:textId="77777777" w:rsidR="00C77D45" w:rsidRPr="00C37746" w:rsidRDefault="00C77D45" w:rsidP="003B1144">
      <w:pPr>
        <w:pStyle w:val="ListBullet"/>
      </w:pPr>
      <w:r w:rsidRPr="00C37746">
        <w:lastRenderedPageBreak/>
        <w:t>implementing a new requirement for providers to give residents a monthly care statement outlining the care and services they have received.</w:t>
      </w:r>
    </w:p>
    <w:p w14:paraId="2D40D8E5" w14:textId="18A8465D" w:rsidR="004600CB" w:rsidRPr="00DF3AE9" w:rsidRDefault="004600CB" w:rsidP="00EA246C">
      <w:pPr>
        <w:pStyle w:val="Heading3"/>
        <w:rPr>
          <w:b w:val="0"/>
          <w:szCs w:val="28"/>
        </w:rPr>
      </w:pPr>
      <w:bookmarkStart w:id="7" w:name="_Toc149245295"/>
      <w:r w:rsidRPr="003F783C">
        <w:t>Digital Transformation</w:t>
      </w:r>
      <w:bookmarkEnd w:id="7"/>
      <w:r w:rsidRPr="003F783C">
        <w:t xml:space="preserve"> </w:t>
      </w:r>
    </w:p>
    <w:p w14:paraId="2BCDA2F5" w14:textId="41D0580A" w:rsidR="004600CB" w:rsidRPr="003F783C" w:rsidRDefault="004600CB" w:rsidP="004600CB">
      <w:r w:rsidRPr="003F783C">
        <w:t xml:space="preserve">Delivering on reforms will require a strong and modernised aged care sector. The Government committed $312.6 million in the October 2022-23 Budget to invest in aged care information, </w:t>
      </w:r>
      <w:proofErr w:type="gramStart"/>
      <w:r w:rsidRPr="003F783C">
        <w:t>communication</w:t>
      </w:r>
      <w:proofErr w:type="gramEnd"/>
      <w:r w:rsidRPr="003F783C">
        <w:t xml:space="preserve"> and technology (ICT) systems to strengthen the transparency, integrity, and accountability of aged care providers by facilitating the efficient transmission of information and data in near real-time.</w:t>
      </w:r>
    </w:p>
    <w:p w14:paraId="0AF15BB6" w14:textId="77777777" w:rsidR="004600CB" w:rsidRPr="003F783C" w:rsidRDefault="004600CB" w:rsidP="004600CB">
      <w:r w:rsidRPr="003F783C">
        <w:t>This investment will allow aged care providers to report their compliance obligations more easily and quickly through Business to Government connectivity, and to view and manage their own business, service and regulatory compliance information using a modernised ICT platform – the Government Provider Management System – thereby reducing their administrative burden and allowing aged care staff to dedicate more time to meaningful care.</w:t>
      </w:r>
    </w:p>
    <w:p w14:paraId="68580C43" w14:textId="77777777" w:rsidR="004600CB" w:rsidRPr="003F783C" w:rsidRDefault="004600CB" w:rsidP="004600CB">
      <w:r w:rsidRPr="003F783C">
        <w:t>It also means older Australians, their families and carers will have access to more accurate and timely information, will be able to see transparently the cost of services, and will have a simple platform for making payments when receiving care in their home.</w:t>
      </w:r>
    </w:p>
    <w:p w14:paraId="7F4038F7" w14:textId="77777777" w:rsidR="008336DD" w:rsidRDefault="004600CB" w:rsidP="00684A3D">
      <w:r w:rsidRPr="003F783C">
        <w:t xml:space="preserve">An Aged Care Digital Strategy and Aged Care Data Strategy are </w:t>
      </w:r>
      <w:r>
        <w:t xml:space="preserve">also </w:t>
      </w:r>
      <w:r w:rsidRPr="003F783C">
        <w:t>being developed</w:t>
      </w:r>
      <w:r w:rsidR="00FD64DB">
        <w:t xml:space="preserve"> </w:t>
      </w:r>
      <w:r w:rsidR="00FD64DB" w:rsidRPr="00FD64DB">
        <w:t>and will be completed by the end of 2023</w:t>
      </w:r>
      <w:r w:rsidRPr="003F783C">
        <w:t xml:space="preserve">. These strategies will provide the aged care sector with a clear and purposeful vision of how digital technology and processes will shape the aged care system from now until 2030, and how the use of data in aged care can support the provision of high-quality care that maximises the health and wellbeing of older people in Australia. </w:t>
      </w:r>
    </w:p>
    <w:p w14:paraId="70B225F9" w14:textId="71164ACB" w:rsidR="006E51AD" w:rsidRPr="00684A3D" w:rsidRDefault="004600CB" w:rsidP="00684A3D">
      <w:r w:rsidRPr="003F783C">
        <w:t>The needs of older people will underpin these strategies, ensuring that they are well-supported and provided with consistent, and equitable access to information and services they need, when they need them. A supporting implementation plan will set out practical initiatives and activities required to realise the longer-term vision for the use of data and digital processes in aged care.</w:t>
      </w:r>
    </w:p>
    <w:p w14:paraId="0FB40B33" w14:textId="42F662D8" w:rsidR="00CD2F75" w:rsidRPr="003F783C" w:rsidRDefault="003F783C" w:rsidP="00EA246C">
      <w:pPr>
        <w:pStyle w:val="Heading3"/>
      </w:pPr>
      <w:bookmarkStart w:id="8" w:name="_Toc149245296"/>
      <w:r w:rsidRPr="00EA246C">
        <w:t>Rural</w:t>
      </w:r>
      <w:r w:rsidRPr="003F783C">
        <w:t xml:space="preserve"> and </w:t>
      </w:r>
      <w:r w:rsidR="0043255B">
        <w:t>r</w:t>
      </w:r>
      <w:r w:rsidRPr="003F783C">
        <w:t>emote and First Nations elders</w:t>
      </w:r>
      <w:bookmarkEnd w:id="8"/>
    </w:p>
    <w:p w14:paraId="1BF686A7" w14:textId="5BF14E56" w:rsidR="004E7471" w:rsidRDefault="004E7471" w:rsidP="004E7471">
      <w:pPr>
        <w:rPr>
          <w:rFonts w:eastAsia="Arial" w:cs="Arial"/>
          <w:color w:val="1E1545" w:themeColor="text2"/>
        </w:rPr>
      </w:pPr>
      <w:r w:rsidRPr="435661FB">
        <w:rPr>
          <w:rFonts w:eastAsia="Arial" w:cs="Arial"/>
          <w:color w:val="1E1545" w:themeColor="text2"/>
        </w:rPr>
        <w:t>Improving the lives of older Australians living in rural and remote areas</w:t>
      </w:r>
      <w:r>
        <w:rPr>
          <w:rFonts w:eastAsia="Arial" w:cs="Arial"/>
          <w:color w:val="1E1545" w:themeColor="text2"/>
        </w:rPr>
        <w:t xml:space="preserve"> and First Nations elders</w:t>
      </w:r>
      <w:r w:rsidRPr="435661FB">
        <w:rPr>
          <w:rFonts w:eastAsia="Arial" w:cs="Arial"/>
          <w:color w:val="1E1545" w:themeColor="text2"/>
        </w:rPr>
        <w:t xml:space="preserve"> receiving care remains a priority for the Australian Government. </w:t>
      </w:r>
    </w:p>
    <w:p w14:paraId="1E5CDA52" w14:textId="1DC2356F" w:rsidR="00770D15" w:rsidRDefault="007E71C5" w:rsidP="0056443B">
      <w:r>
        <w:t xml:space="preserve">The Australian Government </w:t>
      </w:r>
      <w:r w:rsidR="007E18C8">
        <w:t xml:space="preserve">recognises the challenges </w:t>
      </w:r>
      <w:r w:rsidR="00F3437E">
        <w:t xml:space="preserve">of rural and remote aged care such as higher operating costs, fluctuations in demand for services, smaller populations and service size which impact on financial viability and sustainability of services. </w:t>
      </w:r>
    </w:p>
    <w:p w14:paraId="78C128C7" w14:textId="606962A5" w:rsidR="00CB0D0D" w:rsidRDefault="00F3437E" w:rsidP="0056443B">
      <w:r>
        <w:t xml:space="preserve">There are workforce shortages across the aged care sector; these are exacerbated in rural and remote areas with difficulties attracting and retaining suitably qualified </w:t>
      </w:r>
      <w:r>
        <w:lastRenderedPageBreak/>
        <w:t>workforce</w:t>
      </w:r>
      <w:r w:rsidR="003B73EE">
        <w:t>.</w:t>
      </w:r>
      <w:r>
        <w:t xml:space="preserve"> The AN-ACC funding model recognises and reflects the variation in costs of providing care based on </w:t>
      </w:r>
      <w:r w:rsidR="00CB0D0D">
        <w:t>the</w:t>
      </w:r>
      <w:r>
        <w:t xml:space="preserve"> </w:t>
      </w:r>
      <w:r w:rsidR="00396EAC">
        <w:t>characteristic</w:t>
      </w:r>
      <w:r w:rsidR="003E7710">
        <w:t>s</w:t>
      </w:r>
      <w:r w:rsidR="00CB0D0D">
        <w:t xml:space="preserve"> of a facility</w:t>
      </w:r>
      <w:r>
        <w:t xml:space="preserve">, including location. </w:t>
      </w:r>
    </w:p>
    <w:p w14:paraId="5ECB2C4D" w14:textId="31F0AA47" w:rsidR="00F3437E" w:rsidRPr="003B1144" w:rsidRDefault="00F3437E" w:rsidP="0056443B">
      <w:pPr>
        <w:rPr>
          <w:rStyle w:val="Strong"/>
        </w:rPr>
      </w:pPr>
      <w:r w:rsidRPr="003B1144">
        <w:rPr>
          <w:rStyle w:val="Strong"/>
        </w:rPr>
        <w:t>From 1 July 2023 non-specialised remote and very remote facilities (MM</w:t>
      </w:r>
      <w:r w:rsidR="00872142" w:rsidRPr="003B1144">
        <w:rPr>
          <w:rStyle w:val="Strong"/>
        </w:rPr>
        <w:t>M</w:t>
      </w:r>
      <w:r w:rsidRPr="003B1144">
        <w:rPr>
          <w:rStyle w:val="Strong"/>
        </w:rPr>
        <w:t xml:space="preserve"> 6-7) are forecast to receive on average approximately $328 per bed day, which is $68 more than the sector </w:t>
      </w:r>
      <w:proofErr w:type="gramStart"/>
      <w:r w:rsidRPr="003B1144">
        <w:rPr>
          <w:rStyle w:val="Strong"/>
        </w:rPr>
        <w:t>average</w:t>
      </w:r>
      <w:proofErr w:type="gramEnd"/>
      <w:r w:rsidRPr="003B1144">
        <w:rPr>
          <w:rStyle w:val="Strong"/>
        </w:rPr>
        <w:t xml:space="preserve"> AN-ACC funding of $260. </w:t>
      </w:r>
    </w:p>
    <w:p w14:paraId="04446BC6" w14:textId="550AD9DF" w:rsidR="003F27CE" w:rsidRDefault="003F27CE" w:rsidP="003F27CE">
      <w:pPr>
        <w:rPr>
          <w:rFonts w:eastAsia="Arial" w:cs="Arial"/>
          <w:color w:val="1E1545" w:themeColor="text2"/>
        </w:rPr>
      </w:pPr>
      <w:r w:rsidRPr="7603439F">
        <w:rPr>
          <w:rFonts w:eastAsia="Arial" w:cs="Arial"/>
          <w:color w:val="1E1545" w:themeColor="text2"/>
        </w:rPr>
        <w:t xml:space="preserve">The Australian Government also recognises that First Nations </w:t>
      </w:r>
      <w:r w:rsidR="00B3685A">
        <w:rPr>
          <w:rFonts w:eastAsia="Arial" w:cs="Arial"/>
          <w:color w:val="1E1545" w:themeColor="text2"/>
        </w:rPr>
        <w:t>elders</w:t>
      </w:r>
      <w:r w:rsidRPr="7603439F">
        <w:rPr>
          <w:rFonts w:eastAsia="Arial" w:cs="Arial"/>
          <w:color w:val="1E1545" w:themeColor="text2"/>
        </w:rPr>
        <w:t xml:space="preserve"> are not well serviced by the existing aged care system. First Nations </w:t>
      </w:r>
      <w:r w:rsidR="00B368FA">
        <w:rPr>
          <w:rFonts w:eastAsia="Arial" w:cs="Arial"/>
          <w:color w:val="1E1545" w:themeColor="text2"/>
        </w:rPr>
        <w:t>elders</w:t>
      </w:r>
      <w:r w:rsidRPr="7603439F">
        <w:rPr>
          <w:rFonts w:eastAsia="Arial" w:cs="Arial"/>
          <w:color w:val="1E1545" w:themeColor="text2"/>
        </w:rPr>
        <w:t xml:space="preserve"> are not accessing aged care services in the numbers or at the levels commensurate with need</w:t>
      </w:r>
      <w:r w:rsidR="00B3685A">
        <w:rPr>
          <w:rFonts w:eastAsia="Arial" w:cs="Arial"/>
          <w:color w:val="1E1545" w:themeColor="text2"/>
        </w:rPr>
        <w:t xml:space="preserve">. This </w:t>
      </w:r>
      <w:r w:rsidRPr="7603439F">
        <w:rPr>
          <w:rFonts w:eastAsia="Arial" w:cs="Arial"/>
          <w:color w:val="1E1545" w:themeColor="text2"/>
        </w:rPr>
        <w:t>includ</w:t>
      </w:r>
      <w:r w:rsidR="00B3685A">
        <w:rPr>
          <w:rFonts w:eastAsia="Arial" w:cs="Arial"/>
          <w:color w:val="1E1545" w:themeColor="text2"/>
        </w:rPr>
        <w:t>es</w:t>
      </w:r>
      <w:r w:rsidRPr="7603439F">
        <w:rPr>
          <w:rFonts w:eastAsia="Arial" w:cs="Arial"/>
          <w:color w:val="1E1545" w:themeColor="text2"/>
        </w:rPr>
        <w:t xml:space="preserve"> in urban settings where most First Nations people live, and in remote areas where it can be difficult to get the range of services needed. </w:t>
      </w:r>
    </w:p>
    <w:p w14:paraId="4FE7484C" w14:textId="5B19B10D" w:rsidR="003F27CE" w:rsidRDefault="003F27CE" w:rsidP="003F27CE">
      <w:pPr>
        <w:rPr>
          <w:rFonts w:eastAsia="Arial" w:cs="Arial"/>
          <w:color w:val="1E1545" w:themeColor="text2"/>
        </w:rPr>
      </w:pPr>
      <w:r w:rsidRPr="7603439F">
        <w:rPr>
          <w:rFonts w:eastAsia="Arial" w:cs="Arial"/>
          <w:color w:val="1E1545" w:themeColor="text2"/>
        </w:rPr>
        <w:t xml:space="preserve">The intergenerational impacts of colonisation continue to cause trauma, and prolonged experiences of personal and institutional discrimination have led to a mistrust of government and some </w:t>
      </w:r>
      <w:r w:rsidR="00FD31AB">
        <w:rPr>
          <w:rFonts w:eastAsia="Arial" w:cs="Arial"/>
          <w:color w:val="1E1545" w:themeColor="text2"/>
        </w:rPr>
        <w:t xml:space="preserve">aged care </w:t>
      </w:r>
      <w:r w:rsidRPr="7603439F">
        <w:rPr>
          <w:rFonts w:eastAsia="Arial" w:cs="Arial"/>
          <w:color w:val="1E1545" w:themeColor="text2"/>
        </w:rPr>
        <w:t xml:space="preserve">providers. Access and assessment processes are not always culturally safe, and there is a lack of trauma aware and healing informed service provision. Some First Nations elders don’t have access to an Aboriginal </w:t>
      </w:r>
      <w:r w:rsidR="00E65BB3" w:rsidRPr="00E65BB3">
        <w:rPr>
          <w:rFonts w:eastAsia="Arial" w:cs="Arial"/>
          <w:color w:val="1E1545" w:themeColor="text2"/>
        </w:rPr>
        <w:t>Community Controlled Health Service</w:t>
      </w:r>
      <w:r w:rsidR="00E65BB3" w:rsidRPr="00E65BB3" w:rsidDel="00E65BB3">
        <w:rPr>
          <w:rFonts w:eastAsia="Arial" w:cs="Arial"/>
          <w:color w:val="1E1545" w:themeColor="text2"/>
        </w:rPr>
        <w:t xml:space="preserve"> </w:t>
      </w:r>
      <w:r w:rsidRPr="7603439F">
        <w:rPr>
          <w:rFonts w:eastAsia="Arial" w:cs="Arial"/>
          <w:color w:val="1E1545" w:themeColor="text2"/>
        </w:rPr>
        <w:t xml:space="preserve">and mainstream alternatives do not adequately meet their needs. </w:t>
      </w:r>
    </w:p>
    <w:p w14:paraId="76CD5C61" w14:textId="03AA16DE" w:rsidR="003F27CE" w:rsidRDefault="003F27CE" w:rsidP="003F27CE">
      <w:pPr>
        <w:rPr>
          <w:rFonts w:eastAsia="Arial" w:cs="Arial"/>
          <w:color w:val="1E1545" w:themeColor="text2"/>
        </w:rPr>
      </w:pPr>
      <w:r w:rsidRPr="7603439F">
        <w:rPr>
          <w:rFonts w:eastAsia="Arial" w:cs="Arial"/>
          <w:color w:val="1E1545" w:themeColor="text2"/>
        </w:rPr>
        <w:t xml:space="preserve">The department is implementing </w:t>
      </w:r>
      <w:proofErr w:type="gramStart"/>
      <w:r w:rsidRPr="7603439F">
        <w:rPr>
          <w:rFonts w:eastAsia="Arial" w:cs="Arial"/>
          <w:color w:val="1E1545" w:themeColor="text2"/>
        </w:rPr>
        <w:t>a number of</w:t>
      </w:r>
      <w:proofErr w:type="gramEnd"/>
      <w:r w:rsidRPr="7603439F">
        <w:rPr>
          <w:rFonts w:eastAsia="Arial" w:cs="Arial"/>
          <w:color w:val="1E1545" w:themeColor="text2"/>
        </w:rPr>
        <w:t xml:space="preserve"> First Nations specific measures and working across the Ageing and Aged Care Group on mainstream reforms to help address the barriers to aged care for First Nations people. First Nations elders will benefit from an investment of </w:t>
      </w:r>
      <w:r w:rsidRPr="00101FA1">
        <w:rPr>
          <w:rFonts w:eastAsia="Arial" w:cs="Arial"/>
          <w:color w:val="1E1545" w:themeColor="text2"/>
        </w:rPr>
        <w:t>$77.3 million</w:t>
      </w:r>
      <w:r w:rsidRPr="7603439F">
        <w:rPr>
          <w:rFonts w:eastAsia="Arial" w:cs="Arial"/>
          <w:color w:val="1E1545" w:themeColor="text2"/>
        </w:rPr>
        <w:t xml:space="preserve"> over 4 years to improve access to high quality care for First Nations elders and ensur</w:t>
      </w:r>
      <w:r w:rsidR="000412A0">
        <w:rPr>
          <w:rFonts w:eastAsia="Arial" w:cs="Arial"/>
          <w:color w:val="1E1545" w:themeColor="text2"/>
        </w:rPr>
        <w:t>e</w:t>
      </w:r>
      <w:r w:rsidRPr="7603439F">
        <w:rPr>
          <w:rFonts w:eastAsia="Arial" w:cs="Arial"/>
          <w:color w:val="1E1545" w:themeColor="text2"/>
        </w:rPr>
        <w:t xml:space="preserve"> services are accessible on Country.</w:t>
      </w:r>
    </w:p>
    <w:p w14:paraId="49380640" w14:textId="1D995FD2" w:rsidR="00E54751" w:rsidRDefault="00E54751" w:rsidP="003F27CE">
      <w:pPr>
        <w:rPr>
          <w:rFonts w:eastAsia="Arial" w:cs="Arial"/>
          <w:color w:val="1E1545" w:themeColor="text2"/>
        </w:rPr>
      </w:pPr>
      <w:r>
        <w:rPr>
          <w:rFonts w:eastAsia="Arial" w:cs="Arial"/>
          <w:color w:val="1E1545" w:themeColor="text2"/>
        </w:rPr>
        <w:t xml:space="preserve">This funding includes an additional $52.1 million over the next </w:t>
      </w:r>
      <w:r w:rsidR="00BE2064">
        <w:rPr>
          <w:rFonts w:eastAsia="Arial" w:cs="Arial"/>
          <w:color w:val="1E1545" w:themeColor="text2"/>
        </w:rPr>
        <w:t>2</w:t>
      </w:r>
      <w:r>
        <w:rPr>
          <w:rFonts w:eastAsia="Arial" w:cs="Arial"/>
          <w:color w:val="1E1545" w:themeColor="text2"/>
        </w:rPr>
        <w:t xml:space="preserve"> years to deliver residential care in very remote areas, </w:t>
      </w:r>
      <w:r w:rsidRPr="7603439F">
        <w:rPr>
          <w:rFonts w:eastAsia="Arial" w:cs="Arial"/>
          <w:color w:val="1E1545" w:themeColor="text2"/>
        </w:rPr>
        <w:t>to improve viability and ensure First Nations elders continue to receive care on Country</w:t>
      </w:r>
      <w:r>
        <w:rPr>
          <w:rFonts w:eastAsia="Arial" w:cs="Arial"/>
          <w:color w:val="1E1545" w:themeColor="text2"/>
        </w:rPr>
        <w:t xml:space="preserve">. It is funded </w:t>
      </w:r>
      <w:r w:rsidRPr="7603439F">
        <w:rPr>
          <w:rFonts w:eastAsia="Arial" w:cs="Arial"/>
          <w:color w:val="1E1545" w:themeColor="text2"/>
        </w:rPr>
        <w:t>under the National Aboriginal and Torres Strait Islander Flexible Aged Care (NATSIFAC) Program</w:t>
      </w:r>
      <w:r>
        <w:rPr>
          <w:rFonts w:eastAsia="Arial" w:cs="Arial"/>
          <w:color w:val="1E1545" w:themeColor="text2"/>
        </w:rPr>
        <w:t>.</w:t>
      </w:r>
      <w:r w:rsidRPr="7603439F">
        <w:rPr>
          <w:rFonts w:eastAsia="Arial" w:cs="Arial"/>
          <w:color w:val="1E1545" w:themeColor="text2"/>
        </w:rPr>
        <w:t xml:space="preserve"> </w:t>
      </w:r>
    </w:p>
    <w:p w14:paraId="11840E7A" w14:textId="1FFDBEA7" w:rsidR="003B73EE" w:rsidRDefault="003B73EE" w:rsidP="003B73EE">
      <w:pPr>
        <w:rPr>
          <w:rFonts w:eastAsia="Arial" w:cs="Arial"/>
          <w:color w:val="1E1545" w:themeColor="text2"/>
        </w:rPr>
      </w:pPr>
      <w:r w:rsidRPr="7603439F">
        <w:rPr>
          <w:rFonts w:eastAsia="Arial" w:cs="Arial"/>
          <w:color w:val="1E1545" w:themeColor="text2"/>
        </w:rPr>
        <w:t xml:space="preserve">A further $8.1 million over </w:t>
      </w:r>
      <w:r w:rsidR="00BE2064">
        <w:rPr>
          <w:rFonts w:eastAsia="Arial" w:cs="Arial"/>
          <w:color w:val="1E1545" w:themeColor="text2"/>
        </w:rPr>
        <w:t>3</w:t>
      </w:r>
      <w:r w:rsidRPr="7603439F">
        <w:rPr>
          <w:rFonts w:eastAsia="Arial" w:cs="Arial"/>
          <w:color w:val="1E1545" w:themeColor="text2"/>
        </w:rPr>
        <w:t xml:space="preserve"> years will support all 43 NATSIFAC services to transition from being administered under a grant agreement to being regulated under the new Aged Care Act. </w:t>
      </w:r>
    </w:p>
    <w:p w14:paraId="122C062F" w14:textId="75249FC4" w:rsidR="003B73EE" w:rsidRDefault="0064674F" w:rsidP="003B73EE">
      <w:pPr>
        <w:rPr>
          <w:rFonts w:eastAsia="Arial" w:cs="Arial"/>
          <w:color w:val="1E1545" w:themeColor="text2"/>
        </w:rPr>
      </w:pPr>
      <w:r w:rsidRPr="008E6EA6">
        <w:rPr>
          <w:rFonts w:eastAsia="Arial" w:cs="Arial"/>
          <w:color w:val="1E1545" w:themeColor="text2"/>
        </w:rPr>
        <w:t>Additionally,</w:t>
      </w:r>
      <w:r w:rsidR="003B73EE" w:rsidRPr="008E6EA6" w:rsidDel="00DC2BF1">
        <w:rPr>
          <w:rFonts w:eastAsia="Arial" w:cs="Arial"/>
          <w:color w:val="1E1545" w:themeColor="text2"/>
        </w:rPr>
        <w:t xml:space="preserve"> </w:t>
      </w:r>
      <w:r w:rsidR="003B73EE" w:rsidRPr="008E6EA6">
        <w:rPr>
          <w:rFonts w:eastAsia="Arial" w:cs="Arial"/>
          <w:color w:val="1E1545" w:themeColor="text2"/>
        </w:rPr>
        <w:t>$8.2 million</w:t>
      </w:r>
      <w:r w:rsidR="00600C99" w:rsidRPr="008E6EA6">
        <w:rPr>
          <w:rFonts w:eastAsia="Arial" w:cs="Arial"/>
          <w:color w:val="1E1545" w:themeColor="text2"/>
        </w:rPr>
        <w:t xml:space="preserve"> in funding</w:t>
      </w:r>
      <w:r w:rsidR="003B73EE" w:rsidRPr="008E6EA6">
        <w:rPr>
          <w:rFonts w:eastAsia="Arial" w:cs="Arial"/>
          <w:color w:val="1E1545" w:themeColor="text2"/>
        </w:rPr>
        <w:t xml:space="preserve"> </w:t>
      </w:r>
      <w:r w:rsidR="0044282F" w:rsidRPr="008E6EA6">
        <w:rPr>
          <w:rFonts w:eastAsia="Arial" w:cs="Arial"/>
          <w:color w:val="1E1545" w:themeColor="text2"/>
        </w:rPr>
        <w:t>will</w:t>
      </w:r>
      <w:r w:rsidR="003B73EE" w:rsidRPr="008E6EA6">
        <w:rPr>
          <w:rFonts w:eastAsia="Arial" w:cs="Arial"/>
          <w:color w:val="1E1545" w:themeColor="text2"/>
        </w:rPr>
        <w:t xml:space="preserve"> build the capacity of Aboriginal Community-Controlled Organisations, to deliver aged care services to First Nations elders, $5.3 million will improve First Nations </w:t>
      </w:r>
      <w:proofErr w:type="gramStart"/>
      <w:r w:rsidR="003B73EE" w:rsidRPr="008E6EA6">
        <w:rPr>
          <w:rFonts w:eastAsia="Arial" w:cs="Arial"/>
          <w:color w:val="1E1545" w:themeColor="text2"/>
        </w:rPr>
        <w:t>elders</w:t>
      </w:r>
      <w:proofErr w:type="gramEnd"/>
      <w:r w:rsidR="003B73EE" w:rsidRPr="008E6EA6">
        <w:rPr>
          <w:rFonts w:eastAsia="Arial" w:cs="Arial"/>
          <w:color w:val="1E1545" w:themeColor="text2"/>
        </w:rPr>
        <w:t xml:space="preserve"> access to culturally safe, trauma-aware and healing informed aged care services and $1.7 million will support the establishment of an interim First Nations Aged Care Commissioner.</w:t>
      </w:r>
    </w:p>
    <w:p w14:paraId="136D0F37" w14:textId="09FAC9F6" w:rsidR="003B73EE" w:rsidRPr="0056443B" w:rsidRDefault="003B73EE" w:rsidP="003B73EE">
      <w:r>
        <w:rPr>
          <w:rFonts w:eastAsia="Arial" w:cs="Arial"/>
          <w:color w:val="1E1545" w:themeColor="text2"/>
        </w:rPr>
        <w:t>In addition to the $77.3 million over 4 years, r</w:t>
      </w:r>
      <w:r w:rsidRPr="435661FB">
        <w:rPr>
          <w:rFonts w:eastAsia="Arial" w:cs="Arial"/>
          <w:color w:val="1E1545" w:themeColor="text2"/>
        </w:rPr>
        <w:t xml:space="preserve">ural, remote and First Nations communities around Australia will benefit from an investment of $27 million over 4 years to strengthen access to care and support in regions where market conditions do not support an adequate range of aged care, disability support and veterans’ care services. Funding will support 10 place-based integrated care and commissioning trials that will work with local stakeholders to help build a more joined-up, </w:t>
      </w:r>
      <w:r w:rsidRPr="435661FB">
        <w:rPr>
          <w:rFonts w:eastAsia="Arial" w:cs="Arial"/>
          <w:color w:val="1E1545" w:themeColor="text2"/>
        </w:rPr>
        <w:lastRenderedPageBreak/>
        <w:t xml:space="preserve">collaborative care and support sector that </w:t>
      </w:r>
      <w:r w:rsidR="00B7050E">
        <w:rPr>
          <w:rFonts w:eastAsia="Arial" w:cs="Arial"/>
          <w:color w:val="1E1545" w:themeColor="text2"/>
        </w:rPr>
        <w:t>facilitates</w:t>
      </w:r>
      <w:r w:rsidRPr="435661FB">
        <w:rPr>
          <w:rFonts w:eastAsia="Arial" w:cs="Arial"/>
          <w:color w:val="1E1545" w:themeColor="text2"/>
        </w:rPr>
        <w:t xml:space="preserve"> a wider range of services and workforce.</w:t>
      </w:r>
    </w:p>
    <w:p w14:paraId="415B0C6B" w14:textId="77777777" w:rsidR="00CD2F75" w:rsidRPr="007E7319" w:rsidRDefault="00CD2F75" w:rsidP="00EA246C">
      <w:pPr>
        <w:pStyle w:val="Heading3"/>
      </w:pPr>
      <w:bookmarkStart w:id="9" w:name="_Toc149245297"/>
      <w:r w:rsidRPr="003F783C">
        <w:t xml:space="preserve">A roadmap </w:t>
      </w:r>
      <w:r w:rsidR="00E26DA8" w:rsidRPr="007F7D05">
        <w:t xml:space="preserve">for </w:t>
      </w:r>
      <w:r w:rsidRPr="007F7D05">
        <w:t>reform</w:t>
      </w:r>
      <w:bookmarkEnd w:id="9"/>
    </w:p>
    <w:p w14:paraId="5CF8412E" w14:textId="77777777" w:rsidR="00D65C92" w:rsidRDefault="00CD2F75" w:rsidP="00087099">
      <w:r>
        <w:t xml:space="preserve">Within a decade, there will be more people aged over 65 </w:t>
      </w:r>
      <w:r w:rsidR="00025446">
        <w:t>years</w:t>
      </w:r>
      <w:r>
        <w:t xml:space="preserve"> than under 18 living in Australia for the first time in history. </w:t>
      </w:r>
      <w:r>
        <w:rPr>
          <w:rFonts w:eastAsia="Calibri"/>
        </w:rPr>
        <w:t>The workforce is also ageing. The total proportion of people working in Australia of traditional working age, 15 to 64 years, is predicted to decline.</w:t>
      </w:r>
    </w:p>
    <w:p w14:paraId="293DE23D" w14:textId="12CF4E39" w:rsidR="00AA6608" w:rsidRDefault="00D65C92" w:rsidP="003E75A4">
      <w:r>
        <w:t>Australia will need a fair and equitable aged care system to be sustainable for the long</w:t>
      </w:r>
      <w:r w:rsidR="00B16097">
        <w:t>-</w:t>
      </w:r>
      <w:r>
        <w:t>term and meet the needs of an ageing population. To achieve this, an evaluation of system funding is essential</w:t>
      </w:r>
      <w:r w:rsidR="00B17F2E">
        <w:t xml:space="preserve">, to </w:t>
      </w:r>
      <w:r>
        <w:t xml:space="preserve">build upon the Royal Commission’s recommendations. </w:t>
      </w:r>
    </w:p>
    <w:p w14:paraId="3AE97986" w14:textId="0F72268F" w:rsidR="006304D7" w:rsidRDefault="00070E3C" w:rsidP="003E75A4">
      <w:r>
        <w:t xml:space="preserve">In this context, </w:t>
      </w:r>
      <w:r w:rsidR="00D65C92">
        <w:t xml:space="preserve">a new Aged Care Taskforce has been established to review aged care funding arrangements and develop options to make the system fair and equitable for all Australians. </w:t>
      </w:r>
      <w:r w:rsidR="006304D7">
        <w:t>The Taskforce provides an opportunity for targeted and thorough consideration of system funding arrangements to ensure that they are equitable, embed innovation, and include a future focus that adjusts to the changing pattern of demographics, needs and circumstances of older Australians.</w:t>
      </w:r>
    </w:p>
    <w:p w14:paraId="29E7CE2A" w14:textId="77777777" w:rsidR="00D65C92" w:rsidRDefault="00D65C92" w:rsidP="003E75A4">
      <w:r>
        <w:t xml:space="preserve">The work of the Aged Care Taskforce will also seek to align its recommendations with the Government’s National Strategy for the Care and Support Economy. </w:t>
      </w:r>
    </w:p>
    <w:p w14:paraId="3CDCFBD9" w14:textId="4CDCF0FC" w:rsidR="00D65C92" w:rsidRDefault="00D65C92" w:rsidP="003E75A4">
      <w:r>
        <w:t xml:space="preserve">The Taskforce will also inform the final design of the Support at Home </w:t>
      </w:r>
      <w:r w:rsidR="00CF4B92">
        <w:t xml:space="preserve">Program </w:t>
      </w:r>
      <w:r>
        <w:t xml:space="preserve">which will commence on 1 July 2025, to allow time to further refine the design. </w:t>
      </w:r>
    </w:p>
    <w:p w14:paraId="681E4B68" w14:textId="305B42F8" w:rsidR="003F783C" w:rsidRPr="003F783C" w:rsidRDefault="003F783C" w:rsidP="003F783C">
      <w:pPr>
        <w:rPr>
          <w:rFonts w:cs="Arial"/>
        </w:rPr>
      </w:pPr>
      <w:r w:rsidRPr="003F783C">
        <w:rPr>
          <w:rFonts w:cs="Arial"/>
        </w:rPr>
        <w:t xml:space="preserve">For more information on the 2023-24 Budget please </w:t>
      </w:r>
      <w:r w:rsidR="00B10C03">
        <w:rPr>
          <w:rFonts w:cs="Arial"/>
        </w:rPr>
        <w:t>visit</w:t>
      </w:r>
      <w:r w:rsidRPr="003F783C">
        <w:rPr>
          <w:rFonts w:cs="Arial"/>
        </w:rPr>
        <w:t xml:space="preserve">: </w:t>
      </w:r>
      <w:hyperlink r:id="rId22" w:history="1">
        <w:r w:rsidRPr="003F783C">
          <w:rPr>
            <w:rFonts w:cs="Arial"/>
            <w:color w:val="2AB1BB" w:themeColor="hyperlink"/>
            <w:u w:val="single"/>
          </w:rPr>
          <w:t>https://www.health.gov.au/resources/publications/delivering-the-largest-ever-pay-rise-to-aged-care-workers-budget-2023-24?language=en</w:t>
        </w:r>
      </w:hyperlink>
    </w:p>
    <w:p w14:paraId="26983B9A" w14:textId="77777777" w:rsidR="00E146A5" w:rsidRPr="008E2604" w:rsidRDefault="00E146A5" w:rsidP="008E2604">
      <w:r w:rsidRPr="008E2604">
        <w:br w:type="page"/>
      </w:r>
    </w:p>
    <w:p w14:paraId="7F0F933A" w14:textId="135E6012" w:rsidR="00D86DE1" w:rsidRDefault="008C0BD5" w:rsidP="0004214B">
      <w:pPr>
        <w:pStyle w:val="Heading2nonumbers"/>
      </w:pPr>
      <w:bookmarkStart w:id="10" w:name="_Toc149245298"/>
      <w:r>
        <w:lastRenderedPageBreak/>
        <w:t xml:space="preserve">This </w:t>
      </w:r>
      <w:r w:rsidR="00FE5D7E">
        <w:t>report</w:t>
      </w:r>
      <w:bookmarkEnd w:id="10"/>
    </w:p>
    <w:p w14:paraId="1390137B" w14:textId="77777777" w:rsidR="00C000C3" w:rsidRPr="0004214B" w:rsidRDefault="00472B15" w:rsidP="0004214B">
      <w:pPr>
        <w:pStyle w:val="Heading3"/>
      </w:pPr>
      <w:bookmarkStart w:id="11" w:name="_Toc149245299"/>
      <w:r w:rsidRPr="00725B66">
        <w:t>Methodolog</w:t>
      </w:r>
      <w:r w:rsidR="00C000C3" w:rsidRPr="00725B66">
        <w:t>y</w:t>
      </w:r>
      <w:bookmarkEnd w:id="11"/>
    </w:p>
    <w:p w14:paraId="19480F75" w14:textId="5838E504" w:rsidR="00150AF9" w:rsidRPr="00725B66" w:rsidRDefault="00150AF9" w:rsidP="00150AF9">
      <w:r w:rsidRPr="00725B66">
        <w:t xml:space="preserve">The </w:t>
      </w:r>
      <w:r w:rsidR="00947215">
        <w:t>2021-22 FRAACS</w:t>
      </w:r>
      <w:r w:rsidRPr="00725B66">
        <w:t xml:space="preserve"> presents and analyses 202</w:t>
      </w:r>
      <w:r w:rsidR="00AD450F" w:rsidRPr="00725B66">
        <w:t>1</w:t>
      </w:r>
      <w:r w:rsidRPr="00725B66">
        <w:t>–2</w:t>
      </w:r>
      <w:r w:rsidR="00AD450F" w:rsidRPr="00725B66">
        <w:t>2</w:t>
      </w:r>
      <w:r w:rsidRPr="00725B66">
        <w:t xml:space="preserve"> </w:t>
      </w:r>
      <w:r w:rsidR="00697D31">
        <w:t xml:space="preserve">financial year </w:t>
      </w:r>
      <w:r w:rsidRPr="00725B66">
        <w:t>data provided by aged care providers and data held by the department.</w:t>
      </w:r>
      <w:r>
        <w:t xml:space="preserve"> </w:t>
      </w:r>
      <w:r w:rsidR="009C48E4">
        <w:t xml:space="preserve">Data collection for the ACFR </w:t>
      </w:r>
      <w:r w:rsidR="00E4312A">
        <w:t>opens</w:t>
      </w:r>
      <w:r w:rsidR="009C48E4">
        <w:t xml:space="preserve"> in August and providers </w:t>
      </w:r>
      <w:r w:rsidR="00E4312A">
        <w:t>are</w:t>
      </w:r>
      <w:r w:rsidR="009C48E4">
        <w:t xml:space="preserve"> required to submit information </w:t>
      </w:r>
      <w:r w:rsidR="00A5540C">
        <w:t>by</w:t>
      </w:r>
      <w:r w:rsidR="009C48E4">
        <w:t xml:space="preserve"> the end of October. </w:t>
      </w:r>
      <w:r w:rsidR="00F95E4D">
        <w:t>The department</w:t>
      </w:r>
      <w:r w:rsidR="009C48E4">
        <w:t xml:space="preserve"> </w:t>
      </w:r>
      <w:r w:rsidR="00F95E4D">
        <w:t>the</w:t>
      </w:r>
      <w:r w:rsidR="00054A75">
        <w:t>n</w:t>
      </w:r>
      <w:r w:rsidR="00F95E4D">
        <w:t xml:space="preserve"> undertakes a </w:t>
      </w:r>
      <w:r w:rsidR="009C48E4">
        <w:t xml:space="preserve">data cleansing and analysis process </w:t>
      </w:r>
      <w:r w:rsidR="00F95E4D">
        <w:t>to ensure the information is accurate</w:t>
      </w:r>
      <w:r w:rsidR="009C48E4">
        <w:t>.</w:t>
      </w:r>
    </w:p>
    <w:p w14:paraId="7C85B0B3" w14:textId="77777777" w:rsidR="00150AF9" w:rsidRPr="00725B66" w:rsidRDefault="00150AF9" w:rsidP="00150AF9">
      <w:r w:rsidRPr="00725B66">
        <w:t>The principal data sources are financial and administrative</w:t>
      </w:r>
      <w:r w:rsidRPr="00725B66">
        <w:rPr>
          <w:spacing w:val="-11"/>
        </w:rPr>
        <w:t xml:space="preserve"> </w:t>
      </w:r>
      <w:r w:rsidRPr="00725B66">
        <w:t>data</w:t>
      </w:r>
      <w:r w:rsidRPr="00725B66">
        <w:rPr>
          <w:spacing w:val="-11"/>
        </w:rPr>
        <w:t xml:space="preserve"> </w:t>
      </w:r>
      <w:r w:rsidRPr="00725B66">
        <w:t>collected</w:t>
      </w:r>
      <w:r w:rsidRPr="00725B66">
        <w:rPr>
          <w:spacing w:val="-11"/>
        </w:rPr>
        <w:t xml:space="preserve"> </w:t>
      </w:r>
      <w:r w:rsidRPr="00725B66">
        <w:t>by</w:t>
      </w:r>
      <w:r w:rsidRPr="00725B66">
        <w:rPr>
          <w:spacing w:val="-11"/>
        </w:rPr>
        <w:t xml:space="preserve"> </w:t>
      </w:r>
      <w:r w:rsidRPr="00725B66">
        <w:t>the</w:t>
      </w:r>
      <w:r w:rsidRPr="00725B66">
        <w:rPr>
          <w:spacing w:val="-11"/>
        </w:rPr>
        <w:t xml:space="preserve"> </w:t>
      </w:r>
      <w:r w:rsidRPr="00725B66">
        <w:t>department:</w:t>
      </w:r>
    </w:p>
    <w:p w14:paraId="7E78E9FD" w14:textId="6BB6D389" w:rsidR="00150AF9" w:rsidRPr="00725B66" w:rsidRDefault="00150AF9" w:rsidP="00A36CF3">
      <w:pPr>
        <w:pStyle w:val="ListBullet"/>
      </w:pPr>
      <w:r w:rsidRPr="00725B66">
        <w:t>From</w:t>
      </w:r>
      <w:r w:rsidRPr="002B6569">
        <w:rPr>
          <w:spacing w:val="-7"/>
        </w:rPr>
        <w:t xml:space="preserve"> </w:t>
      </w:r>
      <w:r w:rsidRPr="00725B66">
        <w:t>home</w:t>
      </w:r>
      <w:r w:rsidRPr="002B6569">
        <w:rPr>
          <w:spacing w:val="-5"/>
        </w:rPr>
        <w:t xml:space="preserve"> </w:t>
      </w:r>
      <w:r w:rsidRPr="00725B66">
        <w:t>care</w:t>
      </w:r>
      <w:r w:rsidRPr="002B6569">
        <w:rPr>
          <w:spacing w:val="-4"/>
        </w:rPr>
        <w:t xml:space="preserve"> </w:t>
      </w:r>
      <w:r w:rsidRPr="00A36CF3">
        <w:t>providers</w:t>
      </w:r>
      <w:r w:rsidRPr="002B6569">
        <w:rPr>
          <w:spacing w:val="-2"/>
        </w:rPr>
        <w:t>:</w:t>
      </w:r>
    </w:p>
    <w:p w14:paraId="7FB59A7F" w14:textId="23AFF4BC" w:rsidR="00150AF9" w:rsidRPr="00725B66" w:rsidRDefault="00150AF9" w:rsidP="00A36CF3">
      <w:pPr>
        <w:pStyle w:val="ListBullet3"/>
      </w:pPr>
      <w:r w:rsidRPr="00725B66">
        <w:t>ACFRs</w:t>
      </w:r>
    </w:p>
    <w:p w14:paraId="74F5099F" w14:textId="77777777" w:rsidR="00150AF9" w:rsidRPr="00725B66" w:rsidRDefault="00150AF9" w:rsidP="00A36CF3">
      <w:pPr>
        <w:pStyle w:val="ListBullet"/>
      </w:pPr>
      <w:r w:rsidRPr="00725B66">
        <w:t>From</w:t>
      </w:r>
      <w:r w:rsidRPr="00725B66">
        <w:rPr>
          <w:spacing w:val="-10"/>
        </w:rPr>
        <w:t xml:space="preserve"> </w:t>
      </w:r>
      <w:r w:rsidRPr="00725B66">
        <w:t>residential</w:t>
      </w:r>
      <w:r w:rsidRPr="00725B66">
        <w:rPr>
          <w:spacing w:val="-10"/>
        </w:rPr>
        <w:t xml:space="preserve"> </w:t>
      </w:r>
      <w:r w:rsidRPr="00725B66">
        <w:t>care</w:t>
      </w:r>
      <w:r w:rsidRPr="00725B66">
        <w:rPr>
          <w:spacing w:val="-10"/>
        </w:rPr>
        <w:t xml:space="preserve"> </w:t>
      </w:r>
      <w:r w:rsidRPr="00725B66">
        <w:rPr>
          <w:spacing w:val="-2"/>
        </w:rPr>
        <w:t>providers:</w:t>
      </w:r>
    </w:p>
    <w:p w14:paraId="777F12F7" w14:textId="77777777" w:rsidR="00150AF9" w:rsidRPr="00A36CF3" w:rsidRDefault="00150AF9" w:rsidP="00A36CF3">
      <w:pPr>
        <w:pStyle w:val="ListBullet3"/>
      </w:pPr>
      <w:r w:rsidRPr="00A36CF3">
        <w:t>ACFRs</w:t>
      </w:r>
    </w:p>
    <w:p w14:paraId="610797D2" w14:textId="19382807" w:rsidR="00150AF9" w:rsidRPr="00A36CF3" w:rsidRDefault="00150AF9" w:rsidP="00A36CF3">
      <w:pPr>
        <w:pStyle w:val="ListBullet3"/>
      </w:pPr>
      <w:r w:rsidRPr="00A36CF3">
        <w:t xml:space="preserve">GPFR </w:t>
      </w:r>
    </w:p>
    <w:p w14:paraId="7B584A7F" w14:textId="77777777" w:rsidR="00150AF9" w:rsidRPr="00A36CF3" w:rsidRDefault="00150AF9" w:rsidP="00A36CF3">
      <w:pPr>
        <w:pStyle w:val="ListBullet3"/>
      </w:pPr>
      <w:r w:rsidRPr="00A36CF3">
        <w:t>Annual Survey of Aged Care Homes (SACH) and</w:t>
      </w:r>
    </w:p>
    <w:p w14:paraId="052EE9F8" w14:textId="1A6440E8" w:rsidR="00150AF9" w:rsidRDefault="00150AF9" w:rsidP="00A36CF3">
      <w:pPr>
        <w:pStyle w:val="ListBullet3"/>
      </w:pPr>
      <w:r w:rsidRPr="00A36CF3">
        <w:t>Published aged care accommodation</w:t>
      </w:r>
      <w:r w:rsidRPr="00725B66">
        <w:t xml:space="preserve"> prices (My Aged Care website)</w:t>
      </w:r>
    </w:p>
    <w:p w14:paraId="09C30E95" w14:textId="4B00B496" w:rsidR="00A61426" w:rsidRPr="00725B66" w:rsidRDefault="00A61426" w:rsidP="00A36CF3">
      <w:pPr>
        <w:pStyle w:val="ListBullet"/>
      </w:pPr>
      <w:r w:rsidRPr="00725B66">
        <w:t>From</w:t>
      </w:r>
      <w:r>
        <w:t xml:space="preserve"> </w:t>
      </w:r>
      <w:r w:rsidRPr="00725B66">
        <w:t xml:space="preserve">CHSP providers: </w:t>
      </w:r>
    </w:p>
    <w:p w14:paraId="1B131DFB" w14:textId="0A1C6A27" w:rsidR="00A61426" w:rsidRDefault="00A61426" w:rsidP="00A36CF3">
      <w:pPr>
        <w:pStyle w:val="ListBullet3"/>
      </w:pPr>
      <w:r w:rsidRPr="00725B66">
        <w:t>CHSP</w:t>
      </w:r>
      <w:r w:rsidRPr="00725B66">
        <w:rPr>
          <w:spacing w:val="-10"/>
        </w:rPr>
        <w:t xml:space="preserve"> </w:t>
      </w:r>
      <w:r w:rsidRPr="00725B66">
        <w:t>Data</w:t>
      </w:r>
      <w:r w:rsidRPr="00725B66">
        <w:rPr>
          <w:spacing w:val="-8"/>
        </w:rPr>
        <w:t xml:space="preserve"> </w:t>
      </w:r>
      <w:r w:rsidRPr="00725B66">
        <w:t>Exchange</w:t>
      </w:r>
      <w:r w:rsidRPr="00725B66">
        <w:rPr>
          <w:spacing w:val="-7"/>
        </w:rPr>
        <w:t xml:space="preserve"> </w:t>
      </w:r>
    </w:p>
    <w:p w14:paraId="73D27E12" w14:textId="77777777" w:rsidR="00150AF9" w:rsidRPr="00725B66" w:rsidRDefault="00150AF9" w:rsidP="00A36CF3">
      <w:pPr>
        <w:pStyle w:val="ListBullet"/>
      </w:pPr>
      <w:r w:rsidRPr="00725B66">
        <w:t>Other</w:t>
      </w:r>
      <w:r w:rsidRPr="00725B66">
        <w:rPr>
          <w:spacing w:val="-5"/>
        </w:rPr>
        <w:t xml:space="preserve"> </w:t>
      </w:r>
      <w:r w:rsidRPr="00725B66">
        <w:t>general</w:t>
      </w:r>
      <w:r w:rsidRPr="00725B66">
        <w:rPr>
          <w:spacing w:val="-4"/>
        </w:rPr>
        <w:t xml:space="preserve"> </w:t>
      </w:r>
      <w:r w:rsidRPr="00725B66">
        <w:rPr>
          <w:spacing w:val="-2"/>
        </w:rPr>
        <w:t>data:</w:t>
      </w:r>
    </w:p>
    <w:p w14:paraId="6D3B7478" w14:textId="77777777" w:rsidR="00150AF9" w:rsidRPr="00A36CF3" w:rsidRDefault="00150AF9" w:rsidP="00A36CF3">
      <w:pPr>
        <w:pStyle w:val="ListBullet3"/>
      </w:pPr>
      <w:r w:rsidRPr="00725B66">
        <w:t>the 202</w:t>
      </w:r>
      <w:r w:rsidR="00064C50" w:rsidRPr="00725B66">
        <w:t>1</w:t>
      </w:r>
      <w:r w:rsidRPr="00725B66">
        <w:t>–2</w:t>
      </w:r>
      <w:r w:rsidR="00064C50" w:rsidRPr="00725B66">
        <w:t>2</w:t>
      </w:r>
      <w:r w:rsidRPr="00725B66">
        <w:t xml:space="preserve"> Report on the </w:t>
      </w:r>
      <w:r w:rsidRPr="00A36CF3">
        <w:t>Operation of the Aged Care Act 1997 (ROACA), and previous editions</w:t>
      </w:r>
    </w:p>
    <w:p w14:paraId="1CF00A38" w14:textId="77777777" w:rsidR="00150AF9" w:rsidRPr="00A36CF3" w:rsidRDefault="00150AF9" w:rsidP="00A36CF3">
      <w:pPr>
        <w:pStyle w:val="ListBullet3"/>
      </w:pPr>
      <w:r w:rsidRPr="00A36CF3">
        <w:t>quarterly home care data reports</w:t>
      </w:r>
    </w:p>
    <w:p w14:paraId="7E7CFE90" w14:textId="6EB17136" w:rsidR="000E7A09" w:rsidRPr="0004214B" w:rsidRDefault="00150AF9" w:rsidP="00A36CF3">
      <w:pPr>
        <w:pStyle w:val="ListBullet3"/>
      </w:pPr>
      <w:r w:rsidRPr="00A36CF3">
        <w:t>the 2020 National Aged Care Workforce</w:t>
      </w:r>
      <w:r w:rsidRPr="00725B66">
        <w:t xml:space="preserve"> Census and Survey </w:t>
      </w:r>
    </w:p>
    <w:p w14:paraId="2CB83619" w14:textId="335524DB" w:rsidR="001A455C" w:rsidRDefault="00D70C3A" w:rsidP="003C2849">
      <w:pPr>
        <w:rPr>
          <w:spacing w:val="-4"/>
        </w:rPr>
      </w:pPr>
      <w:r w:rsidRPr="00D70C3A">
        <w:rPr>
          <w:spacing w:val="-4"/>
        </w:rPr>
        <w:t xml:space="preserve">National Aboriginal and Torres Strait Islander Flexible Aged Care </w:t>
      </w:r>
      <w:r w:rsidR="003351E3">
        <w:rPr>
          <w:spacing w:val="-4"/>
        </w:rPr>
        <w:t>p</w:t>
      </w:r>
      <w:r w:rsidR="001007D3" w:rsidRPr="003F783C">
        <w:rPr>
          <w:spacing w:val="-4"/>
        </w:rPr>
        <w:t xml:space="preserve">rogram providers do not currently report financial data via ACFRs or GPFRs, therefore financial data for this program is not included in the 2021-22 FRAACS. </w:t>
      </w:r>
    </w:p>
    <w:p w14:paraId="3688AE12" w14:textId="194A46A4" w:rsidR="00D94ABA" w:rsidRPr="001A455C" w:rsidRDefault="00D94ABA" w:rsidP="00973988">
      <w:r w:rsidRPr="00D94ABA">
        <w:t xml:space="preserve">Multi-purpose services or providers under the Short-term Restorative Care Programme are only required to complete the Annual Prudential Compliance Statement (APCS) component of the ACFR. Short-term Restorative Care providers also </w:t>
      </w:r>
      <w:r w:rsidR="003351E3" w:rsidRPr="00D94ABA">
        <w:t>must</w:t>
      </w:r>
      <w:r w:rsidRPr="00D94ABA">
        <w:t xml:space="preserve"> complete an income and expense statement</w:t>
      </w:r>
      <w:r w:rsidR="00361B57">
        <w:t>.</w:t>
      </w:r>
      <w:r w:rsidRPr="00D94ABA">
        <w:t xml:space="preserve"> </w:t>
      </w:r>
      <w:r w:rsidR="00361B57">
        <w:t>H</w:t>
      </w:r>
      <w:r w:rsidRPr="00D94ABA">
        <w:t>owever</w:t>
      </w:r>
      <w:r w:rsidR="00361B57">
        <w:t>,</w:t>
      </w:r>
      <w:r w:rsidRPr="00D94ABA">
        <w:t xml:space="preserve"> analysis of this data is not included in this report.</w:t>
      </w:r>
    </w:p>
    <w:p w14:paraId="7D456A13" w14:textId="77777777" w:rsidR="00784198" w:rsidRPr="00725B66" w:rsidRDefault="00784198" w:rsidP="00973988">
      <w:r w:rsidRPr="00725B66">
        <w:t>When</w:t>
      </w:r>
      <w:r w:rsidRPr="00725B66">
        <w:rPr>
          <w:spacing w:val="-11"/>
        </w:rPr>
        <w:t xml:space="preserve"> </w:t>
      </w:r>
      <w:r w:rsidRPr="00725B66">
        <w:t>discussing</w:t>
      </w:r>
      <w:r w:rsidRPr="00725B66">
        <w:rPr>
          <w:spacing w:val="-11"/>
        </w:rPr>
        <w:t xml:space="preserve"> </w:t>
      </w:r>
      <w:r w:rsidRPr="00725B66">
        <w:t>the</w:t>
      </w:r>
      <w:r w:rsidRPr="00725B66">
        <w:rPr>
          <w:spacing w:val="-11"/>
        </w:rPr>
        <w:t xml:space="preserve"> </w:t>
      </w:r>
      <w:r w:rsidRPr="00725B66">
        <w:t>financial</w:t>
      </w:r>
      <w:r w:rsidRPr="00725B66">
        <w:rPr>
          <w:spacing w:val="-11"/>
        </w:rPr>
        <w:t xml:space="preserve"> </w:t>
      </w:r>
      <w:r w:rsidRPr="00725B66">
        <w:t>performance</w:t>
      </w:r>
      <w:r w:rsidRPr="00725B66">
        <w:rPr>
          <w:spacing w:val="-11"/>
        </w:rPr>
        <w:t xml:space="preserve"> </w:t>
      </w:r>
      <w:r w:rsidRPr="00725B66">
        <w:t>of</w:t>
      </w:r>
      <w:r w:rsidRPr="00725B66">
        <w:rPr>
          <w:spacing w:val="-10"/>
        </w:rPr>
        <w:t xml:space="preserve"> </w:t>
      </w:r>
      <w:r w:rsidRPr="00725B66">
        <w:t>providers in this report, EBITDA</w:t>
      </w:r>
      <w:r w:rsidRPr="00725B66">
        <w:rPr>
          <w:spacing w:val="-2"/>
        </w:rPr>
        <w:t xml:space="preserve"> </w:t>
      </w:r>
      <w:r w:rsidRPr="00725B66">
        <w:t>is</w:t>
      </w:r>
      <w:r w:rsidRPr="00725B66">
        <w:rPr>
          <w:spacing w:val="-2"/>
        </w:rPr>
        <w:t xml:space="preserve"> </w:t>
      </w:r>
      <w:r w:rsidRPr="00725B66">
        <w:t>the</w:t>
      </w:r>
      <w:r w:rsidRPr="00725B66">
        <w:rPr>
          <w:spacing w:val="-2"/>
        </w:rPr>
        <w:t xml:space="preserve"> </w:t>
      </w:r>
      <w:r w:rsidRPr="00725B66">
        <w:t>main</w:t>
      </w:r>
      <w:r w:rsidRPr="00725B66">
        <w:rPr>
          <w:spacing w:val="-2"/>
        </w:rPr>
        <w:t xml:space="preserve"> </w:t>
      </w:r>
      <w:r w:rsidRPr="00725B66">
        <w:t>measure</w:t>
      </w:r>
      <w:r w:rsidRPr="00725B66">
        <w:rPr>
          <w:spacing w:val="-2"/>
        </w:rPr>
        <w:t xml:space="preserve"> </w:t>
      </w:r>
      <w:r w:rsidRPr="00725B66">
        <w:t>used</w:t>
      </w:r>
      <w:r w:rsidRPr="00725B66">
        <w:rPr>
          <w:spacing w:val="-2"/>
        </w:rPr>
        <w:t xml:space="preserve"> </w:t>
      </w:r>
      <w:r w:rsidRPr="00725B66">
        <w:t>to analyse profitability. This is because EBITDA excludes items such as interest (both income and expense) and tax expenditures, which can vary depending on the financing decisions of an organisation; and non-cash expenses, such as depreciation and amortisation</w:t>
      </w:r>
      <w:r w:rsidR="00973988" w:rsidRPr="00725B66">
        <w:t xml:space="preserve"> </w:t>
      </w:r>
      <w:r w:rsidRPr="00725B66">
        <w:t>which can vary greatly based on the size and age of facilities</w:t>
      </w:r>
      <w:r w:rsidRPr="00725B66">
        <w:rPr>
          <w:spacing w:val="-7"/>
        </w:rPr>
        <w:t xml:space="preserve"> </w:t>
      </w:r>
      <w:r w:rsidRPr="00725B66">
        <w:t>and</w:t>
      </w:r>
      <w:r w:rsidRPr="00725B66">
        <w:rPr>
          <w:spacing w:val="-7"/>
        </w:rPr>
        <w:t xml:space="preserve"> </w:t>
      </w:r>
      <w:r w:rsidRPr="00725B66">
        <w:t>other</w:t>
      </w:r>
      <w:r w:rsidRPr="00725B66">
        <w:rPr>
          <w:spacing w:val="-7"/>
        </w:rPr>
        <w:t xml:space="preserve"> </w:t>
      </w:r>
      <w:r w:rsidRPr="00725B66">
        <w:t>assets,</w:t>
      </w:r>
      <w:r w:rsidRPr="00725B66">
        <w:rPr>
          <w:spacing w:val="-7"/>
        </w:rPr>
        <w:t xml:space="preserve"> </w:t>
      </w:r>
      <w:r w:rsidRPr="00725B66">
        <w:t>and</w:t>
      </w:r>
      <w:r w:rsidRPr="00725B66">
        <w:rPr>
          <w:spacing w:val="-7"/>
        </w:rPr>
        <w:t xml:space="preserve"> </w:t>
      </w:r>
      <w:r w:rsidRPr="00725B66">
        <w:t>on</w:t>
      </w:r>
      <w:r w:rsidRPr="00725B66">
        <w:rPr>
          <w:spacing w:val="-7"/>
        </w:rPr>
        <w:t xml:space="preserve"> </w:t>
      </w:r>
      <w:r w:rsidRPr="00725B66">
        <w:t>ownership</w:t>
      </w:r>
      <w:r w:rsidRPr="00725B66">
        <w:rPr>
          <w:spacing w:val="-7"/>
        </w:rPr>
        <w:t xml:space="preserve"> </w:t>
      </w:r>
      <w:r w:rsidRPr="00725B66">
        <w:t>type</w:t>
      </w:r>
      <w:r w:rsidRPr="00725B66">
        <w:rPr>
          <w:spacing w:val="-7"/>
        </w:rPr>
        <w:t xml:space="preserve"> </w:t>
      </w:r>
      <w:r w:rsidRPr="00725B66">
        <w:t>and depreciation methods.</w:t>
      </w:r>
    </w:p>
    <w:p w14:paraId="6B035E40" w14:textId="77777777" w:rsidR="00784198" w:rsidRPr="00725B66" w:rsidRDefault="00784198" w:rsidP="001562ED">
      <w:r w:rsidRPr="00725B66">
        <w:lastRenderedPageBreak/>
        <w:t>EBITDA can be used to compare organisations with each</w:t>
      </w:r>
      <w:r w:rsidRPr="00725B66">
        <w:rPr>
          <w:spacing w:val="-7"/>
        </w:rPr>
        <w:t xml:space="preserve"> </w:t>
      </w:r>
      <w:r w:rsidRPr="00725B66">
        <w:t>other</w:t>
      </w:r>
      <w:r w:rsidRPr="00725B66">
        <w:rPr>
          <w:spacing w:val="-7"/>
        </w:rPr>
        <w:t xml:space="preserve"> </w:t>
      </w:r>
      <w:r w:rsidRPr="00725B66">
        <w:t>and</w:t>
      </w:r>
      <w:r w:rsidRPr="00725B66">
        <w:rPr>
          <w:spacing w:val="-7"/>
        </w:rPr>
        <w:t xml:space="preserve"> </w:t>
      </w:r>
      <w:r w:rsidRPr="00725B66">
        <w:t>against</w:t>
      </w:r>
      <w:r w:rsidRPr="00725B66">
        <w:rPr>
          <w:spacing w:val="-7"/>
        </w:rPr>
        <w:t xml:space="preserve"> </w:t>
      </w:r>
      <w:r w:rsidRPr="00725B66">
        <w:t>industry</w:t>
      </w:r>
      <w:r w:rsidRPr="00725B66">
        <w:rPr>
          <w:spacing w:val="-7"/>
        </w:rPr>
        <w:t xml:space="preserve"> </w:t>
      </w:r>
      <w:r w:rsidRPr="00725B66">
        <w:t>averages</w:t>
      </w:r>
      <w:r w:rsidRPr="00725B66">
        <w:rPr>
          <w:spacing w:val="-7"/>
        </w:rPr>
        <w:t xml:space="preserve"> </w:t>
      </w:r>
      <w:r w:rsidRPr="00725B66">
        <w:t>and</w:t>
      </w:r>
      <w:r w:rsidRPr="00725B66">
        <w:rPr>
          <w:spacing w:val="-7"/>
        </w:rPr>
        <w:t xml:space="preserve"> </w:t>
      </w:r>
      <w:r w:rsidRPr="00725B66">
        <w:t>is</w:t>
      </w:r>
      <w:r w:rsidRPr="00725B66">
        <w:rPr>
          <w:spacing w:val="-7"/>
        </w:rPr>
        <w:t xml:space="preserve"> </w:t>
      </w:r>
      <w:r w:rsidRPr="00725B66">
        <w:t>a</w:t>
      </w:r>
      <w:r w:rsidRPr="00725B66">
        <w:rPr>
          <w:spacing w:val="-7"/>
        </w:rPr>
        <w:t xml:space="preserve"> </w:t>
      </w:r>
      <w:r w:rsidR="00814609">
        <w:t>useful</w:t>
      </w:r>
      <w:r w:rsidR="00814609" w:rsidRPr="00725B66">
        <w:t xml:space="preserve"> </w:t>
      </w:r>
      <w:r w:rsidRPr="00725B66">
        <w:t>measure of core profit trends because it eliminates some of the extraneous factors mentioned above.</w:t>
      </w:r>
      <w:r w:rsidR="001562ED" w:rsidRPr="00725B66">
        <w:t xml:space="preserve"> </w:t>
      </w:r>
      <w:r w:rsidRPr="00725B66">
        <w:t>This</w:t>
      </w:r>
      <w:r w:rsidRPr="00725B66">
        <w:rPr>
          <w:spacing w:val="-9"/>
        </w:rPr>
        <w:t xml:space="preserve"> </w:t>
      </w:r>
      <w:r w:rsidRPr="00725B66">
        <w:t>is</w:t>
      </w:r>
      <w:r w:rsidRPr="00725B66">
        <w:rPr>
          <w:spacing w:val="-9"/>
        </w:rPr>
        <w:t xml:space="preserve"> </w:t>
      </w:r>
      <w:r w:rsidRPr="00725B66">
        <w:t>particularly</w:t>
      </w:r>
      <w:r w:rsidRPr="00725B66">
        <w:rPr>
          <w:spacing w:val="-9"/>
        </w:rPr>
        <w:t xml:space="preserve"> </w:t>
      </w:r>
      <w:r w:rsidRPr="00725B66">
        <w:t>important</w:t>
      </w:r>
      <w:r w:rsidRPr="00725B66">
        <w:rPr>
          <w:spacing w:val="-9"/>
        </w:rPr>
        <w:t xml:space="preserve"> </w:t>
      </w:r>
      <w:r w:rsidRPr="00725B66">
        <w:t>when</w:t>
      </w:r>
      <w:r w:rsidRPr="00725B66">
        <w:rPr>
          <w:spacing w:val="-9"/>
        </w:rPr>
        <w:t xml:space="preserve"> </w:t>
      </w:r>
      <w:r w:rsidRPr="00725B66">
        <w:t>analysing</w:t>
      </w:r>
      <w:r w:rsidRPr="00725B66">
        <w:rPr>
          <w:spacing w:val="-9"/>
        </w:rPr>
        <w:t xml:space="preserve"> </w:t>
      </w:r>
      <w:r w:rsidRPr="00725B66">
        <w:t>aged</w:t>
      </w:r>
      <w:r w:rsidRPr="00725B66">
        <w:rPr>
          <w:spacing w:val="-9"/>
        </w:rPr>
        <w:t xml:space="preserve"> </w:t>
      </w:r>
      <w:r w:rsidRPr="00725B66">
        <w:t>care given</w:t>
      </w:r>
      <w:r w:rsidRPr="00725B66">
        <w:rPr>
          <w:spacing w:val="-8"/>
        </w:rPr>
        <w:t xml:space="preserve"> </w:t>
      </w:r>
      <w:r w:rsidRPr="00725B66">
        <w:t>the</w:t>
      </w:r>
      <w:r w:rsidRPr="00725B66">
        <w:rPr>
          <w:spacing w:val="-8"/>
        </w:rPr>
        <w:t xml:space="preserve"> </w:t>
      </w:r>
      <w:r w:rsidRPr="00725B66">
        <w:t>diversity</w:t>
      </w:r>
      <w:r w:rsidRPr="00725B66">
        <w:rPr>
          <w:spacing w:val="-8"/>
        </w:rPr>
        <w:t xml:space="preserve"> </w:t>
      </w:r>
      <w:r w:rsidRPr="00725B66">
        <w:t>of</w:t>
      </w:r>
      <w:r w:rsidRPr="00725B66">
        <w:rPr>
          <w:spacing w:val="-8"/>
        </w:rPr>
        <w:t xml:space="preserve"> </w:t>
      </w:r>
      <w:r w:rsidRPr="00725B66">
        <w:t>ownership</w:t>
      </w:r>
      <w:r w:rsidRPr="00725B66">
        <w:rPr>
          <w:spacing w:val="-8"/>
        </w:rPr>
        <w:t xml:space="preserve"> </w:t>
      </w:r>
      <w:r w:rsidRPr="00725B66">
        <w:t>and</w:t>
      </w:r>
      <w:r w:rsidRPr="00725B66">
        <w:rPr>
          <w:spacing w:val="-8"/>
        </w:rPr>
        <w:t xml:space="preserve"> </w:t>
      </w:r>
      <w:r w:rsidRPr="00725B66">
        <w:t>capital</w:t>
      </w:r>
      <w:r w:rsidRPr="00725B66">
        <w:rPr>
          <w:spacing w:val="-8"/>
        </w:rPr>
        <w:t xml:space="preserve"> </w:t>
      </w:r>
      <w:r w:rsidRPr="00725B66">
        <w:t>structures. EBITDA helps to smooth out these factors.</w:t>
      </w:r>
    </w:p>
    <w:p w14:paraId="23FE9684" w14:textId="6CBBF903" w:rsidR="00A95B12" w:rsidRDefault="00784198" w:rsidP="00024750">
      <w:r w:rsidRPr="00725B66">
        <w:t xml:space="preserve">This report also refers to NPBT which assists in making comparisons between organisations that are subject to different tax treatments. </w:t>
      </w:r>
    </w:p>
    <w:p w14:paraId="7B43A71F" w14:textId="264C1489" w:rsidR="00784198" w:rsidRPr="00725B66" w:rsidRDefault="003F783C" w:rsidP="00024750">
      <w:r w:rsidRPr="003F783C">
        <w:t>Financial information on home care and residential care included in this report is collected through the ACFR.</w:t>
      </w:r>
      <w:r w:rsidR="00784198" w:rsidRPr="00725B66">
        <w:t xml:space="preserve"> The </w:t>
      </w:r>
      <w:r w:rsidR="00784198" w:rsidRPr="00725B66">
        <w:rPr>
          <w:i/>
        </w:rPr>
        <w:t>Accountability Principles 2014</w:t>
      </w:r>
      <w:r w:rsidR="00784198" w:rsidRPr="00725B66">
        <w:t xml:space="preserve">, made under Section 96–1 of the </w:t>
      </w:r>
      <w:r w:rsidR="00784198" w:rsidRPr="00725B66">
        <w:rPr>
          <w:i/>
        </w:rPr>
        <w:t>Aged Care Act 1997</w:t>
      </w:r>
      <w:r w:rsidR="00784198" w:rsidRPr="00725B66">
        <w:t>, require approved providers to submit a financial report in</w:t>
      </w:r>
      <w:r w:rsidR="00784198" w:rsidRPr="00725B66">
        <w:rPr>
          <w:spacing w:val="-5"/>
        </w:rPr>
        <w:t xml:space="preserve"> </w:t>
      </w:r>
      <w:r w:rsidR="00784198" w:rsidRPr="00725B66">
        <w:t>a</w:t>
      </w:r>
      <w:r w:rsidR="00784198" w:rsidRPr="00725B66">
        <w:rPr>
          <w:spacing w:val="-5"/>
        </w:rPr>
        <w:t xml:space="preserve"> </w:t>
      </w:r>
      <w:r w:rsidR="00784198" w:rsidRPr="00725B66">
        <w:t>form</w:t>
      </w:r>
      <w:r w:rsidR="00784198" w:rsidRPr="00725B66">
        <w:rPr>
          <w:spacing w:val="-5"/>
        </w:rPr>
        <w:t xml:space="preserve"> </w:t>
      </w:r>
      <w:r w:rsidR="00784198" w:rsidRPr="00725B66">
        <w:t>approved</w:t>
      </w:r>
      <w:r w:rsidR="00784198" w:rsidRPr="00725B66">
        <w:rPr>
          <w:spacing w:val="-5"/>
        </w:rPr>
        <w:t xml:space="preserve"> </w:t>
      </w:r>
      <w:r w:rsidR="00784198" w:rsidRPr="00725B66">
        <w:t>by</w:t>
      </w:r>
      <w:r w:rsidR="00784198" w:rsidRPr="00725B66">
        <w:rPr>
          <w:spacing w:val="-5"/>
        </w:rPr>
        <w:t xml:space="preserve"> </w:t>
      </w:r>
      <w:r w:rsidR="00784198" w:rsidRPr="00725B66">
        <w:t>the</w:t>
      </w:r>
      <w:r w:rsidR="00784198" w:rsidRPr="00725B66">
        <w:rPr>
          <w:spacing w:val="-5"/>
        </w:rPr>
        <w:t xml:space="preserve"> </w:t>
      </w:r>
      <w:r w:rsidR="00784198" w:rsidRPr="00725B66">
        <w:t>Secretary</w:t>
      </w:r>
      <w:r w:rsidR="00784198" w:rsidRPr="00725B66">
        <w:rPr>
          <w:spacing w:val="-5"/>
        </w:rPr>
        <w:t xml:space="preserve"> </w:t>
      </w:r>
      <w:r w:rsidR="00784198" w:rsidRPr="00725B66">
        <w:t>of</w:t>
      </w:r>
      <w:r w:rsidR="00784198" w:rsidRPr="00725B66">
        <w:rPr>
          <w:spacing w:val="-5"/>
        </w:rPr>
        <w:t xml:space="preserve"> </w:t>
      </w:r>
      <w:r w:rsidR="00784198" w:rsidRPr="00725B66">
        <w:t>the</w:t>
      </w:r>
      <w:r w:rsidR="00784198" w:rsidRPr="00725B66">
        <w:rPr>
          <w:spacing w:val="-5"/>
        </w:rPr>
        <w:t xml:space="preserve"> </w:t>
      </w:r>
      <w:r w:rsidR="00784198" w:rsidRPr="00725B66">
        <w:t>department. For providers of residential care, the ACFR must be accompanied by an audited GPFR and accompanying audit opinion. The ACFR submitted by home care providers is not required to be audited and should not be considered a GPFR.</w:t>
      </w:r>
    </w:p>
    <w:p w14:paraId="607A8D7A" w14:textId="77777777" w:rsidR="00EB557D" w:rsidRDefault="008E3E5D" w:rsidP="005C7BE6">
      <w:r w:rsidRPr="00725B66">
        <w:t>It</w:t>
      </w:r>
      <w:r w:rsidRPr="00725B66">
        <w:rPr>
          <w:spacing w:val="-8"/>
        </w:rPr>
        <w:t xml:space="preserve"> </w:t>
      </w:r>
      <w:r w:rsidRPr="00725B66">
        <w:t>is</w:t>
      </w:r>
      <w:r w:rsidRPr="00725B66">
        <w:rPr>
          <w:spacing w:val="-8"/>
        </w:rPr>
        <w:t xml:space="preserve"> </w:t>
      </w:r>
      <w:r w:rsidRPr="00725B66">
        <w:t>important</w:t>
      </w:r>
      <w:r w:rsidRPr="00725B66">
        <w:rPr>
          <w:spacing w:val="-8"/>
        </w:rPr>
        <w:t xml:space="preserve"> </w:t>
      </w:r>
      <w:r w:rsidRPr="00725B66">
        <w:t>to</w:t>
      </w:r>
      <w:r w:rsidRPr="00725B66">
        <w:rPr>
          <w:spacing w:val="-8"/>
        </w:rPr>
        <w:t xml:space="preserve"> </w:t>
      </w:r>
      <w:r w:rsidRPr="00725B66">
        <w:t>be</w:t>
      </w:r>
      <w:r w:rsidRPr="00725B66">
        <w:rPr>
          <w:spacing w:val="-8"/>
        </w:rPr>
        <w:t xml:space="preserve"> </w:t>
      </w:r>
      <w:r w:rsidRPr="00725B66">
        <w:t>mindful</w:t>
      </w:r>
      <w:r w:rsidRPr="00725B66">
        <w:rPr>
          <w:spacing w:val="-8"/>
        </w:rPr>
        <w:t xml:space="preserve"> </w:t>
      </w:r>
      <w:r w:rsidRPr="00725B66">
        <w:t>of</w:t>
      </w:r>
      <w:r w:rsidRPr="00725B66">
        <w:rPr>
          <w:spacing w:val="-8"/>
        </w:rPr>
        <w:t xml:space="preserve"> </w:t>
      </w:r>
      <w:r w:rsidRPr="00725B66">
        <w:t>the</w:t>
      </w:r>
      <w:r w:rsidRPr="00725B66">
        <w:rPr>
          <w:spacing w:val="-8"/>
        </w:rPr>
        <w:t xml:space="preserve"> </w:t>
      </w:r>
      <w:r w:rsidRPr="00725B66">
        <w:t>sector</w:t>
      </w:r>
      <w:r w:rsidRPr="00725B66">
        <w:rPr>
          <w:spacing w:val="-8"/>
        </w:rPr>
        <w:t xml:space="preserve"> </w:t>
      </w:r>
      <w:r w:rsidRPr="00725B66">
        <w:t xml:space="preserve">composition and the varying objectives of providers when interpreting the data. The aged care sector continues </w:t>
      </w:r>
      <w:r w:rsidRPr="00725B66">
        <w:rPr>
          <w:spacing w:val="-2"/>
        </w:rPr>
        <w:t xml:space="preserve">to be dominated by not-for-profit providers. Traditional </w:t>
      </w:r>
      <w:r w:rsidRPr="00725B66">
        <w:t>profit-based</w:t>
      </w:r>
      <w:r w:rsidRPr="00725B66">
        <w:rPr>
          <w:spacing w:val="-2"/>
        </w:rPr>
        <w:t xml:space="preserve"> </w:t>
      </w:r>
      <w:r w:rsidRPr="00725B66">
        <w:t>measures</w:t>
      </w:r>
      <w:r w:rsidRPr="00725B66">
        <w:rPr>
          <w:spacing w:val="-2"/>
        </w:rPr>
        <w:t xml:space="preserve"> </w:t>
      </w:r>
      <w:r w:rsidRPr="00725B66">
        <w:t>are</w:t>
      </w:r>
      <w:r w:rsidRPr="00725B66">
        <w:rPr>
          <w:spacing w:val="-2"/>
        </w:rPr>
        <w:t xml:space="preserve"> </w:t>
      </w:r>
      <w:r w:rsidRPr="00725B66">
        <w:t>not</w:t>
      </w:r>
      <w:r w:rsidRPr="00725B66">
        <w:rPr>
          <w:spacing w:val="-2"/>
        </w:rPr>
        <w:t xml:space="preserve"> </w:t>
      </w:r>
      <w:r w:rsidRPr="00725B66">
        <w:t>always</w:t>
      </w:r>
      <w:r w:rsidRPr="00725B66">
        <w:rPr>
          <w:spacing w:val="-2"/>
        </w:rPr>
        <w:t xml:space="preserve"> </w:t>
      </w:r>
      <w:r w:rsidRPr="00725B66">
        <w:t>consistent</w:t>
      </w:r>
      <w:r w:rsidRPr="00725B66">
        <w:rPr>
          <w:spacing w:val="-2"/>
        </w:rPr>
        <w:t xml:space="preserve"> </w:t>
      </w:r>
      <w:r w:rsidRPr="00725B66">
        <w:t>with the mission and objectives of not-for-profit providers</w:t>
      </w:r>
      <w:r w:rsidR="00AB365B">
        <w:t>.</w:t>
      </w:r>
    </w:p>
    <w:p w14:paraId="06B68C68" w14:textId="77777777" w:rsidR="002A1059" w:rsidRPr="008A6FDC" w:rsidRDefault="00D86DE1" w:rsidP="008A6FDC">
      <w:pPr>
        <w:pStyle w:val="Heading2nonumbers"/>
      </w:pPr>
      <w:bookmarkStart w:id="12" w:name="_Toc149245300"/>
      <w:r>
        <w:t xml:space="preserve">What’s new or </w:t>
      </w:r>
      <w:proofErr w:type="gramStart"/>
      <w:r>
        <w:t>changed</w:t>
      </w:r>
      <w:bookmarkEnd w:id="12"/>
      <w:proofErr w:type="gramEnd"/>
    </w:p>
    <w:p w14:paraId="243538BE" w14:textId="1DF6E99D" w:rsidR="00BF1B6C" w:rsidRDefault="00BF1B6C" w:rsidP="00BF1B6C">
      <w:r>
        <w:t>This</w:t>
      </w:r>
      <w:r w:rsidR="00410D89">
        <w:t xml:space="preserve"> is the second </w:t>
      </w:r>
      <w:r w:rsidR="00F64BAE">
        <w:t>annual</w:t>
      </w:r>
      <w:r w:rsidR="00FA6CE8">
        <w:t xml:space="preserve"> </w:t>
      </w:r>
      <w:r w:rsidR="00624252">
        <w:t xml:space="preserve">FRAACS. The </w:t>
      </w:r>
      <w:r w:rsidR="00A5263D">
        <w:t xml:space="preserve">2021-22 </w:t>
      </w:r>
      <w:r w:rsidR="00604760">
        <w:t>FRAACS</w:t>
      </w:r>
      <w:r w:rsidR="00A5263D">
        <w:t xml:space="preserve"> has undergone some changes </w:t>
      </w:r>
      <w:r w:rsidR="001C35B9">
        <w:t xml:space="preserve">since the inaugural report </w:t>
      </w:r>
      <w:r w:rsidR="00A5263D">
        <w:t xml:space="preserve">to enhance the </w:t>
      </w:r>
      <w:r w:rsidR="002A6DE1">
        <w:t>reader’s</w:t>
      </w:r>
      <w:r w:rsidR="00A5263D">
        <w:t xml:space="preserve"> </w:t>
      </w:r>
      <w:r w:rsidR="007062CF">
        <w:t>experience</w:t>
      </w:r>
      <w:r w:rsidR="00A5263D">
        <w:t xml:space="preserve">. </w:t>
      </w:r>
      <w:r w:rsidR="003A78AC">
        <w:t>The 2021-22 FRAACS</w:t>
      </w:r>
      <w:r>
        <w:t xml:space="preserve"> </w:t>
      </w:r>
      <w:r w:rsidR="00B54ACA">
        <w:t>provides</w:t>
      </w:r>
      <w:r>
        <w:t xml:space="preserve"> continuity of </w:t>
      </w:r>
      <w:r w:rsidR="00CF186A">
        <w:t>data</w:t>
      </w:r>
      <w:r w:rsidR="00AA79F0">
        <w:t xml:space="preserve"> while</w:t>
      </w:r>
      <w:r w:rsidR="002E4FFE">
        <w:t xml:space="preserve"> removing </w:t>
      </w:r>
      <w:r w:rsidR="00114BD2">
        <w:t>out of context</w:t>
      </w:r>
      <w:r w:rsidR="002E4FFE">
        <w:t xml:space="preserve"> or outdated data</w:t>
      </w:r>
      <w:r w:rsidR="00CF186A">
        <w:t>,</w:t>
      </w:r>
      <w:r>
        <w:t xml:space="preserve"> </w:t>
      </w:r>
      <w:r w:rsidR="005672D4">
        <w:t>to ensure there is</w:t>
      </w:r>
      <w:r>
        <w:t xml:space="preserve"> consistency and transparency on the reporting of funding and financing of the aged care</w:t>
      </w:r>
      <w:r>
        <w:rPr>
          <w:spacing w:val="-9"/>
        </w:rPr>
        <w:t xml:space="preserve"> </w:t>
      </w:r>
      <w:r>
        <w:t>sector.</w:t>
      </w:r>
      <w:r w:rsidR="00CF186A">
        <w:t xml:space="preserve"> </w:t>
      </w:r>
    </w:p>
    <w:p w14:paraId="28CE8507" w14:textId="77777777" w:rsidR="00CE57B3" w:rsidRPr="002C076C" w:rsidRDefault="00CE57B3" w:rsidP="00CE57B3">
      <w:r w:rsidRPr="002C076C">
        <w:t>Key changes include:</w:t>
      </w:r>
    </w:p>
    <w:p w14:paraId="15D21345" w14:textId="77777777" w:rsidR="00CE57B3" w:rsidRPr="002C076C" w:rsidRDefault="00CE57B3" w:rsidP="00EA246C">
      <w:pPr>
        <w:pStyle w:val="ListBullet"/>
      </w:pPr>
      <w:r w:rsidRPr="002C076C">
        <w:t xml:space="preserve">A new streamlined structure aimed at reducing duplication and improving readability. </w:t>
      </w:r>
    </w:p>
    <w:p w14:paraId="46500385" w14:textId="77777777" w:rsidR="00CE57B3" w:rsidRPr="002C076C" w:rsidRDefault="00CE57B3" w:rsidP="00EA246C">
      <w:pPr>
        <w:pStyle w:val="ListBullet"/>
      </w:pPr>
      <w:r w:rsidRPr="002C076C">
        <w:t>Each chapter has been structured to present recipients first, followed by provider information, and finally financial information.</w:t>
      </w:r>
    </w:p>
    <w:p w14:paraId="57A673D9" w14:textId="78E4D7FE" w:rsidR="003F783C" w:rsidRPr="003F783C" w:rsidRDefault="00CE57B3" w:rsidP="00EA246C">
      <w:pPr>
        <w:pStyle w:val="ListBullet"/>
      </w:pPr>
      <w:r w:rsidRPr="002C076C">
        <w:t>The consolidated sector overview is now available at the beginning of the report</w:t>
      </w:r>
      <w:r w:rsidR="00E14366">
        <w:t>.</w:t>
      </w:r>
    </w:p>
    <w:p w14:paraId="27B739D4" w14:textId="41D559FB" w:rsidR="00723E18" w:rsidRDefault="00FA6CE8" w:rsidP="00FA6CE8">
      <w:r>
        <w:t xml:space="preserve">The </w:t>
      </w:r>
      <w:r w:rsidR="00934902">
        <w:t xml:space="preserve">department will continue to </w:t>
      </w:r>
      <w:r w:rsidR="00AD09B1">
        <w:t>refine</w:t>
      </w:r>
      <w:r w:rsidR="00AD1F3E">
        <w:t xml:space="preserve"> the</w:t>
      </w:r>
      <w:r w:rsidR="00934902">
        <w:t xml:space="preserve"> </w:t>
      </w:r>
      <w:r w:rsidR="001D097F">
        <w:t>FRAACS</w:t>
      </w:r>
      <w:r w:rsidR="006D4592">
        <w:t xml:space="preserve"> and </w:t>
      </w:r>
      <w:r w:rsidR="00DB477D">
        <w:t xml:space="preserve">welcomes feedback </w:t>
      </w:r>
      <w:r w:rsidR="006107C4">
        <w:t>from</w:t>
      </w:r>
      <w:r w:rsidR="0048549A">
        <w:t xml:space="preserve"> stakeholders to better understand what </w:t>
      </w:r>
      <w:r w:rsidR="005F5B91">
        <w:t>data</w:t>
      </w:r>
      <w:r w:rsidR="0048549A">
        <w:t xml:space="preserve"> is most valuable and how to best present this information. This will </w:t>
      </w:r>
      <w:r w:rsidR="00A946E3">
        <w:t xml:space="preserve">inform the development of future reports for the sector. </w:t>
      </w:r>
      <w:r w:rsidR="00AD1F3E">
        <w:t xml:space="preserve">Each report has </w:t>
      </w:r>
      <w:r w:rsidR="0053422F">
        <w:t>built</w:t>
      </w:r>
      <w:r w:rsidR="00AD1F3E">
        <w:t xml:space="preserve"> on the last</w:t>
      </w:r>
      <w:r>
        <w:t>, producing a substantial body of in-time and trend data on the funding and financing of the aged care sector.</w:t>
      </w:r>
      <w:r w:rsidR="005A62A5">
        <w:t xml:space="preserve"> </w:t>
      </w:r>
    </w:p>
    <w:p w14:paraId="3B32465E" w14:textId="41D559FB" w:rsidR="003F783C" w:rsidRPr="00EA246C" w:rsidRDefault="003F783C" w:rsidP="003F783C">
      <w:pPr>
        <w:rPr>
          <w:rStyle w:val="Hyperlink"/>
        </w:rPr>
      </w:pPr>
      <w:r>
        <w:t xml:space="preserve">The 2020-21 FRAACS can be accessed at: </w:t>
      </w:r>
      <w:hyperlink r:id="rId23">
        <w:r w:rsidRPr="000E4ABF">
          <w:rPr>
            <w:color w:val="2AB1BB" w:themeColor="accent1"/>
            <w:u w:val="single"/>
          </w:rPr>
          <w:t>https://www.health.gov.au/resources/publications/financial-report-on-the-australian-aged-care-sector-2020-21</w:t>
        </w:r>
      </w:hyperlink>
    </w:p>
    <w:p w14:paraId="12C26183" w14:textId="41D559FB" w:rsidR="004B3C57" w:rsidRDefault="004B3C57" w:rsidP="00FA6CE8">
      <w:r>
        <w:lastRenderedPageBreak/>
        <w:t>Prior to 2020-21</w:t>
      </w:r>
      <w:r w:rsidR="009218D2">
        <w:t>,</w:t>
      </w:r>
      <w:r w:rsidR="008C6C2F">
        <w:t xml:space="preserve"> the Aged Care Financing Authority (ACFA) provided </w:t>
      </w:r>
      <w:r w:rsidR="00156203">
        <w:t>the Minister responsible for aged care with an annual report on the funding and financing of the aged care sector</w:t>
      </w:r>
      <w:r w:rsidR="0027530E">
        <w:t>. Although ACFA ceased to operate from 30 June 2021, all previous ACFA reports provided to the Minister can be accessed at</w:t>
      </w:r>
      <w:r w:rsidR="00723E18">
        <w:t>:</w:t>
      </w:r>
    </w:p>
    <w:p w14:paraId="46239E81" w14:textId="41D559FB" w:rsidR="003F783C" w:rsidRPr="003F783C" w:rsidRDefault="00502D88" w:rsidP="003F783C">
      <w:pPr>
        <w:rPr>
          <w:color w:val="2AB1BB" w:themeColor="hyperlink"/>
          <w:u w:val="single"/>
        </w:rPr>
      </w:pPr>
      <w:hyperlink r:id="rId24" w:anchor="annual-reports-on-funding-and-financing-of-the-aged-care-industry">
        <w:r w:rsidR="003F783C" w:rsidRPr="000E4ABF">
          <w:rPr>
            <w:color w:val="2AB1BB" w:themeColor="accent1"/>
            <w:u w:val="single"/>
          </w:rPr>
          <w:t>https://www.health.gov.au/committees-and-groups/aged-care-financing-authority-acfa#annual-reports-on-funding-and-financing-of-the-aged-care-industry</w:t>
        </w:r>
      </w:hyperlink>
    </w:p>
    <w:p w14:paraId="5F849261" w14:textId="77777777" w:rsidR="003F783C" w:rsidRPr="00EA246C" w:rsidRDefault="003F783C" w:rsidP="00EA246C">
      <w:r w:rsidRPr="00EA246C">
        <w:br w:type="page"/>
      </w:r>
    </w:p>
    <w:p w14:paraId="2AD16418" w14:textId="6C62A9B6" w:rsidR="00161B1C" w:rsidRPr="008E2604" w:rsidRDefault="00161B1C" w:rsidP="008E2604">
      <w:r w:rsidRPr="008E2604">
        <w:rPr>
          <w:noProof/>
        </w:rPr>
        <w:lastRenderedPageBreak/>
        <w:drawing>
          <wp:anchor distT="0" distB="0" distL="114300" distR="114300" simplePos="0" relativeHeight="251632640" behindDoc="0" locked="0" layoutInCell="1" allowOverlap="1" wp14:anchorId="19AFEDC9" wp14:editId="458DBCDC">
            <wp:simplePos x="0" y="0"/>
            <wp:positionH relativeFrom="page">
              <wp:align>left</wp:align>
            </wp:positionH>
            <wp:positionV relativeFrom="paragraph">
              <wp:posOffset>-1113086</wp:posOffset>
            </wp:positionV>
            <wp:extent cx="7554544" cy="9685142"/>
            <wp:effectExtent l="0" t="0" r="8890"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54544" cy="96851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2604">
        <w:br w:type="page"/>
      </w:r>
    </w:p>
    <w:p w14:paraId="7671CCF3" w14:textId="5A749A25" w:rsidR="00974313" w:rsidRPr="00974313" w:rsidRDefault="00DB1181" w:rsidP="008A6FDC">
      <w:pPr>
        <w:pStyle w:val="Heading1nonumber"/>
      </w:pPr>
      <w:bookmarkStart w:id="13" w:name="_Toc149245301"/>
      <w:r>
        <w:lastRenderedPageBreak/>
        <w:t>Report summary</w:t>
      </w:r>
      <w:bookmarkEnd w:id="13"/>
    </w:p>
    <w:p w14:paraId="0C0C1A8B" w14:textId="70746036" w:rsidR="00646B22" w:rsidRDefault="00CF1DC8" w:rsidP="004B116B">
      <w:r>
        <w:rPr>
          <w:noProof/>
        </w:rPr>
        <w:drawing>
          <wp:inline distT="0" distB="0" distL="0" distR="0" wp14:anchorId="5EC22653" wp14:editId="7F6782EA">
            <wp:extent cx="5759450" cy="6650990"/>
            <wp:effectExtent l="0" t="0" r="0" b="0"/>
            <wp:docPr id="16" name="Picture 16" descr="The infographic in the report summary shows an overview of the aged sector in Australia for 2021-22. The total amount of recipients in CHSP was 818,228 in 2021-22. The total recipients in home care was 215,743 at 30 June 2022, and the total amount of residents in residential care was 188,208 at 30 June 2022. The total number of providers in CHSP was 1407, home care was 916 and residential care was 8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e infographic in the report summary shows an overview of the aged sector in Australia for 2021-22. The total amount of recipients in CHSP was 818,228 in 2021-22. The total recipients in home care was 215,743 at 30 June 2022, and the total amount of residents in residential care was 188,208 at 30 June 2022. The total number of providers in CHSP was 1407, home care was 916 and residential care was 805.&#10;"/>
                    <pic:cNvPicPr/>
                  </pic:nvPicPr>
                  <pic:blipFill>
                    <a:blip r:embed="rId26">
                      <a:extLst>
                        <a:ext uri="{28A0092B-C50C-407E-A947-70E740481C1C}">
                          <a14:useLocalDpi xmlns:a14="http://schemas.microsoft.com/office/drawing/2010/main" val="0"/>
                        </a:ext>
                      </a:extLst>
                    </a:blip>
                    <a:stretch>
                      <a:fillRect/>
                    </a:stretch>
                  </pic:blipFill>
                  <pic:spPr>
                    <a:xfrm>
                      <a:off x="0" y="0"/>
                      <a:ext cx="5759450" cy="6650990"/>
                    </a:xfrm>
                    <a:prstGeom prst="rect">
                      <a:avLst/>
                    </a:prstGeom>
                  </pic:spPr>
                </pic:pic>
              </a:graphicData>
            </a:graphic>
          </wp:inline>
        </w:drawing>
      </w:r>
    </w:p>
    <w:p w14:paraId="2765348F" w14:textId="5E662A85" w:rsidR="00107A3E" w:rsidRPr="008E2604" w:rsidRDefault="00991B86" w:rsidP="008E2604">
      <w:r w:rsidRPr="008E2604">
        <w:br w:type="page"/>
      </w:r>
      <w:r w:rsidR="00515B3E" w:rsidRPr="008E2604">
        <w:rPr>
          <w:noProof/>
        </w:rPr>
        <w:lastRenderedPageBreak/>
        <w:drawing>
          <wp:inline distT="0" distB="0" distL="0" distR="0" wp14:anchorId="560746EE" wp14:editId="7EB9A698">
            <wp:extent cx="5759450" cy="6654165"/>
            <wp:effectExtent l="0" t="0" r="0" b="0"/>
            <wp:docPr id="17" name="Picture 17" descr="The infographic in the report summary shows an overview of the aged sector in Australia for 2021-22. The workforce in 2021-22 for CHSP totalled 86,251 (76,096 paid and 10,155 volunteers), Home care workforce has a total of 89,088 (80,340 paid and 8,748 volunteers), and the workforce for residential totalled 289,651 (277,671 paid and 11,980 volunteers). The residential care minutes for registered nurses was 33.0, for enrolled nurses it was 16.1, and personal care workers was 139 care minutes. The total care minutes for residential care was 188.1. Total Government funding has increased from $17.1 billion in 2016-17 to $24.8 billion in 2021-2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e infographic in the report summary shows an overview of the aged sector in Australia for 2021-22. The workforce in 2021-22 for CHSP totalled 86,251 (76,096 paid and 10,155 volunteers), Home care workforce has a total of 89,088 (80,340 paid and 8,748 volunteers), and the workforce for residential totalled 289,651 (277,671 paid and 11,980 volunteers). The residential care minutes for registered nurses was 33.0, for enrolled nurses it was 16.1, and personal care workers was 139 care minutes. The total care minutes for residential care was 188.1. Total Government funding has increased from $17.1 billion in 2016-17 to $24.8 billion in 2021-22. &#10;"/>
                    <pic:cNvPicPr/>
                  </pic:nvPicPr>
                  <pic:blipFill>
                    <a:blip r:embed="rId27">
                      <a:extLst>
                        <a:ext uri="{28A0092B-C50C-407E-A947-70E740481C1C}">
                          <a14:useLocalDpi xmlns:a14="http://schemas.microsoft.com/office/drawing/2010/main" val="0"/>
                        </a:ext>
                      </a:extLst>
                    </a:blip>
                    <a:stretch>
                      <a:fillRect/>
                    </a:stretch>
                  </pic:blipFill>
                  <pic:spPr>
                    <a:xfrm>
                      <a:off x="0" y="0"/>
                      <a:ext cx="5759450" cy="6654165"/>
                    </a:xfrm>
                    <a:prstGeom prst="rect">
                      <a:avLst/>
                    </a:prstGeom>
                  </pic:spPr>
                </pic:pic>
              </a:graphicData>
            </a:graphic>
          </wp:inline>
        </w:drawing>
      </w:r>
      <w:r w:rsidR="00107A3E" w:rsidRPr="008E2604">
        <w:br w:type="page"/>
      </w:r>
    </w:p>
    <w:p w14:paraId="7B43458F" w14:textId="77777777" w:rsidR="00FF7FC3" w:rsidRPr="008E2604" w:rsidRDefault="00EB616A" w:rsidP="008E2604">
      <w:pPr>
        <w:sectPr w:rsidR="00FF7FC3" w:rsidRPr="008E2604" w:rsidSect="00FF7FC3">
          <w:footerReference w:type="even" r:id="rId28"/>
          <w:footerReference w:type="default" r:id="rId29"/>
          <w:type w:val="continuous"/>
          <w:pgSz w:w="11906" w:h="16838"/>
          <w:pgMar w:top="1701" w:right="1418" w:bottom="1418" w:left="1418" w:header="709" w:footer="709" w:gutter="0"/>
          <w:cols w:space="708"/>
          <w:docGrid w:linePitch="360"/>
        </w:sectPr>
      </w:pPr>
      <w:r w:rsidRPr="008E2604">
        <w:rPr>
          <w:noProof/>
        </w:rPr>
        <w:lastRenderedPageBreak/>
        <w:drawing>
          <wp:inline distT="0" distB="0" distL="0" distR="0" wp14:anchorId="2EE62A45" wp14:editId="1E7074B2">
            <wp:extent cx="5759450" cy="8625840"/>
            <wp:effectExtent l="0" t="0" r="0" b="3810"/>
            <wp:docPr id="1549309995" name="Picture 1549309995" descr="The infographic in the report summary shows an overview of the aged sector in Australia for 2021-22. The total Australian Government funding for CHSP was $2.86 billion, $4.4 billion for home care, and $14.65 billion for residential care. The average EBIDTA per recipient per year for home care was $1,232, and the average EBITDA per resident per year for residential care was negative $46. There was 69 per cent of profitable providers in home care and 31 per cent of profitable providers in residential ca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09995" name="Picture 1549309995" descr="The infographic in the report summary shows an overview of the aged sector in Australia for 2021-22. The total Australian Government funding for CHSP was $2.86 billion, $4.4 billion for home care, and $14.65 billion for residential care. The average EBIDTA per recipient per year for home care was $1,232, and the average EBITDA per resident per year for residential care was negative $46. There was 69 per cent of profitable providers in home care and 31 per cent of profitable providers in residential ca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9450" cy="8625840"/>
                    </a:xfrm>
                    <a:prstGeom prst="rect">
                      <a:avLst/>
                    </a:prstGeom>
                    <a:noFill/>
                    <a:ln>
                      <a:noFill/>
                    </a:ln>
                  </pic:spPr>
                </pic:pic>
              </a:graphicData>
            </a:graphic>
          </wp:inline>
        </w:drawing>
      </w:r>
    </w:p>
    <w:p w14:paraId="2A6D5308" w14:textId="5ED07256" w:rsidR="00DB0FCE" w:rsidRPr="002A2E5B" w:rsidRDefault="00DB0FCE" w:rsidP="002A2E5B"/>
    <w:p w14:paraId="3D453136" w14:textId="4427E4B1" w:rsidR="00F967C5" w:rsidRPr="008E2604" w:rsidRDefault="00DB0FCE" w:rsidP="008E2604">
      <w:r w:rsidRPr="008E2604">
        <w:rPr>
          <w:noProof/>
        </w:rPr>
        <w:drawing>
          <wp:anchor distT="0" distB="0" distL="114300" distR="114300" simplePos="0" relativeHeight="251616256" behindDoc="0" locked="0" layoutInCell="1" allowOverlap="1" wp14:anchorId="3167B653" wp14:editId="71BBDBE3">
            <wp:simplePos x="0" y="0"/>
            <wp:positionH relativeFrom="page">
              <wp:align>right</wp:align>
            </wp:positionH>
            <wp:positionV relativeFrom="paragraph">
              <wp:posOffset>-1251585</wp:posOffset>
            </wp:positionV>
            <wp:extent cx="7562850" cy="9810860"/>
            <wp:effectExtent l="0" t="0" r="0" b="0"/>
            <wp:wrapNone/>
            <wp:docPr id="22" name="Picture 22" descr="The infographic at the beginning of Chapter 1 titled Home Care, shows a summary of home care for 2021-22. The total number of home care recipients was 215,743 at 30 June 2022, an increase of 22.51 per cent from the previous year. The were 916 home care providers in 2021-22, which was a decrease of 23 from 2020-21. The Australian Government contributed $4.4 billion in funding to home care, an increase of 4.75% on the previous year. The average EBITDA for home care in 2021-22 was $1,232 per recipient per year, a decrease of 31.25 per cent on the 2020-21. The average NPBT result in 2021-22 for home care was $1,013 per recipient per year, a decrease of 35.31 per cent on 20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he infographic at the beginning of Chapter 1 titled Home Care, shows a summary of home care for 2021-22. The total number of home care recipients was 215,743 at 30 June 2022, an increase of 22.51 per cent from the previous year. The were 916 home care providers in 2021-22, which was a decrease of 23 from 2020-21. The Australian Government contributed $4.4 billion in funding to home care, an increase of 4.75% on the previous year. The average EBITDA for home care in 2021-22 was $1,232 per recipient per year, a decrease of 31.25 per cent on the 2020-21. The average NPBT result in 2021-22 for home care was $1,013 per recipient per year, a decrease of 35.31 per cent on 2020-21.&#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62850" cy="9810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0947E7" w14:textId="7BBAB111" w:rsidR="009B05FC" w:rsidRDefault="009B05FC" w:rsidP="009D704E">
      <w:pPr>
        <w:pStyle w:val="SectionTitle"/>
        <w:sectPr w:rsidR="009B05FC" w:rsidSect="00FF7FC3">
          <w:headerReference w:type="default" r:id="rId32"/>
          <w:footerReference w:type="even" r:id="rId33"/>
          <w:footerReference w:type="default" r:id="rId34"/>
          <w:type w:val="continuous"/>
          <w:pgSz w:w="11906" w:h="16838"/>
          <w:pgMar w:top="1701" w:right="1418" w:bottom="1418" w:left="1418" w:header="709" w:footer="709" w:gutter="0"/>
          <w:cols w:space="708"/>
          <w:docGrid w:linePitch="360"/>
        </w:sectPr>
      </w:pPr>
      <w:bookmarkStart w:id="14" w:name="homec"/>
    </w:p>
    <w:p w14:paraId="003720C9" w14:textId="03D5A1E3" w:rsidR="00D00CF7" w:rsidRPr="00754912" w:rsidRDefault="00D00CF7" w:rsidP="008A6FDC">
      <w:pPr>
        <w:pStyle w:val="Heading1"/>
      </w:pPr>
      <w:bookmarkStart w:id="15" w:name="_Toc149245302"/>
      <w:r>
        <w:lastRenderedPageBreak/>
        <w:t>Home care</w:t>
      </w:r>
      <w:bookmarkEnd w:id="15"/>
    </w:p>
    <w:p w14:paraId="21083C2F" w14:textId="3661CD1D" w:rsidR="00CB2F90" w:rsidRPr="003D717D" w:rsidRDefault="00CB2F90" w:rsidP="003D717D">
      <w:pPr>
        <w:rPr>
          <w:rStyle w:val="Strong"/>
        </w:rPr>
      </w:pPr>
      <w:r w:rsidRPr="003D717D">
        <w:rPr>
          <w:rStyle w:val="Strong"/>
        </w:rPr>
        <w:t>The Home Care Packages Program</w:t>
      </w:r>
    </w:p>
    <w:p w14:paraId="37FDBFB8" w14:textId="7AB8FC2B" w:rsidR="00842AFB" w:rsidRDefault="0050055D" w:rsidP="003D717D">
      <w:r w:rsidRPr="0050055D">
        <w:t xml:space="preserve">Home </w:t>
      </w:r>
      <w:r w:rsidR="00352476">
        <w:t xml:space="preserve">care </w:t>
      </w:r>
      <w:r w:rsidRPr="0050055D">
        <w:t>packages</w:t>
      </w:r>
      <w:r w:rsidR="00255B4A">
        <w:t xml:space="preserve"> </w:t>
      </w:r>
      <w:r w:rsidRPr="0050055D">
        <w:t xml:space="preserve">allow </w:t>
      </w:r>
      <w:r w:rsidR="00AF11F1">
        <w:t>recipients</w:t>
      </w:r>
      <w:r w:rsidRPr="0050055D">
        <w:t xml:space="preserve"> to access a range of services and equipment which assists them to live independently in the community. </w:t>
      </w:r>
      <w:r w:rsidR="00352476">
        <w:t>Home care packages</w:t>
      </w:r>
      <w:r w:rsidRPr="0050055D">
        <w:t xml:space="preserve"> are delivered on a </w:t>
      </w:r>
      <w:r w:rsidR="00A42D79">
        <w:t>c</w:t>
      </w:r>
      <w:r w:rsidRPr="0050055D">
        <w:t xml:space="preserve">onsumer </w:t>
      </w:r>
      <w:r w:rsidR="00A42D79">
        <w:t>d</w:t>
      </w:r>
      <w:r w:rsidRPr="0050055D">
        <w:t xml:space="preserve">irected </w:t>
      </w:r>
      <w:r w:rsidR="00A42D79">
        <w:t>c</w:t>
      </w:r>
      <w:r w:rsidRPr="0050055D">
        <w:t xml:space="preserve">are basis. </w:t>
      </w:r>
    </w:p>
    <w:p w14:paraId="19EF0B7B" w14:textId="0F746A1D" w:rsidR="00842AFB" w:rsidRDefault="00842AFB" w:rsidP="003D717D">
      <w:r w:rsidRPr="00842AFB">
        <w:t>To obtain access to a home care package, individuals are first assessed by an independent Aged Care Assessment Team (ACAT) which determines eligibility for a package</w:t>
      </w:r>
      <w:r w:rsidR="1A8DAC83">
        <w:t xml:space="preserve"> and the level of the package</w:t>
      </w:r>
      <w:r w:rsidR="11C96BE4">
        <w:t>.</w:t>
      </w:r>
      <w:r w:rsidRPr="00842AFB">
        <w:t xml:space="preserve"> Many people assessed as eligible to receive a package are also assessed as eligible for residential care. Once assessed as eligible for home care, an individual can elect to opt </w:t>
      </w:r>
      <w:r w:rsidR="00EA6D9B" w:rsidRPr="00842AFB">
        <w:t>into</w:t>
      </w:r>
      <w:r w:rsidRPr="00842AFB">
        <w:t xml:space="preserve"> the National Priority System (NPS). They </w:t>
      </w:r>
      <w:r w:rsidR="0013509D">
        <w:t>are then</w:t>
      </w:r>
      <w:r w:rsidRPr="00842AFB">
        <w:t xml:space="preserve"> offered a home care package when one becomes available. A person’s place in the NPS is based on their date of approval and priority as assessed by an ACAT</w:t>
      </w:r>
      <w:r>
        <w:t>.</w:t>
      </w:r>
    </w:p>
    <w:p w14:paraId="6925E684" w14:textId="4E4D3ACD" w:rsidR="00870C25" w:rsidRDefault="00870C25" w:rsidP="003D717D">
      <w:r>
        <w:t xml:space="preserve">The number of available </w:t>
      </w:r>
      <w:r w:rsidR="00352476">
        <w:t xml:space="preserve">home care packages </w:t>
      </w:r>
      <w:r>
        <w:t xml:space="preserve">continues to increase as older Australians increasingly prefer to remain in their home for longer. A new Support at Home Program will commence 1 July 2025 and the existing </w:t>
      </w:r>
      <w:r w:rsidR="00FC0B4A">
        <w:t xml:space="preserve">Home Care Packages (HCP) </w:t>
      </w:r>
      <w:r>
        <w:t>Program will continue until then.</w:t>
      </w:r>
    </w:p>
    <w:p w14:paraId="3398C8F1" w14:textId="534A8B52" w:rsidR="00D00CF7" w:rsidRDefault="00D00CF7" w:rsidP="00972799">
      <w:pPr>
        <w:pStyle w:val="Heading2"/>
      </w:pPr>
      <w:bookmarkStart w:id="16" w:name="_Toc149245303"/>
      <w:r w:rsidRPr="0002472F">
        <w:t>Recipients</w:t>
      </w:r>
      <w:bookmarkEnd w:id="16"/>
    </w:p>
    <w:p w14:paraId="2419CEC8" w14:textId="03D861EE" w:rsidR="00D41147" w:rsidRDefault="008E75FE" w:rsidP="003D717D">
      <w:r>
        <w:fldChar w:fldCharType="begin"/>
      </w:r>
      <w:r>
        <w:instrText xml:space="preserve"> REF _Ref139537816 \h </w:instrText>
      </w:r>
      <w:r>
        <w:fldChar w:fldCharType="separate"/>
      </w:r>
      <w:r w:rsidR="00294B02">
        <w:t xml:space="preserve">Table </w:t>
      </w:r>
      <w:r w:rsidR="00294B02">
        <w:rPr>
          <w:noProof/>
        </w:rPr>
        <w:t>1</w:t>
      </w:r>
      <w:r w:rsidR="00294B02">
        <w:t>.</w:t>
      </w:r>
      <w:r w:rsidR="00294B02">
        <w:rPr>
          <w:noProof/>
        </w:rPr>
        <w:t>1</w:t>
      </w:r>
      <w:r>
        <w:fldChar w:fldCharType="end"/>
      </w:r>
      <w:r w:rsidR="006325A7">
        <w:t xml:space="preserve"> s</w:t>
      </w:r>
      <w:r w:rsidR="00E73B3D" w:rsidRPr="0050055D">
        <w:t xml:space="preserve">hows the increase in overall home care </w:t>
      </w:r>
      <w:r w:rsidR="002962AA" w:rsidRPr="0050055D">
        <w:t>recipient</w:t>
      </w:r>
      <w:r w:rsidR="00E73B3D" w:rsidRPr="0050055D">
        <w:t xml:space="preserve"> numbers </w:t>
      </w:r>
      <w:r w:rsidR="002962AA" w:rsidRPr="0050055D">
        <w:t>for the past 5 years</w:t>
      </w:r>
      <w:r w:rsidR="00E73B3D" w:rsidRPr="0050055D">
        <w:t xml:space="preserve">. As </w:t>
      </w:r>
      <w:proofErr w:type="gramStart"/>
      <w:r w:rsidR="00E73B3D" w:rsidRPr="0050055D">
        <w:t>at</w:t>
      </w:r>
      <w:proofErr w:type="gramEnd"/>
      <w:r w:rsidR="00E73B3D" w:rsidRPr="0050055D">
        <w:t xml:space="preserve"> 30 June 202</w:t>
      </w:r>
      <w:r w:rsidR="002962AA" w:rsidRPr="0050055D">
        <w:t>2</w:t>
      </w:r>
      <w:r w:rsidR="00E73B3D" w:rsidRPr="0050055D">
        <w:t xml:space="preserve">, there were </w:t>
      </w:r>
      <w:r w:rsidR="002962AA" w:rsidRPr="0050055D">
        <w:t>215,743</w:t>
      </w:r>
      <w:r w:rsidR="00E73B3D" w:rsidRPr="0050055D">
        <w:t xml:space="preserve"> </w:t>
      </w:r>
      <w:r w:rsidR="002962AA" w:rsidRPr="0050055D">
        <w:t>recipients</w:t>
      </w:r>
      <w:r w:rsidR="00E73B3D" w:rsidRPr="0050055D">
        <w:t xml:space="preserve"> in a package, up from </w:t>
      </w:r>
      <w:r w:rsidR="002962AA" w:rsidRPr="0050055D">
        <w:t>176,105</w:t>
      </w:r>
      <w:r w:rsidR="00E73B3D" w:rsidRPr="0050055D">
        <w:t xml:space="preserve"> at</w:t>
      </w:r>
      <w:r w:rsidR="002962AA">
        <w:t xml:space="preserve"> </w:t>
      </w:r>
      <w:r w:rsidR="00E73B3D" w:rsidRPr="0050055D">
        <w:t>30 June 202</w:t>
      </w:r>
      <w:r w:rsidR="002962AA" w:rsidRPr="0050055D">
        <w:t>1</w:t>
      </w:r>
      <w:r w:rsidR="000D79CD">
        <w:t>. This</w:t>
      </w:r>
      <w:r w:rsidR="001002E9">
        <w:t xml:space="preserve"> number </w:t>
      </w:r>
      <w:r w:rsidR="00B84182">
        <w:t xml:space="preserve">has more than doubled </w:t>
      </w:r>
      <w:r w:rsidR="00B84182" w:rsidRPr="0050055D">
        <w:t>since</w:t>
      </w:r>
      <w:r w:rsidR="00E626FF" w:rsidRPr="0050055D">
        <w:t xml:space="preserve"> </w:t>
      </w:r>
      <w:r w:rsidR="008E6966">
        <w:t xml:space="preserve">30 </w:t>
      </w:r>
      <w:r w:rsidR="00E626FF" w:rsidRPr="0050055D">
        <w:t>June 2019</w:t>
      </w:r>
      <w:r w:rsidR="00E73B3D" w:rsidRPr="0050055D">
        <w:t>.</w:t>
      </w:r>
    </w:p>
    <w:p w14:paraId="6B902AF0" w14:textId="79D27D41" w:rsidR="00135490" w:rsidRDefault="008312A9" w:rsidP="003D717D">
      <w:r>
        <w:t>Level 2 had the high</w:t>
      </w:r>
      <w:r w:rsidR="008E6966">
        <w:t xml:space="preserve">est proportion of packages </w:t>
      </w:r>
      <w:r>
        <w:t xml:space="preserve">allocated (41 per cent), followed by level </w:t>
      </w:r>
      <w:r w:rsidR="00B765BA">
        <w:t xml:space="preserve">3 </w:t>
      </w:r>
      <w:r>
        <w:t>(</w:t>
      </w:r>
      <w:r w:rsidR="000626FB">
        <w:t>31</w:t>
      </w:r>
      <w:r>
        <w:t xml:space="preserve"> per cent)</w:t>
      </w:r>
      <w:r w:rsidR="00081911">
        <w:t xml:space="preserve">, level </w:t>
      </w:r>
      <w:r w:rsidR="00B765BA">
        <w:t xml:space="preserve">4 </w:t>
      </w:r>
      <w:r w:rsidR="00081911">
        <w:t>(2</w:t>
      </w:r>
      <w:r w:rsidR="000626FB">
        <w:t>2</w:t>
      </w:r>
      <w:r w:rsidR="00081911">
        <w:t xml:space="preserve"> per cent) and level 1 (</w:t>
      </w:r>
      <w:r w:rsidR="000626FB">
        <w:t>5</w:t>
      </w:r>
      <w:r w:rsidR="00081911">
        <w:t xml:space="preserve"> per cent).</w:t>
      </w:r>
      <w:r w:rsidR="008E6966">
        <w:t xml:space="preserve"> </w:t>
      </w:r>
    </w:p>
    <w:p w14:paraId="068125D5" w14:textId="6E352084" w:rsidR="008D1AD1" w:rsidRPr="007C0212" w:rsidRDefault="00200711" w:rsidP="00D65D1C">
      <w:pPr>
        <w:pStyle w:val="Caption"/>
        <w:rPr>
          <w:b w:val="0"/>
          <w:lang w:eastAsia="zh-CN" w:bidi="th-TH"/>
        </w:rPr>
      </w:pPr>
      <w:bookmarkStart w:id="17" w:name="_Ref139537816"/>
      <w:bookmarkStart w:id="18" w:name="_Toc149245264"/>
      <w:r>
        <w:t xml:space="preserve">Table </w:t>
      </w:r>
      <w:r>
        <w:fldChar w:fldCharType="begin"/>
      </w:r>
      <w:r>
        <w:instrText>STYLEREF 1 \s</w:instrText>
      </w:r>
      <w:r>
        <w:fldChar w:fldCharType="separate"/>
      </w:r>
      <w:r w:rsidR="00294B02">
        <w:rPr>
          <w:noProof/>
        </w:rPr>
        <w:t>1</w:t>
      </w:r>
      <w:r>
        <w:fldChar w:fldCharType="end"/>
      </w:r>
      <w:r w:rsidR="002E758C">
        <w:t>.</w:t>
      </w:r>
      <w:r>
        <w:fldChar w:fldCharType="begin"/>
      </w:r>
      <w:r>
        <w:instrText>SEQ Table \* ARABIC \s 1</w:instrText>
      </w:r>
      <w:r>
        <w:fldChar w:fldCharType="separate"/>
      </w:r>
      <w:r w:rsidR="00294B02">
        <w:rPr>
          <w:noProof/>
        </w:rPr>
        <w:t>1</w:t>
      </w:r>
      <w:r>
        <w:fldChar w:fldCharType="end"/>
      </w:r>
      <w:bookmarkEnd w:id="17"/>
      <w:r>
        <w:t xml:space="preserve">: Home Care Recipients in a package </w:t>
      </w:r>
      <w:proofErr w:type="gramStart"/>
      <w:r>
        <w:t>at</w:t>
      </w:r>
      <w:proofErr w:type="gramEnd"/>
      <w:r>
        <w:t xml:space="preserve"> 30 June 2018 to June 2022</w:t>
      </w:r>
      <w:bookmarkEnd w:id="18"/>
    </w:p>
    <w:tbl>
      <w:tblPr>
        <w:tblStyle w:val="DepartmentofHealthtable"/>
        <w:tblW w:w="9157" w:type="dxa"/>
        <w:tblLook w:val="05A0" w:firstRow="1" w:lastRow="0" w:firstColumn="1" w:lastColumn="1" w:noHBand="0" w:noVBand="1"/>
      </w:tblPr>
      <w:tblGrid>
        <w:gridCol w:w="1997"/>
        <w:gridCol w:w="1432"/>
        <w:gridCol w:w="1432"/>
        <w:gridCol w:w="1432"/>
        <w:gridCol w:w="1432"/>
        <w:gridCol w:w="1432"/>
      </w:tblGrid>
      <w:tr w:rsidR="009F36F6" w:rsidRPr="009F36F6" w14:paraId="4CA5419C" w14:textId="77777777" w:rsidTr="00FF2819">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997" w:type="dxa"/>
            <w:hideMark/>
          </w:tcPr>
          <w:p w14:paraId="231DBC15" w14:textId="77777777" w:rsidR="009F36F6" w:rsidRPr="009F36F6" w:rsidRDefault="009F36F6" w:rsidP="00204DF0">
            <w:pPr>
              <w:pStyle w:val="TableHeaderWhite"/>
              <w:rPr>
                <w:lang w:eastAsia="en-AU"/>
              </w:rPr>
            </w:pPr>
            <w:r w:rsidRPr="009F36F6">
              <w:rPr>
                <w:lang w:eastAsia="en-AU"/>
              </w:rPr>
              <w:t> </w:t>
            </w:r>
          </w:p>
        </w:tc>
        <w:tc>
          <w:tcPr>
            <w:tcW w:w="1432" w:type="dxa"/>
            <w:hideMark/>
          </w:tcPr>
          <w:p w14:paraId="46C544A6" w14:textId="77777777" w:rsidR="009F36F6" w:rsidRPr="009F36F6" w:rsidRDefault="009F36F6" w:rsidP="00204DF0">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9F36F6">
              <w:rPr>
                <w:lang w:eastAsia="en-AU"/>
              </w:rPr>
              <w:t>30-Jun-18</w:t>
            </w:r>
          </w:p>
        </w:tc>
        <w:tc>
          <w:tcPr>
            <w:tcW w:w="1432" w:type="dxa"/>
            <w:hideMark/>
          </w:tcPr>
          <w:p w14:paraId="18E77809" w14:textId="77777777" w:rsidR="009F36F6" w:rsidRPr="009F36F6" w:rsidRDefault="009F36F6" w:rsidP="00204DF0">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9F36F6">
              <w:rPr>
                <w:lang w:eastAsia="en-AU"/>
              </w:rPr>
              <w:t>30-Jun-19</w:t>
            </w:r>
          </w:p>
        </w:tc>
        <w:tc>
          <w:tcPr>
            <w:tcW w:w="1432" w:type="dxa"/>
            <w:hideMark/>
          </w:tcPr>
          <w:p w14:paraId="02F4C20C" w14:textId="77777777" w:rsidR="009F36F6" w:rsidRPr="009F36F6" w:rsidRDefault="009F36F6" w:rsidP="00204DF0">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9F36F6">
              <w:rPr>
                <w:lang w:eastAsia="en-AU"/>
              </w:rPr>
              <w:t>30-Jun-20</w:t>
            </w:r>
          </w:p>
        </w:tc>
        <w:tc>
          <w:tcPr>
            <w:tcW w:w="1432" w:type="dxa"/>
            <w:hideMark/>
          </w:tcPr>
          <w:p w14:paraId="02C4F27F" w14:textId="77777777" w:rsidR="009F36F6" w:rsidRPr="009F36F6" w:rsidRDefault="009F36F6" w:rsidP="00204DF0">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9F36F6">
              <w:rPr>
                <w:lang w:eastAsia="en-AU"/>
              </w:rPr>
              <w:t>30-Jun-21</w:t>
            </w:r>
          </w:p>
        </w:tc>
        <w:tc>
          <w:tcPr>
            <w:cnfStyle w:val="000100000000" w:firstRow="0" w:lastRow="0" w:firstColumn="0" w:lastColumn="1" w:oddVBand="0" w:evenVBand="0" w:oddHBand="0" w:evenHBand="0" w:firstRowFirstColumn="0" w:firstRowLastColumn="0" w:lastRowFirstColumn="0" w:lastRowLastColumn="0"/>
            <w:tcW w:w="1432" w:type="dxa"/>
            <w:hideMark/>
          </w:tcPr>
          <w:p w14:paraId="5897A517" w14:textId="77777777" w:rsidR="009F36F6" w:rsidRPr="009F36F6" w:rsidRDefault="009F36F6" w:rsidP="00204DF0">
            <w:pPr>
              <w:pStyle w:val="TableHeaderWhite"/>
              <w:rPr>
                <w:lang w:eastAsia="en-AU"/>
              </w:rPr>
            </w:pPr>
            <w:r w:rsidRPr="009F36F6">
              <w:rPr>
                <w:lang w:eastAsia="en-AU"/>
              </w:rPr>
              <w:t>30-Jun-22</w:t>
            </w:r>
          </w:p>
        </w:tc>
      </w:tr>
      <w:tr w:rsidR="009F36F6" w:rsidRPr="009F36F6" w14:paraId="3F071EA7"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7AD2E332" w14:textId="77777777" w:rsidR="009F36F6" w:rsidRPr="00A07F1A" w:rsidRDefault="009F36F6" w:rsidP="003D717D">
            <w:pPr>
              <w:pStyle w:val="TableParagraphbold"/>
            </w:pPr>
            <w:r w:rsidRPr="00A07F1A">
              <w:t>Total Recipients</w:t>
            </w:r>
          </w:p>
        </w:tc>
        <w:tc>
          <w:tcPr>
            <w:tcW w:w="1432" w:type="dxa"/>
            <w:hideMark/>
          </w:tcPr>
          <w:p w14:paraId="0762FA17" w14:textId="0074C8EE" w:rsidR="009F36F6" w:rsidRPr="00A07F1A" w:rsidRDefault="009F36F6" w:rsidP="003D717D">
            <w:pPr>
              <w:pStyle w:val="TableParagraphbold"/>
              <w:cnfStyle w:val="000000000000" w:firstRow="0" w:lastRow="0" w:firstColumn="0" w:lastColumn="0" w:oddVBand="0" w:evenVBand="0" w:oddHBand="0" w:evenHBand="0" w:firstRowFirstColumn="0" w:firstRowLastColumn="0" w:lastRowFirstColumn="0" w:lastRowLastColumn="0"/>
            </w:pPr>
            <w:r w:rsidRPr="00A07F1A">
              <w:t>91,847</w:t>
            </w:r>
          </w:p>
        </w:tc>
        <w:tc>
          <w:tcPr>
            <w:tcW w:w="1432" w:type="dxa"/>
            <w:hideMark/>
          </w:tcPr>
          <w:p w14:paraId="7B2100D2" w14:textId="7F8FBABF" w:rsidR="009F36F6" w:rsidRPr="00A07F1A" w:rsidRDefault="009F36F6" w:rsidP="003D717D">
            <w:pPr>
              <w:pStyle w:val="TableParagraphbold"/>
              <w:cnfStyle w:val="000000000000" w:firstRow="0" w:lastRow="0" w:firstColumn="0" w:lastColumn="0" w:oddVBand="0" w:evenVBand="0" w:oddHBand="0" w:evenHBand="0" w:firstRowFirstColumn="0" w:firstRowLastColumn="0" w:lastRowFirstColumn="0" w:lastRowLastColumn="0"/>
            </w:pPr>
            <w:r w:rsidRPr="00A07F1A">
              <w:t>106,707</w:t>
            </w:r>
          </w:p>
        </w:tc>
        <w:tc>
          <w:tcPr>
            <w:tcW w:w="1432" w:type="dxa"/>
            <w:hideMark/>
          </w:tcPr>
          <w:p w14:paraId="3C296888" w14:textId="47FC2FCA" w:rsidR="009F36F6" w:rsidRPr="00A07F1A" w:rsidRDefault="009F36F6" w:rsidP="003D717D">
            <w:pPr>
              <w:pStyle w:val="TableParagraphbold"/>
              <w:cnfStyle w:val="000000000000" w:firstRow="0" w:lastRow="0" w:firstColumn="0" w:lastColumn="0" w:oddVBand="0" w:evenVBand="0" w:oddHBand="0" w:evenHBand="0" w:firstRowFirstColumn="0" w:firstRowLastColumn="0" w:lastRowFirstColumn="0" w:lastRowLastColumn="0"/>
            </w:pPr>
            <w:r w:rsidRPr="00A07F1A">
              <w:t>142,436</w:t>
            </w:r>
          </w:p>
        </w:tc>
        <w:tc>
          <w:tcPr>
            <w:tcW w:w="1432" w:type="dxa"/>
            <w:hideMark/>
          </w:tcPr>
          <w:p w14:paraId="1B9C0725" w14:textId="576C1093" w:rsidR="009F36F6" w:rsidRPr="00A07F1A" w:rsidRDefault="009F36F6" w:rsidP="003D717D">
            <w:pPr>
              <w:pStyle w:val="TableParagraphbold"/>
              <w:cnfStyle w:val="000000000000" w:firstRow="0" w:lastRow="0" w:firstColumn="0" w:lastColumn="0" w:oddVBand="0" w:evenVBand="0" w:oddHBand="0" w:evenHBand="0" w:firstRowFirstColumn="0" w:firstRowLastColumn="0" w:lastRowFirstColumn="0" w:lastRowLastColumn="0"/>
            </w:pPr>
            <w:r w:rsidRPr="00A07F1A">
              <w:t>176,105</w:t>
            </w:r>
          </w:p>
        </w:tc>
        <w:tc>
          <w:tcPr>
            <w:cnfStyle w:val="000100000000" w:firstRow="0" w:lastRow="0" w:firstColumn="0" w:lastColumn="1" w:oddVBand="0" w:evenVBand="0" w:oddHBand="0" w:evenHBand="0" w:firstRowFirstColumn="0" w:firstRowLastColumn="0" w:lastRowFirstColumn="0" w:lastRowLastColumn="0"/>
            <w:tcW w:w="1432" w:type="dxa"/>
            <w:hideMark/>
          </w:tcPr>
          <w:p w14:paraId="4BCAD2D5" w14:textId="065C3DFC" w:rsidR="009F36F6" w:rsidRPr="00A07F1A" w:rsidRDefault="009F36F6" w:rsidP="003D717D">
            <w:pPr>
              <w:pStyle w:val="TableParagraphbold"/>
            </w:pPr>
            <w:r w:rsidRPr="00A07F1A">
              <w:t>215,743</w:t>
            </w:r>
          </w:p>
        </w:tc>
      </w:tr>
      <w:tr w:rsidR="009F36F6" w:rsidRPr="009F36F6" w14:paraId="2DD3DB29"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0F2FCE61" w14:textId="77777777" w:rsidR="009F36F6" w:rsidRPr="00A07F1A" w:rsidRDefault="009F36F6" w:rsidP="00204DF0">
            <w:pPr>
              <w:pStyle w:val="TableofAuthorities"/>
            </w:pPr>
            <w:r w:rsidRPr="00A07F1A">
              <w:t>CALD Recipients</w:t>
            </w:r>
          </w:p>
        </w:tc>
        <w:tc>
          <w:tcPr>
            <w:tcW w:w="1432" w:type="dxa"/>
            <w:hideMark/>
          </w:tcPr>
          <w:p w14:paraId="380D0D52" w14:textId="1B4D0B09"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22,525</w:t>
            </w:r>
          </w:p>
        </w:tc>
        <w:tc>
          <w:tcPr>
            <w:tcW w:w="1432" w:type="dxa"/>
            <w:hideMark/>
          </w:tcPr>
          <w:p w14:paraId="67C4D176" w14:textId="12206357"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27,427</w:t>
            </w:r>
          </w:p>
        </w:tc>
        <w:tc>
          <w:tcPr>
            <w:tcW w:w="1432" w:type="dxa"/>
            <w:hideMark/>
          </w:tcPr>
          <w:p w14:paraId="04A4916F" w14:textId="30C242B5"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38,740</w:t>
            </w:r>
          </w:p>
        </w:tc>
        <w:tc>
          <w:tcPr>
            <w:tcW w:w="1432" w:type="dxa"/>
            <w:hideMark/>
          </w:tcPr>
          <w:p w14:paraId="386C0293" w14:textId="67C4AB52"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50,767</w:t>
            </w:r>
          </w:p>
        </w:tc>
        <w:tc>
          <w:tcPr>
            <w:cnfStyle w:val="000100000000" w:firstRow="0" w:lastRow="0" w:firstColumn="0" w:lastColumn="1" w:oddVBand="0" w:evenVBand="0" w:oddHBand="0" w:evenHBand="0" w:firstRowFirstColumn="0" w:firstRowLastColumn="0" w:lastRowFirstColumn="0" w:lastRowLastColumn="0"/>
            <w:tcW w:w="1432" w:type="dxa"/>
            <w:hideMark/>
          </w:tcPr>
          <w:p w14:paraId="22ABA489" w14:textId="010A61F2" w:rsidR="009F36F6" w:rsidRPr="00A07F1A" w:rsidRDefault="009F36F6" w:rsidP="00204DF0">
            <w:pPr>
              <w:pStyle w:val="TableofAuthorities"/>
            </w:pPr>
            <w:r w:rsidRPr="00A07F1A">
              <w:t>64,192</w:t>
            </w:r>
          </w:p>
        </w:tc>
      </w:tr>
      <w:tr w:rsidR="009F36F6" w:rsidRPr="009F36F6" w14:paraId="4E810559" w14:textId="77777777" w:rsidTr="00FF2819">
        <w:trPr>
          <w:trHeight w:val="522"/>
        </w:trPr>
        <w:tc>
          <w:tcPr>
            <w:cnfStyle w:val="001000000000" w:firstRow="0" w:lastRow="0" w:firstColumn="1" w:lastColumn="0" w:oddVBand="0" w:evenVBand="0" w:oddHBand="0" w:evenHBand="0" w:firstRowFirstColumn="0" w:firstRowLastColumn="0" w:lastRowFirstColumn="0" w:lastRowLastColumn="0"/>
            <w:tcW w:w="1997" w:type="dxa"/>
            <w:hideMark/>
          </w:tcPr>
          <w:p w14:paraId="338B80FF" w14:textId="77777777" w:rsidR="009F36F6" w:rsidRPr="00A07F1A" w:rsidRDefault="009F36F6" w:rsidP="00204DF0">
            <w:pPr>
              <w:pStyle w:val="TableofAuthorities"/>
            </w:pPr>
            <w:r w:rsidRPr="00A07F1A">
              <w:t xml:space="preserve">First Nations elders </w:t>
            </w:r>
          </w:p>
        </w:tc>
        <w:tc>
          <w:tcPr>
            <w:tcW w:w="1432" w:type="dxa"/>
            <w:hideMark/>
          </w:tcPr>
          <w:p w14:paraId="09E08CF5" w14:textId="75AD1110"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 xml:space="preserve">2,86 </w:t>
            </w:r>
          </w:p>
        </w:tc>
        <w:tc>
          <w:tcPr>
            <w:tcW w:w="1432" w:type="dxa"/>
            <w:hideMark/>
          </w:tcPr>
          <w:p w14:paraId="068C5013" w14:textId="0B749262"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3,280</w:t>
            </w:r>
          </w:p>
        </w:tc>
        <w:tc>
          <w:tcPr>
            <w:tcW w:w="1432" w:type="dxa"/>
            <w:hideMark/>
          </w:tcPr>
          <w:p w14:paraId="4FE89DCD" w14:textId="2785E9EE"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3,417</w:t>
            </w:r>
          </w:p>
        </w:tc>
        <w:tc>
          <w:tcPr>
            <w:tcW w:w="1432" w:type="dxa"/>
            <w:hideMark/>
          </w:tcPr>
          <w:p w14:paraId="29FAA474" w14:textId="7EED5369"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3,734</w:t>
            </w:r>
          </w:p>
        </w:tc>
        <w:tc>
          <w:tcPr>
            <w:cnfStyle w:val="000100000000" w:firstRow="0" w:lastRow="0" w:firstColumn="0" w:lastColumn="1" w:oddVBand="0" w:evenVBand="0" w:oddHBand="0" w:evenHBand="0" w:firstRowFirstColumn="0" w:firstRowLastColumn="0" w:lastRowFirstColumn="0" w:lastRowLastColumn="0"/>
            <w:tcW w:w="1432" w:type="dxa"/>
            <w:hideMark/>
          </w:tcPr>
          <w:p w14:paraId="0F83CDF6" w14:textId="71A5CF30" w:rsidR="009F36F6" w:rsidRPr="00A07F1A" w:rsidRDefault="009F36F6" w:rsidP="00204DF0">
            <w:pPr>
              <w:pStyle w:val="TableofAuthorities"/>
            </w:pPr>
            <w:r w:rsidRPr="00A07F1A">
              <w:t>5,773</w:t>
            </w:r>
          </w:p>
        </w:tc>
      </w:tr>
      <w:tr w:rsidR="009F36F6" w:rsidRPr="009F36F6" w14:paraId="08E8DC7C"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46B6FCE6" w14:textId="77777777" w:rsidR="009F36F6" w:rsidRPr="00A07F1A" w:rsidRDefault="009F36F6" w:rsidP="003D717D">
            <w:pPr>
              <w:pStyle w:val="TableParagraphbold"/>
            </w:pPr>
            <w:r w:rsidRPr="00A07F1A">
              <w:t>By Level</w:t>
            </w:r>
          </w:p>
        </w:tc>
        <w:tc>
          <w:tcPr>
            <w:tcW w:w="1432" w:type="dxa"/>
            <w:hideMark/>
          </w:tcPr>
          <w:p w14:paraId="7510EE06" w14:textId="77777777" w:rsidR="009F36F6" w:rsidRPr="00A07F1A" w:rsidRDefault="009F36F6" w:rsidP="003D717D">
            <w:pPr>
              <w:pStyle w:val="TableParagraphbold"/>
              <w:cnfStyle w:val="000000000000" w:firstRow="0" w:lastRow="0" w:firstColumn="0" w:lastColumn="0" w:oddVBand="0" w:evenVBand="0" w:oddHBand="0" w:evenHBand="0" w:firstRowFirstColumn="0" w:firstRowLastColumn="0" w:lastRowFirstColumn="0" w:lastRowLastColumn="0"/>
            </w:pPr>
            <w:r w:rsidRPr="00A07F1A">
              <w:t> </w:t>
            </w:r>
          </w:p>
        </w:tc>
        <w:tc>
          <w:tcPr>
            <w:tcW w:w="1432" w:type="dxa"/>
            <w:hideMark/>
          </w:tcPr>
          <w:p w14:paraId="258860A8" w14:textId="77777777" w:rsidR="009F36F6" w:rsidRPr="00A07F1A" w:rsidRDefault="009F36F6" w:rsidP="003D717D">
            <w:pPr>
              <w:pStyle w:val="TableParagraphbold"/>
              <w:cnfStyle w:val="000000000000" w:firstRow="0" w:lastRow="0" w:firstColumn="0" w:lastColumn="0" w:oddVBand="0" w:evenVBand="0" w:oddHBand="0" w:evenHBand="0" w:firstRowFirstColumn="0" w:firstRowLastColumn="0" w:lastRowFirstColumn="0" w:lastRowLastColumn="0"/>
            </w:pPr>
            <w:r w:rsidRPr="00A07F1A">
              <w:t> </w:t>
            </w:r>
          </w:p>
        </w:tc>
        <w:tc>
          <w:tcPr>
            <w:tcW w:w="1432" w:type="dxa"/>
            <w:hideMark/>
          </w:tcPr>
          <w:p w14:paraId="7BF0C5E6" w14:textId="77777777" w:rsidR="009F36F6" w:rsidRPr="00A07F1A" w:rsidRDefault="009F36F6" w:rsidP="003D717D">
            <w:pPr>
              <w:pStyle w:val="TableParagraphbold"/>
              <w:cnfStyle w:val="000000000000" w:firstRow="0" w:lastRow="0" w:firstColumn="0" w:lastColumn="0" w:oddVBand="0" w:evenVBand="0" w:oddHBand="0" w:evenHBand="0" w:firstRowFirstColumn="0" w:firstRowLastColumn="0" w:lastRowFirstColumn="0" w:lastRowLastColumn="0"/>
            </w:pPr>
            <w:r w:rsidRPr="00A07F1A">
              <w:t> </w:t>
            </w:r>
          </w:p>
        </w:tc>
        <w:tc>
          <w:tcPr>
            <w:tcW w:w="1432" w:type="dxa"/>
            <w:hideMark/>
          </w:tcPr>
          <w:p w14:paraId="5EE50396" w14:textId="77777777" w:rsidR="009F36F6" w:rsidRPr="00A07F1A" w:rsidRDefault="009F36F6" w:rsidP="003D717D">
            <w:pPr>
              <w:pStyle w:val="TableParagraphbold"/>
              <w:cnfStyle w:val="000000000000" w:firstRow="0" w:lastRow="0" w:firstColumn="0" w:lastColumn="0" w:oddVBand="0" w:evenVBand="0" w:oddHBand="0" w:evenHBand="0" w:firstRowFirstColumn="0" w:firstRowLastColumn="0" w:lastRowFirstColumn="0" w:lastRowLastColumn="0"/>
            </w:pPr>
            <w:r w:rsidRPr="00A07F1A">
              <w:t> </w:t>
            </w:r>
          </w:p>
        </w:tc>
        <w:tc>
          <w:tcPr>
            <w:cnfStyle w:val="000100000000" w:firstRow="0" w:lastRow="0" w:firstColumn="0" w:lastColumn="1" w:oddVBand="0" w:evenVBand="0" w:oddHBand="0" w:evenHBand="0" w:firstRowFirstColumn="0" w:firstRowLastColumn="0" w:lastRowFirstColumn="0" w:lastRowLastColumn="0"/>
            <w:tcW w:w="1432" w:type="dxa"/>
            <w:hideMark/>
          </w:tcPr>
          <w:p w14:paraId="12C7753A" w14:textId="77777777" w:rsidR="009F36F6" w:rsidRPr="00A07F1A" w:rsidRDefault="009F36F6" w:rsidP="003D717D">
            <w:pPr>
              <w:pStyle w:val="TableParagraphbold"/>
            </w:pPr>
            <w:r w:rsidRPr="00A07F1A">
              <w:t> </w:t>
            </w:r>
          </w:p>
        </w:tc>
      </w:tr>
      <w:tr w:rsidR="009F36F6" w:rsidRPr="009F36F6" w14:paraId="2B787A32"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685F2D2D" w14:textId="77777777" w:rsidR="009F36F6" w:rsidRPr="00A07F1A" w:rsidRDefault="009F36F6" w:rsidP="00204DF0">
            <w:pPr>
              <w:pStyle w:val="TableofAuthorities"/>
            </w:pPr>
            <w:r w:rsidRPr="00A07F1A">
              <w:t>Level 1</w:t>
            </w:r>
          </w:p>
        </w:tc>
        <w:tc>
          <w:tcPr>
            <w:tcW w:w="1432" w:type="dxa"/>
            <w:hideMark/>
          </w:tcPr>
          <w:p w14:paraId="26551707" w14:textId="14B880E5"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4,841</w:t>
            </w:r>
          </w:p>
        </w:tc>
        <w:tc>
          <w:tcPr>
            <w:tcW w:w="1432" w:type="dxa"/>
            <w:hideMark/>
          </w:tcPr>
          <w:p w14:paraId="29612ECD" w14:textId="150FCD48"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8,516</w:t>
            </w:r>
          </w:p>
        </w:tc>
        <w:tc>
          <w:tcPr>
            <w:tcW w:w="1432" w:type="dxa"/>
            <w:hideMark/>
          </w:tcPr>
          <w:p w14:paraId="104D3E59" w14:textId="296B4EFA"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16,418</w:t>
            </w:r>
          </w:p>
        </w:tc>
        <w:tc>
          <w:tcPr>
            <w:tcW w:w="1432" w:type="dxa"/>
            <w:hideMark/>
          </w:tcPr>
          <w:p w14:paraId="7E5DA7EE" w14:textId="61B1C2EC"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17,405</w:t>
            </w:r>
          </w:p>
        </w:tc>
        <w:tc>
          <w:tcPr>
            <w:cnfStyle w:val="000100000000" w:firstRow="0" w:lastRow="0" w:firstColumn="0" w:lastColumn="1" w:oddVBand="0" w:evenVBand="0" w:oddHBand="0" w:evenHBand="0" w:firstRowFirstColumn="0" w:firstRowLastColumn="0" w:lastRowFirstColumn="0" w:lastRowLastColumn="0"/>
            <w:tcW w:w="1432" w:type="dxa"/>
            <w:hideMark/>
          </w:tcPr>
          <w:p w14:paraId="6A00603A" w14:textId="3B6BACD7" w:rsidR="009F36F6" w:rsidRPr="00A07F1A" w:rsidRDefault="009F36F6" w:rsidP="00204DF0">
            <w:pPr>
              <w:pStyle w:val="TableofAuthorities"/>
            </w:pPr>
            <w:r w:rsidRPr="00A07F1A">
              <w:t>11,677</w:t>
            </w:r>
          </w:p>
        </w:tc>
      </w:tr>
      <w:tr w:rsidR="009F36F6" w:rsidRPr="009F36F6" w14:paraId="181326BB"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47F4A3EF" w14:textId="77777777" w:rsidR="009F36F6" w:rsidRPr="00A07F1A" w:rsidRDefault="009F36F6" w:rsidP="00204DF0">
            <w:pPr>
              <w:pStyle w:val="TableofAuthorities"/>
            </w:pPr>
            <w:r w:rsidRPr="00A07F1A">
              <w:t>Level 2</w:t>
            </w:r>
          </w:p>
        </w:tc>
        <w:tc>
          <w:tcPr>
            <w:tcW w:w="1432" w:type="dxa"/>
            <w:hideMark/>
          </w:tcPr>
          <w:p w14:paraId="0F41E484" w14:textId="053589A7"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51,496</w:t>
            </w:r>
          </w:p>
        </w:tc>
        <w:tc>
          <w:tcPr>
            <w:tcW w:w="1432" w:type="dxa"/>
            <w:hideMark/>
          </w:tcPr>
          <w:p w14:paraId="6DE84383" w14:textId="1A42F18A"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47,734</w:t>
            </w:r>
          </w:p>
        </w:tc>
        <w:tc>
          <w:tcPr>
            <w:tcW w:w="1432" w:type="dxa"/>
            <w:hideMark/>
          </w:tcPr>
          <w:p w14:paraId="0272F533" w14:textId="14C1A1DE"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58,842</w:t>
            </w:r>
          </w:p>
        </w:tc>
        <w:tc>
          <w:tcPr>
            <w:tcW w:w="1432" w:type="dxa"/>
            <w:hideMark/>
          </w:tcPr>
          <w:p w14:paraId="0F355BB4" w14:textId="7B8FAF8C"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71,020</w:t>
            </w:r>
          </w:p>
        </w:tc>
        <w:tc>
          <w:tcPr>
            <w:cnfStyle w:val="000100000000" w:firstRow="0" w:lastRow="0" w:firstColumn="0" w:lastColumn="1" w:oddVBand="0" w:evenVBand="0" w:oddHBand="0" w:evenHBand="0" w:firstRowFirstColumn="0" w:firstRowLastColumn="0" w:lastRowFirstColumn="0" w:lastRowLastColumn="0"/>
            <w:tcW w:w="1432" w:type="dxa"/>
            <w:hideMark/>
          </w:tcPr>
          <w:p w14:paraId="0D0BC863" w14:textId="568EB2BC" w:rsidR="009F36F6" w:rsidRPr="00A07F1A" w:rsidRDefault="009F36F6" w:rsidP="00204DF0">
            <w:pPr>
              <w:pStyle w:val="TableofAuthorities"/>
            </w:pPr>
            <w:r w:rsidRPr="00A07F1A">
              <w:t>88,993</w:t>
            </w:r>
          </w:p>
        </w:tc>
      </w:tr>
      <w:tr w:rsidR="009F36F6" w:rsidRPr="009F36F6" w14:paraId="26F5FAF8"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31C18038" w14:textId="77777777" w:rsidR="009F36F6" w:rsidRPr="00A07F1A" w:rsidRDefault="009F36F6" w:rsidP="00204DF0">
            <w:pPr>
              <w:pStyle w:val="TableofAuthorities"/>
            </w:pPr>
            <w:r w:rsidRPr="00A07F1A">
              <w:t>Level 3</w:t>
            </w:r>
          </w:p>
        </w:tc>
        <w:tc>
          <w:tcPr>
            <w:tcW w:w="1432" w:type="dxa"/>
            <w:hideMark/>
          </w:tcPr>
          <w:p w14:paraId="6760A53B" w14:textId="71EE8D31"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12,693</w:t>
            </w:r>
          </w:p>
        </w:tc>
        <w:tc>
          <w:tcPr>
            <w:tcW w:w="1432" w:type="dxa"/>
            <w:hideMark/>
          </w:tcPr>
          <w:p w14:paraId="01AFADD1" w14:textId="1538FF52"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20,193</w:t>
            </w:r>
          </w:p>
        </w:tc>
        <w:tc>
          <w:tcPr>
            <w:tcW w:w="1432" w:type="dxa"/>
            <w:hideMark/>
          </w:tcPr>
          <w:p w14:paraId="4BABD52F" w14:textId="69D5F5DD"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29,336</w:t>
            </w:r>
          </w:p>
        </w:tc>
        <w:tc>
          <w:tcPr>
            <w:tcW w:w="1432" w:type="dxa"/>
            <w:hideMark/>
          </w:tcPr>
          <w:p w14:paraId="1A1E5700" w14:textId="524E8991"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45,603</w:t>
            </w:r>
          </w:p>
        </w:tc>
        <w:tc>
          <w:tcPr>
            <w:cnfStyle w:val="000100000000" w:firstRow="0" w:lastRow="0" w:firstColumn="0" w:lastColumn="1" w:oddVBand="0" w:evenVBand="0" w:oddHBand="0" w:evenHBand="0" w:firstRowFirstColumn="0" w:firstRowLastColumn="0" w:lastRowFirstColumn="0" w:lastRowLastColumn="0"/>
            <w:tcW w:w="1432" w:type="dxa"/>
            <w:hideMark/>
          </w:tcPr>
          <w:p w14:paraId="18FC6D33" w14:textId="596D70D6" w:rsidR="009F36F6" w:rsidRPr="00A07F1A" w:rsidRDefault="009F36F6" w:rsidP="00204DF0">
            <w:pPr>
              <w:pStyle w:val="TableofAuthorities"/>
            </w:pPr>
            <w:r w:rsidRPr="00A07F1A">
              <w:t>67,053</w:t>
            </w:r>
          </w:p>
        </w:tc>
      </w:tr>
      <w:tr w:rsidR="009F36F6" w:rsidRPr="009F36F6" w14:paraId="1A211843"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45A9D3D6" w14:textId="77777777" w:rsidR="009F36F6" w:rsidRPr="00A07F1A" w:rsidRDefault="009F36F6" w:rsidP="00204DF0">
            <w:pPr>
              <w:pStyle w:val="TableofAuthorities"/>
            </w:pPr>
            <w:r w:rsidRPr="00A07F1A">
              <w:t>Level 4</w:t>
            </w:r>
          </w:p>
        </w:tc>
        <w:tc>
          <w:tcPr>
            <w:tcW w:w="1432" w:type="dxa"/>
            <w:hideMark/>
          </w:tcPr>
          <w:p w14:paraId="1F30871F" w14:textId="67AB77DD"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22,817</w:t>
            </w:r>
          </w:p>
        </w:tc>
        <w:tc>
          <w:tcPr>
            <w:tcW w:w="1432" w:type="dxa"/>
            <w:hideMark/>
          </w:tcPr>
          <w:p w14:paraId="23BC6397" w14:textId="46A7AB81"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30,264</w:t>
            </w:r>
          </w:p>
        </w:tc>
        <w:tc>
          <w:tcPr>
            <w:tcW w:w="1432" w:type="dxa"/>
            <w:hideMark/>
          </w:tcPr>
          <w:p w14:paraId="0D455B98" w14:textId="06C52173"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37,840</w:t>
            </w:r>
          </w:p>
        </w:tc>
        <w:tc>
          <w:tcPr>
            <w:tcW w:w="1432" w:type="dxa"/>
            <w:hideMark/>
          </w:tcPr>
          <w:p w14:paraId="38D7917D" w14:textId="2A005552"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42,077</w:t>
            </w:r>
          </w:p>
        </w:tc>
        <w:tc>
          <w:tcPr>
            <w:cnfStyle w:val="000100000000" w:firstRow="0" w:lastRow="0" w:firstColumn="0" w:lastColumn="1" w:oddVBand="0" w:evenVBand="0" w:oddHBand="0" w:evenHBand="0" w:firstRowFirstColumn="0" w:firstRowLastColumn="0" w:lastRowFirstColumn="0" w:lastRowLastColumn="0"/>
            <w:tcW w:w="1432" w:type="dxa"/>
            <w:hideMark/>
          </w:tcPr>
          <w:p w14:paraId="40F535E3" w14:textId="62650B40" w:rsidR="009F36F6" w:rsidRPr="00A07F1A" w:rsidRDefault="009F36F6" w:rsidP="00204DF0">
            <w:pPr>
              <w:pStyle w:val="TableofAuthorities"/>
            </w:pPr>
            <w:r w:rsidRPr="00A07F1A">
              <w:t>48,020</w:t>
            </w:r>
          </w:p>
        </w:tc>
      </w:tr>
      <w:tr w:rsidR="009F36F6" w:rsidRPr="009F36F6" w14:paraId="41138048" w14:textId="77777777" w:rsidTr="00FF2819">
        <w:trPr>
          <w:trHeight w:val="335"/>
        </w:trPr>
        <w:tc>
          <w:tcPr>
            <w:cnfStyle w:val="001000000000" w:firstRow="0" w:lastRow="0" w:firstColumn="1" w:lastColumn="0" w:oddVBand="0" w:evenVBand="0" w:oddHBand="0" w:evenHBand="0" w:firstRowFirstColumn="0" w:firstRowLastColumn="0" w:lastRowFirstColumn="0" w:lastRowLastColumn="0"/>
            <w:tcW w:w="1997" w:type="dxa"/>
            <w:hideMark/>
          </w:tcPr>
          <w:p w14:paraId="02AC912B" w14:textId="77777777" w:rsidR="009F36F6" w:rsidRPr="00A07F1A" w:rsidRDefault="009F36F6" w:rsidP="00FF2819">
            <w:pPr>
              <w:pStyle w:val="TableofAuthorities"/>
            </w:pPr>
            <w:r w:rsidRPr="00A07F1A">
              <w:t>By Remoteness</w:t>
            </w:r>
          </w:p>
        </w:tc>
        <w:tc>
          <w:tcPr>
            <w:tcW w:w="1432" w:type="dxa"/>
            <w:hideMark/>
          </w:tcPr>
          <w:p w14:paraId="3149D565" w14:textId="77777777" w:rsidR="009F36F6" w:rsidRPr="00A07F1A" w:rsidRDefault="009F36F6" w:rsidP="00FF2819">
            <w:pPr>
              <w:pStyle w:val="TableofAuthorities"/>
              <w:cnfStyle w:val="000000000000" w:firstRow="0" w:lastRow="0" w:firstColumn="0" w:lastColumn="0" w:oddVBand="0" w:evenVBand="0" w:oddHBand="0" w:evenHBand="0" w:firstRowFirstColumn="0" w:firstRowLastColumn="0" w:lastRowFirstColumn="0" w:lastRowLastColumn="0"/>
            </w:pPr>
            <w:r w:rsidRPr="00A07F1A">
              <w:t> </w:t>
            </w:r>
          </w:p>
        </w:tc>
        <w:tc>
          <w:tcPr>
            <w:tcW w:w="1432" w:type="dxa"/>
            <w:hideMark/>
          </w:tcPr>
          <w:p w14:paraId="788C5510" w14:textId="77777777" w:rsidR="009F36F6" w:rsidRPr="00A07F1A" w:rsidRDefault="009F36F6" w:rsidP="00FF2819">
            <w:pPr>
              <w:pStyle w:val="TableofAuthorities"/>
              <w:cnfStyle w:val="000000000000" w:firstRow="0" w:lastRow="0" w:firstColumn="0" w:lastColumn="0" w:oddVBand="0" w:evenVBand="0" w:oddHBand="0" w:evenHBand="0" w:firstRowFirstColumn="0" w:firstRowLastColumn="0" w:lastRowFirstColumn="0" w:lastRowLastColumn="0"/>
            </w:pPr>
            <w:r w:rsidRPr="00A07F1A">
              <w:t> </w:t>
            </w:r>
          </w:p>
        </w:tc>
        <w:tc>
          <w:tcPr>
            <w:tcW w:w="1432" w:type="dxa"/>
            <w:hideMark/>
          </w:tcPr>
          <w:p w14:paraId="3AA841B2" w14:textId="77777777" w:rsidR="009F36F6" w:rsidRPr="00A07F1A" w:rsidRDefault="009F36F6" w:rsidP="00FF2819">
            <w:pPr>
              <w:pStyle w:val="TableofAuthorities"/>
              <w:cnfStyle w:val="000000000000" w:firstRow="0" w:lastRow="0" w:firstColumn="0" w:lastColumn="0" w:oddVBand="0" w:evenVBand="0" w:oddHBand="0" w:evenHBand="0" w:firstRowFirstColumn="0" w:firstRowLastColumn="0" w:lastRowFirstColumn="0" w:lastRowLastColumn="0"/>
            </w:pPr>
            <w:r w:rsidRPr="00A07F1A">
              <w:t> </w:t>
            </w:r>
          </w:p>
        </w:tc>
        <w:tc>
          <w:tcPr>
            <w:tcW w:w="1432" w:type="dxa"/>
            <w:hideMark/>
          </w:tcPr>
          <w:p w14:paraId="63ED1F4E" w14:textId="77777777" w:rsidR="009F36F6" w:rsidRPr="00A07F1A" w:rsidRDefault="009F36F6" w:rsidP="00FF2819">
            <w:pPr>
              <w:pStyle w:val="TableofAuthorities"/>
              <w:cnfStyle w:val="000000000000" w:firstRow="0" w:lastRow="0" w:firstColumn="0" w:lastColumn="0" w:oddVBand="0" w:evenVBand="0" w:oddHBand="0" w:evenHBand="0" w:firstRowFirstColumn="0" w:firstRowLastColumn="0" w:lastRowFirstColumn="0" w:lastRowLastColumn="0"/>
            </w:pPr>
            <w:r w:rsidRPr="00A07F1A">
              <w:t> </w:t>
            </w:r>
          </w:p>
        </w:tc>
        <w:tc>
          <w:tcPr>
            <w:cnfStyle w:val="000100000000" w:firstRow="0" w:lastRow="0" w:firstColumn="0" w:lastColumn="1" w:oddVBand="0" w:evenVBand="0" w:oddHBand="0" w:evenHBand="0" w:firstRowFirstColumn="0" w:firstRowLastColumn="0" w:lastRowFirstColumn="0" w:lastRowLastColumn="0"/>
            <w:tcW w:w="1432" w:type="dxa"/>
            <w:hideMark/>
          </w:tcPr>
          <w:p w14:paraId="1AD6E4C8" w14:textId="77777777" w:rsidR="009F36F6" w:rsidRPr="00A07F1A" w:rsidRDefault="009F36F6" w:rsidP="00FF2819">
            <w:pPr>
              <w:pStyle w:val="TableofAuthorities"/>
            </w:pPr>
            <w:r w:rsidRPr="00A07F1A">
              <w:t> </w:t>
            </w:r>
          </w:p>
        </w:tc>
      </w:tr>
      <w:tr w:rsidR="009F36F6" w:rsidRPr="009F36F6" w14:paraId="54D1E830"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242D29C4" w14:textId="77777777" w:rsidR="009F36F6" w:rsidRPr="00A07F1A" w:rsidRDefault="009F36F6" w:rsidP="00204DF0">
            <w:pPr>
              <w:pStyle w:val="TableofAuthorities"/>
            </w:pPr>
            <w:r w:rsidRPr="00A07F1A">
              <w:lastRenderedPageBreak/>
              <w:t>Major cities</w:t>
            </w:r>
          </w:p>
        </w:tc>
        <w:tc>
          <w:tcPr>
            <w:tcW w:w="1432" w:type="dxa"/>
            <w:hideMark/>
          </w:tcPr>
          <w:p w14:paraId="73A81559" w14:textId="26CD690A"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61,676</w:t>
            </w:r>
          </w:p>
        </w:tc>
        <w:tc>
          <w:tcPr>
            <w:tcW w:w="1432" w:type="dxa"/>
            <w:hideMark/>
          </w:tcPr>
          <w:p w14:paraId="1247ECAC" w14:textId="31436FB6"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72,903</w:t>
            </w:r>
          </w:p>
        </w:tc>
        <w:tc>
          <w:tcPr>
            <w:tcW w:w="1432" w:type="dxa"/>
            <w:hideMark/>
          </w:tcPr>
          <w:p w14:paraId="6C4F4757" w14:textId="44A1901F"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98,766</w:t>
            </w:r>
          </w:p>
        </w:tc>
        <w:tc>
          <w:tcPr>
            <w:tcW w:w="1432" w:type="dxa"/>
            <w:hideMark/>
          </w:tcPr>
          <w:p w14:paraId="3870D209" w14:textId="3F9A2A89"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123,022</w:t>
            </w:r>
          </w:p>
        </w:tc>
        <w:tc>
          <w:tcPr>
            <w:cnfStyle w:val="000100000000" w:firstRow="0" w:lastRow="0" w:firstColumn="0" w:lastColumn="1" w:oddVBand="0" w:evenVBand="0" w:oddHBand="0" w:evenHBand="0" w:firstRowFirstColumn="0" w:firstRowLastColumn="0" w:lastRowFirstColumn="0" w:lastRowLastColumn="0"/>
            <w:tcW w:w="1432" w:type="dxa"/>
            <w:hideMark/>
          </w:tcPr>
          <w:p w14:paraId="5B367FCE" w14:textId="3AD6ED94" w:rsidR="009F36F6" w:rsidRPr="00A07F1A" w:rsidRDefault="009F36F6" w:rsidP="00204DF0">
            <w:pPr>
              <w:pStyle w:val="TableofAuthorities"/>
            </w:pPr>
            <w:r w:rsidRPr="00A07F1A">
              <w:t>152,729</w:t>
            </w:r>
          </w:p>
        </w:tc>
      </w:tr>
      <w:tr w:rsidR="009F36F6" w:rsidRPr="009F36F6" w14:paraId="14AB63C2"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13C557ED" w14:textId="77777777" w:rsidR="009F36F6" w:rsidRPr="00A07F1A" w:rsidRDefault="009F36F6" w:rsidP="00204DF0">
            <w:pPr>
              <w:pStyle w:val="TableofAuthorities"/>
            </w:pPr>
            <w:r w:rsidRPr="00A07F1A">
              <w:t>Inner regional</w:t>
            </w:r>
          </w:p>
        </w:tc>
        <w:tc>
          <w:tcPr>
            <w:tcW w:w="1432" w:type="dxa"/>
            <w:hideMark/>
          </w:tcPr>
          <w:p w14:paraId="14CAD473" w14:textId="495040A9"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23,037</w:t>
            </w:r>
          </w:p>
        </w:tc>
        <w:tc>
          <w:tcPr>
            <w:tcW w:w="1432" w:type="dxa"/>
            <w:hideMark/>
          </w:tcPr>
          <w:p w14:paraId="4444FFD7" w14:textId="0321731C"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26,147</w:t>
            </w:r>
          </w:p>
        </w:tc>
        <w:tc>
          <w:tcPr>
            <w:tcW w:w="1432" w:type="dxa"/>
            <w:hideMark/>
          </w:tcPr>
          <w:p w14:paraId="2617C08F" w14:textId="2EA9D6C8"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32,257</w:t>
            </w:r>
          </w:p>
        </w:tc>
        <w:tc>
          <w:tcPr>
            <w:tcW w:w="1432" w:type="dxa"/>
            <w:hideMark/>
          </w:tcPr>
          <w:p w14:paraId="7843058A" w14:textId="185EB00D"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36,632</w:t>
            </w:r>
          </w:p>
        </w:tc>
        <w:tc>
          <w:tcPr>
            <w:cnfStyle w:val="000100000000" w:firstRow="0" w:lastRow="0" w:firstColumn="0" w:lastColumn="1" w:oddVBand="0" w:evenVBand="0" w:oddHBand="0" w:evenHBand="0" w:firstRowFirstColumn="0" w:firstRowLastColumn="0" w:lastRowFirstColumn="0" w:lastRowLastColumn="0"/>
            <w:tcW w:w="1432" w:type="dxa"/>
            <w:hideMark/>
          </w:tcPr>
          <w:p w14:paraId="3E3865EF" w14:textId="52B66895" w:rsidR="009F36F6" w:rsidRPr="00A07F1A" w:rsidRDefault="009F36F6" w:rsidP="00204DF0">
            <w:pPr>
              <w:pStyle w:val="TableofAuthorities"/>
            </w:pPr>
            <w:r w:rsidRPr="00A07F1A">
              <w:t>41,990</w:t>
            </w:r>
          </w:p>
        </w:tc>
      </w:tr>
      <w:tr w:rsidR="009F36F6" w:rsidRPr="009F36F6" w14:paraId="26EADBCA"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0E1ECC77" w14:textId="77777777" w:rsidR="009F36F6" w:rsidRPr="00A07F1A" w:rsidRDefault="009F36F6" w:rsidP="00204DF0">
            <w:pPr>
              <w:pStyle w:val="TableofAuthorities"/>
            </w:pPr>
            <w:r w:rsidRPr="00A07F1A">
              <w:t>Outer regional</w:t>
            </w:r>
          </w:p>
        </w:tc>
        <w:tc>
          <w:tcPr>
            <w:tcW w:w="1432" w:type="dxa"/>
            <w:hideMark/>
          </w:tcPr>
          <w:p w14:paraId="4E96B38B" w14:textId="32859274"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6,054</w:t>
            </w:r>
          </w:p>
        </w:tc>
        <w:tc>
          <w:tcPr>
            <w:tcW w:w="1432" w:type="dxa"/>
            <w:hideMark/>
          </w:tcPr>
          <w:p w14:paraId="0672ABD3" w14:textId="3549B26B"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6,560</w:t>
            </w:r>
          </w:p>
        </w:tc>
        <w:tc>
          <w:tcPr>
            <w:tcW w:w="1432" w:type="dxa"/>
            <w:hideMark/>
          </w:tcPr>
          <w:p w14:paraId="78366656" w14:textId="077500BC"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10,194</w:t>
            </w:r>
          </w:p>
        </w:tc>
        <w:tc>
          <w:tcPr>
            <w:tcW w:w="1432" w:type="dxa"/>
            <w:hideMark/>
          </w:tcPr>
          <w:p w14:paraId="5A00E348" w14:textId="039493E1"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15,087</w:t>
            </w:r>
          </w:p>
        </w:tc>
        <w:tc>
          <w:tcPr>
            <w:cnfStyle w:val="000100000000" w:firstRow="0" w:lastRow="0" w:firstColumn="0" w:lastColumn="1" w:oddVBand="0" w:evenVBand="0" w:oddHBand="0" w:evenHBand="0" w:firstRowFirstColumn="0" w:firstRowLastColumn="0" w:lastRowFirstColumn="0" w:lastRowLastColumn="0"/>
            <w:tcW w:w="1432" w:type="dxa"/>
            <w:hideMark/>
          </w:tcPr>
          <w:p w14:paraId="6F1C2CAD" w14:textId="4AFFCF09" w:rsidR="009F36F6" w:rsidRPr="00A07F1A" w:rsidRDefault="009F36F6" w:rsidP="00204DF0">
            <w:pPr>
              <w:pStyle w:val="TableofAuthorities"/>
            </w:pPr>
            <w:r w:rsidRPr="00A07F1A">
              <w:t>19,151</w:t>
            </w:r>
          </w:p>
        </w:tc>
      </w:tr>
      <w:tr w:rsidR="009F36F6" w:rsidRPr="009F36F6" w14:paraId="34F33F65"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1AFEA070" w14:textId="77777777" w:rsidR="009F36F6" w:rsidRPr="00A07F1A" w:rsidRDefault="009F36F6" w:rsidP="00204DF0">
            <w:pPr>
              <w:pStyle w:val="TableofAuthorities"/>
            </w:pPr>
            <w:r w:rsidRPr="00A07F1A">
              <w:t>Remote</w:t>
            </w:r>
          </w:p>
        </w:tc>
        <w:tc>
          <w:tcPr>
            <w:tcW w:w="1432" w:type="dxa"/>
            <w:hideMark/>
          </w:tcPr>
          <w:p w14:paraId="355DAA2D" w14:textId="0F1EFABB"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616</w:t>
            </w:r>
          </w:p>
        </w:tc>
        <w:tc>
          <w:tcPr>
            <w:tcW w:w="1432" w:type="dxa"/>
            <w:hideMark/>
          </w:tcPr>
          <w:p w14:paraId="655650BE" w14:textId="674E8405"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671</w:t>
            </w:r>
          </w:p>
        </w:tc>
        <w:tc>
          <w:tcPr>
            <w:tcW w:w="1432" w:type="dxa"/>
            <w:hideMark/>
          </w:tcPr>
          <w:p w14:paraId="3B648568" w14:textId="7A82D010"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823</w:t>
            </w:r>
          </w:p>
        </w:tc>
        <w:tc>
          <w:tcPr>
            <w:tcW w:w="1432" w:type="dxa"/>
            <w:hideMark/>
          </w:tcPr>
          <w:p w14:paraId="1A5EAE57" w14:textId="75F9D835"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960</w:t>
            </w:r>
          </w:p>
        </w:tc>
        <w:tc>
          <w:tcPr>
            <w:cnfStyle w:val="000100000000" w:firstRow="0" w:lastRow="0" w:firstColumn="0" w:lastColumn="1" w:oddVBand="0" w:evenVBand="0" w:oddHBand="0" w:evenHBand="0" w:firstRowFirstColumn="0" w:firstRowLastColumn="0" w:lastRowFirstColumn="0" w:lastRowLastColumn="0"/>
            <w:tcW w:w="1432" w:type="dxa"/>
            <w:hideMark/>
          </w:tcPr>
          <w:p w14:paraId="3D5304FD" w14:textId="59667769" w:rsidR="009F36F6" w:rsidRPr="00A07F1A" w:rsidRDefault="009F36F6" w:rsidP="00204DF0">
            <w:pPr>
              <w:pStyle w:val="TableofAuthorities"/>
            </w:pPr>
            <w:r w:rsidRPr="00A07F1A">
              <w:t>1,149</w:t>
            </w:r>
          </w:p>
        </w:tc>
      </w:tr>
      <w:tr w:rsidR="009F36F6" w:rsidRPr="009F36F6" w14:paraId="4EF7BDAE"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72D3C53A" w14:textId="77777777" w:rsidR="009F36F6" w:rsidRPr="00A07F1A" w:rsidRDefault="009F36F6" w:rsidP="00204DF0">
            <w:pPr>
              <w:pStyle w:val="TableofAuthorities"/>
            </w:pPr>
            <w:r w:rsidRPr="00A07F1A">
              <w:t>Very remote</w:t>
            </w:r>
          </w:p>
        </w:tc>
        <w:tc>
          <w:tcPr>
            <w:tcW w:w="1432" w:type="dxa"/>
            <w:hideMark/>
          </w:tcPr>
          <w:p w14:paraId="41424379" w14:textId="1E827DC0"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464</w:t>
            </w:r>
          </w:p>
        </w:tc>
        <w:tc>
          <w:tcPr>
            <w:tcW w:w="1432" w:type="dxa"/>
            <w:hideMark/>
          </w:tcPr>
          <w:p w14:paraId="2623471C" w14:textId="4A2B99CB"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426</w:t>
            </w:r>
          </w:p>
        </w:tc>
        <w:tc>
          <w:tcPr>
            <w:tcW w:w="1432" w:type="dxa"/>
            <w:hideMark/>
          </w:tcPr>
          <w:p w14:paraId="326BC1F5" w14:textId="05B7E2C2"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394</w:t>
            </w:r>
          </w:p>
        </w:tc>
        <w:tc>
          <w:tcPr>
            <w:tcW w:w="1432" w:type="dxa"/>
            <w:hideMark/>
          </w:tcPr>
          <w:p w14:paraId="6AFCA41A" w14:textId="0CE84F4F"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404</w:t>
            </w:r>
          </w:p>
        </w:tc>
        <w:tc>
          <w:tcPr>
            <w:cnfStyle w:val="000100000000" w:firstRow="0" w:lastRow="0" w:firstColumn="0" w:lastColumn="1" w:oddVBand="0" w:evenVBand="0" w:oddHBand="0" w:evenHBand="0" w:firstRowFirstColumn="0" w:firstRowLastColumn="0" w:lastRowFirstColumn="0" w:lastRowLastColumn="0"/>
            <w:tcW w:w="1432" w:type="dxa"/>
            <w:hideMark/>
          </w:tcPr>
          <w:p w14:paraId="793059F3" w14:textId="42B5F435" w:rsidR="009F36F6" w:rsidRPr="00A07F1A" w:rsidRDefault="009F36F6" w:rsidP="00204DF0">
            <w:pPr>
              <w:pStyle w:val="TableofAuthorities"/>
            </w:pPr>
            <w:r w:rsidRPr="00A07F1A">
              <w:t>724</w:t>
            </w:r>
          </w:p>
        </w:tc>
      </w:tr>
      <w:tr w:rsidR="009F36F6" w:rsidRPr="00FF2819" w14:paraId="2A76617F"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1134A68A" w14:textId="77777777" w:rsidR="009F36F6" w:rsidRPr="00FF2819" w:rsidRDefault="009F36F6" w:rsidP="00FF2819">
            <w:pPr>
              <w:pStyle w:val="TableParagraphbold"/>
            </w:pPr>
            <w:r w:rsidRPr="00FF2819">
              <w:t>By Provider type</w:t>
            </w:r>
          </w:p>
        </w:tc>
        <w:tc>
          <w:tcPr>
            <w:tcW w:w="1432" w:type="dxa"/>
            <w:hideMark/>
          </w:tcPr>
          <w:p w14:paraId="2BE5A5F2" w14:textId="77777777" w:rsidR="009F36F6" w:rsidRPr="00FF2819" w:rsidRDefault="009F36F6" w:rsidP="00FF2819">
            <w:pPr>
              <w:pStyle w:val="TableParagraphbold"/>
              <w:cnfStyle w:val="000000000000" w:firstRow="0" w:lastRow="0" w:firstColumn="0" w:lastColumn="0" w:oddVBand="0" w:evenVBand="0" w:oddHBand="0" w:evenHBand="0" w:firstRowFirstColumn="0" w:firstRowLastColumn="0" w:lastRowFirstColumn="0" w:lastRowLastColumn="0"/>
            </w:pPr>
            <w:r w:rsidRPr="00FF2819">
              <w:t> </w:t>
            </w:r>
          </w:p>
        </w:tc>
        <w:tc>
          <w:tcPr>
            <w:tcW w:w="1432" w:type="dxa"/>
            <w:hideMark/>
          </w:tcPr>
          <w:p w14:paraId="241BF607" w14:textId="77777777" w:rsidR="009F36F6" w:rsidRPr="00FF2819" w:rsidRDefault="009F36F6" w:rsidP="00FF2819">
            <w:pPr>
              <w:pStyle w:val="TableParagraphbold"/>
              <w:cnfStyle w:val="000000000000" w:firstRow="0" w:lastRow="0" w:firstColumn="0" w:lastColumn="0" w:oddVBand="0" w:evenVBand="0" w:oddHBand="0" w:evenHBand="0" w:firstRowFirstColumn="0" w:firstRowLastColumn="0" w:lastRowFirstColumn="0" w:lastRowLastColumn="0"/>
            </w:pPr>
            <w:r w:rsidRPr="00FF2819">
              <w:t> </w:t>
            </w:r>
          </w:p>
        </w:tc>
        <w:tc>
          <w:tcPr>
            <w:tcW w:w="1432" w:type="dxa"/>
            <w:hideMark/>
          </w:tcPr>
          <w:p w14:paraId="5FBA3E76" w14:textId="77777777" w:rsidR="009F36F6" w:rsidRPr="00FF2819" w:rsidRDefault="009F36F6" w:rsidP="00FF2819">
            <w:pPr>
              <w:pStyle w:val="TableParagraphbold"/>
              <w:cnfStyle w:val="000000000000" w:firstRow="0" w:lastRow="0" w:firstColumn="0" w:lastColumn="0" w:oddVBand="0" w:evenVBand="0" w:oddHBand="0" w:evenHBand="0" w:firstRowFirstColumn="0" w:firstRowLastColumn="0" w:lastRowFirstColumn="0" w:lastRowLastColumn="0"/>
            </w:pPr>
            <w:r w:rsidRPr="00FF2819">
              <w:t> </w:t>
            </w:r>
          </w:p>
        </w:tc>
        <w:tc>
          <w:tcPr>
            <w:tcW w:w="1432" w:type="dxa"/>
            <w:hideMark/>
          </w:tcPr>
          <w:p w14:paraId="06FB1F7E" w14:textId="77777777" w:rsidR="009F36F6" w:rsidRPr="00FF2819" w:rsidRDefault="009F36F6" w:rsidP="00FF2819">
            <w:pPr>
              <w:pStyle w:val="TableParagraphbold"/>
              <w:cnfStyle w:val="000000000000" w:firstRow="0" w:lastRow="0" w:firstColumn="0" w:lastColumn="0" w:oddVBand="0" w:evenVBand="0" w:oddHBand="0" w:evenHBand="0" w:firstRowFirstColumn="0" w:firstRowLastColumn="0" w:lastRowFirstColumn="0" w:lastRowLastColumn="0"/>
            </w:pPr>
            <w:r w:rsidRPr="00FF2819">
              <w:t> </w:t>
            </w:r>
          </w:p>
        </w:tc>
        <w:tc>
          <w:tcPr>
            <w:cnfStyle w:val="000100000000" w:firstRow="0" w:lastRow="0" w:firstColumn="0" w:lastColumn="1" w:oddVBand="0" w:evenVBand="0" w:oddHBand="0" w:evenHBand="0" w:firstRowFirstColumn="0" w:firstRowLastColumn="0" w:lastRowFirstColumn="0" w:lastRowLastColumn="0"/>
            <w:tcW w:w="1432" w:type="dxa"/>
            <w:hideMark/>
          </w:tcPr>
          <w:p w14:paraId="6AF3EA74" w14:textId="77777777" w:rsidR="009F36F6" w:rsidRPr="00FF2819" w:rsidRDefault="009F36F6" w:rsidP="00FF2819">
            <w:pPr>
              <w:pStyle w:val="TableParagraphbold"/>
            </w:pPr>
            <w:r w:rsidRPr="00FF2819">
              <w:t> </w:t>
            </w:r>
          </w:p>
        </w:tc>
      </w:tr>
      <w:tr w:rsidR="009F36F6" w:rsidRPr="009F36F6" w14:paraId="55EE596D"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1A871AA2" w14:textId="77777777" w:rsidR="009F36F6" w:rsidRPr="00A07F1A" w:rsidRDefault="009F36F6" w:rsidP="00204DF0">
            <w:pPr>
              <w:pStyle w:val="TableofAuthorities"/>
            </w:pPr>
            <w:r w:rsidRPr="00A07F1A">
              <w:t>For-profit</w:t>
            </w:r>
          </w:p>
        </w:tc>
        <w:tc>
          <w:tcPr>
            <w:tcW w:w="1432" w:type="dxa"/>
            <w:hideMark/>
          </w:tcPr>
          <w:p w14:paraId="4C1575FE" w14:textId="16F21C0C"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15,545</w:t>
            </w:r>
          </w:p>
        </w:tc>
        <w:tc>
          <w:tcPr>
            <w:tcW w:w="1432" w:type="dxa"/>
            <w:hideMark/>
          </w:tcPr>
          <w:p w14:paraId="6E5C7380" w14:textId="79E31038"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22,317</w:t>
            </w:r>
          </w:p>
        </w:tc>
        <w:tc>
          <w:tcPr>
            <w:tcW w:w="1432" w:type="dxa"/>
            <w:hideMark/>
          </w:tcPr>
          <w:p w14:paraId="6BC7FAB8" w14:textId="3F4DE88D"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37,043</w:t>
            </w:r>
          </w:p>
        </w:tc>
        <w:tc>
          <w:tcPr>
            <w:tcW w:w="1432" w:type="dxa"/>
            <w:hideMark/>
          </w:tcPr>
          <w:p w14:paraId="71EA638B" w14:textId="2ADF3008"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52,942</w:t>
            </w:r>
          </w:p>
        </w:tc>
        <w:tc>
          <w:tcPr>
            <w:cnfStyle w:val="000100000000" w:firstRow="0" w:lastRow="0" w:firstColumn="0" w:lastColumn="1" w:oddVBand="0" w:evenVBand="0" w:oddHBand="0" w:evenHBand="0" w:firstRowFirstColumn="0" w:firstRowLastColumn="0" w:lastRowFirstColumn="0" w:lastRowLastColumn="0"/>
            <w:tcW w:w="1432" w:type="dxa"/>
            <w:hideMark/>
          </w:tcPr>
          <w:p w14:paraId="47F9D1B1" w14:textId="4F426F55" w:rsidR="009F36F6" w:rsidRPr="00A07F1A" w:rsidRDefault="009F36F6" w:rsidP="00204DF0">
            <w:pPr>
              <w:pStyle w:val="TableofAuthorities"/>
            </w:pPr>
            <w:r w:rsidRPr="00A07F1A">
              <w:t>71,563</w:t>
            </w:r>
          </w:p>
        </w:tc>
      </w:tr>
      <w:tr w:rsidR="009F36F6" w:rsidRPr="009F36F6" w14:paraId="5C5B247D"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33E99A8B" w14:textId="77777777" w:rsidR="009F36F6" w:rsidRPr="00A07F1A" w:rsidRDefault="009F36F6" w:rsidP="00204DF0">
            <w:pPr>
              <w:pStyle w:val="TableofAuthorities"/>
            </w:pPr>
            <w:r w:rsidRPr="00A07F1A">
              <w:t>Not-for profit</w:t>
            </w:r>
          </w:p>
        </w:tc>
        <w:tc>
          <w:tcPr>
            <w:tcW w:w="1432" w:type="dxa"/>
            <w:hideMark/>
          </w:tcPr>
          <w:p w14:paraId="23DA8836" w14:textId="612ABAD2"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69,944</w:t>
            </w:r>
          </w:p>
        </w:tc>
        <w:tc>
          <w:tcPr>
            <w:tcW w:w="1432" w:type="dxa"/>
            <w:hideMark/>
          </w:tcPr>
          <w:p w14:paraId="11A83E8F" w14:textId="505F7A49"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77,156</w:t>
            </w:r>
          </w:p>
        </w:tc>
        <w:tc>
          <w:tcPr>
            <w:tcW w:w="1432" w:type="dxa"/>
            <w:hideMark/>
          </w:tcPr>
          <w:p w14:paraId="7E74BD9A" w14:textId="0F1915A1"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96,185</w:t>
            </w:r>
          </w:p>
        </w:tc>
        <w:tc>
          <w:tcPr>
            <w:tcW w:w="1432" w:type="dxa"/>
            <w:hideMark/>
          </w:tcPr>
          <w:p w14:paraId="5F9AABFD" w14:textId="0F782466"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112,422</w:t>
            </w:r>
          </w:p>
        </w:tc>
        <w:tc>
          <w:tcPr>
            <w:cnfStyle w:val="000100000000" w:firstRow="0" w:lastRow="0" w:firstColumn="0" w:lastColumn="1" w:oddVBand="0" w:evenVBand="0" w:oddHBand="0" w:evenHBand="0" w:firstRowFirstColumn="0" w:firstRowLastColumn="0" w:lastRowFirstColumn="0" w:lastRowLastColumn="0"/>
            <w:tcW w:w="1432" w:type="dxa"/>
            <w:hideMark/>
          </w:tcPr>
          <w:p w14:paraId="4BC4EA3E" w14:textId="6AD88521" w:rsidR="009F36F6" w:rsidRPr="00A07F1A" w:rsidRDefault="009F36F6" w:rsidP="00204DF0">
            <w:pPr>
              <w:pStyle w:val="TableofAuthorities"/>
            </w:pPr>
            <w:r w:rsidRPr="00A07F1A">
              <w:t>131,980</w:t>
            </w:r>
          </w:p>
        </w:tc>
      </w:tr>
      <w:tr w:rsidR="009F36F6" w:rsidRPr="009F36F6" w14:paraId="50AB9B54" w14:textId="77777777" w:rsidTr="00FF2819">
        <w:trPr>
          <w:trHeight w:val="313"/>
        </w:trPr>
        <w:tc>
          <w:tcPr>
            <w:cnfStyle w:val="001000000000" w:firstRow="0" w:lastRow="0" w:firstColumn="1" w:lastColumn="0" w:oddVBand="0" w:evenVBand="0" w:oddHBand="0" w:evenHBand="0" w:firstRowFirstColumn="0" w:firstRowLastColumn="0" w:lastRowFirstColumn="0" w:lastRowLastColumn="0"/>
            <w:tcW w:w="1997" w:type="dxa"/>
            <w:hideMark/>
          </w:tcPr>
          <w:p w14:paraId="2F93B2B1" w14:textId="77777777" w:rsidR="009F36F6" w:rsidRPr="00A07F1A" w:rsidRDefault="009F36F6" w:rsidP="00204DF0">
            <w:pPr>
              <w:pStyle w:val="TableofAuthorities"/>
            </w:pPr>
            <w:r w:rsidRPr="00A07F1A">
              <w:t>LST government</w:t>
            </w:r>
          </w:p>
        </w:tc>
        <w:tc>
          <w:tcPr>
            <w:tcW w:w="1432" w:type="dxa"/>
            <w:hideMark/>
          </w:tcPr>
          <w:p w14:paraId="503AFDA0" w14:textId="086B7C0C"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6,358</w:t>
            </w:r>
          </w:p>
        </w:tc>
        <w:tc>
          <w:tcPr>
            <w:tcW w:w="1432" w:type="dxa"/>
            <w:hideMark/>
          </w:tcPr>
          <w:p w14:paraId="0220CE5A" w14:textId="6F5AC604"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7,234</w:t>
            </w:r>
          </w:p>
        </w:tc>
        <w:tc>
          <w:tcPr>
            <w:tcW w:w="1432" w:type="dxa"/>
            <w:hideMark/>
          </w:tcPr>
          <w:p w14:paraId="3F990366" w14:textId="205B7316"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9,208</w:t>
            </w:r>
          </w:p>
        </w:tc>
        <w:tc>
          <w:tcPr>
            <w:tcW w:w="1432" w:type="dxa"/>
            <w:hideMark/>
          </w:tcPr>
          <w:p w14:paraId="6C243C71" w14:textId="5DE11E7C" w:rsidR="009F36F6" w:rsidRPr="00A07F1A" w:rsidRDefault="009F36F6" w:rsidP="00204DF0">
            <w:pPr>
              <w:pStyle w:val="TableofAuthorities"/>
              <w:cnfStyle w:val="000000000000" w:firstRow="0" w:lastRow="0" w:firstColumn="0" w:lastColumn="0" w:oddVBand="0" w:evenVBand="0" w:oddHBand="0" w:evenHBand="0" w:firstRowFirstColumn="0" w:firstRowLastColumn="0" w:lastRowFirstColumn="0" w:lastRowLastColumn="0"/>
            </w:pPr>
            <w:r w:rsidRPr="00A07F1A">
              <w:t>10,741</w:t>
            </w:r>
          </w:p>
        </w:tc>
        <w:tc>
          <w:tcPr>
            <w:cnfStyle w:val="000100000000" w:firstRow="0" w:lastRow="0" w:firstColumn="0" w:lastColumn="1" w:oddVBand="0" w:evenVBand="0" w:oddHBand="0" w:evenHBand="0" w:firstRowFirstColumn="0" w:firstRowLastColumn="0" w:lastRowFirstColumn="0" w:lastRowLastColumn="0"/>
            <w:tcW w:w="1432" w:type="dxa"/>
            <w:hideMark/>
          </w:tcPr>
          <w:p w14:paraId="452FAA78" w14:textId="5EA2F764" w:rsidR="009F36F6" w:rsidRPr="00A07F1A" w:rsidRDefault="009F36F6" w:rsidP="00204DF0">
            <w:pPr>
              <w:pStyle w:val="TableofAuthorities"/>
            </w:pPr>
            <w:r w:rsidRPr="00A07F1A">
              <w:t>12,200</w:t>
            </w:r>
          </w:p>
        </w:tc>
      </w:tr>
    </w:tbl>
    <w:p w14:paraId="2F8931FE" w14:textId="356B4D6A" w:rsidR="00135490" w:rsidRDefault="00135490" w:rsidP="00484658">
      <w:pPr>
        <w:rPr>
          <w:rFonts w:ascii="Times New Roman" w:hAnsi="Times New Roman"/>
          <w:color w:val="auto"/>
          <w:sz w:val="20"/>
          <w:szCs w:val="20"/>
          <w:lang w:eastAsia="en-AU"/>
        </w:rPr>
      </w:pPr>
      <w:r>
        <w:fldChar w:fldCharType="begin"/>
      </w:r>
      <w:r>
        <w:instrText xml:space="preserve"> LINK Excel.Sheet.12 "https://healthgov.sharepoint.com/sites/MAS/Shared%20Documents/Financial%20Report%20on%20the%20Australian%20Aged%20Care%20Sector/FRAACS%202021-22/Data%20Inputs/Updated%20Structure/Current%20Data%20Books/DRAFT_home_care_chapter.xlsx%20V1.xlsx" "Chart 2.1!R7C15:R15C20" \a \f 4 \h  \* MERGEFORMAT </w:instrText>
      </w:r>
      <w:r>
        <w:fldChar w:fldCharType="separate"/>
      </w:r>
    </w:p>
    <w:p w14:paraId="7A9F66B1" w14:textId="49831710" w:rsidR="00A13D15" w:rsidRPr="00484658" w:rsidRDefault="00135490" w:rsidP="00484658">
      <w:pPr>
        <w:pStyle w:val="Heading3"/>
      </w:pPr>
      <w:r>
        <w:fldChar w:fldCharType="end"/>
      </w:r>
      <w:r w:rsidR="00A13D15" w:rsidRPr="00484658">
        <w:t xml:space="preserve">Length of stay in home </w:t>
      </w:r>
      <w:proofErr w:type="gramStart"/>
      <w:r w:rsidR="00A13D15" w:rsidRPr="00484658">
        <w:t>care</w:t>
      </w:r>
      <w:proofErr w:type="gramEnd"/>
    </w:p>
    <w:p w14:paraId="284629FD" w14:textId="3F93571F" w:rsidR="00CA7759" w:rsidRPr="00355538" w:rsidRDefault="00387EE9" w:rsidP="003D717D">
      <w:r>
        <w:rPr>
          <w:color w:val="FF0000"/>
        </w:rPr>
        <w:fldChar w:fldCharType="begin"/>
      </w:r>
      <w:r>
        <w:rPr>
          <w:color w:val="FF0000"/>
        </w:rPr>
        <w:instrText xml:space="preserve"> REF _Ref139541001 \h </w:instrText>
      </w:r>
      <w:r w:rsidR="003D717D">
        <w:rPr>
          <w:color w:val="FF0000"/>
        </w:rPr>
        <w:instrText xml:space="preserve"> \* MERGEFORMAT </w:instrText>
      </w:r>
      <w:r>
        <w:rPr>
          <w:color w:val="FF0000"/>
        </w:rPr>
      </w:r>
      <w:r>
        <w:rPr>
          <w:color w:val="FF0000"/>
        </w:rPr>
        <w:fldChar w:fldCharType="separate"/>
      </w:r>
      <w:r w:rsidR="00294B02">
        <w:t xml:space="preserve">Chart </w:t>
      </w:r>
      <w:r w:rsidR="00294B02">
        <w:rPr>
          <w:noProof/>
        </w:rPr>
        <w:t>1</w:t>
      </w:r>
      <w:r w:rsidR="00294B02">
        <w:t>.</w:t>
      </w:r>
      <w:r w:rsidR="00294B02">
        <w:rPr>
          <w:noProof/>
        </w:rPr>
        <w:t>1</w:t>
      </w:r>
      <w:r>
        <w:rPr>
          <w:color w:val="FF0000"/>
        </w:rPr>
        <w:fldChar w:fldCharType="end"/>
      </w:r>
      <w:r w:rsidR="00891C15">
        <w:rPr>
          <w:color w:val="FF0000"/>
        </w:rPr>
        <w:t xml:space="preserve"> </w:t>
      </w:r>
      <w:r w:rsidR="00ED1FEE">
        <w:t>shows</w:t>
      </w:r>
      <w:r w:rsidR="00ED1FEE">
        <w:rPr>
          <w:spacing w:val="-6"/>
        </w:rPr>
        <w:t xml:space="preserve"> </w:t>
      </w:r>
      <w:r w:rsidR="00ED1FEE">
        <w:t>the</w:t>
      </w:r>
      <w:r w:rsidR="00ED1FEE">
        <w:rPr>
          <w:spacing w:val="-6"/>
        </w:rPr>
        <w:t xml:space="preserve"> </w:t>
      </w:r>
      <w:r w:rsidR="00ED1FEE">
        <w:t>median</w:t>
      </w:r>
      <w:r w:rsidR="00ED1FEE">
        <w:rPr>
          <w:spacing w:val="-6"/>
        </w:rPr>
        <w:t xml:space="preserve"> </w:t>
      </w:r>
      <w:r w:rsidR="00ED1FEE">
        <w:t>time</w:t>
      </w:r>
      <w:r w:rsidR="00ED1FEE">
        <w:rPr>
          <w:spacing w:val="-6"/>
        </w:rPr>
        <w:t xml:space="preserve"> </w:t>
      </w:r>
      <w:r w:rsidR="00ED1FEE">
        <w:t>spent</w:t>
      </w:r>
      <w:r w:rsidR="00ED1FEE">
        <w:rPr>
          <w:spacing w:val="-6"/>
        </w:rPr>
        <w:t xml:space="preserve"> </w:t>
      </w:r>
      <w:r w:rsidR="00ED1FEE">
        <w:t>in</w:t>
      </w:r>
      <w:r w:rsidR="00ED1FEE">
        <w:rPr>
          <w:spacing w:val="-6"/>
        </w:rPr>
        <w:t xml:space="preserve"> </w:t>
      </w:r>
      <w:r w:rsidR="00ED1FEE">
        <w:t>the</w:t>
      </w:r>
      <w:r w:rsidR="00ED1FEE">
        <w:rPr>
          <w:spacing w:val="-6"/>
        </w:rPr>
        <w:t xml:space="preserve"> </w:t>
      </w:r>
      <w:r w:rsidR="00ED1FEE">
        <w:t xml:space="preserve">home care program at </w:t>
      </w:r>
      <w:r w:rsidR="005C7DA6">
        <w:t xml:space="preserve">exit </w:t>
      </w:r>
      <w:r w:rsidR="00ED1FEE">
        <w:t>was around 1</w:t>
      </w:r>
      <w:r w:rsidR="00343AEE">
        <w:t>8</w:t>
      </w:r>
      <w:r w:rsidR="00ED1FEE">
        <w:t xml:space="preserve"> months in</w:t>
      </w:r>
      <w:r w:rsidR="00ED1FEE">
        <w:rPr>
          <w:spacing w:val="-11"/>
        </w:rPr>
        <w:t xml:space="preserve"> </w:t>
      </w:r>
      <w:r w:rsidR="00ED1FEE">
        <w:t>2021-22.</w:t>
      </w:r>
      <w:r w:rsidR="00ED1FEE">
        <w:rPr>
          <w:spacing w:val="-8"/>
        </w:rPr>
        <w:t xml:space="preserve"> </w:t>
      </w:r>
      <w:r w:rsidR="00ED1FEE">
        <w:t>The</w:t>
      </w:r>
      <w:r w:rsidR="00ED1FEE">
        <w:rPr>
          <w:spacing w:val="-8"/>
        </w:rPr>
        <w:t xml:space="preserve"> </w:t>
      </w:r>
      <w:r w:rsidR="00ED1FEE">
        <w:t>average</w:t>
      </w:r>
      <w:r w:rsidR="00ED1FEE">
        <w:rPr>
          <w:spacing w:val="-8"/>
        </w:rPr>
        <w:t xml:space="preserve"> </w:t>
      </w:r>
      <w:r w:rsidR="00ED1FEE">
        <w:t>length</w:t>
      </w:r>
      <w:r w:rsidR="00ED1FEE">
        <w:rPr>
          <w:spacing w:val="-8"/>
        </w:rPr>
        <w:t xml:space="preserve"> </w:t>
      </w:r>
      <w:r w:rsidR="00ED1FEE">
        <w:t>of</w:t>
      </w:r>
      <w:r w:rsidR="00ED1FEE">
        <w:rPr>
          <w:spacing w:val="-8"/>
        </w:rPr>
        <w:t xml:space="preserve"> </w:t>
      </w:r>
      <w:r w:rsidR="00ED1FEE">
        <w:t>stay</w:t>
      </w:r>
      <w:r w:rsidR="00ED1FEE">
        <w:rPr>
          <w:spacing w:val="-8"/>
        </w:rPr>
        <w:t xml:space="preserve"> </w:t>
      </w:r>
      <w:r w:rsidR="00ED1FEE">
        <w:t>was</w:t>
      </w:r>
      <w:r w:rsidR="00ED1FEE">
        <w:rPr>
          <w:spacing w:val="-8"/>
        </w:rPr>
        <w:t xml:space="preserve"> </w:t>
      </w:r>
      <w:r w:rsidR="00355F29">
        <w:t>approximately</w:t>
      </w:r>
      <w:r w:rsidR="00ED1FEE">
        <w:t xml:space="preserve"> 27 months</w:t>
      </w:r>
      <w:r w:rsidR="009703AB">
        <w:t>.</w:t>
      </w:r>
    </w:p>
    <w:p w14:paraId="7E3A2AB2" w14:textId="1B7DF343" w:rsidR="00387EE9" w:rsidRPr="00387EE9" w:rsidRDefault="00387EE9" w:rsidP="00387EE9">
      <w:pPr>
        <w:pStyle w:val="Caption"/>
        <w:rPr>
          <w:lang w:eastAsia="zh-CN" w:bidi="th-TH"/>
        </w:rPr>
      </w:pPr>
      <w:bookmarkStart w:id="19" w:name="_Ref139541001"/>
      <w:bookmarkStart w:id="20" w:name="_Toc149245202"/>
      <w:r>
        <w:t xml:space="preserve">Chart </w:t>
      </w:r>
      <w:r>
        <w:fldChar w:fldCharType="begin"/>
      </w:r>
      <w:r>
        <w:instrText>STYLEREF 1 \s</w:instrText>
      </w:r>
      <w:r>
        <w:fldChar w:fldCharType="separate"/>
      </w:r>
      <w:r w:rsidR="00294B02">
        <w:rPr>
          <w:noProof/>
        </w:rPr>
        <w:t>1</w:t>
      </w:r>
      <w:r>
        <w:fldChar w:fldCharType="end"/>
      </w:r>
      <w:r w:rsidR="00054A51">
        <w:t>.</w:t>
      </w:r>
      <w:r>
        <w:fldChar w:fldCharType="begin"/>
      </w:r>
      <w:r>
        <w:instrText>SEQ Chart \* ARABIC \s 1</w:instrText>
      </w:r>
      <w:r>
        <w:fldChar w:fldCharType="separate"/>
      </w:r>
      <w:r w:rsidR="00294B02">
        <w:rPr>
          <w:noProof/>
        </w:rPr>
        <w:t>1</w:t>
      </w:r>
      <w:r>
        <w:fldChar w:fldCharType="end"/>
      </w:r>
      <w:bookmarkEnd w:id="19"/>
      <w:r>
        <w:t xml:space="preserve">: </w:t>
      </w:r>
      <w:r w:rsidRPr="00843CFA">
        <w:t>Median and average length of stay in home care, by year of exit, 2014-15 to 2021-22</w:t>
      </w:r>
      <w:bookmarkEnd w:id="20"/>
    </w:p>
    <w:p w14:paraId="78EE784C" w14:textId="7A5B4FBC" w:rsidR="002B288C" w:rsidRPr="003D717D" w:rsidRDefault="002B288C" w:rsidP="008E2604">
      <w:r w:rsidRPr="008E2604">
        <w:rPr>
          <w:noProof/>
        </w:rPr>
        <w:drawing>
          <wp:inline distT="0" distB="0" distL="0" distR="0" wp14:anchorId="0470DD82" wp14:editId="242A780B">
            <wp:extent cx="5734685" cy="3597910"/>
            <wp:effectExtent l="0" t="0" r="0" b="2540"/>
            <wp:docPr id="2" name="Picture 2" descr="Chart 1.1 is a line chart titled Median and average length of stay in home care, by year of exit, 2014-15 to 2021-22. The median time spent in the home care program at discharge was around 18 months in 2021-22, an increase of 1 month from 2020-21. The average length of stay remained steady at 27 month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1.1 is a line chart titled Median and average length of stay in home care, by year of exit, 2014-15 to 2021-22. The median time spent in the home care program at discharge was around 18 months in 2021-22, an increase of 1 month from 2020-21. The average length of stay remained steady at 27 months.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685" cy="3597910"/>
                    </a:xfrm>
                    <a:prstGeom prst="rect">
                      <a:avLst/>
                    </a:prstGeom>
                    <a:noFill/>
                    <a:ln>
                      <a:noFill/>
                    </a:ln>
                  </pic:spPr>
                </pic:pic>
              </a:graphicData>
            </a:graphic>
          </wp:inline>
        </w:drawing>
      </w:r>
    </w:p>
    <w:p w14:paraId="2CAE5607" w14:textId="03E86353" w:rsidR="0041156A" w:rsidRPr="008E2604" w:rsidRDefault="001A7D3B" w:rsidP="008E2604">
      <w:r w:rsidRPr="008E2604">
        <w:t>As shown in</w:t>
      </w:r>
      <w:r w:rsidR="00667AF2" w:rsidRPr="008E2604">
        <w:t xml:space="preserve"> </w:t>
      </w:r>
      <w:r w:rsidR="00523F4F" w:rsidRPr="008E2604">
        <w:t xml:space="preserve">Chart 1.2, </w:t>
      </w:r>
      <w:r w:rsidR="00115AF4" w:rsidRPr="008E2604">
        <w:t>s</w:t>
      </w:r>
      <w:r w:rsidR="006443AA" w:rsidRPr="008E2604">
        <w:t>ince 2017-18</w:t>
      </w:r>
      <w:r w:rsidR="00F771D6" w:rsidRPr="008E2604">
        <w:t>,</w:t>
      </w:r>
      <w:r w:rsidR="00222113" w:rsidRPr="008E2604">
        <w:t xml:space="preserve"> </w:t>
      </w:r>
      <w:r w:rsidR="00C32811" w:rsidRPr="008E2604">
        <w:t>fewer</w:t>
      </w:r>
      <w:r w:rsidR="00222113" w:rsidRPr="008E2604">
        <w:t xml:space="preserve"> recipients from each annual entry cohort </w:t>
      </w:r>
      <w:r w:rsidR="00C32811" w:rsidRPr="008E2604">
        <w:t xml:space="preserve">are </w:t>
      </w:r>
      <w:r w:rsidR="00222113" w:rsidRPr="008E2604">
        <w:t>leaving home care in their first year</w:t>
      </w:r>
      <w:r w:rsidR="00A10419" w:rsidRPr="008E2604">
        <w:t>. Th</w:t>
      </w:r>
      <w:r w:rsidR="006D4C0E" w:rsidRPr="008E2604">
        <w:t>ere</w:t>
      </w:r>
      <w:r w:rsidR="00A10419" w:rsidRPr="008E2604">
        <w:t xml:space="preserve"> was a</w:t>
      </w:r>
      <w:r w:rsidR="00C32811" w:rsidRPr="008E2604">
        <w:t xml:space="preserve"> </w:t>
      </w:r>
      <w:r w:rsidR="00A10419" w:rsidRPr="008E2604">
        <w:t>decrease</w:t>
      </w:r>
      <w:r w:rsidR="00C32811" w:rsidRPr="008E2604">
        <w:t xml:space="preserve"> </w:t>
      </w:r>
      <w:r w:rsidR="00A10419" w:rsidRPr="008E2604">
        <w:t>of</w:t>
      </w:r>
      <w:r w:rsidR="00C32811" w:rsidRPr="008E2604">
        <w:t xml:space="preserve"> 4 percentage points from 26</w:t>
      </w:r>
      <w:r w:rsidR="006768D7" w:rsidRPr="008E2604">
        <w:t xml:space="preserve"> per cent</w:t>
      </w:r>
      <w:r w:rsidR="00C32811" w:rsidRPr="008E2604">
        <w:t xml:space="preserve"> </w:t>
      </w:r>
      <w:r w:rsidR="00A10419" w:rsidRPr="008E2604">
        <w:t>of recipients leaving in their first year of home care</w:t>
      </w:r>
      <w:r w:rsidR="00C32811" w:rsidRPr="008E2604">
        <w:t xml:space="preserve"> in 2017-18 to 22</w:t>
      </w:r>
      <w:r w:rsidR="002B1627" w:rsidRPr="008E2604">
        <w:t xml:space="preserve"> per cent</w:t>
      </w:r>
      <w:r w:rsidR="00C32811" w:rsidRPr="008E2604">
        <w:t xml:space="preserve"> in 2021-22</w:t>
      </w:r>
      <w:r w:rsidR="00222113" w:rsidRPr="008E2604">
        <w:t>.</w:t>
      </w:r>
      <w:bookmarkStart w:id="21" w:name="_Ref139541121"/>
      <w:r w:rsidR="0041156A" w:rsidRPr="008E2604">
        <w:br w:type="page"/>
      </w:r>
    </w:p>
    <w:p w14:paraId="2709F37B" w14:textId="2F0405E1" w:rsidR="00667AF2" w:rsidRPr="00667AF2" w:rsidRDefault="00667AF2" w:rsidP="00667AF2">
      <w:pPr>
        <w:pStyle w:val="Caption"/>
        <w:rPr>
          <w:lang w:eastAsia="zh-CN" w:bidi="th-TH"/>
        </w:rPr>
      </w:pPr>
      <w:bookmarkStart w:id="22" w:name="_Toc149245203"/>
      <w:r>
        <w:lastRenderedPageBreak/>
        <w:t xml:space="preserve">Chart </w:t>
      </w:r>
      <w:r>
        <w:fldChar w:fldCharType="begin"/>
      </w:r>
      <w:r>
        <w:instrText>STYLEREF 1 \s</w:instrText>
      </w:r>
      <w:r>
        <w:fldChar w:fldCharType="separate"/>
      </w:r>
      <w:r w:rsidR="00294B02">
        <w:rPr>
          <w:noProof/>
        </w:rPr>
        <w:t>1</w:t>
      </w:r>
      <w:r>
        <w:fldChar w:fldCharType="end"/>
      </w:r>
      <w:r w:rsidR="00054A51">
        <w:t>.</w:t>
      </w:r>
      <w:r>
        <w:fldChar w:fldCharType="begin"/>
      </w:r>
      <w:r>
        <w:instrText>SEQ Chart \* ARABIC \s 1</w:instrText>
      </w:r>
      <w:r>
        <w:fldChar w:fldCharType="separate"/>
      </w:r>
      <w:r w:rsidR="00294B02">
        <w:rPr>
          <w:noProof/>
        </w:rPr>
        <w:t>2</w:t>
      </w:r>
      <w:r>
        <w:fldChar w:fldCharType="end"/>
      </w:r>
      <w:bookmarkEnd w:id="21"/>
      <w:r>
        <w:t xml:space="preserve">: </w:t>
      </w:r>
      <w:r w:rsidRPr="00CE6641">
        <w:t>Cumulative proportion of home care recipients leaving home care during their first year by year of entry, 2017-18 to 2021-22</w:t>
      </w:r>
      <w:bookmarkEnd w:id="22"/>
    </w:p>
    <w:p w14:paraId="43362226" w14:textId="2CE99140" w:rsidR="00BF5CDF" w:rsidRPr="008E2604" w:rsidRDefault="00BF5CDF" w:rsidP="008E2604">
      <w:r w:rsidRPr="008E2604">
        <w:rPr>
          <w:noProof/>
        </w:rPr>
        <w:drawing>
          <wp:inline distT="0" distB="0" distL="0" distR="0" wp14:anchorId="26AC834F" wp14:editId="5C2A5635">
            <wp:extent cx="5734685" cy="3597910"/>
            <wp:effectExtent l="0" t="0" r="0" b="2540"/>
            <wp:docPr id="4" name="Picture 4" descr="Chart 1.2 is a line chart titled Cumulative proportion of home care recipients leaving home care during their first year by year of entry, 2017-18 to 2021-22. In 2021-22 there was slight increase of 1% compared to proportion to 2020-21, from 21% to 22%. However, since 2017-18, there has been fewer people from each annual cohort that are leaving home care in their first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1.2 is a line chart titled Cumulative proportion of home care recipients leaving home care during their first year by year of entry, 2017-18 to 2021-22. In 2021-22 there was slight increase of 1% compared to proportion to 2020-21, from 21% to 22%. However, since 2017-18, there has been fewer people from each annual cohort that are leaving home care in their first year.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4685" cy="3597910"/>
                    </a:xfrm>
                    <a:prstGeom prst="rect">
                      <a:avLst/>
                    </a:prstGeom>
                    <a:noFill/>
                    <a:ln>
                      <a:noFill/>
                    </a:ln>
                  </pic:spPr>
                </pic:pic>
              </a:graphicData>
            </a:graphic>
          </wp:inline>
        </w:drawing>
      </w:r>
    </w:p>
    <w:p w14:paraId="40856AD6" w14:textId="3FEA26A7" w:rsidR="000D0819" w:rsidRDefault="00D00CF7" w:rsidP="00972799">
      <w:pPr>
        <w:pStyle w:val="Heading2"/>
      </w:pPr>
      <w:bookmarkStart w:id="23" w:name="_Toc149245304"/>
      <w:r w:rsidRPr="0002472F">
        <w:t>Providers</w:t>
      </w:r>
      <w:bookmarkEnd w:id="23"/>
    </w:p>
    <w:p w14:paraId="32C2A65D" w14:textId="79BF07CE" w:rsidR="00530CE1" w:rsidRPr="00523F4F" w:rsidRDefault="00523F4F" w:rsidP="00E146A5">
      <w:pPr>
        <w:pStyle w:val="Caption"/>
        <w:rPr>
          <w:b w:val="0"/>
          <w:bCs w:val="0"/>
        </w:rPr>
      </w:pPr>
      <w:r>
        <w:rPr>
          <w:b w:val="0"/>
          <w:bCs w:val="0"/>
        </w:rPr>
        <w:t>Table 1.2</w:t>
      </w:r>
      <w:r w:rsidR="00A43666" w:rsidRPr="00523F4F">
        <w:rPr>
          <w:b w:val="0"/>
          <w:bCs w:val="0"/>
        </w:rPr>
        <w:t xml:space="preserve"> </w:t>
      </w:r>
      <w:r w:rsidR="00530CE1" w:rsidRPr="00523F4F">
        <w:rPr>
          <w:b w:val="0"/>
          <w:bCs w:val="0"/>
        </w:rPr>
        <w:t xml:space="preserve">presents a breakdown of home care providers by ownership type and location </w:t>
      </w:r>
      <w:proofErr w:type="gramStart"/>
      <w:r w:rsidR="00982828" w:rsidRPr="00523F4F">
        <w:rPr>
          <w:b w:val="0"/>
          <w:bCs w:val="0"/>
        </w:rPr>
        <w:t>at</w:t>
      </w:r>
      <w:proofErr w:type="gramEnd"/>
      <w:r w:rsidR="00982828" w:rsidRPr="00523F4F">
        <w:rPr>
          <w:b w:val="0"/>
          <w:bCs w:val="0"/>
        </w:rPr>
        <w:t xml:space="preserve"> 30 June 2022</w:t>
      </w:r>
      <w:r w:rsidR="000F32C5" w:rsidRPr="00523F4F">
        <w:rPr>
          <w:b w:val="0"/>
          <w:bCs w:val="0"/>
        </w:rPr>
        <w:t>.</w:t>
      </w:r>
      <w:r w:rsidR="00530CE1" w:rsidRPr="00523F4F">
        <w:rPr>
          <w:b w:val="0"/>
          <w:bCs w:val="0"/>
        </w:rPr>
        <w:t xml:space="preserve"> </w:t>
      </w:r>
      <w:r w:rsidR="002C30E8" w:rsidRPr="00523F4F">
        <w:rPr>
          <w:b w:val="0"/>
          <w:bCs w:val="0"/>
        </w:rPr>
        <w:t>N</w:t>
      </w:r>
      <w:r w:rsidR="00530CE1" w:rsidRPr="00523F4F">
        <w:rPr>
          <w:b w:val="0"/>
          <w:bCs w:val="0"/>
        </w:rPr>
        <w:t>ot-for-profit providers represented 5</w:t>
      </w:r>
      <w:r w:rsidR="00594831" w:rsidRPr="00523F4F">
        <w:rPr>
          <w:b w:val="0"/>
          <w:bCs w:val="0"/>
        </w:rPr>
        <w:t>2</w:t>
      </w:r>
      <w:r w:rsidR="00530CE1" w:rsidRPr="00523F4F">
        <w:rPr>
          <w:b w:val="0"/>
          <w:bCs w:val="0"/>
        </w:rPr>
        <w:t xml:space="preserve"> per cent of the sector</w:t>
      </w:r>
      <w:r w:rsidR="00D01D13" w:rsidRPr="00523F4F">
        <w:rPr>
          <w:b w:val="0"/>
          <w:bCs w:val="0"/>
        </w:rPr>
        <w:t>,</w:t>
      </w:r>
      <w:r w:rsidR="00530CE1" w:rsidRPr="00523F4F">
        <w:rPr>
          <w:b w:val="0"/>
          <w:bCs w:val="0"/>
        </w:rPr>
        <w:t xml:space="preserve"> while for-profit providers made up 3</w:t>
      </w:r>
      <w:r w:rsidR="00402C9E" w:rsidRPr="00523F4F">
        <w:rPr>
          <w:b w:val="0"/>
          <w:bCs w:val="0"/>
        </w:rPr>
        <w:t>6</w:t>
      </w:r>
      <w:r w:rsidR="00530CE1" w:rsidRPr="00523F4F">
        <w:rPr>
          <w:b w:val="0"/>
          <w:bCs w:val="0"/>
        </w:rPr>
        <w:t xml:space="preserve"> per cent.</w:t>
      </w:r>
    </w:p>
    <w:p w14:paraId="355ECE6C" w14:textId="7B6B2C95" w:rsidR="00484658" w:rsidRDefault="00223EE3" w:rsidP="003D717D">
      <w:r>
        <w:t xml:space="preserve">The location </w:t>
      </w:r>
      <w:r w:rsidR="00D36054">
        <w:t>i</w:t>
      </w:r>
      <w:r w:rsidRPr="00DA76B8">
        <w:t xml:space="preserve">ndicates where a provider, service or </w:t>
      </w:r>
      <w:r>
        <w:t>resident/recipient</w:t>
      </w:r>
      <w:r w:rsidRPr="00DA76B8">
        <w:t xml:space="preserve"> is located based on whether they are metropolitan or regional areas. Metropolitan is all major cities and regional is any area outside of a major city. A provider is classified as metropolitan if more than 70 per cent of its services </w:t>
      </w:r>
      <w:proofErr w:type="gramStart"/>
      <w:r w:rsidRPr="00DA76B8">
        <w:t>are located in</w:t>
      </w:r>
      <w:proofErr w:type="gramEnd"/>
      <w:r w:rsidRPr="00DA76B8">
        <w:t xml:space="preserve"> metropolitan areas and similarly classified as regional if more than 70 per cent of its services are located in regional areas.</w:t>
      </w:r>
      <w:bookmarkStart w:id="24" w:name="_Ref139547171"/>
    </w:p>
    <w:p w14:paraId="599A4205" w14:textId="77777777" w:rsidR="00484658" w:rsidRPr="00484658" w:rsidRDefault="00484658" w:rsidP="00484658">
      <w:r w:rsidRPr="00484658">
        <w:br w:type="page"/>
      </w:r>
    </w:p>
    <w:p w14:paraId="1636D642" w14:textId="2F9742A0" w:rsidR="003316B8" w:rsidRDefault="001E5164" w:rsidP="00DB0BC1">
      <w:pPr>
        <w:pStyle w:val="Caption"/>
      </w:pPr>
      <w:bookmarkStart w:id="25" w:name="_Toc149245265"/>
      <w:r>
        <w:lastRenderedPageBreak/>
        <w:t xml:space="preserve">Table </w:t>
      </w:r>
      <w:r>
        <w:fldChar w:fldCharType="begin"/>
      </w:r>
      <w:r>
        <w:instrText>STYLEREF 1 \s</w:instrText>
      </w:r>
      <w:r>
        <w:fldChar w:fldCharType="separate"/>
      </w:r>
      <w:r w:rsidR="00294B02">
        <w:rPr>
          <w:noProof/>
        </w:rPr>
        <w:t>1</w:t>
      </w:r>
      <w:r>
        <w:fldChar w:fldCharType="end"/>
      </w:r>
      <w:r w:rsidR="002E758C">
        <w:t>.</w:t>
      </w:r>
      <w:r>
        <w:fldChar w:fldCharType="begin"/>
      </w:r>
      <w:r>
        <w:instrText>SEQ Table \* ARABIC \s 1</w:instrText>
      </w:r>
      <w:r>
        <w:fldChar w:fldCharType="separate"/>
      </w:r>
      <w:r w:rsidR="00294B02">
        <w:rPr>
          <w:noProof/>
        </w:rPr>
        <w:t>2</w:t>
      </w:r>
      <w:r>
        <w:fldChar w:fldCharType="end"/>
      </w:r>
      <w:bookmarkEnd w:id="24"/>
      <w:r>
        <w:t xml:space="preserve">: </w:t>
      </w:r>
      <w:r w:rsidRPr="00BE7CDA">
        <w:t xml:space="preserve">Number of home care providers and number of recipients, </w:t>
      </w:r>
      <w:proofErr w:type="gramStart"/>
      <w:r w:rsidRPr="00BE7CDA">
        <w:t>at</w:t>
      </w:r>
      <w:proofErr w:type="gramEnd"/>
      <w:r w:rsidRPr="00BE7CDA">
        <w:t xml:space="preserve"> 30 June 2022</w:t>
      </w:r>
      <w:bookmarkEnd w:id="25"/>
    </w:p>
    <w:tbl>
      <w:tblPr>
        <w:tblStyle w:val="DepartmentofHealthtable"/>
        <w:tblW w:w="9283" w:type="dxa"/>
        <w:tblLayout w:type="fixed"/>
        <w:tblLook w:val="04A0" w:firstRow="1" w:lastRow="0" w:firstColumn="1" w:lastColumn="0" w:noHBand="0" w:noVBand="1"/>
      </w:tblPr>
      <w:tblGrid>
        <w:gridCol w:w="1247"/>
        <w:gridCol w:w="1021"/>
        <w:gridCol w:w="1124"/>
        <w:gridCol w:w="1003"/>
        <w:gridCol w:w="1134"/>
        <w:gridCol w:w="929"/>
        <w:gridCol w:w="63"/>
        <w:gridCol w:w="1134"/>
        <w:gridCol w:w="992"/>
        <w:gridCol w:w="636"/>
      </w:tblGrid>
      <w:tr w:rsidR="00794236" w:rsidRPr="00794236" w14:paraId="1DF9B603" w14:textId="77777777" w:rsidTr="00484658">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247" w:type="dxa"/>
            <w:hideMark/>
          </w:tcPr>
          <w:p w14:paraId="564DFA92" w14:textId="77777777" w:rsidR="00794236" w:rsidRPr="00794236" w:rsidRDefault="00794236" w:rsidP="003D717D">
            <w:pPr>
              <w:pStyle w:val="TableHeaderWhite"/>
              <w:rPr>
                <w:lang w:eastAsia="en-AU"/>
              </w:rPr>
            </w:pPr>
          </w:p>
        </w:tc>
        <w:tc>
          <w:tcPr>
            <w:tcW w:w="1021" w:type="dxa"/>
            <w:hideMark/>
          </w:tcPr>
          <w:p w14:paraId="08929C78" w14:textId="77777777" w:rsidR="00794236" w:rsidRPr="00794236" w:rsidRDefault="00794236" w:rsidP="003D717D">
            <w:pPr>
              <w:pStyle w:val="TableHeaderWhite"/>
              <w:cnfStyle w:val="100000000000" w:firstRow="1" w:lastRow="0" w:firstColumn="0" w:lastColumn="0" w:oddVBand="0" w:evenVBand="0" w:oddHBand="0" w:evenHBand="0" w:firstRowFirstColumn="0" w:firstRowLastColumn="0" w:lastRowFirstColumn="0" w:lastRowLastColumn="0"/>
              <w:rPr>
                <w:lang w:eastAsia="en-AU"/>
              </w:rPr>
            </w:pPr>
          </w:p>
        </w:tc>
        <w:tc>
          <w:tcPr>
            <w:tcW w:w="1124" w:type="dxa"/>
            <w:hideMark/>
          </w:tcPr>
          <w:p w14:paraId="7B894A82" w14:textId="77777777" w:rsidR="00794236" w:rsidRPr="00794236" w:rsidRDefault="00794236" w:rsidP="003D717D">
            <w:pPr>
              <w:pStyle w:val="TableHeaderWhite"/>
              <w:cnfStyle w:val="100000000000" w:firstRow="1" w:lastRow="0" w:firstColumn="0" w:lastColumn="0" w:oddVBand="0" w:evenVBand="0" w:oddHBand="0" w:evenHBand="0" w:firstRowFirstColumn="0" w:firstRowLastColumn="0" w:lastRowFirstColumn="0" w:lastRowLastColumn="0"/>
              <w:rPr>
                <w:lang w:eastAsia="en-AU"/>
              </w:rPr>
            </w:pPr>
          </w:p>
        </w:tc>
        <w:tc>
          <w:tcPr>
            <w:tcW w:w="3066" w:type="dxa"/>
            <w:gridSpan w:val="3"/>
            <w:hideMark/>
          </w:tcPr>
          <w:p w14:paraId="5CFC4FCA" w14:textId="77777777" w:rsidR="00794236" w:rsidRPr="00794236" w:rsidRDefault="00794236" w:rsidP="003D717D">
            <w:pPr>
              <w:pStyle w:val="TableHeaderWhite"/>
              <w:cnfStyle w:val="100000000000" w:firstRow="1" w:lastRow="0" w:firstColumn="0" w:lastColumn="0" w:oddVBand="0" w:evenVBand="0" w:oddHBand="0" w:evenHBand="0" w:firstRowFirstColumn="0" w:firstRowLastColumn="0" w:lastRowFirstColumn="0" w:lastRowLastColumn="0"/>
              <w:rPr>
                <w:rFonts w:cs="Arial"/>
                <w:bCs/>
                <w:color w:val="FFFFFF"/>
                <w:sz w:val="22"/>
                <w:lang w:eastAsia="en-AU"/>
              </w:rPr>
            </w:pPr>
            <w:r w:rsidRPr="00794236">
              <w:rPr>
                <w:rFonts w:cs="Arial"/>
                <w:bCs/>
                <w:color w:val="FFFFFF"/>
                <w:sz w:val="22"/>
                <w:lang w:eastAsia="en-AU"/>
              </w:rPr>
              <w:t>Ownership type</w:t>
            </w:r>
          </w:p>
        </w:tc>
        <w:tc>
          <w:tcPr>
            <w:tcW w:w="2825" w:type="dxa"/>
            <w:gridSpan w:val="4"/>
            <w:hideMark/>
          </w:tcPr>
          <w:p w14:paraId="568DEE3E" w14:textId="77777777" w:rsidR="00794236" w:rsidRPr="00794236" w:rsidRDefault="00794236" w:rsidP="003D717D">
            <w:pPr>
              <w:pStyle w:val="TableHeaderWhite"/>
              <w:cnfStyle w:val="100000000000" w:firstRow="1" w:lastRow="0" w:firstColumn="0" w:lastColumn="0" w:oddVBand="0" w:evenVBand="0" w:oddHBand="0" w:evenHBand="0" w:firstRowFirstColumn="0" w:firstRowLastColumn="0" w:lastRowFirstColumn="0" w:lastRowLastColumn="0"/>
              <w:rPr>
                <w:rFonts w:cs="Arial"/>
                <w:bCs/>
                <w:color w:val="FFFFFF"/>
                <w:sz w:val="22"/>
                <w:lang w:eastAsia="en-AU"/>
              </w:rPr>
            </w:pPr>
            <w:r w:rsidRPr="00794236">
              <w:rPr>
                <w:rFonts w:cs="Arial"/>
                <w:bCs/>
                <w:color w:val="FFFFFF"/>
                <w:sz w:val="22"/>
                <w:lang w:eastAsia="en-AU"/>
              </w:rPr>
              <w:t>Location</w:t>
            </w:r>
          </w:p>
        </w:tc>
      </w:tr>
      <w:tr w:rsidR="00B52FB0" w:rsidRPr="003D717D" w14:paraId="38C52D53" w14:textId="77777777" w:rsidTr="00484658">
        <w:trPr>
          <w:trHeight w:val="1473"/>
        </w:trPr>
        <w:tc>
          <w:tcPr>
            <w:cnfStyle w:val="001000000000" w:firstRow="0" w:lastRow="0" w:firstColumn="1" w:lastColumn="0" w:oddVBand="0" w:evenVBand="0" w:oddHBand="0" w:evenHBand="0" w:firstRowFirstColumn="0" w:firstRowLastColumn="0" w:lastRowFirstColumn="0" w:lastRowLastColumn="0"/>
            <w:tcW w:w="1247" w:type="dxa"/>
            <w:shd w:val="clear" w:color="auto" w:fill="D8DBDB" w:themeFill="background2" w:themeFillShade="E6"/>
            <w:hideMark/>
          </w:tcPr>
          <w:p w14:paraId="0FC863BD" w14:textId="77777777" w:rsidR="00794236" w:rsidRPr="003D717D" w:rsidRDefault="00794236" w:rsidP="00484658">
            <w:pPr>
              <w:pStyle w:val="TableofAuthorities"/>
            </w:pPr>
          </w:p>
        </w:tc>
        <w:tc>
          <w:tcPr>
            <w:tcW w:w="1021" w:type="dxa"/>
            <w:shd w:val="clear" w:color="auto" w:fill="D8DBDB" w:themeFill="background2" w:themeFillShade="E6"/>
            <w:textDirection w:val="btLr"/>
            <w:hideMark/>
          </w:tcPr>
          <w:p w14:paraId="15A70A8D" w14:textId="77777777" w:rsidR="00794236" w:rsidRPr="003D717D" w:rsidRDefault="00794236" w:rsidP="00484658">
            <w:pPr>
              <w:pStyle w:val="TableofAuthorities"/>
              <w:cnfStyle w:val="000000000000" w:firstRow="0" w:lastRow="0" w:firstColumn="0" w:lastColumn="0" w:oddVBand="0" w:evenVBand="0" w:oddHBand="0" w:evenHBand="0" w:firstRowFirstColumn="0" w:firstRowLastColumn="0" w:lastRowFirstColumn="0" w:lastRowLastColumn="0"/>
            </w:pPr>
            <w:r w:rsidRPr="003D717D">
              <w:t>30-June-2021</w:t>
            </w:r>
          </w:p>
        </w:tc>
        <w:tc>
          <w:tcPr>
            <w:tcW w:w="1124" w:type="dxa"/>
            <w:shd w:val="clear" w:color="auto" w:fill="D8DBDB" w:themeFill="background2" w:themeFillShade="E6"/>
            <w:textDirection w:val="btLr"/>
            <w:hideMark/>
          </w:tcPr>
          <w:p w14:paraId="444C823D" w14:textId="77777777" w:rsidR="00794236" w:rsidRPr="003D717D" w:rsidRDefault="00794236" w:rsidP="00484658">
            <w:pPr>
              <w:pStyle w:val="TableofAuthorities"/>
              <w:cnfStyle w:val="000000000000" w:firstRow="0" w:lastRow="0" w:firstColumn="0" w:lastColumn="0" w:oddVBand="0" w:evenVBand="0" w:oddHBand="0" w:evenHBand="0" w:firstRowFirstColumn="0" w:firstRowLastColumn="0" w:lastRowFirstColumn="0" w:lastRowLastColumn="0"/>
            </w:pPr>
            <w:r w:rsidRPr="003D717D">
              <w:t>30-June-2022</w:t>
            </w:r>
          </w:p>
        </w:tc>
        <w:tc>
          <w:tcPr>
            <w:tcW w:w="1003" w:type="dxa"/>
            <w:shd w:val="clear" w:color="auto" w:fill="D8DBDB" w:themeFill="background2" w:themeFillShade="E6"/>
            <w:textDirection w:val="btLr"/>
            <w:hideMark/>
          </w:tcPr>
          <w:p w14:paraId="462D2EC8" w14:textId="77777777" w:rsidR="00794236" w:rsidRPr="003D717D" w:rsidRDefault="00794236" w:rsidP="00484658">
            <w:pPr>
              <w:pStyle w:val="TableofAuthorities"/>
              <w:cnfStyle w:val="000000000000" w:firstRow="0" w:lastRow="0" w:firstColumn="0" w:lastColumn="0" w:oddVBand="0" w:evenVBand="0" w:oddHBand="0" w:evenHBand="0" w:firstRowFirstColumn="0" w:firstRowLastColumn="0" w:lastRowFirstColumn="0" w:lastRowLastColumn="0"/>
            </w:pPr>
            <w:r w:rsidRPr="003D717D">
              <w:t>For-profit</w:t>
            </w:r>
          </w:p>
        </w:tc>
        <w:tc>
          <w:tcPr>
            <w:tcW w:w="1134" w:type="dxa"/>
            <w:shd w:val="clear" w:color="auto" w:fill="D8DBDB" w:themeFill="background2" w:themeFillShade="E6"/>
            <w:textDirection w:val="btLr"/>
            <w:hideMark/>
          </w:tcPr>
          <w:p w14:paraId="4E689994" w14:textId="77777777" w:rsidR="00794236" w:rsidRPr="003D717D" w:rsidRDefault="00794236" w:rsidP="00484658">
            <w:pPr>
              <w:pStyle w:val="TableofAuthorities"/>
              <w:cnfStyle w:val="000000000000" w:firstRow="0" w:lastRow="0" w:firstColumn="0" w:lastColumn="0" w:oddVBand="0" w:evenVBand="0" w:oddHBand="0" w:evenHBand="0" w:firstRowFirstColumn="0" w:firstRowLastColumn="0" w:lastRowFirstColumn="0" w:lastRowLastColumn="0"/>
            </w:pPr>
            <w:r w:rsidRPr="003D717D">
              <w:t>Not-for-profit</w:t>
            </w:r>
          </w:p>
        </w:tc>
        <w:tc>
          <w:tcPr>
            <w:tcW w:w="992" w:type="dxa"/>
            <w:gridSpan w:val="2"/>
            <w:shd w:val="clear" w:color="auto" w:fill="D8DBDB" w:themeFill="background2" w:themeFillShade="E6"/>
            <w:textDirection w:val="btLr"/>
            <w:hideMark/>
          </w:tcPr>
          <w:p w14:paraId="1DD8A453" w14:textId="77777777" w:rsidR="00794236" w:rsidRPr="003D717D" w:rsidRDefault="00794236" w:rsidP="00484658">
            <w:pPr>
              <w:pStyle w:val="TableofAuthorities"/>
              <w:cnfStyle w:val="000000000000" w:firstRow="0" w:lastRow="0" w:firstColumn="0" w:lastColumn="0" w:oddVBand="0" w:evenVBand="0" w:oddHBand="0" w:evenHBand="0" w:firstRowFirstColumn="0" w:firstRowLastColumn="0" w:lastRowFirstColumn="0" w:lastRowLastColumn="0"/>
            </w:pPr>
            <w:r w:rsidRPr="003D717D">
              <w:t>LST government</w:t>
            </w:r>
          </w:p>
        </w:tc>
        <w:tc>
          <w:tcPr>
            <w:tcW w:w="1134" w:type="dxa"/>
            <w:shd w:val="clear" w:color="auto" w:fill="D8DBDB" w:themeFill="background2" w:themeFillShade="E6"/>
            <w:textDirection w:val="btLr"/>
            <w:hideMark/>
          </w:tcPr>
          <w:p w14:paraId="1B24CAAA" w14:textId="77777777" w:rsidR="00794236" w:rsidRPr="003D717D" w:rsidRDefault="00794236" w:rsidP="00484658">
            <w:pPr>
              <w:pStyle w:val="TableofAuthorities"/>
              <w:cnfStyle w:val="000000000000" w:firstRow="0" w:lastRow="0" w:firstColumn="0" w:lastColumn="0" w:oddVBand="0" w:evenVBand="0" w:oddHBand="0" w:evenHBand="0" w:firstRowFirstColumn="0" w:firstRowLastColumn="0" w:lastRowFirstColumn="0" w:lastRowLastColumn="0"/>
            </w:pPr>
            <w:r w:rsidRPr="003D717D">
              <w:t>Metropolitan</w:t>
            </w:r>
          </w:p>
        </w:tc>
        <w:tc>
          <w:tcPr>
            <w:tcW w:w="992" w:type="dxa"/>
            <w:shd w:val="clear" w:color="auto" w:fill="D8DBDB" w:themeFill="background2" w:themeFillShade="E6"/>
            <w:textDirection w:val="btLr"/>
            <w:hideMark/>
          </w:tcPr>
          <w:p w14:paraId="6D7F8C4F" w14:textId="77777777" w:rsidR="00794236" w:rsidRPr="003D717D" w:rsidRDefault="00794236" w:rsidP="00484658">
            <w:pPr>
              <w:pStyle w:val="TableofAuthorities"/>
              <w:cnfStyle w:val="000000000000" w:firstRow="0" w:lastRow="0" w:firstColumn="0" w:lastColumn="0" w:oddVBand="0" w:evenVBand="0" w:oddHBand="0" w:evenHBand="0" w:firstRowFirstColumn="0" w:firstRowLastColumn="0" w:lastRowFirstColumn="0" w:lastRowLastColumn="0"/>
            </w:pPr>
            <w:r w:rsidRPr="003D717D">
              <w:t>Regional</w:t>
            </w:r>
          </w:p>
        </w:tc>
        <w:tc>
          <w:tcPr>
            <w:tcW w:w="636" w:type="dxa"/>
            <w:shd w:val="clear" w:color="auto" w:fill="D8DBDB" w:themeFill="background2" w:themeFillShade="E6"/>
            <w:textDirection w:val="btLr"/>
            <w:hideMark/>
          </w:tcPr>
          <w:p w14:paraId="5136A783" w14:textId="77777777" w:rsidR="00794236" w:rsidRPr="003D717D" w:rsidRDefault="00794236" w:rsidP="00484658">
            <w:pPr>
              <w:pStyle w:val="TableofAuthorities"/>
              <w:cnfStyle w:val="000000000000" w:firstRow="0" w:lastRow="0" w:firstColumn="0" w:lastColumn="0" w:oddVBand="0" w:evenVBand="0" w:oddHBand="0" w:evenHBand="0" w:firstRowFirstColumn="0" w:firstRowLastColumn="0" w:lastRowFirstColumn="0" w:lastRowLastColumn="0"/>
            </w:pPr>
            <w:r w:rsidRPr="003D717D">
              <w:t>Metropolitan &amp; regional</w:t>
            </w:r>
          </w:p>
        </w:tc>
      </w:tr>
      <w:tr w:rsidR="00B52FB0" w:rsidRPr="003D717D" w14:paraId="12524FB2" w14:textId="77777777" w:rsidTr="00484658">
        <w:trPr>
          <w:trHeight w:val="559"/>
        </w:trPr>
        <w:tc>
          <w:tcPr>
            <w:cnfStyle w:val="001000000000" w:firstRow="0" w:lastRow="0" w:firstColumn="1" w:lastColumn="0" w:oddVBand="0" w:evenVBand="0" w:oddHBand="0" w:evenHBand="0" w:firstRowFirstColumn="0" w:firstRowLastColumn="0" w:lastRowFirstColumn="0" w:lastRowLastColumn="0"/>
            <w:tcW w:w="1247" w:type="dxa"/>
            <w:vMerge w:val="restart"/>
            <w:hideMark/>
          </w:tcPr>
          <w:p w14:paraId="7F688FBB" w14:textId="77777777" w:rsidR="00794236" w:rsidRPr="003D717D" w:rsidRDefault="00794236" w:rsidP="003D717D">
            <w:pPr>
              <w:pStyle w:val="TableofAuthorities"/>
            </w:pPr>
            <w:r w:rsidRPr="003D717D">
              <w:t>Number of providers</w:t>
            </w:r>
          </w:p>
        </w:tc>
        <w:tc>
          <w:tcPr>
            <w:tcW w:w="1021" w:type="dxa"/>
            <w:hideMark/>
          </w:tcPr>
          <w:p w14:paraId="695EFD2E" w14:textId="2AFD3673"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939</w:t>
            </w:r>
          </w:p>
        </w:tc>
        <w:tc>
          <w:tcPr>
            <w:tcW w:w="1124" w:type="dxa"/>
            <w:hideMark/>
          </w:tcPr>
          <w:p w14:paraId="7C23BE7A" w14:textId="6387F7FD"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916</w:t>
            </w:r>
          </w:p>
        </w:tc>
        <w:tc>
          <w:tcPr>
            <w:tcW w:w="1003" w:type="dxa"/>
            <w:hideMark/>
          </w:tcPr>
          <w:p w14:paraId="024F3653" w14:textId="58433F6B"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334</w:t>
            </w:r>
          </w:p>
        </w:tc>
        <w:tc>
          <w:tcPr>
            <w:tcW w:w="1134" w:type="dxa"/>
            <w:hideMark/>
          </w:tcPr>
          <w:p w14:paraId="33E3C620" w14:textId="31E92422"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473</w:t>
            </w:r>
          </w:p>
        </w:tc>
        <w:tc>
          <w:tcPr>
            <w:tcW w:w="992" w:type="dxa"/>
            <w:gridSpan w:val="2"/>
            <w:hideMark/>
          </w:tcPr>
          <w:p w14:paraId="44348767" w14:textId="46D88F74"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109</w:t>
            </w:r>
          </w:p>
        </w:tc>
        <w:tc>
          <w:tcPr>
            <w:tcW w:w="1134" w:type="dxa"/>
            <w:hideMark/>
          </w:tcPr>
          <w:p w14:paraId="2E3B59BA" w14:textId="266E0F21"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521</w:t>
            </w:r>
          </w:p>
        </w:tc>
        <w:tc>
          <w:tcPr>
            <w:tcW w:w="992" w:type="dxa"/>
            <w:hideMark/>
          </w:tcPr>
          <w:p w14:paraId="35EE1035" w14:textId="32F1A04F"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313</w:t>
            </w:r>
          </w:p>
        </w:tc>
        <w:tc>
          <w:tcPr>
            <w:tcW w:w="636" w:type="dxa"/>
            <w:hideMark/>
          </w:tcPr>
          <w:p w14:paraId="08F0A0B7" w14:textId="600A5010"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82</w:t>
            </w:r>
          </w:p>
        </w:tc>
      </w:tr>
      <w:tr w:rsidR="00B52FB0" w:rsidRPr="003D717D" w14:paraId="02BBC58B" w14:textId="77777777" w:rsidTr="00484658">
        <w:trPr>
          <w:trHeight w:val="294"/>
        </w:trPr>
        <w:tc>
          <w:tcPr>
            <w:cnfStyle w:val="001000000000" w:firstRow="0" w:lastRow="0" w:firstColumn="1" w:lastColumn="0" w:oddVBand="0" w:evenVBand="0" w:oddHBand="0" w:evenHBand="0" w:firstRowFirstColumn="0" w:firstRowLastColumn="0" w:lastRowFirstColumn="0" w:lastRowLastColumn="0"/>
            <w:tcW w:w="1247" w:type="dxa"/>
            <w:vMerge/>
            <w:hideMark/>
          </w:tcPr>
          <w:p w14:paraId="7AC81084" w14:textId="77777777" w:rsidR="00794236" w:rsidRPr="003D717D" w:rsidRDefault="00794236" w:rsidP="003D717D">
            <w:pPr>
              <w:pStyle w:val="TableofAuthorities"/>
            </w:pPr>
          </w:p>
        </w:tc>
        <w:tc>
          <w:tcPr>
            <w:tcW w:w="1021" w:type="dxa"/>
            <w:hideMark/>
          </w:tcPr>
          <w:p w14:paraId="682E8246"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p>
        </w:tc>
        <w:tc>
          <w:tcPr>
            <w:tcW w:w="1124" w:type="dxa"/>
            <w:hideMark/>
          </w:tcPr>
          <w:p w14:paraId="5B48AE0A"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p>
        </w:tc>
        <w:tc>
          <w:tcPr>
            <w:tcW w:w="1003" w:type="dxa"/>
            <w:hideMark/>
          </w:tcPr>
          <w:p w14:paraId="0E49A415"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36%</w:t>
            </w:r>
          </w:p>
        </w:tc>
        <w:tc>
          <w:tcPr>
            <w:tcW w:w="1134" w:type="dxa"/>
            <w:hideMark/>
          </w:tcPr>
          <w:p w14:paraId="3A286311"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52%</w:t>
            </w:r>
          </w:p>
        </w:tc>
        <w:tc>
          <w:tcPr>
            <w:tcW w:w="992" w:type="dxa"/>
            <w:gridSpan w:val="2"/>
            <w:hideMark/>
          </w:tcPr>
          <w:p w14:paraId="3A6D47D0"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12%</w:t>
            </w:r>
          </w:p>
        </w:tc>
        <w:tc>
          <w:tcPr>
            <w:tcW w:w="1134" w:type="dxa"/>
            <w:hideMark/>
          </w:tcPr>
          <w:p w14:paraId="0D68B8BA"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57%</w:t>
            </w:r>
          </w:p>
        </w:tc>
        <w:tc>
          <w:tcPr>
            <w:tcW w:w="992" w:type="dxa"/>
            <w:hideMark/>
          </w:tcPr>
          <w:p w14:paraId="058379F6"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34%</w:t>
            </w:r>
          </w:p>
        </w:tc>
        <w:tc>
          <w:tcPr>
            <w:tcW w:w="636" w:type="dxa"/>
            <w:hideMark/>
          </w:tcPr>
          <w:p w14:paraId="1FEA834C"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10%</w:t>
            </w:r>
          </w:p>
        </w:tc>
      </w:tr>
      <w:tr w:rsidR="00B52FB0" w:rsidRPr="003D717D" w14:paraId="75907318" w14:textId="77777777" w:rsidTr="00484658">
        <w:trPr>
          <w:trHeight w:val="559"/>
        </w:trPr>
        <w:tc>
          <w:tcPr>
            <w:cnfStyle w:val="001000000000" w:firstRow="0" w:lastRow="0" w:firstColumn="1" w:lastColumn="0" w:oddVBand="0" w:evenVBand="0" w:oddHBand="0" w:evenHBand="0" w:firstRowFirstColumn="0" w:firstRowLastColumn="0" w:lastRowFirstColumn="0" w:lastRowLastColumn="0"/>
            <w:tcW w:w="1247" w:type="dxa"/>
            <w:vMerge w:val="restart"/>
            <w:hideMark/>
          </w:tcPr>
          <w:p w14:paraId="78960B2F" w14:textId="77777777" w:rsidR="00794236" w:rsidRPr="003D717D" w:rsidRDefault="00794236" w:rsidP="003D717D">
            <w:pPr>
              <w:pStyle w:val="TableofAuthorities"/>
            </w:pPr>
            <w:r w:rsidRPr="003D717D">
              <w:t>Number of recipients</w:t>
            </w:r>
          </w:p>
        </w:tc>
        <w:tc>
          <w:tcPr>
            <w:tcW w:w="1021" w:type="dxa"/>
            <w:hideMark/>
          </w:tcPr>
          <w:p w14:paraId="2F37F1EE" w14:textId="06AE5773"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176,105</w:t>
            </w:r>
          </w:p>
        </w:tc>
        <w:tc>
          <w:tcPr>
            <w:tcW w:w="1124" w:type="dxa"/>
            <w:hideMark/>
          </w:tcPr>
          <w:p w14:paraId="1048F894" w14:textId="42B366A0"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215,743</w:t>
            </w:r>
          </w:p>
        </w:tc>
        <w:tc>
          <w:tcPr>
            <w:tcW w:w="1003" w:type="dxa"/>
            <w:hideMark/>
          </w:tcPr>
          <w:p w14:paraId="5A74F352" w14:textId="58670569"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71,563</w:t>
            </w:r>
          </w:p>
        </w:tc>
        <w:tc>
          <w:tcPr>
            <w:tcW w:w="1134" w:type="dxa"/>
            <w:hideMark/>
          </w:tcPr>
          <w:p w14:paraId="53A77B69" w14:textId="69C46F7C"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131,980</w:t>
            </w:r>
          </w:p>
        </w:tc>
        <w:tc>
          <w:tcPr>
            <w:tcW w:w="992" w:type="dxa"/>
            <w:gridSpan w:val="2"/>
            <w:hideMark/>
          </w:tcPr>
          <w:p w14:paraId="5B365731" w14:textId="07F886A3"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12,200</w:t>
            </w:r>
          </w:p>
        </w:tc>
        <w:tc>
          <w:tcPr>
            <w:tcW w:w="1134" w:type="dxa"/>
            <w:hideMark/>
          </w:tcPr>
          <w:p w14:paraId="4EBBC9CB" w14:textId="2F98E350"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152,729</w:t>
            </w:r>
          </w:p>
        </w:tc>
        <w:tc>
          <w:tcPr>
            <w:tcW w:w="992" w:type="dxa"/>
            <w:hideMark/>
          </w:tcPr>
          <w:p w14:paraId="1539462B" w14:textId="3CF3DB9A"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63,014</w:t>
            </w:r>
          </w:p>
        </w:tc>
        <w:tc>
          <w:tcPr>
            <w:tcW w:w="636" w:type="dxa"/>
            <w:hideMark/>
          </w:tcPr>
          <w:p w14:paraId="514595CB"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n/a</w:t>
            </w:r>
          </w:p>
        </w:tc>
      </w:tr>
      <w:tr w:rsidR="00B52FB0" w:rsidRPr="003D717D" w14:paraId="7429B62E" w14:textId="77777777" w:rsidTr="00484658">
        <w:trPr>
          <w:trHeight w:val="294"/>
        </w:trPr>
        <w:tc>
          <w:tcPr>
            <w:cnfStyle w:val="001000000000" w:firstRow="0" w:lastRow="0" w:firstColumn="1" w:lastColumn="0" w:oddVBand="0" w:evenVBand="0" w:oddHBand="0" w:evenHBand="0" w:firstRowFirstColumn="0" w:firstRowLastColumn="0" w:lastRowFirstColumn="0" w:lastRowLastColumn="0"/>
            <w:tcW w:w="1247" w:type="dxa"/>
            <w:vMerge/>
            <w:hideMark/>
          </w:tcPr>
          <w:p w14:paraId="419C6491" w14:textId="77777777" w:rsidR="00794236" w:rsidRPr="003D717D" w:rsidRDefault="00794236" w:rsidP="003D717D">
            <w:pPr>
              <w:pStyle w:val="TableofAuthorities"/>
            </w:pPr>
          </w:p>
        </w:tc>
        <w:tc>
          <w:tcPr>
            <w:tcW w:w="1021" w:type="dxa"/>
            <w:hideMark/>
          </w:tcPr>
          <w:p w14:paraId="27CAEA77"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p>
        </w:tc>
        <w:tc>
          <w:tcPr>
            <w:tcW w:w="1124" w:type="dxa"/>
            <w:hideMark/>
          </w:tcPr>
          <w:p w14:paraId="2E919E44"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p>
        </w:tc>
        <w:tc>
          <w:tcPr>
            <w:tcW w:w="1003" w:type="dxa"/>
            <w:hideMark/>
          </w:tcPr>
          <w:p w14:paraId="237151AC"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33%</w:t>
            </w:r>
          </w:p>
        </w:tc>
        <w:tc>
          <w:tcPr>
            <w:tcW w:w="1134" w:type="dxa"/>
            <w:hideMark/>
          </w:tcPr>
          <w:p w14:paraId="4D570B73"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61%</w:t>
            </w:r>
          </w:p>
        </w:tc>
        <w:tc>
          <w:tcPr>
            <w:tcW w:w="992" w:type="dxa"/>
            <w:gridSpan w:val="2"/>
            <w:hideMark/>
          </w:tcPr>
          <w:p w14:paraId="1F5F1E0F"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6%</w:t>
            </w:r>
          </w:p>
        </w:tc>
        <w:tc>
          <w:tcPr>
            <w:tcW w:w="1134" w:type="dxa"/>
            <w:hideMark/>
          </w:tcPr>
          <w:p w14:paraId="1F10F2C7"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71%</w:t>
            </w:r>
          </w:p>
        </w:tc>
        <w:tc>
          <w:tcPr>
            <w:tcW w:w="992" w:type="dxa"/>
            <w:hideMark/>
          </w:tcPr>
          <w:p w14:paraId="683E8126"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29%</w:t>
            </w:r>
          </w:p>
        </w:tc>
        <w:tc>
          <w:tcPr>
            <w:tcW w:w="636" w:type="dxa"/>
            <w:hideMark/>
          </w:tcPr>
          <w:p w14:paraId="40ED8C3C" w14:textId="77777777" w:rsidR="00794236" w:rsidRPr="003D717D" w:rsidRDefault="00794236" w:rsidP="003D717D">
            <w:pPr>
              <w:pStyle w:val="TableofAuthorities"/>
              <w:cnfStyle w:val="000000000000" w:firstRow="0" w:lastRow="0" w:firstColumn="0" w:lastColumn="0" w:oddVBand="0" w:evenVBand="0" w:oddHBand="0" w:evenHBand="0" w:firstRowFirstColumn="0" w:firstRowLastColumn="0" w:lastRowFirstColumn="0" w:lastRowLastColumn="0"/>
            </w:pPr>
            <w:r w:rsidRPr="003D717D">
              <w:t>n/a</w:t>
            </w:r>
          </w:p>
        </w:tc>
      </w:tr>
    </w:tbl>
    <w:p w14:paraId="0185A8D3" w14:textId="79C16574" w:rsidR="00CA3E70" w:rsidRDefault="00CA3E70" w:rsidP="00972799">
      <w:pPr>
        <w:pStyle w:val="Heading2"/>
      </w:pPr>
      <w:bookmarkStart w:id="26" w:name="_Toc149245305"/>
      <w:r>
        <w:t>Funding</w:t>
      </w:r>
      <w:bookmarkEnd w:id="26"/>
    </w:p>
    <w:p w14:paraId="6474D0BF" w14:textId="1FF29557" w:rsidR="000D0091" w:rsidRPr="0095177D" w:rsidRDefault="000D0091" w:rsidP="000D0091">
      <w:r w:rsidRPr="0095177D">
        <w:t>In 2021</w:t>
      </w:r>
      <w:r>
        <w:t>-22</w:t>
      </w:r>
      <w:r w:rsidRPr="0095177D">
        <w:t>, total Australian Government expenditure on home care subsidies and supplements was</w:t>
      </w:r>
      <w:r>
        <w:t xml:space="preserve"> </w:t>
      </w:r>
      <w:r w:rsidRPr="002070D3">
        <w:t>$4</w:t>
      </w:r>
      <w:r w:rsidR="004C2E57" w:rsidRPr="002070D3">
        <w:t xml:space="preserve">.4 </w:t>
      </w:r>
      <w:r w:rsidRPr="002070D3">
        <w:t>billion, up from $</w:t>
      </w:r>
      <w:r w:rsidR="002070D3" w:rsidRPr="002070D3">
        <w:t xml:space="preserve">4.2 </w:t>
      </w:r>
      <w:r w:rsidRPr="002070D3">
        <w:t>billion in 2020</w:t>
      </w:r>
      <w:r w:rsidR="002070D3" w:rsidRPr="002070D3">
        <w:t>-21</w:t>
      </w:r>
      <w:r w:rsidR="00DA5674">
        <w:t xml:space="preserve"> as shown in </w:t>
      </w:r>
      <w:r w:rsidR="00CA4D7B">
        <w:fldChar w:fldCharType="begin"/>
      </w:r>
      <w:r w:rsidR="00CA4D7B">
        <w:instrText xml:space="preserve"> REF _Ref139546784 \h </w:instrText>
      </w:r>
      <w:r w:rsidR="00CA4D7B">
        <w:fldChar w:fldCharType="separate"/>
      </w:r>
      <w:r w:rsidR="00294B02">
        <w:t xml:space="preserve">Chart </w:t>
      </w:r>
      <w:r w:rsidR="00294B02">
        <w:rPr>
          <w:noProof/>
        </w:rPr>
        <w:t>1</w:t>
      </w:r>
      <w:r w:rsidR="00294B02">
        <w:t>.</w:t>
      </w:r>
      <w:r w:rsidR="00294B02">
        <w:rPr>
          <w:noProof/>
        </w:rPr>
        <w:t>3</w:t>
      </w:r>
      <w:r w:rsidR="00CA4D7B">
        <w:fldChar w:fldCharType="end"/>
      </w:r>
    </w:p>
    <w:p w14:paraId="7FED1407" w14:textId="6C851E43" w:rsidR="00CA4D7B" w:rsidRPr="00CA4D7B" w:rsidRDefault="00CA4D7B" w:rsidP="00CA4D7B">
      <w:pPr>
        <w:pStyle w:val="Caption"/>
      </w:pPr>
      <w:bookmarkStart w:id="27" w:name="_Ref139546784"/>
      <w:bookmarkStart w:id="28" w:name="_Toc149245204"/>
      <w:r>
        <w:t xml:space="preserve">Chart </w:t>
      </w:r>
      <w:r>
        <w:fldChar w:fldCharType="begin"/>
      </w:r>
      <w:r>
        <w:instrText>STYLEREF 1 \s</w:instrText>
      </w:r>
      <w:r>
        <w:fldChar w:fldCharType="separate"/>
      </w:r>
      <w:r w:rsidR="00294B02">
        <w:rPr>
          <w:noProof/>
        </w:rPr>
        <w:t>1</w:t>
      </w:r>
      <w:r>
        <w:fldChar w:fldCharType="end"/>
      </w:r>
      <w:r w:rsidR="00054A51">
        <w:t>.</w:t>
      </w:r>
      <w:r>
        <w:fldChar w:fldCharType="begin"/>
      </w:r>
      <w:r>
        <w:instrText>SEQ Chart \* ARABIC \s 1</w:instrText>
      </w:r>
      <w:r>
        <w:fldChar w:fldCharType="separate"/>
      </w:r>
      <w:r w:rsidR="00294B02">
        <w:rPr>
          <w:noProof/>
        </w:rPr>
        <w:t>3</w:t>
      </w:r>
      <w:r>
        <w:fldChar w:fldCharType="end"/>
      </w:r>
      <w:bookmarkEnd w:id="27"/>
      <w:r>
        <w:t xml:space="preserve">: </w:t>
      </w:r>
      <w:r w:rsidRPr="00256910">
        <w:t>Australian Government expenditure on home care, 2017-18 to 2021-22</w:t>
      </w:r>
      <w:bookmarkEnd w:id="28"/>
    </w:p>
    <w:p w14:paraId="12DC3AE4" w14:textId="317D9805" w:rsidR="000B12CE" w:rsidRPr="008E2604" w:rsidRDefault="000B12CE" w:rsidP="008E2604">
      <w:r w:rsidRPr="008E2604">
        <w:rPr>
          <w:noProof/>
        </w:rPr>
        <w:drawing>
          <wp:inline distT="0" distB="0" distL="0" distR="0" wp14:anchorId="774AFD16" wp14:editId="10390891">
            <wp:extent cx="5734685" cy="3597910"/>
            <wp:effectExtent l="0" t="0" r="0" b="2540"/>
            <wp:docPr id="8" name="Picture 8" descr="Chart 1.3 is a column chart titled Australian Government expenditure on home care, 2017-18 to 2021-22.There has been a consistent increase in funding by the Australia Government for home care. It has more than doubled from 2017-18, from $2.2 billion to $4.4 billion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1.3 is a column chart titled Australian Government expenditure on home care, 2017-18 to 2021-22.There has been a consistent increase in funding by the Australia Government for home care. It has more than doubled from 2017-18, from $2.2 billion to $4.4 billion in 2021-22.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4685" cy="3597910"/>
                    </a:xfrm>
                    <a:prstGeom prst="rect">
                      <a:avLst/>
                    </a:prstGeom>
                    <a:noFill/>
                    <a:ln>
                      <a:noFill/>
                    </a:ln>
                  </pic:spPr>
                </pic:pic>
              </a:graphicData>
            </a:graphic>
          </wp:inline>
        </w:drawing>
      </w:r>
    </w:p>
    <w:p w14:paraId="2A0D9B9F" w14:textId="64D40333" w:rsidR="002F4FA5" w:rsidRPr="0095177D" w:rsidRDefault="002F4FA5" w:rsidP="000D0091">
      <w:r w:rsidRPr="002F4FA5">
        <w:t>Note: *</w:t>
      </w:r>
      <w:r w:rsidR="00F32410" w:rsidRPr="00411A2E">
        <w:rPr>
          <w:sz w:val="22"/>
          <w:szCs w:val="22"/>
        </w:rPr>
        <w:t>Changes to payment arrangement</w:t>
      </w:r>
      <w:r w:rsidR="002E71F4">
        <w:rPr>
          <w:sz w:val="22"/>
          <w:szCs w:val="22"/>
        </w:rPr>
        <w:t>s</w:t>
      </w:r>
      <w:r w:rsidR="00F32410" w:rsidRPr="00411A2E">
        <w:rPr>
          <w:sz w:val="22"/>
          <w:szCs w:val="22"/>
        </w:rPr>
        <w:t xml:space="preserve"> introduced from 1 September 2021 means that providers are only paid for services they delivered</w:t>
      </w:r>
      <w:r w:rsidR="00686F65">
        <w:rPr>
          <w:sz w:val="22"/>
          <w:szCs w:val="22"/>
        </w:rPr>
        <w:t>,</w:t>
      </w:r>
      <w:r w:rsidR="00F32410" w:rsidRPr="00411A2E">
        <w:rPr>
          <w:sz w:val="22"/>
          <w:szCs w:val="22"/>
        </w:rPr>
        <w:t xml:space="preserve"> and any unspent funds are accumulated in Home Care Accounts as opposed to providers being paid full entitlements previously. </w:t>
      </w:r>
      <w:r w:rsidR="00F32410" w:rsidRPr="00411A2E">
        <w:rPr>
          <w:sz w:val="22"/>
          <w:szCs w:val="22"/>
        </w:rPr>
        <w:lastRenderedPageBreak/>
        <w:t xml:space="preserve">Therefore, expenditure data reported from 2021-22 are not directly comparable to previous years. While </w:t>
      </w:r>
      <w:r w:rsidR="002E71F4">
        <w:rPr>
          <w:sz w:val="22"/>
          <w:szCs w:val="22"/>
        </w:rPr>
        <w:t>e</w:t>
      </w:r>
      <w:r w:rsidR="00F32410" w:rsidRPr="00411A2E">
        <w:rPr>
          <w:sz w:val="22"/>
          <w:szCs w:val="22"/>
        </w:rPr>
        <w:t xml:space="preserve">xpenditure on home care in 2021-22 was $4.4 billion, the total amount allocated to meet </w:t>
      </w:r>
      <w:r w:rsidR="007C3C85">
        <w:rPr>
          <w:sz w:val="22"/>
          <w:szCs w:val="22"/>
        </w:rPr>
        <w:t xml:space="preserve">the </w:t>
      </w:r>
      <w:r w:rsidR="00F32410" w:rsidRPr="00411A2E">
        <w:rPr>
          <w:sz w:val="22"/>
          <w:szCs w:val="22"/>
        </w:rPr>
        <w:t>full entitlement was $5.5 billion ($1.1 billion in unspent funds held by the government).</w:t>
      </w:r>
    </w:p>
    <w:p w14:paraId="7FA6EFA4" w14:textId="6049919D" w:rsidR="009948DB" w:rsidRPr="00484658" w:rsidRDefault="00A32435" w:rsidP="00484658">
      <w:pPr>
        <w:pStyle w:val="Heading3"/>
      </w:pPr>
      <w:r w:rsidRPr="00484658">
        <w:t>Unspent funds and home care account balance</w:t>
      </w:r>
    </w:p>
    <w:p w14:paraId="60C85D47" w14:textId="7A835B6C" w:rsidR="00BC5181" w:rsidRPr="00BC5181" w:rsidRDefault="00BC5181" w:rsidP="00A07F1A">
      <w:r w:rsidRPr="00BC5181">
        <w:t>Unspent funds are the total amount of </w:t>
      </w:r>
      <w:r w:rsidR="16FEC8A1" w:rsidRPr="69578B52">
        <w:t xml:space="preserve">a </w:t>
      </w:r>
      <w:r w:rsidR="008E750E">
        <w:t>recipient’s</w:t>
      </w:r>
      <w:r w:rsidR="008E750E" w:rsidRPr="5CD72796">
        <w:t xml:space="preserve"> </w:t>
      </w:r>
      <w:r w:rsidR="16FEC8A1" w:rsidRPr="5CD72796">
        <w:t xml:space="preserve">package </w:t>
      </w:r>
      <w:r w:rsidR="16FEC8A1" w:rsidRPr="69578B52">
        <w:t xml:space="preserve">funds </w:t>
      </w:r>
      <w:r w:rsidR="16FEC8A1" w:rsidRPr="5CD72796">
        <w:t xml:space="preserve">which </w:t>
      </w:r>
      <w:r w:rsidR="00C42B17">
        <w:t>have</w:t>
      </w:r>
      <w:r w:rsidR="00C42B17" w:rsidRPr="5CD72796">
        <w:t xml:space="preserve"> </w:t>
      </w:r>
      <w:r w:rsidR="16FEC8A1" w:rsidRPr="5CD72796">
        <w:t xml:space="preserve">accrued but not yet been </w:t>
      </w:r>
      <w:r w:rsidR="00C42B17">
        <w:t>spent</w:t>
      </w:r>
      <w:r w:rsidR="16FEC8A1" w:rsidRPr="5CD72796">
        <w:t xml:space="preserve"> on </w:t>
      </w:r>
      <w:r w:rsidR="16FEC8A1" w:rsidRPr="69578B52">
        <w:t xml:space="preserve">goods or services. The source of these </w:t>
      </w:r>
      <w:r w:rsidR="16FEC8A1" w:rsidRPr="4AD84EF6">
        <w:t xml:space="preserve">funds can be Australian Government </w:t>
      </w:r>
      <w:r w:rsidR="33772022" w:rsidRPr="4AD84EF6">
        <w:t>subsid</w:t>
      </w:r>
      <w:r w:rsidR="7C137575" w:rsidRPr="4AD84EF6">
        <w:t xml:space="preserve">ies or </w:t>
      </w:r>
      <w:r w:rsidRPr="00BC5181">
        <w:t>fees </w:t>
      </w:r>
      <w:r w:rsidR="7E9BE58C" w:rsidRPr="4AD84EF6">
        <w:t xml:space="preserve">collected from the </w:t>
      </w:r>
      <w:r w:rsidR="00E87DB4">
        <w:t>recipient</w:t>
      </w:r>
      <w:r w:rsidRPr="00BC5181">
        <w:t>.</w:t>
      </w:r>
    </w:p>
    <w:p w14:paraId="01AF4EF4" w14:textId="77777777" w:rsidR="00BC5181" w:rsidRPr="00BC5181" w:rsidRDefault="00BC5181" w:rsidP="00A07F1A">
      <w:r w:rsidRPr="00BC5181">
        <w:t>Unspent funds are held by either:</w:t>
      </w:r>
    </w:p>
    <w:p w14:paraId="3D74982B" w14:textId="5BA72520" w:rsidR="00BC5181" w:rsidRPr="003D717D" w:rsidRDefault="00BC5181" w:rsidP="003D717D">
      <w:pPr>
        <w:pStyle w:val="ListBullet"/>
      </w:pPr>
      <w:r w:rsidRPr="008E2604">
        <w:t xml:space="preserve">the provider – these funds are split into the </w:t>
      </w:r>
      <w:r w:rsidR="00ED511D" w:rsidRPr="008E2604">
        <w:t xml:space="preserve">Australian </w:t>
      </w:r>
      <w:r w:rsidR="00212C70" w:rsidRPr="008E2604">
        <w:t xml:space="preserve">Government </w:t>
      </w:r>
      <w:r w:rsidRPr="008E2604">
        <w:t xml:space="preserve">(subsidy) and care recipient (fees) </w:t>
      </w:r>
      <w:proofErr w:type="gramStart"/>
      <w:r w:rsidRPr="008E2604">
        <w:t>portions</w:t>
      </w:r>
      <w:proofErr w:type="gramEnd"/>
    </w:p>
    <w:p w14:paraId="3CFE85F0" w14:textId="77777777" w:rsidR="00BC5181" w:rsidRPr="008E2604" w:rsidRDefault="00BC5181" w:rsidP="003D717D">
      <w:pPr>
        <w:pStyle w:val="ListBullet"/>
      </w:pPr>
      <w:r w:rsidRPr="003D717D">
        <w:t>the Government – in a home care account</w:t>
      </w:r>
      <w:r w:rsidRPr="008E2604">
        <w:t xml:space="preserve"> for the person</w:t>
      </w:r>
    </w:p>
    <w:p w14:paraId="32E14036" w14:textId="4F8E1305" w:rsidR="61A80808" w:rsidRDefault="6BBDFBA0">
      <w:r>
        <w:t xml:space="preserve">The </w:t>
      </w:r>
      <w:r w:rsidR="009B5745">
        <w:t>20</w:t>
      </w:r>
      <w:r w:rsidR="0066711B">
        <w:t xml:space="preserve">19-20 </w:t>
      </w:r>
      <w:r w:rsidR="009B5745">
        <w:t>B</w:t>
      </w:r>
      <w:r>
        <w:t>udget measure</w:t>
      </w:r>
      <w:r w:rsidR="00BD3285">
        <w:t>,</w:t>
      </w:r>
      <w:r>
        <w:t xml:space="preserve"> Improved Payment Arrangements for </w:t>
      </w:r>
      <w:r w:rsidR="00C20BBF">
        <w:t>HCP Program</w:t>
      </w:r>
      <w:r w:rsidR="00A11321">
        <w:t xml:space="preserve"> </w:t>
      </w:r>
      <w:r>
        <w:t xml:space="preserve">was implemented in stages. From 1 September 2021, changes to the treatment of unspent funds mean that unspent funds no longer accrue with providers but instead accrue in a care recipient’s Home Care Account managed by Services Australia. While many providers still hold unspent funds on behalf of care recipients from before 1 September 2021, these funds will be used to meet care recipient needs and </w:t>
      </w:r>
      <w:r w:rsidR="00AC3838">
        <w:t>will either</w:t>
      </w:r>
      <w:r>
        <w:t xml:space="preserve"> reduce over time or be returned to the Australian Government on exit.</w:t>
      </w:r>
    </w:p>
    <w:p w14:paraId="2AD7D7AA" w14:textId="3C900E18" w:rsidR="00826E57" w:rsidRDefault="00826E57" w:rsidP="00CA3E70">
      <w:r>
        <w:t xml:space="preserve">Unspent funds </w:t>
      </w:r>
      <w:r w:rsidR="003469B4">
        <w:t xml:space="preserve">and Home Care Account </w:t>
      </w:r>
      <w:r w:rsidR="00FE5939">
        <w:t>B</w:t>
      </w:r>
      <w:r w:rsidR="003469B4">
        <w:t xml:space="preserve">alances </w:t>
      </w:r>
      <w:r>
        <w:t xml:space="preserve">accumulate for a variety of reasons, including: </w:t>
      </w:r>
    </w:p>
    <w:p w14:paraId="57A4700F" w14:textId="086D4617" w:rsidR="00826E57" w:rsidRDefault="00E87DB4" w:rsidP="003D717D">
      <w:pPr>
        <w:pStyle w:val="ListBullet"/>
      </w:pPr>
      <w:r>
        <w:t xml:space="preserve">recipients </w:t>
      </w:r>
      <w:r w:rsidR="00826E57">
        <w:t xml:space="preserve">wish to save a proportion of their budget for future </w:t>
      </w:r>
      <w:proofErr w:type="gramStart"/>
      <w:r w:rsidR="00826E57">
        <w:t>events</w:t>
      </w:r>
      <w:proofErr w:type="gramEnd"/>
      <w:r w:rsidR="00826E57">
        <w:t xml:space="preserve"> </w:t>
      </w:r>
    </w:p>
    <w:p w14:paraId="2A0490DE" w14:textId="63268418" w:rsidR="00826E57" w:rsidRDefault="00826E57" w:rsidP="003D717D">
      <w:pPr>
        <w:pStyle w:val="ListBullet"/>
      </w:pPr>
      <w:r>
        <w:t xml:space="preserve">the services that the </w:t>
      </w:r>
      <w:r w:rsidR="00E87DB4">
        <w:t xml:space="preserve">recipient </w:t>
      </w:r>
      <w:r>
        <w:t>wants are not </w:t>
      </w:r>
      <w:proofErr w:type="gramStart"/>
      <w:r>
        <w:t>available</w:t>
      </w:r>
      <w:proofErr w:type="gramEnd"/>
      <w:r>
        <w:t xml:space="preserve"> </w:t>
      </w:r>
    </w:p>
    <w:p w14:paraId="380EBF15" w14:textId="57A67F35" w:rsidR="00826E57" w:rsidRDefault="00826E57" w:rsidP="003D717D">
      <w:pPr>
        <w:pStyle w:val="ListBullet"/>
      </w:pPr>
      <w:r>
        <w:t xml:space="preserve">the </w:t>
      </w:r>
      <w:r w:rsidR="00AE05B9">
        <w:t xml:space="preserve">recipient </w:t>
      </w:r>
      <w:r>
        <w:t>is reluctant to allow people into their </w:t>
      </w:r>
      <w:proofErr w:type="gramStart"/>
      <w:r>
        <w:t>home</w:t>
      </w:r>
      <w:proofErr w:type="gramEnd"/>
      <w:r>
        <w:t xml:space="preserve"> </w:t>
      </w:r>
    </w:p>
    <w:p w14:paraId="533742B5" w14:textId="296B0313" w:rsidR="00826E57" w:rsidRDefault="00826E57" w:rsidP="003D717D">
      <w:pPr>
        <w:pStyle w:val="ListBullet"/>
      </w:pPr>
      <w:r>
        <w:t xml:space="preserve">misconceptions that the money not spent under the package belongs to the </w:t>
      </w:r>
      <w:r w:rsidR="00AE05B9">
        <w:t xml:space="preserve">recipient </w:t>
      </w:r>
      <w:r>
        <w:t xml:space="preserve">or </w:t>
      </w:r>
    </w:p>
    <w:p w14:paraId="4AB2BDC0" w14:textId="0961BC2F" w:rsidR="00826E57" w:rsidRDefault="00826E57" w:rsidP="003D717D">
      <w:pPr>
        <w:pStyle w:val="ListBullet"/>
      </w:pPr>
      <w:r>
        <w:t xml:space="preserve">the </w:t>
      </w:r>
      <w:r w:rsidR="00AE05B9">
        <w:t xml:space="preserve">recipient </w:t>
      </w:r>
      <w:r>
        <w:t xml:space="preserve">does not require all the funds allocated to them. </w:t>
      </w:r>
    </w:p>
    <w:p w14:paraId="55B3941B" w14:textId="197D308D" w:rsidR="417FB1EB" w:rsidRDefault="1BC4D1D3" w:rsidP="417FB1EB">
      <w:r>
        <w:t>The total</w:t>
      </w:r>
      <w:r w:rsidR="0086614A">
        <w:t xml:space="preserve"> amount of</w:t>
      </w:r>
      <w:r>
        <w:t xml:space="preserve"> unspent funds </w:t>
      </w:r>
      <w:proofErr w:type="gramStart"/>
      <w:r>
        <w:t>at</w:t>
      </w:r>
      <w:proofErr w:type="gramEnd"/>
      <w:r>
        <w:t xml:space="preserve"> 30 June 2022 </w:t>
      </w:r>
      <w:r w:rsidRPr="00F37FB3">
        <w:t xml:space="preserve">was </w:t>
      </w:r>
      <w:r w:rsidRPr="00095FD5">
        <w:t>$2.3 billion, a</w:t>
      </w:r>
      <w:r w:rsidR="0078461A">
        <w:t xml:space="preserve">n increase </w:t>
      </w:r>
      <w:r w:rsidRPr="00095FD5">
        <w:t>on the 30 June 2021 amount of $1.7 billion</w:t>
      </w:r>
      <w:r w:rsidRPr="00F37FB3">
        <w:t>.</w:t>
      </w:r>
      <w:r w:rsidR="001F7003">
        <w:t xml:space="preserve"> The total unspent funds are the sum of </w:t>
      </w:r>
      <w:r w:rsidR="00B70EDC">
        <w:t xml:space="preserve">the Home Care Account </w:t>
      </w:r>
      <w:r w:rsidR="00FE5939">
        <w:t>B</w:t>
      </w:r>
      <w:r w:rsidR="00B70EDC">
        <w:t>alance held by Services Australia on behalf of the recipient ($1.23 billion) and the unspent funds held by providers</w:t>
      </w:r>
      <w:r w:rsidR="00155383">
        <w:t xml:space="preserve"> (accum</w:t>
      </w:r>
      <w:r w:rsidR="009F31B0">
        <w:t xml:space="preserve">ulated prior to 1 </w:t>
      </w:r>
      <w:r w:rsidR="004939F2">
        <w:t>September 2021)</w:t>
      </w:r>
      <w:r w:rsidR="00B70EDC">
        <w:t xml:space="preserve"> on behalf of the recipient (</w:t>
      </w:r>
      <w:r w:rsidR="00FA4779">
        <w:t>$1.07 billion).</w:t>
      </w:r>
      <w:r w:rsidR="00B70EDC">
        <w:t xml:space="preserve"> </w:t>
      </w:r>
    </w:p>
    <w:p w14:paraId="2BFA0E05" w14:textId="41A9ED61" w:rsidR="00A368AE" w:rsidRDefault="00A368AE" w:rsidP="417FB1EB">
      <w:r>
        <w:t>Over time, it can be expected that the unspent funds balance will diminish, and the Home Care Account Balance will fluctuate according to market demand and supply</w:t>
      </w:r>
      <w:r w:rsidR="00AE2B65">
        <w:t>.</w:t>
      </w:r>
    </w:p>
    <w:p w14:paraId="1C88AED7" w14:textId="4A057124" w:rsidR="00570698" w:rsidRDefault="00570698" w:rsidP="00972799">
      <w:pPr>
        <w:pStyle w:val="Heading2"/>
      </w:pPr>
      <w:bookmarkStart w:id="29" w:name="_Toc149245306"/>
      <w:r>
        <w:t>Financial summary</w:t>
      </w:r>
      <w:bookmarkEnd w:id="29"/>
    </w:p>
    <w:p w14:paraId="47740A6D" w14:textId="27C1DEF3" w:rsidR="00AC437D" w:rsidRPr="00484658" w:rsidRDefault="00054A51" w:rsidP="00DD03B9">
      <w:r>
        <w:rPr>
          <w:color w:val="FF0000"/>
        </w:rPr>
        <w:fldChar w:fldCharType="begin"/>
      </w:r>
      <w:r>
        <w:rPr>
          <w:color w:val="FF0000"/>
        </w:rPr>
        <w:instrText xml:space="preserve"> REF _Ref139547666 \h </w:instrText>
      </w:r>
      <w:r>
        <w:rPr>
          <w:color w:val="FF0000"/>
        </w:rPr>
      </w:r>
      <w:r>
        <w:rPr>
          <w:color w:val="FF0000"/>
        </w:rPr>
        <w:fldChar w:fldCharType="separate"/>
      </w:r>
      <w:r w:rsidR="00294B02">
        <w:t xml:space="preserve">Table </w:t>
      </w:r>
      <w:r w:rsidR="00294B02">
        <w:rPr>
          <w:noProof/>
        </w:rPr>
        <w:t>1</w:t>
      </w:r>
      <w:r w:rsidR="00294B02">
        <w:t>.</w:t>
      </w:r>
      <w:r w:rsidR="00294B02">
        <w:rPr>
          <w:noProof/>
        </w:rPr>
        <w:t>3</w:t>
      </w:r>
      <w:r>
        <w:rPr>
          <w:color w:val="FF0000"/>
        </w:rPr>
        <w:fldChar w:fldCharType="end"/>
      </w:r>
      <w:r w:rsidR="00254F9E">
        <w:rPr>
          <w:color w:val="FF0000"/>
        </w:rPr>
        <w:t xml:space="preserve"> </w:t>
      </w:r>
      <w:r w:rsidR="00DD03B9">
        <w:t>provides an overview of the 2021-22 financial performance of home care</w:t>
      </w:r>
      <w:r w:rsidR="00DD03B9">
        <w:rPr>
          <w:spacing w:val="80"/>
          <w:w w:val="150"/>
        </w:rPr>
        <w:t xml:space="preserve"> </w:t>
      </w:r>
      <w:r w:rsidR="00DD03B9">
        <w:t>providers,</w:t>
      </w:r>
      <w:r w:rsidR="00DD03B9">
        <w:rPr>
          <w:spacing w:val="40"/>
        </w:rPr>
        <w:t xml:space="preserve"> </w:t>
      </w:r>
      <w:r w:rsidR="00DD03B9">
        <w:t>including</w:t>
      </w:r>
      <w:r w:rsidR="00DD03B9">
        <w:rPr>
          <w:spacing w:val="40"/>
        </w:rPr>
        <w:t xml:space="preserve"> </w:t>
      </w:r>
      <w:r w:rsidR="00DD03B9">
        <w:t>a</w:t>
      </w:r>
      <w:r w:rsidR="00DD03B9">
        <w:rPr>
          <w:spacing w:val="40"/>
        </w:rPr>
        <w:t xml:space="preserve"> </w:t>
      </w:r>
      <w:r w:rsidR="00DD03B9">
        <w:t>breakdown</w:t>
      </w:r>
      <w:r w:rsidR="00DD03B9">
        <w:rPr>
          <w:spacing w:val="40"/>
        </w:rPr>
        <w:t xml:space="preserve"> </w:t>
      </w:r>
      <w:r w:rsidR="00DD03B9">
        <w:t>by</w:t>
      </w:r>
      <w:r w:rsidR="00DD03B9">
        <w:rPr>
          <w:spacing w:val="40"/>
        </w:rPr>
        <w:t xml:space="preserve"> </w:t>
      </w:r>
      <w:r w:rsidR="00DD03B9">
        <w:t>ownership</w:t>
      </w:r>
      <w:r w:rsidR="00DD03B9">
        <w:rPr>
          <w:spacing w:val="40"/>
        </w:rPr>
        <w:t xml:space="preserve"> </w:t>
      </w:r>
      <w:r w:rsidR="00DD03B9">
        <w:t>type,</w:t>
      </w:r>
      <w:r w:rsidR="00DD03B9">
        <w:rPr>
          <w:spacing w:val="40"/>
        </w:rPr>
        <w:t xml:space="preserve"> </w:t>
      </w:r>
      <w:proofErr w:type="gramStart"/>
      <w:r w:rsidR="00DD03B9">
        <w:t>location</w:t>
      </w:r>
      <w:proofErr w:type="gramEnd"/>
      <w:r w:rsidR="00DD03B9">
        <w:rPr>
          <w:spacing w:val="40"/>
        </w:rPr>
        <w:t xml:space="preserve"> </w:t>
      </w:r>
      <w:r w:rsidR="00DD03B9">
        <w:t>and</w:t>
      </w:r>
      <w:r w:rsidR="00DD03B9">
        <w:rPr>
          <w:spacing w:val="40"/>
        </w:rPr>
        <w:t xml:space="preserve"> </w:t>
      </w:r>
      <w:r w:rsidR="00DD03B9">
        <w:t>scale</w:t>
      </w:r>
      <w:r w:rsidR="00DD03B9" w:rsidRPr="00484658">
        <w:t>.</w:t>
      </w:r>
    </w:p>
    <w:p w14:paraId="2FCE5F53" w14:textId="01135D76" w:rsidR="00AC437D" w:rsidRDefault="00054A51" w:rsidP="00054A51">
      <w:pPr>
        <w:pStyle w:val="Caption"/>
      </w:pPr>
      <w:bookmarkStart w:id="30" w:name="_Ref139547666"/>
      <w:bookmarkStart w:id="31" w:name="_Toc149245266"/>
      <w:r>
        <w:lastRenderedPageBreak/>
        <w:t xml:space="preserve">Table </w:t>
      </w:r>
      <w:r>
        <w:fldChar w:fldCharType="begin"/>
      </w:r>
      <w:r>
        <w:instrText>STYLEREF 1 \s</w:instrText>
      </w:r>
      <w:r>
        <w:fldChar w:fldCharType="separate"/>
      </w:r>
      <w:r w:rsidR="00294B02">
        <w:rPr>
          <w:noProof/>
        </w:rPr>
        <w:t>1</w:t>
      </w:r>
      <w:r>
        <w:fldChar w:fldCharType="end"/>
      </w:r>
      <w:r w:rsidR="002E758C">
        <w:t>.</w:t>
      </w:r>
      <w:r>
        <w:fldChar w:fldCharType="begin"/>
      </w:r>
      <w:r>
        <w:instrText>SEQ Table \* ARABIC \s 1</w:instrText>
      </w:r>
      <w:r>
        <w:fldChar w:fldCharType="separate"/>
      </w:r>
      <w:r w:rsidR="00294B02">
        <w:rPr>
          <w:noProof/>
        </w:rPr>
        <w:t>3</w:t>
      </w:r>
      <w:r>
        <w:fldChar w:fldCharType="end"/>
      </w:r>
      <w:bookmarkEnd w:id="30"/>
      <w:r>
        <w:t xml:space="preserve">: </w:t>
      </w:r>
      <w:r w:rsidRPr="00E270EF">
        <w:t>Summary of financial performance of home care providers, 2021-22</w:t>
      </w:r>
      <w:bookmarkEnd w:id="31"/>
    </w:p>
    <w:tbl>
      <w:tblPr>
        <w:tblStyle w:val="DepartmentofHealthtable"/>
        <w:tblW w:w="5000" w:type="pct"/>
        <w:tblLook w:val="04A0" w:firstRow="1" w:lastRow="0" w:firstColumn="1" w:lastColumn="0" w:noHBand="0" w:noVBand="1"/>
      </w:tblPr>
      <w:tblGrid>
        <w:gridCol w:w="1360"/>
        <w:gridCol w:w="792"/>
        <w:gridCol w:w="792"/>
        <w:gridCol w:w="793"/>
        <w:gridCol w:w="684"/>
        <w:gridCol w:w="793"/>
        <w:gridCol w:w="684"/>
        <w:gridCol w:w="793"/>
        <w:gridCol w:w="793"/>
        <w:gridCol w:w="793"/>
        <w:gridCol w:w="793"/>
      </w:tblGrid>
      <w:tr w:rsidR="00374390" w:rsidRPr="00484658" w14:paraId="094E0DB7" w14:textId="77777777" w:rsidTr="00374390">
        <w:trPr>
          <w:cnfStyle w:val="100000000000" w:firstRow="1" w:lastRow="0" w:firstColumn="0" w:lastColumn="0" w:oddVBand="0" w:evenVBand="0" w:oddHBand="0" w:evenHBand="0" w:firstRowFirstColumn="0" w:firstRowLastColumn="0" w:lastRowFirstColumn="0" w:lastRowLastColumn="0"/>
          <w:cantSplit/>
          <w:trHeight w:val="2713"/>
        </w:trPr>
        <w:tc>
          <w:tcPr>
            <w:cnfStyle w:val="001000000000" w:firstRow="0" w:lastRow="0" w:firstColumn="1" w:lastColumn="0" w:oddVBand="0" w:evenVBand="0" w:oddHBand="0" w:evenHBand="0" w:firstRowFirstColumn="0" w:firstRowLastColumn="0" w:lastRowFirstColumn="0" w:lastRowLastColumn="0"/>
            <w:tcW w:w="608" w:type="pct"/>
            <w:textDirection w:val="btLr"/>
            <w:hideMark/>
          </w:tcPr>
          <w:p w14:paraId="6085F54C" w14:textId="77777777" w:rsidR="00E64935" w:rsidRPr="0054370B" w:rsidRDefault="00E64935" w:rsidP="0054370B">
            <w:pPr>
              <w:pStyle w:val="TableHeaderWhite"/>
            </w:pPr>
            <w:r w:rsidRPr="0054370B">
              <w:t> </w:t>
            </w:r>
          </w:p>
        </w:tc>
        <w:tc>
          <w:tcPr>
            <w:tcW w:w="453" w:type="pct"/>
            <w:textDirection w:val="btLr"/>
            <w:hideMark/>
          </w:tcPr>
          <w:p w14:paraId="0E2047BE"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 All providers </w:t>
            </w:r>
          </w:p>
        </w:tc>
        <w:tc>
          <w:tcPr>
            <w:tcW w:w="453" w:type="pct"/>
            <w:textDirection w:val="btLr"/>
            <w:hideMark/>
          </w:tcPr>
          <w:p w14:paraId="076D036B"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 For profit </w:t>
            </w:r>
          </w:p>
        </w:tc>
        <w:tc>
          <w:tcPr>
            <w:tcW w:w="453" w:type="pct"/>
            <w:textDirection w:val="btLr"/>
            <w:hideMark/>
          </w:tcPr>
          <w:p w14:paraId="7C28C69B"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 Not for profit </w:t>
            </w:r>
          </w:p>
        </w:tc>
        <w:tc>
          <w:tcPr>
            <w:tcW w:w="385" w:type="pct"/>
            <w:textDirection w:val="btLr"/>
            <w:hideMark/>
          </w:tcPr>
          <w:p w14:paraId="435824FD"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LST government </w:t>
            </w:r>
          </w:p>
        </w:tc>
        <w:tc>
          <w:tcPr>
            <w:tcW w:w="453" w:type="pct"/>
            <w:textDirection w:val="btLr"/>
            <w:hideMark/>
          </w:tcPr>
          <w:p w14:paraId="278FE158"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 Metropolitan </w:t>
            </w:r>
          </w:p>
        </w:tc>
        <w:tc>
          <w:tcPr>
            <w:tcW w:w="385" w:type="pct"/>
            <w:textDirection w:val="btLr"/>
            <w:hideMark/>
          </w:tcPr>
          <w:p w14:paraId="55C4A1DE"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 Regional </w:t>
            </w:r>
          </w:p>
        </w:tc>
        <w:tc>
          <w:tcPr>
            <w:tcW w:w="453" w:type="pct"/>
            <w:textDirection w:val="btLr"/>
            <w:hideMark/>
          </w:tcPr>
          <w:p w14:paraId="7382A4A0"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 Metropolitan and Regional </w:t>
            </w:r>
          </w:p>
        </w:tc>
        <w:tc>
          <w:tcPr>
            <w:tcW w:w="453" w:type="pct"/>
            <w:textDirection w:val="btLr"/>
            <w:hideMark/>
          </w:tcPr>
          <w:p w14:paraId="75F28C4D"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 Single Service </w:t>
            </w:r>
          </w:p>
        </w:tc>
        <w:tc>
          <w:tcPr>
            <w:tcW w:w="453" w:type="pct"/>
            <w:textDirection w:val="btLr"/>
            <w:hideMark/>
          </w:tcPr>
          <w:p w14:paraId="74FD61AD"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 2 to 6 Services </w:t>
            </w:r>
          </w:p>
        </w:tc>
        <w:tc>
          <w:tcPr>
            <w:tcW w:w="453" w:type="pct"/>
            <w:textDirection w:val="btLr"/>
            <w:hideMark/>
          </w:tcPr>
          <w:p w14:paraId="379925DB" w14:textId="77777777" w:rsidR="00E64935" w:rsidRPr="0054370B" w:rsidRDefault="00E64935"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 xml:space="preserve"> 7 and More Services </w:t>
            </w:r>
          </w:p>
        </w:tc>
      </w:tr>
      <w:tr w:rsidR="0046452D" w:rsidRPr="00484658" w14:paraId="6AE7FAE6" w14:textId="77777777" w:rsidTr="0046452D">
        <w:trPr>
          <w:trHeight w:val="311"/>
        </w:trPr>
        <w:tc>
          <w:tcPr>
            <w:cnfStyle w:val="001000000000" w:firstRow="0" w:lastRow="0" w:firstColumn="1" w:lastColumn="0" w:oddVBand="0" w:evenVBand="0" w:oddHBand="0" w:evenHBand="0" w:firstRowFirstColumn="0" w:firstRowLastColumn="0" w:lastRowFirstColumn="0" w:lastRowLastColumn="0"/>
            <w:tcW w:w="608" w:type="pct"/>
            <w:noWrap/>
            <w:hideMark/>
          </w:tcPr>
          <w:p w14:paraId="1270E014" w14:textId="3E353FE3" w:rsidR="00E64935" w:rsidRPr="00484658" w:rsidRDefault="00E64935" w:rsidP="00E3079D">
            <w:pPr>
              <w:pStyle w:val="TableofAuthorities"/>
            </w:pPr>
            <w:r w:rsidRPr="00484658">
              <w:t>Total revenue</w:t>
            </w:r>
            <w:r w:rsidR="004A30D3" w:rsidRPr="00484658">
              <w:t>($m)</w:t>
            </w:r>
          </w:p>
        </w:tc>
        <w:tc>
          <w:tcPr>
            <w:tcW w:w="453" w:type="pct"/>
            <w:noWrap/>
            <w:hideMark/>
          </w:tcPr>
          <w:p w14:paraId="0F511465" w14:textId="40809EB6"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$4,689.80 </w:t>
            </w:r>
          </w:p>
        </w:tc>
        <w:tc>
          <w:tcPr>
            <w:tcW w:w="453" w:type="pct"/>
            <w:noWrap/>
            <w:hideMark/>
          </w:tcPr>
          <w:p w14:paraId="348811DA" w14:textId="1FD74650"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$1,521.00 </w:t>
            </w:r>
          </w:p>
        </w:tc>
        <w:tc>
          <w:tcPr>
            <w:tcW w:w="453" w:type="pct"/>
            <w:noWrap/>
            <w:hideMark/>
          </w:tcPr>
          <w:p w14:paraId="6321A3A5" w14:textId="7BB23301"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$2,910.90</w:t>
            </w:r>
          </w:p>
        </w:tc>
        <w:tc>
          <w:tcPr>
            <w:tcW w:w="385" w:type="pct"/>
            <w:noWrap/>
            <w:hideMark/>
          </w:tcPr>
          <w:p w14:paraId="1C8FEDC6" w14:textId="6508EC9D"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$258.00</w:t>
            </w:r>
          </w:p>
        </w:tc>
        <w:tc>
          <w:tcPr>
            <w:tcW w:w="453" w:type="pct"/>
            <w:noWrap/>
            <w:hideMark/>
          </w:tcPr>
          <w:p w14:paraId="58A18FEF" w14:textId="6992D6AA"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$3,091.60 </w:t>
            </w:r>
          </w:p>
        </w:tc>
        <w:tc>
          <w:tcPr>
            <w:tcW w:w="385" w:type="pct"/>
            <w:noWrap/>
            <w:hideMark/>
          </w:tcPr>
          <w:p w14:paraId="491B96D8" w14:textId="1017473F"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$781.60 </w:t>
            </w:r>
          </w:p>
        </w:tc>
        <w:tc>
          <w:tcPr>
            <w:tcW w:w="453" w:type="pct"/>
            <w:noWrap/>
            <w:hideMark/>
          </w:tcPr>
          <w:p w14:paraId="4276C033" w14:textId="5C9B451D"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$816.70 </w:t>
            </w:r>
          </w:p>
        </w:tc>
        <w:tc>
          <w:tcPr>
            <w:tcW w:w="453" w:type="pct"/>
            <w:noWrap/>
            <w:hideMark/>
          </w:tcPr>
          <w:p w14:paraId="60B8354C" w14:textId="350C816F"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$1,591.20 </w:t>
            </w:r>
          </w:p>
        </w:tc>
        <w:tc>
          <w:tcPr>
            <w:tcW w:w="453" w:type="pct"/>
            <w:noWrap/>
            <w:hideMark/>
          </w:tcPr>
          <w:p w14:paraId="15E19D79" w14:textId="56979E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$1,037.60 </w:t>
            </w:r>
          </w:p>
        </w:tc>
        <w:tc>
          <w:tcPr>
            <w:tcW w:w="453" w:type="pct"/>
            <w:noWrap/>
            <w:hideMark/>
          </w:tcPr>
          <w:p w14:paraId="0B62DDE9" w14:textId="79681782"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$2,061.00 </w:t>
            </w:r>
          </w:p>
        </w:tc>
      </w:tr>
      <w:tr w:rsidR="0046452D" w:rsidRPr="00484658" w14:paraId="1795A222" w14:textId="77777777" w:rsidTr="0046452D">
        <w:trPr>
          <w:trHeight w:val="311"/>
        </w:trPr>
        <w:tc>
          <w:tcPr>
            <w:cnfStyle w:val="001000000000" w:firstRow="0" w:lastRow="0" w:firstColumn="1" w:lastColumn="0" w:oddVBand="0" w:evenVBand="0" w:oddHBand="0" w:evenHBand="0" w:firstRowFirstColumn="0" w:firstRowLastColumn="0" w:lastRowFirstColumn="0" w:lastRowLastColumn="0"/>
            <w:tcW w:w="608" w:type="pct"/>
            <w:noWrap/>
            <w:hideMark/>
          </w:tcPr>
          <w:p w14:paraId="60913FCA" w14:textId="08906CEF" w:rsidR="00E64935" w:rsidRPr="00484658" w:rsidRDefault="00E64935" w:rsidP="00E3079D">
            <w:pPr>
              <w:pStyle w:val="TableofAuthorities"/>
            </w:pPr>
            <w:r w:rsidRPr="00484658">
              <w:t>Total expenses</w:t>
            </w:r>
            <w:r w:rsidR="004A30D3" w:rsidRPr="00484658">
              <w:t>($m)</w:t>
            </w:r>
          </w:p>
        </w:tc>
        <w:tc>
          <w:tcPr>
            <w:tcW w:w="453" w:type="pct"/>
            <w:noWrap/>
            <w:hideMark/>
          </w:tcPr>
          <w:p w14:paraId="3F491A80" w14:textId="450BBCD2"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$4,492.40 </w:t>
            </w:r>
          </w:p>
        </w:tc>
        <w:tc>
          <w:tcPr>
            <w:tcW w:w="453" w:type="pct"/>
            <w:noWrap/>
            <w:hideMark/>
          </w:tcPr>
          <w:p w14:paraId="728A6C79" w14:textId="50473396"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$1,446.80 </w:t>
            </w:r>
          </w:p>
        </w:tc>
        <w:tc>
          <w:tcPr>
            <w:tcW w:w="453" w:type="pct"/>
            <w:noWrap/>
            <w:hideMark/>
          </w:tcPr>
          <w:p w14:paraId="43706534" w14:textId="7E5BA23F"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$2,795.90</w:t>
            </w:r>
          </w:p>
        </w:tc>
        <w:tc>
          <w:tcPr>
            <w:tcW w:w="385" w:type="pct"/>
            <w:noWrap/>
            <w:hideMark/>
          </w:tcPr>
          <w:p w14:paraId="49E7507C" w14:textId="21CD88E1"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$249.70</w:t>
            </w:r>
          </w:p>
        </w:tc>
        <w:tc>
          <w:tcPr>
            <w:tcW w:w="453" w:type="pct"/>
            <w:noWrap/>
            <w:hideMark/>
          </w:tcPr>
          <w:p w14:paraId="4A0781A8" w14:textId="61DD26B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$2,946.60 </w:t>
            </w:r>
          </w:p>
        </w:tc>
        <w:tc>
          <w:tcPr>
            <w:tcW w:w="385" w:type="pct"/>
            <w:noWrap/>
            <w:hideMark/>
          </w:tcPr>
          <w:p w14:paraId="1D05F75B" w14:textId="6E3A5EAF"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$773.10 </w:t>
            </w:r>
          </w:p>
        </w:tc>
        <w:tc>
          <w:tcPr>
            <w:tcW w:w="453" w:type="pct"/>
            <w:noWrap/>
            <w:hideMark/>
          </w:tcPr>
          <w:p w14:paraId="08EF1210" w14:textId="7609A1E3"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$772.70 </w:t>
            </w:r>
          </w:p>
        </w:tc>
        <w:tc>
          <w:tcPr>
            <w:tcW w:w="453" w:type="pct"/>
            <w:noWrap/>
            <w:hideMark/>
          </w:tcPr>
          <w:p w14:paraId="5694A589" w14:textId="74AFE3E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$1,492.00 </w:t>
            </w:r>
          </w:p>
        </w:tc>
        <w:tc>
          <w:tcPr>
            <w:tcW w:w="453" w:type="pct"/>
            <w:noWrap/>
            <w:hideMark/>
          </w:tcPr>
          <w:p w14:paraId="1F9F5BAD" w14:textId="053DB941"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$1,003.40 </w:t>
            </w:r>
          </w:p>
        </w:tc>
        <w:tc>
          <w:tcPr>
            <w:tcW w:w="453" w:type="pct"/>
            <w:noWrap/>
            <w:hideMark/>
          </w:tcPr>
          <w:p w14:paraId="3F8CCCB2" w14:textId="7318C5AF"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$1,997.00 </w:t>
            </w:r>
          </w:p>
        </w:tc>
      </w:tr>
      <w:tr w:rsidR="0046452D" w:rsidRPr="00484658" w14:paraId="0B694B66" w14:textId="77777777" w:rsidTr="0046452D">
        <w:trPr>
          <w:trHeight w:val="311"/>
        </w:trPr>
        <w:tc>
          <w:tcPr>
            <w:cnfStyle w:val="001000000000" w:firstRow="0" w:lastRow="0" w:firstColumn="1" w:lastColumn="0" w:oddVBand="0" w:evenVBand="0" w:oddHBand="0" w:evenHBand="0" w:firstRowFirstColumn="0" w:firstRowLastColumn="0" w:lastRowFirstColumn="0" w:lastRowLastColumn="0"/>
            <w:tcW w:w="608" w:type="pct"/>
            <w:noWrap/>
            <w:hideMark/>
          </w:tcPr>
          <w:p w14:paraId="6279A12E" w14:textId="658C0516" w:rsidR="00E64935" w:rsidRPr="00484658" w:rsidRDefault="00E64935" w:rsidP="00E3079D">
            <w:pPr>
              <w:pStyle w:val="TableofAuthorities"/>
            </w:pPr>
            <w:r w:rsidRPr="00484658">
              <w:t>Profit</w:t>
            </w:r>
            <w:r w:rsidR="004A30D3" w:rsidRPr="00484658">
              <w:t>($m)</w:t>
            </w:r>
          </w:p>
        </w:tc>
        <w:tc>
          <w:tcPr>
            <w:tcW w:w="453" w:type="pct"/>
            <w:noWrap/>
            <w:hideMark/>
          </w:tcPr>
          <w:p w14:paraId="6F294FB4" w14:textId="3DCBA745"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$197.42 </w:t>
            </w:r>
          </w:p>
        </w:tc>
        <w:tc>
          <w:tcPr>
            <w:tcW w:w="453" w:type="pct"/>
            <w:noWrap/>
            <w:hideMark/>
          </w:tcPr>
          <w:p w14:paraId="1EE39F1C" w14:textId="0BBEA02E"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$74.13 </w:t>
            </w:r>
          </w:p>
        </w:tc>
        <w:tc>
          <w:tcPr>
            <w:tcW w:w="453" w:type="pct"/>
            <w:noWrap/>
            <w:hideMark/>
          </w:tcPr>
          <w:p w14:paraId="1D5BAC3F" w14:textId="1C6C58E1"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$114.94</w:t>
            </w:r>
          </w:p>
        </w:tc>
        <w:tc>
          <w:tcPr>
            <w:tcW w:w="385" w:type="pct"/>
            <w:noWrap/>
            <w:hideMark/>
          </w:tcPr>
          <w:p w14:paraId="60EBB3C4" w14:textId="02123C9E"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$8.36 </w:t>
            </w:r>
          </w:p>
        </w:tc>
        <w:tc>
          <w:tcPr>
            <w:tcW w:w="453" w:type="pct"/>
            <w:noWrap/>
            <w:hideMark/>
          </w:tcPr>
          <w:p w14:paraId="4D5C5FF6" w14:textId="050D9728"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$144.91 </w:t>
            </w:r>
          </w:p>
        </w:tc>
        <w:tc>
          <w:tcPr>
            <w:tcW w:w="385" w:type="pct"/>
            <w:noWrap/>
            <w:hideMark/>
          </w:tcPr>
          <w:p w14:paraId="6BDA4093" w14:textId="108F0471"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$8.53 </w:t>
            </w:r>
          </w:p>
        </w:tc>
        <w:tc>
          <w:tcPr>
            <w:tcW w:w="453" w:type="pct"/>
            <w:noWrap/>
            <w:hideMark/>
          </w:tcPr>
          <w:p w14:paraId="2EEC29EF" w14:textId="6A9475D4"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$43.97 </w:t>
            </w:r>
          </w:p>
        </w:tc>
        <w:tc>
          <w:tcPr>
            <w:tcW w:w="453" w:type="pct"/>
            <w:noWrap/>
            <w:hideMark/>
          </w:tcPr>
          <w:p w14:paraId="35118A45" w14:textId="6F708D58"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$99.18 </w:t>
            </w:r>
          </w:p>
        </w:tc>
        <w:tc>
          <w:tcPr>
            <w:tcW w:w="453" w:type="pct"/>
            <w:noWrap/>
            <w:hideMark/>
          </w:tcPr>
          <w:p w14:paraId="7CF247BD" w14:textId="72F04868"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$34.19 </w:t>
            </w:r>
          </w:p>
        </w:tc>
        <w:tc>
          <w:tcPr>
            <w:tcW w:w="453" w:type="pct"/>
            <w:noWrap/>
            <w:hideMark/>
          </w:tcPr>
          <w:p w14:paraId="75B71338" w14:textId="585263F5"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$64.05 </w:t>
            </w:r>
          </w:p>
        </w:tc>
      </w:tr>
      <w:tr w:rsidR="0046452D" w:rsidRPr="00484658" w14:paraId="414A9C8A" w14:textId="77777777" w:rsidTr="0046452D">
        <w:trPr>
          <w:trHeight w:val="311"/>
        </w:trPr>
        <w:tc>
          <w:tcPr>
            <w:cnfStyle w:val="001000000000" w:firstRow="0" w:lastRow="0" w:firstColumn="1" w:lastColumn="0" w:oddVBand="0" w:evenVBand="0" w:oddHBand="0" w:evenHBand="0" w:firstRowFirstColumn="0" w:firstRowLastColumn="0" w:lastRowFirstColumn="0" w:lastRowLastColumn="0"/>
            <w:tcW w:w="608" w:type="pct"/>
            <w:noWrap/>
            <w:hideMark/>
          </w:tcPr>
          <w:p w14:paraId="617E4BDD" w14:textId="121C9F7A" w:rsidR="00E64935" w:rsidRPr="00484658" w:rsidRDefault="00E64935" w:rsidP="00E3079D">
            <w:pPr>
              <w:pStyle w:val="TableofAuthorities"/>
            </w:pPr>
            <w:r w:rsidRPr="00484658">
              <w:t>EBITDA</w:t>
            </w:r>
            <w:r w:rsidR="004A30D3" w:rsidRPr="00484658">
              <w:t>($m)</w:t>
            </w:r>
          </w:p>
        </w:tc>
        <w:tc>
          <w:tcPr>
            <w:tcW w:w="453" w:type="pct"/>
            <w:noWrap/>
            <w:hideMark/>
          </w:tcPr>
          <w:p w14:paraId="453145E3" w14:textId="5A771100"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$240.13 </w:t>
            </w:r>
          </w:p>
        </w:tc>
        <w:tc>
          <w:tcPr>
            <w:tcW w:w="453" w:type="pct"/>
            <w:noWrap/>
            <w:hideMark/>
          </w:tcPr>
          <w:p w14:paraId="0E52DED3" w14:textId="4BF9F71E"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$92.77 </w:t>
            </w:r>
          </w:p>
        </w:tc>
        <w:tc>
          <w:tcPr>
            <w:tcW w:w="453" w:type="pct"/>
            <w:noWrap/>
            <w:hideMark/>
          </w:tcPr>
          <w:p w14:paraId="1C3AF176" w14:textId="2C12359E"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$138.10 </w:t>
            </w:r>
          </w:p>
        </w:tc>
        <w:tc>
          <w:tcPr>
            <w:tcW w:w="385" w:type="pct"/>
            <w:noWrap/>
            <w:hideMark/>
          </w:tcPr>
          <w:p w14:paraId="1C4E072C" w14:textId="30F53C7E"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$9.26 </w:t>
            </w:r>
          </w:p>
        </w:tc>
        <w:tc>
          <w:tcPr>
            <w:tcW w:w="453" w:type="pct"/>
            <w:noWrap/>
            <w:hideMark/>
          </w:tcPr>
          <w:p w14:paraId="7875EB83" w14:textId="2B67DB8E"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$169.23 </w:t>
            </w:r>
          </w:p>
        </w:tc>
        <w:tc>
          <w:tcPr>
            <w:tcW w:w="385" w:type="pct"/>
            <w:noWrap/>
            <w:hideMark/>
          </w:tcPr>
          <w:p w14:paraId="5ED8FA32" w14:textId="23DC22FA"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$18.84 </w:t>
            </w:r>
          </w:p>
        </w:tc>
        <w:tc>
          <w:tcPr>
            <w:tcW w:w="453" w:type="pct"/>
            <w:noWrap/>
            <w:hideMark/>
          </w:tcPr>
          <w:p w14:paraId="450348E0" w14:textId="5C79234D"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$52.06 </w:t>
            </w:r>
          </w:p>
        </w:tc>
        <w:tc>
          <w:tcPr>
            <w:tcW w:w="453" w:type="pct"/>
            <w:noWrap/>
            <w:hideMark/>
          </w:tcPr>
          <w:p w14:paraId="2A0F84C1" w14:textId="62BF43D2"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$109.00 </w:t>
            </w:r>
          </w:p>
        </w:tc>
        <w:tc>
          <w:tcPr>
            <w:tcW w:w="453" w:type="pct"/>
            <w:noWrap/>
            <w:hideMark/>
          </w:tcPr>
          <w:p w14:paraId="3064AF9D" w14:textId="120207C2"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$41.70 </w:t>
            </w:r>
          </w:p>
        </w:tc>
        <w:tc>
          <w:tcPr>
            <w:tcW w:w="453" w:type="pct"/>
            <w:noWrap/>
            <w:hideMark/>
          </w:tcPr>
          <w:p w14:paraId="21B1E929" w14:textId="7927912D"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$89.43 </w:t>
            </w:r>
          </w:p>
        </w:tc>
      </w:tr>
      <w:tr w:rsidR="0046452D" w:rsidRPr="00484658" w14:paraId="440A9769" w14:textId="77777777" w:rsidTr="0046452D">
        <w:trPr>
          <w:trHeight w:val="311"/>
        </w:trPr>
        <w:tc>
          <w:tcPr>
            <w:cnfStyle w:val="001000000000" w:firstRow="0" w:lastRow="0" w:firstColumn="1" w:lastColumn="0" w:oddVBand="0" w:evenVBand="0" w:oddHBand="0" w:evenHBand="0" w:firstRowFirstColumn="0" w:firstRowLastColumn="0" w:lastRowFirstColumn="0" w:lastRowLastColumn="0"/>
            <w:tcW w:w="608" w:type="pct"/>
            <w:noWrap/>
            <w:hideMark/>
          </w:tcPr>
          <w:p w14:paraId="66644162" w14:textId="7F5901E6" w:rsidR="00E64935" w:rsidRPr="00484658" w:rsidRDefault="00E64935" w:rsidP="00E3079D">
            <w:pPr>
              <w:pStyle w:val="TableofAuthorities"/>
            </w:pPr>
            <w:r w:rsidRPr="00484658">
              <w:t>Average EBITDA</w:t>
            </w:r>
          </w:p>
        </w:tc>
        <w:tc>
          <w:tcPr>
            <w:tcW w:w="453" w:type="pct"/>
            <w:noWrap/>
            <w:hideMark/>
          </w:tcPr>
          <w:p w14:paraId="2F2D31FB" w14:textId="55BC1833"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$1,232.00 </w:t>
            </w:r>
          </w:p>
        </w:tc>
        <w:tc>
          <w:tcPr>
            <w:tcW w:w="453" w:type="pct"/>
            <w:noWrap/>
            <w:hideMark/>
          </w:tcPr>
          <w:p w14:paraId="73E33ACE" w14:textId="718DB700"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$1,485.00 </w:t>
            </w:r>
          </w:p>
        </w:tc>
        <w:tc>
          <w:tcPr>
            <w:tcW w:w="453" w:type="pct"/>
            <w:noWrap/>
            <w:hideMark/>
          </w:tcPr>
          <w:p w14:paraId="6F53DBC2" w14:textId="7625A81E"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$1,142.00 </w:t>
            </w:r>
          </w:p>
        </w:tc>
        <w:tc>
          <w:tcPr>
            <w:tcW w:w="385" w:type="pct"/>
            <w:noWrap/>
            <w:hideMark/>
          </w:tcPr>
          <w:p w14:paraId="7F22831B" w14:textId="25854B74"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$809.00 </w:t>
            </w:r>
          </w:p>
        </w:tc>
        <w:tc>
          <w:tcPr>
            <w:tcW w:w="453" w:type="pct"/>
            <w:noWrap/>
            <w:hideMark/>
          </w:tcPr>
          <w:p w14:paraId="6A0C96B8" w14:textId="7882E3B1"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$1,364.00 </w:t>
            </w:r>
          </w:p>
        </w:tc>
        <w:tc>
          <w:tcPr>
            <w:tcW w:w="385" w:type="pct"/>
            <w:noWrap/>
            <w:hideMark/>
          </w:tcPr>
          <w:p w14:paraId="7FFF110B" w14:textId="2F8A3E86"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$511.00 </w:t>
            </w:r>
          </w:p>
        </w:tc>
        <w:tc>
          <w:tcPr>
            <w:tcW w:w="453" w:type="pct"/>
            <w:noWrap/>
            <w:hideMark/>
          </w:tcPr>
          <w:p w14:paraId="773DCB07" w14:textId="2E4C2048"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$1,533.00 </w:t>
            </w:r>
          </w:p>
        </w:tc>
        <w:tc>
          <w:tcPr>
            <w:tcW w:w="453" w:type="pct"/>
            <w:noWrap/>
            <w:hideMark/>
          </w:tcPr>
          <w:p w14:paraId="18A2CB73" w14:textId="4E0571D5"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$1,727.00 </w:t>
            </w:r>
          </w:p>
        </w:tc>
        <w:tc>
          <w:tcPr>
            <w:tcW w:w="453" w:type="pct"/>
            <w:noWrap/>
            <w:hideMark/>
          </w:tcPr>
          <w:p w14:paraId="3863B0A7" w14:textId="0A203E48"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$956.00 </w:t>
            </w:r>
          </w:p>
        </w:tc>
        <w:tc>
          <w:tcPr>
            <w:tcW w:w="453" w:type="pct"/>
            <w:noWrap/>
            <w:hideMark/>
          </w:tcPr>
          <w:p w14:paraId="637CC125" w14:textId="07BF4C8A"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$1,015.00 </w:t>
            </w:r>
          </w:p>
        </w:tc>
      </w:tr>
      <w:tr w:rsidR="0046452D" w:rsidRPr="00484658" w14:paraId="75F654BF" w14:textId="77777777" w:rsidTr="0046452D">
        <w:trPr>
          <w:trHeight w:val="311"/>
        </w:trPr>
        <w:tc>
          <w:tcPr>
            <w:cnfStyle w:val="001000000000" w:firstRow="0" w:lastRow="0" w:firstColumn="1" w:lastColumn="0" w:oddVBand="0" w:evenVBand="0" w:oddHBand="0" w:evenHBand="0" w:firstRowFirstColumn="0" w:firstRowLastColumn="0" w:lastRowFirstColumn="0" w:lastRowLastColumn="0"/>
            <w:tcW w:w="608" w:type="pct"/>
            <w:noWrap/>
            <w:hideMark/>
          </w:tcPr>
          <w:p w14:paraId="655F715B" w14:textId="14AAC925" w:rsidR="00E64935" w:rsidRPr="00484658" w:rsidRDefault="00E64935" w:rsidP="00E3079D">
            <w:pPr>
              <w:pStyle w:val="TableofAuthorities"/>
            </w:pPr>
            <w:r w:rsidRPr="00484658">
              <w:t>Average NPBT</w:t>
            </w:r>
          </w:p>
        </w:tc>
        <w:tc>
          <w:tcPr>
            <w:tcW w:w="453" w:type="pct"/>
            <w:noWrap/>
            <w:hideMark/>
          </w:tcPr>
          <w:p w14:paraId="198CA493" w14:textId="71057FC5"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$1,013.00 </w:t>
            </w:r>
          </w:p>
        </w:tc>
        <w:tc>
          <w:tcPr>
            <w:tcW w:w="453" w:type="pct"/>
            <w:noWrap/>
            <w:hideMark/>
          </w:tcPr>
          <w:p w14:paraId="43926030" w14:textId="64E93A49"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$1,187.00 </w:t>
            </w:r>
          </w:p>
        </w:tc>
        <w:tc>
          <w:tcPr>
            <w:tcW w:w="453" w:type="pct"/>
            <w:noWrap/>
            <w:hideMark/>
          </w:tcPr>
          <w:p w14:paraId="6180E189" w14:textId="69ED13EA"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$950.00 </w:t>
            </w:r>
          </w:p>
        </w:tc>
        <w:tc>
          <w:tcPr>
            <w:tcW w:w="385" w:type="pct"/>
            <w:noWrap/>
            <w:hideMark/>
          </w:tcPr>
          <w:p w14:paraId="28592547" w14:textId="5F553D9C"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$730.00 </w:t>
            </w:r>
          </w:p>
        </w:tc>
        <w:tc>
          <w:tcPr>
            <w:tcW w:w="453" w:type="pct"/>
            <w:noWrap/>
            <w:hideMark/>
          </w:tcPr>
          <w:p w14:paraId="7EF7ECD5" w14:textId="2D1976DA"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$1,168.00 </w:t>
            </w:r>
          </w:p>
        </w:tc>
        <w:tc>
          <w:tcPr>
            <w:tcW w:w="385" w:type="pct"/>
            <w:noWrap/>
            <w:hideMark/>
          </w:tcPr>
          <w:p w14:paraId="084591A2" w14:textId="396533F6"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$232.00 </w:t>
            </w:r>
          </w:p>
        </w:tc>
        <w:tc>
          <w:tcPr>
            <w:tcW w:w="453" w:type="pct"/>
            <w:noWrap/>
            <w:hideMark/>
          </w:tcPr>
          <w:p w14:paraId="6FF096D7" w14:textId="79BC50D3"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$1,295.00 </w:t>
            </w:r>
          </w:p>
        </w:tc>
        <w:tc>
          <w:tcPr>
            <w:tcW w:w="453" w:type="pct"/>
            <w:noWrap/>
            <w:hideMark/>
          </w:tcPr>
          <w:p w14:paraId="7BD7AFA3" w14:textId="311D4C73"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$1,572.00 </w:t>
            </w:r>
          </w:p>
        </w:tc>
        <w:tc>
          <w:tcPr>
            <w:tcW w:w="453" w:type="pct"/>
            <w:noWrap/>
            <w:hideMark/>
          </w:tcPr>
          <w:p w14:paraId="1C79F209" w14:textId="28922849"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$784.00 </w:t>
            </w:r>
          </w:p>
        </w:tc>
        <w:tc>
          <w:tcPr>
            <w:tcW w:w="453" w:type="pct"/>
            <w:noWrap/>
            <w:hideMark/>
          </w:tcPr>
          <w:p w14:paraId="0D46F374" w14:textId="3469000C"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 xml:space="preserve">$727.00 </w:t>
            </w:r>
          </w:p>
        </w:tc>
      </w:tr>
      <w:tr w:rsidR="0046452D" w:rsidRPr="00484658" w14:paraId="2917CBD0" w14:textId="77777777" w:rsidTr="0046452D">
        <w:trPr>
          <w:trHeight w:val="311"/>
        </w:trPr>
        <w:tc>
          <w:tcPr>
            <w:cnfStyle w:val="001000000000" w:firstRow="0" w:lastRow="0" w:firstColumn="1" w:lastColumn="0" w:oddVBand="0" w:evenVBand="0" w:oddHBand="0" w:evenHBand="0" w:firstRowFirstColumn="0" w:firstRowLastColumn="0" w:lastRowFirstColumn="0" w:lastRowLastColumn="0"/>
            <w:tcW w:w="608" w:type="pct"/>
            <w:noWrap/>
            <w:hideMark/>
          </w:tcPr>
          <w:p w14:paraId="061E18A7" w14:textId="77777777" w:rsidR="00E64935" w:rsidRPr="00484658" w:rsidRDefault="00E64935" w:rsidP="00E3079D">
            <w:pPr>
              <w:pStyle w:val="TableofAuthorities"/>
            </w:pPr>
            <w:r w:rsidRPr="00484658">
              <w:t>EBITDA margin</w:t>
            </w:r>
          </w:p>
        </w:tc>
        <w:tc>
          <w:tcPr>
            <w:tcW w:w="453" w:type="pct"/>
            <w:noWrap/>
            <w:hideMark/>
          </w:tcPr>
          <w:p w14:paraId="4BA47C7C"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5.1%</w:t>
            </w:r>
          </w:p>
        </w:tc>
        <w:tc>
          <w:tcPr>
            <w:tcW w:w="453" w:type="pct"/>
            <w:noWrap/>
            <w:hideMark/>
          </w:tcPr>
          <w:p w14:paraId="00487545"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6.1%</w:t>
            </w:r>
          </w:p>
        </w:tc>
        <w:tc>
          <w:tcPr>
            <w:tcW w:w="453" w:type="pct"/>
            <w:noWrap/>
            <w:hideMark/>
          </w:tcPr>
          <w:p w14:paraId="76C791D5"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4.7%</w:t>
            </w:r>
          </w:p>
        </w:tc>
        <w:tc>
          <w:tcPr>
            <w:tcW w:w="385" w:type="pct"/>
            <w:noWrap/>
            <w:hideMark/>
          </w:tcPr>
          <w:p w14:paraId="61329A4E"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3.6%</w:t>
            </w:r>
          </w:p>
        </w:tc>
        <w:tc>
          <w:tcPr>
            <w:tcW w:w="453" w:type="pct"/>
            <w:noWrap/>
            <w:hideMark/>
          </w:tcPr>
          <w:p w14:paraId="6D568936"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5.5%</w:t>
            </w:r>
          </w:p>
        </w:tc>
        <w:tc>
          <w:tcPr>
            <w:tcW w:w="385" w:type="pct"/>
            <w:noWrap/>
            <w:hideMark/>
          </w:tcPr>
          <w:p w14:paraId="2BDAC585"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2.4%</w:t>
            </w:r>
          </w:p>
        </w:tc>
        <w:tc>
          <w:tcPr>
            <w:tcW w:w="453" w:type="pct"/>
            <w:noWrap/>
            <w:hideMark/>
          </w:tcPr>
          <w:p w14:paraId="02D83E2F"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6.4%</w:t>
            </w:r>
          </w:p>
        </w:tc>
        <w:tc>
          <w:tcPr>
            <w:tcW w:w="453" w:type="pct"/>
            <w:noWrap/>
            <w:hideMark/>
          </w:tcPr>
          <w:p w14:paraId="3CD653C3"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6.8%</w:t>
            </w:r>
          </w:p>
        </w:tc>
        <w:tc>
          <w:tcPr>
            <w:tcW w:w="453" w:type="pct"/>
            <w:noWrap/>
            <w:hideMark/>
          </w:tcPr>
          <w:p w14:paraId="05582CA6"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4.0%</w:t>
            </w:r>
          </w:p>
        </w:tc>
        <w:tc>
          <w:tcPr>
            <w:tcW w:w="453" w:type="pct"/>
            <w:noWrap/>
            <w:hideMark/>
          </w:tcPr>
          <w:p w14:paraId="22B58764"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4.3%</w:t>
            </w:r>
          </w:p>
        </w:tc>
      </w:tr>
      <w:tr w:rsidR="0046452D" w:rsidRPr="00484658" w14:paraId="0BBCB8D2" w14:textId="77777777" w:rsidTr="0046452D">
        <w:trPr>
          <w:trHeight w:val="311"/>
        </w:trPr>
        <w:tc>
          <w:tcPr>
            <w:cnfStyle w:val="001000000000" w:firstRow="0" w:lastRow="0" w:firstColumn="1" w:lastColumn="0" w:oddVBand="0" w:evenVBand="0" w:oddHBand="0" w:evenHBand="0" w:firstRowFirstColumn="0" w:firstRowLastColumn="0" w:lastRowFirstColumn="0" w:lastRowLastColumn="0"/>
            <w:tcW w:w="608" w:type="pct"/>
            <w:noWrap/>
            <w:hideMark/>
          </w:tcPr>
          <w:p w14:paraId="10F2C527" w14:textId="77777777" w:rsidR="00E64935" w:rsidRPr="00484658" w:rsidRDefault="00E64935" w:rsidP="00E3079D">
            <w:pPr>
              <w:pStyle w:val="TableofAuthorities"/>
            </w:pPr>
            <w:r w:rsidRPr="00484658">
              <w:t>NPBT margin</w:t>
            </w:r>
          </w:p>
        </w:tc>
        <w:tc>
          <w:tcPr>
            <w:tcW w:w="453" w:type="pct"/>
            <w:noWrap/>
            <w:hideMark/>
          </w:tcPr>
          <w:p w14:paraId="4C8233CC"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4.2%</w:t>
            </w:r>
          </w:p>
        </w:tc>
        <w:tc>
          <w:tcPr>
            <w:tcW w:w="453" w:type="pct"/>
            <w:noWrap/>
            <w:hideMark/>
          </w:tcPr>
          <w:p w14:paraId="3A09EFA7"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4.9%</w:t>
            </w:r>
          </w:p>
        </w:tc>
        <w:tc>
          <w:tcPr>
            <w:tcW w:w="453" w:type="pct"/>
            <w:noWrap/>
            <w:hideMark/>
          </w:tcPr>
          <w:p w14:paraId="2A3BABA4"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3.9%</w:t>
            </w:r>
          </w:p>
        </w:tc>
        <w:tc>
          <w:tcPr>
            <w:tcW w:w="385" w:type="pct"/>
            <w:noWrap/>
            <w:hideMark/>
          </w:tcPr>
          <w:p w14:paraId="4E34817A"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3.2%</w:t>
            </w:r>
          </w:p>
        </w:tc>
        <w:tc>
          <w:tcPr>
            <w:tcW w:w="453" w:type="pct"/>
            <w:noWrap/>
            <w:hideMark/>
          </w:tcPr>
          <w:p w14:paraId="4F58096D"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4.7%</w:t>
            </w:r>
          </w:p>
        </w:tc>
        <w:tc>
          <w:tcPr>
            <w:tcW w:w="385" w:type="pct"/>
            <w:noWrap/>
            <w:hideMark/>
          </w:tcPr>
          <w:p w14:paraId="7F6E67D8"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1.1%</w:t>
            </w:r>
          </w:p>
        </w:tc>
        <w:tc>
          <w:tcPr>
            <w:tcW w:w="453" w:type="pct"/>
            <w:noWrap/>
            <w:hideMark/>
          </w:tcPr>
          <w:p w14:paraId="4992D416"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5.4%</w:t>
            </w:r>
          </w:p>
        </w:tc>
        <w:tc>
          <w:tcPr>
            <w:tcW w:w="453" w:type="pct"/>
            <w:noWrap/>
            <w:hideMark/>
          </w:tcPr>
          <w:p w14:paraId="20DF2B55"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6.2%</w:t>
            </w:r>
          </w:p>
        </w:tc>
        <w:tc>
          <w:tcPr>
            <w:tcW w:w="453" w:type="pct"/>
            <w:noWrap/>
            <w:hideMark/>
          </w:tcPr>
          <w:p w14:paraId="2C8E1F77"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3.3%</w:t>
            </w:r>
          </w:p>
        </w:tc>
        <w:tc>
          <w:tcPr>
            <w:tcW w:w="453" w:type="pct"/>
            <w:noWrap/>
            <w:hideMark/>
          </w:tcPr>
          <w:p w14:paraId="6359EBEC" w14:textId="77777777" w:rsidR="00E64935" w:rsidRPr="00484658" w:rsidRDefault="00E64935" w:rsidP="00E3079D">
            <w:pPr>
              <w:pStyle w:val="TableofAuthorities"/>
              <w:cnfStyle w:val="000000000000" w:firstRow="0" w:lastRow="0" w:firstColumn="0" w:lastColumn="0" w:oddVBand="0" w:evenVBand="0" w:oddHBand="0" w:evenHBand="0" w:firstRowFirstColumn="0" w:firstRowLastColumn="0" w:lastRowFirstColumn="0" w:lastRowLastColumn="0"/>
            </w:pPr>
            <w:r w:rsidRPr="00484658">
              <w:t>3.1%</w:t>
            </w:r>
          </w:p>
        </w:tc>
      </w:tr>
    </w:tbl>
    <w:p w14:paraId="16FCDBD0" w14:textId="2C58A0F9" w:rsidR="00231641" w:rsidRDefault="00054A51" w:rsidP="00272C10">
      <w:r>
        <w:fldChar w:fldCharType="begin"/>
      </w:r>
      <w:r>
        <w:instrText xml:space="preserve"> REF _Ref139547696 \h </w:instrText>
      </w:r>
      <w:r>
        <w:fldChar w:fldCharType="separate"/>
      </w:r>
      <w:r w:rsidR="00294B02">
        <w:t xml:space="preserve">Table </w:t>
      </w:r>
      <w:r w:rsidR="00294B02">
        <w:rPr>
          <w:noProof/>
        </w:rPr>
        <w:t>1</w:t>
      </w:r>
      <w:r w:rsidR="00294B02">
        <w:t>.</w:t>
      </w:r>
      <w:r w:rsidR="00294B02">
        <w:rPr>
          <w:noProof/>
        </w:rPr>
        <w:t>4</w:t>
      </w:r>
      <w:r>
        <w:fldChar w:fldCharType="end"/>
      </w:r>
      <w:r>
        <w:t xml:space="preserve"> </w:t>
      </w:r>
      <w:r w:rsidR="00272C10" w:rsidRPr="00272C10">
        <w:t xml:space="preserve">shows </w:t>
      </w:r>
      <w:r w:rsidR="00A211FD">
        <w:t xml:space="preserve">the summary of </w:t>
      </w:r>
      <w:r w:rsidR="00417317">
        <w:t>home care providers</w:t>
      </w:r>
      <w:r w:rsidR="001A6498">
        <w:t>’</w:t>
      </w:r>
      <w:r w:rsidR="00A211FD">
        <w:t xml:space="preserve"> income and expense</w:t>
      </w:r>
      <w:r w:rsidR="00EC0F43">
        <w:t xml:space="preserve"> statement per care recipient</w:t>
      </w:r>
      <w:r w:rsidR="00D23890">
        <w:t xml:space="preserve"> </w:t>
      </w:r>
      <w:r w:rsidR="00F260A2">
        <w:t xml:space="preserve">per day </w:t>
      </w:r>
      <w:r w:rsidR="00D23890">
        <w:t xml:space="preserve">for the last 5 years. </w:t>
      </w:r>
    </w:p>
    <w:p w14:paraId="43E3486C" w14:textId="014C8631" w:rsidR="007A7147" w:rsidRDefault="000F32C5" w:rsidP="00272C10">
      <w:r>
        <w:t>Provider i</w:t>
      </w:r>
      <w:r w:rsidR="00272C10" w:rsidRPr="00272C10">
        <w:t xml:space="preserve">ncome per </w:t>
      </w:r>
      <w:r w:rsidR="00231641">
        <w:t>recipient</w:t>
      </w:r>
      <w:r w:rsidR="00272C10" w:rsidRPr="00272C10">
        <w:t xml:space="preserve"> </w:t>
      </w:r>
      <w:r w:rsidR="00DD7D18">
        <w:t xml:space="preserve">is </w:t>
      </w:r>
      <w:r w:rsidR="00272C10" w:rsidRPr="00272C10">
        <w:t>split by the major types of income. In 2021</w:t>
      </w:r>
      <w:r w:rsidR="00DD7D18">
        <w:t>-22</w:t>
      </w:r>
      <w:r w:rsidR="00272C10" w:rsidRPr="00272C10">
        <w:t xml:space="preserve">, care management and </w:t>
      </w:r>
      <w:r w:rsidR="004F2B40">
        <w:t>package management service fees</w:t>
      </w:r>
      <w:r w:rsidR="00272C10" w:rsidRPr="00272C10">
        <w:t xml:space="preserve"> were 2</w:t>
      </w:r>
      <w:r w:rsidR="00BE7351">
        <w:t>8</w:t>
      </w:r>
      <w:r w:rsidR="00272C10" w:rsidRPr="00272C10">
        <w:t xml:space="preserve"> per cent of provider income, a</w:t>
      </w:r>
      <w:r w:rsidR="005E236D">
        <w:t>n increase</w:t>
      </w:r>
      <w:r w:rsidR="00272C10" w:rsidRPr="00272C10">
        <w:t xml:space="preserve"> from 2</w:t>
      </w:r>
      <w:r w:rsidR="005E236D">
        <w:t>7</w:t>
      </w:r>
      <w:r w:rsidR="00272C10" w:rsidRPr="00272C10">
        <w:t xml:space="preserve"> per cent in 2020</w:t>
      </w:r>
      <w:r w:rsidR="005E236D">
        <w:t>-21</w:t>
      </w:r>
      <w:r w:rsidR="00272C10" w:rsidRPr="00272C10">
        <w:t>.</w:t>
      </w:r>
      <w:r w:rsidR="00272C10">
        <w:t xml:space="preserve"> </w:t>
      </w:r>
      <w:r w:rsidR="00272C10" w:rsidRPr="00272C10">
        <w:t xml:space="preserve">Provision of care/direct care </w:t>
      </w:r>
      <w:r w:rsidR="00F02A52">
        <w:t>represented</w:t>
      </w:r>
      <w:r w:rsidR="007C3182" w:rsidRPr="00272C10">
        <w:t xml:space="preserve"> </w:t>
      </w:r>
      <w:r w:rsidR="00272C10" w:rsidRPr="00272C10">
        <w:t>almost 4</w:t>
      </w:r>
      <w:r w:rsidR="00B72F36">
        <w:t>4</w:t>
      </w:r>
      <w:r w:rsidR="00272C10" w:rsidRPr="00272C10">
        <w:t xml:space="preserve"> per cent of provider income, a decrease from </w:t>
      </w:r>
      <w:r w:rsidR="00B72F36">
        <w:t>4</w:t>
      </w:r>
      <w:r w:rsidR="0057369F">
        <w:t>9</w:t>
      </w:r>
      <w:r w:rsidR="00272C10" w:rsidRPr="00272C10">
        <w:t xml:space="preserve"> per cent in 20</w:t>
      </w:r>
      <w:r w:rsidR="0057369F">
        <w:t>20</w:t>
      </w:r>
      <w:r w:rsidR="00272C10" w:rsidRPr="00272C10">
        <w:t>–2</w:t>
      </w:r>
      <w:r w:rsidR="0057369F">
        <w:t>1</w:t>
      </w:r>
      <w:r w:rsidR="00272C10" w:rsidRPr="00272C10">
        <w:t>.</w:t>
      </w:r>
      <w:r w:rsidR="002B6C1A" w:rsidRPr="00272C10">
        <w:t xml:space="preserve"> </w:t>
      </w:r>
    </w:p>
    <w:p w14:paraId="2FBF5D3C" w14:textId="4B0457B3" w:rsidR="00E55F01" w:rsidRDefault="00FA0BA3" w:rsidP="00D43931">
      <w:r>
        <w:t xml:space="preserve">The </w:t>
      </w:r>
      <w:r w:rsidR="00D43931">
        <w:t xml:space="preserve">average </w:t>
      </w:r>
      <w:r w:rsidR="008A3A97">
        <w:t>provider</w:t>
      </w:r>
      <w:r w:rsidR="00D43931">
        <w:t xml:space="preserve"> expenditure per </w:t>
      </w:r>
      <w:r>
        <w:t>recipient</w:t>
      </w:r>
      <w:r w:rsidR="00D43931">
        <w:t xml:space="preserve"> per day in 202</w:t>
      </w:r>
      <w:r>
        <w:t>1-22</w:t>
      </w:r>
      <w:r w:rsidR="00D43931">
        <w:t xml:space="preserve"> was $</w:t>
      </w:r>
      <w:r>
        <w:t>63.16</w:t>
      </w:r>
      <w:r w:rsidR="00D43931">
        <w:t xml:space="preserve"> ($23,</w:t>
      </w:r>
      <w:r w:rsidR="00FA7A42">
        <w:t>053</w:t>
      </w:r>
      <w:r w:rsidR="00D43931">
        <w:t xml:space="preserve"> per </w:t>
      </w:r>
      <w:r w:rsidR="00FA7A42">
        <w:t>year</w:t>
      </w:r>
      <w:r w:rsidR="00D43931">
        <w:t>), down from $6</w:t>
      </w:r>
      <w:r w:rsidR="00FA7A42">
        <w:t>4.49</w:t>
      </w:r>
      <w:r w:rsidR="00D43931">
        <w:t xml:space="preserve"> in 2020</w:t>
      </w:r>
      <w:r w:rsidR="00FA7A42">
        <w:t>-21</w:t>
      </w:r>
      <w:r w:rsidR="001C3056">
        <w:t>. Total direct service</w:t>
      </w:r>
      <w:r w:rsidR="00D43931">
        <w:t xml:space="preserve"> expenses represent 6</w:t>
      </w:r>
      <w:r w:rsidR="00355A81">
        <w:t>4</w:t>
      </w:r>
      <w:r w:rsidR="00D43931">
        <w:t xml:space="preserve"> per cent of total expenses per </w:t>
      </w:r>
      <w:r w:rsidR="00355A81">
        <w:t>recipient</w:t>
      </w:r>
      <w:r w:rsidR="00D43931">
        <w:t xml:space="preserve"> per day, while administration </w:t>
      </w:r>
      <w:r w:rsidR="00217C61">
        <w:t xml:space="preserve">and support </w:t>
      </w:r>
      <w:r w:rsidR="00D43931">
        <w:t>costs</w:t>
      </w:r>
      <w:r w:rsidR="00E32CD2">
        <w:t xml:space="preserve"> </w:t>
      </w:r>
      <w:r w:rsidR="00D43931">
        <w:t xml:space="preserve">represent </w:t>
      </w:r>
      <w:r w:rsidR="00E32CD2">
        <w:t>21</w:t>
      </w:r>
      <w:r w:rsidR="00D43931">
        <w:t xml:space="preserve"> per cent of total costs</w:t>
      </w:r>
      <w:r w:rsidR="00E32CD2">
        <w:t xml:space="preserve">, and care management costs </w:t>
      </w:r>
      <w:r w:rsidR="004151BE">
        <w:t>represented 11</w:t>
      </w:r>
      <w:r w:rsidR="008F6C5B">
        <w:t xml:space="preserve"> per cent of </w:t>
      </w:r>
      <w:r w:rsidR="00135C15">
        <w:t>tota</w:t>
      </w:r>
      <w:r w:rsidR="004E03C6">
        <w:t>l costs</w:t>
      </w:r>
      <w:r w:rsidR="00D43931">
        <w:t xml:space="preserve">. </w:t>
      </w:r>
      <w:r w:rsidR="00F35AA1">
        <w:t xml:space="preserve">Total direct service </w:t>
      </w:r>
      <w:r w:rsidR="00D43931">
        <w:t>costs in 2021</w:t>
      </w:r>
      <w:r w:rsidR="00F35AA1">
        <w:t>-22</w:t>
      </w:r>
      <w:r w:rsidR="00D43931">
        <w:t xml:space="preserve"> were </w:t>
      </w:r>
      <w:r w:rsidR="00F35AA1">
        <w:t>$40.17</w:t>
      </w:r>
      <w:r w:rsidR="00D43931">
        <w:t xml:space="preserve">, </w:t>
      </w:r>
      <w:r w:rsidR="00F35AA1">
        <w:t xml:space="preserve">down </w:t>
      </w:r>
      <w:r w:rsidR="00D43931">
        <w:t>from</w:t>
      </w:r>
      <w:r w:rsidR="00591778">
        <w:t xml:space="preserve"> </w:t>
      </w:r>
      <w:r w:rsidR="00D43931">
        <w:t>$44.</w:t>
      </w:r>
      <w:r w:rsidR="00F35AA1">
        <w:t>78</w:t>
      </w:r>
      <w:r w:rsidR="00D43931">
        <w:t xml:space="preserve"> in 2020</w:t>
      </w:r>
      <w:r w:rsidR="00F35AA1">
        <w:t>-21</w:t>
      </w:r>
      <w:r w:rsidR="00D43931">
        <w:t>, while administration</w:t>
      </w:r>
      <w:r w:rsidR="00084CDD">
        <w:t xml:space="preserve"> and support</w:t>
      </w:r>
      <w:r w:rsidR="00D43931">
        <w:t xml:space="preserve"> costs were</w:t>
      </w:r>
      <w:r w:rsidR="00591778">
        <w:t xml:space="preserve"> </w:t>
      </w:r>
      <w:r w:rsidR="00D43931">
        <w:t>$</w:t>
      </w:r>
      <w:r w:rsidR="00084CDD">
        <w:t>13</w:t>
      </w:r>
      <w:r w:rsidR="004B6F14">
        <w:t>.</w:t>
      </w:r>
      <w:r w:rsidR="00084CDD">
        <w:t>50</w:t>
      </w:r>
      <w:r w:rsidR="00D43931">
        <w:t xml:space="preserve">, </w:t>
      </w:r>
      <w:r w:rsidR="009F3C74">
        <w:t>up</w:t>
      </w:r>
      <w:r w:rsidR="00D43931">
        <w:t xml:space="preserve"> from $</w:t>
      </w:r>
      <w:r w:rsidR="00084CDD">
        <w:t>9.37</w:t>
      </w:r>
      <w:r w:rsidR="00D43931">
        <w:t xml:space="preserve"> in 2</w:t>
      </w:r>
      <w:r w:rsidR="009F3C74">
        <w:t>020-21</w:t>
      </w:r>
      <w:r w:rsidR="007232D3">
        <w:t>.</w:t>
      </w:r>
    </w:p>
    <w:p w14:paraId="4FAFDD33" w14:textId="65D2238E" w:rsidR="00AD0E5B" w:rsidRDefault="007232D3" w:rsidP="00D43931">
      <w:r>
        <w:t xml:space="preserve">The Home Care sector generated a profit result of $2.78 per </w:t>
      </w:r>
      <w:r w:rsidR="00931A3C">
        <w:t>care recipient per day in 2021-22, down from $4.29 in</w:t>
      </w:r>
      <w:r w:rsidR="0037100E">
        <w:t xml:space="preserve"> 2020-21. </w:t>
      </w:r>
      <w:r w:rsidR="00AC52D3">
        <w:t>This was the first decrease in profitability</w:t>
      </w:r>
      <w:r w:rsidR="00BC20E6">
        <w:t xml:space="preserve"> shown in the</w:t>
      </w:r>
      <w:r w:rsidR="00371EB0">
        <w:t xml:space="preserve"> prior 5 years reporting as </w:t>
      </w:r>
      <w:r w:rsidR="002556EE">
        <w:t>illustrated</w:t>
      </w:r>
      <w:r w:rsidR="00371EB0">
        <w:t xml:space="preserve"> in </w:t>
      </w:r>
      <w:r w:rsidR="00054A51">
        <w:fldChar w:fldCharType="begin"/>
      </w:r>
      <w:r w:rsidR="00054A51">
        <w:instrText xml:space="preserve"> REF _Ref139547696 \h </w:instrText>
      </w:r>
      <w:r w:rsidR="00054A51">
        <w:fldChar w:fldCharType="separate"/>
      </w:r>
      <w:r w:rsidR="00294B02">
        <w:t xml:space="preserve">Table </w:t>
      </w:r>
      <w:r w:rsidR="00294B02">
        <w:rPr>
          <w:noProof/>
        </w:rPr>
        <w:t>1</w:t>
      </w:r>
      <w:r w:rsidR="00294B02">
        <w:t>.</w:t>
      </w:r>
      <w:r w:rsidR="00294B02">
        <w:rPr>
          <w:noProof/>
        </w:rPr>
        <w:t>4</w:t>
      </w:r>
      <w:r w:rsidR="00054A51">
        <w:fldChar w:fldCharType="end"/>
      </w:r>
      <w:r w:rsidR="00881534">
        <w:t xml:space="preserve"> </w:t>
      </w:r>
      <w:r w:rsidR="00E92486">
        <w:t xml:space="preserve">which shows a </w:t>
      </w:r>
      <w:r w:rsidR="00E92486">
        <w:lastRenderedPageBreak/>
        <w:t xml:space="preserve">consistent upward trend in profitability per care recipient per day </w:t>
      </w:r>
      <w:r w:rsidR="002556EE">
        <w:t xml:space="preserve">since </w:t>
      </w:r>
      <w:r w:rsidR="00E92486">
        <w:t>2017-18</w:t>
      </w:r>
      <w:r w:rsidR="004C6F04">
        <w:t xml:space="preserve"> to 2020-21, then a dip in p</w:t>
      </w:r>
      <w:r w:rsidR="006725F7">
        <w:t>r</w:t>
      </w:r>
      <w:r w:rsidR="004C6F04">
        <w:t>ofitability in 2021-22.</w:t>
      </w:r>
    </w:p>
    <w:p w14:paraId="475E68BC" w14:textId="69FDE62E" w:rsidR="00AD0E5B" w:rsidRDefault="00B43CAE" w:rsidP="00D43931">
      <w:r>
        <w:t xml:space="preserve">While profits gradually increased </w:t>
      </w:r>
      <w:r w:rsidR="00F91F99">
        <w:t>from</w:t>
      </w:r>
      <w:r>
        <w:t xml:space="preserve"> </w:t>
      </w:r>
      <w:r w:rsidR="008F4860">
        <w:t xml:space="preserve">2017-18 to 2020-21, </w:t>
      </w:r>
      <w:r>
        <w:t>there was a decline in revenue and expenses per resident per day</w:t>
      </w:r>
      <w:r w:rsidR="00F91F99">
        <w:t xml:space="preserve"> during this period</w:t>
      </w:r>
      <w:r>
        <w:t xml:space="preserve">. </w:t>
      </w:r>
      <w:r w:rsidR="00A14081">
        <w:t xml:space="preserve">In 2021-22, profit was impacted because the </w:t>
      </w:r>
      <w:r>
        <w:t>decline in expenses</w:t>
      </w:r>
      <w:r w:rsidR="00FF0360">
        <w:t xml:space="preserve"> ($1.33)</w:t>
      </w:r>
      <w:r>
        <w:t xml:space="preserve"> was not proportionate to the decline in revenue</w:t>
      </w:r>
      <w:r w:rsidR="00166869">
        <w:t xml:space="preserve"> </w:t>
      </w:r>
      <w:r w:rsidR="00FF0360">
        <w:t>($</w:t>
      </w:r>
      <w:r w:rsidR="00A14081">
        <w:t>2.84)</w:t>
      </w:r>
      <w:r w:rsidR="00166869">
        <w:t>.</w:t>
      </w:r>
      <w:r w:rsidR="0091248E">
        <w:t xml:space="preserve"> In other years, </w:t>
      </w:r>
      <w:r w:rsidR="00401766">
        <w:t xml:space="preserve">expenses </w:t>
      </w:r>
      <w:r w:rsidR="00922924">
        <w:t>declined at a greater rate than revenue which allowed providers to increase profitability. In 2021-22</w:t>
      </w:r>
      <w:r w:rsidR="00886771">
        <w:t>,</w:t>
      </w:r>
      <w:r w:rsidR="00E66A45">
        <w:t xml:space="preserve"> </w:t>
      </w:r>
      <w:r w:rsidR="00886771">
        <w:t>e</w:t>
      </w:r>
      <w:r w:rsidR="00DA7B59">
        <w:t>xpenses declined in all categories</w:t>
      </w:r>
      <w:r w:rsidR="00886771">
        <w:t>,</w:t>
      </w:r>
      <w:r w:rsidR="00DA7B59">
        <w:t xml:space="preserve"> except for </w:t>
      </w:r>
      <w:r w:rsidR="00AD5D5D">
        <w:t>administration and support</w:t>
      </w:r>
      <w:r w:rsidR="00222B82">
        <w:t xml:space="preserve"> </w:t>
      </w:r>
      <w:r w:rsidR="001C430A">
        <w:t xml:space="preserve">which </w:t>
      </w:r>
      <w:r w:rsidR="0036784C">
        <w:t>increase</w:t>
      </w:r>
      <w:r w:rsidR="00F06167">
        <w:t>d</w:t>
      </w:r>
      <w:r w:rsidR="0036784C">
        <w:t xml:space="preserve"> </w:t>
      </w:r>
      <w:r w:rsidR="001C430A">
        <w:t>by</w:t>
      </w:r>
      <w:r w:rsidR="0036784C">
        <w:t xml:space="preserve"> </w:t>
      </w:r>
      <w:r w:rsidR="0065283A">
        <w:t>$4</w:t>
      </w:r>
      <w:r w:rsidR="001C430A">
        <w:t>.13</w:t>
      </w:r>
      <w:r w:rsidR="00F06167">
        <w:t>.</w:t>
      </w:r>
    </w:p>
    <w:p w14:paraId="2DB78F87" w14:textId="3EEA957C" w:rsidR="00F06167" w:rsidRDefault="003925A6" w:rsidP="00D43931">
      <w:r>
        <w:t xml:space="preserve">Utilisation of </w:t>
      </w:r>
      <w:r w:rsidR="0017124A">
        <w:t>available funds</w:t>
      </w:r>
      <w:r>
        <w:t xml:space="preserve"> may have</w:t>
      </w:r>
      <w:r w:rsidR="00E66A45">
        <w:t xml:space="preserve"> also</w:t>
      </w:r>
      <w:r>
        <w:t xml:space="preserve"> </w:t>
      </w:r>
      <w:r w:rsidR="0017124A">
        <w:t>impacted</w:t>
      </w:r>
      <w:r>
        <w:t xml:space="preserve"> </w:t>
      </w:r>
      <w:r w:rsidR="0017124A">
        <w:t>revenue</w:t>
      </w:r>
      <w:r>
        <w:t xml:space="preserve"> </w:t>
      </w:r>
      <w:r w:rsidR="00D10B4D">
        <w:t xml:space="preserve">in 2021-22 </w:t>
      </w:r>
      <w:r>
        <w:t>as the sector adjust</w:t>
      </w:r>
      <w:r w:rsidR="009B71BD">
        <w:t>ed</w:t>
      </w:r>
      <w:r>
        <w:t xml:space="preserve"> to the introduction</w:t>
      </w:r>
      <w:r w:rsidR="000977F6">
        <w:t xml:space="preserve"> of </w:t>
      </w:r>
      <w:r w:rsidR="00605506">
        <w:t xml:space="preserve">the Improved Payments Arrangement (IPA) </w:t>
      </w:r>
      <w:r w:rsidR="00E56EB0">
        <w:t xml:space="preserve">in September 2021, </w:t>
      </w:r>
      <w:r w:rsidR="00364B13">
        <w:t>as</w:t>
      </w:r>
      <w:r w:rsidR="00337D58">
        <w:t xml:space="preserve"> providers </w:t>
      </w:r>
      <w:r>
        <w:t>no longer hold</w:t>
      </w:r>
      <w:r w:rsidR="00337D58">
        <w:t xml:space="preserve"> unspent funds on behalf of </w:t>
      </w:r>
      <w:r w:rsidR="00A067B6">
        <w:t>recipients.</w:t>
      </w:r>
      <w:r w:rsidR="00D17629">
        <w:t xml:space="preserve"> </w:t>
      </w:r>
    </w:p>
    <w:p w14:paraId="2A527DFC" w14:textId="4D285261" w:rsidR="00054A51" w:rsidRPr="00054A51" w:rsidRDefault="00054A51" w:rsidP="00054A51">
      <w:pPr>
        <w:pStyle w:val="Caption"/>
      </w:pPr>
      <w:bookmarkStart w:id="32" w:name="_Ref139547696"/>
      <w:bookmarkStart w:id="33" w:name="_Toc149245267"/>
      <w:r>
        <w:t xml:space="preserve">Table </w:t>
      </w:r>
      <w:r>
        <w:fldChar w:fldCharType="begin"/>
      </w:r>
      <w:r>
        <w:instrText>STYLEREF 1 \s</w:instrText>
      </w:r>
      <w:r>
        <w:fldChar w:fldCharType="separate"/>
      </w:r>
      <w:r w:rsidR="00294B02">
        <w:rPr>
          <w:noProof/>
        </w:rPr>
        <w:t>1</w:t>
      </w:r>
      <w:r>
        <w:fldChar w:fldCharType="end"/>
      </w:r>
      <w:r w:rsidR="002E758C">
        <w:t>.</w:t>
      </w:r>
      <w:r>
        <w:fldChar w:fldCharType="begin"/>
      </w:r>
      <w:r>
        <w:instrText>SEQ Table \* ARABIC \s 1</w:instrText>
      </w:r>
      <w:r>
        <w:fldChar w:fldCharType="separate"/>
      </w:r>
      <w:r w:rsidR="00294B02">
        <w:rPr>
          <w:noProof/>
        </w:rPr>
        <w:t>4</w:t>
      </w:r>
      <w:r>
        <w:fldChar w:fldCharType="end"/>
      </w:r>
      <w:bookmarkEnd w:id="32"/>
      <w:r>
        <w:t xml:space="preserve">: </w:t>
      </w:r>
      <w:r w:rsidRPr="00B75ECB">
        <w:t>Summary of income and expense statement per care recipient per day, 2017-18 to 2021-22</w:t>
      </w:r>
      <w:bookmarkEnd w:id="33"/>
    </w:p>
    <w:tbl>
      <w:tblPr>
        <w:tblStyle w:val="DepartmentofHealthtable"/>
        <w:tblW w:w="10002" w:type="dxa"/>
        <w:tblLook w:val="04A0" w:firstRow="1" w:lastRow="0" w:firstColumn="1" w:lastColumn="0" w:noHBand="0" w:noVBand="1"/>
      </w:tblPr>
      <w:tblGrid>
        <w:gridCol w:w="5267"/>
        <w:gridCol w:w="947"/>
        <w:gridCol w:w="947"/>
        <w:gridCol w:w="947"/>
        <w:gridCol w:w="947"/>
        <w:gridCol w:w="947"/>
      </w:tblGrid>
      <w:tr w:rsidR="0054370B" w:rsidRPr="0054370B" w14:paraId="1574E1C9" w14:textId="77777777" w:rsidTr="0054370B">
        <w:trPr>
          <w:cnfStyle w:val="100000000000" w:firstRow="1" w:lastRow="0" w:firstColumn="0" w:lastColumn="0" w:oddVBand="0" w:evenVBand="0" w:oddHBand="0"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5267" w:type="dxa"/>
            <w:hideMark/>
          </w:tcPr>
          <w:p w14:paraId="7F73C706" w14:textId="77777777" w:rsidR="00B05993" w:rsidRPr="0054370B" w:rsidRDefault="00B05993" w:rsidP="0054370B">
            <w:pPr>
              <w:pStyle w:val="TableHeaderWhite"/>
            </w:pPr>
            <w:r w:rsidRPr="0054370B">
              <w:t> </w:t>
            </w:r>
          </w:p>
        </w:tc>
        <w:tc>
          <w:tcPr>
            <w:tcW w:w="947" w:type="dxa"/>
            <w:hideMark/>
          </w:tcPr>
          <w:p w14:paraId="17A73189" w14:textId="77777777" w:rsidR="00B05993" w:rsidRPr="0054370B" w:rsidRDefault="00B05993"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2017-18</w:t>
            </w:r>
          </w:p>
        </w:tc>
        <w:tc>
          <w:tcPr>
            <w:tcW w:w="947" w:type="dxa"/>
            <w:hideMark/>
          </w:tcPr>
          <w:p w14:paraId="04240E18" w14:textId="77777777" w:rsidR="00B05993" w:rsidRPr="0054370B" w:rsidRDefault="00B05993"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2018-19</w:t>
            </w:r>
          </w:p>
        </w:tc>
        <w:tc>
          <w:tcPr>
            <w:tcW w:w="947" w:type="dxa"/>
            <w:hideMark/>
          </w:tcPr>
          <w:p w14:paraId="763D6078" w14:textId="77777777" w:rsidR="00B05993" w:rsidRPr="0054370B" w:rsidRDefault="00B05993"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2019-20</w:t>
            </w:r>
          </w:p>
        </w:tc>
        <w:tc>
          <w:tcPr>
            <w:tcW w:w="947" w:type="dxa"/>
            <w:hideMark/>
          </w:tcPr>
          <w:p w14:paraId="2BAACCD0" w14:textId="77777777" w:rsidR="00B05993" w:rsidRPr="0054370B" w:rsidRDefault="00B05993"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2020-21</w:t>
            </w:r>
          </w:p>
        </w:tc>
        <w:tc>
          <w:tcPr>
            <w:tcW w:w="947" w:type="dxa"/>
            <w:hideMark/>
          </w:tcPr>
          <w:p w14:paraId="52800CB8" w14:textId="77777777" w:rsidR="00B05993" w:rsidRPr="0054370B" w:rsidRDefault="00B05993" w:rsidP="0054370B">
            <w:pPr>
              <w:pStyle w:val="TableHeaderWhite"/>
              <w:cnfStyle w:val="100000000000" w:firstRow="1" w:lastRow="0" w:firstColumn="0" w:lastColumn="0" w:oddVBand="0" w:evenVBand="0" w:oddHBand="0" w:evenHBand="0" w:firstRowFirstColumn="0" w:firstRowLastColumn="0" w:lastRowFirstColumn="0" w:lastRowLastColumn="0"/>
            </w:pPr>
            <w:r w:rsidRPr="0054370B">
              <w:t>2021-22</w:t>
            </w:r>
          </w:p>
        </w:tc>
      </w:tr>
      <w:tr w:rsidR="00496209" w:rsidRPr="00382EC0" w14:paraId="1B02C1C9"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4006A7EC" w14:textId="77777777" w:rsidR="00B05993" w:rsidRPr="00966B51" w:rsidRDefault="00B05993" w:rsidP="00966B51">
            <w:pPr>
              <w:pStyle w:val="TableParagraphbold"/>
            </w:pPr>
            <w:r w:rsidRPr="00966B51">
              <w:t>Income</w:t>
            </w:r>
          </w:p>
        </w:tc>
        <w:tc>
          <w:tcPr>
            <w:tcW w:w="947" w:type="dxa"/>
            <w:noWrap/>
            <w:hideMark/>
          </w:tcPr>
          <w:p w14:paraId="5A64E2A6" w14:textId="77777777" w:rsidR="00B05993" w:rsidRPr="00382EC0"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pPr>
            <w:r w:rsidRPr="00382EC0">
              <w:t> </w:t>
            </w:r>
          </w:p>
        </w:tc>
        <w:tc>
          <w:tcPr>
            <w:tcW w:w="947" w:type="dxa"/>
            <w:noWrap/>
            <w:hideMark/>
          </w:tcPr>
          <w:p w14:paraId="6B57D2F1" w14:textId="77777777" w:rsidR="00B05993" w:rsidRPr="00382EC0"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pPr>
            <w:r w:rsidRPr="00382EC0">
              <w:t> </w:t>
            </w:r>
          </w:p>
        </w:tc>
        <w:tc>
          <w:tcPr>
            <w:tcW w:w="947" w:type="dxa"/>
            <w:noWrap/>
            <w:hideMark/>
          </w:tcPr>
          <w:p w14:paraId="2344632F" w14:textId="77777777" w:rsidR="00B05993" w:rsidRPr="00382EC0"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pPr>
            <w:r w:rsidRPr="00382EC0">
              <w:t> </w:t>
            </w:r>
          </w:p>
        </w:tc>
        <w:tc>
          <w:tcPr>
            <w:tcW w:w="947" w:type="dxa"/>
            <w:noWrap/>
            <w:hideMark/>
          </w:tcPr>
          <w:p w14:paraId="119DD0D4" w14:textId="77777777" w:rsidR="00B05993" w:rsidRPr="00382EC0"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pPr>
            <w:r w:rsidRPr="00382EC0">
              <w:t> </w:t>
            </w:r>
          </w:p>
        </w:tc>
        <w:tc>
          <w:tcPr>
            <w:tcW w:w="947" w:type="dxa"/>
            <w:noWrap/>
            <w:hideMark/>
          </w:tcPr>
          <w:p w14:paraId="6E6104D1" w14:textId="77777777" w:rsidR="00B05993" w:rsidRPr="00382EC0"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pPr>
            <w:r w:rsidRPr="00382EC0">
              <w:t> </w:t>
            </w:r>
          </w:p>
        </w:tc>
      </w:tr>
      <w:tr w:rsidR="00B05993" w:rsidRPr="00382EC0" w14:paraId="3F562FBA"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53D0F93C" w14:textId="656142D9" w:rsidR="00B05993" w:rsidRPr="00382EC0" w:rsidRDefault="00B05993" w:rsidP="00382EC0">
            <w:pPr>
              <w:pStyle w:val="TableofAuthorities"/>
            </w:pPr>
            <w:r w:rsidRPr="00382EC0">
              <w:t xml:space="preserve">Provision of </w:t>
            </w:r>
            <w:r w:rsidR="00C17457" w:rsidRPr="00382EC0">
              <w:t>c</w:t>
            </w:r>
            <w:r w:rsidRPr="00382EC0">
              <w:t xml:space="preserve">are / </w:t>
            </w:r>
            <w:r w:rsidR="00C17457" w:rsidRPr="00382EC0">
              <w:t>d</w:t>
            </w:r>
            <w:r w:rsidRPr="00382EC0">
              <w:t xml:space="preserve">irect </w:t>
            </w:r>
            <w:r w:rsidR="00C17457" w:rsidRPr="00382EC0">
              <w:t>c</w:t>
            </w:r>
            <w:r w:rsidRPr="00382EC0">
              <w:t xml:space="preserve">are </w:t>
            </w:r>
            <w:r w:rsidR="00C17457" w:rsidRPr="00382EC0">
              <w:t>s</w:t>
            </w:r>
            <w:r w:rsidRPr="00382EC0">
              <w:t>ervices</w:t>
            </w:r>
          </w:p>
        </w:tc>
        <w:tc>
          <w:tcPr>
            <w:tcW w:w="947" w:type="dxa"/>
            <w:hideMark/>
          </w:tcPr>
          <w:p w14:paraId="12F65C00"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$47.94</w:t>
            </w:r>
          </w:p>
        </w:tc>
        <w:tc>
          <w:tcPr>
            <w:tcW w:w="947" w:type="dxa"/>
            <w:noWrap/>
            <w:hideMark/>
          </w:tcPr>
          <w:p w14:paraId="10342061"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$49.57</w:t>
            </w:r>
          </w:p>
        </w:tc>
        <w:tc>
          <w:tcPr>
            <w:tcW w:w="947" w:type="dxa"/>
            <w:noWrap/>
            <w:hideMark/>
          </w:tcPr>
          <w:p w14:paraId="3ACADB71"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$35.38</w:t>
            </w:r>
          </w:p>
        </w:tc>
        <w:tc>
          <w:tcPr>
            <w:tcW w:w="947" w:type="dxa"/>
            <w:noWrap/>
            <w:hideMark/>
          </w:tcPr>
          <w:p w14:paraId="13514C5B"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$33.65</w:t>
            </w:r>
          </w:p>
        </w:tc>
        <w:tc>
          <w:tcPr>
            <w:tcW w:w="947" w:type="dxa"/>
            <w:noWrap/>
            <w:hideMark/>
          </w:tcPr>
          <w:p w14:paraId="30EAEB6B"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$28.75</w:t>
            </w:r>
          </w:p>
        </w:tc>
      </w:tr>
      <w:tr w:rsidR="00496209" w:rsidRPr="00382EC0" w14:paraId="4C9E5D88"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6871D3D3" w14:textId="574C767D" w:rsidR="00B05993" w:rsidRPr="00382EC0" w:rsidRDefault="00B05993" w:rsidP="00382EC0">
            <w:pPr>
              <w:pStyle w:val="TableofAuthorities"/>
            </w:pPr>
            <w:r w:rsidRPr="00382EC0">
              <w:t xml:space="preserve">Provision of </w:t>
            </w:r>
            <w:r w:rsidR="00C17457" w:rsidRPr="00382EC0">
              <w:t>c</w:t>
            </w:r>
            <w:r w:rsidRPr="00382EC0">
              <w:t xml:space="preserve">are / </w:t>
            </w:r>
            <w:r w:rsidR="00C17457" w:rsidRPr="00382EC0">
              <w:t>s</w:t>
            </w:r>
            <w:r w:rsidRPr="00382EC0">
              <w:t xml:space="preserve">ub-contracted </w:t>
            </w:r>
            <w:r w:rsidR="00C17457" w:rsidRPr="00382EC0">
              <w:t>s</w:t>
            </w:r>
            <w:r w:rsidRPr="00382EC0">
              <w:t>ervices</w:t>
            </w:r>
          </w:p>
        </w:tc>
        <w:tc>
          <w:tcPr>
            <w:tcW w:w="947" w:type="dxa"/>
            <w:hideMark/>
          </w:tcPr>
          <w:p w14:paraId="71D83D03" w14:textId="7F9468D3"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0FA9837F" w14:textId="6B36C353"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752645B9"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$11.75</w:t>
            </w:r>
          </w:p>
        </w:tc>
        <w:tc>
          <w:tcPr>
            <w:tcW w:w="947" w:type="dxa"/>
            <w:noWrap/>
            <w:hideMark/>
          </w:tcPr>
          <w:p w14:paraId="584DB8F3"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$14.63</w:t>
            </w:r>
          </w:p>
        </w:tc>
        <w:tc>
          <w:tcPr>
            <w:tcW w:w="947" w:type="dxa"/>
            <w:noWrap/>
            <w:hideMark/>
          </w:tcPr>
          <w:p w14:paraId="38BD2E1A"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$14.61</w:t>
            </w:r>
          </w:p>
        </w:tc>
      </w:tr>
      <w:tr w:rsidR="00B05993" w:rsidRPr="00382EC0" w14:paraId="6C3832C5"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72770C2F" w14:textId="156DC15B" w:rsidR="00B05993" w:rsidRPr="00382EC0" w:rsidRDefault="00B05993" w:rsidP="00382EC0">
            <w:pPr>
              <w:pStyle w:val="TableofAuthorities"/>
            </w:pPr>
            <w:r w:rsidRPr="00382EC0">
              <w:t xml:space="preserve">Care </w:t>
            </w:r>
            <w:r w:rsidR="00C17457" w:rsidRPr="00382EC0">
              <w:t>m</w:t>
            </w:r>
            <w:r w:rsidRPr="00382EC0">
              <w:t xml:space="preserve">anagement </w:t>
            </w:r>
            <w:r w:rsidR="00C17457" w:rsidRPr="00382EC0">
              <w:t>s</w:t>
            </w:r>
            <w:r w:rsidRPr="00382EC0">
              <w:t xml:space="preserve">ervice </w:t>
            </w:r>
            <w:r w:rsidR="00C17457" w:rsidRPr="00382EC0">
              <w:t>f</w:t>
            </w:r>
            <w:r w:rsidRPr="00382EC0">
              <w:t>ees</w:t>
            </w:r>
          </w:p>
        </w:tc>
        <w:tc>
          <w:tcPr>
            <w:tcW w:w="947" w:type="dxa"/>
            <w:hideMark/>
          </w:tcPr>
          <w:p w14:paraId="5C1B68D9"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$9.72</w:t>
            </w:r>
          </w:p>
        </w:tc>
        <w:tc>
          <w:tcPr>
            <w:tcW w:w="947" w:type="dxa"/>
            <w:noWrap/>
            <w:hideMark/>
          </w:tcPr>
          <w:p w14:paraId="22923DC0"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$10.35</w:t>
            </w:r>
          </w:p>
        </w:tc>
        <w:tc>
          <w:tcPr>
            <w:tcW w:w="947" w:type="dxa"/>
            <w:noWrap/>
            <w:hideMark/>
          </w:tcPr>
          <w:p w14:paraId="5F57BE52"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$11.05</w:t>
            </w:r>
          </w:p>
        </w:tc>
        <w:tc>
          <w:tcPr>
            <w:tcW w:w="947" w:type="dxa"/>
            <w:noWrap/>
            <w:hideMark/>
          </w:tcPr>
          <w:p w14:paraId="442D4C3F"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$11.36</w:t>
            </w:r>
          </w:p>
        </w:tc>
        <w:tc>
          <w:tcPr>
            <w:tcW w:w="947" w:type="dxa"/>
            <w:noWrap/>
            <w:hideMark/>
          </w:tcPr>
          <w:p w14:paraId="18D2DB6A"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$10.89</w:t>
            </w:r>
          </w:p>
        </w:tc>
      </w:tr>
      <w:tr w:rsidR="00B05993" w:rsidRPr="00382EC0" w14:paraId="5A4F1394"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4300916C" w14:textId="668BD46F" w:rsidR="00B05993" w:rsidRPr="00382EC0" w:rsidRDefault="00B05993" w:rsidP="00382EC0">
            <w:pPr>
              <w:pStyle w:val="TableofAuthorities"/>
            </w:pPr>
            <w:r w:rsidRPr="00382EC0">
              <w:t xml:space="preserve">Package </w:t>
            </w:r>
            <w:r w:rsidR="00C17457" w:rsidRPr="00382EC0">
              <w:t>m</w:t>
            </w:r>
            <w:r w:rsidRPr="00382EC0">
              <w:t xml:space="preserve">anagement </w:t>
            </w:r>
            <w:r w:rsidR="00C17457" w:rsidRPr="00382EC0">
              <w:t>s</w:t>
            </w:r>
            <w:r w:rsidRPr="00382EC0">
              <w:t xml:space="preserve">ervice </w:t>
            </w:r>
            <w:r w:rsidR="00C17457" w:rsidRPr="00382EC0">
              <w:t>f</w:t>
            </w:r>
            <w:r w:rsidRPr="00382EC0">
              <w:t>ees</w:t>
            </w:r>
          </w:p>
        </w:tc>
        <w:tc>
          <w:tcPr>
            <w:tcW w:w="947" w:type="dxa"/>
            <w:hideMark/>
          </w:tcPr>
          <w:p w14:paraId="07D7BEC5"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$12.10</w:t>
            </w:r>
          </w:p>
        </w:tc>
        <w:tc>
          <w:tcPr>
            <w:tcW w:w="947" w:type="dxa"/>
            <w:noWrap/>
            <w:hideMark/>
          </w:tcPr>
          <w:p w14:paraId="7ABE3992"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$11.49</w:t>
            </w:r>
          </w:p>
        </w:tc>
        <w:tc>
          <w:tcPr>
            <w:tcW w:w="947" w:type="dxa"/>
            <w:noWrap/>
            <w:hideMark/>
          </w:tcPr>
          <w:p w14:paraId="6EB3841B"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$8.55</w:t>
            </w:r>
          </w:p>
        </w:tc>
        <w:tc>
          <w:tcPr>
            <w:tcW w:w="947" w:type="dxa"/>
            <w:noWrap/>
            <w:hideMark/>
          </w:tcPr>
          <w:p w14:paraId="77DFF990"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$7.11</w:t>
            </w:r>
          </w:p>
        </w:tc>
        <w:tc>
          <w:tcPr>
            <w:tcW w:w="947" w:type="dxa"/>
            <w:noWrap/>
            <w:hideMark/>
          </w:tcPr>
          <w:p w14:paraId="66760FF5"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$7.62</w:t>
            </w:r>
          </w:p>
        </w:tc>
      </w:tr>
      <w:tr w:rsidR="00B05993" w:rsidRPr="00382EC0" w14:paraId="3B76FFFA"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26AEEBFC" w14:textId="664C183A" w:rsidR="00B05993" w:rsidRPr="00382EC0" w:rsidRDefault="00B05993" w:rsidP="00382EC0">
            <w:pPr>
              <w:pStyle w:val="TableofAuthorities"/>
            </w:pPr>
            <w:r w:rsidRPr="00382EC0">
              <w:t>Unspent funds and exit amounts deducted</w:t>
            </w:r>
          </w:p>
        </w:tc>
        <w:tc>
          <w:tcPr>
            <w:tcW w:w="947" w:type="dxa"/>
            <w:hideMark/>
          </w:tcPr>
          <w:p w14:paraId="1F9FE682"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$0.16</w:t>
            </w:r>
          </w:p>
        </w:tc>
        <w:tc>
          <w:tcPr>
            <w:tcW w:w="947" w:type="dxa"/>
            <w:noWrap/>
            <w:hideMark/>
          </w:tcPr>
          <w:p w14:paraId="545AD966"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$0.15</w:t>
            </w:r>
          </w:p>
        </w:tc>
        <w:tc>
          <w:tcPr>
            <w:tcW w:w="947" w:type="dxa"/>
            <w:noWrap/>
            <w:hideMark/>
          </w:tcPr>
          <w:p w14:paraId="3C530588"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$0.11</w:t>
            </w:r>
          </w:p>
        </w:tc>
        <w:tc>
          <w:tcPr>
            <w:tcW w:w="947" w:type="dxa"/>
            <w:noWrap/>
            <w:hideMark/>
          </w:tcPr>
          <w:p w14:paraId="58080653"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$0.12</w:t>
            </w:r>
          </w:p>
        </w:tc>
        <w:tc>
          <w:tcPr>
            <w:tcW w:w="947" w:type="dxa"/>
            <w:noWrap/>
            <w:hideMark/>
          </w:tcPr>
          <w:p w14:paraId="46E788C6"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$0.06</w:t>
            </w:r>
          </w:p>
        </w:tc>
      </w:tr>
      <w:tr w:rsidR="00B05993" w:rsidRPr="00382EC0" w14:paraId="1D729DE2"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5F46F0CF" w14:textId="44081431" w:rsidR="00B05993" w:rsidRPr="00382EC0" w:rsidRDefault="00B05993" w:rsidP="00382EC0">
            <w:pPr>
              <w:pStyle w:val="TableofAuthorities"/>
            </w:pPr>
            <w:r w:rsidRPr="00382EC0">
              <w:t xml:space="preserve">COVID-19 </w:t>
            </w:r>
            <w:r w:rsidR="00C17457" w:rsidRPr="00382EC0">
              <w:t>f</w:t>
            </w:r>
            <w:r w:rsidRPr="00382EC0">
              <w:t>unding</w:t>
            </w:r>
          </w:p>
        </w:tc>
        <w:tc>
          <w:tcPr>
            <w:tcW w:w="947" w:type="dxa"/>
            <w:hideMark/>
          </w:tcPr>
          <w:p w14:paraId="3F9130FB" w14:textId="29AD6293"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4010E9B8" w14:textId="169FC9E6"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63E31E32"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$0.56</w:t>
            </w:r>
          </w:p>
        </w:tc>
        <w:tc>
          <w:tcPr>
            <w:tcW w:w="947" w:type="dxa"/>
            <w:noWrap/>
            <w:hideMark/>
          </w:tcPr>
          <w:p w14:paraId="1B0A42A7"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$1.17</w:t>
            </w:r>
          </w:p>
        </w:tc>
        <w:tc>
          <w:tcPr>
            <w:tcW w:w="947" w:type="dxa"/>
            <w:noWrap/>
            <w:hideMark/>
          </w:tcPr>
          <w:p w14:paraId="73ABB604"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$0.26</w:t>
            </w:r>
          </w:p>
        </w:tc>
      </w:tr>
      <w:tr w:rsidR="00B05993" w:rsidRPr="00382EC0" w14:paraId="050D58AB"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511FA644" w14:textId="77777777" w:rsidR="00B05993" w:rsidRPr="00382EC0" w:rsidRDefault="00B05993" w:rsidP="00382EC0">
            <w:pPr>
              <w:pStyle w:val="TableofAuthorities"/>
            </w:pPr>
            <w:r w:rsidRPr="00382EC0">
              <w:t>Other revenue</w:t>
            </w:r>
          </w:p>
        </w:tc>
        <w:tc>
          <w:tcPr>
            <w:tcW w:w="947" w:type="dxa"/>
            <w:hideMark/>
          </w:tcPr>
          <w:p w14:paraId="463A5D43"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$2.11</w:t>
            </w:r>
          </w:p>
        </w:tc>
        <w:tc>
          <w:tcPr>
            <w:tcW w:w="947" w:type="dxa"/>
            <w:noWrap/>
            <w:hideMark/>
          </w:tcPr>
          <w:p w14:paraId="4818B605"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$2.07</w:t>
            </w:r>
          </w:p>
        </w:tc>
        <w:tc>
          <w:tcPr>
            <w:tcW w:w="947" w:type="dxa"/>
            <w:noWrap/>
            <w:hideMark/>
          </w:tcPr>
          <w:p w14:paraId="770BC01F"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$0.97</w:t>
            </w:r>
          </w:p>
        </w:tc>
        <w:tc>
          <w:tcPr>
            <w:tcW w:w="947" w:type="dxa"/>
            <w:noWrap/>
            <w:hideMark/>
          </w:tcPr>
          <w:p w14:paraId="18D64B18"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$0.73</w:t>
            </w:r>
          </w:p>
        </w:tc>
        <w:tc>
          <w:tcPr>
            <w:tcW w:w="947" w:type="dxa"/>
            <w:noWrap/>
            <w:hideMark/>
          </w:tcPr>
          <w:p w14:paraId="700B857F"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$3.74</w:t>
            </w:r>
          </w:p>
        </w:tc>
      </w:tr>
      <w:tr w:rsidR="00496209" w:rsidRPr="00B05993" w14:paraId="5CF87548" w14:textId="77777777" w:rsidTr="00774763">
        <w:trPr>
          <w:trHeight w:val="326"/>
        </w:trPr>
        <w:tc>
          <w:tcPr>
            <w:cnfStyle w:val="001000000000" w:firstRow="0" w:lastRow="0" w:firstColumn="1" w:lastColumn="0" w:oddVBand="0" w:evenVBand="0" w:oddHBand="0" w:evenHBand="0" w:firstRowFirstColumn="0" w:firstRowLastColumn="0" w:lastRowFirstColumn="0" w:lastRowLastColumn="0"/>
            <w:tcW w:w="5267" w:type="dxa"/>
            <w:shd w:val="clear" w:color="auto" w:fill="D8DBDB" w:themeFill="background2" w:themeFillShade="E6"/>
            <w:noWrap/>
            <w:hideMark/>
          </w:tcPr>
          <w:p w14:paraId="6C0F5197" w14:textId="3EBA3C4B" w:rsidR="00B05993" w:rsidRPr="00382EC0" w:rsidRDefault="00B05993" w:rsidP="00966B51">
            <w:pPr>
              <w:pStyle w:val="TableParagraphbold"/>
            </w:pPr>
            <w:r w:rsidRPr="00382EC0">
              <w:t xml:space="preserve">Total </w:t>
            </w:r>
            <w:r w:rsidR="00C17457" w:rsidRPr="00382EC0">
              <w:t>i</w:t>
            </w:r>
            <w:r w:rsidRPr="00382EC0">
              <w:t>ncome</w:t>
            </w:r>
          </w:p>
        </w:tc>
        <w:tc>
          <w:tcPr>
            <w:tcW w:w="947" w:type="dxa"/>
            <w:shd w:val="clear" w:color="auto" w:fill="D8DBDB" w:themeFill="background2" w:themeFillShade="E6"/>
            <w:noWrap/>
            <w:hideMark/>
          </w:tcPr>
          <w:p w14:paraId="22B9F3E9"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$72.03</w:t>
            </w:r>
          </w:p>
        </w:tc>
        <w:tc>
          <w:tcPr>
            <w:tcW w:w="947" w:type="dxa"/>
            <w:shd w:val="clear" w:color="auto" w:fill="D8DBDB" w:themeFill="background2" w:themeFillShade="E6"/>
            <w:noWrap/>
            <w:hideMark/>
          </w:tcPr>
          <w:p w14:paraId="52CEF468"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$73.62</w:t>
            </w:r>
          </w:p>
        </w:tc>
        <w:tc>
          <w:tcPr>
            <w:tcW w:w="947" w:type="dxa"/>
            <w:shd w:val="clear" w:color="auto" w:fill="D8DBDB" w:themeFill="background2" w:themeFillShade="E6"/>
            <w:noWrap/>
            <w:hideMark/>
          </w:tcPr>
          <w:p w14:paraId="68830D8D"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$68.37</w:t>
            </w:r>
          </w:p>
        </w:tc>
        <w:tc>
          <w:tcPr>
            <w:tcW w:w="947" w:type="dxa"/>
            <w:shd w:val="clear" w:color="auto" w:fill="D8DBDB" w:themeFill="background2" w:themeFillShade="E6"/>
            <w:noWrap/>
            <w:hideMark/>
          </w:tcPr>
          <w:p w14:paraId="06ABB6EA"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$68.78</w:t>
            </w:r>
          </w:p>
        </w:tc>
        <w:tc>
          <w:tcPr>
            <w:tcW w:w="947" w:type="dxa"/>
            <w:shd w:val="clear" w:color="auto" w:fill="D8DBDB" w:themeFill="background2" w:themeFillShade="E6"/>
            <w:noWrap/>
            <w:hideMark/>
          </w:tcPr>
          <w:p w14:paraId="0494D693"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B05993">
              <w:rPr>
                <w:color w:val="000000"/>
                <w:lang w:eastAsia="en-AU"/>
              </w:rPr>
              <w:t>$65.94</w:t>
            </w:r>
          </w:p>
        </w:tc>
      </w:tr>
      <w:tr w:rsidR="00B05993" w:rsidRPr="00B05993" w14:paraId="0E2F1A8F"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42B8279E" w14:textId="77777777" w:rsidR="00B05993" w:rsidRPr="00382EC0" w:rsidRDefault="00B05993" w:rsidP="00966B51">
            <w:pPr>
              <w:pStyle w:val="TableParagraphbold"/>
            </w:pPr>
            <w:r w:rsidRPr="00382EC0">
              <w:t>Expenses</w:t>
            </w:r>
          </w:p>
        </w:tc>
        <w:tc>
          <w:tcPr>
            <w:tcW w:w="947" w:type="dxa"/>
            <w:noWrap/>
            <w:hideMark/>
          </w:tcPr>
          <w:p w14:paraId="2DD4B7C9"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 </w:t>
            </w:r>
          </w:p>
        </w:tc>
        <w:tc>
          <w:tcPr>
            <w:tcW w:w="947" w:type="dxa"/>
            <w:noWrap/>
            <w:hideMark/>
          </w:tcPr>
          <w:p w14:paraId="549B5643"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 </w:t>
            </w:r>
          </w:p>
        </w:tc>
        <w:tc>
          <w:tcPr>
            <w:tcW w:w="947" w:type="dxa"/>
            <w:noWrap/>
            <w:hideMark/>
          </w:tcPr>
          <w:p w14:paraId="664923AD"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 </w:t>
            </w:r>
          </w:p>
        </w:tc>
        <w:tc>
          <w:tcPr>
            <w:tcW w:w="947" w:type="dxa"/>
            <w:noWrap/>
            <w:hideMark/>
          </w:tcPr>
          <w:p w14:paraId="1EEA8DCC"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 </w:t>
            </w:r>
          </w:p>
        </w:tc>
        <w:tc>
          <w:tcPr>
            <w:tcW w:w="947" w:type="dxa"/>
            <w:noWrap/>
            <w:hideMark/>
          </w:tcPr>
          <w:p w14:paraId="274E9ECE"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B05993">
              <w:rPr>
                <w:color w:val="000000"/>
                <w:lang w:eastAsia="en-AU"/>
              </w:rPr>
              <w:t> </w:t>
            </w:r>
          </w:p>
        </w:tc>
      </w:tr>
      <w:tr w:rsidR="00B05993" w:rsidRPr="00B05993" w14:paraId="7966EDD3"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401A8BA2" w14:textId="77777777" w:rsidR="00B05993" w:rsidRPr="00382EC0" w:rsidRDefault="00B05993" w:rsidP="00966B51">
            <w:pPr>
              <w:pStyle w:val="TableParagraphbold"/>
            </w:pPr>
            <w:r w:rsidRPr="00382EC0">
              <w:t>Internal direct care services expenses</w:t>
            </w:r>
          </w:p>
        </w:tc>
        <w:tc>
          <w:tcPr>
            <w:tcW w:w="947" w:type="dxa"/>
            <w:hideMark/>
          </w:tcPr>
          <w:p w14:paraId="556B9BB8"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color w:val="313131"/>
                <w:lang w:eastAsia="en-AU"/>
              </w:rPr>
            </w:pPr>
            <w:r w:rsidRPr="00B05993">
              <w:rPr>
                <w:color w:val="313131"/>
                <w:lang w:eastAsia="en-AU"/>
              </w:rPr>
              <w:t> </w:t>
            </w:r>
          </w:p>
        </w:tc>
        <w:tc>
          <w:tcPr>
            <w:tcW w:w="947" w:type="dxa"/>
            <w:noWrap/>
            <w:hideMark/>
          </w:tcPr>
          <w:p w14:paraId="1C41C1D4"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color w:val="313131"/>
                <w:lang w:eastAsia="en-AU"/>
              </w:rPr>
            </w:pPr>
            <w:r w:rsidRPr="00B05993">
              <w:rPr>
                <w:color w:val="313131"/>
                <w:lang w:eastAsia="en-AU"/>
              </w:rPr>
              <w:t> </w:t>
            </w:r>
          </w:p>
        </w:tc>
        <w:tc>
          <w:tcPr>
            <w:tcW w:w="947" w:type="dxa"/>
            <w:noWrap/>
            <w:hideMark/>
          </w:tcPr>
          <w:p w14:paraId="21B5AFA5"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color w:val="313131"/>
                <w:lang w:eastAsia="en-AU"/>
              </w:rPr>
            </w:pPr>
            <w:r w:rsidRPr="00B05993">
              <w:rPr>
                <w:color w:val="313131"/>
                <w:lang w:eastAsia="en-AU"/>
              </w:rPr>
              <w:t> </w:t>
            </w:r>
          </w:p>
        </w:tc>
        <w:tc>
          <w:tcPr>
            <w:tcW w:w="947" w:type="dxa"/>
            <w:noWrap/>
            <w:hideMark/>
          </w:tcPr>
          <w:p w14:paraId="5220074F"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color w:val="313131"/>
                <w:lang w:eastAsia="en-AU"/>
              </w:rPr>
            </w:pPr>
            <w:r w:rsidRPr="00B05993">
              <w:rPr>
                <w:color w:val="313131"/>
                <w:lang w:eastAsia="en-AU"/>
              </w:rPr>
              <w:t> </w:t>
            </w:r>
          </w:p>
        </w:tc>
        <w:tc>
          <w:tcPr>
            <w:tcW w:w="947" w:type="dxa"/>
            <w:noWrap/>
            <w:hideMark/>
          </w:tcPr>
          <w:p w14:paraId="31C54EA5" w14:textId="77777777" w:rsidR="00B05993" w:rsidRPr="00B05993"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rPr>
                <w:color w:val="313131"/>
                <w:lang w:eastAsia="en-AU"/>
              </w:rPr>
            </w:pPr>
            <w:r w:rsidRPr="00B05993">
              <w:rPr>
                <w:color w:val="313131"/>
                <w:lang w:eastAsia="en-AU"/>
              </w:rPr>
              <w:t> </w:t>
            </w:r>
          </w:p>
        </w:tc>
      </w:tr>
      <w:tr w:rsidR="00B05993" w:rsidRPr="00382EC0" w14:paraId="59756407"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7CBEA857" w14:textId="071EC76C" w:rsidR="00B05993" w:rsidRPr="00382EC0" w:rsidRDefault="00B05993" w:rsidP="00382EC0">
            <w:pPr>
              <w:pStyle w:val="TableofAuthorities"/>
            </w:pPr>
            <w:r w:rsidRPr="00382EC0">
              <w:t xml:space="preserve">Employee and </w:t>
            </w:r>
            <w:r w:rsidR="00C17457" w:rsidRPr="00382EC0">
              <w:t>a</w:t>
            </w:r>
            <w:r w:rsidRPr="00382EC0">
              <w:t>gency staff labour costs</w:t>
            </w:r>
          </w:p>
        </w:tc>
        <w:tc>
          <w:tcPr>
            <w:tcW w:w="947" w:type="dxa"/>
            <w:hideMark/>
          </w:tcPr>
          <w:p w14:paraId="394D1900"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$29.99</w:t>
            </w:r>
          </w:p>
        </w:tc>
        <w:tc>
          <w:tcPr>
            <w:tcW w:w="947" w:type="dxa"/>
            <w:noWrap/>
            <w:hideMark/>
          </w:tcPr>
          <w:p w14:paraId="5DC4F787"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$28.83</w:t>
            </w:r>
          </w:p>
        </w:tc>
        <w:tc>
          <w:tcPr>
            <w:tcW w:w="947" w:type="dxa"/>
            <w:noWrap/>
            <w:hideMark/>
          </w:tcPr>
          <w:p w14:paraId="6858F0C6"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$25.49</w:t>
            </w:r>
          </w:p>
        </w:tc>
        <w:tc>
          <w:tcPr>
            <w:tcW w:w="947" w:type="dxa"/>
            <w:noWrap/>
            <w:hideMark/>
          </w:tcPr>
          <w:p w14:paraId="3719CA00"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$24.13</w:t>
            </w:r>
          </w:p>
        </w:tc>
        <w:tc>
          <w:tcPr>
            <w:tcW w:w="947" w:type="dxa"/>
            <w:noWrap/>
            <w:hideMark/>
          </w:tcPr>
          <w:p w14:paraId="73673551"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$18.81</w:t>
            </w:r>
          </w:p>
        </w:tc>
      </w:tr>
      <w:tr w:rsidR="00B05993" w:rsidRPr="00382EC0" w14:paraId="26B67689"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078B4746" w14:textId="059572F1" w:rsidR="00B05993" w:rsidRPr="00382EC0" w:rsidRDefault="00B05993" w:rsidP="00382EC0">
            <w:pPr>
              <w:pStyle w:val="TableofAuthorities"/>
            </w:pPr>
            <w:r w:rsidRPr="00382EC0">
              <w:t xml:space="preserve">Other </w:t>
            </w:r>
            <w:r w:rsidR="00C17457" w:rsidRPr="00382EC0">
              <w:t>i</w:t>
            </w:r>
            <w:r w:rsidRPr="00382EC0">
              <w:t xml:space="preserve">nternal </w:t>
            </w:r>
            <w:r w:rsidR="00C17457" w:rsidRPr="00382EC0">
              <w:t>d</w:t>
            </w:r>
            <w:r w:rsidRPr="00382EC0">
              <w:t>irect care services expenses</w:t>
            </w:r>
          </w:p>
        </w:tc>
        <w:tc>
          <w:tcPr>
            <w:tcW w:w="947" w:type="dxa"/>
            <w:hideMark/>
          </w:tcPr>
          <w:p w14:paraId="0539FD09"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 xml:space="preserve">-   </w:t>
            </w:r>
          </w:p>
        </w:tc>
        <w:tc>
          <w:tcPr>
            <w:tcW w:w="947" w:type="dxa"/>
            <w:noWrap/>
            <w:hideMark/>
          </w:tcPr>
          <w:p w14:paraId="1CACE304"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 xml:space="preserve"> -   </w:t>
            </w:r>
          </w:p>
        </w:tc>
        <w:tc>
          <w:tcPr>
            <w:tcW w:w="947" w:type="dxa"/>
            <w:noWrap/>
            <w:hideMark/>
          </w:tcPr>
          <w:p w14:paraId="2F8DD264"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 xml:space="preserve"> -   </w:t>
            </w:r>
          </w:p>
        </w:tc>
        <w:tc>
          <w:tcPr>
            <w:tcW w:w="947" w:type="dxa"/>
            <w:noWrap/>
            <w:hideMark/>
          </w:tcPr>
          <w:p w14:paraId="6ECD1A2C"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 xml:space="preserve"> -   </w:t>
            </w:r>
          </w:p>
        </w:tc>
        <w:tc>
          <w:tcPr>
            <w:tcW w:w="947" w:type="dxa"/>
            <w:noWrap/>
            <w:hideMark/>
          </w:tcPr>
          <w:p w14:paraId="4D71EDA3"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$2.00</w:t>
            </w:r>
          </w:p>
        </w:tc>
      </w:tr>
      <w:tr w:rsidR="00B05993" w:rsidRPr="00B05993" w14:paraId="09E9057D"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40EE23F6" w14:textId="6DF2247A" w:rsidR="00B05993" w:rsidRPr="00966B51" w:rsidRDefault="00B05993" w:rsidP="00966B51">
            <w:pPr>
              <w:pStyle w:val="TableParagraphbold"/>
              <w:rPr>
                <w:lang w:eastAsia="en-AU"/>
              </w:rPr>
            </w:pPr>
            <w:r w:rsidRPr="00966B51">
              <w:rPr>
                <w:lang w:eastAsia="en-AU"/>
              </w:rPr>
              <w:t xml:space="preserve">Total </w:t>
            </w:r>
            <w:r w:rsidR="00C17457" w:rsidRPr="00966B51">
              <w:rPr>
                <w:lang w:eastAsia="en-AU"/>
              </w:rPr>
              <w:t>i</w:t>
            </w:r>
            <w:r w:rsidRPr="00966B51">
              <w:rPr>
                <w:lang w:eastAsia="en-AU"/>
              </w:rPr>
              <w:t xml:space="preserve">nternal </w:t>
            </w:r>
            <w:r w:rsidR="00C17457" w:rsidRPr="00966B51">
              <w:rPr>
                <w:lang w:eastAsia="en-AU"/>
              </w:rPr>
              <w:t>d</w:t>
            </w:r>
            <w:r w:rsidRPr="00966B51">
              <w:rPr>
                <w:lang w:eastAsia="en-AU"/>
              </w:rPr>
              <w:t xml:space="preserve">irect </w:t>
            </w:r>
            <w:r w:rsidR="00C17457" w:rsidRPr="00966B51">
              <w:rPr>
                <w:lang w:eastAsia="en-AU"/>
              </w:rPr>
              <w:t>c</w:t>
            </w:r>
            <w:r w:rsidRPr="00966B51">
              <w:rPr>
                <w:lang w:eastAsia="en-AU"/>
              </w:rPr>
              <w:t>are services expenses</w:t>
            </w:r>
          </w:p>
        </w:tc>
        <w:tc>
          <w:tcPr>
            <w:tcW w:w="947" w:type="dxa"/>
            <w:hideMark/>
          </w:tcPr>
          <w:p w14:paraId="0AE66512"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$29.99</w:t>
            </w:r>
          </w:p>
        </w:tc>
        <w:tc>
          <w:tcPr>
            <w:tcW w:w="947" w:type="dxa"/>
            <w:noWrap/>
            <w:hideMark/>
          </w:tcPr>
          <w:p w14:paraId="43C008B4"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$28.83</w:t>
            </w:r>
          </w:p>
        </w:tc>
        <w:tc>
          <w:tcPr>
            <w:tcW w:w="947" w:type="dxa"/>
            <w:noWrap/>
            <w:hideMark/>
          </w:tcPr>
          <w:p w14:paraId="391ABED4"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$25.49</w:t>
            </w:r>
          </w:p>
        </w:tc>
        <w:tc>
          <w:tcPr>
            <w:tcW w:w="947" w:type="dxa"/>
            <w:noWrap/>
            <w:hideMark/>
          </w:tcPr>
          <w:p w14:paraId="521791E6"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$24.13</w:t>
            </w:r>
          </w:p>
        </w:tc>
        <w:tc>
          <w:tcPr>
            <w:tcW w:w="947" w:type="dxa"/>
            <w:noWrap/>
            <w:hideMark/>
          </w:tcPr>
          <w:p w14:paraId="6D44F7F3"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$20.81</w:t>
            </w:r>
          </w:p>
        </w:tc>
      </w:tr>
      <w:tr w:rsidR="00B05993" w:rsidRPr="00B05993" w14:paraId="59FEA733"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4B844894" w14:textId="77777777" w:rsidR="00B05993" w:rsidRPr="00966B51" w:rsidRDefault="00B05993" w:rsidP="00966B51">
            <w:pPr>
              <w:pStyle w:val="TableParagraphbold"/>
              <w:rPr>
                <w:lang w:eastAsia="en-AU"/>
              </w:rPr>
            </w:pPr>
            <w:r w:rsidRPr="00966B51">
              <w:rPr>
                <w:lang w:eastAsia="en-AU"/>
              </w:rPr>
              <w:t>External direct care services expenses</w:t>
            </w:r>
          </w:p>
        </w:tc>
        <w:tc>
          <w:tcPr>
            <w:tcW w:w="947" w:type="dxa"/>
            <w:hideMark/>
          </w:tcPr>
          <w:p w14:paraId="2CE12A23"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 </w:t>
            </w:r>
          </w:p>
        </w:tc>
        <w:tc>
          <w:tcPr>
            <w:tcW w:w="947" w:type="dxa"/>
            <w:noWrap/>
            <w:hideMark/>
          </w:tcPr>
          <w:p w14:paraId="551A486C"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 </w:t>
            </w:r>
          </w:p>
        </w:tc>
        <w:tc>
          <w:tcPr>
            <w:tcW w:w="947" w:type="dxa"/>
            <w:noWrap/>
            <w:hideMark/>
          </w:tcPr>
          <w:p w14:paraId="6C592A8D"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 </w:t>
            </w:r>
          </w:p>
        </w:tc>
        <w:tc>
          <w:tcPr>
            <w:tcW w:w="947" w:type="dxa"/>
            <w:noWrap/>
            <w:hideMark/>
          </w:tcPr>
          <w:p w14:paraId="33C262D4"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 </w:t>
            </w:r>
          </w:p>
        </w:tc>
        <w:tc>
          <w:tcPr>
            <w:tcW w:w="947" w:type="dxa"/>
            <w:noWrap/>
            <w:hideMark/>
          </w:tcPr>
          <w:p w14:paraId="43561F61" w14:textId="77777777" w:rsidR="00B05993" w:rsidRPr="00B05993"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rPr>
                <w:rFonts w:cs="Arial"/>
                <w:color w:val="313131"/>
                <w:szCs w:val="16"/>
                <w:lang w:eastAsia="en-AU"/>
              </w:rPr>
            </w:pPr>
            <w:r w:rsidRPr="00B05993">
              <w:rPr>
                <w:rFonts w:cs="Arial"/>
                <w:color w:val="313131"/>
                <w:szCs w:val="16"/>
                <w:lang w:eastAsia="en-AU"/>
              </w:rPr>
              <w:t> </w:t>
            </w:r>
          </w:p>
        </w:tc>
      </w:tr>
      <w:tr w:rsidR="00B05993" w:rsidRPr="00382EC0" w14:paraId="74FF1AE4"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19613D00" w14:textId="043F60D6" w:rsidR="00B05993" w:rsidRPr="00382EC0" w:rsidRDefault="00B05993" w:rsidP="00382EC0">
            <w:pPr>
              <w:pStyle w:val="TableofAuthorities"/>
            </w:pPr>
            <w:r w:rsidRPr="00382EC0">
              <w:t xml:space="preserve">Sub-contracted or </w:t>
            </w:r>
            <w:r w:rsidR="00C17457" w:rsidRPr="00382EC0">
              <w:t>b</w:t>
            </w:r>
            <w:r w:rsidRPr="00382EC0">
              <w:t xml:space="preserve">rokered </w:t>
            </w:r>
            <w:r w:rsidR="00C17457" w:rsidRPr="00382EC0">
              <w:t>c</w:t>
            </w:r>
            <w:r w:rsidRPr="00382EC0">
              <w:t xml:space="preserve">lient </w:t>
            </w:r>
            <w:r w:rsidR="00C17457" w:rsidRPr="00382EC0">
              <w:t>s</w:t>
            </w:r>
            <w:r w:rsidRPr="00382EC0">
              <w:t>ervices</w:t>
            </w:r>
          </w:p>
        </w:tc>
        <w:tc>
          <w:tcPr>
            <w:tcW w:w="947" w:type="dxa"/>
            <w:hideMark/>
          </w:tcPr>
          <w:p w14:paraId="426DEAF0"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$10.32</w:t>
            </w:r>
          </w:p>
        </w:tc>
        <w:tc>
          <w:tcPr>
            <w:tcW w:w="947" w:type="dxa"/>
            <w:noWrap/>
            <w:hideMark/>
          </w:tcPr>
          <w:p w14:paraId="0DDACD09"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$11.47</w:t>
            </w:r>
          </w:p>
        </w:tc>
        <w:tc>
          <w:tcPr>
            <w:tcW w:w="947" w:type="dxa"/>
            <w:noWrap/>
            <w:hideMark/>
          </w:tcPr>
          <w:p w14:paraId="1DF88F90"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$11.50</w:t>
            </w:r>
          </w:p>
        </w:tc>
        <w:tc>
          <w:tcPr>
            <w:tcW w:w="947" w:type="dxa"/>
            <w:noWrap/>
            <w:hideMark/>
          </w:tcPr>
          <w:p w14:paraId="63A8511D"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$13.60</w:t>
            </w:r>
          </w:p>
        </w:tc>
        <w:tc>
          <w:tcPr>
            <w:tcW w:w="947" w:type="dxa"/>
            <w:noWrap/>
            <w:hideMark/>
          </w:tcPr>
          <w:p w14:paraId="4B3CC284"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$10.83</w:t>
            </w:r>
          </w:p>
        </w:tc>
      </w:tr>
      <w:tr w:rsidR="00B05993" w:rsidRPr="00382EC0" w14:paraId="27A25C2A"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79B78DF7" w14:textId="0D927990" w:rsidR="00B05993" w:rsidRPr="00382EC0" w:rsidRDefault="00B05993" w:rsidP="00382EC0">
            <w:pPr>
              <w:pStyle w:val="TableofAuthorities"/>
            </w:pPr>
            <w:r w:rsidRPr="00382EC0">
              <w:t xml:space="preserve">Other </w:t>
            </w:r>
            <w:r w:rsidR="00C17457" w:rsidRPr="00382EC0">
              <w:t>e</w:t>
            </w:r>
            <w:r w:rsidRPr="00382EC0">
              <w:t xml:space="preserve">xternal </w:t>
            </w:r>
            <w:r w:rsidR="00C17457" w:rsidRPr="00382EC0">
              <w:t>d</w:t>
            </w:r>
            <w:r w:rsidRPr="00382EC0">
              <w:t xml:space="preserve">irect </w:t>
            </w:r>
            <w:r w:rsidR="00793382" w:rsidRPr="00382EC0">
              <w:t>s</w:t>
            </w:r>
            <w:r w:rsidRPr="00382EC0">
              <w:t>ervice expenses</w:t>
            </w:r>
          </w:p>
        </w:tc>
        <w:tc>
          <w:tcPr>
            <w:tcW w:w="947" w:type="dxa"/>
            <w:hideMark/>
          </w:tcPr>
          <w:p w14:paraId="11CE47BA"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 xml:space="preserve">-   </w:t>
            </w:r>
          </w:p>
        </w:tc>
        <w:tc>
          <w:tcPr>
            <w:tcW w:w="947" w:type="dxa"/>
            <w:noWrap/>
            <w:hideMark/>
          </w:tcPr>
          <w:p w14:paraId="31A25BF3"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 xml:space="preserve"> -   </w:t>
            </w:r>
          </w:p>
        </w:tc>
        <w:tc>
          <w:tcPr>
            <w:tcW w:w="947" w:type="dxa"/>
            <w:noWrap/>
            <w:hideMark/>
          </w:tcPr>
          <w:p w14:paraId="3CAE47A7"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 xml:space="preserve"> -   </w:t>
            </w:r>
          </w:p>
        </w:tc>
        <w:tc>
          <w:tcPr>
            <w:tcW w:w="947" w:type="dxa"/>
            <w:noWrap/>
            <w:hideMark/>
          </w:tcPr>
          <w:p w14:paraId="04FFAB5C"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 xml:space="preserve"> -   </w:t>
            </w:r>
          </w:p>
        </w:tc>
        <w:tc>
          <w:tcPr>
            <w:tcW w:w="947" w:type="dxa"/>
            <w:noWrap/>
            <w:hideMark/>
          </w:tcPr>
          <w:p w14:paraId="5F5DAC28"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$8.53</w:t>
            </w:r>
          </w:p>
        </w:tc>
      </w:tr>
      <w:tr w:rsidR="00B05993" w:rsidRPr="00966B51" w14:paraId="1728AA34"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1AB684BC" w14:textId="20B3834D" w:rsidR="00B05993" w:rsidRPr="00966B51" w:rsidRDefault="00B05993" w:rsidP="00966B51">
            <w:pPr>
              <w:pStyle w:val="TableParagraphbold"/>
            </w:pPr>
            <w:r w:rsidRPr="00966B51">
              <w:t>Total</w:t>
            </w:r>
            <w:r w:rsidR="00793382" w:rsidRPr="00966B51">
              <w:t xml:space="preserve"> ex</w:t>
            </w:r>
            <w:r w:rsidRPr="00966B51">
              <w:t>ternal</w:t>
            </w:r>
            <w:r w:rsidR="00793382" w:rsidRPr="00966B51">
              <w:t xml:space="preserve"> di</w:t>
            </w:r>
            <w:r w:rsidRPr="00966B51">
              <w:t>rect</w:t>
            </w:r>
            <w:r w:rsidR="00793382" w:rsidRPr="00966B51">
              <w:t xml:space="preserve"> </w:t>
            </w:r>
            <w:r w:rsidR="008412F9" w:rsidRPr="00966B51">
              <w:t>c</w:t>
            </w:r>
            <w:r w:rsidRPr="00966B51">
              <w:t xml:space="preserve">are </w:t>
            </w:r>
            <w:r w:rsidR="008412F9" w:rsidRPr="00966B51">
              <w:t>s</w:t>
            </w:r>
            <w:r w:rsidRPr="00966B51">
              <w:t xml:space="preserve">ervice </w:t>
            </w:r>
            <w:r w:rsidR="008412F9" w:rsidRPr="00966B51">
              <w:t>e</w:t>
            </w:r>
            <w:r w:rsidRPr="00966B51">
              <w:t>xpenses</w:t>
            </w:r>
          </w:p>
        </w:tc>
        <w:tc>
          <w:tcPr>
            <w:tcW w:w="947" w:type="dxa"/>
            <w:hideMark/>
          </w:tcPr>
          <w:p w14:paraId="670EF317"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$10.32</w:t>
            </w:r>
          </w:p>
        </w:tc>
        <w:tc>
          <w:tcPr>
            <w:tcW w:w="947" w:type="dxa"/>
            <w:noWrap/>
            <w:hideMark/>
          </w:tcPr>
          <w:p w14:paraId="4390AE8B"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$11.47</w:t>
            </w:r>
          </w:p>
        </w:tc>
        <w:tc>
          <w:tcPr>
            <w:tcW w:w="947" w:type="dxa"/>
            <w:noWrap/>
            <w:hideMark/>
          </w:tcPr>
          <w:p w14:paraId="2084E7A2"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$11.50</w:t>
            </w:r>
          </w:p>
        </w:tc>
        <w:tc>
          <w:tcPr>
            <w:tcW w:w="947" w:type="dxa"/>
            <w:noWrap/>
            <w:hideMark/>
          </w:tcPr>
          <w:p w14:paraId="25B7033A"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$13.60</w:t>
            </w:r>
          </w:p>
        </w:tc>
        <w:tc>
          <w:tcPr>
            <w:tcW w:w="947" w:type="dxa"/>
            <w:noWrap/>
            <w:hideMark/>
          </w:tcPr>
          <w:p w14:paraId="79038595"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$19.36</w:t>
            </w:r>
          </w:p>
        </w:tc>
      </w:tr>
      <w:tr w:rsidR="00B05993" w:rsidRPr="00972799" w14:paraId="21C5E088"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0E165726" w14:textId="77777777" w:rsidR="00B05993" w:rsidRPr="00972799" w:rsidRDefault="00B05993" w:rsidP="00972799">
            <w:pPr>
              <w:pStyle w:val="TableofAuthorities"/>
            </w:pPr>
            <w:r w:rsidRPr="00972799">
              <w:t>Care related expenses</w:t>
            </w:r>
          </w:p>
        </w:tc>
        <w:tc>
          <w:tcPr>
            <w:tcW w:w="947" w:type="dxa"/>
            <w:hideMark/>
          </w:tcPr>
          <w:p w14:paraId="0A1A0082" w14:textId="77777777" w:rsidR="00B05993" w:rsidRPr="00972799" w:rsidRDefault="00B05993" w:rsidP="00972799">
            <w:pPr>
              <w:pStyle w:val="TableofAuthorities"/>
              <w:cnfStyle w:val="000000000000" w:firstRow="0" w:lastRow="0" w:firstColumn="0" w:lastColumn="0" w:oddVBand="0" w:evenVBand="0" w:oddHBand="0" w:evenHBand="0" w:firstRowFirstColumn="0" w:firstRowLastColumn="0" w:lastRowFirstColumn="0" w:lastRowLastColumn="0"/>
            </w:pPr>
            <w:r w:rsidRPr="00972799">
              <w:t>$6.94</w:t>
            </w:r>
          </w:p>
        </w:tc>
        <w:tc>
          <w:tcPr>
            <w:tcW w:w="947" w:type="dxa"/>
            <w:noWrap/>
            <w:hideMark/>
          </w:tcPr>
          <w:p w14:paraId="22923B71" w14:textId="77777777" w:rsidR="00B05993" w:rsidRPr="00972799" w:rsidRDefault="00B05993" w:rsidP="00972799">
            <w:pPr>
              <w:pStyle w:val="TableofAuthorities"/>
              <w:cnfStyle w:val="000000000000" w:firstRow="0" w:lastRow="0" w:firstColumn="0" w:lastColumn="0" w:oddVBand="0" w:evenVBand="0" w:oddHBand="0" w:evenHBand="0" w:firstRowFirstColumn="0" w:firstRowLastColumn="0" w:lastRowFirstColumn="0" w:lastRowLastColumn="0"/>
            </w:pPr>
            <w:r w:rsidRPr="00972799">
              <w:t>$8.01</w:t>
            </w:r>
          </w:p>
        </w:tc>
        <w:tc>
          <w:tcPr>
            <w:tcW w:w="947" w:type="dxa"/>
            <w:noWrap/>
            <w:hideMark/>
          </w:tcPr>
          <w:p w14:paraId="5EFF2B13" w14:textId="77777777" w:rsidR="00B05993" w:rsidRPr="00972799" w:rsidRDefault="00B05993" w:rsidP="00972799">
            <w:pPr>
              <w:pStyle w:val="TableofAuthorities"/>
              <w:cnfStyle w:val="000000000000" w:firstRow="0" w:lastRow="0" w:firstColumn="0" w:lastColumn="0" w:oddVBand="0" w:evenVBand="0" w:oddHBand="0" w:evenHBand="0" w:firstRowFirstColumn="0" w:firstRowLastColumn="0" w:lastRowFirstColumn="0" w:lastRowLastColumn="0"/>
            </w:pPr>
            <w:r w:rsidRPr="00972799">
              <w:t>$7.69</w:t>
            </w:r>
          </w:p>
        </w:tc>
        <w:tc>
          <w:tcPr>
            <w:tcW w:w="947" w:type="dxa"/>
            <w:noWrap/>
            <w:hideMark/>
          </w:tcPr>
          <w:p w14:paraId="7E246D9C" w14:textId="77777777" w:rsidR="00B05993" w:rsidRPr="00972799" w:rsidRDefault="00B05993" w:rsidP="00972799">
            <w:pPr>
              <w:pStyle w:val="TableofAuthorities"/>
              <w:cnfStyle w:val="000000000000" w:firstRow="0" w:lastRow="0" w:firstColumn="0" w:lastColumn="0" w:oddVBand="0" w:evenVBand="0" w:oddHBand="0" w:evenHBand="0" w:firstRowFirstColumn="0" w:firstRowLastColumn="0" w:lastRowFirstColumn="0" w:lastRowLastColumn="0"/>
            </w:pPr>
            <w:r w:rsidRPr="00972799">
              <w:t>$7.05</w:t>
            </w:r>
          </w:p>
        </w:tc>
        <w:tc>
          <w:tcPr>
            <w:tcW w:w="947" w:type="dxa"/>
            <w:noWrap/>
            <w:hideMark/>
          </w:tcPr>
          <w:p w14:paraId="568E0796" w14:textId="77777777" w:rsidR="00B05993" w:rsidRPr="00972799" w:rsidRDefault="00B05993" w:rsidP="00972799">
            <w:pPr>
              <w:pStyle w:val="TableofAuthorities"/>
              <w:cnfStyle w:val="000000000000" w:firstRow="0" w:lastRow="0" w:firstColumn="0" w:lastColumn="0" w:oddVBand="0" w:evenVBand="0" w:oddHBand="0" w:evenHBand="0" w:firstRowFirstColumn="0" w:firstRowLastColumn="0" w:lastRowFirstColumn="0" w:lastRowLastColumn="0"/>
            </w:pPr>
            <w:r w:rsidRPr="00972799">
              <w:t xml:space="preserve"> -   </w:t>
            </w:r>
          </w:p>
        </w:tc>
      </w:tr>
      <w:tr w:rsidR="00496209" w:rsidRPr="00966B51" w14:paraId="27918926" w14:textId="77777777" w:rsidTr="00774763">
        <w:trPr>
          <w:trHeight w:val="326"/>
        </w:trPr>
        <w:tc>
          <w:tcPr>
            <w:cnfStyle w:val="001000000000" w:firstRow="0" w:lastRow="0" w:firstColumn="1" w:lastColumn="0" w:oddVBand="0" w:evenVBand="0" w:oddHBand="0" w:evenHBand="0" w:firstRowFirstColumn="0" w:firstRowLastColumn="0" w:lastRowFirstColumn="0" w:lastRowLastColumn="0"/>
            <w:tcW w:w="5267" w:type="dxa"/>
            <w:shd w:val="clear" w:color="auto" w:fill="D8DBDB" w:themeFill="background2" w:themeFillShade="E6"/>
            <w:noWrap/>
            <w:hideMark/>
          </w:tcPr>
          <w:p w14:paraId="3F438F7B" w14:textId="6B7183A4" w:rsidR="00B05993" w:rsidRPr="00966B51" w:rsidRDefault="00B05993" w:rsidP="00966B51">
            <w:pPr>
              <w:pStyle w:val="TableParagraphbold"/>
            </w:pPr>
            <w:r w:rsidRPr="00966B51">
              <w:t xml:space="preserve">Total </w:t>
            </w:r>
            <w:r w:rsidR="008412F9" w:rsidRPr="00966B51">
              <w:t>d</w:t>
            </w:r>
            <w:r w:rsidRPr="00966B51">
              <w:t xml:space="preserve">irect </w:t>
            </w:r>
            <w:r w:rsidR="008412F9" w:rsidRPr="00966B51">
              <w:t>s</w:t>
            </w:r>
            <w:r w:rsidRPr="00966B51">
              <w:t xml:space="preserve">ervice </w:t>
            </w:r>
            <w:r w:rsidR="008412F9" w:rsidRPr="00966B51">
              <w:t>e</w:t>
            </w:r>
            <w:r w:rsidRPr="00966B51">
              <w:t>xpenses</w:t>
            </w:r>
          </w:p>
        </w:tc>
        <w:tc>
          <w:tcPr>
            <w:tcW w:w="947" w:type="dxa"/>
            <w:shd w:val="clear" w:color="auto" w:fill="D8DBDB" w:themeFill="background2" w:themeFillShade="E6"/>
            <w:noWrap/>
            <w:hideMark/>
          </w:tcPr>
          <w:p w14:paraId="1DE445DD"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$47.25</w:t>
            </w:r>
          </w:p>
        </w:tc>
        <w:tc>
          <w:tcPr>
            <w:tcW w:w="947" w:type="dxa"/>
            <w:shd w:val="clear" w:color="auto" w:fill="D8DBDB" w:themeFill="background2" w:themeFillShade="E6"/>
            <w:noWrap/>
            <w:hideMark/>
          </w:tcPr>
          <w:p w14:paraId="59590381"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$48.31</w:t>
            </w:r>
          </w:p>
        </w:tc>
        <w:tc>
          <w:tcPr>
            <w:tcW w:w="947" w:type="dxa"/>
            <w:shd w:val="clear" w:color="auto" w:fill="D8DBDB" w:themeFill="background2" w:themeFillShade="E6"/>
            <w:noWrap/>
            <w:hideMark/>
          </w:tcPr>
          <w:p w14:paraId="46E84BFF"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$44.68</w:t>
            </w:r>
          </w:p>
        </w:tc>
        <w:tc>
          <w:tcPr>
            <w:tcW w:w="947" w:type="dxa"/>
            <w:shd w:val="clear" w:color="auto" w:fill="D8DBDB" w:themeFill="background2" w:themeFillShade="E6"/>
            <w:noWrap/>
            <w:hideMark/>
          </w:tcPr>
          <w:p w14:paraId="58B85133"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$44.78</w:t>
            </w:r>
          </w:p>
        </w:tc>
        <w:tc>
          <w:tcPr>
            <w:tcW w:w="947" w:type="dxa"/>
            <w:shd w:val="clear" w:color="auto" w:fill="D8DBDB" w:themeFill="background2" w:themeFillShade="E6"/>
            <w:noWrap/>
            <w:hideMark/>
          </w:tcPr>
          <w:p w14:paraId="320FEA05"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$40.17</w:t>
            </w:r>
          </w:p>
        </w:tc>
      </w:tr>
      <w:tr w:rsidR="00B05993" w:rsidRPr="00382EC0" w14:paraId="5B174262"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15474DA6" w14:textId="40C9CF1A" w:rsidR="00B05993" w:rsidRPr="00382EC0" w:rsidRDefault="00B05993" w:rsidP="00382EC0">
            <w:pPr>
              <w:pStyle w:val="TableofAuthorities"/>
            </w:pPr>
            <w:r w:rsidRPr="00382EC0">
              <w:t xml:space="preserve">Care </w:t>
            </w:r>
            <w:r w:rsidR="008412F9" w:rsidRPr="00382EC0">
              <w:t>m</w:t>
            </w:r>
            <w:r w:rsidRPr="00382EC0">
              <w:t xml:space="preserve">anagement </w:t>
            </w:r>
            <w:r w:rsidR="008412F9" w:rsidRPr="00382EC0">
              <w:t>e</w:t>
            </w:r>
            <w:r w:rsidRPr="00382EC0">
              <w:t>xpenses</w:t>
            </w:r>
          </w:p>
        </w:tc>
        <w:tc>
          <w:tcPr>
            <w:tcW w:w="947" w:type="dxa"/>
            <w:hideMark/>
          </w:tcPr>
          <w:p w14:paraId="6B7AA0C9"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$10.26</w:t>
            </w:r>
          </w:p>
        </w:tc>
        <w:tc>
          <w:tcPr>
            <w:tcW w:w="947" w:type="dxa"/>
            <w:noWrap/>
            <w:hideMark/>
          </w:tcPr>
          <w:p w14:paraId="5A7723CC"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$10.28</w:t>
            </w:r>
          </w:p>
        </w:tc>
        <w:tc>
          <w:tcPr>
            <w:tcW w:w="947" w:type="dxa"/>
            <w:noWrap/>
            <w:hideMark/>
          </w:tcPr>
          <w:p w14:paraId="27A52ECA"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$7.96</w:t>
            </w:r>
          </w:p>
        </w:tc>
        <w:tc>
          <w:tcPr>
            <w:tcW w:w="947" w:type="dxa"/>
            <w:noWrap/>
            <w:hideMark/>
          </w:tcPr>
          <w:p w14:paraId="0700C185"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$7.08</w:t>
            </w:r>
          </w:p>
        </w:tc>
        <w:tc>
          <w:tcPr>
            <w:tcW w:w="947" w:type="dxa"/>
            <w:noWrap/>
            <w:hideMark/>
          </w:tcPr>
          <w:p w14:paraId="430CBF64"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$7.24</w:t>
            </w:r>
          </w:p>
        </w:tc>
      </w:tr>
      <w:tr w:rsidR="00B05993" w:rsidRPr="00966B51" w14:paraId="7816F291"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265A8863" w14:textId="3B23BCCD" w:rsidR="00B05993" w:rsidRPr="00966B51" w:rsidRDefault="00B05993" w:rsidP="00966B51">
            <w:pPr>
              <w:pStyle w:val="TableParagraphbold"/>
            </w:pPr>
            <w:r w:rsidRPr="00966B51">
              <w:t xml:space="preserve">Administration and </w:t>
            </w:r>
            <w:r w:rsidR="008412F9" w:rsidRPr="00966B51">
              <w:t>s</w:t>
            </w:r>
            <w:r w:rsidRPr="00966B51">
              <w:t>upport expenses</w:t>
            </w:r>
          </w:p>
        </w:tc>
        <w:tc>
          <w:tcPr>
            <w:tcW w:w="947" w:type="dxa"/>
            <w:hideMark/>
          </w:tcPr>
          <w:p w14:paraId="7A2F0F2F"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947" w:type="dxa"/>
            <w:noWrap/>
            <w:hideMark/>
          </w:tcPr>
          <w:p w14:paraId="7A667A61"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947" w:type="dxa"/>
            <w:noWrap/>
            <w:hideMark/>
          </w:tcPr>
          <w:p w14:paraId="4871C244"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947" w:type="dxa"/>
            <w:noWrap/>
            <w:hideMark/>
          </w:tcPr>
          <w:p w14:paraId="4F367B40"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947" w:type="dxa"/>
            <w:noWrap/>
            <w:hideMark/>
          </w:tcPr>
          <w:p w14:paraId="78232A34" w14:textId="77777777" w:rsidR="00B05993" w:rsidRPr="00966B51" w:rsidRDefault="00B05993"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r>
      <w:tr w:rsidR="00B05993" w:rsidRPr="00382EC0" w14:paraId="1AF2F68D"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23649140" w14:textId="07A14729" w:rsidR="00B05993" w:rsidRPr="00382EC0" w:rsidRDefault="00B05993" w:rsidP="00382EC0">
            <w:pPr>
              <w:pStyle w:val="TableofAuthorities"/>
            </w:pPr>
            <w:r w:rsidRPr="00382EC0">
              <w:t xml:space="preserve">Administration and </w:t>
            </w:r>
            <w:r w:rsidR="008412F9" w:rsidRPr="00382EC0">
              <w:t>s</w:t>
            </w:r>
            <w:r w:rsidRPr="00382EC0">
              <w:t>upport labour expenses</w:t>
            </w:r>
          </w:p>
        </w:tc>
        <w:tc>
          <w:tcPr>
            <w:tcW w:w="947" w:type="dxa"/>
            <w:hideMark/>
          </w:tcPr>
          <w:p w14:paraId="6424FF5E"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$9.26</w:t>
            </w:r>
          </w:p>
        </w:tc>
        <w:tc>
          <w:tcPr>
            <w:tcW w:w="947" w:type="dxa"/>
            <w:noWrap/>
            <w:hideMark/>
          </w:tcPr>
          <w:p w14:paraId="7A659F0C"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$9.58</w:t>
            </w:r>
          </w:p>
        </w:tc>
        <w:tc>
          <w:tcPr>
            <w:tcW w:w="947" w:type="dxa"/>
            <w:noWrap/>
            <w:hideMark/>
          </w:tcPr>
          <w:p w14:paraId="279390C3"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$9.52</w:t>
            </w:r>
          </w:p>
        </w:tc>
        <w:tc>
          <w:tcPr>
            <w:tcW w:w="947" w:type="dxa"/>
            <w:noWrap/>
            <w:hideMark/>
          </w:tcPr>
          <w:p w14:paraId="632556FD"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$9.37</w:t>
            </w:r>
          </w:p>
        </w:tc>
        <w:tc>
          <w:tcPr>
            <w:tcW w:w="947" w:type="dxa"/>
            <w:noWrap/>
            <w:hideMark/>
          </w:tcPr>
          <w:p w14:paraId="2A87130F"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$10.54</w:t>
            </w:r>
          </w:p>
        </w:tc>
      </w:tr>
      <w:tr w:rsidR="00B05993" w:rsidRPr="00382EC0" w14:paraId="74A110D7"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75E9395D" w14:textId="4362F874" w:rsidR="00B05993" w:rsidRPr="00382EC0" w:rsidRDefault="00B05993" w:rsidP="00382EC0">
            <w:pPr>
              <w:pStyle w:val="TableofAuthorities"/>
            </w:pPr>
            <w:r w:rsidRPr="00382EC0">
              <w:t xml:space="preserve">Other administration and </w:t>
            </w:r>
            <w:r w:rsidR="008412F9" w:rsidRPr="00382EC0">
              <w:t>s</w:t>
            </w:r>
            <w:r w:rsidRPr="00382EC0">
              <w:t>upport expenses</w:t>
            </w:r>
          </w:p>
        </w:tc>
        <w:tc>
          <w:tcPr>
            <w:tcW w:w="947" w:type="dxa"/>
            <w:hideMark/>
          </w:tcPr>
          <w:p w14:paraId="0F4AA331" w14:textId="43F51081"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3D6352C3" w14:textId="0E0EC066"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266AD304" w14:textId="69CA56E2"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6B2E0190" w14:textId="2823358E"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5EFEEB98"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$2.96</w:t>
            </w:r>
          </w:p>
        </w:tc>
      </w:tr>
      <w:tr w:rsidR="00496209" w:rsidRPr="00B05993" w14:paraId="472DA439" w14:textId="77777777" w:rsidTr="00774763">
        <w:trPr>
          <w:trHeight w:val="326"/>
        </w:trPr>
        <w:tc>
          <w:tcPr>
            <w:cnfStyle w:val="001000000000" w:firstRow="0" w:lastRow="0" w:firstColumn="1" w:lastColumn="0" w:oddVBand="0" w:evenVBand="0" w:oddHBand="0" w:evenHBand="0" w:firstRowFirstColumn="0" w:firstRowLastColumn="0" w:lastRowFirstColumn="0" w:lastRowLastColumn="0"/>
            <w:tcW w:w="5267" w:type="dxa"/>
            <w:shd w:val="clear" w:color="auto" w:fill="D8DBDB" w:themeFill="background2" w:themeFillShade="E6"/>
            <w:noWrap/>
            <w:hideMark/>
          </w:tcPr>
          <w:p w14:paraId="620FF426" w14:textId="7C31070A" w:rsidR="00B05993" w:rsidRPr="00B05993" w:rsidRDefault="00B05993" w:rsidP="00382EC0">
            <w:pPr>
              <w:pStyle w:val="TableParagraphbold"/>
              <w:rPr>
                <w:lang w:eastAsia="en-AU"/>
              </w:rPr>
            </w:pPr>
            <w:r w:rsidRPr="00B05993">
              <w:rPr>
                <w:lang w:eastAsia="en-AU"/>
              </w:rPr>
              <w:lastRenderedPageBreak/>
              <w:t xml:space="preserve">Total </w:t>
            </w:r>
            <w:r w:rsidR="008412F9" w:rsidRPr="009E43BC">
              <w:rPr>
                <w:lang w:eastAsia="en-AU"/>
              </w:rPr>
              <w:t>a</w:t>
            </w:r>
            <w:r w:rsidRPr="00B05993">
              <w:rPr>
                <w:lang w:eastAsia="en-AU"/>
              </w:rPr>
              <w:t xml:space="preserve">dministration and </w:t>
            </w:r>
            <w:r w:rsidR="008412F9" w:rsidRPr="009E43BC">
              <w:rPr>
                <w:lang w:eastAsia="en-AU"/>
              </w:rPr>
              <w:t>s</w:t>
            </w:r>
            <w:r w:rsidRPr="00B05993">
              <w:rPr>
                <w:lang w:eastAsia="en-AU"/>
              </w:rPr>
              <w:t>upport expenses</w:t>
            </w:r>
          </w:p>
        </w:tc>
        <w:tc>
          <w:tcPr>
            <w:tcW w:w="947" w:type="dxa"/>
            <w:shd w:val="clear" w:color="auto" w:fill="D8DBDB" w:themeFill="background2" w:themeFillShade="E6"/>
            <w:noWrap/>
            <w:hideMark/>
          </w:tcPr>
          <w:p w14:paraId="19165350"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$9.26</w:t>
            </w:r>
          </w:p>
        </w:tc>
        <w:tc>
          <w:tcPr>
            <w:tcW w:w="947" w:type="dxa"/>
            <w:shd w:val="clear" w:color="auto" w:fill="D8DBDB" w:themeFill="background2" w:themeFillShade="E6"/>
            <w:noWrap/>
            <w:hideMark/>
          </w:tcPr>
          <w:p w14:paraId="0886E10F"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$9.58</w:t>
            </w:r>
          </w:p>
        </w:tc>
        <w:tc>
          <w:tcPr>
            <w:tcW w:w="947" w:type="dxa"/>
            <w:shd w:val="clear" w:color="auto" w:fill="D8DBDB" w:themeFill="background2" w:themeFillShade="E6"/>
            <w:noWrap/>
            <w:hideMark/>
          </w:tcPr>
          <w:p w14:paraId="3974AA62"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$9.52</w:t>
            </w:r>
          </w:p>
        </w:tc>
        <w:tc>
          <w:tcPr>
            <w:tcW w:w="947" w:type="dxa"/>
            <w:shd w:val="clear" w:color="auto" w:fill="D8DBDB" w:themeFill="background2" w:themeFillShade="E6"/>
            <w:noWrap/>
            <w:hideMark/>
          </w:tcPr>
          <w:p w14:paraId="4BB93257"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$9.37</w:t>
            </w:r>
          </w:p>
        </w:tc>
        <w:tc>
          <w:tcPr>
            <w:tcW w:w="947" w:type="dxa"/>
            <w:shd w:val="clear" w:color="auto" w:fill="D8DBDB" w:themeFill="background2" w:themeFillShade="E6"/>
            <w:noWrap/>
            <w:hideMark/>
          </w:tcPr>
          <w:p w14:paraId="1ACD0B0D"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$13.50</w:t>
            </w:r>
          </w:p>
        </w:tc>
      </w:tr>
      <w:tr w:rsidR="00B05993" w:rsidRPr="00382EC0" w14:paraId="3B5DAF97"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3D0208E2" w14:textId="77777777" w:rsidR="00B05993" w:rsidRPr="00382EC0" w:rsidRDefault="00B05993" w:rsidP="00382EC0">
            <w:pPr>
              <w:pStyle w:val="TableofAuthorities"/>
            </w:pPr>
            <w:r w:rsidRPr="00382EC0">
              <w:t>Depreciation and interest costs</w:t>
            </w:r>
          </w:p>
        </w:tc>
        <w:tc>
          <w:tcPr>
            <w:tcW w:w="947" w:type="dxa"/>
            <w:hideMark/>
          </w:tcPr>
          <w:p w14:paraId="121B8857"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$0.74</w:t>
            </w:r>
          </w:p>
        </w:tc>
        <w:tc>
          <w:tcPr>
            <w:tcW w:w="947" w:type="dxa"/>
            <w:noWrap/>
            <w:hideMark/>
          </w:tcPr>
          <w:p w14:paraId="454A3AF6"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$0.69</w:t>
            </w:r>
          </w:p>
        </w:tc>
        <w:tc>
          <w:tcPr>
            <w:tcW w:w="947" w:type="dxa"/>
            <w:noWrap/>
            <w:hideMark/>
          </w:tcPr>
          <w:p w14:paraId="4BC4C28A"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$0.58</w:t>
            </w:r>
          </w:p>
        </w:tc>
        <w:tc>
          <w:tcPr>
            <w:tcW w:w="947" w:type="dxa"/>
            <w:noWrap/>
            <w:hideMark/>
          </w:tcPr>
          <w:p w14:paraId="5667F36F"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$0.62</w:t>
            </w:r>
          </w:p>
        </w:tc>
        <w:tc>
          <w:tcPr>
            <w:tcW w:w="947" w:type="dxa"/>
            <w:noWrap/>
            <w:hideMark/>
          </w:tcPr>
          <w:p w14:paraId="6CF2D837"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$0.60</w:t>
            </w:r>
          </w:p>
        </w:tc>
      </w:tr>
      <w:tr w:rsidR="00B05993" w:rsidRPr="00382EC0" w14:paraId="7009EF2E"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14260634" w14:textId="77777777" w:rsidR="00B05993" w:rsidRPr="00382EC0" w:rsidRDefault="00B05993" w:rsidP="00382EC0">
            <w:pPr>
              <w:pStyle w:val="TableofAuthorities"/>
            </w:pPr>
            <w:r w:rsidRPr="00382EC0">
              <w:t>COVID-19 expenses</w:t>
            </w:r>
          </w:p>
        </w:tc>
        <w:tc>
          <w:tcPr>
            <w:tcW w:w="947" w:type="dxa"/>
            <w:hideMark/>
          </w:tcPr>
          <w:p w14:paraId="11C8C446" w14:textId="347F4E6C"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5E1E5A90" w14:textId="28B32224"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4D853BCD"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$0.39</w:t>
            </w:r>
          </w:p>
        </w:tc>
        <w:tc>
          <w:tcPr>
            <w:tcW w:w="947" w:type="dxa"/>
            <w:noWrap/>
            <w:hideMark/>
          </w:tcPr>
          <w:p w14:paraId="0B53FA1F"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$0.65</w:t>
            </w:r>
          </w:p>
        </w:tc>
        <w:tc>
          <w:tcPr>
            <w:tcW w:w="947" w:type="dxa"/>
            <w:noWrap/>
            <w:hideMark/>
          </w:tcPr>
          <w:p w14:paraId="2FAF3827"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$0.41</w:t>
            </w:r>
          </w:p>
        </w:tc>
      </w:tr>
      <w:tr w:rsidR="00B05993" w:rsidRPr="00382EC0" w14:paraId="3D5EC788"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4829AEB2" w14:textId="05841397" w:rsidR="00B05993" w:rsidRPr="00382EC0" w:rsidRDefault="00B05993" w:rsidP="00382EC0">
            <w:pPr>
              <w:pStyle w:val="TableofAuthorities"/>
            </w:pPr>
            <w:r w:rsidRPr="00382EC0">
              <w:t xml:space="preserve">Motor </w:t>
            </w:r>
            <w:r w:rsidR="008412F9" w:rsidRPr="00382EC0">
              <w:t>v</w:t>
            </w:r>
            <w:r w:rsidRPr="00382EC0">
              <w:t>ehicle expenses</w:t>
            </w:r>
          </w:p>
        </w:tc>
        <w:tc>
          <w:tcPr>
            <w:tcW w:w="947" w:type="dxa"/>
            <w:hideMark/>
          </w:tcPr>
          <w:p w14:paraId="021FCD97" w14:textId="10F224ED"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191ED50D" w14:textId="33691EBC"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w:t>
            </w:r>
          </w:p>
        </w:tc>
        <w:tc>
          <w:tcPr>
            <w:tcW w:w="947" w:type="dxa"/>
            <w:noWrap/>
            <w:hideMark/>
          </w:tcPr>
          <w:p w14:paraId="4EE01A3B"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$0.62</w:t>
            </w:r>
          </w:p>
        </w:tc>
        <w:tc>
          <w:tcPr>
            <w:tcW w:w="947" w:type="dxa"/>
            <w:noWrap/>
            <w:hideMark/>
          </w:tcPr>
          <w:p w14:paraId="065B375B"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$0.57</w:t>
            </w:r>
          </w:p>
        </w:tc>
        <w:tc>
          <w:tcPr>
            <w:tcW w:w="947" w:type="dxa"/>
            <w:noWrap/>
            <w:hideMark/>
          </w:tcPr>
          <w:p w14:paraId="74676370"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$0.69</w:t>
            </w:r>
          </w:p>
        </w:tc>
      </w:tr>
      <w:tr w:rsidR="00B05993" w:rsidRPr="00382EC0" w14:paraId="7940ED6B" w14:textId="77777777" w:rsidTr="0054370B">
        <w:trPr>
          <w:trHeight w:val="326"/>
        </w:trPr>
        <w:tc>
          <w:tcPr>
            <w:cnfStyle w:val="001000000000" w:firstRow="0" w:lastRow="0" w:firstColumn="1" w:lastColumn="0" w:oddVBand="0" w:evenVBand="0" w:oddHBand="0" w:evenHBand="0" w:firstRowFirstColumn="0" w:firstRowLastColumn="0" w:lastRowFirstColumn="0" w:lastRowLastColumn="0"/>
            <w:tcW w:w="5267" w:type="dxa"/>
            <w:noWrap/>
            <w:hideMark/>
          </w:tcPr>
          <w:p w14:paraId="78199261" w14:textId="77777777" w:rsidR="00B05993" w:rsidRPr="00382EC0" w:rsidRDefault="00B05993" w:rsidP="00382EC0">
            <w:pPr>
              <w:pStyle w:val="TableofAuthorities"/>
            </w:pPr>
            <w:r w:rsidRPr="00382EC0">
              <w:t>Other expenses</w:t>
            </w:r>
          </w:p>
        </w:tc>
        <w:tc>
          <w:tcPr>
            <w:tcW w:w="947" w:type="dxa"/>
            <w:hideMark/>
          </w:tcPr>
          <w:p w14:paraId="08119B9D"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$1.94</w:t>
            </w:r>
          </w:p>
        </w:tc>
        <w:tc>
          <w:tcPr>
            <w:tcW w:w="947" w:type="dxa"/>
            <w:noWrap/>
            <w:hideMark/>
          </w:tcPr>
          <w:p w14:paraId="268B79A1"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$2.03</w:t>
            </w:r>
          </w:p>
        </w:tc>
        <w:tc>
          <w:tcPr>
            <w:tcW w:w="947" w:type="dxa"/>
            <w:noWrap/>
            <w:hideMark/>
          </w:tcPr>
          <w:p w14:paraId="4FC5D3AE"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$1.45</w:t>
            </w:r>
          </w:p>
        </w:tc>
        <w:tc>
          <w:tcPr>
            <w:tcW w:w="947" w:type="dxa"/>
            <w:noWrap/>
            <w:hideMark/>
          </w:tcPr>
          <w:p w14:paraId="73568AE8"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$1.42</w:t>
            </w:r>
          </w:p>
        </w:tc>
        <w:tc>
          <w:tcPr>
            <w:tcW w:w="947" w:type="dxa"/>
            <w:noWrap/>
            <w:hideMark/>
          </w:tcPr>
          <w:p w14:paraId="5A1BD82C" w14:textId="77777777" w:rsidR="00B05993" w:rsidRPr="00382EC0" w:rsidRDefault="00B05993" w:rsidP="00382EC0">
            <w:pPr>
              <w:pStyle w:val="TableofAuthorities"/>
              <w:cnfStyle w:val="000000000000" w:firstRow="0" w:lastRow="0" w:firstColumn="0" w:lastColumn="0" w:oddVBand="0" w:evenVBand="0" w:oddHBand="0" w:evenHBand="0" w:firstRowFirstColumn="0" w:firstRowLastColumn="0" w:lastRowFirstColumn="0" w:lastRowLastColumn="0"/>
            </w:pPr>
            <w:r w:rsidRPr="00382EC0">
              <w:t>$0.55</w:t>
            </w:r>
          </w:p>
        </w:tc>
      </w:tr>
      <w:tr w:rsidR="00496209" w:rsidRPr="00B05993" w14:paraId="2CA86AD6" w14:textId="77777777" w:rsidTr="00774763">
        <w:trPr>
          <w:trHeight w:val="326"/>
        </w:trPr>
        <w:tc>
          <w:tcPr>
            <w:cnfStyle w:val="001000000000" w:firstRow="0" w:lastRow="0" w:firstColumn="1" w:lastColumn="0" w:oddVBand="0" w:evenVBand="0" w:oddHBand="0" w:evenHBand="0" w:firstRowFirstColumn="0" w:firstRowLastColumn="0" w:lastRowFirstColumn="0" w:lastRowLastColumn="0"/>
            <w:tcW w:w="5267" w:type="dxa"/>
            <w:shd w:val="clear" w:color="auto" w:fill="D8DBDB" w:themeFill="background2" w:themeFillShade="E6"/>
            <w:noWrap/>
            <w:hideMark/>
          </w:tcPr>
          <w:p w14:paraId="4AE10F1E" w14:textId="3B8DE19E" w:rsidR="00B05993" w:rsidRPr="00B05993" w:rsidRDefault="00B05993" w:rsidP="00382EC0">
            <w:pPr>
              <w:pStyle w:val="TableParagraphbold"/>
              <w:rPr>
                <w:lang w:eastAsia="en-AU"/>
              </w:rPr>
            </w:pPr>
            <w:r w:rsidRPr="00B05993">
              <w:rPr>
                <w:lang w:eastAsia="en-AU"/>
              </w:rPr>
              <w:t xml:space="preserve">Total </w:t>
            </w:r>
            <w:r w:rsidR="008412F9" w:rsidRPr="009E43BC">
              <w:rPr>
                <w:lang w:eastAsia="en-AU"/>
              </w:rPr>
              <w:t>e</w:t>
            </w:r>
            <w:r w:rsidRPr="00B05993">
              <w:rPr>
                <w:lang w:eastAsia="en-AU"/>
              </w:rPr>
              <w:t>xpenses</w:t>
            </w:r>
          </w:p>
        </w:tc>
        <w:tc>
          <w:tcPr>
            <w:tcW w:w="947" w:type="dxa"/>
            <w:shd w:val="clear" w:color="auto" w:fill="D8DBDB" w:themeFill="background2" w:themeFillShade="E6"/>
            <w:noWrap/>
            <w:hideMark/>
          </w:tcPr>
          <w:p w14:paraId="370DC572"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$69.45</w:t>
            </w:r>
          </w:p>
        </w:tc>
        <w:tc>
          <w:tcPr>
            <w:tcW w:w="947" w:type="dxa"/>
            <w:shd w:val="clear" w:color="auto" w:fill="D8DBDB" w:themeFill="background2" w:themeFillShade="E6"/>
            <w:noWrap/>
            <w:hideMark/>
          </w:tcPr>
          <w:p w14:paraId="265C6E32"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$70.89</w:t>
            </w:r>
          </w:p>
        </w:tc>
        <w:tc>
          <w:tcPr>
            <w:tcW w:w="947" w:type="dxa"/>
            <w:shd w:val="clear" w:color="auto" w:fill="D8DBDB" w:themeFill="background2" w:themeFillShade="E6"/>
            <w:noWrap/>
            <w:hideMark/>
          </w:tcPr>
          <w:p w14:paraId="42FC4E74"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$65.21</w:t>
            </w:r>
          </w:p>
        </w:tc>
        <w:tc>
          <w:tcPr>
            <w:tcW w:w="947" w:type="dxa"/>
            <w:shd w:val="clear" w:color="auto" w:fill="D8DBDB" w:themeFill="background2" w:themeFillShade="E6"/>
            <w:noWrap/>
            <w:hideMark/>
          </w:tcPr>
          <w:p w14:paraId="645A8D42"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$64.49</w:t>
            </w:r>
          </w:p>
        </w:tc>
        <w:tc>
          <w:tcPr>
            <w:tcW w:w="947" w:type="dxa"/>
            <w:shd w:val="clear" w:color="auto" w:fill="D8DBDB" w:themeFill="background2" w:themeFillShade="E6"/>
            <w:noWrap/>
            <w:hideMark/>
          </w:tcPr>
          <w:p w14:paraId="00EA0402"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$63.16</w:t>
            </w:r>
          </w:p>
        </w:tc>
      </w:tr>
      <w:tr w:rsidR="00496209" w:rsidRPr="00B05993" w14:paraId="1B3D6EA2" w14:textId="77777777" w:rsidTr="00774763">
        <w:trPr>
          <w:trHeight w:val="326"/>
        </w:trPr>
        <w:tc>
          <w:tcPr>
            <w:cnfStyle w:val="001000000000" w:firstRow="0" w:lastRow="0" w:firstColumn="1" w:lastColumn="0" w:oddVBand="0" w:evenVBand="0" w:oddHBand="0" w:evenHBand="0" w:firstRowFirstColumn="0" w:firstRowLastColumn="0" w:lastRowFirstColumn="0" w:lastRowLastColumn="0"/>
            <w:tcW w:w="5267" w:type="dxa"/>
            <w:shd w:val="clear" w:color="auto" w:fill="D8DBDB" w:themeFill="background2" w:themeFillShade="E6"/>
            <w:noWrap/>
            <w:hideMark/>
          </w:tcPr>
          <w:p w14:paraId="541770BA" w14:textId="42AB780F" w:rsidR="00B05993" w:rsidRPr="00B05993" w:rsidRDefault="00B05993" w:rsidP="00382EC0">
            <w:pPr>
              <w:pStyle w:val="TableParagraphbold"/>
              <w:rPr>
                <w:lang w:eastAsia="en-AU"/>
              </w:rPr>
            </w:pPr>
            <w:r w:rsidRPr="00B05993">
              <w:rPr>
                <w:lang w:eastAsia="en-AU"/>
              </w:rPr>
              <w:t xml:space="preserve">Home </w:t>
            </w:r>
            <w:r w:rsidR="008412F9" w:rsidRPr="009E43BC">
              <w:rPr>
                <w:lang w:eastAsia="en-AU"/>
              </w:rPr>
              <w:t>c</w:t>
            </w:r>
            <w:r w:rsidRPr="00B05993">
              <w:rPr>
                <w:lang w:eastAsia="en-AU"/>
              </w:rPr>
              <w:t>are segment profit/(loss)</w:t>
            </w:r>
          </w:p>
        </w:tc>
        <w:tc>
          <w:tcPr>
            <w:tcW w:w="947" w:type="dxa"/>
            <w:shd w:val="clear" w:color="auto" w:fill="D8DBDB" w:themeFill="background2" w:themeFillShade="E6"/>
            <w:noWrap/>
            <w:hideMark/>
          </w:tcPr>
          <w:p w14:paraId="224C84DF"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$2.58</w:t>
            </w:r>
          </w:p>
        </w:tc>
        <w:tc>
          <w:tcPr>
            <w:tcW w:w="947" w:type="dxa"/>
            <w:shd w:val="clear" w:color="auto" w:fill="D8DBDB" w:themeFill="background2" w:themeFillShade="E6"/>
            <w:noWrap/>
            <w:hideMark/>
          </w:tcPr>
          <w:p w14:paraId="6C923361"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$2.73</w:t>
            </w:r>
          </w:p>
        </w:tc>
        <w:tc>
          <w:tcPr>
            <w:tcW w:w="947" w:type="dxa"/>
            <w:shd w:val="clear" w:color="auto" w:fill="D8DBDB" w:themeFill="background2" w:themeFillShade="E6"/>
            <w:noWrap/>
            <w:hideMark/>
          </w:tcPr>
          <w:p w14:paraId="3FC9FE4F"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$3.17</w:t>
            </w:r>
          </w:p>
        </w:tc>
        <w:tc>
          <w:tcPr>
            <w:tcW w:w="947" w:type="dxa"/>
            <w:shd w:val="clear" w:color="auto" w:fill="D8DBDB" w:themeFill="background2" w:themeFillShade="E6"/>
            <w:noWrap/>
            <w:hideMark/>
          </w:tcPr>
          <w:p w14:paraId="432DF018"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B05993">
              <w:rPr>
                <w:color w:val="1E1545"/>
                <w:lang w:eastAsia="en-AU"/>
              </w:rPr>
              <w:t>$4.29</w:t>
            </w:r>
          </w:p>
        </w:tc>
        <w:tc>
          <w:tcPr>
            <w:tcW w:w="947" w:type="dxa"/>
            <w:shd w:val="clear" w:color="auto" w:fill="D8DBDB" w:themeFill="background2" w:themeFillShade="E6"/>
            <w:noWrap/>
            <w:hideMark/>
          </w:tcPr>
          <w:p w14:paraId="5460A8ED" w14:textId="77777777" w:rsidR="00B05993" w:rsidRPr="00B05993" w:rsidRDefault="00B05993" w:rsidP="00382EC0">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B05993">
              <w:rPr>
                <w:lang w:eastAsia="en-AU"/>
              </w:rPr>
              <w:t>$2.78</w:t>
            </w:r>
          </w:p>
        </w:tc>
      </w:tr>
    </w:tbl>
    <w:p w14:paraId="09198FB7" w14:textId="77777777" w:rsidR="007867EB" w:rsidRPr="00382EC0" w:rsidRDefault="007867EB" w:rsidP="00972799">
      <w:pPr>
        <w:pStyle w:val="FootnoteText"/>
      </w:pPr>
      <w:r w:rsidRPr="00382EC0">
        <w:t>Notes:</w:t>
      </w:r>
    </w:p>
    <w:p w14:paraId="34AB2025" w14:textId="7C899EC6" w:rsidR="007867EB" w:rsidRPr="001B6D64" w:rsidRDefault="007867EB" w:rsidP="00972799">
      <w:pPr>
        <w:pStyle w:val="Footnotetextlist"/>
      </w:pPr>
      <w:r w:rsidRPr="001B6D64">
        <w:t xml:space="preserve">Provision of care/services charged to </w:t>
      </w:r>
      <w:r w:rsidR="00AE05B9">
        <w:t>recipients</w:t>
      </w:r>
      <w:r w:rsidR="00AE05B9" w:rsidRPr="001B6D64">
        <w:t xml:space="preserve"> </w:t>
      </w:r>
      <w:r w:rsidRPr="001B6D64">
        <w:t xml:space="preserve">includes income recognised from </w:t>
      </w:r>
      <w:r w:rsidR="00AE05B9">
        <w:t>recipients’</w:t>
      </w:r>
      <w:r w:rsidR="00AE05B9" w:rsidRPr="001B6D64">
        <w:t xml:space="preserve"> </w:t>
      </w:r>
      <w:r w:rsidRPr="001B6D64">
        <w:t xml:space="preserve">packages and private home care </w:t>
      </w:r>
      <w:r w:rsidR="00AE05B9">
        <w:t>recipients</w:t>
      </w:r>
      <w:r w:rsidRPr="001B6D64">
        <w:t xml:space="preserve">. This amount will include Government subsidies and supplements, </w:t>
      </w:r>
      <w:r w:rsidR="00AE05B9">
        <w:t>recipient</w:t>
      </w:r>
      <w:r w:rsidR="00AE05B9" w:rsidRPr="001B6D64">
        <w:t xml:space="preserve"> </w:t>
      </w:r>
      <w:r w:rsidRPr="001B6D64">
        <w:t xml:space="preserve">contributions in the form of the basic daily fee, income tested care fees, </w:t>
      </w:r>
      <w:proofErr w:type="gramStart"/>
      <w:r w:rsidRPr="001B6D64">
        <w:t>top-ups</w:t>
      </w:r>
      <w:proofErr w:type="gramEnd"/>
      <w:r w:rsidRPr="001B6D64">
        <w:t xml:space="preserve"> and private contributions.</w:t>
      </w:r>
    </w:p>
    <w:p w14:paraId="23FCFBEB" w14:textId="6EA0071C" w:rsidR="007867EB" w:rsidRPr="001B6D64" w:rsidRDefault="007867EB" w:rsidP="00972799">
      <w:pPr>
        <w:pStyle w:val="Footnotetextlist"/>
      </w:pPr>
      <w:r w:rsidRPr="001B6D64">
        <w:t xml:space="preserve">Management fees charged to </w:t>
      </w:r>
      <w:r w:rsidR="00AE05B9">
        <w:t>recipients</w:t>
      </w:r>
      <w:r w:rsidR="00AE05B9" w:rsidRPr="001B6D64">
        <w:t xml:space="preserve"> </w:t>
      </w:r>
      <w:r w:rsidRPr="001B6D64">
        <w:t xml:space="preserve">is the amount of income recognised for ongoing management and coordination of the </w:t>
      </w:r>
      <w:r w:rsidR="00AE05B9">
        <w:t>recipients’</w:t>
      </w:r>
      <w:r w:rsidR="00AE05B9" w:rsidRPr="001B6D64">
        <w:t xml:space="preserve"> </w:t>
      </w:r>
      <w:r w:rsidRPr="001B6D64">
        <w:t>packages and care requirements.</w:t>
      </w:r>
    </w:p>
    <w:p w14:paraId="3B591CFF" w14:textId="63EF91DB" w:rsidR="007867EB" w:rsidRPr="001B6D64" w:rsidRDefault="007867EB" w:rsidP="00972799">
      <w:pPr>
        <w:pStyle w:val="Footnotetextlist"/>
      </w:pPr>
      <w:r w:rsidRPr="001B6D64">
        <w:t xml:space="preserve">Administration fees charged to </w:t>
      </w:r>
      <w:r w:rsidR="000E076F">
        <w:t>recipients</w:t>
      </w:r>
      <w:r w:rsidR="000E076F" w:rsidRPr="001B6D64">
        <w:t xml:space="preserve"> </w:t>
      </w:r>
      <w:r w:rsidRPr="001B6D64">
        <w:t xml:space="preserve">is the amount of income recognised for ongoing administration of </w:t>
      </w:r>
      <w:r w:rsidR="00AE05B9">
        <w:t>recipients’</w:t>
      </w:r>
      <w:r w:rsidR="00AE05B9" w:rsidRPr="001B6D64">
        <w:t xml:space="preserve"> </w:t>
      </w:r>
      <w:r w:rsidRPr="001B6D64">
        <w:t>packages.</w:t>
      </w:r>
    </w:p>
    <w:p w14:paraId="64BA2612" w14:textId="6AA582FA" w:rsidR="007867EB" w:rsidRPr="001B6D64" w:rsidRDefault="007867EB" w:rsidP="00972799">
      <w:pPr>
        <w:pStyle w:val="Footnotetextlist"/>
      </w:pPr>
      <w:r w:rsidRPr="001B6D64">
        <w:t xml:space="preserve">Income derived from unspent package funds reflects income remaining from a </w:t>
      </w:r>
      <w:r w:rsidR="00AE05B9">
        <w:t>recipient’s</w:t>
      </w:r>
      <w:r w:rsidR="00AE05B9" w:rsidRPr="001B6D64">
        <w:t xml:space="preserve"> </w:t>
      </w:r>
      <w:r w:rsidRPr="001B6D64">
        <w:t xml:space="preserve">care package when a </w:t>
      </w:r>
      <w:r w:rsidR="00AE05B9">
        <w:t>recipient</w:t>
      </w:r>
      <w:r w:rsidR="00AE05B9" w:rsidRPr="001B6D64">
        <w:t xml:space="preserve"> </w:t>
      </w:r>
      <w:r w:rsidRPr="001B6D64">
        <w:t xml:space="preserve">left the home care service (prior to the February 2017 changes). No income can be derived from unspent funds since the change. Exit amounts deducted by the provider when ceasing to provide home care to a </w:t>
      </w:r>
      <w:r w:rsidR="00AE05B9">
        <w:t>recipient</w:t>
      </w:r>
      <w:r w:rsidR="00AE05B9" w:rsidRPr="001B6D64">
        <w:t xml:space="preserve"> </w:t>
      </w:r>
      <w:r w:rsidRPr="001B6D64">
        <w:t>may be charged after this date.</w:t>
      </w:r>
    </w:p>
    <w:p w14:paraId="54536CA9" w14:textId="6A9E9C0A" w:rsidR="007867EB" w:rsidRPr="001B6D64" w:rsidRDefault="007867EB" w:rsidP="00972799">
      <w:pPr>
        <w:pStyle w:val="Footnotetextlist"/>
      </w:pPr>
      <w:r w:rsidRPr="001B6D64">
        <w:t xml:space="preserve">Other revenue includes other sources of income generated from running the home care services such as state and territory payments, </w:t>
      </w:r>
      <w:r w:rsidR="00AE05B9">
        <w:t>recipient</w:t>
      </w:r>
      <w:r w:rsidR="00AE05B9" w:rsidRPr="001B6D64">
        <w:t xml:space="preserve"> </w:t>
      </w:r>
      <w:r w:rsidRPr="001B6D64">
        <w:t xml:space="preserve">payments for non-home care services, trust distribution, donations and bequests, interest earned on investments, </w:t>
      </w:r>
      <w:proofErr w:type="gramStart"/>
      <w:r w:rsidRPr="001B6D64">
        <w:t>insurance</w:t>
      </w:r>
      <w:proofErr w:type="gramEnd"/>
      <w:r w:rsidRPr="001B6D64">
        <w:t xml:space="preserve"> and gains from the sale of assets.</w:t>
      </w:r>
    </w:p>
    <w:p w14:paraId="1D545600" w14:textId="697A23EF" w:rsidR="00AC437D" w:rsidRPr="00AC437D" w:rsidRDefault="00F31904" w:rsidP="00972799">
      <w:pPr>
        <w:pStyle w:val="Heading2"/>
      </w:pPr>
      <w:bookmarkStart w:id="34" w:name="_Toc149245307"/>
      <w:r>
        <w:t xml:space="preserve">Financial performance </w:t>
      </w:r>
      <w:r w:rsidR="007A7147">
        <w:t>–</w:t>
      </w:r>
      <w:r>
        <w:t xml:space="preserve"> revenue</w:t>
      </w:r>
      <w:bookmarkEnd w:id="34"/>
    </w:p>
    <w:p w14:paraId="038E2032" w14:textId="74D3AA2B" w:rsidR="0095177D" w:rsidRPr="0095177D" w:rsidRDefault="0095177D" w:rsidP="0095177D">
      <w:r w:rsidRPr="0095177D">
        <w:t xml:space="preserve">Home care revenue consists of Australian Government contributions in the form of subsidies and supplements paid on behalf of home care package holders, and a small contribution from </w:t>
      </w:r>
      <w:r w:rsidR="003502EF">
        <w:t>recipients</w:t>
      </w:r>
      <w:r w:rsidRPr="0095177D">
        <w:t xml:space="preserve"> (the basic daily fee and income tested fees). Total revenue can also include other revenue sources (such as </w:t>
      </w:r>
      <w:r>
        <w:t>recipient</w:t>
      </w:r>
      <w:r w:rsidRPr="0095177D">
        <w:t xml:space="preserve"> contributions for non-home care related services, interest income and state and territory government payments).</w:t>
      </w:r>
    </w:p>
    <w:p w14:paraId="6039CBE0" w14:textId="4DCECA89" w:rsidR="0095177D" w:rsidRPr="0095177D" w:rsidRDefault="0095177D" w:rsidP="0095177D">
      <w:r w:rsidRPr="009C7761">
        <w:t xml:space="preserve">Recipient contributions in 2021-22 reported by providers totalled </w:t>
      </w:r>
      <w:r w:rsidRPr="0016136C">
        <w:t>around $</w:t>
      </w:r>
      <w:r w:rsidR="0016136C" w:rsidRPr="0016136C">
        <w:t>111</w:t>
      </w:r>
      <w:r w:rsidRPr="0016136C">
        <w:t xml:space="preserve"> million</w:t>
      </w:r>
      <w:r w:rsidRPr="009C7761">
        <w:t xml:space="preserve">, compared with </w:t>
      </w:r>
      <w:r w:rsidDel="0009555C">
        <w:t>$</w:t>
      </w:r>
      <w:r w:rsidR="0009555C">
        <w:t>96 million</w:t>
      </w:r>
      <w:r w:rsidRPr="009C7761">
        <w:t xml:space="preserve"> </w:t>
      </w:r>
      <w:r w:rsidR="00E177E1">
        <w:t>in</w:t>
      </w:r>
      <w:r w:rsidR="00E177E1" w:rsidRPr="009C7761">
        <w:t xml:space="preserve"> </w:t>
      </w:r>
      <w:r w:rsidRPr="009C7761">
        <w:t>2020-21.</w:t>
      </w:r>
    </w:p>
    <w:p w14:paraId="603846DA" w14:textId="78588388" w:rsidR="00FE465F" w:rsidRDefault="0095177D" w:rsidP="0095177D">
      <w:r w:rsidRPr="0095177D">
        <w:t>In 2021</w:t>
      </w:r>
      <w:r>
        <w:t>-22</w:t>
      </w:r>
      <w:r w:rsidRPr="0095177D">
        <w:t>, total sector revenue</w:t>
      </w:r>
      <w:r w:rsidR="000D0091">
        <w:t xml:space="preserve"> (including </w:t>
      </w:r>
      <w:r w:rsidR="00FA27C2">
        <w:t>Australian Government funding)</w:t>
      </w:r>
      <w:r w:rsidRPr="0095177D">
        <w:t xml:space="preserve"> for all home care providers was </w:t>
      </w:r>
      <w:r w:rsidRPr="00F57FBD">
        <w:t>$</w:t>
      </w:r>
      <w:r w:rsidR="0095608E" w:rsidRPr="00F57FBD">
        <w:t>4.69</w:t>
      </w:r>
      <w:r w:rsidRPr="00F57FBD">
        <w:t xml:space="preserve"> billion, </w:t>
      </w:r>
      <w:r w:rsidRPr="00372BF8">
        <w:t>up from $3</w:t>
      </w:r>
      <w:r w:rsidR="003944D9" w:rsidRPr="00F57FBD">
        <w:t>.97</w:t>
      </w:r>
      <w:r w:rsidRPr="00372BF8">
        <w:t xml:space="preserve"> billion</w:t>
      </w:r>
      <w:r w:rsidR="00FC2791" w:rsidRPr="00372BF8">
        <w:t xml:space="preserve"> </w:t>
      </w:r>
      <w:r w:rsidRPr="00372BF8">
        <w:t xml:space="preserve">in </w:t>
      </w:r>
      <w:r w:rsidRPr="00F57FBD">
        <w:t>20</w:t>
      </w:r>
      <w:r w:rsidR="0047394C" w:rsidRPr="00F57FBD">
        <w:t>20</w:t>
      </w:r>
      <w:r w:rsidRPr="00372BF8">
        <w:t>–</w:t>
      </w:r>
      <w:r w:rsidRPr="00F57FBD">
        <w:t>2</w:t>
      </w:r>
      <w:r w:rsidR="0047394C" w:rsidRPr="00F57FBD">
        <w:t>1</w:t>
      </w:r>
      <w:r w:rsidRPr="00F57FBD">
        <w:t xml:space="preserve">, an increase of </w:t>
      </w:r>
      <w:r w:rsidR="0095608E" w:rsidRPr="00F57FBD">
        <w:t>18</w:t>
      </w:r>
      <w:r w:rsidRPr="00F57FBD">
        <w:t xml:space="preserve"> per cent. The increase mainly reflects the significant increase in the number of home care packages. </w:t>
      </w:r>
      <w:r w:rsidR="00735BC2">
        <w:t>Unspent funds held b</w:t>
      </w:r>
      <w:r w:rsidR="001B38A2">
        <w:t>y</w:t>
      </w:r>
      <w:r w:rsidR="00735BC2">
        <w:t xml:space="preserve"> providers ($1.07 billion </w:t>
      </w:r>
      <w:proofErr w:type="gramStart"/>
      <w:r w:rsidR="00735BC2">
        <w:t>at</w:t>
      </w:r>
      <w:proofErr w:type="gramEnd"/>
      <w:r w:rsidR="00735BC2">
        <w:t xml:space="preserve"> 30 June 2022) are not treated as revenue.</w:t>
      </w:r>
    </w:p>
    <w:p w14:paraId="08D51997" w14:textId="2DC4D48C" w:rsidR="00D2774A" w:rsidRDefault="002E758C" w:rsidP="007A7147">
      <w:r>
        <w:t xml:space="preserve">Table 1.5 </w:t>
      </w:r>
      <w:r w:rsidR="00E852AC">
        <w:t xml:space="preserve">provides a breakdown of revenue according to </w:t>
      </w:r>
      <w:r w:rsidR="005B1A9E">
        <w:t xml:space="preserve">provider </w:t>
      </w:r>
      <w:r w:rsidR="00E852AC">
        <w:t xml:space="preserve">ownership type, </w:t>
      </w:r>
      <w:proofErr w:type="gramStart"/>
      <w:r w:rsidR="00E852AC">
        <w:t>location</w:t>
      </w:r>
      <w:proofErr w:type="gramEnd"/>
      <w:r w:rsidR="00E852AC">
        <w:t xml:space="preserve"> and scale </w:t>
      </w:r>
      <w:r w:rsidR="00FA60DF">
        <w:t xml:space="preserve">per recipient per day </w:t>
      </w:r>
      <w:r w:rsidR="00E852AC">
        <w:t>for</w:t>
      </w:r>
      <w:r w:rsidR="00E852AC">
        <w:rPr>
          <w:spacing w:val="-11"/>
        </w:rPr>
        <w:t xml:space="preserve"> </w:t>
      </w:r>
      <w:r w:rsidR="00E852AC">
        <w:t>2021-22.</w:t>
      </w:r>
      <w:r w:rsidR="00E852AC">
        <w:rPr>
          <w:spacing w:val="-11"/>
        </w:rPr>
        <w:t xml:space="preserve"> </w:t>
      </w:r>
      <w:r w:rsidR="00E852AC">
        <w:t>In</w:t>
      </w:r>
      <w:r w:rsidR="00E852AC">
        <w:rPr>
          <w:spacing w:val="-11"/>
        </w:rPr>
        <w:t xml:space="preserve"> </w:t>
      </w:r>
      <w:r w:rsidR="00E852AC">
        <w:t>terms</w:t>
      </w:r>
      <w:r w:rsidR="00E852AC">
        <w:rPr>
          <w:spacing w:val="-11"/>
        </w:rPr>
        <w:t xml:space="preserve"> </w:t>
      </w:r>
      <w:r w:rsidR="00E852AC">
        <w:t>of</w:t>
      </w:r>
      <w:r w:rsidR="00E852AC">
        <w:rPr>
          <w:spacing w:val="-11"/>
        </w:rPr>
        <w:t xml:space="preserve"> </w:t>
      </w:r>
      <w:r w:rsidR="00E852AC">
        <w:t>ownership</w:t>
      </w:r>
      <w:r w:rsidR="00DA2389">
        <w:t xml:space="preserve"> type</w:t>
      </w:r>
      <w:r w:rsidR="00E852AC">
        <w:t>,</w:t>
      </w:r>
      <w:r w:rsidR="00E852AC">
        <w:rPr>
          <w:spacing w:val="-11"/>
        </w:rPr>
        <w:t xml:space="preserve"> </w:t>
      </w:r>
      <w:r w:rsidR="00E852AC">
        <w:t xml:space="preserve">for-profit providers </w:t>
      </w:r>
      <w:r w:rsidR="00D127B8">
        <w:t>have</w:t>
      </w:r>
      <w:r w:rsidR="002D6A9C">
        <w:t xml:space="preserve"> </w:t>
      </w:r>
      <w:r w:rsidR="00E852AC">
        <w:t xml:space="preserve">higher </w:t>
      </w:r>
      <w:r w:rsidR="002D6A9C">
        <w:t>revenue</w:t>
      </w:r>
      <w:r w:rsidR="00E852AC">
        <w:t xml:space="preserve"> per </w:t>
      </w:r>
      <w:r w:rsidR="00CE0F4B">
        <w:t>reci</w:t>
      </w:r>
      <w:r w:rsidR="00065185">
        <w:t>pient</w:t>
      </w:r>
      <w:r w:rsidR="00E852AC">
        <w:t xml:space="preserve"> </w:t>
      </w:r>
      <w:r w:rsidR="00FA60DF">
        <w:t>per day</w:t>
      </w:r>
      <w:r w:rsidR="00E852AC">
        <w:t xml:space="preserve"> than </w:t>
      </w:r>
      <w:r w:rsidR="00065185">
        <w:t>not-</w:t>
      </w:r>
      <w:r w:rsidR="00E852AC">
        <w:t>for-profit providers ($6</w:t>
      </w:r>
      <w:r w:rsidR="00065185">
        <w:t>6</w:t>
      </w:r>
      <w:r w:rsidR="00E852AC">
        <w:t>.</w:t>
      </w:r>
      <w:r w:rsidR="00065185">
        <w:t>71</w:t>
      </w:r>
      <w:r w:rsidR="00E852AC">
        <w:t xml:space="preserve"> per </w:t>
      </w:r>
      <w:r w:rsidR="00FA60DF">
        <w:t xml:space="preserve">recipient </w:t>
      </w:r>
      <w:r w:rsidR="00E852AC">
        <w:t>per day compared</w:t>
      </w:r>
      <w:r w:rsidR="00E852AC">
        <w:rPr>
          <w:spacing w:val="-8"/>
        </w:rPr>
        <w:t xml:space="preserve"> </w:t>
      </w:r>
      <w:r w:rsidR="00E852AC">
        <w:t>with</w:t>
      </w:r>
      <w:r w:rsidR="00E852AC">
        <w:rPr>
          <w:spacing w:val="-8"/>
        </w:rPr>
        <w:t xml:space="preserve"> </w:t>
      </w:r>
      <w:r w:rsidR="00E852AC">
        <w:t>$</w:t>
      </w:r>
      <w:r w:rsidR="00065185">
        <w:t>65.94</w:t>
      </w:r>
      <w:r w:rsidR="00E852AC">
        <w:t>).</w:t>
      </w:r>
      <w:r w:rsidR="00E852AC">
        <w:rPr>
          <w:spacing w:val="-8"/>
        </w:rPr>
        <w:t xml:space="preserve"> </w:t>
      </w:r>
      <w:r w:rsidR="00D127B8">
        <w:t>Metropolitan</w:t>
      </w:r>
      <w:r w:rsidR="00E852AC">
        <w:t xml:space="preserve"> providers reported </w:t>
      </w:r>
      <w:r w:rsidR="00D81130">
        <w:t>a higher</w:t>
      </w:r>
      <w:r w:rsidR="00E852AC">
        <w:t xml:space="preserve"> average </w:t>
      </w:r>
      <w:r w:rsidR="00D81130">
        <w:t>income</w:t>
      </w:r>
      <w:r w:rsidR="00E852AC">
        <w:t xml:space="preserve"> per </w:t>
      </w:r>
      <w:r w:rsidR="00D81130">
        <w:t>recipient</w:t>
      </w:r>
      <w:r w:rsidR="00E852AC">
        <w:t xml:space="preserve"> per day ($</w:t>
      </w:r>
      <w:r w:rsidR="00D81130">
        <w:t>68.28</w:t>
      </w:r>
      <w:r w:rsidR="00E852AC">
        <w:t>)</w:t>
      </w:r>
      <w:r w:rsidR="00E852AC">
        <w:rPr>
          <w:spacing w:val="-11"/>
        </w:rPr>
        <w:t xml:space="preserve"> </w:t>
      </w:r>
      <w:r w:rsidR="00E852AC">
        <w:t>than</w:t>
      </w:r>
      <w:r w:rsidR="00E852AC">
        <w:rPr>
          <w:spacing w:val="-11"/>
        </w:rPr>
        <w:t xml:space="preserve"> </w:t>
      </w:r>
      <w:r w:rsidR="00E852AC">
        <w:t>their</w:t>
      </w:r>
      <w:r w:rsidR="00E852AC">
        <w:rPr>
          <w:spacing w:val="-11"/>
        </w:rPr>
        <w:t xml:space="preserve"> </w:t>
      </w:r>
      <w:r w:rsidR="00D81130">
        <w:t>regional</w:t>
      </w:r>
      <w:r w:rsidR="00E852AC">
        <w:rPr>
          <w:spacing w:val="-11"/>
        </w:rPr>
        <w:t xml:space="preserve"> </w:t>
      </w:r>
      <w:r w:rsidR="00E852AC">
        <w:t>counterparts</w:t>
      </w:r>
      <w:r w:rsidR="00E852AC">
        <w:rPr>
          <w:spacing w:val="-11"/>
        </w:rPr>
        <w:t xml:space="preserve"> </w:t>
      </w:r>
      <w:r w:rsidR="00E852AC">
        <w:t>($</w:t>
      </w:r>
      <w:r w:rsidR="00D81130">
        <w:t>58.10</w:t>
      </w:r>
      <w:r w:rsidR="00E852AC">
        <w:t xml:space="preserve">). </w:t>
      </w:r>
    </w:p>
    <w:p w14:paraId="7FF5FE14" w14:textId="283EB5E7" w:rsidR="00FC2791" w:rsidRPr="0095177D" w:rsidRDefault="00E852AC" w:rsidP="0095177D">
      <w:r>
        <w:lastRenderedPageBreak/>
        <w:t xml:space="preserve">In terms of scale, single service providers recorded the highest </w:t>
      </w:r>
      <w:r w:rsidR="00D81130">
        <w:t>revenue</w:t>
      </w:r>
      <w:r>
        <w:t xml:space="preserve"> per </w:t>
      </w:r>
      <w:r w:rsidR="00D81130">
        <w:t>recipient</w:t>
      </w:r>
      <w:r>
        <w:t xml:space="preserve"> per day with $6</w:t>
      </w:r>
      <w:r w:rsidR="00D81130">
        <w:t xml:space="preserve">9.09 </w:t>
      </w:r>
      <w:r>
        <w:t>compared with larger scale providers ($6</w:t>
      </w:r>
      <w:r w:rsidR="00B376C6">
        <w:t>5.15</w:t>
      </w:r>
      <w:r w:rsidR="001A2AB8">
        <w:t xml:space="preserve"> </w:t>
      </w:r>
      <w:r>
        <w:t>for</w:t>
      </w:r>
      <w:r>
        <w:rPr>
          <w:spacing w:val="-6"/>
        </w:rPr>
        <w:t xml:space="preserve"> </w:t>
      </w:r>
      <w:r>
        <w:t>two</w:t>
      </w:r>
      <w:r>
        <w:rPr>
          <w:spacing w:val="-6"/>
        </w:rPr>
        <w:t xml:space="preserve"> </w:t>
      </w:r>
      <w:r>
        <w:t>to</w:t>
      </w:r>
      <w:r>
        <w:rPr>
          <w:spacing w:val="-6"/>
        </w:rPr>
        <w:t xml:space="preserve"> </w:t>
      </w:r>
      <w:r>
        <w:t>six</w:t>
      </w:r>
      <w:r>
        <w:rPr>
          <w:spacing w:val="-6"/>
        </w:rPr>
        <w:t xml:space="preserve"> </w:t>
      </w:r>
      <w:r>
        <w:t>services</w:t>
      </w:r>
      <w:r>
        <w:rPr>
          <w:spacing w:val="-6"/>
        </w:rPr>
        <w:t xml:space="preserve"> </w:t>
      </w:r>
      <w:r>
        <w:t>and</w:t>
      </w:r>
      <w:r>
        <w:rPr>
          <w:spacing w:val="-6"/>
        </w:rPr>
        <w:t xml:space="preserve"> </w:t>
      </w:r>
      <w:r>
        <w:t>$6</w:t>
      </w:r>
      <w:r w:rsidR="00B376C6">
        <w:t xml:space="preserve">4.07 </w:t>
      </w:r>
      <w:r>
        <w:t>for</w:t>
      </w:r>
      <w:r>
        <w:rPr>
          <w:spacing w:val="-6"/>
        </w:rPr>
        <w:t xml:space="preserve"> </w:t>
      </w:r>
      <w:r>
        <w:t>providers with seven or more services</w:t>
      </w:r>
      <w:r w:rsidR="001A2AB8">
        <w:t>).</w:t>
      </w:r>
    </w:p>
    <w:p w14:paraId="57E796C8" w14:textId="76D15A5D" w:rsidR="002E758C" w:rsidRPr="002E758C" w:rsidRDefault="002E758C" w:rsidP="002E758C">
      <w:pPr>
        <w:pStyle w:val="Caption"/>
      </w:pPr>
      <w:bookmarkStart w:id="35" w:name="_Toc149245268"/>
      <w:r>
        <w:t xml:space="preserve">Table </w:t>
      </w:r>
      <w:r>
        <w:fldChar w:fldCharType="begin"/>
      </w:r>
      <w:r>
        <w:instrText>STYLEREF 1 \s</w:instrText>
      </w:r>
      <w:r>
        <w:fldChar w:fldCharType="separate"/>
      </w:r>
      <w:r w:rsidR="00294B02">
        <w:rPr>
          <w:noProof/>
        </w:rPr>
        <w:t>1</w:t>
      </w:r>
      <w:r>
        <w:fldChar w:fldCharType="end"/>
      </w:r>
      <w:r>
        <w:t>.</w:t>
      </w:r>
      <w:r>
        <w:fldChar w:fldCharType="begin"/>
      </w:r>
      <w:r>
        <w:instrText>SEQ Table \* ARABIC \s 1</w:instrText>
      </w:r>
      <w:r>
        <w:fldChar w:fldCharType="separate"/>
      </w:r>
      <w:r w:rsidR="00294B02">
        <w:rPr>
          <w:noProof/>
        </w:rPr>
        <w:t>5</w:t>
      </w:r>
      <w:r>
        <w:fldChar w:fldCharType="end"/>
      </w:r>
      <w:r>
        <w:t xml:space="preserve">: </w:t>
      </w:r>
      <w:r w:rsidRPr="008F3CF9">
        <w:t xml:space="preserve">Home care revenue per care recipient per day, by ownership type, </w:t>
      </w:r>
      <w:proofErr w:type="gramStart"/>
      <w:r w:rsidRPr="008F3CF9">
        <w:t>location</w:t>
      </w:r>
      <w:proofErr w:type="gramEnd"/>
      <w:r w:rsidRPr="008F3CF9">
        <w:t xml:space="preserve"> and scale, 2021-22</w:t>
      </w:r>
      <w:bookmarkEnd w:id="35"/>
    </w:p>
    <w:tbl>
      <w:tblPr>
        <w:tblStyle w:val="DepartmentofHealthtable"/>
        <w:tblW w:w="9188" w:type="dxa"/>
        <w:tblLook w:val="04A0" w:firstRow="1" w:lastRow="0" w:firstColumn="1" w:lastColumn="0" w:noHBand="0" w:noVBand="1"/>
      </w:tblPr>
      <w:tblGrid>
        <w:gridCol w:w="1581"/>
        <w:gridCol w:w="1017"/>
        <w:gridCol w:w="1239"/>
        <w:gridCol w:w="1450"/>
        <w:gridCol w:w="1450"/>
        <w:gridCol w:w="1042"/>
        <w:gridCol w:w="1042"/>
        <w:gridCol w:w="1042"/>
      </w:tblGrid>
      <w:tr w:rsidR="00D74432" w:rsidRPr="00D74432" w14:paraId="4B422E8C" w14:textId="77777777" w:rsidTr="00774763">
        <w:trPr>
          <w:cnfStyle w:val="100000000000" w:firstRow="1" w:lastRow="0" w:firstColumn="0" w:lastColumn="0" w:oddVBand="0" w:evenVBand="0" w:oddHBand="0"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1581" w:type="dxa"/>
            <w:hideMark/>
          </w:tcPr>
          <w:p w14:paraId="2CC73606" w14:textId="77777777" w:rsidR="00D74432" w:rsidRPr="00D74432" w:rsidRDefault="00D74432" w:rsidP="00940C6C">
            <w:pPr>
              <w:pStyle w:val="TableHeaderWhite"/>
              <w:rPr>
                <w:lang w:eastAsia="en-AU"/>
              </w:rPr>
            </w:pPr>
            <w:r w:rsidRPr="00D74432">
              <w:rPr>
                <w:lang w:eastAsia="en-AU"/>
              </w:rPr>
              <w:t> </w:t>
            </w:r>
          </w:p>
        </w:tc>
        <w:tc>
          <w:tcPr>
            <w:tcW w:w="843" w:type="dxa"/>
            <w:hideMark/>
          </w:tcPr>
          <w:p w14:paraId="7170576C" w14:textId="5B8A4F5B" w:rsidR="00D74432" w:rsidRPr="00D74432" w:rsidRDefault="00D74432" w:rsidP="00400313">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D74432">
              <w:rPr>
                <w:lang w:eastAsia="en-AU"/>
              </w:rPr>
              <w:t xml:space="preserve">Direct </w:t>
            </w:r>
            <w:r w:rsidR="00791D64">
              <w:rPr>
                <w:lang w:eastAsia="en-AU"/>
              </w:rPr>
              <w:t>c</w:t>
            </w:r>
            <w:r w:rsidRPr="00D74432">
              <w:rPr>
                <w:lang w:eastAsia="en-AU"/>
              </w:rPr>
              <w:t xml:space="preserve">are </w:t>
            </w:r>
            <w:r w:rsidR="00791D64">
              <w:rPr>
                <w:lang w:eastAsia="en-AU"/>
              </w:rPr>
              <w:t>s</w:t>
            </w:r>
            <w:r w:rsidRPr="00D74432">
              <w:rPr>
                <w:lang w:eastAsia="en-AU"/>
              </w:rPr>
              <w:t>ervices</w:t>
            </w:r>
          </w:p>
        </w:tc>
        <w:tc>
          <w:tcPr>
            <w:tcW w:w="1078" w:type="dxa"/>
            <w:hideMark/>
          </w:tcPr>
          <w:p w14:paraId="7DD6C2DE" w14:textId="2C7F2AB8" w:rsidR="00D74432" w:rsidRPr="00D74432" w:rsidRDefault="00D74432" w:rsidP="00400313">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D74432">
              <w:rPr>
                <w:lang w:eastAsia="en-AU"/>
              </w:rPr>
              <w:t xml:space="preserve">Sub-contracted </w:t>
            </w:r>
            <w:r w:rsidR="00791D64">
              <w:rPr>
                <w:lang w:eastAsia="en-AU"/>
              </w:rPr>
              <w:t>s</w:t>
            </w:r>
            <w:r w:rsidRPr="00D74432">
              <w:rPr>
                <w:lang w:eastAsia="en-AU"/>
              </w:rPr>
              <w:t>ervices</w:t>
            </w:r>
          </w:p>
        </w:tc>
        <w:tc>
          <w:tcPr>
            <w:tcW w:w="1280" w:type="dxa"/>
            <w:hideMark/>
          </w:tcPr>
          <w:p w14:paraId="32FEA992" w14:textId="39CC5A4A" w:rsidR="00D74432" w:rsidRPr="00D74432" w:rsidRDefault="00D74432" w:rsidP="00400313">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D74432">
              <w:rPr>
                <w:lang w:eastAsia="en-AU"/>
              </w:rPr>
              <w:t xml:space="preserve">Care </w:t>
            </w:r>
            <w:r w:rsidR="00791D64">
              <w:rPr>
                <w:lang w:eastAsia="en-AU"/>
              </w:rPr>
              <w:t>m</w:t>
            </w:r>
            <w:r w:rsidRPr="00D74432">
              <w:rPr>
                <w:lang w:eastAsia="en-AU"/>
              </w:rPr>
              <w:t xml:space="preserve">anagement </w:t>
            </w:r>
            <w:r w:rsidR="00791D64">
              <w:rPr>
                <w:lang w:eastAsia="en-AU"/>
              </w:rPr>
              <w:t>s</w:t>
            </w:r>
            <w:r w:rsidRPr="00D74432">
              <w:rPr>
                <w:lang w:eastAsia="en-AU"/>
              </w:rPr>
              <w:t xml:space="preserve">ervice </w:t>
            </w:r>
            <w:r w:rsidR="00791D64">
              <w:rPr>
                <w:lang w:eastAsia="en-AU"/>
              </w:rPr>
              <w:t>f</w:t>
            </w:r>
            <w:r w:rsidRPr="00D74432">
              <w:rPr>
                <w:lang w:eastAsia="en-AU"/>
              </w:rPr>
              <w:t>ees</w:t>
            </w:r>
          </w:p>
        </w:tc>
        <w:tc>
          <w:tcPr>
            <w:tcW w:w="1280" w:type="dxa"/>
            <w:hideMark/>
          </w:tcPr>
          <w:p w14:paraId="6EBC27AB" w14:textId="7E278077" w:rsidR="00D74432" w:rsidRPr="00D74432" w:rsidRDefault="00D74432" w:rsidP="00400313">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D74432">
              <w:rPr>
                <w:lang w:eastAsia="en-AU"/>
              </w:rPr>
              <w:t xml:space="preserve">Package </w:t>
            </w:r>
            <w:r w:rsidR="00791D64">
              <w:rPr>
                <w:lang w:eastAsia="en-AU"/>
              </w:rPr>
              <w:t>m</w:t>
            </w:r>
            <w:r w:rsidRPr="00D74432">
              <w:rPr>
                <w:lang w:eastAsia="en-AU"/>
              </w:rPr>
              <w:t xml:space="preserve">anagement </w:t>
            </w:r>
            <w:r w:rsidR="00E50305">
              <w:rPr>
                <w:lang w:eastAsia="en-AU"/>
              </w:rPr>
              <w:t>s</w:t>
            </w:r>
            <w:r w:rsidRPr="00D74432">
              <w:rPr>
                <w:lang w:eastAsia="en-AU"/>
              </w:rPr>
              <w:t xml:space="preserve">ervice </w:t>
            </w:r>
            <w:r w:rsidR="00E50305">
              <w:rPr>
                <w:lang w:eastAsia="en-AU"/>
              </w:rPr>
              <w:t>f</w:t>
            </w:r>
            <w:r w:rsidRPr="00D74432">
              <w:rPr>
                <w:lang w:eastAsia="en-AU"/>
              </w:rPr>
              <w:t>ees</w:t>
            </w:r>
          </w:p>
        </w:tc>
        <w:tc>
          <w:tcPr>
            <w:tcW w:w="1042" w:type="dxa"/>
            <w:hideMark/>
          </w:tcPr>
          <w:p w14:paraId="434ABEF6" w14:textId="3FC89131" w:rsidR="00D74432" w:rsidRPr="00D74432" w:rsidRDefault="00D74432" w:rsidP="00400313">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D74432">
              <w:rPr>
                <w:lang w:eastAsia="en-AU"/>
              </w:rPr>
              <w:t xml:space="preserve">COVID-19 </w:t>
            </w:r>
            <w:r w:rsidR="00E50305">
              <w:rPr>
                <w:lang w:eastAsia="en-AU"/>
              </w:rPr>
              <w:t>f</w:t>
            </w:r>
            <w:r w:rsidRPr="00D74432">
              <w:rPr>
                <w:lang w:eastAsia="en-AU"/>
              </w:rPr>
              <w:t>unding</w:t>
            </w:r>
          </w:p>
        </w:tc>
        <w:tc>
          <w:tcPr>
            <w:tcW w:w="1042" w:type="dxa"/>
            <w:hideMark/>
          </w:tcPr>
          <w:p w14:paraId="258CB651" w14:textId="46FA6EBE" w:rsidR="00D74432" w:rsidRPr="00D74432" w:rsidRDefault="00D74432" w:rsidP="00400313">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D74432">
              <w:rPr>
                <w:lang w:eastAsia="en-AU"/>
              </w:rPr>
              <w:t xml:space="preserve">Other </w:t>
            </w:r>
            <w:r w:rsidR="00E50305">
              <w:rPr>
                <w:lang w:eastAsia="en-AU"/>
              </w:rPr>
              <w:t>i</w:t>
            </w:r>
            <w:r w:rsidRPr="00D74432">
              <w:rPr>
                <w:lang w:eastAsia="en-AU"/>
              </w:rPr>
              <w:t>ncome</w:t>
            </w:r>
          </w:p>
        </w:tc>
        <w:tc>
          <w:tcPr>
            <w:tcW w:w="1042" w:type="dxa"/>
            <w:hideMark/>
          </w:tcPr>
          <w:p w14:paraId="223AF7D3" w14:textId="77777777" w:rsidR="00D74432" w:rsidRPr="00D74432" w:rsidRDefault="00D74432" w:rsidP="00400313">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D74432">
              <w:rPr>
                <w:lang w:eastAsia="en-AU"/>
              </w:rPr>
              <w:t>Total</w:t>
            </w:r>
          </w:p>
        </w:tc>
      </w:tr>
      <w:tr w:rsidR="00D74432" w:rsidRPr="00D74432" w14:paraId="4E89FBB6"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shd w:val="clear" w:color="auto" w:fill="D8DBDB" w:themeFill="background2" w:themeFillShade="E6"/>
            <w:noWrap/>
            <w:hideMark/>
          </w:tcPr>
          <w:p w14:paraId="450082FB" w14:textId="77777777" w:rsidR="00D74432" w:rsidRPr="00D74432" w:rsidRDefault="00D74432" w:rsidP="00966B51">
            <w:pPr>
              <w:pStyle w:val="TableParagraphbold"/>
              <w:rPr>
                <w:lang w:eastAsia="en-AU"/>
              </w:rPr>
            </w:pPr>
            <w:r w:rsidRPr="00D74432">
              <w:rPr>
                <w:lang w:eastAsia="en-AU"/>
              </w:rPr>
              <w:t>Ownership</w:t>
            </w:r>
          </w:p>
        </w:tc>
        <w:tc>
          <w:tcPr>
            <w:tcW w:w="843" w:type="dxa"/>
            <w:shd w:val="clear" w:color="auto" w:fill="D8DBDB" w:themeFill="background2" w:themeFillShade="E6"/>
            <w:noWrap/>
            <w:hideMark/>
          </w:tcPr>
          <w:p w14:paraId="3FADB405"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D74432">
              <w:rPr>
                <w:color w:val="1E1545"/>
                <w:lang w:eastAsia="en-AU"/>
              </w:rPr>
              <w:t> </w:t>
            </w:r>
          </w:p>
        </w:tc>
        <w:tc>
          <w:tcPr>
            <w:tcW w:w="1078" w:type="dxa"/>
            <w:shd w:val="clear" w:color="auto" w:fill="D8DBDB" w:themeFill="background2" w:themeFillShade="E6"/>
            <w:noWrap/>
            <w:hideMark/>
          </w:tcPr>
          <w:p w14:paraId="05DFFFAF"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D74432">
              <w:rPr>
                <w:color w:val="1E1545"/>
                <w:lang w:eastAsia="en-AU"/>
              </w:rPr>
              <w:t> </w:t>
            </w:r>
          </w:p>
        </w:tc>
        <w:tc>
          <w:tcPr>
            <w:tcW w:w="1280" w:type="dxa"/>
            <w:shd w:val="clear" w:color="auto" w:fill="D8DBDB" w:themeFill="background2" w:themeFillShade="E6"/>
            <w:noWrap/>
            <w:hideMark/>
          </w:tcPr>
          <w:p w14:paraId="7D608435"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D74432">
              <w:rPr>
                <w:color w:val="1E1545"/>
                <w:lang w:eastAsia="en-AU"/>
              </w:rPr>
              <w:t> </w:t>
            </w:r>
          </w:p>
        </w:tc>
        <w:tc>
          <w:tcPr>
            <w:tcW w:w="1280" w:type="dxa"/>
            <w:shd w:val="clear" w:color="auto" w:fill="D8DBDB" w:themeFill="background2" w:themeFillShade="E6"/>
            <w:noWrap/>
            <w:hideMark/>
          </w:tcPr>
          <w:p w14:paraId="7ABCE8D3"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 </w:t>
            </w:r>
          </w:p>
        </w:tc>
        <w:tc>
          <w:tcPr>
            <w:tcW w:w="1042" w:type="dxa"/>
            <w:shd w:val="clear" w:color="auto" w:fill="D8DBDB" w:themeFill="background2" w:themeFillShade="E6"/>
            <w:noWrap/>
            <w:hideMark/>
          </w:tcPr>
          <w:p w14:paraId="3C3CE55B"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 </w:t>
            </w:r>
          </w:p>
        </w:tc>
        <w:tc>
          <w:tcPr>
            <w:tcW w:w="1042" w:type="dxa"/>
            <w:shd w:val="clear" w:color="auto" w:fill="D8DBDB" w:themeFill="background2" w:themeFillShade="E6"/>
            <w:noWrap/>
            <w:hideMark/>
          </w:tcPr>
          <w:p w14:paraId="0737B3E5"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D74432">
              <w:rPr>
                <w:color w:val="1E1545"/>
                <w:lang w:eastAsia="en-AU"/>
              </w:rPr>
              <w:t> </w:t>
            </w:r>
          </w:p>
        </w:tc>
        <w:tc>
          <w:tcPr>
            <w:tcW w:w="1042" w:type="dxa"/>
            <w:shd w:val="clear" w:color="auto" w:fill="D8DBDB" w:themeFill="background2" w:themeFillShade="E6"/>
            <w:noWrap/>
            <w:hideMark/>
          </w:tcPr>
          <w:p w14:paraId="7EFD17E0"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1E1545"/>
                <w:lang w:eastAsia="en-AU"/>
              </w:rPr>
            </w:pPr>
            <w:r w:rsidRPr="00D74432">
              <w:rPr>
                <w:color w:val="1E1545"/>
                <w:lang w:eastAsia="en-AU"/>
              </w:rPr>
              <w:t> </w:t>
            </w:r>
          </w:p>
        </w:tc>
      </w:tr>
      <w:tr w:rsidR="00D74432" w:rsidRPr="00D74432" w14:paraId="5D16F6C5"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noWrap/>
            <w:hideMark/>
          </w:tcPr>
          <w:p w14:paraId="1E8A6164" w14:textId="78EEFDDC" w:rsidR="00D74432" w:rsidRPr="00D74432" w:rsidRDefault="00D74432" w:rsidP="00966B51">
            <w:pPr>
              <w:pStyle w:val="TableofAuthorities"/>
              <w:rPr>
                <w:lang w:eastAsia="en-AU"/>
              </w:rPr>
            </w:pPr>
            <w:r w:rsidRPr="00D74432">
              <w:rPr>
                <w:lang w:eastAsia="en-AU"/>
              </w:rPr>
              <w:t>For</w:t>
            </w:r>
            <w:r w:rsidRPr="009E43BC">
              <w:rPr>
                <w:lang w:eastAsia="en-AU"/>
              </w:rPr>
              <w:t>-</w:t>
            </w:r>
            <w:r w:rsidRPr="00D74432">
              <w:rPr>
                <w:lang w:eastAsia="en-AU"/>
              </w:rPr>
              <w:t>profit</w:t>
            </w:r>
          </w:p>
        </w:tc>
        <w:tc>
          <w:tcPr>
            <w:tcW w:w="843" w:type="dxa"/>
            <w:noWrap/>
            <w:hideMark/>
          </w:tcPr>
          <w:p w14:paraId="3DC6FEDD"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$27.37</w:t>
            </w:r>
          </w:p>
        </w:tc>
        <w:tc>
          <w:tcPr>
            <w:tcW w:w="1078" w:type="dxa"/>
            <w:noWrap/>
            <w:hideMark/>
          </w:tcPr>
          <w:p w14:paraId="162C2D58"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$15.36</w:t>
            </w:r>
          </w:p>
        </w:tc>
        <w:tc>
          <w:tcPr>
            <w:tcW w:w="1280" w:type="dxa"/>
            <w:noWrap/>
            <w:hideMark/>
          </w:tcPr>
          <w:p w14:paraId="37D44044"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$8.06</w:t>
            </w:r>
          </w:p>
        </w:tc>
        <w:tc>
          <w:tcPr>
            <w:tcW w:w="1280" w:type="dxa"/>
            <w:noWrap/>
            <w:hideMark/>
          </w:tcPr>
          <w:p w14:paraId="64B24C7D"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$7.06</w:t>
            </w:r>
          </w:p>
        </w:tc>
        <w:tc>
          <w:tcPr>
            <w:tcW w:w="1042" w:type="dxa"/>
            <w:noWrap/>
            <w:hideMark/>
          </w:tcPr>
          <w:p w14:paraId="272D44CF"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$0.30</w:t>
            </w:r>
          </w:p>
        </w:tc>
        <w:tc>
          <w:tcPr>
            <w:tcW w:w="1042" w:type="dxa"/>
            <w:noWrap/>
            <w:hideMark/>
          </w:tcPr>
          <w:p w14:paraId="0EB5742C"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$8.54</w:t>
            </w:r>
          </w:p>
        </w:tc>
        <w:tc>
          <w:tcPr>
            <w:tcW w:w="1042" w:type="dxa"/>
            <w:noWrap/>
            <w:hideMark/>
          </w:tcPr>
          <w:p w14:paraId="62366D96"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$66.71</w:t>
            </w:r>
          </w:p>
        </w:tc>
      </w:tr>
      <w:tr w:rsidR="00D74432" w:rsidRPr="00D74432" w14:paraId="04D05E8D"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noWrap/>
            <w:hideMark/>
          </w:tcPr>
          <w:p w14:paraId="5505D741" w14:textId="49B9C68A" w:rsidR="00D74432" w:rsidRPr="00D74432" w:rsidRDefault="00D74432" w:rsidP="00966B51">
            <w:pPr>
              <w:pStyle w:val="TableofAuthorities"/>
              <w:rPr>
                <w:lang w:eastAsia="en-AU"/>
              </w:rPr>
            </w:pPr>
            <w:r w:rsidRPr="00D74432">
              <w:rPr>
                <w:lang w:eastAsia="en-AU"/>
              </w:rPr>
              <w:t>Not</w:t>
            </w:r>
            <w:r w:rsidRPr="009E43BC">
              <w:rPr>
                <w:lang w:eastAsia="en-AU"/>
              </w:rPr>
              <w:t>-</w:t>
            </w:r>
            <w:r w:rsidRPr="00D74432">
              <w:rPr>
                <w:lang w:eastAsia="en-AU"/>
              </w:rPr>
              <w:t>for</w:t>
            </w:r>
            <w:r w:rsidR="00B21CEE" w:rsidRPr="009E43BC">
              <w:rPr>
                <w:lang w:eastAsia="en-AU"/>
              </w:rPr>
              <w:t>-</w:t>
            </w:r>
            <w:r w:rsidRPr="00D74432">
              <w:rPr>
                <w:lang w:eastAsia="en-AU"/>
              </w:rPr>
              <w:t>profit</w:t>
            </w:r>
          </w:p>
        </w:tc>
        <w:tc>
          <w:tcPr>
            <w:tcW w:w="843" w:type="dxa"/>
            <w:noWrap/>
            <w:hideMark/>
          </w:tcPr>
          <w:p w14:paraId="5C1FC3D6"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$30.72</w:t>
            </w:r>
          </w:p>
        </w:tc>
        <w:tc>
          <w:tcPr>
            <w:tcW w:w="1078" w:type="dxa"/>
            <w:noWrap/>
            <w:hideMark/>
          </w:tcPr>
          <w:p w14:paraId="49A8BFCF"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$13.58</w:t>
            </w:r>
          </w:p>
        </w:tc>
        <w:tc>
          <w:tcPr>
            <w:tcW w:w="1280" w:type="dxa"/>
            <w:noWrap/>
            <w:hideMark/>
          </w:tcPr>
          <w:p w14:paraId="69D34495"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$12.21</w:t>
            </w:r>
          </w:p>
        </w:tc>
        <w:tc>
          <w:tcPr>
            <w:tcW w:w="1280" w:type="dxa"/>
            <w:noWrap/>
            <w:hideMark/>
          </w:tcPr>
          <w:p w14:paraId="68FB06E8"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$7.68</w:t>
            </w:r>
          </w:p>
        </w:tc>
        <w:tc>
          <w:tcPr>
            <w:tcW w:w="1042" w:type="dxa"/>
            <w:noWrap/>
            <w:hideMark/>
          </w:tcPr>
          <w:p w14:paraId="0144D903"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$0.24</w:t>
            </w:r>
          </w:p>
        </w:tc>
        <w:tc>
          <w:tcPr>
            <w:tcW w:w="1042" w:type="dxa"/>
            <w:noWrap/>
            <w:hideMark/>
          </w:tcPr>
          <w:p w14:paraId="4945FCB0"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$1.51</w:t>
            </w:r>
          </w:p>
        </w:tc>
        <w:tc>
          <w:tcPr>
            <w:tcW w:w="1042" w:type="dxa"/>
            <w:noWrap/>
            <w:hideMark/>
          </w:tcPr>
          <w:p w14:paraId="1CFBD969"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$65.94</w:t>
            </w:r>
          </w:p>
        </w:tc>
      </w:tr>
      <w:tr w:rsidR="00D74432" w:rsidRPr="00D74432" w14:paraId="78B59ACD"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noWrap/>
            <w:hideMark/>
          </w:tcPr>
          <w:p w14:paraId="48C7ECB0" w14:textId="77777777" w:rsidR="00D74432" w:rsidRPr="00D74432" w:rsidRDefault="00D74432" w:rsidP="00966B51">
            <w:pPr>
              <w:pStyle w:val="TableofAuthorities"/>
              <w:rPr>
                <w:lang w:eastAsia="en-AU"/>
              </w:rPr>
            </w:pPr>
            <w:r w:rsidRPr="00D74432">
              <w:rPr>
                <w:lang w:eastAsia="en-AU"/>
              </w:rPr>
              <w:t>LST government</w:t>
            </w:r>
          </w:p>
        </w:tc>
        <w:tc>
          <w:tcPr>
            <w:tcW w:w="843" w:type="dxa"/>
            <w:noWrap/>
            <w:hideMark/>
          </w:tcPr>
          <w:p w14:paraId="38CFEEE2"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$15.50</w:t>
            </w:r>
          </w:p>
        </w:tc>
        <w:tc>
          <w:tcPr>
            <w:tcW w:w="1078" w:type="dxa"/>
            <w:noWrap/>
            <w:hideMark/>
          </w:tcPr>
          <w:p w14:paraId="1C0C30DE"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$22.82</w:t>
            </w:r>
          </w:p>
        </w:tc>
        <w:tc>
          <w:tcPr>
            <w:tcW w:w="1280" w:type="dxa"/>
            <w:noWrap/>
            <w:hideMark/>
          </w:tcPr>
          <w:p w14:paraId="1ABB632E"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$12.40</w:t>
            </w:r>
          </w:p>
        </w:tc>
        <w:tc>
          <w:tcPr>
            <w:tcW w:w="1280" w:type="dxa"/>
            <w:noWrap/>
            <w:hideMark/>
          </w:tcPr>
          <w:p w14:paraId="21D8ADD6"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$9.99</w:t>
            </w:r>
          </w:p>
        </w:tc>
        <w:tc>
          <w:tcPr>
            <w:tcW w:w="1042" w:type="dxa"/>
            <w:noWrap/>
            <w:hideMark/>
          </w:tcPr>
          <w:p w14:paraId="1091A138"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$0.13</w:t>
            </w:r>
          </w:p>
        </w:tc>
        <w:tc>
          <w:tcPr>
            <w:tcW w:w="1042" w:type="dxa"/>
            <w:noWrap/>
            <w:hideMark/>
          </w:tcPr>
          <w:p w14:paraId="3DE296D8"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$0.86</w:t>
            </w:r>
          </w:p>
        </w:tc>
        <w:tc>
          <w:tcPr>
            <w:tcW w:w="1042" w:type="dxa"/>
            <w:noWrap/>
            <w:hideMark/>
          </w:tcPr>
          <w:p w14:paraId="38C1AA78"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$61.71</w:t>
            </w:r>
          </w:p>
        </w:tc>
      </w:tr>
      <w:tr w:rsidR="00D74432" w:rsidRPr="00D74432" w14:paraId="556ACC31"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shd w:val="clear" w:color="auto" w:fill="D8DBDB" w:themeFill="background2" w:themeFillShade="E6"/>
            <w:noWrap/>
            <w:hideMark/>
          </w:tcPr>
          <w:p w14:paraId="6A00A92D" w14:textId="77777777" w:rsidR="00D74432" w:rsidRPr="00D74432" w:rsidRDefault="00D74432" w:rsidP="00966B51">
            <w:pPr>
              <w:pStyle w:val="TableParagraphbold"/>
              <w:rPr>
                <w:lang w:eastAsia="en-AU"/>
              </w:rPr>
            </w:pPr>
            <w:r w:rsidRPr="00D74432">
              <w:rPr>
                <w:lang w:eastAsia="en-AU"/>
              </w:rPr>
              <w:t>Location</w:t>
            </w:r>
          </w:p>
        </w:tc>
        <w:tc>
          <w:tcPr>
            <w:tcW w:w="843" w:type="dxa"/>
            <w:shd w:val="clear" w:color="auto" w:fill="D8DBDB" w:themeFill="background2" w:themeFillShade="E6"/>
            <w:noWrap/>
            <w:hideMark/>
          </w:tcPr>
          <w:p w14:paraId="3667032F"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078" w:type="dxa"/>
            <w:shd w:val="clear" w:color="auto" w:fill="D8DBDB" w:themeFill="background2" w:themeFillShade="E6"/>
            <w:noWrap/>
            <w:hideMark/>
          </w:tcPr>
          <w:p w14:paraId="28F1E1C4"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280" w:type="dxa"/>
            <w:shd w:val="clear" w:color="auto" w:fill="D8DBDB" w:themeFill="background2" w:themeFillShade="E6"/>
            <w:noWrap/>
            <w:hideMark/>
          </w:tcPr>
          <w:p w14:paraId="626EDED0"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280" w:type="dxa"/>
            <w:shd w:val="clear" w:color="auto" w:fill="D8DBDB" w:themeFill="background2" w:themeFillShade="E6"/>
            <w:noWrap/>
            <w:hideMark/>
          </w:tcPr>
          <w:p w14:paraId="5266BDC2"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042" w:type="dxa"/>
            <w:shd w:val="clear" w:color="auto" w:fill="D8DBDB" w:themeFill="background2" w:themeFillShade="E6"/>
            <w:noWrap/>
            <w:hideMark/>
          </w:tcPr>
          <w:p w14:paraId="4A8AA068"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042" w:type="dxa"/>
            <w:shd w:val="clear" w:color="auto" w:fill="D8DBDB" w:themeFill="background2" w:themeFillShade="E6"/>
            <w:noWrap/>
            <w:hideMark/>
          </w:tcPr>
          <w:p w14:paraId="433882F5"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042" w:type="dxa"/>
            <w:shd w:val="clear" w:color="auto" w:fill="D8DBDB" w:themeFill="background2" w:themeFillShade="E6"/>
            <w:noWrap/>
            <w:hideMark/>
          </w:tcPr>
          <w:p w14:paraId="6A04CE4A"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r>
      <w:tr w:rsidR="00D74432" w:rsidRPr="00D74432" w14:paraId="3EC90406"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noWrap/>
            <w:hideMark/>
          </w:tcPr>
          <w:p w14:paraId="7D284F6F" w14:textId="77777777" w:rsidR="00D74432" w:rsidRPr="00D74432" w:rsidRDefault="00D74432" w:rsidP="00966B51">
            <w:pPr>
              <w:pStyle w:val="TableofAuthorities"/>
              <w:rPr>
                <w:lang w:eastAsia="en-AU"/>
              </w:rPr>
            </w:pPr>
            <w:r w:rsidRPr="00D74432">
              <w:rPr>
                <w:lang w:eastAsia="en-AU"/>
              </w:rPr>
              <w:t>Metropolitan</w:t>
            </w:r>
          </w:p>
        </w:tc>
        <w:tc>
          <w:tcPr>
            <w:tcW w:w="843" w:type="dxa"/>
            <w:noWrap/>
            <w:hideMark/>
          </w:tcPr>
          <w:p w14:paraId="0E7C5B26" w14:textId="720C22C3" w:rsidR="00D74432" w:rsidRPr="00D74432" w:rsidRDefault="001B21C3"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D74432" w:rsidRPr="00D74432">
              <w:rPr>
                <w:lang w:eastAsia="en-AU"/>
              </w:rPr>
              <w:t>28.61</w:t>
            </w:r>
          </w:p>
        </w:tc>
        <w:tc>
          <w:tcPr>
            <w:tcW w:w="1078" w:type="dxa"/>
            <w:noWrap/>
            <w:hideMark/>
          </w:tcPr>
          <w:p w14:paraId="53C1842A"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$15.62</w:t>
            </w:r>
          </w:p>
        </w:tc>
        <w:tc>
          <w:tcPr>
            <w:tcW w:w="1280" w:type="dxa"/>
            <w:noWrap/>
            <w:hideMark/>
          </w:tcPr>
          <w:p w14:paraId="41F82469"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$10.62</w:t>
            </w:r>
          </w:p>
        </w:tc>
        <w:tc>
          <w:tcPr>
            <w:tcW w:w="1280" w:type="dxa"/>
            <w:noWrap/>
            <w:hideMark/>
          </w:tcPr>
          <w:p w14:paraId="6799B239"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$7.90</w:t>
            </w:r>
          </w:p>
        </w:tc>
        <w:tc>
          <w:tcPr>
            <w:tcW w:w="1042" w:type="dxa"/>
            <w:noWrap/>
            <w:hideMark/>
          </w:tcPr>
          <w:p w14:paraId="0E572BFF"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$0.29</w:t>
            </w:r>
          </w:p>
        </w:tc>
        <w:tc>
          <w:tcPr>
            <w:tcW w:w="1042" w:type="dxa"/>
            <w:noWrap/>
            <w:hideMark/>
          </w:tcPr>
          <w:p w14:paraId="413F8FB5"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$5.24</w:t>
            </w:r>
          </w:p>
        </w:tc>
        <w:tc>
          <w:tcPr>
            <w:tcW w:w="1042" w:type="dxa"/>
            <w:noWrap/>
            <w:hideMark/>
          </w:tcPr>
          <w:p w14:paraId="3E78E3D4"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$68.28</w:t>
            </w:r>
          </w:p>
        </w:tc>
      </w:tr>
      <w:tr w:rsidR="00D74432" w:rsidRPr="00D74432" w14:paraId="7C98EF75"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noWrap/>
            <w:hideMark/>
          </w:tcPr>
          <w:p w14:paraId="40AC2303" w14:textId="77777777" w:rsidR="00D74432" w:rsidRPr="00D74432" w:rsidRDefault="00D74432" w:rsidP="00966B51">
            <w:pPr>
              <w:pStyle w:val="TableofAuthorities"/>
              <w:rPr>
                <w:lang w:eastAsia="en-AU"/>
              </w:rPr>
            </w:pPr>
            <w:r w:rsidRPr="00D74432">
              <w:rPr>
                <w:lang w:eastAsia="en-AU"/>
              </w:rPr>
              <w:t>Regional</w:t>
            </w:r>
          </w:p>
        </w:tc>
        <w:tc>
          <w:tcPr>
            <w:tcW w:w="843" w:type="dxa"/>
            <w:noWrap/>
            <w:hideMark/>
          </w:tcPr>
          <w:p w14:paraId="26C7F2D9" w14:textId="569E815C" w:rsidR="00D74432" w:rsidRPr="00D74432" w:rsidRDefault="001B21C3"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D74432" w:rsidRPr="00D74432">
              <w:rPr>
                <w:lang w:eastAsia="en-AU"/>
              </w:rPr>
              <w:t>25.84</w:t>
            </w:r>
          </w:p>
        </w:tc>
        <w:tc>
          <w:tcPr>
            <w:tcW w:w="1078" w:type="dxa"/>
            <w:noWrap/>
            <w:hideMark/>
          </w:tcPr>
          <w:p w14:paraId="5FBC309E"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$13.01</w:t>
            </w:r>
          </w:p>
        </w:tc>
        <w:tc>
          <w:tcPr>
            <w:tcW w:w="1280" w:type="dxa"/>
            <w:noWrap/>
            <w:hideMark/>
          </w:tcPr>
          <w:p w14:paraId="51A209AB"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$10.93</w:t>
            </w:r>
          </w:p>
        </w:tc>
        <w:tc>
          <w:tcPr>
            <w:tcW w:w="1280" w:type="dxa"/>
            <w:noWrap/>
            <w:hideMark/>
          </w:tcPr>
          <w:p w14:paraId="5059D104"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$7.19</w:t>
            </w:r>
          </w:p>
        </w:tc>
        <w:tc>
          <w:tcPr>
            <w:tcW w:w="1042" w:type="dxa"/>
            <w:noWrap/>
            <w:hideMark/>
          </w:tcPr>
          <w:p w14:paraId="20B475E0"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$0.23</w:t>
            </w:r>
          </w:p>
        </w:tc>
        <w:tc>
          <w:tcPr>
            <w:tcW w:w="1042" w:type="dxa"/>
            <w:noWrap/>
            <w:hideMark/>
          </w:tcPr>
          <w:p w14:paraId="461AC9AC"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$0.90</w:t>
            </w:r>
          </w:p>
        </w:tc>
        <w:tc>
          <w:tcPr>
            <w:tcW w:w="1042" w:type="dxa"/>
            <w:noWrap/>
            <w:hideMark/>
          </w:tcPr>
          <w:p w14:paraId="0CB7A746"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$58.10</w:t>
            </w:r>
          </w:p>
        </w:tc>
      </w:tr>
      <w:tr w:rsidR="00D74432" w:rsidRPr="00D74432" w14:paraId="2A7299F7"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noWrap/>
            <w:hideMark/>
          </w:tcPr>
          <w:p w14:paraId="12276334" w14:textId="52127A58" w:rsidR="00D74432" w:rsidRPr="00D74432" w:rsidRDefault="00D74432" w:rsidP="00966B51">
            <w:pPr>
              <w:pStyle w:val="TableofAuthorities"/>
              <w:rPr>
                <w:lang w:eastAsia="en-AU"/>
              </w:rPr>
            </w:pPr>
            <w:r w:rsidRPr="00D74432">
              <w:rPr>
                <w:lang w:eastAsia="en-AU"/>
              </w:rPr>
              <w:t xml:space="preserve">Metropolitan and </w:t>
            </w:r>
            <w:r w:rsidR="00791D64" w:rsidRPr="009E43BC">
              <w:rPr>
                <w:lang w:eastAsia="en-AU"/>
              </w:rPr>
              <w:t>r</w:t>
            </w:r>
            <w:r w:rsidRPr="00D74432">
              <w:rPr>
                <w:lang w:eastAsia="en-AU"/>
              </w:rPr>
              <w:t>egional</w:t>
            </w:r>
          </w:p>
        </w:tc>
        <w:tc>
          <w:tcPr>
            <w:tcW w:w="843" w:type="dxa"/>
            <w:noWrap/>
            <w:hideMark/>
          </w:tcPr>
          <w:p w14:paraId="0C157392" w14:textId="19D57D44" w:rsidR="00D74432" w:rsidRPr="00D74432" w:rsidRDefault="001B21C3"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D74432" w:rsidRPr="00D74432">
              <w:rPr>
                <w:lang w:eastAsia="en-AU"/>
              </w:rPr>
              <w:t>32.46</w:t>
            </w:r>
          </w:p>
        </w:tc>
        <w:tc>
          <w:tcPr>
            <w:tcW w:w="1078" w:type="dxa"/>
            <w:noWrap/>
            <w:hideMark/>
          </w:tcPr>
          <w:p w14:paraId="2DFF6BED"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$13.13</w:t>
            </w:r>
          </w:p>
        </w:tc>
        <w:tc>
          <w:tcPr>
            <w:tcW w:w="1280" w:type="dxa"/>
            <w:noWrap/>
            <w:hideMark/>
          </w:tcPr>
          <w:p w14:paraId="3ADC2C4E"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$11.85</w:t>
            </w:r>
          </w:p>
        </w:tc>
        <w:tc>
          <w:tcPr>
            <w:tcW w:w="1280" w:type="dxa"/>
            <w:noWrap/>
            <w:hideMark/>
          </w:tcPr>
          <w:p w14:paraId="2B9C7192"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$7.05</w:t>
            </w:r>
          </w:p>
        </w:tc>
        <w:tc>
          <w:tcPr>
            <w:tcW w:w="1042" w:type="dxa"/>
            <w:noWrap/>
            <w:hideMark/>
          </w:tcPr>
          <w:p w14:paraId="2BBDC196"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$0.15</w:t>
            </w:r>
          </w:p>
        </w:tc>
        <w:tc>
          <w:tcPr>
            <w:tcW w:w="1042" w:type="dxa"/>
            <w:noWrap/>
            <w:hideMark/>
          </w:tcPr>
          <w:p w14:paraId="29B85F46"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$1.25</w:t>
            </w:r>
          </w:p>
        </w:tc>
        <w:tc>
          <w:tcPr>
            <w:tcW w:w="1042" w:type="dxa"/>
            <w:noWrap/>
            <w:hideMark/>
          </w:tcPr>
          <w:p w14:paraId="212BDAB8"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$65.90</w:t>
            </w:r>
          </w:p>
        </w:tc>
      </w:tr>
      <w:tr w:rsidR="00D74432" w:rsidRPr="00D74432" w14:paraId="376768D3"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shd w:val="clear" w:color="auto" w:fill="D8DBDB" w:themeFill="background2" w:themeFillShade="E6"/>
            <w:noWrap/>
            <w:hideMark/>
          </w:tcPr>
          <w:p w14:paraId="09895966" w14:textId="77777777" w:rsidR="00D74432" w:rsidRPr="00D74432" w:rsidRDefault="00D74432" w:rsidP="00966B51">
            <w:pPr>
              <w:pStyle w:val="TableParagraphbold"/>
              <w:rPr>
                <w:lang w:eastAsia="en-AU"/>
              </w:rPr>
            </w:pPr>
            <w:r w:rsidRPr="00D74432">
              <w:rPr>
                <w:lang w:eastAsia="en-AU"/>
              </w:rPr>
              <w:t>Scale</w:t>
            </w:r>
          </w:p>
        </w:tc>
        <w:tc>
          <w:tcPr>
            <w:tcW w:w="843" w:type="dxa"/>
            <w:shd w:val="clear" w:color="auto" w:fill="D8DBDB" w:themeFill="background2" w:themeFillShade="E6"/>
            <w:noWrap/>
            <w:hideMark/>
          </w:tcPr>
          <w:p w14:paraId="75374829"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078" w:type="dxa"/>
            <w:shd w:val="clear" w:color="auto" w:fill="D8DBDB" w:themeFill="background2" w:themeFillShade="E6"/>
            <w:noWrap/>
            <w:hideMark/>
          </w:tcPr>
          <w:p w14:paraId="64D8503E"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280" w:type="dxa"/>
            <w:shd w:val="clear" w:color="auto" w:fill="D8DBDB" w:themeFill="background2" w:themeFillShade="E6"/>
            <w:noWrap/>
            <w:hideMark/>
          </w:tcPr>
          <w:p w14:paraId="598B4465"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280" w:type="dxa"/>
            <w:shd w:val="clear" w:color="auto" w:fill="D8DBDB" w:themeFill="background2" w:themeFillShade="E6"/>
            <w:noWrap/>
            <w:hideMark/>
          </w:tcPr>
          <w:p w14:paraId="4ECBC9C8"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042" w:type="dxa"/>
            <w:shd w:val="clear" w:color="auto" w:fill="D8DBDB" w:themeFill="background2" w:themeFillShade="E6"/>
            <w:noWrap/>
            <w:hideMark/>
          </w:tcPr>
          <w:p w14:paraId="7B08D77E"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042" w:type="dxa"/>
            <w:shd w:val="clear" w:color="auto" w:fill="D8DBDB" w:themeFill="background2" w:themeFillShade="E6"/>
            <w:noWrap/>
            <w:hideMark/>
          </w:tcPr>
          <w:p w14:paraId="1D3FF4D0"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c>
          <w:tcPr>
            <w:tcW w:w="1042" w:type="dxa"/>
            <w:shd w:val="clear" w:color="auto" w:fill="D8DBDB" w:themeFill="background2" w:themeFillShade="E6"/>
            <w:noWrap/>
            <w:hideMark/>
          </w:tcPr>
          <w:p w14:paraId="399F82BD"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color w:val="000000"/>
                <w:lang w:eastAsia="en-AU"/>
              </w:rPr>
            </w:pPr>
            <w:r w:rsidRPr="00D74432">
              <w:rPr>
                <w:color w:val="000000"/>
                <w:lang w:eastAsia="en-AU"/>
              </w:rPr>
              <w:t> </w:t>
            </w:r>
          </w:p>
        </w:tc>
      </w:tr>
      <w:tr w:rsidR="00D74432" w:rsidRPr="00D74432" w14:paraId="7AAC6F27"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noWrap/>
            <w:hideMark/>
          </w:tcPr>
          <w:p w14:paraId="152D2A2A" w14:textId="6AA4F037" w:rsidR="00D74432" w:rsidRPr="00D74432" w:rsidRDefault="00D74432" w:rsidP="00966B51">
            <w:pPr>
              <w:pStyle w:val="TableofAuthorities"/>
              <w:rPr>
                <w:lang w:eastAsia="en-AU"/>
              </w:rPr>
            </w:pPr>
            <w:r w:rsidRPr="00D74432">
              <w:rPr>
                <w:lang w:eastAsia="en-AU"/>
              </w:rPr>
              <w:t xml:space="preserve">Single </w:t>
            </w:r>
            <w:r w:rsidR="00791D64" w:rsidRPr="009E43BC">
              <w:rPr>
                <w:lang w:eastAsia="en-AU"/>
              </w:rPr>
              <w:t>s</w:t>
            </w:r>
            <w:r w:rsidRPr="00D74432">
              <w:rPr>
                <w:lang w:eastAsia="en-AU"/>
              </w:rPr>
              <w:t>ervice</w:t>
            </w:r>
          </w:p>
        </w:tc>
        <w:tc>
          <w:tcPr>
            <w:tcW w:w="843" w:type="dxa"/>
            <w:noWrap/>
            <w:hideMark/>
          </w:tcPr>
          <w:p w14:paraId="00B759FD" w14:textId="2E336130" w:rsidR="00D74432" w:rsidRPr="00D74432" w:rsidRDefault="001B21C3"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D74432" w:rsidRPr="00D74432">
              <w:rPr>
                <w:lang w:eastAsia="en-AU"/>
              </w:rPr>
              <w:t>31.89</w:t>
            </w:r>
          </w:p>
        </w:tc>
        <w:tc>
          <w:tcPr>
            <w:tcW w:w="1078" w:type="dxa"/>
            <w:noWrap/>
            <w:hideMark/>
          </w:tcPr>
          <w:p w14:paraId="1503F264"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$17.49</w:t>
            </w:r>
          </w:p>
        </w:tc>
        <w:tc>
          <w:tcPr>
            <w:tcW w:w="1280" w:type="dxa"/>
            <w:noWrap/>
            <w:hideMark/>
          </w:tcPr>
          <w:p w14:paraId="537691A3"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$10.25</w:t>
            </w:r>
          </w:p>
        </w:tc>
        <w:tc>
          <w:tcPr>
            <w:tcW w:w="1280" w:type="dxa"/>
            <w:noWrap/>
            <w:hideMark/>
          </w:tcPr>
          <w:p w14:paraId="06BDFF1C"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$7.27</w:t>
            </w:r>
          </w:p>
        </w:tc>
        <w:tc>
          <w:tcPr>
            <w:tcW w:w="1042" w:type="dxa"/>
            <w:noWrap/>
            <w:hideMark/>
          </w:tcPr>
          <w:p w14:paraId="41F08BB8"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$0.40</w:t>
            </w:r>
          </w:p>
        </w:tc>
        <w:tc>
          <w:tcPr>
            <w:tcW w:w="1042" w:type="dxa"/>
            <w:noWrap/>
            <w:hideMark/>
          </w:tcPr>
          <w:p w14:paraId="442CF4AD"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$1.79</w:t>
            </w:r>
          </w:p>
        </w:tc>
        <w:tc>
          <w:tcPr>
            <w:tcW w:w="1042" w:type="dxa"/>
            <w:noWrap/>
            <w:hideMark/>
          </w:tcPr>
          <w:p w14:paraId="0BB35ABB"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$69.09</w:t>
            </w:r>
          </w:p>
        </w:tc>
      </w:tr>
      <w:tr w:rsidR="00D74432" w:rsidRPr="00D74432" w14:paraId="02460EB8"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noWrap/>
            <w:hideMark/>
          </w:tcPr>
          <w:p w14:paraId="4431265A" w14:textId="2748AE6C" w:rsidR="00D74432" w:rsidRPr="00D74432" w:rsidRDefault="00D74432" w:rsidP="00966B51">
            <w:pPr>
              <w:pStyle w:val="TableofAuthorities"/>
              <w:rPr>
                <w:lang w:eastAsia="en-AU"/>
              </w:rPr>
            </w:pPr>
            <w:r w:rsidRPr="00D74432">
              <w:rPr>
                <w:lang w:eastAsia="en-AU"/>
              </w:rPr>
              <w:t xml:space="preserve">2 to 6 </w:t>
            </w:r>
            <w:r w:rsidR="00791D64" w:rsidRPr="009E43BC">
              <w:rPr>
                <w:lang w:eastAsia="en-AU"/>
              </w:rPr>
              <w:t>s</w:t>
            </w:r>
            <w:r w:rsidRPr="00D74432">
              <w:rPr>
                <w:lang w:eastAsia="en-AU"/>
              </w:rPr>
              <w:t>ervices</w:t>
            </w:r>
          </w:p>
        </w:tc>
        <w:tc>
          <w:tcPr>
            <w:tcW w:w="843" w:type="dxa"/>
            <w:noWrap/>
            <w:hideMark/>
          </w:tcPr>
          <w:p w14:paraId="2C9915DA" w14:textId="04242CDB" w:rsidR="00D74432" w:rsidRPr="00D74432" w:rsidRDefault="001B21C3"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D74432" w:rsidRPr="00D74432">
              <w:rPr>
                <w:lang w:eastAsia="en-AU"/>
              </w:rPr>
              <w:t>23.16</w:t>
            </w:r>
          </w:p>
        </w:tc>
        <w:tc>
          <w:tcPr>
            <w:tcW w:w="1078" w:type="dxa"/>
            <w:noWrap/>
            <w:hideMark/>
          </w:tcPr>
          <w:p w14:paraId="07E806CB"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$12.65</w:t>
            </w:r>
          </w:p>
        </w:tc>
        <w:tc>
          <w:tcPr>
            <w:tcW w:w="1280" w:type="dxa"/>
            <w:noWrap/>
            <w:hideMark/>
          </w:tcPr>
          <w:p w14:paraId="6B594EDE"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$9.34</w:t>
            </w:r>
          </w:p>
        </w:tc>
        <w:tc>
          <w:tcPr>
            <w:tcW w:w="1280" w:type="dxa"/>
            <w:noWrap/>
            <w:hideMark/>
          </w:tcPr>
          <w:p w14:paraId="5C339288"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$8.16</w:t>
            </w:r>
          </w:p>
        </w:tc>
        <w:tc>
          <w:tcPr>
            <w:tcW w:w="1042" w:type="dxa"/>
            <w:noWrap/>
            <w:hideMark/>
          </w:tcPr>
          <w:p w14:paraId="41895D39"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$0.26</w:t>
            </w:r>
          </w:p>
        </w:tc>
        <w:tc>
          <w:tcPr>
            <w:tcW w:w="1042" w:type="dxa"/>
            <w:noWrap/>
            <w:hideMark/>
          </w:tcPr>
          <w:p w14:paraId="4DCA2A2C"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$11.58</w:t>
            </w:r>
          </w:p>
        </w:tc>
        <w:tc>
          <w:tcPr>
            <w:tcW w:w="1042" w:type="dxa"/>
            <w:noWrap/>
            <w:hideMark/>
          </w:tcPr>
          <w:p w14:paraId="5FC0CB59"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$65.15</w:t>
            </w:r>
          </w:p>
        </w:tc>
      </w:tr>
      <w:tr w:rsidR="00D74432" w:rsidRPr="00D74432" w14:paraId="5683F0BA"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noWrap/>
            <w:hideMark/>
          </w:tcPr>
          <w:p w14:paraId="54AF6636" w14:textId="54428C8A" w:rsidR="00D74432" w:rsidRPr="00D74432" w:rsidRDefault="00D74432" w:rsidP="00966B51">
            <w:pPr>
              <w:pStyle w:val="TableofAuthorities"/>
              <w:rPr>
                <w:lang w:eastAsia="en-AU"/>
              </w:rPr>
            </w:pPr>
            <w:r w:rsidRPr="00D74432">
              <w:rPr>
                <w:lang w:eastAsia="en-AU"/>
              </w:rPr>
              <w:t xml:space="preserve">7 and </w:t>
            </w:r>
            <w:r w:rsidR="00791D64" w:rsidRPr="009E43BC">
              <w:rPr>
                <w:lang w:eastAsia="en-AU"/>
              </w:rPr>
              <w:t>m</w:t>
            </w:r>
            <w:r w:rsidRPr="00D74432">
              <w:rPr>
                <w:lang w:eastAsia="en-AU"/>
              </w:rPr>
              <w:t xml:space="preserve">ore </w:t>
            </w:r>
            <w:r w:rsidR="00791D64" w:rsidRPr="009E43BC">
              <w:rPr>
                <w:lang w:eastAsia="en-AU"/>
              </w:rPr>
              <w:t>s</w:t>
            </w:r>
            <w:r w:rsidRPr="00D74432">
              <w:rPr>
                <w:lang w:eastAsia="en-AU"/>
              </w:rPr>
              <w:t>ervices</w:t>
            </w:r>
          </w:p>
        </w:tc>
        <w:tc>
          <w:tcPr>
            <w:tcW w:w="843" w:type="dxa"/>
            <w:noWrap/>
            <w:hideMark/>
          </w:tcPr>
          <w:p w14:paraId="67F0F664" w14:textId="7AD98CCB" w:rsidR="00D74432" w:rsidRPr="00D74432" w:rsidRDefault="001B21C3"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D74432" w:rsidRPr="00D74432">
              <w:rPr>
                <w:lang w:eastAsia="en-AU"/>
              </w:rPr>
              <w:t>29.28</w:t>
            </w:r>
          </w:p>
        </w:tc>
        <w:tc>
          <w:tcPr>
            <w:tcW w:w="1078" w:type="dxa"/>
            <w:noWrap/>
            <w:hideMark/>
          </w:tcPr>
          <w:p w14:paraId="222943D4"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$13.70</w:t>
            </w:r>
          </w:p>
        </w:tc>
        <w:tc>
          <w:tcPr>
            <w:tcW w:w="1280" w:type="dxa"/>
            <w:noWrap/>
            <w:hideMark/>
          </w:tcPr>
          <w:p w14:paraId="241BEC44"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$12.12</w:t>
            </w:r>
          </w:p>
        </w:tc>
        <w:tc>
          <w:tcPr>
            <w:tcW w:w="1280" w:type="dxa"/>
            <w:noWrap/>
            <w:hideMark/>
          </w:tcPr>
          <w:p w14:paraId="5E43B4C8"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$7.59</w:t>
            </w:r>
          </w:p>
        </w:tc>
        <w:tc>
          <w:tcPr>
            <w:tcW w:w="1042" w:type="dxa"/>
            <w:noWrap/>
            <w:hideMark/>
          </w:tcPr>
          <w:p w14:paraId="667B52D1"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$0.15</w:t>
            </w:r>
          </w:p>
        </w:tc>
        <w:tc>
          <w:tcPr>
            <w:tcW w:w="1042" w:type="dxa"/>
            <w:noWrap/>
            <w:hideMark/>
          </w:tcPr>
          <w:p w14:paraId="242506ED"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$1.22</w:t>
            </w:r>
          </w:p>
        </w:tc>
        <w:tc>
          <w:tcPr>
            <w:tcW w:w="1042" w:type="dxa"/>
            <w:noWrap/>
            <w:hideMark/>
          </w:tcPr>
          <w:p w14:paraId="3B877443" w14:textId="77777777" w:rsidR="00D74432" w:rsidRPr="00D74432" w:rsidRDefault="00D74432"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$64.07</w:t>
            </w:r>
          </w:p>
        </w:tc>
      </w:tr>
      <w:tr w:rsidR="00D74432" w:rsidRPr="00D74432" w14:paraId="342EA256" w14:textId="77777777" w:rsidTr="00774763">
        <w:trPr>
          <w:trHeight w:val="294"/>
        </w:trPr>
        <w:tc>
          <w:tcPr>
            <w:cnfStyle w:val="001000000000" w:firstRow="0" w:lastRow="0" w:firstColumn="1" w:lastColumn="0" w:oddVBand="0" w:evenVBand="0" w:oddHBand="0" w:evenHBand="0" w:firstRowFirstColumn="0" w:firstRowLastColumn="0" w:lastRowFirstColumn="0" w:lastRowLastColumn="0"/>
            <w:tcW w:w="1581" w:type="dxa"/>
            <w:shd w:val="clear" w:color="auto" w:fill="D8DBDB" w:themeFill="background2" w:themeFillShade="E6"/>
            <w:noWrap/>
            <w:hideMark/>
          </w:tcPr>
          <w:p w14:paraId="1EB6E6DD" w14:textId="77777777" w:rsidR="00D74432" w:rsidRPr="00D74432" w:rsidRDefault="00D74432" w:rsidP="00966B51">
            <w:pPr>
              <w:pStyle w:val="TableParagraphbold"/>
              <w:rPr>
                <w:lang w:eastAsia="en-AU"/>
              </w:rPr>
            </w:pPr>
            <w:r w:rsidRPr="00D74432">
              <w:rPr>
                <w:lang w:eastAsia="en-AU"/>
              </w:rPr>
              <w:t>Total sector</w:t>
            </w:r>
          </w:p>
        </w:tc>
        <w:tc>
          <w:tcPr>
            <w:tcW w:w="843" w:type="dxa"/>
            <w:shd w:val="clear" w:color="auto" w:fill="D8DBDB" w:themeFill="background2" w:themeFillShade="E6"/>
            <w:noWrap/>
            <w:hideMark/>
          </w:tcPr>
          <w:p w14:paraId="69C37736"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$28.75</w:t>
            </w:r>
          </w:p>
        </w:tc>
        <w:tc>
          <w:tcPr>
            <w:tcW w:w="1078" w:type="dxa"/>
            <w:shd w:val="clear" w:color="auto" w:fill="D8DBDB" w:themeFill="background2" w:themeFillShade="E6"/>
            <w:noWrap/>
            <w:hideMark/>
          </w:tcPr>
          <w:p w14:paraId="0AC14509"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$14.69</w:t>
            </w:r>
          </w:p>
        </w:tc>
        <w:tc>
          <w:tcPr>
            <w:tcW w:w="1280" w:type="dxa"/>
            <w:shd w:val="clear" w:color="auto" w:fill="D8DBDB" w:themeFill="background2" w:themeFillShade="E6"/>
            <w:noWrap/>
            <w:hideMark/>
          </w:tcPr>
          <w:p w14:paraId="33822BC2"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$10.89</w:t>
            </w:r>
          </w:p>
        </w:tc>
        <w:tc>
          <w:tcPr>
            <w:tcW w:w="1280" w:type="dxa"/>
            <w:shd w:val="clear" w:color="auto" w:fill="D8DBDB" w:themeFill="background2" w:themeFillShade="E6"/>
            <w:noWrap/>
            <w:hideMark/>
          </w:tcPr>
          <w:p w14:paraId="23D581E0"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$7.62</w:t>
            </w:r>
          </w:p>
        </w:tc>
        <w:tc>
          <w:tcPr>
            <w:tcW w:w="1042" w:type="dxa"/>
            <w:shd w:val="clear" w:color="auto" w:fill="D8DBDB" w:themeFill="background2" w:themeFillShade="E6"/>
            <w:noWrap/>
            <w:hideMark/>
          </w:tcPr>
          <w:p w14:paraId="50E44464"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$0.26</w:t>
            </w:r>
          </w:p>
        </w:tc>
        <w:tc>
          <w:tcPr>
            <w:tcW w:w="1042" w:type="dxa"/>
            <w:shd w:val="clear" w:color="auto" w:fill="D8DBDB" w:themeFill="background2" w:themeFillShade="E6"/>
            <w:noWrap/>
            <w:hideMark/>
          </w:tcPr>
          <w:p w14:paraId="60209E3F"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$3.73</w:t>
            </w:r>
          </w:p>
        </w:tc>
        <w:tc>
          <w:tcPr>
            <w:tcW w:w="1042" w:type="dxa"/>
            <w:shd w:val="clear" w:color="auto" w:fill="D8DBDB" w:themeFill="background2" w:themeFillShade="E6"/>
            <w:noWrap/>
            <w:hideMark/>
          </w:tcPr>
          <w:p w14:paraId="5E63C2A2" w14:textId="77777777" w:rsidR="00D74432" w:rsidRPr="00D74432" w:rsidRDefault="00D74432"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D74432">
              <w:rPr>
                <w:lang w:eastAsia="en-AU"/>
              </w:rPr>
              <w:t>$65.94</w:t>
            </w:r>
          </w:p>
        </w:tc>
      </w:tr>
    </w:tbl>
    <w:p w14:paraId="741F26DF" w14:textId="0A4DA7FD" w:rsidR="00523F4F" w:rsidRDefault="00F21D17" w:rsidP="00523F4F">
      <w:bookmarkStart w:id="36" w:name="_Toc149245308"/>
      <w:r w:rsidRPr="00523F4F">
        <w:rPr>
          <w:rFonts w:cs="Arial"/>
          <w:b/>
          <w:sz w:val="28"/>
          <w:szCs w:val="28"/>
        </w:rPr>
        <w:t xml:space="preserve">Financial performance </w:t>
      </w:r>
      <w:r w:rsidR="00CA3FDD" w:rsidRPr="00523F4F">
        <w:rPr>
          <w:rFonts w:cs="Arial"/>
          <w:b/>
          <w:sz w:val="28"/>
          <w:szCs w:val="28"/>
        </w:rPr>
        <w:t>–</w:t>
      </w:r>
      <w:r w:rsidRPr="00523F4F">
        <w:rPr>
          <w:rFonts w:cs="Arial"/>
          <w:b/>
          <w:sz w:val="28"/>
          <w:szCs w:val="28"/>
        </w:rPr>
        <w:t xml:space="preserve"> expenditure</w:t>
      </w:r>
      <w:bookmarkEnd w:id="36"/>
    </w:p>
    <w:p w14:paraId="7A967F54" w14:textId="16BA3A08" w:rsidR="0041156A" w:rsidRDefault="00523F4F" w:rsidP="0041156A">
      <w:pPr>
        <w:rPr>
          <w:b/>
          <w:bCs/>
          <w:szCs w:val="18"/>
        </w:rPr>
      </w:pPr>
      <w:r>
        <w:t>Table 1.6</w:t>
      </w:r>
      <w:r w:rsidR="00A71CE4">
        <w:t xml:space="preserve"> </w:t>
      </w:r>
      <w:r w:rsidR="00067DA0">
        <w:t xml:space="preserve">provides a breakdown of expenditure according to </w:t>
      </w:r>
      <w:r w:rsidR="005B1A9E">
        <w:t xml:space="preserve">provider </w:t>
      </w:r>
      <w:r w:rsidR="00067DA0">
        <w:t xml:space="preserve">ownership type, </w:t>
      </w:r>
      <w:proofErr w:type="gramStart"/>
      <w:r w:rsidR="00067DA0">
        <w:t>location</w:t>
      </w:r>
      <w:proofErr w:type="gramEnd"/>
      <w:r w:rsidR="00067DA0">
        <w:t xml:space="preserve"> and scale </w:t>
      </w:r>
      <w:r w:rsidR="00FA60DF">
        <w:t>per recipient per day</w:t>
      </w:r>
      <w:r w:rsidR="00067DA0">
        <w:t xml:space="preserve"> for</w:t>
      </w:r>
      <w:r w:rsidR="00067DA0">
        <w:rPr>
          <w:spacing w:val="-11"/>
        </w:rPr>
        <w:t xml:space="preserve"> </w:t>
      </w:r>
      <w:r w:rsidR="00067DA0">
        <w:t>2021</w:t>
      </w:r>
      <w:r w:rsidR="00A71CE4">
        <w:t>-22</w:t>
      </w:r>
      <w:r w:rsidR="00067DA0">
        <w:t>.</w:t>
      </w:r>
      <w:r w:rsidR="00067DA0">
        <w:rPr>
          <w:spacing w:val="-11"/>
        </w:rPr>
        <w:t xml:space="preserve"> </w:t>
      </w:r>
      <w:r w:rsidR="00067DA0">
        <w:t>In</w:t>
      </w:r>
      <w:r w:rsidR="00067DA0">
        <w:rPr>
          <w:spacing w:val="-11"/>
        </w:rPr>
        <w:t xml:space="preserve"> </w:t>
      </w:r>
      <w:r w:rsidR="00067DA0">
        <w:t>terms</w:t>
      </w:r>
      <w:r w:rsidR="00067DA0">
        <w:rPr>
          <w:spacing w:val="-11"/>
        </w:rPr>
        <w:t xml:space="preserve"> </w:t>
      </w:r>
      <w:r w:rsidR="00067DA0">
        <w:t>of</w:t>
      </w:r>
      <w:r w:rsidR="00067DA0">
        <w:rPr>
          <w:spacing w:val="-11"/>
        </w:rPr>
        <w:t xml:space="preserve"> </w:t>
      </w:r>
      <w:r w:rsidR="00067DA0">
        <w:t>ownership,</w:t>
      </w:r>
      <w:r w:rsidR="00067DA0">
        <w:rPr>
          <w:spacing w:val="-11"/>
        </w:rPr>
        <w:t xml:space="preserve"> </w:t>
      </w:r>
      <w:r w:rsidR="00067DA0">
        <w:t xml:space="preserve">not-for-profit providers continue to incur </w:t>
      </w:r>
      <w:r w:rsidR="00824C81">
        <w:t xml:space="preserve">slightly </w:t>
      </w:r>
      <w:r w:rsidR="00067DA0">
        <w:t>lower expenses per</w:t>
      </w:r>
      <w:r w:rsidR="00A71CE4">
        <w:t xml:space="preserve"> </w:t>
      </w:r>
      <w:r w:rsidR="00FA60DF">
        <w:t>recipient per day</w:t>
      </w:r>
      <w:r w:rsidR="00067DA0">
        <w:t xml:space="preserve"> than for-profit providers ($6</w:t>
      </w:r>
      <w:r w:rsidR="004337B6">
        <w:t>3.34</w:t>
      </w:r>
      <w:r w:rsidR="00067DA0">
        <w:t xml:space="preserve"> per </w:t>
      </w:r>
      <w:r w:rsidR="00FA60DF">
        <w:t xml:space="preserve">recipient </w:t>
      </w:r>
      <w:r w:rsidR="00067DA0">
        <w:t>per day compared</w:t>
      </w:r>
      <w:r w:rsidR="00067DA0">
        <w:rPr>
          <w:spacing w:val="-8"/>
        </w:rPr>
        <w:t xml:space="preserve"> </w:t>
      </w:r>
      <w:r w:rsidR="00067DA0">
        <w:t>with</w:t>
      </w:r>
      <w:r w:rsidR="00067DA0">
        <w:rPr>
          <w:spacing w:val="-8"/>
        </w:rPr>
        <w:t xml:space="preserve"> </w:t>
      </w:r>
      <w:r w:rsidR="00067DA0">
        <w:t>$6</w:t>
      </w:r>
      <w:r w:rsidR="004337B6">
        <w:t>3.45</w:t>
      </w:r>
      <w:r w:rsidR="00067DA0">
        <w:t>).</w:t>
      </w:r>
      <w:r w:rsidR="00067DA0">
        <w:rPr>
          <w:spacing w:val="-8"/>
        </w:rPr>
        <w:t xml:space="preserve"> </w:t>
      </w:r>
      <w:r w:rsidR="00067DA0">
        <w:t>The</w:t>
      </w:r>
      <w:r w:rsidR="00067DA0">
        <w:rPr>
          <w:spacing w:val="-7"/>
        </w:rPr>
        <w:t xml:space="preserve"> </w:t>
      </w:r>
      <w:r w:rsidR="00067DA0">
        <w:t>total</w:t>
      </w:r>
      <w:r w:rsidR="00067DA0">
        <w:rPr>
          <w:spacing w:val="-7"/>
        </w:rPr>
        <w:t xml:space="preserve"> </w:t>
      </w:r>
      <w:r w:rsidR="00067DA0">
        <w:t>expenditure</w:t>
      </w:r>
      <w:r w:rsidR="00067DA0">
        <w:rPr>
          <w:spacing w:val="-7"/>
        </w:rPr>
        <w:t xml:space="preserve"> </w:t>
      </w:r>
      <w:r w:rsidR="00067DA0">
        <w:t>per</w:t>
      </w:r>
      <w:r w:rsidR="00067DA0">
        <w:rPr>
          <w:spacing w:val="-7"/>
        </w:rPr>
        <w:t xml:space="preserve"> </w:t>
      </w:r>
      <w:r w:rsidR="004337B6">
        <w:t>recipient</w:t>
      </w:r>
      <w:r w:rsidR="00067DA0">
        <w:t xml:space="preserve"> per day </w:t>
      </w:r>
      <w:r w:rsidR="00E052BD">
        <w:t>has</w:t>
      </w:r>
      <w:r w:rsidR="001F2452">
        <w:t xml:space="preserve"> slightly</w:t>
      </w:r>
      <w:r w:rsidR="00E052BD">
        <w:t xml:space="preserve"> reduced for both for-profit</w:t>
      </w:r>
      <w:r w:rsidR="001F2452">
        <w:t xml:space="preserve"> (</w:t>
      </w:r>
      <w:r w:rsidR="007317D8">
        <w:t>a reduction of $1.</w:t>
      </w:r>
      <w:r w:rsidR="004F3C5E">
        <w:t>89</w:t>
      </w:r>
      <w:r w:rsidR="007317D8">
        <w:t xml:space="preserve"> per recipient per day)</w:t>
      </w:r>
      <w:r w:rsidR="007E2EE5">
        <w:t xml:space="preserve"> and not-for-profit</w:t>
      </w:r>
      <w:r w:rsidR="007317D8">
        <w:t xml:space="preserve"> (a reduction </w:t>
      </w:r>
      <w:r w:rsidR="00F97099">
        <w:t>of $1.15</w:t>
      </w:r>
      <w:r w:rsidR="0004582B">
        <w:t xml:space="preserve"> per recipient per day)</w:t>
      </w:r>
      <w:r w:rsidR="007E2EE5">
        <w:t xml:space="preserve"> providers </w:t>
      </w:r>
      <w:r w:rsidR="0032102A">
        <w:t>compared with 2020-21</w:t>
      </w:r>
      <w:r w:rsidR="00DC40CC">
        <w:t xml:space="preserve">. </w:t>
      </w:r>
      <w:r w:rsidR="00093F14">
        <w:t>R</w:t>
      </w:r>
      <w:r w:rsidR="00067DA0">
        <w:t xml:space="preserve">egional providers reported </w:t>
      </w:r>
      <w:proofErr w:type="gramStart"/>
      <w:r w:rsidR="00067DA0">
        <w:t>less</w:t>
      </w:r>
      <w:proofErr w:type="gramEnd"/>
      <w:r w:rsidR="00067DA0">
        <w:t xml:space="preserve"> average expense</w:t>
      </w:r>
      <w:r w:rsidR="00E05EF3">
        <w:t>s</w:t>
      </w:r>
      <w:r w:rsidR="00067DA0">
        <w:t xml:space="preserve"> per </w:t>
      </w:r>
      <w:r w:rsidR="000F29E0">
        <w:t>recipient</w:t>
      </w:r>
      <w:r w:rsidR="00067DA0">
        <w:t xml:space="preserve"> per day ($57.</w:t>
      </w:r>
      <w:r w:rsidR="000F29E0">
        <w:t>47</w:t>
      </w:r>
      <w:r w:rsidR="00067DA0">
        <w:t>)</w:t>
      </w:r>
      <w:r w:rsidR="00067DA0">
        <w:rPr>
          <w:spacing w:val="-11"/>
        </w:rPr>
        <w:t xml:space="preserve"> </w:t>
      </w:r>
      <w:r w:rsidR="00067DA0">
        <w:t>than</w:t>
      </w:r>
      <w:r w:rsidR="00067DA0">
        <w:rPr>
          <w:spacing w:val="-11"/>
        </w:rPr>
        <w:t xml:space="preserve"> </w:t>
      </w:r>
      <w:r w:rsidR="00067DA0">
        <w:t>their</w:t>
      </w:r>
      <w:r w:rsidR="00067DA0">
        <w:rPr>
          <w:spacing w:val="-11"/>
        </w:rPr>
        <w:t xml:space="preserve"> </w:t>
      </w:r>
      <w:r w:rsidR="00067DA0">
        <w:t>metropolitan</w:t>
      </w:r>
      <w:r w:rsidR="00067DA0">
        <w:rPr>
          <w:spacing w:val="-11"/>
        </w:rPr>
        <w:t xml:space="preserve"> </w:t>
      </w:r>
      <w:r w:rsidR="00067DA0">
        <w:t>counterparts</w:t>
      </w:r>
      <w:r w:rsidR="00067DA0">
        <w:rPr>
          <w:spacing w:val="-11"/>
        </w:rPr>
        <w:t xml:space="preserve"> </w:t>
      </w:r>
      <w:r w:rsidR="00067DA0">
        <w:t>($6</w:t>
      </w:r>
      <w:r w:rsidR="00A10BF8">
        <w:t>5.08</w:t>
      </w:r>
      <w:r w:rsidR="00067DA0">
        <w:t xml:space="preserve">). In terms of scale, single service providers once again recorded the highest expenses per </w:t>
      </w:r>
      <w:r w:rsidR="00AE05B9">
        <w:t xml:space="preserve">recipient </w:t>
      </w:r>
      <w:r w:rsidR="00067DA0">
        <w:t>per day with $6</w:t>
      </w:r>
      <w:r w:rsidR="00C04F6C">
        <w:t>4</w:t>
      </w:r>
      <w:r w:rsidR="00067DA0">
        <w:t>.</w:t>
      </w:r>
      <w:r w:rsidR="00771938">
        <w:t>7</w:t>
      </w:r>
      <w:r w:rsidR="00067DA0">
        <w:t>9 compared with larger scale providers ($6</w:t>
      </w:r>
      <w:r w:rsidR="00AD7F48">
        <w:t>3</w:t>
      </w:r>
      <w:r w:rsidR="00067DA0">
        <w:t>.0</w:t>
      </w:r>
      <w:r w:rsidR="000F468F">
        <w:t>1</w:t>
      </w:r>
      <w:r w:rsidR="00067DA0">
        <w:rPr>
          <w:spacing w:val="-6"/>
        </w:rPr>
        <w:t xml:space="preserve"> </w:t>
      </w:r>
      <w:r w:rsidR="00067DA0">
        <w:t>for</w:t>
      </w:r>
      <w:r w:rsidR="00067DA0">
        <w:rPr>
          <w:spacing w:val="-6"/>
        </w:rPr>
        <w:t xml:space="preserve"> </w:t>
      </w:r>
      <w:r w:rsidR="00067DA0">
        <w:t>two</w:t>
      </w:r>
      <w:r w:rsidR="00067DA0">
        <w:rPr>
          <w:spacing w:val="-6"/>
        </w:rPr>
        <w:t xml:space="preserve"> </w:t>
      </w:r>
      <w:r w:rsidR="00067DA0">
        <w:t>to</w:t>
      </w:r>
      <w:r w:rsidR="00067DA0">
        <w:rPr>
          <w:spacing w:val="-6"/>
        </w:rPr>
        <w:t xml:space="preserve"> </w:t>
      </w:r>
      <w:r w:rsidR="00067DA0">
        <w:t>six</w:t>
      </w:r>
      <w:r w:rsidR="00067DA0">
        <w:rPr>
          <w:spacing w:val="-6"/>
        </w:rPr>
        <w:t xml:space="preserve"> </w:t>
      </w:r>
      <w:r w:rsidR="00067DA0">
        <w:t>services</w:t>
      </w:r>
      <w:r w:rsidR="00067DA0">
        <w:rPr>
          <w:spacing w:val="-6"/>
        </w:rPr>
        <w:t xml:space="preserve"> </w:t>
      </w:r>
      <w:r w:rsidR="00067DA0">
        <w:t>and</w:t>
      </w:r>
      <w:r w:rsidR="00067DA0">
        <w:rPr>
          <w:spacing w:val="-6"/>
        </w:rPr>
        <w:t xml:space="preserve"> </w:t>
      </w:r>
      <w:r w:rsidR="00067DA0">
        <w:t>$6</w:t>
      </w:r>
      <w:r w:rsidR="000F468F">
        <w:t>2</w:t>
      </w:r>
      <w:r w:rsidR="00067DA0">
        <w:t>.</w:t>
      </w:r>
      <w:r w:rsidR="000F468F">
        <w:t>08</w:t>
      </w:r>
      <w:r w:rsidR="00067DA0">
        <w:rPr>
          <w:spacing w:val="-6"/>
        </w:rPr>
        <w:t xml:space="preserve"> </w:t>
      </w:r>
      <w:r w:rsidR="00067DA0">
        <w:t>for</w:t>
      </w:r>
      <w:r w:rsidR="00067DA0">
        <w:rPr>
          <w:spacing w:val="-6"/>
        </w:rPr>
        <w:t xml:space="preserve"> </w:t>
      </w:r>
      <w:r w:rsidR="00067DA0">
        <w:t>providers with seven or more services).</w:t>
      </w:r>
      <w:bookmarkStart w:id="37" w:name="_Ref139547788"/>
      <w:r w:rsidR="0041156A">
        <w:br w:type="page"/>
      </w:r>
    </w:p>
    <w:p w14:paraId="385C2C32" w14:textId="65E3B215" w:rsidR="00054A51" w:rsidRPr="00054A51" w:rsidRDefault="00054A51" w:rsidP="00054A51">
      <w:pPr>
        <w:pStyle w:val="Caption"/>
      </w:pPr>
      <w:bookmarkStart w:id="38" w:name="_Toc149245269"/>
      <w:r>
        <w:lastRenderedPageBreak/>
        <w:t xml:space="preserve">Table </w:t>
      </w:r>
      <w:r>
        <w:fldChar w:fldCharType="begin"/>
      </w:r>
      <w:r>
        <w:instrText>STYLEREF 1 \s</w:instrText>
      </w:r>
      <w:r>
        <w:fldChar w:fldCharType="separate"/>
      </w:r>
      <w:r w:rsidR="00294B02">
        <w:rPr>
          <w:noProof/>
        </w:rPr>
        <w:t>1</w:t>
      </w:r>
      <w:r>
        <w:fldChar w:fldCharType="end"/>
      </w:r>
      <w:r w:rsidR="002E758C">
        <w:t>.</w:t>
      </w:r>
      <w:r>
        <w:fldChar w:fldCharType="begin"/>
      </w:r>
      <w:r>
        <w:instrText>SEQ Table \* ARABIC \s 1</w:instrText>
      </w:r>
      <w:r>
        <w:fldChar w:fldCharType="separate"/>
      </w:r>
      <w:r w:rsidR="00294B02">
        <w:rPr>
          <w:noProof/>
        </w:rPr>
        <w:t>6</w:t>
      </w:r>
      <w:r>
        <w:fldChar w:fldCharType="end"/>
      </w:r>
      <w:bookmarkEnd w:id="37"/>
      <w:r>
        <w:t xml:space="preserve">: </w:t>
      </w:r>
      <w:r w:rsidRPr="0017163E">
        <w:t xml:space="preserve">Home care expenditure per recipient per day, by ownership type, </w:t>
      </w:r>
      <w:proofErr w:type="gramStart"/>
      <w:r w:rsidRPr="0017163E">
        <w:t>location</w:t>
      </w:r>
      <w:proofErr w:type="gramEnd"/>
      <w:r w:rsidRPr="0017163E">
        <w:t xml:space="preserve"> and scale, 2021-22</w:t>
      </w:r>
      <w:bookmarkEnd w:id="38"/>
    </w:p>
    <w:tbl>
      <w:tblPr>
        <w:tblStyle w:val="DepartmentofHealthtable"/>
        <w:tblW w:w="9201" w:type="dxa"/>
        <w:tblLook w:val="04A0" w:firstRow="1" w:lastRow="0" w:firstColumn="1" w:lastColumn="0" w:noHBand="0" w:noVBand="1"/>
      </w:tblPr>
      <w:tblGrid>
        <w:gridCol w:w="2001"/>
        <w:gridCol w:w="1200"/>
        <w:gridCol w:w="1200"/>
        <w:gridCol w:w="1450"/>
        <w:gridCol w:w="1200"/>
        <w:gridCol w:w="1200"/>
        <w:gridCol w:w="1200"/>
      </w:tblGrid>
      <w:tr w:rsidR="00EE7B0A" w:rsidRPr="00654595" w14:paraId="48EF1C68" w14:textId="77777777" w:rsidTr="00774763">
        <w:trPr>
          <w:cnfStyle w:val="100000000000" w:firstRow="1" w:lastRow="0" w:firstColumn="0" w:lastColumn="0" w:oddVBand="0" w:evenVBand="0" w:oddHBand="0" w:evenHBand="0" w:firstRowFirstColumn="0" w:firstRowLastColumn="0" w:lastRowFirstColumn="0" w:lastRowLastColumn="0"/>
          <w:trHeight w:val="892"/>
        </w:trPr>
        <w:tc>
          <w:tcPr>
            <w:cnfStyle w:val="001000000000" w:firstRow="0" w:lastRow="0" w:firstColumn="1" w:lastColumn="0" w:oddVBand="0" w:evenVBand="0" w:oddHBand="0" w:evenHBand="0" w:firstRowFirstColumn="0" w:firstRowLastColumn="0" w:lastRowFirstColumn="0" w:lastRowLastColumn="0"/>
            <w:tcW w:w="2001" w:type="dxa"/>
            <w:hideMark/>
          </w:tcPr>
          <w:p w14:paraId="28510742" w14:textId="77777777" w:rsidR="00654595" w:rsidRPr="00654595" w:rsidRDefault="00654595" w:rsidP="000F2921">
            <w:pPr>
              <w:pStyle w:val="TableHeaderWhite"/>
              <w:rPr>
                <w:lang w:eastAsia="en-AU"/>
              </w:rPr>
            </w:pPr>
            <w:r w:rsidRPr="00654595">
              <w:rPr>
                <w:lang w:eastAsia="en-AU"/>
              </w:rPr>
              <w:t> </w:t>
            </w:r>
          </w:p>
        </w:tc>
        <w:tc>
          <w:tcPr>
            <w:tcW w:w="1200" w:type="dxa"/>
            <w:hideMark/>
          </w:tcPr>
          <w:p w14:paraId="47903D0D" w14:textId="5EC9C1DB" w:rsidR="00654595" w:rsidRPr="00654595" w:rsidRDefault="00654595" w:rsidP="000F2921">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654595">
              <w:rPr>
                <w:lang w:eastAsia="en-AU"/>
              </w:rPr>
              <w:t xml:space="preserve">Internal Direct </w:t>
            </w:r>
            <w:r w:rsidRPr="00EE7B0A">
              <w:rPr>
                <w:lang w:eastAsia="en-AU"/>
              </w:rPr>
              <w:t>c</w:t>
            </w:r>
            <w:r w:rsidRPr="00654595">
              <w:rPr>
                <w:lang w:eastAsia="en-AU"/>
              </w:rPr>
              <w:t xml:space="preserve">are </w:t>
            </w:r>
            <w:r w:rsidRPr="00EE7B0A">
              <w:rPr>
                <w:lang w:eastAsia="en-AU"/>
              </w:rPr>
              <w:t>s</w:t>
            </w:r>
            <w:r w:rsidRPr="00654595">
              <w:rPr>
                <w:lang w:eastAsia="en-AU"/>
              </w:rPr>
              <w:t xml:space="preserve">ervice </w:t>
            </w:r>
            <w:r w:rsidRPr="00EE7B0A">
              <w:rPr>
                <w:lang w:eastAsia="en-AU"/>
              </w:rPr>
              <w:t>e</w:t>
            </w:r>
            <w:r w:rsidRPr="00654595">
              <w:rPr>
                <w:lang w:eastAsia="en-AU"/>
              </w:rPr>
              <w:t>xpenses</w:t>
            </w:r>
          </w:p>
        </w:tc>
        <w:tc>
          <w:tcPr>
            <w:tcW w:w="1200" w:type="dxa"/>
            <w:hideMark/>
          </w:tcPr>
          <w:p w14:paraId="0382FFE8" w14:textId="66CDFFCC" w:rsidR="00654595" w:rsidRPr="00654595" w:rsidRDefault="00654595" w:rsidP="000F2921">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654595">
              <w:rPr>
                <w:lang w:eastAsia="en-AU"/>
              </w:rPr>
              <w:t xml:space="preserve">External Direct </w:t>
            </w:r>
            <w:r w:rsidRPr="00EE7B0A">
              <w:rPr>
                <w:lang w:eastAsia="en-AU"/>
              </w:rPr>
              <w:t>c</w:t>
            </w:r>
            <w:r w:rsidRPr="00654595">
              <w:rPr>
                <w:lang w:eastAsia="en-AU"/>
              </w:rPr>
              <w:t xml:space="preserve">are </w:t>
            </w:r>
            <w:r w:rsidRPr="00EE7B0A">
              <w:rPr>
                <w:lang w:eastAsia="en-AU"/>
              </w:rPr>
              <w:t>s</w:t>
            </w:r>
            <w:r w:rsidRPr="00654595">
              <w:rPr>
                <w:lang w:eastAsia="en-AU"/>
              </w:rPr>
              <w:t xml:space="preserve">ervice </w:t>
            </w:r>
            <w:r w:rsidRPr="00EE7B0A">
              <w:rPr>
                <w:lang w:eastAsia="en-AU"/>
              </w:rPr>
              <w:t>e</w:t>
            </w:r>
            <w:r w:rsidRPr="00654595">
              <w:rPr>
                <w:lang w:eastAsia="en-AU"/>
              </w:rPr>
              <w:t>xpenses</w:t>
            </w:r>
          </w:p>
        </w:tc>
        <w:tc>
          <w:tcPr>
            <w:tcW w:w="1200" w:type="dxa"/>
            <w:hideMark/>
          </w:tcPr>
          <w:p w14:paraId="53A01523" w14:textId="0D4598D2" w:rsidR="00654595" w:rsidRPr="00654595" w:rsidRDefault="00654595" w:rsidP="000F2921">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654595">
              <w:rPr>
                <w:lang w:eastAsia="en-AU"/>
              </w:rPr>
              <w:t xml:space="preserve">Care </w:t>
            </w:r>
            <w:r w:rsidRPr="00EE7B0A">
              <w:rPr>
                <w:lang w:eastAsia="en-AU"/>
              </w:rPr>
              <w:t>m</w:t>
            </w:r>
            <w:r w:rsidRPr="00654595">
              <w:rPr>
                <w:lang w:eastAsia="en-AU"/>
              </w:rPr>
              <w:t xml:space="preserve">anagement </w:t>
            </w:r>
            <w:r w:rsidRPr="00EE7B0A">
              <w:rPr>
                <w:lang w:eastAsia="en-AU"/>
              </w:rPr>
              <w:t>e</w:t>
            </w:r>
            <w:r w:rsidRPr="00654595">
              <w:rPr>
                <w:lang w:eastAsia="en-AU"/>
              </w:rPr>
              <w:t>xpenses</w:t>
            </w:r>
          </w:p>
        </w:tc>
        <w:tc>
          <w:tcPr>
            <w:tcW w:w="1200" w:type="dxa"/>
            <w:hideMark/>
          </w:tcPr>
          <w:p w14:paraId="3F57BFD9" w14:textId="0FC6AE98" w:rsidR="00654595" w:rsidRPr="00654595" w:rsidRDefault="00654595" w:rsidP="000F2921">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654595">
              <w:rPr>
                <w:lang w:eastAsia="en-AU"/>
              </w:rPr>
              <w:t xml:space="preserve">Admin </w:t>
            </w:r>
            <w:r w:rsidRPr="00EE7B0A">
              <w:rPr>
                <w:lang w:eastAsia="en-AU"/>
              </w:rPr>
              <w:t>c</w:t>
            </w:r>
            <w:r w:rsidRPr="00654595">
              <w:rPr>
                <w:lang w:eastAsia="en-AU"/>
              </w:rPr>
              <w:t xml:space="preserve">osts and </w:t>
            </w:r>
            <w:r w:rsidR="0042709B" w:rsidRPr="00EE7B0A">
              <w:rPr>
                <w:lang w:eastAsia="en-AU"/>
              </w:rPr>
              <w:t>s</w:t>
            </w:r>
            <w:r w:rsidRPr="00654595">
              <w:rPr>
                <w:lang w:eastAsia="en-AU"/>
              </w:rPr>
              <w:t>upport expenses</w:t>
            </w:r>
          </w:p>
        </w:tc>
        <w:tc>
          <w:tcPr>
            <w:tcW w:w="1200" w:type="dxa"/>
            <w:hideMark/>
          </w:tcPr>
          <w:p w14:paraId="2467C365" w14:textId="77777777" w:rsidR="00654595" w:rsidRPr="00654595" w:rsidRDefault="00654595" w:rsidP="000F2921">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654595">
              <w:rPr>
                <w:lang w:eastAsia="en-AU"/>
              </w:rPr>
              <w:t>Other expenses and non-direct costs</w:t>
            </w:r>
          </w:p>
        </w:tc>
        <w:tc>
          <w:tcPr>
            <w:tcW w:w="1200" w:type="dxa"/>
            <w:hideMark/>
          </w:tcPr>
          <w:p w14:paraId="3BBFD22F" w14:textId="77777777" w:rsidR="00654595" w:rsidRPr="00654595" w:rsidRDefault="00654595" w:rsidP="000F2921">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654595">
              <w:rPr>
                <w:lang w:eastAsia="en-AU"/>
              </w:rPr>
              <w:t>Total</w:t>
            </w:r>
          </w:p>
        </w:tc>
      </w:tr>
      <w:tr w:rsidR="00654595" w:rsidRPr="00654595" w14:paraId="3FCABD44" w14:textId="77777777" w:rsidTr="00774763">
        <w:trPr>
          <w:trHeight w:val="338"/>
        </w:trPr>
        <w:tc>
          <w:tcPr>
            <w:cnfStyle w:val="001000000000" w:firstRow="0" w:lastRow="0" w:firstColumn="1" w:lastColumn="0" w:oddVBand="0" w:evenVBand="0" w:oddHBand="0" w:evenHBand="0" w:firstRowFirstColumn="0" w:firstRowLastColumn="0" w:lastRowFirstColumn="0" w:lastRowLastColumn="0"/>
            <w:tcW w:w="2001" w:type="dxa"/>
            <w:shd w:val="clear" w:color="auto" w:fill="D8DBDB" w:themeFill="background2" w:themeFillShade="E6"/>
            <w:noWrap/>
            <w:hideMark/>
          </w:tcPr>
          <w:p w14:paraId="182198A0" w14:textId="77777777" w:rsidR="00654595" w:rsidRPr="00654595" w:rsidRDefault="00654595" w:rsidP="000F2921">
            <w:pPr>
              <w:pStyle w:val="TableParagraphbold"/>
              <w:rPr>
                <w:lang w:eastAsia="en-AU"/>
              </w:rPr>
            </w:pPr>
            <w:r w:rsidRPr="00654595">
              <w:rPr>
                <w:lang w:eastAsia="en-AU"/>
              </w:rPr>
              <w:t>Ownership</w:t>
            </w:r>
          </w:p>
        </w:tc>
        <w:tc>
          <w:tcPr>
            <w:tcW w:w="1200" w:type="dxa"/>
            <w:shd w:val="clear" w:color="auto" w:fill="D8DBDB" w:themeFill="background2" w:themeFillShade="E6"/>
            <w:noWrap/>
            <w:hideMark/>
          </w:tcPr>
          <w:p w14:paraId="5BE8F99B"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13BC9417"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4489F598"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7B9FADBE"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37D956F2"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27E964BF"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r>
      <w:tr w:rsidR="00654595" w:rsidRPr="00654595" w14:paraId="31E3FCDB"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noWrap/>
            <w:hideMark/>
          </w:tcPr>
          <w:p w14:paraId="5FCBB749" w14:textId="02BA1ED0" w:rsidR="00654595" w:rsidRPr="00654595" w:rsidRDefault="00654595" w:rsidP="000F2921">
            <w:pPr>
              <w:pStyle w:val="TableofAuthorities"/>
              <w:rPr>
                <w:lang w:eastAsia="en-AU"/>
              </w:rPr>
            </w:pPr>
            <w:r w:rsidRPr="00654595">
              <w:rPr>
                <w:lang w:eastAsia="en-AU"/>
              </w:rPr>
              <w:t>For</w:t>
            </w:r>
            <w:r w:rsidR="0042709B" w:rsidRPr="009E43BC">
              <w:rPr>
                <w:lang w:eastAsia="en-AU"/>
              </w:rPr>
              <w:t>-</w:t>
            </w:r>
            <w:r w:rsidRPr="00654595">
              <w:rPr>
                <w:lang w:eastAsia="en-AU"/>
              </w:rPr>
              <w:t>profit</w:t>
            </w:r>
          </w:p>
        </w:tc>
        <w:tc>
          <w:tcPr>
            <w:tcW w:w="1200" w:type="dxa"/>
            <w:noWrap/>
            <w:hideMark/>
          </w:tcPr>
          <w:p w14:paraId="254366B4"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$19.85</w:t>
            </w:r>
          </w:p>
        </w:tc>
        <w:tc>
          <w:tcPr>
            <w:tcW w:w="1200" w:type="dxa"/>
            <w:noWrap/>
            <w:hideMark/>
          </w:tcPr>
          <w:p w14:paraId="25C7D28C"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$23.28</w:t>
            </w:r>
          </w:p>
        </w:tc>
        <w:tc>
          <w:tcPr>
            <w:tcW w:w="1200" w:type="dxa"/>
            <w:noWrap/>
            <w:hideMark/>
          </w:tcPr>
          <w:p w14:paraId="7DE4FF73"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$6.15</w:t>
            </w:r>
          </w:p>
        </w:tc>
        <w:tc>
          <w:tcPr>
            <w:tcW w:w="1200" w:type="dxa"/>
            <w:noWrap/>
            <w:hideMark/>
          </w:tcPr>
          <w:p w14:paraId="5528E0A1"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$11.89</w:t>
            </w:r>
          </w:p>
        </w:tc>
        <w:tc>
          <w:tcPr>
            <w:tcW w:w="1200" w:type="dxa"/>
            <w:noWrap/>
            <w:hideMark/>
          </w:tcPr>
          <w:p w14:paraId="1C3E5216"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$2.27</w:t>
            </w:r>
          </w:p>
        </w:tc>
        <w:tc>
          <w:tcPr>
            <w:tcW w:w="1200" w:type="dxa"/>
            <w:noWrap/>
            <w:hideMark/>
          </w:tcPr>
          <w:p w14:paraId="1DDFE86A"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$63.45</w:t>
            </w:r>
          </w:p>
        </w:tc>
      </w:tr>
      <w:tr w:rsidR="00654595" w:rsidRPr="00654595" w14:paraId="77C3D49C"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noWrap/>
            <w:hideMark/>
          </w:tcPr>
          <w:p w14:paraId="126828F1" w14:textId="391BBB1A" w:rsidR="00654595" w:rsidRPr="00654595" w:rsidRDefault="00654595" w:rsidP="000F2921">
            <w:pPr>
              <w:pStyle w:val="TableofAuthorities"/>
              <w:rPr>
                <w:lang w:eastAsia="en-AU"/>
              </w:rPr>
            </w:pPr>
            <w:r w:rsidRPr="00654595">
              <w:rPr>
                <w:lang w:eastAsia="en-AU"/>
              </w:rPr>
              <w:t>Not</w:t>
            </w:r>
            <w:r w:rsidR="0042709B" w:rsidRPr="009E43BC">
              <w:rPr>
                <w:lang w:eastAsia="en-AU"/>
              </w:rPr>
              <w:t>-</w:t>
            </w:r>
            <w:r w:rsidRPr="00654595">
              <w:rPr>
                <w:lang w:eastAsia="en-AU"/>
              </w:rPr>
              <w:t>for</w:t>
            </w:r>
            <w:r w:rsidR="0042709B" w:rsidRPr="009E43BC">
              <w:rPr>
                <w:lang w:eastAsia="en-AU"/>
              </w:rPr>
              <w:t>-</w:t>
            </w:r>
            <w:r w:rsidRPr="00654595">
              <w:rPr>
                <w:lang w:eastAsia="en-AU"/>
              </w:rPr>
              <w:t>profit</w:t>
            </w:r>
          </w:p>
        </w:tc>
        <w:tc>
          <w:tcPr>
            <w:tcW w:w="1200" w:type="dxa"/>
            <w:noWrap/>
            <w:hideMark/>
          </w:tcPr>
          <w:p w14:paraId="40F74EB0"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$22.03</w:t>
            </w:r>
          </w:p>
        </w:tc>
        <w:tc>
          <w:tcPr>
            <w:tcW w:w="1200" w:type="dxa"/>
            <w:noWrap/>
            <w:hideMark/>
          </w:tcPr>
          <w:p w14:paraId="6A92850F"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$16.82</w:t>
            </w:r>
          </w:p>
        </w:tc>
        <w:tc>
          <w:tcPr>
            <w:tcW w:w="1200" w:type="dxa"/>
            <w:noWrap/>
            <w:hideMark/>
          </w:tcPr>
          <w:p w14:paraId="12078976"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$7.56</w:t>
            </w:r>
          </w:p>
        </w:tc>
        <w:tc>
          <w:tcPr>
            <w:tcW w:w="1200" w:type="dxa"/>
            <w:noWrap/>
            <w:hideMark/>
          </w:tcPr>
          <w:p w14:paraId="463134C1"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$14.56</w:t>
            </w:r>
          </w:p>
        </w:tc>
        <w:tc>
          <w:tcPr>
            <w:tcW w:w="1200" w:type="dxa"/>
            <w:noWrap/>
            <w:hideMark/>
          </w:tcPr>
          <w:p w14:paraId="68C1B57D"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$2.36</w:t>
            </w:r>
          </w:p>
        </w:tc>
        <w:tc>
          <w:tcPr>
            <w:tcW w:w="1200" w:type="dxa"/>
            <w:noWrap/>
            <w:hideMark/>
          </w:tcPr>
          <w:p w14:paraId="6A5C7365"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$63.34</w:t>
            </w:r>
          </w:p>
        </w:tc>
      </w:tr>
      <w:tr w:rsidR="00654595" w:rsidRPr="00654595" w14:paraId="0854870B"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noWrap/>
            <w:hideMark/>
          </w:tcPr>
          <w:p w14:paraId="2EC06C98" w14:textId="77777777" w:rsidR="00654595" w:rsidRPr="00654595" w:rsidRDefault="00654595" w:rsidP="000F2921">
            <w:pPr>
              <w:pStyle w:val="TableofAuthorities"/>
              <w:rPr>
                <w:lang w:eastAsia="en-AU"/>
              </w:rPr>
            </w:pPr>
            <w:r w:rsidRPr="00654595">
              <w:rPr>
                <w:lang w:eastAsia="en-AU"/>
              </w:rPr>
              <w:t>LST government</w:t>
            </w:r>
          </w:p>
        </w:tc>
        <w:tc>
          <w:tcPr>
            <w:tcW w:w="1200" w:type="dxa"/>
            <w:noWrap/>
            <w:hideMark/>
          </w:tcPr>
          <w:p w14:paraId="2712C9E1"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$13.14</w:t>
            </w:r>
          </w:p>
        </w:tc>
        <w:tc>
          <w:tcPr>
            <w:tcW w:w="1200" w:type="dxa"/>
            <w:noWrap/>
            <w:hideMark/>
          </w:tcPr>
          <w:p w14:paraId="16D77B3B"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$24.71</w:t>
            </w:r>
          </w:p>
        </w:tc>
        <w:tc>
          <w:tcPr>
            <w:tcW w:w="1200" w:type="dxa"/>
            <w:noWrap/>
            <w:hideMark/>
          </w:tcPr>
          <w:p w14:paraId="639F4CA4"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$9.79</w:t>
            </w:r>
          </w:p>
        </w:tc>
        <w:tc>
          <w:tcPr>
            <w:tcW w:w="1200" w:type="dxa"/>
            <w:noWrap/>
            <w:hideMark/>
          </w:tcPr>
          <w:p w14:paraId="714C10FB"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$11.10</w:t>
            </w:r>
          </w:p>
        </w:tc>
        <w:tc>
          <w:tcPr>
            <w:tcW w:w="1200" w:type="dxa"/>
            <w:noWrap/>
            <w:hideMark/>
          </w:tcPr>
          <w:p w14:paraId="0E34727C"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$0.97</w:t>
            </w:r>
          </w:p>
        </w:tc>
        <w:tc>
          <w:tcPr>
            <w:tcW w:w="1200" w:type="dxa"/>
            <w:noWrap/>
            <w:hideMark/>
          </w:tcPr>
          <w:p w14:paraId="0D18B7EC"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$59.71</w:t>
            </w:r>
          </w:p>
        </w:tc>
      </w:tr>
      <w:tr w:rsidR="00654595" w:rsidRPr="00654595" w14:paraId="39409256"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shd w:val="clear" w:color="auto" w:fill="D8DBDB" w:themeFill="background2" w:themeFillShade="E6"/>
            <w:noWrap/>
            <w:hideMark/>
          </w:tcPr>
          <w:p w14:paraId="2DCD6E37" w14:textId="77777777" w:rsidR="00654595" w:rsidRPr="00654595" w:rsidRDefault="00654595" w:rsidP="000F2921">
            <w:pPr>
              <w:pStyle w:val="TableParagraphbold"/>
              <w:rPr>
                <w:lang w:eastAsia="en-AU"/>
              </w:rPr>
            </w:pPr>
            <w:r w:rsidRPr="00654595">
              <w:rPr>
                <w:lang w:eastAsia="en-AU"/>
              </w:rPr>
              <w:t>Location</w:t>
            </w:r>
          </w:p>
        </w:tc>
        <w:tc>
          <w:tcPr>
            <w:tcW w:w="1200" w:type="dxa"/>
            <w:shd w:val="clear" w:color="auto" w:fill="D8DBDB" w:themeFill="background2" w:themeFillShade="E6"/>
            <w:noWrap/>
            <w:hideMark/>
          </w:tcPr>
          <w:p w14:paraId="3D09F6D1"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424E8AAA"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5A2A7452"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29BD6274"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6176CEDC"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25EABC25"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r>
      <w:tr w:rsidR="00654595" w:rsidRPr="00654595" w14:paraId="11784835"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noWrap/>
            <w:hideMark/>
          </w:tcPr>
          <w:p w14:paraId="7D3ABE3C" w14:textId="77777777" w:rsidR="00654595" w:rsidRPr="00654595" w:rsidRDefault="00654595" w:rsidP="000F2921">
            <w:pPr>
              <w:pStyle w:val="TableofAuthorities"/>
              <w:rPr>
                <w:lang w:eastAsia="en-AU"/>
              </w:rPr>
            </w:pPr>
            <w:r w:rsidRPr="00654595">
              <w:rPr>
                <w:lang w:eastAsia="en-AU"/>
              </w:rPr>
              <w:t>Metropolitan</w:t>
            </w:r>
          </w:p>
        </w:tc>
        <w:tc>
          <w:tcPr>
            <w:tcW w:w="1200" w:type="dxa"/>
            <w:noWrap/>
            <w:hideMark/>
          </w:tcPr>
          <w:p w14:paraId="51A1118F"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$20.49</w:t>
            </w:r>
          </w:p>
        </w:tc>
        <w:tc>
          <w:tcPr>
            <w:tcW w:w="1200" w:type="dxa"/>
            <w:noWrap/>
            <w:hideMark/>
          </w:tcPr>
          <w:p w14:paraId="2B2B8E44"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$21.26</w:t>
            </w:r>
          </w:p>
        </w:tc>
        <w:tc>
          <w:tcPr>
            <w:tcW w:w="1200" w:type="dxa"/>
            <w:noWrap/>
            <w:hideMark/>
          </w:tcPr>
          <w:p w14:paraId="40FD8F16"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$7.13</w:t>
            </w:r>
          </w:p>
        </w:tc>
        <w:tc>
          <w:tcPr>
            <w:tcW w:w="1200" w:type="dxa"/>
            <w:noWrap/>
            <w:hideMark/>
          </w:tcPr>
          <w:p w14:paraId="5A67044D"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$13.88</w:t>
            </w:r>
          </w:p>
        </w:tc>
        <w:tc>
          <w:tcPr>
            <w:tcW w:w="1200" w:type="dxa"/>
            <w:noWrap/>
            <w:hideMark/>
          </w:tcPr>
          <w:p w14:paraId="3D1CD87D"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$2.31</w:t>
            </w:r>
          </w:p>
        </w:tc>
        <w:tc>
          <w:tcPr>
            <w:tcW w:w="1200" w:type="dxa"/>
            <w:noWrap/>
            <w:hideMark/>
          </w:tcPr>
          <w:p w14:paraId="16A9F713"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$65.08</w:t>
            </w:r>
          </w:p>
        </w:tc>
      </w:tr>
      <w:tr w:rsidR="00654595" w:rsidRPr="00654595" w14:paraId="02A06035"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noWrap/>
            <w:hideMark/>
          </w:tcPr>
          <w:p w14:paraId="4E76C47D" w14:textId="77777777" w:rsidR="00654595" w:rsidRPr="00654595" w:rsidRDefault="00654595" w:rsidP="000F2921">
            <w:pPr>
              <w:pStyle w:val="TableofAuthorities"/>
              <w:rPr>
                <w:lang w:eastAsia="en-AU"/>
              </w:rPr>
            </w:pPr>
            <w:r w:rsidRPr="00654595">
              <w:rPr>
                <w:lang w:eastAsia="en-AU"/>
              </w:rPr>
              <w:t>Regional</w:t>
            </w:r>
          </w:p>
        </w:tc>
        <w:tc>
          <w:tcPr>
            <w:tcW w:w="1200" w:type="dxa"/>
            <w:noWrap/>
            <w:hideMark/>
          </w:tcPr>
          <w:p w14:paraId="3D5CC1D5"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$20.16</w:t>
            </w:r>
          </w:p>
        </w:tc>
        <w:tc>
          <w:tcPr>
            <w:tcW w:w="1200" w:type="dxa"/>
            <w:noWrap/>
            <w:hideMark/>
          </w:tcPr>
          <w:p w14:paraId="2A84DABA"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$15.29</w:t>
            </w:r>
          </w:p>
        </w:tc>
        <w:tc>
          <w:tcPr>
            <w:tcW w:w="1200" w:type="dxa"/>
            <w:noWrap/>
            <w:hideMark/>
          </w:tcPr>
          <w:p w14:paraId="45C7DCF3"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$7.93</w:t>
            </w:r>
          </w:p>
        </w:tc>
        <w:tc>
          <w:tcPr>
            <w:tcW w:w="1200" w:type="dxa"/>
            <w:noWrap/>
            <w:hideMark/>
          </w:tcPr>
          <w:p w14:paraId="1F7425C7"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$12.19</w:t>
            </w:r>
          </w:p>
        </w:tc>
        <w:tc>
          <w:tcPr>
            <w:tcW w:w="1200" w:type="dxa"/>
            <w:noWrap/>
            <w:hideMark/>
          </w:tcPr>
          <w:p w14:paraId="45DA126B"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$1.89</w:t>
            </w:r>
          </w:p>
        </w:tc>
        <w:tc>
          <w:tcPr>
            <w:tcW w:w="1200" w:type="dxa"/>
            <w:noWrap/>
            <w:hideMark/>
          </w:tcPr>
          <w:p w14:paraId="5A016584"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$57.47</w:t>
            </w:r>
          </w:p>
        </w:tc>
      </w:tr>
      <w:tr w:rsidR="00654595" w:rsidRPr="00654595" w14:paraId="13E40855"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noWrap/>
            <w:hideMark/>
          </w:tcPr>
          <w:p w14:paraId="5D979044" w14:textId="41C093AA" w:rsidR="00654595" w:rsidRPr="00654595" w:rsidRDefault="00654595" w:rsidP="000F2921">
            <w:pPr>
              <w:pStyle w:val="TableofAuthorities"/>
              <w:rPr>
                <w:lang w:eastAsia="en-AU"/>
              </w:rPr>
            </w:pPr>
            <w:r w:rsidRPr="00654595">
              <w:rPr>
                <w:lang w:eastAsia="en-AU"/>
              </w:rPr>
              <w:t xml:space="preserve">Metropolitan and </w:t>
            </w:r>
            <w:r w:rsidR="0042709B" w:rsidRPr="009E43BC">
              <w:rPr>
                <w:lang w:eastAsia="en-AU"/>
              </w:rPr>
              <w:t>r</w:t>
            </w:r>
            <w:r w:rsidRPr="00654595">
              <w:rPr>
                <w:lang w:eastAsia="en-AU"/>
              </w:rPr>
              <w:t>egional</w:t>
            </w:r>
          </w:p>
        </w:tc>
        <w:tc>
          <w:tcPr>
            <w:tcW w:w="1200" w:type="dxa"/>
            <w:noWrap/>
            <w:hideMark/>
          </w:tcPr>
          <w:p w14:paraId="1A8677B2"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$22.68</w:t>
            </w:r>
          </w:p>
        </w:tc>
        <w:tc>
          <w:tcPr>
            <w:tcW w:w="1200" w:type="dxa"/>
            <w:noWrap/>
            <w:hideMark/>
          </w:tcPr>
          <w:p w14:paraId="33AA9CDD"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$16.83</w:t>
            </w:r>
          </w:p>
        </w:tc>
        <w:tc>
          <w:tcPr>
            <w:tcW w:w="1200" w:type="dxa"/>
            <w:noWrap/>
            <w:hideMark/>
          </w:tcPr>
          <w:p w14:paraId="3350A2C7"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$6.88</w:t>
            </w:r>
          </w:p>
        </w:tc>
        <w:tc>
          <w:tcPr>
            <w:tcW w:w="1200" w:type="dxa"/>
            <w:noWrap/>
            <w:hideMark/>
          </w:tcPr>
          <w:p w14:paraId="378173A0"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$13.55</w:t>
            </w:r>
          </w:p>
        </w:tc>
        <w:tc>
          <w:tcPr>
            <w:tcW w:w="1200" w:type="dxa"/>
            <w:noWrap/>
            <w:hideMark/>
          </w:tcPr>
          <w:p w14:paraId="7C3D97F7"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$2.41</w:t>
            </w:r>
          </w:p>
        </w:tc>
        <w:tc>
          <w:tcPr>
            <w:tcW w:w="1200" w:type="dxa"/>
            <w:noWrap/>
            <w:hideMark/>
          </w:tcPr>
          <w:p w14:paraId="61FBCC93"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$62.35</w:t>
            </w:r>
          </w:p>
        </w:tc>
      </w:tr>
      <w:tr w:rsidR="00654595" w:rsidRPr="00654595" w14:paraId="705F1270"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shd w:val="clear" w:color="auto" w:fill="D8DBDB" w:themeFill="background2" w:themeFillShade="E6"/>
            <w:noWrap/>
            <w:hideMark/>
          </w:tcPr>
          <w:p w14:paraId="2E20720E" w14:textId="77777777" w:rsidR="00654595" w:rsidRPr="00654595" w:rsidRDefault="00654595" w:rsidP="000F2921">
            <w:pPr>
              <w:pStyle w:val="TableParagraphbold"/>
              <w:rPr>
                <w:lang w:eastAsia="en-AU"/>
              </w:rPr>
            </w:pPr>
            <w:r w:rsidRPr="00654595">
              <w:rPr>
                <w:lang w:eastAsia="en-AU"/>
              </w:rPr>
              <w:t>Scale</w:t>
            </w:r>
          </w:p>
        </w:tc>
        <w:tc>
          <w:tcPr>
            <w:tcW w:w="1200" w:type="dxa"/>
            <w:shd w:val="clear" w:color="auto" w:fill="D8DBDB" w:themeFill="background2" w:themeFillShade="E6"/>
            <w:noWrap/>
            <w:hideMark/>
          </w:tcPr>
          <w:p w14:paraId="2DC46060"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61B1FBD2"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041682EE"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6EA99D8E"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7C0E3A28"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c>
          <w:tcPr>
            <w:tcW w:w="1200" w:type="dxa"/>
            <w:shd w:val="clear" w:color="auto" w:fill="D8DBDB" w:themeFill="background2" w:themeFillShade="E6"/>
            <w:noWrap/>
            <w:hideMark/>
          </w:tcPr>
          <w:p w14:paraId="48DA0E30"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654595">
              <w:rPr>
                <w:rFonts w:cs="Arial"/>
                <w:szCs w:val="16"/>
                <w:lang w:eastAsia="en-AU"/>
              </w:rPr>
              <w:t> </w:t>
            </w:r>
          </w:p>
        </w:tc>
      </w:tr>
      <w:tr w:rsidR="00654595" w:rsidRPr="00654595" w14:paraId="30C7DE1C"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noWrap/>
            <w:hideMark/>
          </w:tcPr>
          <w:p w14:paraId="0A534C13" w14:textId="236F81FF" w:rsidR="00654595" w:rsidRPr="00654595" w:rsidRDefault="00654595" w:rsidP="000F2921">
            <w:pPr>
              <w:pStyle w:val="TableofAuthorities"/>
              <w:rPr>
                <w:lang w:eastAsia="en-AU"/>
              </w:rPr>
            </w:pPr>
            <w:r w:rsidRPr="00654595">
              <w:rPr>
                <w:lang w:eastAsia="en-AU"/>
              </w:rPr>
              <w:t xml:space="preserve">Single </w:t>
            </w:r>
            <w:r w:rsidR="0042709B" w:rsidRPr="009E43BC">
              <w:rPr>
                <w:lang w:eastAsia="en-AU"/>
              </w:rPr>
              <w:t>s</w:t>
            </w:r>
            <w:r w:rsidRPr="00654595">
              <w:rPr>
                <w:lang w:eastAsia="en-AU"/>
              </w:rPr>
              <w:t>ervice</w:t>
            </w:r>
          </w:p>
        </w:tc>
        <w:tc>
          <w:tcPr>
            <w:tcW w:w="1200" w:type="dxa"/>
            <w:noWrap/>
            <w:hideMark/>
          </w:tcPr>
          <w:p w14:paraId="389A3245"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$23.47</w:t>
            </w:r>
          </w:p>
        </w:tc>
        <w:tc>
          <w:tcPr>
            <w:tcW w:w="1200" w:type="dxa"/>
            <w:noWrap/>
            <w:hideMark/>
          </w:tcPr>
          <w:p w14:paraId="0E8751D8"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$19.26</w:t>
            </w:r>
          </w:p>
        </w:tc>
        <w:tc>
          <w:tcPr>
            <w:tcW w:w="1200" w:type="dxa"/>
            <w:noWrap/>
            <w:hideMark/>
          </w:tcPr>
          <w:p w14:paraId="785B7799"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$6.67</w:t>
            </w:r>
          </w:p>
        </w:tc>
        <w:tc>
          <w:tcPr>
            <w:tcW w:w="1200" w:type="dxa"/>
            <w:noWrap/>
            <w:hideMark/>
          </w:tcPr>
          <w:p w14:paraId="68082842"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$13.13</w:t>
            </w:r>
          </w:p>
        </w:tc>
        <w:tc>
          <w:tcPr>
            <w:tcW w:w="1200" w:type="dxa"/>
            <w:noWrap/>
            <w:hideMark/>
          </w:tcPr>
          <w:p w14:paraId="1BFD5999"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$2.27</w:t>
            </w:r>
          </w:p>
        </w:tc>
        <w:tc>
          <w:tcPr>
            <w:tcW w:w="1200" w:type="dxa"/>
            <w:noWrap/>
            <w:hideMark/>
          </w:tcPr>
          <w:p w14:paraId="61631274"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$64.79</w:t>
            </w:r>
          </w:p>
        </w:tc>
      </w:tr>
      <w:tr w:rsidR="00654595" w:rsidRPr="00654595" w14:paraId="496FEE8D"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noWrap/>
            <w:hideMark/>
          </w:tcPr>
          <w:p w14:paraId="7EA09636" w14:textId="290012FA" w:rsidR="00654595" w:rsidRPr="00654595" w:rsidRDefault="00654595" w:rsidP="000F2921">
            <w:pPr>
              <w:pStyle w:val="TableofAuthorities"/>
              <w:rPr>
                <w:lang w:eastAsia="en-AU"/>
              </w:rPr>
            </w:pPr>
            <w:r w:rsidRPr="00654595">
              <w:rPr>
                <w:lang w:eastAsia="en-AU"/>
              </w:rPr>
              <w:t xml:space="preserve">2 to 6 </w:t>
            </w:r>
            <w:r w:rsidR="00270C6A" w:rsidRPr="009E43BC">
              <w:rPr>
                <w:lang w:eastAsia="en-AU"/>
              </w:rPr>
              <w:t>s</w:t>
            </w:r>
            <w:r w:rsidRPr="00654595">
              <w:rPr>
                <w:lang w:eastAsia="en-AU"/>
              </w:rPr>
              <w:t>ervices</w:t>
            </w:r>
          </w:p>
        </w:tc>
        <w:tc>
          <w:tcPr>
            <w:tcW w:w="1200" w:type="dxa"/>
            <w:noWrap/>
            <w:hideMark/>
          </w:tcPr>
          <w:p w14:paraId="71AF7EBD"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$16.40</w:t>
            </w:r>
          </w:p>
        </w:tc>
        <w:tc>
          <w:tcPr>
            <w:tcW w:w="1200" w:type="dxa"/>
            <w:noWrap/>
            <w:hideMark/>
          </w:tcPr>
          <w:p w14:paraId="749E12DE"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$25.46</w:t>
            </w:r>
          </w:p>
        </w:tc>
        <w:tc>
          <w:tcPr>
            <w:tcW w:w="1200" w:type="dxa"/>
            <w:noWrap/>
            <w:hideMark/>
          </w:tcPr>
          <w:p w14:paraId="6F46B260"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$6.83</w:t>
            </w:r>
          </w:p>
        </w:tc>
        <w:tc>
          <w:tcPr>
            <w:tcW w:w="1200" w:type="dxa"/>
            <w:noWrap/>
            <w:hideMark/>
          </w:tcPr>
          <w:p w14:paraId="06360417"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$12.11</w:t>
            </w:r>
          </w:p>
        </w:tc>
        <w:tc>
          <w:tcPr>
            <w:tcW w:w="1200" w:type="dxa"/>
            <w:noWrap/>
            <w:hideMark/>
          </w:tcPr>
          <w:p w14:paraId="61479988"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$2.20</w:t>
            </w:r>
          </w:p>
        </w:tc>
        <w:tc>
          <w:tcPr>
            <w:tcW w:w="1200" w:type="dxa"/>
            <w:noWrap/>
            <w:hideMark/>
          </w:tcPr>
          <w:p w14:paraId="12D9D292"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$63.01</w:t>
            </w:r>
          </w:p>
        </w:tc>
      </w:tr>
      <w:tr w:rsidR="00654595" w:rsidRPr="00654595" w14:paraId="36B12E2D"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noWrap/>
            <w:hideMark/>
          </w:tcPr>
          <w:p w14:paraId="661F63F2" w14:textId="6E11EA5F" w:rsidR="00654595" w:rsidRPr="00654595" w:rsidRDefault="00654595" w:rsidP="000F2921">
            <w:pPr>
              <w:pStyle w:val="TableofAuthorities"/>
              <w:rPr>
                <w:lang w:eastAsia="en-AU"/>
              </w:rPr>
            </w:pPr>
            <w:r w:rsidRPr="00654595">
              <w:rPr>
                <w:lang w:eastAsia="en-AU"/>
              </w:rPr>
              <w:t xml:space="preserve">7 and </w:t>
            </w:r>
            <w:r w:rsidR="00270C6A" w:rsidRPr="009E43BC">
              <w:rPr>
                <w:lang w:eastAsia="en-AU"/>
              </w:rPr>
              <w:t>m</w:t>
            </w:r>
            <w:r w:rsidRPr="00654595">
              <w:rPr>
                <w:lang w:eastAsia="en-AU"/>
              </w:rPr>
              <w:t xml:space="preserve">ore </w:t>
            </w:r>
            <w:r w:rsidR="00270C6A" w:rsidRPr="009E43BC">
              <w:rPr>
                <w:lang w:eastAsia="en-AU"/>
              </w:rPr>
              <w:t>s</w:t>
            </w:r>
            <w:r w:rsidRPr="00654595">
              <w:rPr>
                <w:lang w:eastAsia="en-AU"/>
              </w:rPr>
              <w:t>ervices</w:t>
            </w:r>
          </w:p>
        </w:tc>
        <w:tc>
          <w:tcPr>
            <w:tcW w:w="1200" w:type="dxa"/>
            <w:noWrap/>
            <w:hideMark/>
          </w:tcPr>
          <w:p w14:paraId="5D4A3B1D"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$21.10</w:t>
            </w:r>
          </w:p>
        </w:tc>
        <w:tc>
          <w:tcPr>
            <w:tcW w:w="1200" w:type="dxa"/>
            <w:noWrap/>
            <w:hideMark/>
          </w:tcPr>
          <w:p w14:paraId="03CABF93"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$16.41</w:t>
            </w:r>
          </w:p>
        </w:tc>
        <w:tc>
          <w:tcPr>
            <w:tcW w:w="1200" w:type="dxa"/>
            <w:noWrap/>
            <w:hideMark/>
          </w:tcPr>
          <w:p w14:paraId="14241D6E"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$7.85</w:t>
            </w:r>
          </w:p>
        </w:tc>
        <w:tc>
          <w:tcPr>
            <w:tcW w:w="1200" w:type="dxa"/>
            <w:noWrap/>
            <w:hideMark/>
          </w:tcPr>
          <w:p w14:paraId="4889D330"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$14.46</w:t>
            </w:r>
          </w:p>
        </w:tc>
        <w:tc>
          <w:tcPr>
            <w:tcW w:w="1200" w:type="dxa"/>
            <w:noWrap/>
            <w:hideMark/>
          </w:tcPr>
          <w:p w14:paraId="6A77A430"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$2.26</w:t>
            </w:r>
          </w:p>
        </w:tc>
        <w:tc>
          <w:tcPr>
            <w:tcW w:w="1200" w:type="dxa"/>
            <w:noWrap/>
            <w:hideMark/>
          </w:tcPr>
          <w:p w14:paraId="0AE2B7C8" w14:textId="77777777" w:rsidR="00654595" w:rsidRPr="00654595" w:rsidRDefault="00654595" w:rsidP="000F292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$62.08</w:t>
            </w:r>
          </w:p>
        </w:tc>
      </w:tr>
      <w:tr w:rsidR="00654595" w:rsidRPr="00654595" w14:paraId="04A9208C" w14:textId="77777777" w:rsidTr="00774763">
        <w:trPr>
          <w:trHeight w:val="307"/>
        </w:trPr>
        <w:tc>
          <w:tcPr>
            <w:cnfStyle w:val="001000000000" w:firstRow="0" w:lastRow="0" w:firstColumn="1" w:lastColumn="0" w:oddVBand="0" w:evenVBand="0" w:oddHBand="0" w:evenHBand="0" w:firstRowFirstColumn="0" w:firstRowLastColumn="0" w:lastRowFirstColumn="0" w:lastRowLastColumn="0"/>
            <w:tcW w:w="2001" w:type="dxa"/>
            <w:shd w:val="clear" w:color="auto" w:fill="D8DBDB" w:themeFill="background2" w:themeFillShade="E6"/>
            <w:noWrap/>
            <w:hideMark/>
          </w:tcPr>
          <w:p w14:paraId="464548DE" w14:textId="77777777" w:rsidR="00654595" w:rsidRPr="00654595" w:rsidRDefault="00654595" w:rsidP="000F2921">
            <w:pPr>
              <w:pStyle w:val="TableParagraphbold"/>
              <w:rPr>
                <w:lang w:eastAsia="en-AU"/>
              </w:rPr>
            </w:pPr>
            <w:r w:rsidRPr="00654595">
              <w:rPr>
                <w:lang w:eastAsia="en-AU"/>
              </w:rPr>
              <w:t>Total sector</w:t>
            </w:r>
          </w:p>
        </w:tc>
        <w:tc>
          <w:tcPr>
            <w:tcW w:w="1200" w:type="dxa"/>
            <w:shd w:val="clear" w:color="auto" w:fill="D8DBDB" w:themeFill="background2" w:themeFillShade="E6"/>
            <w:noWrap/>
            <w:hideMark/>
          </w:tcPr>
          <w:p w14:paraId="6B09424A"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$20.81</w:t>
            </w:r>
          </w:p>
        </w:tc>
        <w:tc>
          <w:tcPr>
            <w:tcW w:w="1200" w:type="dxa"/>
            <w:shd w:val="clear" w:color="auto" w:fill="D8DBDB" w:themeFill="background2" w:themeFillShade="E6"/>
            <w:noWrap/>
            <w:hideMark/>
          </w:tcPr>
          <w:p w14:paraId="5D410253"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$19.36</w:t>
            </w:r>
          </w:p>
        </w:tc>
        <w:tc>
          <w:tcPr>
            <w:tcW w:w="1200" w:type="dxa"/>
            <w:shd w:val="clear" w:color="auto" w:fill="D8DBDB" w:themeFill="background2" w:themeFillShade="E6"/>
            <w:noWrap/>
            <w:hideMark/>
          </w:tcPr>
          <w:p w14:paraId="2203044B"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$7.24</w:t>
            </w:r>
          </w:p>
        </w:tc>
        <w:tc>
          <w:tcPr>
            <w:tcW w:w="1200" w:type="dxa"/>
            <w:shd w:val="clear" w:color="auto" w:fill="D8DBDB" w:themeFill="background2" w:themeFillShade="E6"/>
            <w:noWrap/>
            <w:hideMark/>
          </w:tcPr>
          <w:p w14:paraId="68C8786D"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$13.50</w:t>
            </w:r>
          </w:p>
        </w:tc>
        <w:tc>
          <w:tcPr>
            <w:tcW w:w="1200" w:type="dxa"/>
            <w:shd w:val="clear" w:color="auto" w:fill="D8DBDB" w:themeFill="background2" w:themeFillShade="E6"/>
            <w:noWrap/>
            <w:hideMark/>
          </w:tcPr>
          <w:p w14:paraId="6DC0DCDD"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$2.25</w:t>
            </w:r>
          </w:p>
        </w:tc>
        <w:tc>
          <w:tcPr>
            <w:tcW w:w="1200" w:type="dxa"/>
            <w:shd w:val="clear" w:color="auto" w:fill="D8DBDB" w:themeFill="background2" w:themeFillShade="E6"/>
            <w:noWrap/>
            <w:hideMark/>
          </w:tcPr>
          <w:p w14:paraId="1AE60060" w14:textId="77777777" w:rsidR="00654595" w:rsidRPr="00654595" w:rsidRDefault="00654595" w:rsidP="000F292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654595">
              <w:rPr>
                <w:lang w:eastAsia="en-AU"/>
              </w:rPr>
              <w:t>$63.16</w:t>
            </w:r>
          </w:p>
        </w:tc>
      </w:tr>
    </w:tbl>
    <w:p w14:paraId="28ED8B71" w14:textId="49013480" w:rsidR="000D141E" w:rsidRDefault="000D141E" w:rsidP="00972799">
      <w:pPr>
        <w:pStyle w:val="Heading2"/>
      </w:pPr>
      <w:bookmarkStart w:id="39" w:name="_Toc137040049"/>
      <w:bookmarkStart w:id="40" w:name="_Toc135451521"/>
      <w:bookmarkStart w:id="41" w:name="_Toc135453618"/>
      <w:bookmarkStart w:id="42" w:name="_Toc135648520"/>
      <w:bookmarkStart w:id="43" w:name="_Toc135649348"/>
      <w:bookmarkStart w:id="44" w:name="_Toc135649542"/>
      <w:bookmarkStart w:id="45" w:name="_Toc135653349"/>
      <w:bookmarkStart w:id="46" w:name="_Toc135737744"/>
      <w:bookmarkStart w:id="47" w:name="_Toc136417753"/>
      <w:bookmarkStart w:id="48" w:name="_Toc136418207"/>
      <w:bookmarkStart w:id="49" w:name="_Toc136418852"/>
      <w:bookmarkStart w:id="50" w:name="_Toc136419275"/>
      <w:bookmarkStart w:id="51" w:name="_Toc136522045"/>
      <w:bookmarkStart w:id="52" w:name="_Toc136526947"/>
      <w:bookmarkStart w:id="53" w:name="_Toc136544760"/>
      <w:bookmarkStart w:id="54" w:name="_Toc136549361"/>
      <w:bookmarkStart w:id="55" w:name="_Toc136606924"/>
      <w:bookmarkStart w:id="56" w:name="_Toc136608690"/>
      <w:bookmarkStart w:id="57" w:name="_Toc136617061"/>
      <w:bookmarkStart w:id="58" w:name="_Toc136958187"/>
      <w:bookmarkStart w:id="59" w:name="_Toc137040050"/>
      <w:bookmarkStart w:id="60" w:name="_Toc137132127"/>
      <w:bookmarkStart w:id="61" w:name="_Toc137176301"/>
      <w:bookmarkStart w:id="62" w:name="_Toc137176500"/>
      <w:bookmarkStart w:id="63" w:name="_Toc137554200"/>
      <w:bookmarkStart w:id="64" w:name="_Toc137804688"/>
      <w:bookmarkStart w:id="65" w:name="_Toc137818754"/>
      <w:bookmarkStart w:id="66" w:name="_Toc138243340"/>
      <w:bookmarkStart w:id="67" w:name="_Toc139171032"/>
      <w:bookmarkStart w:id="68" w:name="_Toc139450217"/>
      <w:bookmarkStart w:id="69" w:name="_Toc139451059"/>
      <w:bookmarkStart w:id="70" w:name="_Toc139451315"/>
      <w:bookmarkStart w:id="71" w:name="_Toc139453389"/>
      <w:bookmarkStart w:id="72" w:name="_Toc140585705"/>
      <w:bookmarkStart w:id="73" w:name="_Toc140587424"/>
      <w:bookmarkStart w:id="74" w:name="_Toc140587681"/>
      <w:bookmarkStart w:id="75" w:name="_Toc141207457"/>
      <w:bookmarkStart w:id="76" w:name="_Toc141208902"/>
      <w:bookmarkStart w:id="77" w:name="_Toc141271723"/>
      <w:bookmarkStart w:id="78" w:name="_Toc141271771"/>
      <w:bookmarkStart w:id="79" w:name="_Toc149245309"/>
      <w:bookmarkStart w:id="80" w:name="_Toc135451523"/>
      <w:bookmarkStart w:id="81" w:name="_Toc135453620"/>
      <w:bookmarkStart w:id="82" w:name="_Toc135648522"/>
      <w:bookmarkStart w:id="83" w:name="_Toc135649350"/>
      <w:bookmarkStart w:id="84" w:name="_Toc135649544"/>
      <w:bookmarkStart w:id="85" w:name="_Toc135653351"/>
      <w:bookmarkStart w:id="86" w:name="_Toc135737746"/>
      <w:bookmarkStart w:id="87" w:name="_Toc136417755"/>
      <w:bookmarkStart w:id="88" w:name="_Toc136418209"/>
      <w:bookmarkStart w:id="89" w:name="_Toc136418854"/>
      <w:bookmarkStart w:id="90" w:name="_Toc136419277"/>
      <w:bookmarkStart w:id="91" w:name="_Toc136522047"/>
      <w:bookmarkStart w:id="92" w:name="_Toc136526949"/>
      <w:bookmarkStart w:id="93" w:name="_Toc136544762"/>
      <w:bookmarkStart w:id="94" w:name="_Toc136549363"/>
      <w:bookmarkStart w:id="95" w:name="_Toc136606926"/>
      <w:bookmarkStart w:id="96" w:name="_Toc136608692"/>
      <w:bookmarkStart w:id="97" w:name="_Toc136617063"/>
      <w:bookmarkStart w:id="98" w:name="_Toc136958189"/>
      <w:bookmarkStart w:id="99" w:name="_Toc137040052"/>
      <w:bookmarkStart w:id="100" w:name="_Toc137132129"/>
      <w:bookmarkStart w:id="101" w:name="_Toc137176303"/>
      <w:bookmarkStart w:id="102" w:name="_Toc137176502"/>
      <w:bookmarkStart w:id="103" w:name="_Toc137554202"/>
      <w:bookmarkStart w:id="104" w:name="_Toc137804690"/>
      <w:bookmarkStart w:id="105" w:name="_Toc137818756"/>
      <w:bookmarkStart w:id="106" w:name="_Toc138243342"/>
      <w:bookmarkStart w:id="107" w:name="_Toc139171034"/>
      <w:bookmarkStart w:id="108" w:name="_Toc139450219"/>
      <w:bookmarkStart w:id="109" w:name="_Toc139451061"/>
      <w:bookmarkStart w:id="110" w:name="_Toc139451317"/>
      <w:bookmarkStart w:id="111" w:name="_Toc139453391"/>
      <w:bookmarkStart w:id="112" w:name="_Toc140585707"/>
      <w:bookmarkStart w:id="113" w:name="_Toc140587426"/>
      <w:bookmarkStart w:id="114" w:name="_Toc140587683"/>
      <w:bookmarkStart w:id="115" w:name="_Toc141207459"/>
      <w:bookmarkStart w:id="116" w:name="_Toc141208904"/>
      <w:bookmarkStart w:id="117" w:name="_Toc141271725"/>
      <w:bookmarkStart w:id="118" w:name="_Toc141271773"/>
      <w:bookmarkStart w:id="119" w:name="_Toc149245311"/>
      <w:bookmarkStart w:id="120" w:name="_Toc149245312"/>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t>Operating performance</w:t>
      </w:r>
      <w:bookmarkEnd w:id="120"/>
    </w:p>
    <w:p w14:paraId="47AF851D" w14:textId="03469942" w:rsidR="00C519B3" w:rsidRDefault="0029281F" w:rsidP="00785FEA">
      <w:r>
        <w:t>Over the last 5 years up until 2021-22,</w:t>
      </w:r>
      <w:r w:rsidR="00984EA2">
        <w:t xml:space="preserve"> there has been an increase in the number of people accessing </w:t>
      </w:r>
      <w:r w:rsidR="00352476">
        <w:t>h</w:t>
      </w:r>
      <w:r w:rsidR="006175CB">
        <w:t xml:space="preserve">ome </w:t>
      </w:r>
      <w:r w:rsidR="00352476">
        <w:t>c</w:t>
      </w:r>
      <w:r w:rsidR="006175CB">
        <w:t>are</w:t>
      </w:r>
      <w:r w:rsidR="00984EA2">
        <w:t xml:space="preserve"> </w:t>
      </w:r>
      <w:r w:rsidR="006175CB">
        <w:t xml:space="preserve">packages, </w:t>
      </w:r>
      <w:r w:rsidR="00984EA2">
        <w:t xml:space="preserve">and therefore </w:t>
      </w:r>
      <w:r w:rsidR="006175CB">
        <w:t xml:space="preserve">Australian </w:t>
      </w:r>
      <w:r w:rsidR="00984EA2">
        <w:t>Government funding for Home Care</w:t>
      </w:r>
      <w:r w:rsidR="006175CB">
        <w:t xml:space="preserve"> has also increased. However, t</w:t>
      </w:r>
      <w:r w:rsidR="00984EA2">
        <w:t>here has been an increase in the percentage of providers operating at a loss, and a reduction in earnings per recipient for all provider types, most significantly for regional providers</w:t>
      </w:r>
      <w:r w:rsidR="006175CB">
        <w:t>.</w:t>
      </w:r>
    </w:p>
    <w:p w14:paraId="6FE8CA90" w14:textId="08B5BD96" w:rsidR="00785FEA" w:rsidRDefault="00785FEA" w:rsidP="00785FEA">
      <w:r>
        <w:t xml:space="preserve">The discussion of financial performance in this chapter predominantly relates to earnings before interest, tax, </w:t>
      </w:r>
      <w:proofErr w:type="gramStart"/>
      <w:r>
        <w:t>depreciation</w:t>
      </w:r>
      <w:proofErr w:type="gramEnd"/>
      <w:r>
        <w:t xml:space="preserve"> and amortisation (EBITDA). EBITDA is the commonly used metric for analysis and comparison of the profitability of providers and the sector. Net profit before tax (NPBT), which takes interest, </w:t>
      </w:r>
      <w:proofErr w:type="gramStart"/>
      <w:r>
        <w:t>depreciation</w:t>
      </w:r>
      <w:proofErr w:type="gramEnd"/>
      <w:r>
        <w:t xml:space="preserve"> and amortisation into the calculation, is also used </w:t>
      </w:r>
      <w:r w:rsidR="00D04777">
        <w:t>throughout this</w:t>
      </w:r>
      <w:r w:rsidR="00AB6F67">
        <w:t xml:space="preserve"> report</w:t>
      </w:r>
      <w:r>
        <w:t xml:space="preserve">. </w:t>
      </w:r>
    </w:p>
    <w:p w14:paraId="19270DE3" w14:textId="46723272" w:rsidR="00785FEA" w:rsidRDefault="003B0DD5" w:rsidP="00785FEA">
      <w:r>
        <w:t>F</w:t>
      </w:r>
      <w:r w:rsidR="00785FEA">
        <w:t xml:space="preserve">inancial performance of home care providers was largely summarised on a ‘per package’ basis </w:t>
      </w:r>
      <w:r w:rsidR="003565C0">
        <w:t>prior to reform changes from February 2017</w:t>
      </w:r>
      <w:r w:rsidR="00E47177">
        <w:t xml:space="preserve"> </w:t>
      </w:r>
      <w:r w:rsidR="002A132A">
        <w:t xml:space="preserve">which </w:t>
      </w:r>
      <w:r w:rsidR="00E47177">
        <w:t>resulted in packages being assigned to recipient</w:t>
      </w:r>
      <w:r w:rsidR="002A132A">
        <w:t>s</w:t>
      </w:r>
      <w:r w:rsidR="00E47177">
        <w:t>.</w:t>
      </w:r>
      <w:r w:rsidR="003565C0">
        <w:t xml:space="preserve"> </w:t>
      </w:r>
      <w:r w:rsidR="00E47177">
        <w:t>The</w:t>
      </w:r>
      <w:r w:rsidR="00785FEA">
        <w:t xml:space="preserve"> packages were previously allocated to providers after a competitive tender through an Aged Care Approvals Round (ACAR). Analysis on this basis included the provider’s packages that were not fully utilised in a financial year. </w:t>
      </w:r>
      <w:r w:rsidR="00E47177">
        <w:t xml:space="preserve">Since the reform, </w:t>
      </w:r>
      <w:r w:rsidR="00785FEA">
        <w:t>analysis</w:t>
      </w:r>
      <w:r w:rsidR="00AB6749">
        <w:t xml:space="preserve"> </w:t>
      </w:r>
      <w:r w:rsidR="00785FEA">
        <w:t xml:space="preserve">is now calculated on a ‘per recipient’ basis. EBITDA calculated on a ‘per recipient’ basis is generally higher when compared with EBITDA calculated on a ‘per package’ basis as unutilised packages </w:t>
      </w:r>
      <w:proofErr w:type="gramStart"/>
      <w:r w:rsidR="00785FEA">
        <w:t>are</w:t>
      </w:r>
      <w:proofErr w:type="gramEnd"/>
      <w:r w:rsidR="00785FEA">
        <w:t xml:space="preserve"> excluded.</w:t>
      </w:r>
    </w:p>
    <w:p w14:paraId="7FBCB108" w14:textId="239F06D4" w:rsidR="00C44E27" w:rsidRPr="00C44E27" w:rsidRDefault="00C44E27" w:rsidP="00C44E27">
      <w:r w:rsidRPr="00556051">
        <w:lastRenderedPageBreak/>
        <w:t>In 2021-22, home care providers generated $</w:t>
      </w:r>
      <w:r w:rsidR="00FA60DF" w:rsidRPr="00556051">
        <w:t>197</w:t>
      </w:r>
      <w:r w:rsidRPr="00556051">
        <w:t xml:space="preserve"> million in total profit, </w:t>
      </w:r>
      <w:r w:rsidR="00FA60DF" w:rsidRPr="00556051">
        <w:t>down</w:t>
      </w:r>
      <w:r w:rsidRPr="00556051">
        <w:t xml:space="preserve"> from $</w:t>
      </w:r>
      <w:r w:rsidR="00FA60DF" w:rsidRPr="00556051">
        <w:t>248</w:t>
      </w:r>
      <w:r w:rsidRPr="00556051">
        <w:t xml:space="preserve"> million in </w:t>
      </w:r>
      <w:r w:rsidR="00FA60DF" w:rsidRPr="00556051">
        <w:t>2020-21</w:t>
      </w:r>
      <w:r w:rsidRPr="00556051">
        <w:t>.</w:t>
      </w:r>
    </w:p>
    <w:p w14:paraId="237DBCDE" w14:textId="09939557" w:rsidR="00C44E27" w:rsidRPr="00C44E27" w:rsidRDefault="00A8507D" w:rsidP="00C44E27">
      <w:r>
        <w:t>As shown in</w:t>
      </w:r>
      <w:r w:rsidR="00054A51">
        <w:t xml:space="preserve"> </w:t>
      </w:r>
      <w:r w:rsidR="00054A51">
        <w:fldChar w:fldCharType="begin"/>
      </w:r>
      <w:r w:rsidR="00054A51">
        <w:instrText xml:space="preserve"> REF _Ref139547824 \h </w:instrText>
      </w:r>
      <w:r w:rsidR="00054A51">
        <w:fldChar w:fldCharType="separate"/>
      </w:r>
      <w:r w:rsidR="00294B02">
        <w:t xml:space="preserve">Chart </w:t>
      </w:r>
      <w:r w:rsidR="00294B02">
        <w:rPr>
          <w:noProof/>
        </w:rPr>
        <w:t>1</w:t>
      </w:r>
      <w:r w:rsidR="00294B02">
        <w:t>.</w:t>
      </w:r>
      <w:r w:rsidR="00294B02">
        <w:rPr>
          <w:noProof/>
        </w:rPr>
        <w:t>4</w:t>
      </w:r>
      <w:r w:rsidR="00054A51">
        <w:fldChar w:fldCharType="end"/>
      </w:r>
      <w:r>
        <w:t>, i</w:t>
      </w:r>
      <w:r w:rsidR="00C44E27" w:rsidRPr="00C44E27">
        <w:t xml:space="preserve">n terms of profit per </w:t>
      </w:r>
      <w:r w:rsidR="00A7383B" w:rsidRPr="00254F9E">
        <w:t>recipient</w:t>
      </w:r>
      <w:r w:rsidR="00254F9E">
        <w:t>,</w:t>
      </w:r>
      <w:r w:rsidR="00C44E27" w:rsidRPr="00254F9E" w:rsidDel="00254F9E">
        <w:t xml:space="preserve"> </w:t>
      </w:r>
      <w:r w:rsidR="00C44E27" w:rsidRPr="00C44E27">
        <w:t xml:space="preserve">the average EBITDA </w:t>
      </w:r>
      <w:r w:rsidR="00A7383B">
        <w:t>de</w:t>
      </w:r>
      <w:r w:rsidR="00C44E27" w:rsidRPr="00C44E27">
        <w:t>creased to $1,</w:t>
      </w:r>
      <w:r w:rsidR="00145A61">
        <w:t>232</w:t>
      </w:r>
      <w:r w:rsidR="00C44E27" w:rsidRPr="00C44E27">
        <w:t xml:space="preserve"> from $1</w:t>
      </w:r>
      <w:r w:rsidR="00D24350">
        <w:t>,792</w:t>
      </w:r>
      <w:r w:rsidR="00C44E27" w:rsidRPr="00C44E27">
        <w:t xml:space="preserve"> in 2020</w:t>
      </w:r>
      <w:r w:rsidR="00A8373F">
        <w:t>-21</w:t>
      </w:r>
      <w:r w:rsidR="00FA60DF">
        <w:t>,</w:t>
      </w:r>
      <w:r w:rsidR="00C44E27" w:rsidRPr="00C44E27">
        <w:t xml:space="preserve"> while the average NPBT </w:t>
      </w:r>
      <w:r w:rsidR="00A8373F">
        <w:t>de</w:t>
      </w:r>
      <w:r w:rsidR="00C44E27" w:rsidRPr="00C44E27">
        <w:t>creased to $1,</w:t>
      </w:r>
      <w:r w:rsidR="00870696">
        <w:t>013</w:t>
      </w:r>
      <w:r w:rsidR="00C44E27" w:rsidRPr="00C44E27">
        <w:t xml:space="preserve"> from $1,</w:t>
      </w:r>
      <w:r w:rsidR="00870696">
        <w:t>566</w:t>
      </w:r>
      <w:r w:rsidR="00C44E27" w:rsidRPr="00C44E27">
        <w:t>.</w:t>
      </w:r>
    </w:p>
    <w:p w14:paraId="32CAA44F" w14:textId="635F49CA" w:rsidR="008F09FF" w:rsidRPr="00C44E27" w:rsidRDefault="00C44E27" w:rsidP="00C44E27">
      <w:r w:rsidRPr="00943CDF">
        <w:t xml:space="preserve">Approximately </w:t>
      </w:r>
      <w:r w:rsidR="00943CDF" w:rsidRPr="00943CDF">
        <w:t>69</w:t>
      </w:r>
      <w:r w:rsidRPr="00943CDF">
        <w:t xml:space="preserve"> per</w:t>
      </w:r>
      <w:r w:rsidR="00A8373F" w:rsidRPr="00943CDF">
        <w:t xml:space="preserve"> c</w:t>
      </w:r>
      <w:r w:rsidRPr="00943CDF">
        <w:t>ent</w:t>
      </w:r>
      <w:r w:rsidRPr="00C95CBD">
        <w:t xml:space="preserve"> of home care providers achieved a profit in </w:t>
      </w:r>
      <w:r w:rsidR="00FA60DF" w:rsidRPr="00C95CBD">
        <w:t>2021-22</w:t>
      </w:r>
      <w:r w:rsidRPr="00C95CBD">
        <w:t>, compared with 7</w:t>
      </w:r>
      <w:r w:rsidR="00C95CBD" w:rsidRPr="00C95CBD">
        <w:t>4</w:t>
      </w:r>
      <w:r w:rsidRPr="00C95CBD">
        <w:t xml:space="preserve"> per cent in </w:t>
      </w:r>
      <w:r w:rsidR="00FA60DF" w:rsidRPr="00C95CBD">
        <w:t>2020-21</w:t>
      </w:r>
      <w:r w:rsidRPr="00C95CBD">
        <w:t>.</w:t>
      </w:r>
    </w:p>
    <w:p w14:paraId="6892986A" w14:textId="393FD0CC" w:rsidR="00054A51" w:rsidRPr="00054A51" w:rsidRDefault="00054A51" w:rsidP="00054A51">
      <w:pPr>
        <w:pStyle w:val="Caption"/>
      </w:pPr>
      <w:bookmarkStart w:id="121" w:name="_Ref139547824"/>
      <w:bookmarkStart w:id="122" w:name="_Toc149245205"/>
      <w:r>
        <w:t xml:space="preserve">Chart </w:t>
      </w:r>
      <w:r>
        <w:fldChar w:fldCharType="begin"/>
      </w:r>
      <w:r>
        <w:instrText>STYLEREF 1 \s</w:instrText>
      </w:r>
      <w:r>
        <w:fldChar w:fldCharType="separate"/>
      </w:r>
      <w:r w:rsidR="00294B02">
        <w:rPr>
          <w:noProof/>
        </w:rPr>
        <w:t>1</w:t>
      </w:r>
      <w:r>
        <w:fldChar w:fldCharType="end"/>
      </w:r>
      <w:r>
        <w:t>.</w:t>
      </w:r>
      <w:r>
        <w:fldChar w:fldCharType="begin"/>
      </w:r>
      <w:r>
        <w:instrText>SEQ Chart \* ARABIC \s 1</w:instrText>
      </w:r>
      <w:r>
        <w:fldChar w:fldCharType="separate"/>
      </w:r>
      <w:r w:rsidR="00294B02">
        <w:rPr>
          <w:noProof/>
        </w:rPr>
        <w:t>4</w:t>
      </w:r>
      <w:r>
        <w:fldChar w:fldCharType="end"/>
      </w:r>
      <w:bookmarkEnd w:id="121"/>
      <w:r>
        <w:t xml:space="preserve">: </w:t>
      </w:r>
      <w:r w:rsidRPr="00ED76F0">
        <w:t>Summary of financial performance of home care providers, per recipient per year, 2017-18 to 2021-22</w:t>
      </w:r>
      <w:bookmarkEnd w:id="122"/>
    </w:p>
    <w:p w14:paraId="58EE48DA" w14:textId="3951AAFC" w:rsidR="007D0A8C" w:rsidRPr="008E2604" w:rsidRDefault="00155CA8" w:rsidP="008E2604">
      <w:r w:rsidRPr="008E2604">
        <w:rPr>
          <w:noProof/>
        </w:rPr>
        <w:drawing>
          <wp:inline distT="0" distB="0" distL="0" distR="0" wp14:anchorId="72456868" wp14:editId="7689AD0F">
            <wp:extent cx="5810250" cy="3481070"/>
            <wp:effectExtent l="0" t="0" r="0" b="5080"/>
            <wp:docPr id="1773416605" name="Picture 1773416605" descr="Chart 1.4 is a clustered column chart titled Summary of financial performance of home care providers, per recipient per year, 2017-18 to 2021-22.The financial performance for home care providers has decreased in 2021-22 for both EBITDA and NPBT from 2020-21. The average EBITDA was $1,232 per recipient per year and the average NPBT was $1,013 per recipient per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605" name="Picture 1773416605" descr="Chart 1.4 is a clustered column chart titled Summary of financial performance of home care providers, per recipient per year, 2017-18 to 2021-22.The financial performance for home care providers has decreased in 2021-22 for both EBITDA and NPBT from 2020-21. The average EBITDA was $1,232 per recipient per year and the average NPBT was $1,013 per recipient per year.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0250" cy="3481070"/>
                    </a:xfrm>
                    <a:prstGeom prst="rect">
                      <a:avLst/>
                    </a:prstGeom>
                    <a:noFill/>
                  </pic:spPr>
                </pic:pic>
              </a:graphicData>
            </a:graphic>
          </wp:inline>
        </w:drawing>
      </w:r>
    </w:p>
    <w:p w14:paraId="1D41D561" w14:textId="36514C30" w:rsidR="00766E45" w:rsidRDefault="007D0A8C" w:rsidP="0041156A">
      <w:r>
        <w:t xml:space="preserve">Chart 1.5 </w:t>
      </w:r>
      <w:r w:rsidR="00483090" w:rsidRPr="00483090">
        <w:t xml:space="preserve">shows average EBITDA per </w:t>
      </w:r>
      <w:r w:rsidR="00483090">
        <w:t xml:space="preserve">recipient </w:t>
      </w:r>
      <w:r w:rsidR="00483090" w:rsidRPr="00483090">
        <w:t>by quartile. As has been the case previously, EBITDA varies considerably across the sector with the top quartile</w:t>
      </w:r>
      <w:r w:rsidR="00483090">
        <w:t xml:space="preserve"> </w:t>
      </w:r>
      <w:r w:rsidR="00483090" w:rsidRPr="00483090">
        <w:t xml:space="preserve">of providers performing substantially better than the rest of the home care sector. The average EBITDA for providers in the top quartile </w:t>
      </w:r>
      <w:r w:rsidR="00BE2F64">
        <w:t>de</w:t>
      </w:r>
      <w:r w:rsidR="00483090" w:rsidRPr="00483090">
        <w:t>creased to $</w:t>
      </w:r>
      <w:r w:rsidR="00BE2F64">
        <w:t>5,119</w:t>
      </w:r>
      <w:r w:rsidR="00483090" w:rsidRPr="00483090">
        <w:t xml:space="preserve"> per </w:t>
      </w:r>
      <w:r w:rsidR="00BE2F64">
        <w:t>recipient</w:t>
      </w:r>
      <w:r w:rsidR="00483090" w:rsidRPr="00483090">
        <w:t xml:space="preserve">, </w:t>
      </w:r>
      <w:r w:rsidR="00BE2F64">
        <w:t>down</w:t>
      </w:r>
      <w:r w:rsidR="00483090" w:rsidRPr="00483090">
        <w:t xml:space="preserve"> from $6,</w:t>
      </w:r>
      <w:r w:rsidR="00BE2F64">
        <w:t>558</w:t>
      </w:r>
      <w:r w:rsidR="00483090" w:rsidRPr="00483090">
        <w:t xml:space="preserve"> the prior year, </w:t>
      </w:r>
      <w:r w:rsidR="00840BB1">
        <w:t>and the</w:t>
      </w:r>
      <w:r w:rsidR="00483090" w:rsidRPr="00483090">
        <w:t xml:space="preserve"> providers in the bottom quartile decreased to negative $</w:t>
      </w:r>
      <w:r w:rsidR="00840BB1">
        <w:t>2,573</w:t>
      </w:r>
      <w:r w:rsidR="00483090" w:rsidRPr="00483090">
        <w:t>, down from negative $1,</w:t>
      </w:r>
      <w:r w:rsidR="00840BB1">
        <w:t xml:space="preserve">740. </w:t>
      </w:r>
      <w:bookmarkStart w:id="123" w:name="_Ref139547867"/>
    </w:p>
    <w:p w14:paraId="728DD8E9" w14:textId="77777777" w:rsidR="0041156A" w:rsidRPr="008E2604" w:rsidRDefault="0041156A" w:rsidP="008E2604">
      <w:r w:rsidRPr="008E2604">
        <w:br w:type="page"/>
      </w:r>
    </w:p>
    <w:p w14:paraId="11138632" w14:textId="11031BC4" w:rsidR="00054A51" w:rsidRPr="00054A51" w:rsidRDefault="00054A51" w:rsidP="00054A51">
      <w:pPr>
        <w:pStyle w:val="Caption"/>
      </w:pPr>
      <w:bookmarkStart w:id="124" w:name="_Toc149245206"/>
      <w:r>
        <w:lastRenderedPageBreak/>
        <w:t xml:space="preserve">Chart </w:t>
      </w:r>
      <w:r>
        <w:fldChar w:fldCharType="begin"/>
      </w:r>
      <w:r>
        <w:instrText>STYLEREF 1 \s</w:instrText>
      </w:r>
      <w:r>
        <w:fldChar w:fldCharType="separate"/>
      </w:r>
      <w:r w:rsidR="00294B02">
        <w:rPr>
          <w:noProof/>
        </w:rPr>
        <w:t>1</w:t>
      </w:r>
      <w:r>
        <w:fldChar w:fldCharType="end"/>
      </w:r>
      <w:r>
        <w:t>.</w:t>
      </w:r>
      <w:r>
        <w:fldChar w:fldCharType="begin"/>
      </w:r>
      <w:r>
        <w:instrText>SEQ Chart \* ARABIC \s 1</w:instrText>
      </w:r>
      <w:r>
        <w:fldChar w:fldCharType="separate"/>
      </w:r>
      <w:r w:rsidR="00294B02">
        <w:rPr>
          <w:noProof/>
        </w:rPr>
        <w:t>5</w:t>
      </w:r>
      <w:r>
        <w:fldChar w:fldCharType="end"/>
      </w:r>
      <w:bookmarkEnd w:id="123"/>
      <w:r>
        <w:t xml:space="preserve">: </w:t>
      </w:r>
      <w:r w:rsidRPr="000F3FC0">
        <w:t>Home care average EBITDA per recipient, by quartile (number of providers in parentheses), 2017-18 to 2021-22</w:t>
      </w:r>
      <w:bookmarkEnd w:id="124"/>
    </w:p>
    <w:p w14:paraId="0B096272" w14:textId="2E8DC424" w:rsidR="00AF1C0D" w:rsidRPr="008E2604" w:rsidRDefault="00AF1C0D" w:rsidP="008E2604">
      <w:r w:rsidRPr="008E2604">
        <w:rPr>
          <w:noProof/>
        </w:rPr>
        <w:drawing>
          <wp:inline distT="0" distB="0" distL="0" distR="0" wp14:anchorId="6277050B" wp14:editId="2FB4DCAC">
            <wp:extent cx="5759449" cy="2882900"/>
            <wp:effectExtent l="0" t="0" r="0" b="0"/>
            <wp:docPr id="11" name="Picture 11" descr="Chart 1.5 is a clustered column chart titled Home care average EBITDA per recipient, by quartile (number of providers in parentheses), 2017-18 to 2021-22. In 2021-22, the average EBITDA for all providers decreased to $1,232, down from $1,792 in 2020-21. The average EBITDA for providers in the top quartile decreased to $5,119 per recipient, down from $6,558 the prior year, and the providers in the bottom quartile decreased to negative $2,573, down from negativ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1.5 is a clustered column chart titled Home care average EBITDA per recipient, by quartile (number of providers in parentheses), 2017-18 to 2021-22. In 2021-22, the average EBITDA for all providers decreased to $1,232, down from $1,792 in 2020-21. The average EBITDA for providers in the top quartile decreased to $5,119 per recipient, down from $6,558 the prior year, and the providers in the bottom quartile decreased to negative $2,573, down from negative $1,740."/>
                    <pic:cNvPicPr/>
                  </pic:nvPicPr>
                  <pic:blipFill>
                    <a:blip r:embed="rId39">
                      <a:extLst>
                        <a:ext uri="{28A0092B-C50C-407E-A947-70E740481C1C}">
                          <a14:useLocalDpi xmlns:a14="http://schemas.microsoft.com/office/drawing/2010/main" val="0"/>
                        </a:ext>
                      </a:extLst>
                    </a:blip>
                    <a:stretch>
                      <a:fillRect/>
                    </a:stretch>
                  </pic:blipFill>
                  <pic:spPr>
                    <a:xfrm>
                      <a:off x="0" y="0"/>
                      <a:ext cx="5759449" cy="2882900"/>
                    </a:xfrm>
                    <a:prstGeom prst="rect">
                      <a:avLst/>
                    </a:prstGeom>
                  </pic:spPr>
                </pic:pic>
              </a:graphicData>
            </a:graphic>
          </wp:inline>
        </w:drawing>
      </w:r>
    </w:p>
    <w:p w14:paraId="6C9220D7" w14:textId="38CBAD71" w:rsidR="00F0103E" w:rsidRDefault="00536BE8" w:rsidP="00F32C28">
      <w:r w:rsidRPr="00E2590C">
        <w:rPr>
          <w:b/>
          <w:sz w:val="28"/>
          <w:szCs w:val="28"/>
        </w:rPr>
        <w:t>Ownership type</w:t>
      </w:r>
    </w:p>
    <w:p w14:paraId="17FA3374" w14:textId="4B6E281B" w:rsidR="005D231D" w:rsidRPr="00AC1A1A" w:rsidRDefault="00401077" w:rsidP="00F16CBA">
      <w:pPr>
        <w:pStyle w:val="Caption"/>
        <w:rPr>
          <w:b w:val="0"/>
          <w:bCs w:val="0"/>
        </w:rPr>
      </w:pPr>
      <w:r w:rsidRPr="00AC1A1A">
        <w:rPr>
          <w:b w:val="0"/>
          <w:bCs w:val="0"/>
        </w:rPr>
        <w:fldChar w:fldCharType="begin"/>
      </w:r>
      <w:r w:rsidRPr="00AC1A1A">
        <w:rPr>
          <w:b w:val="0"/>
          <w:bCs w:val="0"/>
        </w:rPr>
        <w:instrText xml:space="preserve"> REF _Ref139547895 \h </w:instrText>
      </w:r>
      <w:r w:rsidR="00AC1A1A">
        <w:rPr>
          <w:b w:val="0"/>
          <w:bCs w:val="0"/>
        </w:rPr>
        <w:instrText xml:space="preserve"> \* MERGEFORMAT </w:instrText>
      </w:r>
      <w:r w:rsidRPr="00AC1A1A">
        <w:rPr>
          <w:b w:val="0"/>
          <w:bCs w:val="0"/>
        </w:rPr>
      </w:r>
      <w:r w:rsidRPr="00AC1A1A">
        <w:rPr>
          <w:b w:val="0"/>
          <w:bCs w:val="0"/>
        </w:rPr>
        <w:fldChar w:fldCharType="separate"/>
      </w:r>
      <w:r w:rsidR="00294B02" w:rsidRPr="00294B02">
        <w:rPr>
          <w:b w:val="0"/>
          <w:bCs w:val="0"/>
        </w:rPr>
        <w:t xml:space="preserve">Chart </w:t>
      </w:r>
      <w:r w:rsidR="00294B02" w:rsidRPr="00294B02">
        <w:rPr>
          <w:b w:val="0"/>
          <w:bCs w:val="0"/>
          <w:noProof/>
        </w:rPr>
        <w:t>1.6</w:t>
      </w:r>
      <w:r w:rsidRPr="00AC1A1A">
        <w:rPr>
          <w:b w:val="0"/>
          <w:bCs w:val="0"/>
        </w:rPr>
        <w:fldChar w:fldCharType="end"/>
      </w:r>
      <w:r w:rsidR="00BD4939" w:rsidRPr="00AC1A1A">
        <w:rPr>
          <w:b w:val="0"/>
        </w:rPr>
        <w:t xml:space="preserve"> </w:t>
      </w:r>
      <w:r w:rsidR="00F32C28" w:rsidRPr="00AC1A1A">
        <w:rPr>
          <w:b w:val="0"/>
        </w:rPr>
        <w:t xml:space="preserve">shows the overall average EBITDA per recipient </w:t>
      </w:r>
      <w:r w:rsidR="00FA60DF" w:rsidRPr="00AC1A1A">
        <w:rPr>
          <w:b w:val="0"/>
        </w:rPr>
        <w:t xml:space="preserve">per year </w:t>
      </w:r>
      <w:r w:rsidR="00F32C28" w:rsidRPr="00AC1A1A">
        <w:rPr>
          <w:b w:val="0"/>
        </w:rPr>
        <w:t xml:space="preserve">by ownership over the last 6 years. In 2021-22, </w:t>
      </w:r>
      <w:r w:rsidR="00D1281B" w:rsidRPr="00AC1A1A">
        <w:rPr>
          <w:b w:val="0"/>
        </w:rPr>
        <w:t>for-profit providers</w:t>
      </w:r>
      <w:r w:rsidR="00303322" w:rsidRPr="00AC1A1A">
        <w:rPr>
          <w:b w:val="0"/>
        </w:rPr>
        <w:t xml:space="preserve"> recorded a higher</w:t>
      </w:r>
      <w:r w:rsidR="00D1281B" w:rsidRPr="00AC1A1A">
        <w:rPr>
          <w:b w:val="0"/>
        </w:rPr>
        <w:t xml:space="preserve"> average EBITDA per recipient </w:t>
      </w:r>
      <w:r w:rsidR="00303322" w:rsidRPr="00AC1A1A">
        <w:rPr>
          <w:b w:val="0"/>
        </w:rPr>
        <w:t>(</w:t>
      </w:r>
      <w:r w:rsidR="00DE152C" w:rsidRPr="00AC1A1A">
        <w:rPr>
          <w:b w:val="0"/>
        </w:rPr>
        <w:t>$1,485</w:t>
      </w:r>
      <w:r w:rsidR="00303322" w:rsidRPr="00AC1A1A">
        <w:rPr>
          <w:b w:val="0"/>
        </w:rPr>
        <w:t>)</w:t>
      </w:r>
      <w:r w:rsidR="00DB7E58" w:rsidRPr="00AC1A1A">
        <w:rPr>
          <w:b w:val="0"/>
        </w:rPr>
        <w:t xml:space="preserve"> </w:t>
      </w:r>
      <w:r w:rsidR="00DE152C" w:rsidRPr="00AC1A1A">
        <w:rPr>
          <w:b w:val="0"/>
        </w:rPr>
        <w:t>compared with not-for-profit providers</w:t>
      </w:r>
      <w:r w:rsidR="00AC2241" w:rsidRPr="00AC1A1A">
        <w:rPr>
          <w:b w:val="0"/>
        </w:rPr>
        <w:t xml:space="preserve"> </w:t>
      </w:r>
      <w:r w:rsidR="00303322" w:rsidRPr="00AC1A1A">
        <w:rPr>
          <w:b w:val="0"/>
        </w:rPr>
        <w:t>(</w:t>
      </w:r>
      <w:r w:rsidR="00AC2241" w:rsidRPr="00AC1A1A">
        <w:rPr>
          <w:b w:val="0"/>
        </w:rPr>
        <w:t>$1,142</w:t>
      </w:r>
      <w:r w:rsidR="00303322" w:rsidRPr="00AC1A1A">
        <w:rPr>
          <w:b w:val="0"/>
        </w:rPr>
        <w:t>)</w:t>
      </w:r>
      <w:r w:rsidR="00AC2241" w:rsidRPr="00AC1A1A">
        <w:rPr>
          <w:b w:val="0"/>
        </w:rPr>
        <w:t xml:space="preserve">. </w:t>
      </w:r>
      <w:r w:rsidR="00FA60DF" w:rsidRPr="00AC1A1A">
        <w:rPr>
          <w:b w:val="0"/>
        </w:rPr>
        <w:t>In 2020-21</w:t>
      </w:r>
      <w:r w:rsidR="004901A1" w:rsidRPr="00AC1A1A">
        <w:rPr>
          <w:b w:val="0"/>
        </w:rPr>
        <w:t>, not-for-profit providers</w:t>
      </w:r>
      <w:r w:rsidR="00886467" w:rsidRPr="00AC1A1A">
        <w:rPr>
          <w:b w:val="0"/>
        </w:rPr>
        <w:t xml:space="preserve"> average </w:t>
      </w:r>
      <w:r w:rsidR="00650F70" w:rsidRPr="00AC1A1A">
        <w:rPr>
          <w:b w:val="0"/>
        </w:rPr>
        <w:t xml:space="preserve">EBITDA </w:t>
      </w:r>
      <w:r w:rsidR="00886467" w:rsidRPr="00AC1A1A">
        <w:rPr>
          <w:b w:val="0"/>
        </w:rPr>
        <w:t xml:space="preserve">was higher </w:t>
      </w:r>
      <w:r w:rsidR="001E7A22" w:rsidRPr="00AC1A1A">
        <w:rPr>
          <w:b w:val="0"/>
        </w:rPr>
        <w:t>($1,884</w:t>
      </w:r>
      <w:r w:rsidR="00E8063F" w:rsidRPr="00AC1A1A">
        <w:rPr>
          <w:b w:val="0"/>
        </w:rPr>
        <w:t>)</w:t>
      </w:r>
      <w:r w:rsidR="001E7A22" w:rsidRPr="00AC1A1A">
        <w:rPr>
          <w:b w:val="0"/>
        </w:rPr>
        <w:t xml:space="preserve"> compared with for-profit</w:t>
      </w:r>
      <w:r w:rsidR="00036C75" w:rsidRPr="00AC1A1A">
        <w:rPr>
          <w:b w:val="0"/>
        </w:rPr>
        <w:t xml:space="preserve"> providers </w:t>
      </w:r>
      <w:r w:rsidR="00E8063F" w:rsidRPr="00AC1A1A">
        <w:rPr>
          <w:b w:val="0"/>
        </w:rPr>
        <w:t>(</w:t>
      </w:r>
      <w:r w:rsidR="00036C75" w:rsidRPr="00AC1A1A">
        <w:rPr>
          <w:b w:val="0"/>
        </w:rPr>
        <w:t>$1</w:t>
      </w:r>
      <w:r w:rsidR="00E8063F" w:rsidRPr="00AC1A1A">
        <w:rPr>
          <w:b w:val="0"/>
        </w:rPr>
        <w:t>,</w:t>
      </w:r>
      <w:r w:rsidR="00036C75" w:rsidRPr="00AC1A1A">
        <w:rPr>
          <w:b w:val="0"/>
        </w:rPr>
        <w:t>779)</w:t>
      </w:r>
      <w:r w:rsidR="00303322" w:rsidRPr="00AC1A1A">
        <w:rPr>
          <w:b w:val="0"/>
        </w:rPr>
        <w:t>.</w:t>
      </w:r>
    </w:p>
    <w:p w14:paraId="4DC2247B" w14:textId="2D10A0E4" w:rsidR="00401077" w:rsidRPr="00401077" w:rsidRDefault="00401077" w:rsidP="00401077">
      <w:pPr>
        <w:pStyle w:val="Caption"/>
      </w:pPr>
      <w:bookmarkStart w:id="125" w:name="_Ref139547895"/>
      <w:bookmarkStart w:id="126" w:name="_Toc149245207"/>
      <w:r>
        <w:t xml:space="preserve">Chart </w:t>
      </w:r>
      <w:r>
        <w:fldChar w:fldCharType="begin"/>
      </w:r>
      <w:r>
        <w:instrText>STYLEREF 1 \s</w:instrText>
      </w:r>
      <w:r>
        <w:fldChar w:fldCharType="separate"/>
      </w:r>
      <w:r w:rsidR="00294B02">
        <w:rPr>
          <w:noProof/>
        </w:rPr>
        <w:t>1</w:t>
      </w:r>
      <w:r>
        <w:fldChar w:fldCharType="end"/>
      </w:r>
      <w:r w:rsidR="00434A28">
        <w:t>.</w:t>
      </w:r>
      <w:r>
        <w:fldChar w:fldCharType="begin"/>
      </w:r>
      <w:r>
        <w:instrText>SEQ Chart \* ARABIC \s 1</w:instrText>
      </w:r>
      <w:r>
        <w:fldChar w:fldCharType="separate"/>
      </w:r>
      <w:r w:rsidR="00294B02">
        <w:rPr>
          <w:noProof/>
        </w:rPr>
        <w:t>6</w:t>
      </w:r>
      <w:r>
        <w:fldChar w:fldCharType="end"/>
      </w:r>
      <w:bookmarkEnd w:id="125"/>
      <w:r>
        <w:t xml:space="preserve">: </w:t>
      </w:r>
      <w:r w:rsidRPr="00FE58B6">
        <w:t>Home care average EBITDA per recipient per year, by ownership type, 2017-18 to 2021-22</w:t>
      </w:r>
      <w:bookmarkEnd w:id="126"/>
    </w:p>
    <w:p w14:paraId="045D4A2B" w14:textId="41BAA270" w:rsidR="005D231D" w:rsidRPr="008E2604" w:rsidRDefault="004658D5" w:rsidP="008E2604">
      <w:r w:rsidRPr="008E2604">
        <w:rPr>
          <w:noProof/>
        </w:rPr>
        <w:drawing>
          <wp:inline distT="0" distB="0" distL="0" distR="0" wp14:anchorId="640A6F25" wp14:editId="7DDE37BD">
            <wp:extent cx="4549697" cy="2854454"/>
            <wp:effectExtent l="0" t="0" r="3810" b="3175"/>
            <wp:docPr id="12" name="Picture 12" descr="Chart 1.6 is a clustered column chart titled Home care average EBITDA per recipient per year, by ownership type, 2017-18 to 2021-22. For the first time since 2016-17, for-profit providers average EBITDA per recipient per year of $1,485 was greater than not-for-profit providers of $1,142. Compared to 2020-21, when not-for-profit providers had a higher average EBITDA per recipient per year of $1,884 and for-profit's average EBITDA was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1.6 is a clustered column chart titled Home care average EBITDA per recipient per year, by ownership type, 2017-18 to 2021-22. For the first time since 2016-17, for-profit providers average EBITDA per recipient per year of $1,485 was greater than not-for-profit providers of $1,142. Compared to 2020-21, when not-for-profit providers had a higher average EBITDA per recipient per year of $1,884 and for-profit's average EBITDA was $1,77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43605" cy="2913372"/>
                    </a:xfrm>
                    <a:prstGeom prst="rect">
                      <a:avLst/>
                    </a:prstGeom>
                    <a:noFill/>
                    <a:ln>
                      <a:noFill/>
                    </a:ln>
                  </pic:spPr>
                </pic:pic>
              </a:graphicData>
            </a:graphic>
          </wp:inline>
        </w:drawing>
      </w:r>
    </w:p>
    <w:p w14:paraId="5B1D96C4" w14:textId="77777777" w:rsidR="00294B02" w:rsidRDefault="00401077" w:rsidP="00B52FB0">
      <w:r>
        <w:rPr>
          <w:b/>
          <w:bCs/>
          <w:szCs w:val="18"/>
        </w:rPr>
        <w:fldChar w:fldCharType="begin"/>
      </w:r>
      <w:r>
        <w:instrText xml:space="preserve"> REF _Ref139547920 \h </w:instrText>
      </w:r>
      <w:r>
        <w:rPr>
          <w:b/>
          <w:bCs/>
          <w:szCs w:val="18"/>
        </w:rPr>
      </w:r>
      <w:r>
        <w:rPr>
          <w:b/>
          <w:bCs/>
          <w:szCs w:val="18"/>
        </w:rPr>
        <w:fldChar w:fldCharType="separate"/>
      </w:r>
    </w:p>
    <w:p w14:paraId="6F41693C" w14:textId="0B272369" w:rsidR="00766E45" w:rsidRDefault="00294B02" w:rsidP="00B52FB0">
      <w:r>
        <w:lastRenderedPageBreak/>
        <w:t xml:space="preserve">Chart </w:t>
      </w:r>
      <w:r>
        <w:rPr>
          <w:noProof/>
        </w:rPr>
        <w:t>1</w:t>
      </w:r>
      <w:r>
        <w:t>.</w:t>
      </w:r>
      <w:r>
        <w:rPr>
          <w:noProof/>
        </w:rPr>
        <w:t>7</w:t>
      </w:r>
      <w:r w:rsidR="00401077">
        <w:fldChar w:fldCharType="end"/>
      </w:r>
      <w:r w:rsidR="00303322" w:rsidRPr="004D3DF1">
        <w:t xml:space="preserve"> </w:t>
      </w:r>
      <w:r w:rsidR="004D3DF1" w:rsidRPr="004D3DF1">
        <w:t xml:space="preserve">shows the quartile analysis of the average EBITDA per </w:t>
      </w:r>
      <w:r w:rsidR="004D3DF1">
        <w:t>recipient</w:t>
      </w:r>
      <w:r w:rsidR="004D3DF1" w:rsidRPr="004D3DF1">
        <w:t xml:space="preserve"> </w:t>
      </w:r>
      <w:r w:rsidR="00E8063F">
        <w:t>per year</w:t>
      </w:r>
      <w:r w:rsidR="004D3DF1" w:rsidRPr="004D3DF1">
        <w:t xml:space="preserve"> for home care providers by ownership type in 2021</w:t>
      </w:r>
      <w:r w:rsidR="004D3DF1">
        <w:t>-22</w:t>
      </w:r>
      <w:r w:rsidR="004D3DF1" w:rsidRPr="004D3DF1">
        <w:t>. For-profit providers in the top quartile recorded an average of $</w:t>
      </w:r>
      <w:r w:rsidR="00BD714D">
        <w:t>6,918</w:t>
      </w:r>
      <w:r w:rsidR="004D3DF1" w:rsidRPr="004D3DF1">
        <w:t xml:space="preserve"> per r</w:t>
      </w:r>
      <w:r w:rsidR="002F1957">
        <w:t>ecipient</w:t>
      </w:r>
      <w:r w:rsidR="004D3DF1" w:rsidRPr="004D3DF1">
        <w:t>, compared with not-for-profit providers who recorded an average of $</w:t>
      </w:r>
      <w:r w:rsidR="002F1957">
        <w:t>4,260</w:t>
      </w:r>
      <w:r w:rsidR="004D3DF1" w:rsidRPr="004D3DF1">
        <w:t>.</w:t>
      </w:r>
      <w:r w:rsidR="0067034F">
        <w:t xml:space="preserve"> In the bottom quartile, </w:t>
      </w:r>
      <w:r w:rsidR="008311D0">
        <w:t xml:space="preserve">both not-for-profit and for-profit providers </w:t>
      </w:r>
      <w:r w:rsidR="00F21039">
        <w:t>recorded a similar</w:t>
      </w:r>
      <w:r w:rsidR="007C4E44">
        <w:t xml:space="preserve"> negative</w:t>
      </w:r>
      <w:r w:rsidR="00F21039">
        <w:t xml:space="preserve"> </w:t>
      </w:r>
      <w:r w:rsidR="007C4E44">
        <w:t>result of $2,604</w:t>
      </w:r>
      <w:r w:rsidR="00E87144">
        <w:t xml:space="preserve"> and $2,575 respectively. </w:t>
      </w:r>
      <w:bookmarkStart w:id="127" w:name="_Ref139547920"/>
    </w:p>
    <w:p w14:paraId="601BF93A" w14:textId="06CE936C" w:rsidR="00401077" w:rsidRPr="00401077" w:rsidRDefault="00401077" w:rsidP="00401077">
      <w:pPr>
        <w:pStyle w:val="Caption"/>
      </w:pPr>
      <w:bookmarkStart w:id="128" w:name="_Toc149245208"/>
      <w:r>
        <w:t xml:space="preserve">Chart </w:t>
      </w:r>
      <w:r>
        <w:fldChar w:fldCharType="begin"/>
      </w:r>
      <w:r>
        <w:instrText>STYLEREF 1 \s</w:instrText>
      </w:r>
      <w:r>
        <w:fldChar w:fldCharType="separate"/>
      </w:r>
      <w:r w:rsidR="00294B02">
        <w:rPr>
          <w:noProof/>
        </w:rPr>
        <w:t>1</w:t>
      </w:r>
      <w:r>
        <w:fldChar w:fldCharType="end"/>
      </w:r>
      <w:r w:rsidR="00434A28">
        <w:t>.</w:t>
      </w:r>
      <w:r>
        <w:fldChar w:fldCharType="begin"/>
      </w:r>
      <w:r>
        <w:instrText>SEQ Chart \* ARABIC \s 1</w:instrText>
      </w:r>
      <w:r>
        <w:fldChar w:fldCharType="separate"/>
      </w:r>
      <w:r w:rsidR="00294B02">
        <w:rPr>
          <w:noProof/>
        </w:rPr>
        <w:t>7</w:t>
      </w:r>
      <w:r>
        <w:fldChar w:fldCharType="end"/>
      </w:r>
      <w:bookmarkEnd w:id="127"/>
      <w:r>
        <w:t xml:space="preserve">: </w:t>
      </w:r>
      <w:r w:rsidRPr="00340CE7">
        <w:t>Home care average EBITDA per recipient per year, by quartile and ownership type, 2021-22 (number of providers in parentheses</w:t>
      </w:r>
      <w:r w:rsidR="00145779">
        <w:t>)</w:t>
      </w:r>
      <w:bookmarkEnd w:id="128"/>
    </w:p>
    <w:p w14:paraId="5B03043F" w14:textId="4DE2294B" w:rsidR="00F82643" w:rsidRPr="008E2604" w:rsidRDefault="00F82643" w:rsidP="008E2604">
      <w:r w:rsidRPr="008E2604">
        <w:rPr>
          <w:noProof/>
        </w:rPr>
        <w:drawing>
          <wp:inline distT="0" distB="0" distL="0" distR="0" wp14:anchorId="0527981B" wp14:editId="3543EE39">
            <wp:extent cx="5759450" cy="2882900"/>
            <wp:effectExtent l="0" t="0" r="0" b="0"/>
            <wp:docPr id="39" name="Picture 39" descr="Chart 1.7 is a clustered column chart titled Home care average EBITDA per recipient per year, by quartile and ownership type, 2021-22 (number of providers in parentheses). In 2021-22, for‑profit providers recorded an average EBITDA per recipient of $1,485, compared with $1,142 reported by not‑for‑profit providers. For-profit providers in the top quartile recorded an average of $6,918 per recipient, compared with not-for-profit providers who recorded an average of $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1.7 is a clustered column chart titled Home care average EBITDA per recipient per year, by quartile and ownership type, 2021-22 (number of providers in parentheses). In 2021-22, for‑profit providers recorded an average EBITDA per recipient of $1,485, compared with $1,142 reported by not‑for‑profit providers. For-profit providers in the top quartile recorded an average of $6,918 per recipient, compared with not-for-profit providers who recorded an average of $5,29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2882900"/>
                    </a:xfrm>
                    <a:prstGeom prst="rect">
                      <a:avLst/>
                    </a:prstGeom>
                    <a:noFill/>
                    <a:ln>
                      <a:noFill/>
                    </a:ln>
                  </pic:spPr>
                </pic:pic>
              </a:graphicData>
            </a:graphic>
          </wp:inline>
        </w:drawing>
      </w:r>
    </w:p>
    <w:p w14:paraId="7BC8FCE5" w14:textId="0BBCED8A" w:rsidR="002F1957" w:rsidRPr="00FA3EE0" w:rsidRDefault="008E49E6" w:rsidP="00FA3EE0">
      <w:pPr>
        <w:pStyle w:val="Heading3"/>
      </w:pPr>
      <w:r w:rsidRPr="00FA3EE0">
        <w:t>Provider location</w:t>
      </w:r>
    </w:p>
    <w:p w14:paraId="7BD5BC52" w14:textId="41141BAC" w:rsidR="00766E45" w:rsidRDefault="0023793D" w:rsidP="00FA3EE0">
      <w:r w:rsidRPr="00B52FB0">
        <w:t>As shown in</w:t>
      </w:r>
      <w:r w:rsidR="00A8507D" w:rsidRPr="00B52FB0">
        <w:t xml:space="preserve"> </w:t>
      </w:r>
      <w:r w:rsidR="0041156A">
        <w:t>Chart 1.8</w:t>
      </w:r>
      <w:r w:rsidR="00D93FE7" w:rsidRPr="00B52FB0">
        <w:t xml:space="preserve">, when </w:t>
      </w:r>
      <w:r w:rsidR="009666D9" w:rsidRPr="00B52FB0">
        <w:t>performance is considered by location, providers in regional areas reported an average EBITDA of $</w:t>
      </w:r>
      <w:r w:rsidR="00D73599" w:rsidRPr="00B52FB0">
        <w:t>51</w:t>
      </w:r>
      <w:r w:rsidR="009666D9" w:rsidRPr="00B52FB0">
        <w:t>1 per r</w:t>
      </w:r>
      <w:r w:rsidR="00921453" w:rsidRPr="00B52FB0">
        <w:t>ecipient</w:t>
      </w:r>
      <w:r w:rsidR="009666D9" w:rsidRPr="00B52FB0">
        <w:t xml:space="preserve">, which is </w:t>
      </w:r>
      <w:r w:rsidR="004A2C9E" w:rsidRPr="00B52FB0">
        <w:t xml:space="preserve">a decrease from </w:t>
      </w:r>
      <w:r w:rsidR="009666D9" w:rsidRPr="00B52FB0">
        <w:t>$1</w:t>
      </w:r>
      <w:r w:rsidR="0009111A" w:rsidRPr="00B52FB0">
        <w:t>,031</w:t>
      </w:r>
      <w:r w:rsidR="009666D9" w:rsidRPr="00B52FB0">
        <w:t xml:space="preserve"> in 2020</w:t>
      </w:r>
      <w:r w:rsidR="0009111A" w:rsidRPr="00B52FB0">
        <w:t>-21</w:t>
      </w:r>
      <w:r w:rsidR="009666D9" w:rsidRPr="00B52FB0">
        <w:t xml:space="preserve">. Metropolitan providers </w:t>
      </w:r>
      <w:r w:rsidR="0009111A" w:rsidRPr="00B52FB0">
        <w:t xml:space="preserve">also </w:t>
      </w:r>
      <w:r w:rsidR="009666D9" w:rsidRPr="00B52FB0">
        <w:t xml:space="preserve">reported a </w:t>
      </w:r>
      <w:r w:rsidR="0009111A" w:rsidRPr="00B52FB0">
        <w:t>de</w:t>
      </w:r>
      <w:r w:rsidR="009666D9" w:rsidRPr="00B52FB0">
        <w:t>crease, with an average EBITDA of $</w:t>
      </w:r>
      <w:r w:rsidR="0009111A" w:rsidRPr="00B52FB0">
        <w:t>1,364</w:t>
      </w:r>
      <w:r w:rsidR="009666D9" w:rsidRPr="00B52FB0">
        <w:t xml:space="preserve"> in 2021</w:t>
      </w:r>
      <w:r w:rsidR="0009111A" w:rsidRPr="00B52FB0">
        <w:t>-22</w:t>
      </w:r>
      <w:r w:rsidR="009666D9" w:rsidRPr="00B52FB0">
        <w:t xml:space="preserve">, </w:t>
      </w:r>
      <w:r w:rsidR="0009111A" w:rsidRPr="00B52FB0">
        <w:t>down</w:t>
      </w:r>
      <w:r w:rsidR="009666D9" w:rsidRPr="00B52FB0">
        <w:t xml:space="preserve"> from $</w:t>
      </w:r>
      <w:r w:rsidR="0009111A" w:rsidRPr="00B52FB0">
        <w:t>2,046</w:t>
      </w:r>
      <w:r w:rsidR="009666D9" w:rsidRPr="00B52FB0">
        <w:t xml:space="preserve"> the prior year.</w:t>
      </w:r>
      <w:bookmarkStart w:id="129" w:name="_Ref139547946"/>
    </w:p>
    <w:p w14:paraId="33B1CEDD" w14:textId="5CC55587" w:rsidR="00401077" w:rsidRPr="00401077" w:rsidRDefault="00401077" w:rsidP="00401077">
      <w:pPr>
        <w:pStyle w:val="Caption"/>
      </w:pPr>
      <w:bookmarkStart w:id="130" w:name="_Toc149245209"/>
      <w:r>
        <w:lastRenderedPageBreak/>
        <w:t xml:space="preserve">Chart </w:t>
      </w:r>
      <w:r>
        <w:fldChar w:fldCharType="begin"/>
      </w:r>
      <w:r>
        <w:instrText>STYLEREF 1 \s</w:instrText>
      </w:r>
      <w:r>
        <w:fldChar w:fldCharType="separate"/>
      </w:r>
      <w:r w:rsidR="00294B02">
        <w:rPr>
          <w:noProof/>
        </w:rPr>
        <w:t>1</w:t>
      </w:r>
      <w:r>
        <w:fldChar w:fldCharType="end"/>
      </w:r>
      <w:r w:rsidR="00434A28">
        <w:t>.</w:t>
      </w:r>
      <w:r>
        <w:fldChar w:fldCharType="begin"/>
      </w:r>
      <w:r>
        <w:instrText>SEQ Chart \* ARABIC \s 1</w:instrText>
      </w:r>
      <w:r>
        <w:fldChar w:fldCharType="separate"/>
      </w:r>
      <w:r w:rsidR="00294B02">
        <w:rPr>
          <w:noProof/>
        </w:rPr>
        <w:t>8</w:t>
      </w:r>
      <w:r>
        <w:fldChar w:fldCharType="end"/>
      </w:r>
      <w:bookmarkEnd w:id="129"/>
      <w:r>
        <w:t xml:space="preserve">: </w:t>
      </w:r>
      <w:r w:rsidRPr="00595917">
        <w:t>Home care average EBITDA per recipient, by provider location, 2017-18 to 2021-22</w:t>
      </w:r>
      <w:bookmarkEnd w:id="130"/>
    </w:p>
    <w:p w14:paraId="6EF3170E" w14:textId="230814F4" w:rsidR="00536BE8" w:rsidRDefault="00587CEF" w:rsidP="00536BE8">
      <w:pPr>
        <w:rPr>
          <w:sz w:val="32"/>
          <w:szCs w:val="32"/>
        </w:rPr>
      </w:pPr>
      <w:r>
        <w:rPr>
          <w:noProof/>
        </w:rPr>
        <w:drawing>
          <wp:inline distT="0" distB="0" distL="0" distR="0" wp14:anchorId="749E50CC" wp14:editId="42E17130">
            <wp:extent cx="5759450" cy="3350895"/>
            <wp:effectExtent l="0" t="0" r="0" b="1905"/>
            <wp:docPr id="40" name="Chart 40" descr="Chart 1.8 is a clustered column chart titled Home care average EBITDA per recipient, by provider location, 2017-18 to 2021-22. Providers in regional areas reported an average EBITDA of $1,031 in 2020-21, which is similar to 2018-19 after an increase to $1,899 in 2019-20. Metropolitan providers reported an increase, with an average EBITDA of $2,046 in 2020‑21, up from $1,579 the prior year.">
              <a:extLst xmlns:a="http://schemas.openxmlformats.org/drawingml/2006/main">
                <a:ext uri="{FF2B5EF4-FFF2-40B4-BE49-F238E27FC236}">
                  <a16:creationId xmlns:a16="http://schemas.microsoft.com/office/drawing/2014/main" id="{0AD77721-62F0-46F3-B37C-17BC1FF8B9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5406188" w14:textId="1E5485F3" w:rsidR="00542A1F" w:rsidRDefault="00401077" w:rsidP="00542A1F">
      <w:pPr>
        <w:rPr>
          <w:color w:val="FF0000"/>
        </w:rPr>
      </w:pPr>
      <w:r>
        <w:fldChar w:fldCharType="begin"/>
      </w:r>
      <w:r>
        <w:instrText xml:space="preserve"> REF _Ref139547971 \h </w:instrText>
      </w:r>
      <w:r>
        <w:fldChar w:fldCharType="separate"/>
      </w:r>
      <w:r w:rsidR="00294B02">
        <w:t xml:space="preserve">Chart </w:t>
      </w:r>
      <w:r w:rsidR="00294B02">
        <w:rPr>
          <w:noProof/>
        </w:rPr>
        <w:t>1</w:t>
      </w:r>
      <w:r w:rsidR="00294B02">
        <w:t>.</w:t>
      </w:r>
      <w:r w:rsidR="00294B02">
        <w:rPr>
          <w:noProof/>
        </w:rPr>
        <w:t>9</w:t>
      </w:r>
      <w:r>
        <w:fldChar w:fldCharType="end"/>
      </w:r>
      <w:r w:rsidR="0009111A" w:rsidRPr="004D79CE">
        <w:t xml:space="preserve"> </w:t>
      </w:r>
      <w:r w:rsidR="00D93FE7">
        <w:t>shows the average EBITDA per recipient per year</w:t>
      </w:r>
      <w:r w:rsidR="0079275F">
        <w:t>, by quartile and provider location</w:t>
      </w:r>
      <w:r w:rsidR="005A528C">
        <w:t xml:space="preserve">. </w:t>
      </w:r>
      <w:r w:rsidR="0047272D">
        <w:t>Q</w:t>
      </w:r>
      <w:r w:rsidR="004D79CE" w:rsidRPr="004D79CE">
        <w:t>uartile analysis</w:t>
      </w:r>
      <w:r w:rsidR="0047272D">
        <w:t xml:space="preserve"> shows</w:t>
      </w:r>
      <w:r w:rsidR="004D79CE" w:rsidRPr="004D79CE">
        <w:t xml:space="preserve"> </w:t>
      </w:r>
      <w:r w:rsidR="005E73D7">
        <w:t>metropolitan</w:t>
      </w:r>
      <w:r w:rsidR="004D79CE" w:rsidRPr="004D79CE">
        <w:t xml:space="preserve"> providers outperformed </w:t>
      </w:r>
      <w:r w:rsidR="005E73D7">
        <w:t>regional</w:t>
      </w:r>
      <w:r w:rsidR="004D79CE" w:rsidRPr="004D79CE">
        <w:t xml:space="preserve"> providers in both the top and bottom quartiles, </w:t>
      </w:r>
      <w:r w:rsidR="005E73D7">
        <w:t xml:space="preserve">and </w:t>
      </w:r>
      <w:r w:rsidR="004D79CE" w:rsidRPr="004D79CE">
        <w:t xml:space="preserve">metropolitan providers had an overall higher average EBITDA per </w:t>
      </w:r>
      <w:r w:rsidR="0054185E">
        <w:t>recipient</w:t>
      </w:r>
      <w:r w:rsidR="004D79CE" w:rsidRPr="004D79CE">
        <w:t xml:space="preserve"> compared to regional </w:t>
      </w:r>
      <w:r w:rsidR="004D79CE" w:rsidRPr="005E73D7">
        <w:t>providers</w:t>
      </w:r>
      <w:r w:rsidR="005E73D7">
        <w:t>.</w:t>
      </w:r>
    </w:p>
    <w:p w14:paraId="6546E226" w14:textId="777276B6" w:rsidR="003211B7" w:rsidRDefault="0009111A" w:rsidP="00401077">
      <w:pPr>
        <w:pStyle w:val="Caption"/>
        <w:rPr>
          <w:color w:val="FF0000"/>
        </w:rPr>
      </w:pPr>
      <w:bookmarkStart w:id="131" w:name="_Ref139547971"/>
      <w:bookmarkStart w:id="132" w:name="_Toc149245210"/>
      <w:r>
        <w:t xml:space="preserve">Chart </w:t>
      </w:r>
      <w:r>
        <w:fldChar w:fldCharType="begin"/>
      </w:r>
      <w:r>
        <w:instrText>STYLEREF 1 \s</w:instrText>
      </w:r>
      <w:r>
        <w:fldChar w:fldCharType="separate"/>
      </w:r>
      <w:r w:rsidR="00294B02">
        <w:rPr>
          <w:noProof/>
        </w:rPr>
        <w:t>1</w:t>
      </w:r>
      <w:r>
        <w:fldChar w:fldCharType="end"/>
      </w:r>
      <w:r w:rsidR="00434A28">
        <w:t>.</w:t>
      </w:r>
      <w:r>
        <w:fldChar w:fldCharType="begin"/>
      </w:r>
      <w:r>
        <w:instrText>SEQ Chart \* ARABIC \s 1</w:instrText>
      </w:r>
      <w:r>
        <w:fldChar w:fldCharType="separate"/>
      </w:r>
      <w:r w:rsidR="00294B02">
        <w:rPr>
          <w:noProof/>
        </w:rPr>
        <w:t>9</w:t>
      </w:r>
      <w:r>
        <w:fldChar w:fldCharType="end"/>
      </w:r>
      <w:bookmarkEnd w:id="131"/>
      <w:r w:rsidR="00401077">
        <w:t>:</w:t>
      </w:r>
      <w:r>
        <w:t xml:space="preserve"> </w:t>
      </w:r>
      <w:r w:rsidR="00D15B4F" w:rsidRPr="00587699">
        <w:t xml:space="preserve">Home care average EBITDA per </w:t>
      </w:r>
      <w:r w:rsidR="00D15B4F">
        <w:t>recipient</w:t>
      </w:r>
      <w:r w:rsidR="00D15B4F" w:rsidRPr="00587699">
        <w:t xml:space="preserve"> per year, by quartile and provider location, 202</w:t>
      </w:r>
      <w:r w:rsidR="00D15B4F">
        <w:t>1</w:t>
      </w:r>
      <w:r w:rsidR="00D15B4F" w:rsidRPr="00587699">
        <w:t>-2</w:t>
      </w:r>
      <w:r w:rsidR="00D15B4F">
        <w:t>2</w:t>
      </w:r>
      <w:r w:rsidR="00D15B4F" w:rsidRPr="00587699">
        <w:t xml:space="preserve"> (number of providers in parentheses)</w:t>
      </w:r>
      <w:bookmarkEnd w:id="132"/>
    </w:p>
    <w:p w14:paraId="2E9A1C57" w14:textId="42595E0E" w:rsidR="003211B7" w:rsidRPr="008E2604" w:rsidRDefault="00D73AA1" w:rsidP="008E2604">
      <w:r w:rsidRPr="008E2604">
        <w:rPr>
          <w:noProof/>
        </w:rPr>
        <w:drawing>
          <wp:inline distT="0" distB="0" distL="0" distR="0" wp14:anchorId="1A790119" wp14:editId="016F86DE">
            <wp:extent cx="5759450" cy="2882900"/>
            <wp:effectExtent l="0" t="0" r="0" b="0"/>
            <wp:docPr id="42" name="Picture 42" descr="Chart 1.9 is a clustered column chart titled Home care average EBITDA per recipient per year, by quartile and provider location, 2021-22 (number of providers in parentheses). Quartile analysis shows metropolitan providers outperformed regional providers in both the top and bottom quartiles. Metropolitan providers had an overall higher average EBITDA per recipient ($1,364) compared to regional providers ($5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1.9 is a clustered column chart titled Home care average EBITDA per recipient per year, by quartile and provider location, 2021-22 (number of providers in parentheses). Quartile analysis shows metropolitan providers outperformed regional providers in both the top and bottom quartiles. Metropolitan providers had an overall higher average EBITDA per recipient ($1,364) compared to regional providers ($511).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9450" cy="2882900"/>
                    </a:xfrm>
                    <a:prstGeom prst="rect">
                      <a:avLst/>
                    </a:prstGeom>
                    <a:noFill/>
                    <a:ln>
                      <a:noFill/>
                    </a:ln>
                  </pic:spPr>
                </pic:pic>
              </a:graphicData>
            </a:graphic>
          </wp:inline>
        </w:drawing>
      </w:r>
    </w:p>
    <w:p w14:paraId="3D736D7E" w14:textId="56D4A06C" w:rsidR="00E2590C" w:rsidRPr="00E2590C" w:rsidRDefault="00726147" w:rsidP="00FA3EE0">
      <w:pPr>
        <w:pStyle w:val="Heading3"/>
        <w:rPr>
          <w:bCs/>
        </w:rPr>
      </w:pPr>
      <w:r w:rsidRPr="00E2590C">
        <w:lastRenderedPageBreak/>
        <w:t>Provider scale</w:t>
      </w:r>
    </w:p>
    <w:p w14:paraId="7CA5EE23" w14:textId="40A401F3" w:rsidR="00C003A5" w:rsidRDefault="00B00779" w:rsidP="0006783F">
      <w:r>
        <w:t xml:space="preserve">As shown in </w:t>
      </w:r>
      <w:r w:rsidR="00401077">
        <w:fldChar w:fldCharType="begin"/>
      </w:r>
      <w:r w:rsidR="00401077">
        <w:instrText xml:space="preserve"> REF _Ref139547994 \h </w:instrText>
      </w:r>
      <w:r w:rsidR="00401077">
        <w:fldChar w:fldCharType="separate"/>
      </w:r>
      <w:r w:rsidR="00294B02">
        <w:t xml:space="preserve">Chart </w:t>
      </w:r>
      <w:r w:rsidR="00294B02">
        <w:rPr>
          <w:noProof/>
        </w:rPr>
        <w:t>1</w:t>
      </w:r>
      <w:r w:rsidR="00294B02">
        <w:t>.</w:t>
      </w:r>
      <w:r w:rsidR="00294B02">
        <w:rPr>
          <w:noProof/>
        </w:rPr>
        <w:t>10</w:t>
      </w:r>
      <w:r w:rsidR="00401077">
        <w:fldChar w:fldCharType="end"/>
      </w:r>
      <w:r>
        <w:t>, f</w:t>
      </w:r>
      <w:r w:rsidR="0006783F" w:rsidRPr="0006783F">
        <w:t xml:space="preserve">or </w:t>
      </w:r>
      <w:r w:rsidR="00444420">
        <w:t xml:space="preserve">the first time in </w:t>
      </w:r>
      <w:r w:rsidR="006015FF">
        <w:t xml:space="preserve">past 3 years, </w:t>
      </w:r>
      <w:r w:rsidR="0006783F" w:rsidRPr="0006783F">
        <w:t xml:space="preserve">providers who operate </w:t>
      </w:r>
      <w:r w:rsidR="00C9550D">
        <w:t>two to six</w:t>
      </w:r>
      <w:r w:rsidR="0006783F" w:rsidRPr="0006783F">
        <w:t xml:space="preserve"> services </w:t>
      </w:r>
      <w:r w:rsidR="003E0563">
        <w:t xml:space="preserve">had the </w:t>
      </w:r>
      <w:r w:rsidR="00E8063F">
        <w:t>lowest</w:t>
      </w:r>
      <w:r w:rsidR="003E0563">
        <w:t xml:space="preserve"> </w:t>
      </w:r>
      <w:r w:rsidR="0006783F" w:rsidRPr="0006783F">
        <w:t>perform</w:t>
      </w:r>
      <w:r w:rsidR="003E0563">
        <w:t>ance</w:t>
      </w:r>
      <w:r w:rsidR="0006783F" w:rsidRPr="0006783F">
        <w:t xml:space="preserve"> when compared with </w:t>
      </w:r>
      <w:r w:rsidR="00FC60DB">
        <w:t xml:space="preserve">all other </w:t>
      </w:r>
      <w:r w:rsidR="0006783F" w:rsidRPr="0006783F">
        <w:t>providers</w:t>
      </w:r>
      <w:r w:rsidR="00FC60DB">
        <w:t>, down from $2,248 per recipient per year</w:t>
      </w:r>
      <w:r w:rsidR="0091782D">
        <w:t xml:space="preserve"> in 2020-21</w:t>
      </w:r>
      <w:r w:rsidR="00941E2E">
        <w:t xml:space="preserve"> to $956 in 2021-22</w:t>
      </w:r>
      <w:r w:rsidR="0006783F" w:rsidRPr="0006783F">
        <w:t xml:space="preserve">. </w:t>
      </w:r>
      <w:r w:rsidR="001533D8">
        <w:t>Single service</w:t>
      </w:r>
      <w:r w:rsidR="0006783F" w:rsidRPr="0006783F">
        <w:t xml:space="preserve"> providers</w:t>
      </w:r>
      <w:r w:rsidR="001533D8">
        <w:t xml:space="preserve"> </w:t>
      </w:r>
      <w:r w:rsidR="00BB7266">
        <w:t>were</w:t>
      </w:r>
      <w:r w:rsidR="000B31C3">
        <w:t xml:space="preserve"> the only </w:t>
      </w:r>
      <w:r w:rsidR="00E8063F">
        <w:t>scale type</w:t>
      </w:r>
      <w:r w:rsidR="000B31C3">
        <w:t xml:space="preserve"> that increased</w:t>
      </w:r>
      <w:r w:rsidR="0006783F" w:rsidRPr="0006783F">
        <w:t xml:space="preserve"> average EBITDA per </w:t>
      </w:r>
      <w:r w:rsidR="000B31C3">
        <w:t>recipient</w:t>
      </w:r>
      <w:r w:rsidR="0006783F" w:rsidRPr="0006783F">
        <w:t xml:space="preserve"> per </w:t>
      </w:r>
      <w:r w:rsidR="000B31C3">
        <w:t>year</w:t>
      </w:r>
      <w:r w:rsidR="0006783F" w:rsidRPr="0006783F">
        <w:t xml:space="preserve"> compared to the prior year.</w:t>
      </w:r>
      <w:r w:rsidR="00B05793">
        <w:t xml:space="preserve"> </w:t>
      </w:r>
    </w:p>
    <w:p w14:paraId="308CA2D6" w14:textId="4D13532B" w:rsidR="00536BE8" w:rsidRPr="0006783F" w:rsidRDefault="00B05793" w:rsidP="0006783F">
      <w:r>
        <w:t>Single service providers</w:t>
      </w:r>
      <w:r w:rsidR="00C003A5">
        <w:t xml:space="preserve"> EBITDA result demonstrates a relatively stable trend</w:t>
      </w:r>
      <w:r w:rsidR="001D5CBE">
        <w:t>. However, providers with 2 to 6 services in 2021-22 reversed their trend of increasing their EBITDA per resident per day</w:t>
      </w:r>
      <w:r w:rsidR="005B5DCD">
        <w:t>,</w:t>
      </w:r>
      <w:r w:rsidR="001D5CBE">
        <w:t xml:space="preserve"> year on year. This decrease could be associated with the introduction of the IPA and </w:t>
      </w:r>
      <w:r w:rsidR="00276F04">
        <w:t xml:space="preserve">newly introduced policies meaning these providers are </w:t>
      </w:r>
      <w:r w:rsidR="00AD73B0">
        <w:t>having to</w:t>
      </w:r>
      <w:r w:rsidR="00276F04">
        <w:t xml:space="preserve"> </w:t>
      </w:r>
      <w:r w:rsidR="00AD73B0">
        <w:t xml:space="preserve">adjust to new requirements. </w:t>
      </w:r>
    </w:p>
    <w:p w14:paraId="18C13677" w14:textId="7FEF738C" w:rsidR="00401077" w:rsidRPr="00401077" w:rsidRDefault="00401077" w:rsidP="00401077">
      <w:pPr>
        <w:pStyle w:val="Caption"/>
      </w:pPr>
      <w:bookmarkStart w:id="133" w:name="_Ref139547994"/>
      <w:bookmarkStart w:id="134" w:name="_Toc149245211"/>
      <w:r>
        <w:t xml:space="preserve">Chart </w:t>
      </w:r>
      <w:r>
        <w:fldChar w:fldCharType="begin"/>
      </w:r>
      <w:r>
        <w:instrText>STYLEREF 1 \s</w:instrText>
      </w:r>
      <w:r>
        <w:fldChar w:fldCharType="separate"/>
      </w:r>
      <w:r w:rsidR="00294B02">
        <w:rPr>
          <w:noProof/>
        </w:rPr>
        <w:t>1</w:t>
      </w:r>
      <w:r>
        <w:fldChar w:fldCharType="end"/>
      </w:r>
      <w:r w:rsidR="00434A28">
        <w:t>.</w:t>
      </w:r>
      <w:r>
        <w:fldChar w:fldCharType="begin"/>
      </w:r>
      <w:r>
        <w:instrText>SEQ Chart \* ARABIC \s 1</w:instrText>
      </w:r>
      <w:r>
        <w:fldChar w:fldCharType="separate"/>
      </w:r>
      <w:r w:rsidR="00294B02">
        <w:rPr>
          <w:noProof/>
        </w:rPr>
        <w:t>10</w:t>
      </w:r>
      <w:r>
        <w:fldChar w:fldCharType="end"/>
      </w:r>
      <w:bookmarkEnd w:id="133"/>
      <w:r>
        <w:t xml:space="preserve">: </w:t>
      </w:r>
      <w:r w:rsidRPr="00525B8A">
        <w:t>Home care average EBITDA per recipient per year, by provider scale, 2017-18 to 2021-22</w:t>
      </w:r>
      <w:bookmarkEnd w:id="134"/>
    </w:p>
    <w:p w14:paraId="582AFB56" w14:textId="4D3D546C" w:rsidR="0041156A" w:rsidRPr="008E2604" w:rsidRDefault="006A563A" w:rsidP="008E2604">
      <w:r w:rsidRPr="006A563A">
        <w:rPr>
          <w:noProof/>
        </w:rPr>
        <w:drawing>
          <wp:inline distT="0" distB="0" distL="0" distR="0" wp14:anchorId="4C8192D5" wp14:editId="727ACFA4">
            <wp:extent cx="5734685" cy="3597910"/>
            <wp:effectExtent l="0" t="0" r="0" b="2540"/>
            <wp:docPr id="43" name="Picture 43" descr="Chart 1.10 is a clustered column chart titled Home care average EBITDA per recipient per year, by provider scale, 2017-18 to 2021-22. Providers who operate two to six services were the worst performers, $956 EBITDA per recipient per year, when in the previous three years they were consistently the best performing providers. Single service providers performed the best, $1727 EBITDA per recipient, and were the only provider scale that had an increased the average EBITDA on the previous year. Providers that operate seven or more services had an EBITDA of $1,015 per recip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1.10 is a clustered column chart titled Home care average EBITDA per recipient per year, by provider scale, 2017-18 to 2021-22. Providers who operate two to six services were the worst performers, $956 EBITDA per recipient per year, when in the previous three years they were consistently the best performing providers. Single service providers performed the best, $1727 EBITDA per recipient, and were the only provider scale that had an increased the average EBITDA on the previous year. Providers that operate seven or more services had an EBITDA of $1,015 per recipi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4685" cy="3597910"/>
                    </a:xfrm>
                    <a:prstGeom prst="rect">
                      <a:avLst/>
                    </a:prstGeom>
                    <a:noFill/>
                    <a:ln>
                      <a:noFill/>
                    </a:ln>
                  </pic:spPr>
                </pic:pic>
              </a:graphicData>
            </a:graphic>
          </wp:inline>
        </w:drawing>
      </w:r>
      <w:r w:rsidR="00523F4F" w:rsidRPr="00523F4F">
        <w:t>Chart 1.11</w:t>
      </w:r>
      <w:r w:rsidR="000B31C3" w:rsidRPr="00523F4F">
        <w:t xml:space="preserve"> </w:t>
      </w:r>
      <w:r w:rsidR="001B7697" w:rsidRPr="00523F4F">
        <w:t>shows the</w:t>
      </w:r>
      <w:r w:rsidR="001B7697">
        <w:t xml:space="preserve"> average EBITDA per recipient per year, by quartile and provider scale. </w:t>
      </w:r>
      <w:r w:rsidR="007C5596" w:rsidRPr="00295BF0">
        <w:t>Providers who operate seven or more services reported an average EBITDA of $1,</w:t>
      </w:r>
      <w:r w:rsidR="00826A34">
        <w:t>015</w:t>
      </w:r>
      <w:r w:rsidR="007C5596" w:rsidRPr="00295BF0">
        <w:t xml:space="preserve"> per </w:t>
      </w:r>
      <w:r w:rsidR="00826A34">
        <w:t>recipient</w:t>
      </w:r>
      <w:r w:rsidR="007C5596" w:rsidRPr="00295BF0">
        <w:t xml:space="preserve"> compared with $1,7</w:t>
      </w:r>
      <w:r w:rsidR="00FA6A2F">
        <w:t>27</w:t>
      </w:r>
      <w:r w:rsidR="007C5596" w:rsidRPr="00295BF0">
        <w:t xml:space="preserve"> for single service providers and $</w:t>
      </w:r>
      <w:r w:rsidR="00FA6A2F">
        <w:t>956</w:t>
      </w:r>
      <w:r w:rsidR="007C5596" w:rsidRPr="00295BF0">
        <w:t xml:space="preserve"> for providers with two to six services.</w:t>
      </w:r>
      <w:r w:rsidR="00295BF0" w:rsidRPr="00295BF0">
        <w:t xml:space="preserve"> </w:t>
      </w:r>
      <w:r w:rsidR="007C5596" w:rsidRPr="00295BF0">
        <w:t>Single service providers were by far the best performers in the top quartile and</w:t>
      </w:r>
      <w:r w:rsidR="00E5599B">
        <w:t xml:space="preserve"> two to</w:t>
      </w:r>
      <w:r w:rsidR="00C90BC4">
        <w:t xml:space="preserve"> six service providers were</w:t>
      </w:r>
      <w:r w:rsidR="007C5596" w:rsidRPr="00295BF0">
        <w:t xml:space="preserve"> the worst performers in the bottom quartile.</w:t>
      </w:r>
      <w:bookmarkStart w:id="135" w:name="_Ref139548025"/>
      <w:r w:rsidR="0041156A" w:rsidRPr="008E2604">
        <w:br w:type="page"/>
      </w:r>
    </w:p>
    <w:p w14:paraId="08570BBE" w14:textId="18B96796" w:rsidR="00094852" w:rsidRPr="00516B2B" w:rsidRDefault="00401077" w:rsidP="00E5117A">
      <w:pPr>
        <w:rPr>
          <w:b/>
        </w:rPr>
      </w:pPr>
      <w:bookmarkStart w:id="136" w:name="_Toc149245212"/>
      <w:r w:rsidRPr="00516B2B">
        <w:rPr>
          <w:b/>
        </w:rPr>
        <w:lastRenderedPageBreak/>
        <w:t xml:space="preserve">Chart </w:t>
      </w:r>
      <w:r w:rsidR="007F24BA" w:rsidRPr="00516B2B">
        <w:rPr>
          <w:b/>
        </w:rPr>
        <w:fldChar w:fldCharType="begin"/>
      </w:r>
      <w:r w:rsidR="007F24BA" w:rsidRPr="00516B2B">
        <w:rPr>
          <w:b/>
        </w:rPr>
        <w:instrText xml:space="preserve"> STYLEREF 1 \s </w:instrText>
      </w:r>
      <w:r w:rsidR="007F24BA" w:rsidRPr="00516B2B">
        <w:rPr>
          <w:b/>
        </w:rPr>
        <w:fldChar w:fldCharType="separate"/>
      </w:r>
      <w:r w:rsidR="00294B02">
        <w:rPr>
          <w:b/>
          <w:noProof/>
        </w:rPr>
        <w:t>1</w:t>
      </w:r>
      <w:r w:rsidR="007F24BA" w:rsidRPr="00516B2B">
        <w:rPr>
          <w:b/>
        </w:rPr>
        <w:fldChar w:fldCharType="end"/>
      </w:r>
      <w:r w:rsidR="00434A28" w:rsidRPr="00516B2B">
        <w:rPr>
          <w:b/>
        </w:rPr>
        <w:t>.</w:t>
      </w:r>
      <w:r w:rsidR="007F24BA" w:rsidRPr="00516B2B">
        <w:rPr>
          <w:b/>
        </w:rPr>
        <w:fldChar w:fldCharType="begin"/>
      </w:r>
      <w:r w:rsidR="007F24BA" w:rsidRPr="00516B2B">
        <w:rPr>
          <w:b/>
        </w:rPr>
        <w:instrText xml:space="preserve"> SEQ Chart \* ARABIC \s 1 </w:instrText>
      </w:r>
      <w:r w:rsidR="007F24BA" w:rsidRPr="00516B2B">
        <w:rPr>
          <w:b/>
        </w:rPr>
        <w:fldChar w:fldCharType="separate"/>
      </w:r>
      <w:r w:rsidR="00294B02">
        <w:rPr>
          <w:b/>
          <w:noProof/>
        </w:rPr>
        <w:t>11</w:t>
      </w:r>
      <w:r w:rsidR="007F24BA" w:rsidRPr="00516B2B">
        <w:rPr>
          <w:b/>
        </w:rPr>
        <w:fldChar w:fldCharType="end"/>
      </w:r>
      <w:bookmarkEnd w:id="135"/>
      <w:r w:rsidRPr="00516B2B">
        <w:rPr>
          <w:b/>
        </w:rPr>
        <w:t>: Home care average EBITDA per recipient per year, by quartile and provider scale (number of providers in parentheses), 2021-22</w:t>
      </w:r>
      <w:bookmarkEnd w:id="136"/>
    </w:p>
    <w:p w14:paraId="0463D3E1" w14:textId="7037B806" w:rsidR="00DB0FCE" w:rsidRDefault="00094852" w:rsidP="004E0C82">
      <w:pPr>
        <w:rPr>
          <w:b/>
          <w:bCs/>
          <w:color w:val="F1F2F2" w:themeColor="background1"/>
          <w:sz w:val="80"/>
          <w:szCs w:val="80"/>
        </w:rPr>
      </w:pPr>
      <w:r>
        <w:rPr>
          <w:noProof/>
        </w:rPr>
        <w:drawing>
          <wp:inline distT="0" distB="0" distL="0" distR="0" wp14:anchorId="441C40A0" wp14:editId="124158FD">
            <wp:extent cx="5165396" cy="2585545"/>
            <wp:effectExtent l="0" t="0" r="0" b="5715"/>
            <wp:docPr id="44" name="Picture 44" descr="Chart 1.11 is a clustered column chart titled Home care average EBITDA per recipient per year, by quartile and provider scale (number of providers in parentheses), 2021-22. Providers who operate seven or more services reported an EBITDA of $1,015 per recipient compared with $1,727 for single service providers and $956 for providers with two to six services. Single service providers were by far the best performers in the top quartile ($6,278) and providers that operate two to six services were the worst performers in the bottom quartile (negative $32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45">
                      <a:extLst>
                        <a:ext uri="{28A0092B-C50C-407E-A947-70E740481C1C}">
                          <a14:useLocalDpi xmlns:a14="http://schemas.microsoft.com/office/drawing/2010/main" val="0"/>
                        </a:ext>
                      </a:extLst>
                    </a:blip>
                    <a:stretch>
                      <a:fillRect/>
                    </a:stretch>
                  </pic:blipFill>
                  <pic:spPr>
                    <a:xfrm>
                      <a:off x="0" y="0"/>
                      <a:ext cx="5197494" cy="2601612"/>
                    </a:xfrm>
                    <a:prstGeom prst="rect">
                      <a:avLst/>
                    </a:prstGeom>
                  </pic:spPr>
                </pic:pic>
              </a:graphicData>
            </a:graphic>
          </wp:inline>
        </w:drawing>
      </w:r>
      <w:bookmarkEnd w:id="14"/>
      <w:r w:rsidR="00DB0FCE">
        <w:br w:type="page"/>
      </w:r>
    </w:p>
    <w:p w14:paraId="18635AA0" w14:textId="174A5406" w:rsidR="009B05FC" w:rsidRDefault="009B05FC" w:rsidP="001113A5">
      <w:pPr>
        <w:pStyle w:val="SectionTitle"/>
        <w:sectPr w:rsidR="009B05FC" w:rsidSect="00484658">
          <w:headerReference w:type="even" r:id="rId46"/>
          <w:headerReference w:type="default" r:id="rId47"/>
          <w:footerReference w:type="default" r:id="rId48"/>
          <w:headerReference w:type="first" r:id="rId49"/>
          <w:pgSz w:w="11906" w:h="16838"/>
          <w:pgMar w:top="1701" w:right="1418" w:bottom="1276" w:left="1418" w:header="709" w:footer="709" w:gutter="0"/>
          <w:cols w:space="708"/>
          <w:docGrid w:linePitch="360"/>
        </w:sectPr>
      </w:pPr>
    </w:p>
    <w:p w14:paraId="36881013" w14:textId="74B2B67A" w:rsidR="004E0C82" w:rsidRPr="008E2604" w:rsidRDefault="0070057F" w:rsidP="008E2604">
      <w:r w:rsidRPr="008E2604">
        <w:rPr>
          <w:noProof/>
        </w:rPr>
        <w:lastRenderedPageBreak/>
        <w:drawing>
          <wp:anchor distT="0" distB="0" distL="114300" distR="114300" simplePos="0" relativeHeight="251689984" behindDoc="0" locked="0" layoutInCell="1" allowOverlap="1" wp14:anchorId="20BD40ED" wp14:editId="63BCE570">
            <wp:simplePos x="0" y="0"/>
            <wp:positionH relativeFrom="page">
              <wp:align>left</wp:align>
            </wp:positionH>
            <wp:positionV relativeFrom="paragraph">
              <wp:posOffset>-1080135</wp:posOffset>
            </wp:positionV>
            <wp:extent cx="7534228" cy="9620250"/>
            <wp:effectExtent l="0" t="0" r="0" b="0"/>
            <wp:wrapNone/>
            <wp:docPr id="6" name="Picture 6" descr="The infographic at the beginning of Chapter 2 titled residential care: residents and providers,  shows a summary of residents and providers in residential care for 2021-22.  The total number of residents in residential care at 30 June 2022 (including respite) was 188,208, a decrease of 1.48% on the previous year. The total average care minutes was 188.1 in 2021-22, an increase of 4.9 care minutes from 2020-21. There were a total of 805 residential care providers, down 25 providers from the previous year. The residential care operational places in 2021-22 was 219,965, and increase of 860 operational places compared to 2020-21. The occupancy rates for 2021-22 was 86.2 per cent, down 0.6 percentage points on 2020-2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infographic at the beginning of Chapter 2 titled residential care: residents and providers,  shows a summary of residents and providers in residential care for 2021-22.  The total number of residents in residential care at 30 June 2022 (including respite) was 188,208, a decrease of 1.48% on the previous year. The total average care minutes was 188.1 in 2021-22, an increase of 4.9 care minutes from 2020-21. There were a total of 805 residential care providers, down 25 providers from the previous year. The residential care operational places in 2021-22 was 219,965, and increase of 860 operational places compared to 2020-21. The occupancy rates for 2021-22 was 86.2 per cent, down 0.6 percentage points on 2020-21.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534228" cy="962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0C82" w:rsidRPr="008E2604">
        <w:t xml:space="preserve"> </w:t>
      </w:r>
      <w:r w:rsidR="004E0C82" w:rsidRPr="008E2604">
        <w:br w:type="page"/>
      </w:r>
    </w:p>
    <w:p w14:paraId="52794196" w14:textId="3B8D4B21" w:rsidR="00AC23E3" w:rsidRPr="00754912" w:rsidRDefault="00AC23E3" w:rsidP="00A20D31">
      <w:pPr>
        <w:pStyle w:val="Heading1"/>
      </w:pPr>
      <w:bookmarkStart w:id="137" w:name="_Toc149245313"/>
      <w:r>
        <w:lastRenderedPageBreak/>
        <w:t>Residential care</w:t>
      </w:r>
      <w:r w:rsidR="009D490B">
        <w:t xml:space="preserve">: </w:t>
      </w:r>
      <w:r w:rsidR="00753EFD">
        <w:t>r</w:t>
      </w:r>
      <w:r w:rsidR="001E25C7" w:rsidRPr="00054325">
        <w:t xml:space="preserve">esidents and </w:t>
      </w:r>
      <w:r w:rsidR="00753EFD" w:rsidRPr="00054325">
        <w:t>p</w:t>
      </w:r>
      <w:r w:rsidR="001E25C7" w:rsidRPr="00D17629">
        <w:t>roviders</w:t>
      </w:r>
      <w:bookmarkEnd w:id="137"/>
    </w:p>
    <w:p w14:paraId="10D5FFCC" w14:textId="2A635D4A" w:rsidR="00AC23E3" w:rsidRPr="00436091" w:rsidRDefault="00B95D89" w:rsidP="003938A0">
      <w:r w:rsidRPr="00B95D89">
        <w:t xml:space="preserve">Residential aged care </w:t>
      </w:r>
      <w:r w:rsidR="00796BE8">
        <w:t>ensures</w:t>
      </w:r>
      <w:r w:rsidRPr="00B95D89">
        <w:t xml:space="preserve"> Australians who can no longer live independently at home</w:t>
      </w:r>
      <w:r w:rsidR="00796BE8">
        <w:t xml:space="preserve"> can access higher levels of care in a residential setting</w:t>
      </w:r>
      <w:r w:rsidRPr="00B95D89">
        <w:t>.</w:t>
      </w:r>
      <w:r w:rsidR="00440EBC">
        <w:t xml:space="preserve"> </w:t>
      </w:r>
      <w:proofErr w:type="gramStart"/>
      <w:r w:rsidR="00CC4060">
        <w:t>Similar to</w:t>
      </w:r>
      <w:proofErr w:type="gramEnd"/>
      <w:r w:rsidR="00CC4060">
        <w:t xml:space="preserve"> Home Care, </w:t>
      </w:r>
      <w:r w:rsidR="00665036">
        <w:t>older Australian</w:t>
      </w:r>
      <w:r w:rsidR="002B3128">
        <w:t>s</w:t>
      </w:r>
      <w:r w:rsidR="00665036">
        <w:t xml:space="preserve"> need an </w:t>
      </w:r>
      <w:r w:rsidR="00C65A40">
        <w:t>Aged Care Assessment Team (</w:t>
      </w:r>
      <w:r w:rsidR="00665036">
        <w:t>ACAT</w:t>
      </w:r>
      <w:r w:rsidR="00C65A40">
        <w:t>)</w:t>
      </w:r>
      <w:r w:rsidR="00665036">
        <w:t xml:space="preserve"> assessment to access </w:t>
      </w:r>
      <w:r w:rsidR="00C728C9">
        <w:t xml:space="preserve">a </w:t>
      </w:r>
      <w:r w:rsidR="00665036">
        <w:t>residential aged care</w:t>
      </w:r>
      <w:r w:rsidR="00C728C9">
        <w:t xml:space="preserve"> place. </w:t>
      </w:r>
      <w:r w:rsidRPr="00B95D89">
        <w:t>The Australian Government funds residential aged care to make it affordable and accessible</w:t>
      </w:r>
      <w:r w:rsidR="000F795D">
        <w:t xml:space="preserve"> for older </w:t>
      </w:r>
      <w:r w:rsidR="0075454D">
        <w:t>people</w:t>
      </w:r>
      <w:r w:rsidR="000F795D">
        <w:t xml:space="preserve"> living in Australia</w:t>
      </w:r>
      <w:r w:rsidRPr="00B95D89">
        <w:t>.</w:t>
      </w:r>
      <w:r w:rsidR="00F54DAF">
        <w:t xml:space="preserve"> </w:t>
      </w:r>
      <w:r w:rsidR="00DA29BC">
        <w:t>Residential aged care</w:t>
      </w:r>
      <w:r w:rsidR="00F54DAF" w:rsidRPr="00F54DAF">
        <w:t xml:space="preserve"> includes accommodation and personal care 24 hours a day, as well as access to nursing and general health care services.</w:t>
      </w:r>
      <w:r w:rsidR="006B745F">
        <w:t xml:space="preserve"> Care can be </w:t>
      </w:r>
      <w:r w:rsidR="006B745F" w:rsidRPr="00436091">
        <w:t>provided on either a temporary (respite) or permanent basis.</w:t>
      </w:r>
    </w:p>
    <w:p w14:paraId="479D6276" w14:textId="02E650E6" w:rsidR="002A60EC" w:rsidRDefault="0059684A" w:rsidP="002A60EC">
      <w:r w:rsidRPr="0059684A">
        <w:t xml:space="preserve">There are a small number of </w:t>
      </w:r>
      <w:r w:rsidR="00FA54C6">
        <w:t>r</w:t>
      </w:r>
      <w:r w:rsidRPr="0059684A">
        <w:t>esidential</w:t>
      </w:r>
      <w:r w:rsidR="00FA54C6">
        <w:t xml:space="preserve"> aged care</w:t>
      </w:r>
      <w:r w:rsidRPr="0059684A">
        <w:t xml:space="preserve"> providers that report data in the </w:t>
      </w:r>
      <w:r w:rsidR="00BF45DD" w:rsidRPr="0059684A">
        <w:t>A</w:t>
      </w:r>
      <w:r w:rsidR="00BF45DD">
        <w:t xml:space="preserve">ged Care Financial Report (ACFR) </w:t>
      </w:r>
      <w:r w:rsidRPr="0059684A">
        <w:t xml:space="preserve">on a non-standard financial year. To support the timely reporting of the 2021-22 </w:t>
      </w:r>
      <w:r w:rsidR="00E703A0">
        <w:t>Financial Report on the Australian Aged Care Sector (</w:t>
      </w:r>
      <w:r w:rsidRPr="0059684A">
        <w:t>FRAACS</w:t>
      </w:r>
      <w:r w:rsidR="00E703A0">
        <w:t>)</w:t>
      </w:r>
      <w:r w:rsidRPr="0059684A">
        <w:t xml:space="preserve">, the data collected for these providers will be taken from the </w:t>
      </w:r>
      <w:r w:rsidR="001C092B">
        <w:t>2020-</w:t>
      </w:r>
      <w:r w:rsidRPr="0059684A">
        <w:t xml:space="preserve">2021 ACFR and 2020-21 FRAACS. This will result in some minor duplication of reporting from </w:t>
      </w:r>
      <w:r w:rsidR="000F6959">
        <w:t xml:space="preserve">the </w:t>
      </w:r>
      <w:r w:rsidRPr="0059684A">
        <w:t xml:space="preserve">2020-21 FRAACS. The 2022-23 FRAACS will </w:t>
      </w:r>
      <w:r w:rsidR="000B0FFA">
        <w:t>include</w:t>
      </w:r>
      <w:r w:rsidR="000B0FFA" w:rsidRPr="0059684A">
        <w:t xml:space="preserve"> </w:t>
      </w:r>
      <w:r w:rsidRPr="0059684A">
        <w:t xml:space="preserve">data for these providers from the </w:t>
      </w:r>
      <w:r w:rsidR="00512D70">
        <w:t>2021-</w:t>
      </w:r>
      <w:r w:rsidRPr="0059684A">
        <w:t>2022 ACFR and will not be duplicated</w:t>
      </w:r>
      <w:r>
        <w:t xml:space="preserve"> moving forward.</w:t>
      </w:r>
    </w:p>
    <w:p w14:paraId="115E1590" w14:textId="3DE348BF" w:rsidR="00AD7B03" w:rsidRPr="00436091" w:rsidRDefault="00D93098" w:rsidP="00A20D31">
      <w:pPr>
        <w:pStyle w:val="Heading2"/>
      </w:pPr>
      <w:bookmarkStart w:id="138" w:name="_Toc139171040"/>
      <w:bookmarkStart w:id="139" w:name="_Toc139450225"/>
      <w:bookmarkStart w:id="140" w:name="_Toc139451067"/>
      <w:bookmarkStart w:id="141" w:name="_Toc139451323"/>
      <w:bookmarkStart w:id="142" w:name="_Toc139453397"/>
      <w:bookmarkStart w:id="143" w:name="_Toc140585710"/>
      <w:bookmarkStart w:id="144" w:name="_Toc140587429"/>
      <w:bookmarkStart w:id="145" w:name="_Toc140587686"/>
      <w:bookmarkStart w:id="146" w:name="_Toc141207462"/>
      <w:bookmarkStart w:id="147" w:name="_Toc141208907"/>
      <w:bookmarkStart w:id="148" w:name="_Toc141271728"/>
      <w:bookmarkStart w:id="149" w:name="_Toc141271776"/>
      <w:bookmarkStart w:id="150" w:name="_Toc149245314"/>
      <w:bookmarkStart w:id="151" w:name="_Toc139171042"/>
      <w:bookmarkStart w:id="152" w:name="_Toc139450227"/>
      <w:bookmarkStart w:id="153" w:name="_Toc139451069"/>
      <w:bookmarkStart w:id="154" w:name="_Toc139451325"/>
      <w:bookmarkStart w:id="155" w:name="_Toc139453399"/>
      <w:bookmarkStart w:id="156" w:name="_Toc140585712"/>
      <w:bookmarkStart w:id="157" w:name="_Toc140587431"/>
      <w:bookmarkStart w:id="158" w:name="_Toc140587688"/>
      <w:bookmarkStart w:id="159" w:name="_Toc141207464"/>
      <w:bookmarkStart w:id="160" w:name="_Toc141208909"/>
      <w:bookmarkStart w:id="161" w:name="_Toc141271730"/>
      <w:bookmarkStart w:id="162" w:name="_Toc141271778"/>
      <w:bookmarkStart w:id="163" w:name="_Toc149245316"/>
      <w:bookmarkStart w:id="164" w:name="_Ref139549890"/>
      <w:bookmarkStart w:id="165" w:name="_Toc14924531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t>Residents</w:t>
      </w:r>
      <w:bookmarkEnd w:id="164"/>
      <w:bookmarkEnd w:id="165"/>
    </w:p>
    <w:p w14:paraId="76D90303" w14:textId="2AAA2597" w:rsidR="00F31C48" w:rsidRDefault="00BC47F8" w:rsidP="004028EE">
      <w:r>
        <w:fldChar w:fldCharType="begin"/>
      </w:r>
      <w:r>
        <w:instrText xml:space="preserve"> REF _Ref139549948 \h </w:instrText>
      </w:r>
      <w:r>
        <w:fldChar w:fldCharType="separate"/>
      </w:r>
      <w:r w:rsidR="00294B02">
        <w:t xml:space="preserve">Table </w:t>
      </w:r>
      <w:r w:rsidR="00294B02">
        <w:rPr>
          <w:noProof/>
        </w:rPr>
        <w:t>2</w:t>
      </w:r>
      <w:r w:rsidR="00294B02">
        <w:t>.</w:t>
      </w:r>
      <w:r w:rsidR="00294B02">
        <w:rPr>
          <w:noProof/>
        </w:rPr>
        <w:t>1</w:t>
      </w:r>
      <w:r w:rsidR="00294B02">
        <w:t xml:space="preserve">: </w:t>
      </w:r>
      <w:r w:rsidR="00294B02" w:rsidRPr="00656ED3">
        <w:t>Number of</w:t>
      </w:r>
      <w:r w:rsidR="00294B02">
        <w:t xml:space="preserve"> residential</w:t>
      </w:r>
      <w:r w:rsidR="00294B02" w:rsidRPr="00656ED3">
        <w:t xml:space="preserve"> aged care residents, </w:t>
      </w:r>
      <w:r>
        <w:fldChar w:fldCharType="end"/>
      </w:r>
      <w:r w:rsidR="00516AA3">
        <w:t>shows the number of aged care residents</w:t>
      </w:r>
      <w:r w:rsidR="00FD7E31">
        <w:t xml:space="preserve"> in residential care</w:t>
      </w:r>
      <w:r w:rsidR="00CE1FFC">
        <w:t xml:space="preserve"> from </w:t>
      </w:r>
      <w:r w:rsidR="00F26084">
        <w:t>30 June 2018 to 30 June 2022</w:t>
      </w:r>
      <w:r w:rsidR="002422B4">
        <w:t xml:space="preserve">. </w:t>
      </w:r>
      <w:proofErr w:type="gramStart"/>
      <w:r w:rsidR="007E48E4">
        <w:t>At</w:t>
      </w:r>
      <w:proofErr w:type="gramEnd"/>
      <w:r w:rsidR="007E48E4">
        <w:t xml:space="preserve"> 30 June 202</w:t>
      </w:r>
      <w:r w:rsidR="0000474A">
        <w:t>2, t</w:t>
      </w:r>
      <w:r w:rsidR="002422B4">
        <w:t xml:space="preserve">he </w:t>
      </w:r>
      <w:r w:rsidR="00F26084">
        <w:t>total</w:t>
      </w:r>
      <w:r w:rsidR="002422B4">
        <w:t xml:space="preserve"> number of aged care residents</w:t>
      </w:r>
      <w:r w:rsidR="006B476C">
        <w:t xml:space="preserve"> was </w:t>
      </w:r>
      <w:r w:rsidR="00F26084">
        <w:t>188,208</w:t>
      </w:r>
      <w:r w:rsidR="0001565A">
        <w:t>, w</w:t>
      </w:r>
      <w:r w:rsidR="00440479">
        <w:t xml:space="preserve">hich </w:t>
      </w:r>
      <w:r w:rsidR="005B33FD">
        <w:t xml:space="preserve">was a slight </w:t>
      </w:r>
      <w:r w:rsidR="00F26084">
        <w:t xml:space="preserve">decrease </w:t>
      </w:r>
      <w:r w:rsidR="005E6596">
        <w:t>on</w:t>
      </w:r>
      <w:r w:rsidR="005B33FD">
        <w:t xml:space="preserve"> </w:t>
      </w:r>
      <w:r w:rsidR="00292D36">
        <w:t>30 June 202</w:t>
      </w:r>
      <w:r w:rsidR="00C639FF">
        <w:t>1</w:t>
      </w:r>
      <w:r w:rsidR="00947BC0">
        <w:t xml:space="preserve"> </w:t>
      </w:r>
      <w:r w:rsidR="008D7482">
        <w:t xml:space="preserve">numbers of </w:t>
      </w:r>
      <w:r w:rsidR="00292D36">
        <w:t>191,</w:t>
      </w:r>
      <w:r w:rsidR="007C475B">
        <w:t>0</w:t>
      </w:r>
      <w:r w:rsidR="00C33143">
        <w:t>29</w:t>
      </w:r>
      <w:r w:rsidR="008D7482">
        <w:t>.</w:t>
      </w:r>
      <w:r w:rsidR="00092365">
        <w:t xml:space="preserve"> </w:t>
      </w:r>
    </w:p>
    <w:p w14:paraId="753F8A26" w14:textId="52E95BDA" w:rsidR="00C4377E" w:rsidRDefault="00C4377E" w:rsidP="00443160">
      <w:r>
        <w:t>Throughout 2021-22</w:t>
      </w:r>
      <w:r w:rsidR="00306329">
        <w:t xml:space="preserve">, </w:t>
      </w:r>
      <w:r w:rsidR="74DBC7B0">
        <w:t>the</w:t>
      </w:r>
      <w:r w:rsidR="77AE7F42">
        <w:t>re</w:t>
      </w:r>
      <w:r w:rsidR="00306329">
        <w:t xml:space="preserve"> was a total </w:t>
      </w:r>
      <w:r w:rsidR="337D06F6">
        <w:t>of</w:t>
      </w:r>
      <w:r w:rsidR="74DBC7B0">
        <w:t xml:space="preserve"> </w:t>
      </w:r>
      <w:r w:rsidR="00306329" w:rsidRPr="00306329">
        <w:t>245</w:t>
      </w:r>
      <w:r w:rsidR="00306329">
        <w:t>,</w:t>
      </w:r>
      <w:r w:rsidR="00306329" w:rsidRPr="00306329">
        <w:t>719</w:t>
      </w:r>
      <w:r w:rsidR="00306329">
        <w:t xml:space="preserve"> individuals who accessed </w:t>
      </w:r>
      <w:r w:rsidR="00B53E8C">
        <w:t xml:space="preserve">residential </w:t>
      </w:r>
      <w:r w:rsidR="00306329">
        <w:t xml:space="preserve">aged care, which was a slight increase </w:t>
      </w:r>
      <w:r w:rsidR="00B53E8C">
        <w:t xml:space="preserve">on the 2020-21 total of 243,117 residents. </w:t>
      </w:r>
    </w:p>
    <w:p w14:paraId="23FBD2F8" w14:textId="69EC035D" w:rsidR="004435CE" w:rsidRDefault="004435CE" w:rsidP="004435CE">
      <w:pPr>
        <w:pStyle w:val="Caption"/>
      </w:pPr>
      <w:bookmarkStart w:id="166" w:name="_Ref139549948"/>
      <w:bookmarkStart w:id="167" w:name="_Toc149245270"/>
      <w:r>
        <w:t xml:space="preserve">Table </w:t>
      </w:r>
      <w:r>
        <w:fldChar w:fldCharType="begin"/>
      </w:r>
      <w:r>
        <w:instrText>STYLEREF 1 \s</w:instrText>
      </w:r>
      <w:r>
        <w:fldChar w:fldCharType="separate"/>
      </w:r>
      <w:r w:rsidR="00294B02">
        <w:rPr>
          <w:noProof/>
        </w:rPr>
        <w:t>2</w:t>
      </w:r>
      <w:r>
        <w:fldChar w:fldCharType="end"/>
      </w:r>
      <w:r w:rsidR="002E758C">
        <w:t>.</w:t>
      </w:r>
      <w:r>
        <w:fldChar w:fldCharType="begin"/>
      </w:r>
      <w:r>
        <w:instrText>SEQ Table \* ARABIC \s 1</w:instrText>
      </w:r>
      <w:r>
        <w:fldChar w:fldCharType="separate"/>
      </w:r>
      <w:r w:rsidR="00294B02">
        <w:rPr>
          <w:noProof/>
        </w:rPr>
        <w:t>1</w:t>
      </w:r>
      <w:r>
        <w:fldChar w:fldCharType="end"/>
      </w:r>
      <w:r>
        <w:t xml:space="preserve">: </w:t>
      </w:r>
      <w:r w:rsidRPr="00656ED3">
        <w:t>Number of</w:t>
      </w:r>
      <w:r>
        <w:t xml:space="preserve"> residential</w:t>
      </w:r>
      <w:r w:rsidRPr="00656ED3">
        <w:t xml:space="preserve"> aged care residents, </w:t>
      </w:r>
      <w:bookmarkEnd w:id="166"/>
      <w:r w:rsidR="00E607B3">
        <w:t>30 June 2018 to 30 June 2022</w:t>
      </w:r>
      <w:bookmarkEnd w:id="167"/>
    </w:p>
    <w:tbl>
      <w:tblPr>
        <w:tblStyle w:val="DepartmentofHealthtable"/>
        <w:tblW w:w="5000" w:type="pct"/>
        <w:tblLook w:val="04A0" w:firstRow="1" w:lastRow="0" w:firstColumn="1" w:lastColumn="0" w:noHBand="0" w:noVBand="1"/>
      </w:tblPr>
      <w:tblGrid>
        <w:gridCol w:w="2183"/>
        <w:gridCol w:w="1378"/>
        <w:gridCol w:w="1378"/>
        <w:gridCol w:w="1377"/>
        <w:gridCol w:w="1377"/>
        <w:gridCol w:w="1377"/>
      </w:tblGrid>
      <w:tr w:rsidR="00031C57" w:rsidRPr="00417594" w14:paraId="77633674" w14:textId="77777777" w:rsidTr="00B250DB">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203" w:type="pct"/>
            <w:hideMark/>
          </w:tcPr>
          <w:p w14:paraId="16226977" w14:textId="77777777" w:rsidR="00417594" w:rsidRPr="00417594" w:rsidRDefault="00417594" w:rsidP="00FD5044">
            <w:pPr>
              <w:pStyle w:val="TableHeaderWhite"/>
              <w:rPr>
                <w:lang w:eastAsia="en-AU"/>
              </w:rPr>
            </w:pPr>
            <w:r w:rsidRPr="00417594">
              <w:rPr>
                <w:lang w:eastAsia="en-AU"/>
              </w:rPr>
              <w:t>Year</w:t>
            </w:r>
          </w:p>
        </w:tc>
        <w:tc>
          <w:tcPr>
            <w:tcW w:w="759" w:type="pct"/>
            <w:hideMark/>
          </w:tcPr>
          <w:p w14:paraId="4134B19A" w14:textId="77777777" w:rsidR="00417594" w:rsidRPr="00417594" w:rsidRDefault="00417594" w:rsidP="00FD5044">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417594">
              <w:rPr>
                <w:lang w:eastAsia="en-AU"/>
              </w:rPr>
              <w:t>30 June 2018</w:t>
            </w:r>
          </w:p>
        </w:tc>
        <w:tc>
          <w:tcPr>
            <w:tcW w:w="759" w:type="pct"/>
            <w:hideMark/>
          </w:tcPr>
          <w:p w14:paraId="1D8E43B4" w14:textId="77777777" w:rsidR="00417594" w:rsidRPr="00417594" w:rsidRDefault="00417594" w:rsidP="00FD5044">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417594">
              <w:rPr>
                <w:lang w:eastAsia="en-AU"/>
              </w:rPr>
              <w:t>30 June 2019</w:t>
            </w:r>
          </w:p>
        </w:tc>
        <w:tc>
          <w:tcPr>
            <w:tcW w:w="759" w:type="pct"/>
            <w:hideMark/>
          </w:tcPr>
          <w:p w14:paraId="75C8134C" w14:textId="77777777" w:rsidR="00417594" w:rsidRPr="00417594" w:rsidRDefault="00417594" w:rsidP="00FD5044">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417594">
              <w:rPr>
                <w:lang w:eastAsia="en-AU"/>
              </w:rPr>
              <w:t>30 June 2020</w:t>
            </w:r>
          </w:p>
        </w:tc>
        <w:tc>
          <w:tcPr>
            <w:tcW w:w="759" w:type="pct"/>
            <w:hideMark/>
          </w:tcPr>
          <w:p w14:paraId="179952AF" w14:textId="77777777" w:rsidR="00417594" w:rsidRPr="00417594" w:rsidRDefault="00417594" w:rsidP="00FD5044">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417594">
              <w:rPr>
                <w:lang w:eastAsia="en-AU"/>
              </w:rPr>
              <w:t>30 June 2021</w:t>
            </w:r>
          </w:p>
        </w:tc>
        <w:tc>
          <w:tcPr>
            <w:tcW w:w="759" w:type="pct"/>
            <w:hideMark/>
          </w:tcPr>
          <w:p w14:paraId="7005B1A7" w14:textId="77777777" w:rsidR="00417594" w:rsidRPr="00417594" w:rsidRDefault="00417594" w:rsidP="00FD5044">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417594">
              <w:rPr>
                <w:lang w:eastAsia="en-AU"/>
              </w:rPr>
              <w:t>30 June 2022</w:t>
            </w:r>
          </w:p>
        </w:tc>
      </w:tr>
      <w:tr w:rsidR="00031C57" w:rsidRPr="00417594" w14:paraId="0805CEE2" w14:textId="77777777" w:rsidTr="00B250DB">
        <w:trPr>
          <w:trHeight w:val="406"/>
        </w:trPr>
        <w:tc>
          <w:tcPr>
            <w:cnfStyle w:val="001000000000" w:firstRow="0" w:lastRow="0" w:firstColumn="1" w:lastColumn="0" w:oddVBand="0" w:evenVBand="0" w:oddHBand="0" w:evenHBand="0" w:firstRowFirstColumn="0" w:firstRowLastColumn="0" w:lastRowFirstColumn="0" w:lastRowLastColumn="0"/>
            <w:tcW w:w="1203" w:type="pct"/>
            <w:hideMark/>
          </w:tcPr>
          <w:p w14:paraId="525B171A" w14:textId="77777777" w:rsidR="00417594" w:rsidRPr="00FD5044" w:rsidRDefault="00417594" w:rsidP="00FD5044">
            <w:pPr>
              <w:pStyle w:val="TableParagraphbold"/>
            </w:pPr>
            <w:r w:rsidRPr="00FD5044">
              <w:t>Total residents</w:t>
            </w:r>
          </w:p>
        </w:tc>
        <w:tc>
          <w:tcPr>
            <w:tcW w:w="759" w:type="pct"/>
            <w:hideMark/>
          </w:tcPr>
          <w:p w14:paraId="0B922800" w14:textId="37A95F8F" w:rsidR="00417594" w:rsidRPr="00FD5044" w:rsidRDefault="00417594" w:rsidP="00FD5044">
            <w:pPr>
              <w:pStyle w:val="TableParagraphbold"/>
              <w:cnfStyle w:val="000000000000" w:firstRow="0" w:lastRow="0" w:firstColumn="0" w:lastColumn="0" w:oddVBand="0" w:evenVBand="0" w:oddHBand="0" w:evenHBand="0" w:firstRowFirstColumn="0" w:firstRowLastColumn="0" w:lastRowFirstColumn="0" w:lastRowLastColumn="0"/>
            </w:pPr>
            <w:r w:rsidRPr="00FD5044">
              <w:t>186,597</w:t>
            </w:r>
          </w:p>
        </w:tc>
        <w:tc>
          <w:tcPr>
            <w:tcW w:w="759" w:type="pct"/>
            <w:hideMark/>
          </w:tcPr>
          <w:p w14:paraId="01153C87" w14:textId="115DD72F" w:rsidR="00417594" w:rsidRPr="00FD5044" w:rsidRDefault="00737E5B" w:rsidP="00FD5044">
            <w:pPr>
              <w:pStyle w:val="TableParagraphbold"/>
              <w:cnfStyle w:val="000000000000" w:firstRow="0" w:lastRow="0" w:firstColumn="0" w:lastColumn="0" w:oddVBand="0" w:evenVBand="0" w:oddHBand="0" w:evenHBand="0" w:firstRowFirstColumn="0" w:firstRowLastColumn="0" w:lastRowFirstColumn="0" w:lastRowLastColumn="0"/>
            </w:pPr>
            <w:r w:rsidRPr="00FD5044">
              <w:t>1</w:t>
            </w:r>
            <w:r w:rsidR="00417594" w:rsidRPr="00FD5044">
              <w:t>88,773</w:t>
            </w:r>
          </w:p>
        </w:tc>
        <w:tc>
          <w:tcPr>
            <w:tcW w:w="759" w:type="pct"/>
            <w:hideMark/>
          </w:tcPr>
          <w:p w14:paraId="26BFC72F" w14:textId="27D89E96" w:rsidR="00417594" w:rsidRPr="00FD5044" w:rsidRDefault="00737E5B" w:rsidP="00FD5044">
            <w:pPr>
              <w:pStyle w:val="TableParagraphbold"/>
              <w:cnfStyle w:val="000000000000" w:firstRow="0" w:lastRow="0" w:firstColumn="0" w:lastColumn="0" w:oddVBand="0" w:evenVBand="0" w:oddHBand="0" w:evenHBand="0" w:firstRowFirstColumn="0" w:firstRowLastColumn="0" w:lastRowFirstColumn="0" w:lastRowLastColumn="0"/>
            </w:pPr>
            <w:r w:rsidRPr="00FD5044">
              <w:t>1</w:t>
            </w:r>
            <w:r w:rsidR="00417594" w:rsidRPr="00FD5044">
              <w:t>89,954</w:t>
            </w:r>
          </w:p>
        </w:tc>
        <w:tc>
          <w:tcPr>
            <w:tcW w:w="759" w:type="pct"/>
            <w:hideMark/>
          </w:tcPr>
          <w:p w14:paraId="26491C23" w14:textId="606198CF" w:rsidR="00417594" w:rsidRPr="00FD5044" w:rsidRDefault="00737E5B" w:rsidP="00FD5044">
            <w:pPr>
              <w:pStyle w:val="TableParagraphbold"/>
              <w:cnfStyle w:val="000000000000" w:firstRow="0" w:lastRow="0" w:firstColumn="0" w:lastColumn="0" w:oddVBand="0" w:evenVBand="0" w:oddHBand="0" w:evenHBand="0" w:firstRowFirstColumn="0" w:firstRowLastColumn="0" w:lastRowFirstColumn="0" w:lastRowLastColumn="0"/>
            </w:pPr>
            <w:r w:rsidRPr="00FD5044">
              <w:t>1</w:t>
            </w:r>
            <w:r w:rsidR="00417594" w:rsidRPr="00FD5044">
              <w:t>91,029</w:t>
            </w:r>
          </w:p>
        </w:tc>
        <w:tc>
          <w:tcPr>
            <w:tcW w:w="759" w:type="pct"/>
            <w:hideMark/>
          </w:tcPr>
          <w:p w14:paraId="5DC92352" w14:textId="7A6F35F8" w:rsidR="00417594" w:rsidRPr="00FD5044" w:rsidRDefault="00417594" w:rsidP="00FD5044">
            <w:pPr>
              <w:pStyle w:val="TableParagraphbold"/>
              <w:cnfStyle w:val="000000000000" w:firstRow="0" w:lastRow="0" w:firstColumn="0" w:lastColumn="0" w:oddVBand="0" w:evenVBand="0" w:oddHBand="0" w:evenHBand="0" w:firstRowFirstColumn="0" w:firstRowLastColumn="0" w:lastRowFirstColumn="0" w:lastRowLastColumn="0"/>
            </w:pPr>
            <w:r w:rsidRPr="00FD5044">
              <w:t>188,208</w:t>
            </w:r>
          </w:p>
        </w:tc>
      </w:tr>
      <w:tr w:rsidR="00031C57" w:rsidRPr="00417594" w14:paraId="5A6E943E" w14:textId="77777777" w:rsidTr="00B250DB">
        <w:trPr>
          <w:trHeight w:val="406"/>
        </w:trPr>
        <w:tc>
          <w:tcPr>
            <w:cnfStyle w:val="001000000000" w:firstRow="0" w:lastRow="0" w:firstColumn="1" w:lastColumn="0" w:oddVBand="0" w:evenVBand="0" w:oddHBand="0" w:evenHBand="0" w:firstRowFirstColumn="0" w:firstRowLastColumn="0" w:lastRowFirstColumn="0" w:lastRowLastColumn="0"/>
            <w:tcW w:w="1203" w:type="pct"/>
            <w:noWrap/>
            <w:hideMark/>
          </w:tcPr>
          <w:p w14:paraId="716DC3E4" w14:textId="3987016A" w:rsidR="00417594" w:rsidRPr="00A07F1A" w:rsidRDefault="00417594" w:rsidP="00FD5044">
            <w:pPr>
              <w:pStyle w:val="TableofAuthorities"/>
            </w:pPr>
            <w:r w:rsidRPr="00A07F1A">
              <w:t>Permanent residents</w:t>
            </w:r>
          </w:p>
        </w:tc>
        <w:tc>
          <w:tcPr>
            <w:tcW w:w="759" w:type="pct"/>
            <w:hideMark/>
          </w:tcPr>
          <w:p w14:paraId="1B010062" w14:textId="5C2FD2FA" w:rsidR="00417594" w:rsidRPr="00A07F1A" w:rsidRDefault="00737E5B"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1</w:t>
            </w:r>
            <w:r w:rsidR="00417594" w:rsidRPr="00A07F1A">
              <w:t>80,923</w:t>
            </w:r>
          </w:p>
        </w:tc>
        <w:tc>
          <w:tcPr>
            <w:tcW w:w="759" w:type="pct"/>
            <w:hideMark/>
          </w:tcPr>
          <w:p w14:paraId="10788180" w14:textId="7F5C9AB1"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182,705</w:t>
            </w:r>
          </w:p>
        </w:tc>
        <w:tc>
          <w:tcPr>
            <w:tcW w:w="759" w:type="pct"/>
            <w:hideMark/>
          </w:tcPr>
          <w:p w14:paraId="7A0CD36E" w14:textId="1790782A"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183,989</w:t>
            </w:r>
          </w:p>
        </w:tc>
        <w:tc>
          <w:tcPr>
            <w:tcW w:w="759" w:type="pct"/>
            <w:hideMark/>
          </w:tcPr>
          <w:p w14:paraId="59180B2F" w14:textId="76BD79F4"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183,894</w:t>
            </w:r>
          </w:p>
        </w:tc>
        <w:tc>
          <w:tcPr>
            <w:tcW w:w="759" w:type="pct"/>
            <w:hideMark/>
          </w:tcPr>
          <w:p w14:paraId="0A71FD64" w14:textId="3A23729A"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180,750</w:t>
            </w:r>
          </w:p>
        </w:tc>
      </w:tr>
      <w:tr w:rsidR="00031C57" w:rsidRPr="00417594" w14:paraId="33BE82C9" w14:textId="77777777" w:rsidTr="00B250DB">
        <w:trPr>
          <w:trHeight w:val="224"/>
        </w:trPr>
        <w:tc>
          <w:tcPr>
            <w:cnfStyle w:val="001000000000" w:firstRow="0" w:lastRow="0" w:firstColumn="1" w:lastColumn="0" w:oddVBand="0" w:evenVBand="0" w:oddHBand="0" w:evenHBand="0" w:firstRowFirstColumn="0" w:firstRowLastColumn="0" w:lastRowFirstColumn="0" w:lastRowLastColumn="0"/>
            <w:tcW w:w="1203" w:type="pct"/>
            <w:hideMark/>
          </w:tcPr>
          <w:p w14:paraId="319EE46D" w14:textId="77777777" w:rsidR="00417594" w:rsidRPr="00A07F1A" w:rsidRDefault="00417594" w:rsidP="00FD5044">
            <w:pPr>
              <w:pStyle w:val="TableofAuthorities"/>
            </w:pPr>
            <w:r w:rsidRPr="00A07F1A">
              <w:t>Respite residents</w:t>
            </w:r>
          </w:p>
        </w:tc>
        <w:tc>
          <w:tcPr>
            <w:tcW w:w="759" w:type="pct"/>
            <w:hideMark/>
          </w:tcPr>
          <w:p w14:paraId="37AE041D" w14:textId="28764D72"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5,674</w:t>
            </w:r>
          </w:p>
        </w:tc>
        <w:tc>
          <w:tcPr>
            <w:tcW w:w="759" w:type="pct"/>
            <w:hideMark/>
          </w:tcPr>
          <w:p w14:paraId="29E09032" w14:textId="75541579"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6,068</w:t>
            </w:r>
          </w:p>
        </w:tc>
        <w:tc>
          <w:tcPr>
            <w:tcW w:w="759" w:type="pct"/>
            <w:hideMark/>
          </w:tcPr>
          <w:p w14:paraId="2708A8D4" w14:textId="6EFCEFC8"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5,965</w:t>
            </w:r>
          </w:p>
        </w:tc>
        <w:tc>
          <w:tcPr>
            <w:tcW w:w="759" w:type="pct"/>
            <w:hideMark/>
          </w:tcPr>
          <w:p w14:paraId="12419E9E" w14:textId="09EFC7EA"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7,135</w:t>
            </w:r>
          </w:p>
        </w:tc>
        <w:tc>
          <w:tcPr>
            <w:tcW w:w="759" w:type="pct"/>
            <w:hideMark/>
          </w:tcPr>
          <w:p w14:paraId="7A6EBF74" w14:textId="602449AE"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7,458</w:t>
            </w:r>
          </w:p>
        </w:tc>
      </w:tr>
      <w:tr w:rsidR="00031C57" w:rsidRPr="00417594" w14:paraId="34348927" w14:textId="77777777" w:rsidTr="00B250DB">
        <w:trPr>
          <w:trHeight w:val="406"/>
        </w:trPr>
        <w:tc>
          <w:tcPr>
            <w:cnfStyle w:val="001000000000" w:firstRow="0" w:lastRow="0" w:firstColumn="1" w:lastColumn="0" w:oddVBand="0" w:evenVBand="0" w:oddHBand="0" w:evenHBand="0" w:firstRowFirstColumn="0" w:firstRowLastColumn="0" w:lastRowFirstColumn="0" w:lastRowLastColumn="0"/>
            <w:tcW w:w="1203" w:type="pct"/>
            <w:hideMark/>
          </w:tcPr>
          <w:p w14:paraId="5B871FA6" w14:textId="27840DAA" w:rsidR="00417594" w:rsidRPr="00A07F1A" w:rsidRDefault="00417594" w:rsidP="00FD5044">
            <w:pPr>
              <w:pStyle w:val="TableofAuthorities"/>
            </w:pPr>
            <w:r w:rsidRPr="00A07F1A">
              <w:t xml:space="preserve">CALD </w:t>
            </w:r>
            <w:r w:rsidR="00566830" w:rsidRPr="00A07F1A">
              <w:t>residents</w:t>
            </w:r>
          </w:p>
        </w:tc>
        <w:tc>
          <w:tcPr>
            <w:tcW w:w="759" w:type="pct"/>
            <w:hideMark/>
          </w:tcPr>
          <w:p w14:paraId="69D5F9C5" w14:textId="009A422B"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35,557</w:t>
            </w:r>
          </w:p>
        </w:tc>
        <w:tc>
          <w:tcPr>
            <w:tcW w:w="759" w:type="pct"/>
            <w:hideMark/>
          </w:tcPr>
          <w:p w14:paraId="50DBEBEF" w14:textId="3F8CD078" w:rsidR="00417594" w:rsidRPr="00A07F1A" w:rsidRDefault="00737E5B"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3</w:t>
            </w:r>
            <w:r w:rsidR="00417594" w:rsidRPr="00A07F1A">
              <w:t>6,344</w:t>
            </w:r>
          </w:p>
        </w:tc>
        <w:tc>
          <w:tcPr>
            <w:tcW w:w="759" w:type="pct"/>
            <w:hideMark/>
          </w:tcPr>
          <w:p w14:paraId="1FF702D9" w14:textId="08814542"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36,806</w:t>
            </w:r>
          </w:p>
        </w:tc>
        <w:tc>
          <w:tcPr>
            <w:tcW w:w="759" w:type="pct"/>
            <w:hideMark/>
          </w:tcPr>
          <w:p w14:paraId="6234FC32" w14:textId="67C25E11"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36,862</w:t>
            </w:r>
          </w:p>
        </w:tc>
        <w:tc>
          <w:tcPr>
            <w:tcW w:w="759" w:type="pct"/>
            <w:hideMark/>
          </w:tcPr>
          <w:p w14:paraId="25BC014D" w14:textId="4DCE9E50" w:rsidR="00417594" w:rsidRPr="00A07F1A" w:rsidRDefault="00737E5B"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3</w:t>
            </w:r>
            <w:r w:rsidR="00417594" w:rsidRPr="00A07F1A">
              <w:t>6,192</w:t>
            </w:r>
          </w:p>
        </w:tc>
      </w:tr>
      <w:tr w:rsidR="00031C57" w:rsidRPr="00417594" w14:paraId="68E8FE26" w14:textId="77777777" w:rsidTr="00B250DB">
        <w:trPr>
          <w:trHeight w:val="406"/>
        </w:trPr>
        <w:tc>
          <w:tcPr>
            <w:cnfStyle w:val="001000000000" w:firstRow="0" w:lastRow="0" w:firstColumn="1" w:lastColumn="0" w:oddVBand="0" w:evenVBand="0" w:oddHBand="0" w:evenHBand="0" w:firstRowFirstColumn="0" w:firstRowLastColumn="0" w:lastRowFirstColumn="0" w:lastRowLastColumn="0"/>
            <w:tcW w:w="1203" w:type="pct"/>
            <w:hideMark/>
          </w:tcPr>
          <w:p w14:paraId="3CFA09E9" w14:textId="77777777" w:rsidR="00417594" w:rsidRPr="00A07F1A" w:rsidRDefault="00417594" w:rsidP="00FD5044">
            <w:pPr>
              <w:pStyle w:val="TableofAuthorities"/>
            </w:pPr>
            <w:r w:rsidRPr="00A07F1A">
              <w:t>First Nations elders</w:t>
            </w:r>
          </w:p>
        </w:tc>
        <w:tc>
          <w:tcPr>
            <w:tcW w:w="759" w:type="pct"/>
            <w:hideMark/>
          </w:tcPr>
          <w:p w14:paraId="5F5AF6E6" w14:textId="2EE734E1"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1,778</w:t>
            </w:r>
          </w:p>
        </w:tc>
        <w:tc>
          <w:tcPr>
            <w:tcW w:w="759" w:type="pct"/>
            <w:hideMark/>
          </w:tcPr>
          <w:p w14:paraId="3FBECBCB" w14:textId="3221273D"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1,844</w:t>
            </w:r>
          </w:p>
        </w:tc>
        <w:tc>
          <w:tcPr>
            <w:tcW w:w="759" w:type="pct"/>
            <w:hideMark/>
          </w:tcPr>
          <w:p w14:paraId="159CF65A" w14:textId="2012EA68"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1,956</w:t>
            </w:r>
          </w:p>
        </w:tc>
        <w:tc>
          <w:tcPr>
            <w:tcW w:w="759" w:type="pct"/>
            <w:hideMark/>
          </w:tcPr>
          <w:p w14:paraId="41A398BC" w14:textId="628FB77E"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2,060</w:t>
            </w:r>
          </w:p>
        </w:tc>
        <w:tc>
          <w:tcPr>
            <w:tcW w:w="759" w:type="pct"/>
            <w:hideMark/>
          </w:tcPr>
          <w:p w14:paraId="3C274D6C" w14:textId="33645F6E" w:rsidR="00417594" w:rsidRPr="00A07F1A" w:rsidRDefault="00417594" w:rsidP="00FD5044">
            <w:pPr>
              <w:pStyle w:val="TableofAuthorities"/>
              <w:cnfStyle w:val="000000000000" w:firstRow="0" w:lastRow="0" w:firstColumn="0" w:lastColumn="0" w:oddVBand="0" w:evenVBand="0" w:oddHBand="0" w:evenHBand="0" w:firstRowFirstColumn="0" w:firstRowLastColumn="0" w:lastRowFirstColumn="0" w:lastRowLastColumn="0"/>
            </w:pPr>
            <w:r w:rsidRPr="00A07F1A">
              <w:t>2,130</w:t>
            </w:r>
          </w:p>
        </w:tc>
      </w:tr>
    </w:tbl>
    <w:p w14:paraId="713FC3D8" w14:textId="79F979B7" w:rsidR="00FF5563" w:rsidRDefault="00615EB9" w:rsidP="00443160">
      <w:r>
        <w:lastRenderedPageBreak/>
        <w:fldChar w:fldCharType="begin"/>
      </w:r>
      <w:r>
        <w:instrText xml:space="preserve"> REF _Ref139550137 \h </w:instrText>
      </w:r>
      <w:r>
        <w:fldChar w:fldCharType="separate"/>
      </w:r>
      <w:r w:rsidR="00294B02">
        <w:t xml:space="preserve">Chart </w:t>
      </w:r>
      <w:r w:rsidR="00294B02">
        <w:rPr>
          <w:noProof/>
        </w:rPr>
        <w:t>2</w:t>
      </w:r>
      <w:r w:rsidR="00294B02">
        <w:t>.</w:t>
      </w:r>
      <w:r w:rsidR="00294B02">
        <w:rPr>
          <w:noProof/>
        </w:rPr>
        <w:t>1</w:t>
      </w:r>
      <w:r w:rsidR="00294B02">
        <w:t xml:space="preserve">: </w:t>
      </w:r>
      <w:r w:rsidR="00294B02" w:rsidRPr="00444D4B">
        <w:t>Average paid care minutes per resident per day, by ownership type, 2021-22</w:t>
      </w:r>
      <w:r>
        <w:fldChar w:fldCharType="end"/>
      </w:r>
      <w:r w:rsidR="007C3D94">
        <w:t xml:space="preserve"> </w:t>
      </w:r>
      <w:r w:rsidR="00FF5563" w:rsidRPr="00797CCE">
        <w:t xml:space="preserve">shows the average paid care minutes per resident per day, by </w:t>
      </w:r>
      <w:r w:rsidR="00126995">
        <w:t xml:space="preserve">provider </w:t>
      </w:r>
      <w:r w:rsidR="00FF5563" w:rsidRPr="00797CCE">
        <w:t>ownership type for 2021-22. The total average paid care minutes and average registered nurse minutes were reported in the 2020-21 FRAACS. Average care minutes for enrolled nurses and personal care work</w:t>
      </w:r>
      <w:r w:rsidR="00340116">
        <w:t>er</w:t>
      </w:r>
      <w:r w:rsidR="00FF5563" w:rsidRPr="00797CCE">
        <w:t xml:space="preserve">s have been added to the 2021-22 FRAACS. </w:t>
      </w:r>
    </w:p>
    <w:p w14:paraId="364922CA" w14:textId="2DCFE5EA" w:rsidR="00FF5563" w:rsidRPr="00797CCE" w:rsidRDefault="00FF5563" w:rsidP="00FF5563">
      <w:r>
        <w:t xml:space="preserve">The total average care minutes for all providers (including </w:t>
      </w:r>
      <w:r w:rsidR="00BE5C08">
        <w:t>local, state or territory government providers</w:t>
      </w:r>
      <w:r>
        <w:t xml:space="preserve">) was 188.1 minutes in 2021-22, </w:t>
      </w:r>
      <w:r w:rsidR="004127C5">
        <w:t xml:space="preserve">up </w:t>
      </w:r>
      <w:r>
        <w:t xml:space="preserve">on </w:t>
      </w:r>
      <w:r w:rsidR="000B223A">
        <w:t>183.</w:t>
      </w:r>
      <w:r w:rsidR="00F47FCE">
        <w:t>2</w:t>
      </w:r>
      <w:r w:rsidR="009C029D">
        <w:t xml:space="preserve"> </w:t>
      </w:r>
      <w:r w:rsidR="000B223A">
        <w:t xml:space="preserve">minutes </w:t>
      </w:r>
      <w:r w:rsidR="00BC657C">
        <w:t xml:space="preserve">(including </w:t>
      </w:r>
      <w:r w:rsidR="00BE5C08">
        <w:t>local, state or territory government providers</w:t>
      </w:r>
      <w:r w:rsidR="00BC657C">
        <w:t xml:space="preserve">) </w:t>
      </w:r>
      <w:r w:rsidR="000B223A">
        <w:t>in</w:t>
      </w:r>
      <w:r>
        <w:t xml:space="preserve"> 2020-21</w:t>
      </w:r>
      <w:r w:rsidR="000B223A">
        <w:t>.</w:t>
      </w:r>
      <w:r>
        <w:t xml:space="preserve"> </w:t>
      </w:r>
    </w:p>
    <w:p w14:paraId="2EC879D3" w14:textId="459D5426" w:rsidR="00FF5563" w:rsidRDefault="00FF5563" w:rsidP="00FF5563">
      <w:r w:rsidRPr="00797CCE">
        <w:t>Local, state or territory government providers had considerably higher average care minutes per resident per day (</w:t>
      </w:r>
      <w:r>
        <w:t>239.6</w:t>
      </w:r>
      <w:r w:rsidRPr="00797CCE">
        <w:t xml:space="preserve"> care minutes) compared to other ownership types</w:t>
      </w:r>
      <w:r>
        <w:t xml:space="preserve"> as they are likely to have other non-Australian Government funding sources that contribute towards the delivery of care</w:t>
      </w:r>
      <w:r w:rsidRPr="00797CCE">
        <w:t xml:space="preserve">. </w:t>
      </w:r>
    </w:p>
    <w:p w14:paraId="5BF65058" w14:textId="5A788C02" w:rsidR="00FF5563" w:rsidRPr="00797CCE" w:rsidRDefault="00FF5563" w:rsidP="00FF5563">
      <w:r w:rsidRPr="00797CCE">
        <w:t xml:space="preserve">The average total care minutes per resident per day was 13.5 minutes higher in not-for-profit providers (191.1 care minutes), compared with 177.6 total care minutes for for-profit providers. </w:t>
      </w:r>
    </w:p>
    <w:p w14:paraId="5A951048" w14:textId="75B97863" w:rsidR="006D2EA4" w:rsidRDefault="006D2EA4" w:rsidP="006D2EA4">
      <w:pPr>
        <w:pStyle w:val="Caption"/>
      </w:pPr>
      <w:bookmarkStart w:id="168" w:name="_Ref139550137"/>
      <w:bookmarkStart w:id="169" w:name="_Toc149245213"/>
      <w:bookmarkStart w:id="170" w:name="_Ref136616918"/>
      <w:r>
        <w:t xml:space="preserve">Chart </w:t>
      </w:r>
      <w:r>
        <w:fldChar w:fldCharType="begin"/>
      </w:r>
      <w:r>
        <w:instrText>STYLEREF 1 \s</w:instrText>
      </w:r>
      <w:r>
        <w:fldChar w:fldCharType="separate"/>
      </w:r>
      <w:r w:rsidR="00294B02">
        <w:rPr>
          <w:noProof/>
        </w:rPr>
        <w:t>2</w:t>
      </w:r>
      <w:r>
        <w:fldChar w:fldCharType="end"/>
      </w:r>
      <w:r w:rsidR="00434A28">
        <w:t>.</w:t>
      </w:r>
      <w:r>
        <w:fldChar w:fldCharType="begin"/>
      </w:r>
      <w:r>
        <w:instrText>SEQ Chart \* ARABIC \s 1</w:instrText>
      </w:r>
      <w:r>
        <w:fldChar w:fldCharType="separate"/>
      </w:r>
      <w:r w:rsidR="00294B02">
        <w:rPr>
          <w:noProof/>
        </w:rPr>
        <w:t>1</w:t>
      </w:r>
      <w:r>
        <w:fldChar w:fldCharType="end"/>
      </w:r>
      <w:r>
        <w:t xml:space="preserve">: </w:t>
      </w:r>
      <w:r w:rsidRPr="00444D4B">
        <w:t>Average paid care minutes per resident per day, by ownership type, 2021-22</w:t>
      </w:r>
      <w:bookmarkEnd w:id="168"/>
      <w:bookmarkEnd w:id="169"/>
    </w:p>
    <w:bookmarkEnd w:id="170"/>
    <w:p w14:paraId="628502E6" w14:textId="4EDF1427" w:rsidR="00FF5563" w:rsidRPr="008A35F3" w:rsidRDefault="002D786C" w:rsidP="008A35F3">
      <w:r w:rsidRPr="008A35F3">
        <w:rPr>
          <w:noProof/>
        </w:rPr>
        <w:drawing>
          <wp:inline distT="0" distB="0" distL="0" distR="0" wp14:anchorId="2969FFBF" wp14:editId="035E2AB2">
            <wp:extent cx="5734685" cy="3429000"/>
            <wp:effectExtent l="0" t="0" r="0" b="0"/>
            <wp:docPr id="49" name="Picture 49" descr="Chart 2.1 is a clustered column chart titled Average paid care minutes per resident per day, by ownership type, 2021-22. For-profit providers had a higher average of registered nurse care minutes per resident per day (32.1 care minutes) compared to not-for-profit providers (31.7 care minutes). The average total care minutes per resident per day was 13.5 minutes higher in not-for-profit providers (191.1 total care minutes), compared with 177.6 total care minutes for for-profit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2.1 is a clustered column chart titled Average paid care minutes per resident per day, by ownership type, 2021-22. For-profit providers had a higher average of registered nurse care minutes per resident per day (32.1 care minutes) compared to not-for-profit providers (31.7 care minutes). The average total care minutes per resident per day was 13.5 minutes higher in not-for-profit providers (191.1 total care minutes), compared with 177.6 total care minutes for for-profit provider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4685" cy="3429000"/>
                    </a:xfrm>
                    <a:prstGeom prst="rect">
                      <a:avLst/>
                    </a:prstGeom>
                    <a:noFill/>
                    <a:ln>
                      <a:noFill/>
                    </a:ln>
                  </pic:spPr>
                </pic:pic>
              </a:graphicData>
            </a:graphic>
          </wp:inline>
        </w:drawing>
      </w:r>
    </w:p>
    <w:p w14:paraId="05CEF646" w14:textId="77777777" w:rsidR="001B36C9" w:rsidRPr="00141E46" w:rsidRDefault="008C525B" w:rsidP="00916E4E">
      <w:pPr>
        <w:rPr>
          <w:sz w:val="16"/>
          <w:szCs w:val="16"/>
        </w:rPr>
      </w:pPr>
      <w:r w:rsidRPr="00141E46">
        <w:rPr>
          <w:sz w:val="16"/>
          <w:szCs w:val="16"/>
        </w:rPr>
        <w:t>Note:</w:t>
      </w:r>
      <w:r>
        <w:rPr>
          <w:sz w:val="16"/>
          <w:szCs w:val="16"/>
        </w:rPr>
        <w:t xml:space="preserve"> </w:t>
      </w:r>
      <w:r w:rsidR="00D43672">
        <w:rPr>
          <w:sz w:val="16"/>
          <w:szCs w:val="16"/>
        </w:rPr>
        <w:t xml:space="preserve">Figures are rounded up to </w:t>
      </w:r>
      <w:r w:rsidR="003B68C7">
        <w:rPr>
          <w:sz w:val="16"/>
          <w:szCs w:val="16"/>
        </w:rPr>
        <w:t>1 decimal point</w:t>
      </w:r>
      <w:r w:rsidR="00D43672">
        <w:rPr>
          <w:sz w:val="16"/>
          <w:szCs w:val="16"/>
        </w:rPr>
        <w:t xml:space="preserve"> </w:t>
      </w:r>
      <w:r w:rsidR="00222125">
        <w:rPr>
          <w:sz w:val="16"/>
          <w:szCs w:val="16"/>
        </w:rPr>
        <w:t>and</w:t>
      </w:r>
      <w:r w:rsidR="00D43672">
        <w:rPr>
          <w:sz w:val="16"/>
          <w:szCs w:val="16"/>
        </w:rPr>
        <w:t xml:space="preserve"> the </w:t>
      </w:r>
      <w:r w:rsidR="00222125">
        <w:rPr>
          <w:sz w:val="16"/>
          <w:szCs w:val="16"/>
        </w:rPr>
        <w:t>total figures</w:t>
      </w:r>
      <w:r w:rsidR="00D43672">
        <w:rPr>
          <w:sz w:val="16"/>
          <w:szCs w:val="16"/>
        </w:rPr>
        <w:t xml:space="preserve"> may not add up to </w:t>
      </w:r>
      <w:r w:rsidR="00222125">
        <w:rPr>
          <w:sz w:val="16"/>
          <w:szCs w:val="16"/>
        </w:rPr>
        <w:t>the totals</w:t>
      </w:r>
      <w:r w:rsidR="00D43672">
        <w:rPr>
          <w:sz w:val="16"/>
          <w:szCs w:val="16"/>
        </w:rPr>
        <w:t xml:space="preserve"> due to </w:t>
      </w:r>
      <w:r w:rsidR="00222125">
        <w:rPr>
          <w:sz w:val="16"/>
          <w:szCs w:val="16"/>
        </w:rPr>
        <w:t>this.</w:t>
      </w:r>
    </w:p>
    <w:p w14:paraId="0DDB2EF8" w14:textId="2AD38A15" w:rsidR="0050494A" w:rsidRPr="00CE4AE2" w:rsidRDefault="00F01E61" w:rsidP="00CE4AE2">
      <w:pPr>
        <w:pStyle w:val="Heading3"/>
      </w:pPr>
      <w:r w:rsidRPr="00CE4AE2">
        <w:t>Admission to residential care</w:t>
      </w:r>
    </w:p>
    <w:p w14:paraId="02931683" w14:textId="5FF7BF01" w:rsidR="0050494A" w:rsidRPr="002D74C2" w:rsidRDefault="006E6D0F" w:rsidP="0050494A">
      <w:r w:rsidRPr="002D74C2">
        <w:fldChar w:fldCharType="begin"/>
      </w:r>
      <w:r w:rsidRPr="002D74C2">
        <w:instrText xml:space="preserve"> REF _Ref139552824 \h </w:instrText>
      </w:r>
      <w:r w:rsidRPr="002D74C2">
        <w:fldChar w:fldCharType="separate"/>
      </w:r>
      <w:r w:rsidR="00294B02">
        <w:t xml:space="preserve">Chart </w:t>
      </w:r>
      <w:r w:rsidR="00294B02">
        <w:rPr>
          <w:noProof/>
        </w:rPr>
        <w:t>2</w:t>
      </w:r>
      <w:r w:rsidR="00294B02">
        <w:t>.</w:t>
      </w:r>
      <w:r w:rsidR="00294B02">
        <w:rPr>
          <w:noProof/>
        </w:rPr>
        <w:t>2</w:t>
      </w:r>
      <w:r w:rsidRPr="002D74C2">
        <w:fldChar w:fldCharType="end"/>
      </w:r>
      <w:r w:rsidRPr="002D74C2">
        <w:t xml:space="preserve"> </w:t>
      </w:r>
      <w:r w:rsidR="007B3DA7" w:rsidRPr="002D74C2">
        <w:t>shows the proportion of residents</w:t>
      </w:r>
      <w:r w:rsidR="002C738B" w:rsidRPr="002D74C2">
        <w:t xml:space="preserve"> who entered permanent residential care after leaving home care. </w:t>
      </w:r>
      <w:bookmarkStart w:id="171" w:name="_Hlk137018432"/>
      <w:r w:rsidR="002C738B" w:rsidRPr="002D74C2">
        <w:t>The proportion</w:t>
      </w:r>
      <w:r w:rsidR="00A26F10" w:rsidRPr="002D74C2">
        <w:t xml:space="preserve"> entering residential care has been dropping</w:t>
      </w:r>
      <w:r w:rsidR="00E640AE" w:rsidRPr="002D74C2">
        <w:t xml:space="preserve"> </w:t>
      </w:r>
      <w:r w:rsidR="00E640AE" w:rsidRPr="002D74C2">
        <w:lastRenderedPageBreak/>
        <w:t>consistently</w:t>
      </w:r>
      <w:r w:rsidR="00350CCC" w:rsidRPr="002D74C2">
        <w:t xml:space="preserve"> since 20</w:t>
      </w:r>
      <w:r w:rsidR="00595D8F" w:rsidRPr="002D74C2">
        <w:t>15-16</w:t>
      </w:r>
      <w:r w:rsidR="00CA38A9" w:rsidRPr="002D74C2">
        <w:t>,</w:t>
      </w:r>
      <w:r w:rsidR="00A61744" w:rsidRPr="002D74C2">
        <w:t xml:space="preserve"> and in 2021-22 the proportion</w:t>
      </w:r>
      <w:r w:rsidR="00CA38A9" w:rsidRPr="002D74C2">
        <w:t xml:space="preserve"> of residents entering permanent residential care after leaving home care</w:t>
      </w:r>
      <w:r w:rsidR="00A61744" w:rsidRPr="002D74C2">
        <w:t xml:space="preserve"> stab</w:t>
      </w:r>
      <w:r w:rsidR="00CA38A9" w:rsidRPr="002D74C2">
        <w:t>i</w:t>
      </w:r>
      <w:r w:rsidR="00A61744" w:rsidRPr="002D74C2">
        <w:t>lised</w:t>
      </w:r>
      <w:r w:rsidR="002F1C12" w:rsidRPr="002D74C2">
        <w:t xml:space="preserve"> at 45</w:t>
      </w:r>
      <w:r w:rsidR="00C86933" w:rsidRPr="002D74C2">
        <w:t>.34</w:t>
      </w:r>
      <w:r w:rsidR="002F1C12" w:rsidRPr="002D74C2">
        <w:t xml:space="preserve"> per cent.</w:t>
      </w:r>
    </w:p>
    <w:p w14:paraId="46AB416E" w14:textId="1B91B15D" w:rsidR="0050494A" w:rsidRPr="003411AA" w:rsidRDefault="00615EB9" w:rsidP="00D824EF">
      <w:pPr>
        <w:pStyle w:val="Caption"/>
      </w:pPr>
      <w:bookmarkStart w:id="172" w:name="_Ref139552824"/>
      <w:bookmarkStart w:id="173" w:name="_Ref135747466"/>
      <w:bookmarkStart w:id="174" w:name="_Toc149245214"/>
      <w:bookmarkEnd w:id="171"/>
      <w:r>
        <w:t xml:space="preserve">Chart </w:t>
      </w:r>
      <w:r>
        <w:fldChar w:fldCharType="begin"/>
      </w:r>
      <w:r>
        <w:instrText>STYLEREF 1 \s</w:instrText>
      </w:r>
      <w:r>
        <w:fldChar w:fldCharType="separate"/>
      </w:r>
      <w:r w:rsidR="00294B02">
        <w:rPr>
          <w:noProof/>
        </w:rPr>
        <w:t>2</w:t>
      </w:r>
      <w:r>
        <w:fldChar w:fldCharType="end"/>
      </w:r>
      <w:r w:rsidR="00434A28">
        <w:t>.</w:t>
      </w:r>
      <w:r>
        <w:fldChar w:fldCharType="begin"/>
      </w:r>
      <w:r>
        <w:instrText>SEQ Chart \* ARABIC \s 1</w:instrText>
      </w:r>
      <w:r>
        <w:fldChar w:fldCharType="separate"/>
      </w:r>
      <w:r w:rsidR="00294B02">
        <w:rPr>
          <w:noProof/>
        </w:rPr>
        <w:t>2</w:t>
      </w:r>
      <w:r>
        <w:fldChar w:fldCharType="end"/>
      </w:r>
      <w:bookmarkEnd w:id="172"/>
      <w:r>
        <w:t xml:space="preserve">: </w:t>
      </w:r>
      <w:r w:rsidRPr="0036157F">
        <w:t>Proportion of residents entering permanent residential care after leaving home care, 2013-14 to 2021-22</w:t>
      </w:r>
      <w:bookmarkEnd w:id="173"/>
      <w:bookmarkEnd w:id="174"/>
    </w:p>
    <w:p w14:paraId="0DED07D2" w14:textId="6775456D" w:rsidR="00D824EF" w:rsidRPr="008E2604" w:rsidRDefault="00D824EF" w:rsidP="008E2604">
      <w:r w:rsidRPr="008E2604">
        <w:rPr>
          <w:noProof/>
        </w:rPr>
        <w:drawing>
          <wp:inline distT="0" distB="0" distL="0" distR="0" wp14:anchorId="0B2B0F0C" wp14:editId="125CE590">
            <wp:extent cx="5715000" cy="3418840"/>
            <wp:effectExtent l="0" t="0" r="0" b="0"/>
            <wp:docPr id="51" name="Picture 51" descr="Chart 2.2 is a line chart titled Proportion of residents entering permanent residential care after leaving home care, 2013-14 to 2021-22. The proportion of people entering residential care has been dropping consistently since 2015-16 and fell to 45 per cent in 2020-21 and has stabilised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2.2 is a line chart titled Proportion of residents entering permanent residential care after leaving home care, 2013-14 to 2021-22. The proportion of people entering residential care has been dropping consistently since 2015-16 and fell to 45 per cent in 2020-21 and has stabilised in 2021-22.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5000" cy="3418840"/>
                    </a:xfrm>
                    <a:prstGeom prst="rect">
                      <a:avLst/>
                    </a:prstGeom>
                    <a:noFill/>
                    <a:ln>
                      <a:noFill/>
                    </a:ln>
                  </pic:spPr>
                </pic:pic>
              </a:graphicData>
            </a:graphic>
          </wp:inline>
        </w:drawing>
      </w:r>
    </w:p>
    <w:p w14:paraId="260761E4" w14:textId="77777777" w:rsidR="00307D7F" w:rsidRDefault="00307D7F" w:rsidP="008A35F3">
      <w:pPr>
        <w:pStyle w:val="Heading3"/>
      </w:pPr>
      <w:r w:rsidRPr="00916E4E">
        <w:t xml:space="preserve">Length of stay in residential </w:t>
      </w:r>
      <w:proofErr w:type="gramStart"/>
      <w:r w:rsidRPr="00916E4E">
        <w:t>care</w:t>
      </w:r>
      <w:proofErr w:type="gramEnd"/>
    </w:p>
    <w:p w14:paraId="46DD16B9" w14:textId="62915B81" w:rsidR="007C433A" w:rsidRDefault="007C433A" w:rsidP="00B26D83">
      <w:r>
        <w:t xml:space="preserve">In 2021–22, the average total length of stay of those </w:t>
      </w:r>
      <w:r w:rsidR="001846EF">
        <w:t xml:space="preserve">living in </w:t>
      </w:r>
      <w:r>
        <w:t>residential care was 3</w:t>
      </w:r>
      <w:r w:rsidR="00E57F53">
        <w:t>.1</w:t>
      </w:r>
      <w:r>
        <w:rPr>
          <w:spacing w:val="-4"/>
        </w:rPr>
        <w:t xml:space="preserve"> </w:t>
      </w:r>
      <w:r>
        <w:t>years. As can be seen in</w:t>
      </w:r>
      <w:r w:rsidR="009C7717">
        <w:t xml:space="preserve"> </w:t>
      </w:r>
      <w:r w:rsidR="006E6D0F">
        <w:fldChar w:fldCharType="begin"/>
      </w:r>
      <w:r w:rsidR="006E6D0F">
        <w:instrText xml:space="preserve"> REF _Ref139552856 \h </w:instrText>
      </w:r>
      <w:r w:rsidR="006E6D0F">
        <w:fldChar w:fldCharType="separate"/>
      </w:r>
      <w:r w:rsidR="00294B02">
        <w:t xml:space="preserve">Chart </w:t>
      </w:r>
      <w:r w:rsidR="00294B02">
        <w:rPr>
          <w:noProof/>
        </w:rPr>
        <w:t>2</w:t>
      </w:r>
      <w:r w:rsidR="00294B02">
        <w:t>.</w:t>
      </w:r>
      <w:r w:rsidR="00294B02">
        <w:rPr>
          <w:noProof/>
        </w:rPr>
        <w:t>3</w:t>
      </w:r>
      <w:r w:rsidR="006E6D0F">
        <w:fldChar w:fldCharType="end"/>
      </w:r>
      <w:r>
        <w:t>,</w:t>
      </w:r>
      <w:r>
        <w:rPr>
          <w:spacing w:val="-6"/>
        </w:rPr>
        <w:t xml:space="preserve"> </w:t>
      </w:r>
      <w:r>
        <w:t>the</w:t>
      </w:r>
      <w:r>
        <w:rPr>
          <w:spacing w:val="-6"/>
        </w:rPr>
        <w:t xml:space="preserve"> </w:t>
      </w:r>
      <w:r>
        <w:t>total</w:t>
      </w:r>
      <w:r>
        <w:rPr>
          <w:spacing w:val="-6"/>
        </w:rPr>
        <w:t xml:space="preserve"> </w:t>
      </w:r>
      <w:r>
        <w:t>length</w:t>
      </w:r>
      <w:r>
        <w:rPr>
          <w:spacing w:val="-6"/>
        </w:rPr>
        <w:t xml:space="preserve"> </w:t>
      </w:r>
      <w:r>
        <w:t>of</w:t>
      </w:r>
      <w:r>
        <w:rPr>
          <w:spacing w:val="-6"/>
        </w:rPr>
        <w:t xml:space="preserve"> </w:t>
      </w:r>
      <w:r>
        <w:t>stay</w:t>
      </w:r>
      <w:r>
        <w:rPr>
          <w:spacing w:val="-6"/>
        </w:rPr>
        <w:t xml:space="preserve"> </w:t>
      </w:r>
      <w:r>
        <w:t>has</w:t>
      </w:r>
      <w:r>
        <w:rPr>
          <w:spacing w:val="-6"/>
        </w:rPr>
        <w:t xml:space="preserve"> </w:t>
      </w:r>
      <w:r w:rsidR="002B5D59">
        <w:t>been increasing slightly since 2</w:t>
      </w:r>
      <w:r w:rsidR="004A50D7">
        <w:t>019-20</w:t>
      </w:r>
      <w:r>
        <w:t>.</w:t>
      </w:r>
      <w:r>
        <w:rPr>
          <w:spacing w:val="-2"/>
        </w:rPr>
        <w:t xml:space="preserve"> </w:t>
      </w:r>
      <w:r>
        <w:t>Females</w:t>
      </w:r>
      <w:r>
        <w:rPr>
          <w:spacing w:val="-2"/>
        </w:rPr>
        <w:t xml:space="preserve"> </w:t>
      </w:r>
      <w:r>
        <w:t>stayed</w:t>
      </w:r>
      <w:r>
        <w:rPr>
          <w:spacing w:val="-2"/>
        </w:rPr>
        <w:t xml:space="preserve"> </w:t>
      </w:r>
      <w:r>
        <w:t>on</w:t>
      </w:r>
      <w:r>
        <w:rPr>
          <w:spacing w:val="-2"/>
        </w:rPr>
        <w:t xml:space="preserve"> </w:t>
      </w:r>
      <w:r>
        <w:t xml:space="preserve">average around </w:t>
      </w:r>
      <w:r w:rsidR="00362690">
        <w:t xml:space="preserve">1 year </w:t>
      </w:r>
      <w:r>
        <w:t>longer than males in 202</w:t>
      </w:r>
      <w:r w:rsidR="00362690">
        <w:t>1</w:t>
      </w:r>
      <w:r>
        <w:t>–2</w:t>
      </w:r>
      <w:r w:rsidR="00362690">
        <w:t>2</w:t>
      </w:r>
      <w:r>
        <w:t>.</w:t>
      </w:r>
    </w:p>
    <w:p w14:paraId="5E515414" w14:textId="0DBDD69C" w:rsidR="0098561C" w:rsidRPr="00E70854" w:rsidRDefault="00E70854" w:rsidP="00E70854">
      <w:r w:rsidRPr="00E70854">
        <w:t xml:space="preserve">The slight increase in average length of stay over the last two years is likely driven by a decrease in admissions in those years. Admissions to permanent care in 2020-21 and 2021-22 were both lower than at any point in the previous five years, and this relatively low number of new entrants has translated into fewer people exiting in that period with stays less than two years. The average length of stay of people </w:t>
      </w:r>
      <w:r w:rsidR="0082620F">
        <w:t>exiting</w:t>
      </w:r>
      <w:r w:rsidR="0082620F" w:rsidRPr="00E70854">
        <w:t xml:space="preserve"> </w:t>
      </w:r>
      <w:r w:rsidRPr="00E70854">
        <w:t>in those years has increased as a result.</w:t>
      </w:r>
    </w:p>
    <w:p w14:paraId="38CFE7FB" w14:textId="57BA7436" w:rsidR="006E6D0F" w:rsidRDefault="006E6D0F" w:rsidP="006E6D0F">
      <w:pPr>
        <w:pStyle w:val="Caption"/>
      </w:pPr>
      <w:bookmarkStart w:id="175" w:name="_Ref139552856"/>
      <w:bookmarkStart w:id="176" w:name="_Toc149245215"/>
      <w:bookmarkStart w:id="177" w:name="_Ref135756487"/>
      <w:r>
        <w:lastRenderedPageBreak/>
        <w:t xml:space="preserve">Chart </w:t>
      </w:r>
      <w:r>
        <w:fldChar w:fldCharType="begin"/>
      </w:r>
      <w:r>
        <w:instrText>STYLEREF 1 \s</w:instrText>
      </w:r>
      <w:r>
        <w:fldChar w:fldCharType="separate"/>
      </w:r>
      <w:r w:rsidR="00294B02">
        <w:rPr>
          <w:noProof/>
        </w:rPr>
        <w:t>2</w:t>
      </w:r>
      <w:r>
        <w:fldChar w:fldCharType="end"/>
      </w:r>
      <w:r w:rsidR="00434A28">
        <w:t>.</w:t>
      </w:r>
      <w:r>
        <w:fldChar w:fldCharType="begin"/>
      </w:r>
      <w:r>
        <w:instrText>SEQ Chart \* ARABIC \s 1</w:instrText>
      </w:r>
      <w:r>
        <w:fldChar w:fldCharType="separate"/>
      </w:r>
      <w:r w:rsidR="00294B02">
        <w:rPr>
          <w:noProof/>
        </w:rPr>
        <w:t>3</w:t>
      </w:r>
      <w:r>
        <w:fldChar w:fldCharType="end"/>
      </w:r>
      <w:bookmarkEnd w:id="175"/>
      <w:r>
        <w:t xml:space="preserve">: </w:t>
      </w:r>
      <w:r w:rsidRPr="005B3188">
        <w:t>Average length of stay in residential care, by gender and year of entry, 2012-13 to 2021-22</w:t>
      </w:r>
      <w:bookmarkEnd w:id="176"/>
    </w:p>
    <w:bookmarkEnd w:id="177"/>
    <w:p w14:paraId="1553ABE3" w14:textId="03B74BCE" w:rsidR="00BB429E" w:rsidRPr="008E2604" w:rsidRDefault="001922F4" w:rsidP="008E2604">
      <w:r w:rsidRPr="008E2604">
        <w:rPr>
          <w:noProof/>
        </w:rPr>
        <w:drawing>
          <wp:inline distT="0" distB="0" distL="0" distR="0" wp14:anchorId="09BF9213" wp14:editId="72E8CC03">
            <wp:extent cx="5734687" cy="3429000"/>
            <wp:effectExtent l="0" t="0" r="0" b="0"/>
            <wp:docPr id="53" name="Picture 53" descr="Chart 2.3 is a line chart titled Average length of stay in residential care, by gender and year of entry, 2012-13 to 2021-22. In 2021-22 the average total length of stay of those leaving residential care was 3.1 years. The total length of stay has increased by 0.2 since 2012-13. Females on averaged around 12 months longer than males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2.3 is a line chart titled Average length of stay in residential care, by gender and year of entry, 2012-13 to 2021-22. In 2021-22 the average total length of stay of those leaving residential care was 3.1 years. The total length of stay has increased by 0.2 since 2012-13. Females on averaged around 12 months longer than males in 2021-22. "/>
                    <pic:cNvPicPr/>
                  </pic:nvPicPr>
                  <pic:blipFill>
                    <a:blip r:embed="rId53">
                      <a:extLst>
                        <a:ext uri="{28A0092B-C50C-407E-A947-70E740481C1C}">
                          <a14:useLocalDpi xmlns:a14="http://schemas.microsoft.com/office/drawing/2010/main" val="0"/>
                        </a:ext>
                      </a:extLst>
                    </a:blip>
                    <a:stretch>
                      <a:fillRect/>
                    </a:stretch>
                  </pic:blipFill>
                  <pic:spPr>
                    <a:xfrm>
                      <a:off x="0" y="0"/>
                      <a:ext cx="5734687" cy="3429000"/>
                    </a:xfrm>
                    <a:prstGeom prst="rect">
                      <a:avLst/>
                    </a:prstGeom>
                  </pic:spPr>
                </pic:pic>
              </a:graphicData>
            </a:graphic>
          </wp:inline>
        </w:drawing>
      </w:r>
    </w:p>
    <w:p w14:paraId="2A5EEC06" w14:textId="79348AAD" w:rsidR="002A6F56" w:rsidRPr="00A93ED5" w:rsidRDefault="006E6D0F" w:rsidP="002A6F56">
      <w:r>
        <w:fldChar w:fldCharType="begin"/>
      </w:r>
      <w:r>
        <w:instrText xml:space="preserve"> REF _Ref139552886 \h </w:instrText>
      </w:r>
      <w:r>
        <w:fldChar w:fldCharType="separate"/>
      </w:r>
      <w:r w:rsidR="00294B02">
        <w:t xml:space="preserve">Chart </w:t>
      </w:r>
      <w:r w:rsidR="00294B02">
        <w:rPr>
          <w:noProof/>
        </w:rPr>
        <w:t>2</w:t>
      </w:r>
      <w:r w:rsidR="00294B02">
        <w:t>.</w:t>
      </w:r>
      <w:r w:rsidR="00294B02">
        <w:rPr>
          <w:noProof/>
        </w:rPr>
        <w:t>4</w:t>
      </w:r>
      <w:r>
        <w:fldChar w:fldCharType="end"/>
      </w:r>
      <w:r w:rsidR="00A10F06" w:rsidRPr="00A93ED5">
        <w:t xml:space="preserve"> </w:t>
      </w:r>
      <w:r w:rsidR="00A10F06" w:rsidRPr="00A10F06">
        <w:t>shows</w:t>
      </w:r>
      <w:r w:rsidR="00A92C80">
        <w:t xml:space="preserve"> </w:t>
      </w:r>
      <w:r w:rsidR="00A92C80" w:rsidRPr="00A93ED5">
        <w:t>a slight decrease in the proportion of permanent</w:t>
      </w:r>
      <w:r w:rsidR="00A92C80" w:rsidRPr="00A93ED5">
        <w:rPr>
          <w:spacing w:val="-8"/>
        </w:rPr>
        <w:t xml:space="preserve"> </w:t>
      </w:r>
      <w:r w:rsidR="00A92C80" w:rsidRPr="00A93ED5">
        <w:t>residents</w:t>
      </w:r>
      <w:r w:rsidR="00A92C80" w:rsidRPr="00A93ED5">
        <w:rPr>
          <w:spacing w:val="-8"/>
        </w:rPr>
        <w:t xml:space="preserve"> </w:t>
      </w:r>
      <w:r w:rsidR="00A92C80" w:rsidRPr="00A93ED5">
        <w:t>that</w:t>
      </w:r>
      <w:r w:rsidR="00A92C80" w:rsidRPr="00A93ED5">
        <w:rPr>
          <w:spacing w:val="-8"/>
        </w:rPr>
        <w:t xml:space="preserve"> </w:t>
      </w:r>
      <w:r w:rsidR="00A92C80" w:rsidRPr="00A93ED5">
        <w:t>leave</w:t>
      </w:r>
      <w:r w:rsidR="00A92C80" w:rsidRPr="00A93ED5">
        <w:rPr>
          <w:spacing w:val="-8"/>
        </w:rPr>
        <w:t xml:space="preserve"> </w:t>
      </w:r>
      <w:r w:rsidR="00A92C80" w:rsidRPr="00A93ED5">
        <w:t>within</w:t>
      </w:r>
      <w:r w:rsidR="00A92C80" w:rsidRPr="00A93ED5">
        <w:rPr>
          <w:spacing w:val="-8"/>
        </w:rPr>
        <w:t xml:space="preserve"> </w:t>
      </w:r>
      <w:r w:rsidR="00A92C80" w:rsidRPr="00A93ED5">
        <w:t>3</w:t>
      </w:r>
      <w:r w:rsidR="00170754">
        <w:t xml:space="preserve"> and </w:t>
      </w:r>
      <w:r w:rsidR="00A92C80" w:rsidRPr="00A93ED5">
        <w:t>6</w:t>
      </w:r>
      <w:r w:rsidR="00170754">
        <w:t xml:space="preserve"> months</w:t>
      </w:r>
      <w:r w:rsidR="00FA2228">
        <w:t>.</w:t>
      </w:r>
      <w:r w:rsidR="008A6D0E">
        <w:t xml:space="preserve"> </w:t>
      </w:r>
      <w:r w:rsidR="00FA2228">
        <w:t>T</w:t>
      </w:r>
      <w:r w:rsidR="00122E70">
        <w:t xml:space="preserve">he proportion </w:t>
      </w:r>
      <w:r w:rsidR="00122E70">
        <w:rPr>
          <w:spacing w:val="-8"/>
        </w:rPr>
        <w:t>of permanent residents that leave within</w:t>
      </w:r>
      <w:r w:rsidR="00A92C80" w:rsidRPr="00A93ED5">
        <w:rPr>
          <w:spacing w:val="-8"/>
        </w:rPr>
        <w:t xml:space="preserve"> </w:t>
      </w:r>
      <w:r w:rsidR="00A92C80" w:rsidRPr="00A93ED5">
        <w:t>12</w:t>
      </w:r>
      <w:r w:rsidR="00A92C80" w:rsidRPr="00A93ED5">
        <w:rPr>
          <w:spacing w:val="-8"/>
        </w:rPr>
        <w:t xml:space="preserve"> </w:t>
      </w:r>
      <w:r w:rsidR="00A92C80" w:rsidRPr="00A93ED5">
        <w:t xml:space="preserve">months of first entry </w:t>
      </w:r>
      <w:r w:rsidR="00122E70">
        <w:t xml:space="preserve">has remained steady </w:t>
      </w:r>
      <w:r w:rsidR="00A92C80" w:rsidRPr="00A93ED5">
        <w:t>since 20</w:t>
      </w:r>
      <w:r w:rsidR="00E966B3">
        <w:t>2</w:t>
      </w:r>
      <w:r w:rsidR="00BD6B23">
        <w:t>0-21</w:t>
      </w:r>
      <w:r w:rsidR="00A92C80" w:rsidRPr="00A93ED5">
        <w:t>.</w:t>
      </w:r>
    </w:p>
    <w:p w14:paraId="65FC413D" w14:textId="141BED67" w:rsidR="002A6F56" w:rsidRPr="00CE4AE2" w:rsidRDefault="006E6D0F" w:rsidP="00061908">
      <w:pPr>
        <w:pStyle w:val="Caption"/>
      </w:pPr>
      <w:bookmarkStart w:id="178" w:name="_Ref139552886"/>
      <w:bookmarkStart w:id="179" w:name="_Ref135813844"/>
      <w:bookmarkStart w:id="180" w:name="_Toc149245216"/>
      <w:r>
        <w:t xml:space="preserve">Chart </w:t>
      </w:r>
      <w:r>
        <w:fldChar w:fldCharType="begin"/>
      </w:r>
      <w:r>
        <w:instrText>STYLEREF 1 \s</w:instrText>
      </w:r>
      <w:r>
        <w:fldChar w:fldCharType="separate"/>
      </w:r>
      <w:r w:rsidR="00294B02">
        <w:rPr>
          <w:noProof/>
        </w:rPr>
        <w:t>2</w:t>
      </w:r>
      <w:r>
        <w:fldChar w:fldCharType="end"/>
      </w:r>
      <w:r w:rsidR="00434A28">
        <w:t>.</w:t>
      </w:r>
      <w:r>
        <w:fldChar w:fldCharType="begin"/>
      </w:r>
      <w:r>
        <w:instrText>SEQ Chart \* ARABIC \s 1</w:instrText>
      </w:r>
      <w:r>
        <w:fldChar w:fldCharType="separate"/>
      </w:r>
      <w:r w:rsidR="00294B02">
        <w:rPr>
          <w:noProof/>
        </w:rPr>
        <w:t>4</w:t>
      </w:r>
      <w:r>
        <w:fldChar w:fldCharType="end"/>
      </w:r>
      <w:bookmarkEnd w:id="178"/>
      <w:r>
        <w:t xml:space="preserve">: </w:t>
      </w:r>
      <w:r w:rsidRPr="007B3F6A">
        <w:t>Proportion of permanent residents that leave within 3, 6 or 12 months of first entry, 2011-12 to 2021-22</w:t>
      </w:r>
      <w:bookmarkEnd w:id="179"/>
      <w:bookmarkEnd w:id="180"/>
    </w:p>
    <w:p w14:paraId="20A8BEC7" w14:textId="08ABDF3C" w:rsidR="005618B1" w:rsidRPr="008E2604" w:rsidRDefault="005618B1" w:rsidP="008E2604">
      <w:r w:rsidRPr="008E2604">
        <w:rPr>
          <w:noProof/>
        </w:rPr>
        <w:drawing>
          <wp:inline distT="0" distB="0" distL="0" distR="0" wp14:anchorId="7726A584" wp14:editId="11F5FAB5">
            <wp:extent cx="5109882" cy="3103303"/>
            <wp:effectExtent l="0" t="0" r="0" b="1905"/>
            <wp:docPr id="54" name="Picture 54" descr="Chart 2.4 is a line chart titled Proportion of permanent residents that leave within 3, 6 or 12 months of first entry, 2011-12 to 2021-22. There has been a slight decrease in the proportion of permanent residents that leave within 3, 6 or 12 months of first entry since 2011-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2.4 is a line chart titled Proportion of permanent residents that leave within 3, 6 or 12 months of first entry, 2011-12 to 2021-22. There has been a slight decrease in the proportion of permanent residents that leave within 3, 6 or 12 months of first entry since 2011-12.&#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25489" cy="3112781"/>
                    </a:xfrm>
                    <a:prstGeom prst="rect">
                      <a:avLst/>
                    </a:prstGeom>
                    <a:noFill/>
                    <a:ln>
                      <a:noFill/>
                    </a:ln>
                  </pic:spPr>
                </pic:pic>
              </a:graphicData>
            </a:graphic>
          </wp:inline>
        </w:drawing>
      </w:r>
    </w:p>
    <w:p w14:paraId="7BEEB10D" w14:textId="77777777" w:rsidR="000B0E24" w:rsidRPr="008A35F3" w:rsidRDefault="000B0E24" w:rsidP="008A35F3">
      <w:r w:rsidRPr="008A35F3">
        <w:br w:type="page"/>
      </w:r>
    </w:p>
    <w:p w14:paraId="16865FBF" w14:textId="4338FA7F" w:rsidR="002A6F56" w:rsidRPr="008A35F3" w:rsidRDefault="00EF2D70" w:rsidP="008A35F3">
      <w:pPr>
        <w:pStyle w:val="Heading3"/>
      </w:pPr>
      <w:r w:rsidRPr="008A35F3">
        <w:lastRenderedPageBreak/>
        <w:t>Residential respite care</w:t>
      </w:r>
    </w:p>
    <w:p w14:paraId="1CDC0B3F" w14:textId="6582C1B5" w:rsidR="00321CA8" w:rsidRDefault="00A42EA1" w:rsidP="00A42EA1">
      <w:r>
        <w:t>Residential</w:t>
      </w:r>
      <w:r>
        <w:rPr>
          <w:spacing w:val="-11"/>
        </w:rPr>
        <w:t xml:space="preserve"> </w:t>
      </w:r>
      <w:r>
        <w:t>respite</w:t>
      </w:r>
      <w:r>
        <w:rPr>
          <w:spacing w:val="-11"/>
        </w:rPr>
        <w:t xml:space="preserve"> </w:t>
      </w:r>
      <w:r>
        <w:t>care</w:t>
      </w:r>
      <w:r>
        <w:rPr>
          <w:spacing w:val="-11"/>
        </w:rPr>
        <w:t xml:space="preserve"> </w:t>
      </w:r>
      <w:r>
        <w:t>is</w:t>
      </w:r>
      <w:r>
        <w:rPr>
          <w:spacing w:val="-11"/>
        </w:rPr>
        <w:t xml:space="preserve"> </w:t>
      </w:r>
      <w:r>
        <w:t>short-term</w:t>
      </w:r>
      <w:r>
        <w:rPr>
          <w:spacing w:val="-11"/>
        </w:rPr>
        <w:t xml:space="preserve"> </w:t>
      </w:r>
      <w:r>
        <w:t>care</w:t>
      </w:r>
      <w:r>
        <w:rPr>
          <w:spacing w:val="-11"/>
        </w:rPr>
        <w:t xml:space="preserve"> </w:t>
      </w:r>
      <w:r>
        <w:t>delivered within an aged care facility</w:t>
      </w:r>
      <w:r w:rsidR="00AD745F">
        <w:rPr>
          <w:rStyle w:val="FootnoteReference"/>
        </w:rPr>
        <w:footnoteReference w:id="3"/>
      </w:r>
      <w:r>
        <w:t xml:space="preserve"> on either a planned or emergency</w:t>
      </w:r>
      <w:r>
        <w:rPr>
          <w:spacing w:val="-3"/>
        </w:rPr>
        <w:t xml:space="preserve"> </w:t>
      </w:r>
      <w:r>
        <w:t>basis.</w:t>
      </w:r>
      <w:r>
        <w:rPr>
          <w:spacing w:val="-3"/>
        </w:rPr>
        <w:t xml:space="preserve"> </w:t>
      </w:r>
      <w:r>
        <w:t>People</w:t>
      </w:r>
      <w:r>
        <w:rPr>
          <w:spacing w:val="-3"/>
        </w:rPr>
        <w:t xml:space="preserve"> </w:t>
      </w:r>
      <w:r>
        <w:t>are</w:t>
      </w:r>
      <w:r>
        <w:rPr>
          <w:spacing w:val="-3"/>
        </w:rPr>
        <w:t xml:space="preserve"> </w:t>
      </w:r>
      <w:r>
        <w:t>assessed</w:t>
      </w:r>
      <w:r>
        <w:rPr>
          <w:spacing w:val="-3"/>
        </w:rPr>
        <w:t xml:space="preserve"> </w:t>
      </w:r>
      <w:r>
        <w:t>for</w:t>
      </w:r>
      <w:r>
        <w:rPr>
          <w:spacing w:val="-3"/>
        </w:rPr>
        <w:t xml:space="preserve"> </w:t>
      </w:r>
      <w:r>
        <w:t>eligibility by</w:t>
      </w:r>
      <w:r>
        <w:rPr>
          <w:spacing w:val="-11"/>
        </w:rPr>
        <w:t xml:space="preserve"> </w:t>
      </w:r>
      <w:r>
        <w:t>an</w:t>
      </w:r>
      <w:r>
        <w:rPr>
          <w:spacing w:val="-11"/>
        </w:rPr>
        <w:t xml:space="preserve"> </w:t>
      </w:r>
      <w:r>
        <w:t>ACAT,</w:t>
      </w:r>
      <w:r>
        <w:rPr>
          <w:spacing w:val="-11"/>
        </w:rPr>
        <w:t xml:space="preserve"> </w:t>
      </w:r>
      <w:r>
        <w:t>who</w:t>
      </w:r>
      <w:r>
        <w:rPr>
          <w:spacing w:val="-11"/>
        </w:rPr>
        <w:t xml:space="preserve"> </w:t>
      </w:r>
      <w:r>
        <w:t>will approve someone for low care respite or high care</w:t>
      </w:r>
      <w:r w:rsidR="00793BEF">
        <w:t xml:space="preserve"> </w:t>
      </w:r>
      <w:r>
        <w:t>respite.</w:t>
      </w:r>
      <w:r>
        <w:rPr>
          <w:spacing w:val="-9"/>
        </w:rPr>
        <w:t xml:space="preserve"> </w:t>
      </w:r>
      <w:r>
        <w:t>A</w:t>
      </w:r>
      <w:r w:rsidDel="00AE05B9">
        <w:t xml:space="preserve"> </w:t>
      </w:r>
      <w:r w:rsidR="00AE05B9">
        <w:t>resident</w:t>
      </w:r>
      <w:r>
        <w:t xml:space="preserve"> can access subsidised residential respite for up to 63 days per financial year, with </w:t>
      </w:r>
      <w:r w:rsidR="00E304A3">
        <w:t>the possibility of extending for</w:t>
      </w:r>
      <w:r w:rsidR="00986FB7">
        <w:t xml:space="preserve"> </w:t>
      </w:r>
      <w:r w:rsidR="00E37920">
        <w:t>a further</w:t>
      </w:r>
      <w:r w:rsidR="00E53302">
        <w:t xml:space="preserve"> 21 days </w:t>
      </w:r>
      <w:r w:rsidR="00ED576A">
        <w:t xml:space="preserve">subject to ACAT approval. </w:t>
      </w:r>
      <w:r w:rsidR="00E53302">
        <w:t xml:space="preserve"> </w:t>
      </w:r>
    </w:p>
    <w:p w14:paraId="7EF4FEE8" w14:textId="6D185A18" w:rsidR="008C5914" w:rsidRPr="00EF7A4A" w:rsidRDefault="00156766" w:rsidP="008C5914">
      <w:r w:rsidRPr="00EF7A4A">
        <w:t xml:space="preserve">As shown in </w:t>
      </w:r>
      <w:r w:rsidR="00E46CCA">
        <w:fldChar w:fldCharType="begin"/>
      </w:r>
      <w:r w:rsidR="00E46CCA">
        <w:instrText xml:space="preserve"> REF _Ref139552945 \h </w:instrText>
      </w:r>
      <w:r w:rsidR="00E46CCA">
        <w:fldChar w:fldCharType="separate"/>
      </w:r>
      <w:r w:rsidR="00294B02">
        <w:t xml:space="preserve">Chart </w:t>
      </w:r>
      <w:r w:rsidR="00294B02">
        <w:rPr>
          <w:noProof/>
        </w:rPr>
        <w:t>2</w:t>
      </w:r>
      <w:r w:rsidR="00294B02">
        <w:t>.</w:t>
      </w:r>
      <w:r w:rsidR="00294B02">
        <w:rPr>
          <w:noProof/>
        </w:rPr>
        <w:t>5</w:t>
      </w:r>
      <w:r w:rsidR="00E46CCA">
        <w:fldChar w:fldCharType="end"/>
      </w:r>
      <w:r>
        <w:t>, the</w:t>
      </w:r>
      <w:r w:rsidR="00B33268" w:rsidRPr="00EF7A4A">
        <w:t xml:space="preserve"> average</w:t>
      </w:r>
      <w:r>
        <w:t xml:space="preserve"> </w:t>
      </w:r>
      <w:r w:rsidR="0000631A" w:rsidRPr="00EF7A4A">
        <w:t>stay</w:t>
      </w:r>
      <w:r w:rsidR="003944C2">
        <w:rPr>
          <w:rStyle w:val="FootnoteReference"/>
        </w:rPr>
        <w:footnoteReference w:id="4"/>
      </w:r>
      <w:r>
        <w:t xml:space="preserve"> in residential respite care</w:t>
      </w:r>
      <w:r w:rsidR="0000631A" w:rsidRPr="00EF7A4A">
        <w:t xml:space="preserve"> </w:t>
      </w:r>
      <w:r w:rsidR="001A6A65" w:rsidRPr="00EF7A4A">
        <w:t xml:space="preserve">was </w:t>
      </w:r>
      <w:r w:rsidR="00EF7A4A" w:rsidRPr="00EF7A4A">
        <w:t>30.4 days</w:t>
      </w:r>
      <w:r w:rsidR="00EB1707">
        <w:rPr>
          <w:rStyle w:val="FootnoteReference"/>
        </w:rPr>
        <w:footnoteReference w:id="5"/>
      </w:r>
      <w:r w:rsidR="00EF7A4A" w:rsidRPr="00EF7A4A">
        <w:t xml:space="preserve"> in 2021-22</w:t>
      </w:r>
      <w:r w:rsidR="004B0CF1">
        <w:t xml:space="preserve">, an </w:t>
      </w:r>
      <w:r w:rsidR="00072810">
        <w:t xml:space="preserve">increase </w:t>
      </w:r>
      <w:r w:rsidR="00C114CC">
        <w:t>from 28.6</w:t>
      </w:r>
      <w:r w:rsidR="00B7201F">
        <w:t xml:space="preserve"> </w:t>
      </w:r>
      <w:r w:rsidR="004B0CF1">
        <w:t>days</w:t>
      </w:r>
      <w:r w:rsidR="00B7201F">
        <w:t xml:space="preserve"> in 2020-21</w:t>
      </w:r>
      <w:r w:rsidR="00920F0F">
        <w:t>.</w:t>
      </w:r>
      <w:r w:rsidR="008D0CCA">
        <w:t xml:space="preserve"> Since 201</w:t>
      </w:r>
      <w:r w:rsidR="00956EAA">
        <w:t>8</w:t>
      </w:r>
      <w:r w:rsidR="008D0CCA">
        <w:t>-</w:t>
      </w:r>
      <w:r w:rsidR="00956EAA">
        <w:t>19</w:t>
      </w:r>
      <w:r w:rsidR="008D0CCA">
        <w:t>, there has been a steady increase</w:t>
      </w:r>
      <w:r w:rsidR="00956EAA">
        <w:t xml:space="preserve"> in the average length of stay</w:t>
      </w:r>
      <w:r w:rsidR="004B2E53">
        <w:t xml:space="preserve"> in residential respite care</w:t>
      </w:r>
      <w:r w:rsidR="00070911">
        <w:t xml:space="preserve"> by an average of 1.5 days. </w:t>
      </w:r>
    </w:p>
    <w:p w14:paraId="6F8AA28F" w14:textId="73E4D8A6" w:rsidR="006E6D0F" w:rsidRDefault="006E6D0F" w:rsidP="006E6D0F">
      <w:pPr>
        <w:pStyle w:val="Caption"/>
      </w:pPr>
      <w:bookmarkStart w:id="181" w:name="_Ref139552945"/>
      <w:bookmarkStart w:id="182" w:name="_Toc149245217"/>
      <w:bookmarkStart w:id="183" w:name="_Ref135814601"/>
      <w:r>
        <w:t xml:space="preserve">Chart </w:t>
      </w:r>
      <w:r>
        <w:fldChar w:fldCharType="begin"/>
      </w:r>
      <w:r>
        <w:instrText>STYLEREF 1 \s</w:instrText>
      </w:r>
      <w:r>
        <w:fldChar w:fldCharType="separate"/>
      </w:r>
      <w:r w:rsidR="00294B02">
        <w:rPr>
          <w:noProof/>
        </w:rPr>
        <w:t>2</w:t>
      </w:r>
      <w:r>
        <w:fldChar w:fldCharType="end"/>
      </w:r>
      <w:r w:rsidR="00434A28">
        <w:t>.</w:t>
      </w:r>
      <w:r>
        <w:fldChar w:fldCharType="begin"/>
      </w:r>
      <w:r>
        <w:instrText>SEQ Chart \* ARABIC \s 1</w:instrText>
      </w:r>
      <w:r>
        <w:fldChar w:fldCharType="separate"/>
      </w:r>
      <w:r w:rsidR="00294B02">
        <w:rPr>
          <w:noProof/>
        </w:rPr>
        <w:t>5</w:t>
      </w:r>
      <w:r>
        <w:fldChar w:fldCharType="end"/>
      </w:r>
      <w:bookmarkEnd w:id="181"/>
      <w:r>
        <w:t xml:space="preserve">: </w:t>
      </w:r>
      <w:r w:rsidRPr="00CC63FF">
        <w:t>Average length of stay (days) in residential respite care, 2017-18 to 2021-22</w:t>
      </w:r>
      <w:bookmarkEnd w:id="182"/>
    </w:p>
    <w:bookmarkEnd w:id="183"/>
    <w:p w14:paraId="7C8AD924" w14:textId="5D53D481" w:rsidR="00F70B0E" w:rsidRPr="008E2604" w:rsidRDefault="00F70B0E" w:rsidP="008E2604">
      <w:r w:rsidRPr="008E2604">
        <w:rPr>
          <w:noProof/>
        </w:rPr>
        <w:drawing>
          <wp:inline distT="0" distB="0" distL="0" distR="0" wp14:anchorId="287DC8BE" wp14:editId="509DF211">
            <wp:extent cx="5685155" cy="3429000"/>
            <wp:effectExtent l="0" t="0" r="0" b="0"/>
            <wp:docPr id="55" name="Picture 55" descr="Chart 2.5 is a column chart titled Average length of stay (days) in residential respite care, 2017-18 to 2021-22. On average, each stay (a single stay, from entry to exit, regardless of the duration) was 30.4 days  (excluding recipients of home care packaged who access residential respite care), a significant increase from 28.6 in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2.5 is a column chart titled Average length of stay (days) in residential respite care, 2017-18 to 2021-22. On average, each stay (a single stay, from entry to exit, regardless of the duration) was 30.4 days  (excluding recipients of home care packaged who access residential respite care), a significant increase from 28.6 in 2020-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85155" cy="3429000"/>
                    </a:xfrm>
                    <a:prstGeom prst="rect">
                      <a:avLst/>
                    </a:prstGeom>
                    <a:noFill/>
                    <a:ln>
                      <a:noFill/>
                    </a:ln>
                  </pic:spPr>
                </pic:pic>
              </a:graphicData>
            </a:graphic>
          </wp:inline>
        </w:drawing>
      </w:r>
    </w:p>
    <w:p w14:paraId="1BAEA673" w14:textId="2F4D7E83" w:rsidR="008C5914" w:rsidRPr="00CE4AE2" w:rsidRDefault="00650CA4" w:rsidP="00CE4AE2">
      <w:r w:rsidRPr="00CE4AE2">
        <w:fldChar w:fldCharType="begin"/>
      </w:r>
      <w:r w:rsidRPr="00CE4AE2">
        <w:instrText xml:space="preserve"> REF _Ref139553001 \h </w:instrText>
      </w:r>
      <w:r w:rsidR="00CE4AE2">
        <w:instrText xml:space="preserve"> \* MERGEFORMAT </w:instrText>
      </w:r>
      <w:r w:rsidRPr="00CE4AE2">
        <w:fldChar w:fldCharType="separate"/>
      </w:r>
      <w:r w:rsidR="00294B02" w:rsidRPr="00CE4AE2">
        <w:t>Chart 2.6</w:t>
      </w:r>
      <w:r w:rsidRPr="00CE4AE2">
        <w:fldChar w:fldCharType="end"/>
      </w:r>
      <w:r w:rsidR="001C295F" w:rsidRPr="00CE4AE2">
        <w:t xml:space="preserve"> </w:t>
      </w:r>
      <w:r w:rsidR="00866254" w:rsidRPr="00CE4AE2">
        <w:t xml:space="preserve">shows </w:t>
      </w:r>
      <w:r w:rsidR="00D84C97" w:rsidRPr="00CE4AE2">
        <w:t>a clear pattern of respite care usage which is usually for stays of whole weeks</w:t>
      </w:r>
      <w:r w:rsidR="00300DE4" w:rsidRPr="00CE4AE2">
        <w:t xml:space="preserve"> at a time. Two weeks is </w:t>
      </w:r>
      <w:r w:rsidR="0092050F" w:rsidRPr="00CE4AE2">
        <w:t>the most common residential respite care length of stay</w:t>
      </w:r>
      <w:r w:rsidR="00583076" w:rsidRPr="00CE4AE2">
        <w:t>.</w:t>
      </w:r>
    </w:p>
    <w:p w14:paraId="6FBC7A26" w14:textId="1BFC611D" w:rsidR="008C5914" w:rsidRDefault="00E46CCA" w:rsidP="00D77D76">
      <w:pPr>
        <w:pStyle w:val="Caption"/>
      </w:pPr>
      <w:bookmarkStart w:id="184" w:name="_Ref139553001"/>
      <w:bookmarkStart w:id="185" w:name="_Ref137032904"/>
      <w:bookmarkStart w:id="186" w:name="_Toc149245218"/>
      <w:r>
        <w:lastRenderedPageBreak/>
        <w:t xml:space="preserve">Chart </w:t>
      </w:r>
      <w:r>
        <w:fldChar w:fldCharType="begin"/>
      </w:r>
      <w:r>
        <w:instrText>STYLEREF 1 \s</w:instrText>
      </w:r>
      <w:r>
        <w:fldChar w:fldCharType="separate"/>
      </w:r>
      <w:r w:rsidR="00294B02">
        <w:rPr>
          <w:noProof/>
        </w:rPr>
        <w:t>2</w:t>
      </w:r>
      <w:r>
        <w:fldChar w:fldCharType="end"/>
      </w:r>
      <w:r w:rsidR="00434A28">
        <w:t>.</w:t>
      </w:r>
      <w:r>
        <w:fldChar w:fldCharType="begin"/>
      </w:r>
      <w:r>
        <w:instrText>SEQ Chart \* ARABIC \s 1</w:instrText>
      </w:r>
      <w:r>
        <w:fldChar w:fldCharType="separate"/>
      </w:r>
      <w:r w:rsidR="00294B02">
        <w:rPr>
          <w:noProof/>
        </w:rPr>
        <w:t>6</w:t>
      </w:r>
      <w:r>
        <w:fldChar w:fldCharType="end"/>
      </w:r>
      <w:bookmarkEnd w:id="184"/>
      <w:r>
        <w:t xml:space="preserve">: </w:t>
      </w:r>
      <w:r w:rsidRPr="00B9343B">
        <w:t>Frequency of length of respite care stays, 2021-22</w:t>
      </w:r>
      <w:bookmarkEnd w:id="185"/>
      <w:bookmarkEnd w:id="186"/>
    </w:p>
    <w:p w14:paraId="39CDD1EA" w14:textId="412649D6" w:rsidR="00D77D76" w:rsidRPr="008E2604" w:rsidRDefault="00D77D76" w:rsidP="008E2604">
      <w:r w:rsidRPr="008E2604">
        <w:rPr>
          <w:noProof/>
        </w:rPr>
        <w:drawing>
          <wp:inline distT="0" distB="0" distL="0" distR="0" wp14:anchorId="7CC557FF" wp14:editId="759D4509">
            <wp:extent cx="5734685" cy="3429000"/>
            <wp:effectExtent l="0" t="0" r="0" b="0"/>
            <wp:docPr id="56" name="Picture 56" descr="Chart 2.6 is a line chart titled Frequency of length of respite care stays, 2021-22. There is a clear pattern of respite care usage that it is usually for stays of whole weeks at a time. Two weeks is by far the most common residential respite care length of stay. One, three, four and nine weeks are the next most common lengths of s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2.6 is a line chart titled Frequency of length of respite care stays, 2021-22. There is a clear pattern of respite care usage that it is usually for stays of whole weeks at a time. Two weeks is by far the most common residential respite care length of stay. One, three, four and nine weeks are the next most common lengths of sta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4685" cy="3429000"/>
                    </a:xfrm>
                    <a:prstGeom prst="rect">
                      <a:avLst/>
                    </a:prstGeom>
                    <a:noFill/>
                    <a:ln>
                      <a:noFill/>
                    </a:ln>
                  </pic:spPr>
                </pic:pic>
              </a:graphicData>
            </a:graphic>
          </wp:inline>
        </w:drawing>
      </w:r>
    </w:p>
    <w:p w14:paraId="0EB6CD2C" w14:textId="351F3841" w:rsidR="00C43246" w:rsidRPr="008A35F3" w:rsidRDefault="004220C8" w:rsidP="008A35F3">
      <w:pPr>
        <w:pStyle w:val="Heading3"/>
      </w:pPr>
      <w:r w:rsidRPr="008A35F3">
        <w:t>Aged Care Approvals Round</w:t>
      </w:r>
      <w:r w:rsidR="00D46463" w:rsidRPr="008A35F3">
        <w:t xml:space="preserve"> and interim arrangements</w:t>
      </w:r>
    </w:p>
    <w:p w14:paraId="1619E477" w14:textId="7460B66E" w:rsidR="00167516" w:rsidRPr="00167516" w:rsidRDefault="00167516" w:rsidP="00167516">
      <w:r w:rsidRPr="00167516">
        <w:t xml:space="preserve">The </w:t>
      </w:r>
      <w:r w:rsidR="009C49A7">
        <w:t>Australian G</w:t>
      </w:r>
      <w:r w:rsidRPr="00167516">
        <w:t>overnment</w:t>
      </w:r>
      <w:r w:rsidR="005B19F7">
        <w:t xml:space="preserve"> has introduced</w:t>
      </w:r>
      <w:r w:rsidRPr="00167516">
        <w:t xml:space="preserve"> changes to residential aged care. The Aged Care Approvals Round process (ACAR), which allocated residential places to providers, has ceased and no further rounds will be held. The last ACAR was held </w:t>
      </w:r>
      <w:proofErr w:type="gramStart"/>
      <w:r w:rsidRPr="00167516">
        <w:t xml:space="preserve">in </w:t>
      </w:r>
      <w:r w:rsidR="001B2A35">
        <w:t xml:space="preserve"> </w:t>
      </w:r>
      <w:r w:rsidRPr="00167516">
        <w:t>2020</w:t>
      </w:r>
      <w:proofErr w:type="gramEnd"/>
      <w:r w:rsidRPr="00167516">
        <w:t xml:space="preserve">-21. From 1 July 2024, older Australians will be assigned a place upon being approved for residential aged care. They can take their place to their provider and home of choice. This will mean that instead of providers being restricted to place allocations through an ACAR process, they can increase beds </w:t>
      </w:r>
      <w:r w:rsidR="005B19F7">
        <w:t>in their residential facilities</w:t>
      </w:r>
      <w:r w:rsidR="005B19F7" w:rsidRPr="00167516" w:rsidDel="005B19F7">
        <w:t xml:space="preserve"> </w:t>
      </w:r>
      <w:r w:rsidRPr="00167516">
        <w:t xml:space="preserve">and develop new </w:t>
      </w:r>
      <w:r w:rsidR="005B19F7">
        <w:t>facilities</w:t>
      </w:r>
      <w:r w:rsidR="005B19F7" w:rsidRPr="00167516">
        <w:t xml:space="preserve"> </w:t>
      </w:r>
      <w:r w:rsidRPr="00167516">
        <w:t xml:space="preserve">more flexibly to be responsive to local community demands for aged care. The changes are designed to increase choice and control for older Australians and increase competition in the market to stimulate ongoing investment to improve care and accommodation offerings. </w:t>
      </w:r>
      <w:r w:rsidR="00624B5C">
        <w:t xml:space="preserve">Funding for residential care </w:t>
      </w:r>
      <w:r w:rsidRPr="00167516">
        <w:t xml:space="preserve">will continue to flow from </w:t>
      </w:r>
      <w:r w:rsidR="00624B5C">
        <w:t xml:space="preserve">the Australian </w:t>
      </w:r>
      <w:r w:rsidR="00985ED8">
        <w:t>G</w:t>
      </w:r>
      <w:r w:rsidRPr="00167516">
        <w:t>overnment directly to the provider</w:t>
      </w:r>
      <w:r w:rsidR="460CEA20">
        <w:t>.</w:t>
      </w:r>
      <w:r w:rsidRPr="00167516">
        <w:t xml:space="preserve"> </w:t>
      </w:r>
    </w:p>
    <w:p w14:paraId="587B87E9" w14:textId="046BFD6D" w:rsidR="00167516" w:rsidRPr="00167516" w:rsidRDefault="00167516" w:rsidP="000E0766">
      <w:r w:rsidRPr="00167516">
        <w:t xml:space="preserve">Transitional arrangements are in place until 30 June 2024 to ensure the ongoing supply of residential aged care in the interim period. These arrangements allow providers to apply directly to the department for an allocation of residential care places if they can deliver care immediately, but do not </w:t>
      </w:r>
      <w:r w:rsidR="005F4C24">
        <w:t xml:space="preserve">currently </w:t>
      </w:r>
      <w:r w:rsidRPr="00167516">
        <w:t xml:space="preserve">have </w:t>
      </w:r>
      <w:r w:rsidR="005F4C24">
        <w:t>the</w:t>
      </w:r>
      <w:r w:rsidRPr="00167516">
        <w:t xml:space="preserve"> places</w:t>
      </w:r>
      <w:r w:rsidR="005F4C24">
        <w:t xml:space="preserve"> allocated</w:t>
      </w:r>
      <w:r w:rsidRPr="00167516">
        <w:t>.</w:t>
      </w:r>
      <w:r w:rsidR="00296C3B">
        <w:t xml:space="preserve"> </w:t>
      </w:r>
      <w:r w:rsidR="00296C3B" w:rsidRPr="004264AD">
        <w:t>Since the implementation of these arrangements, a total of 346 residential care places have been allocated through this process</w:t>
      </w:r>
      <w:r w:rsidR="007F579A" w:rsidRPr="004264AD">
        <w:t>.</w:t>
      </w:r>
      <w:r w:rsidR="007F579A">
        <w:rPr>
          <w:color w:val="FF0000"/>
        </w:rPr>
        <w:t xml:space="preserve"> </w:t>
      </w:r>
      <w:r w:rsidRPr="00167516">
        <w:t> </w:t>
      </w:r>
      <w:r w:rsidR="00D57A1C" w:rsidRPr="00167516" w:rsidDel="00D57A1C">
        <w:rPr>
          <w:highlight w:val="yellow"/>
        </w:rPr>
        <w:t xml:space="preserve"> </w:t>
      </w:r>
    </w:p>
    <w:p w14:paraId="581F3946" w14:textId="14BA3288" w:rsidR="004219EA" w:rsidRPr="008A35F3" w:rsidRDefault="003F15F4" w:rsidP="008A35F3">
      <w:pPr>
        <w:pStyle w:val="Heading3"/>
      </w:pPr>
      <w:r w:rsidRPr="008A35F3">
        <w:lastRenderedPageBreak/>
        <w:t>Supply of subsidised aged care</w:t>
      </w:r>
    </w:p>
    <w:p w14:paraId="7CCEE459" w14:textId="77777777" w:rsidR="008A363A" w:rsidRDefault="008A363A" w:rsidP="008A363A">
      <w:r>
        <w:t>The Australian Government regulates the supply of home care packages and residential aged care places it</w:t>
      </w:r>
      <w:r>
        <w:rPr>
          <w:spacing w:val="-6"/>
        </w:rPr>
        <w:t xml:space="preserve"> </w:t>
      </w:r>
      <w:r>
        <w:t>funds</w:t>
      </w:r>
      <w:r>
        <w:rPr>
          <w:spacing w:val="-7"/>
        </w:rPr>
        <w:t xml:space="preserve"> </w:t>
      </w:r>
      <w:r>
        <w:t>by</w:t>
      </w:r>
      <w:r>
        <w:rPr>
          <w:spacing w:val="-6"/>
        </w:rPr>
        <w:t xml:space="preserve"> </w:t>
      </w:r>
      <w:r>
        <w:t>specifying</w:t>
      </w:r>
      <w:r>
        <w:rPr>
          <w:spacing w:val="-7"/>
        </w:rPr>
        <w:t xml:space="preserve"> </w:t>
      </w:r>
      <w:r>
        <w:t>targets.</w:t>
      </w:r>
      <w:r>
        <w:rPr>
          <w:spacing w:val="-6"/>
        </w:rPr>
        <w:t xml:space="preserve"> </w:t>
      </w:r>
      <w:r>
        <w:t>These</w:t>
      </w:r>
      <w:r>
        <w:rPr>
          <w:spacing w:val="-7"/>
        </w:rPr>
        <w:t xml:space="preserve"> </w:t>
      </w:r>
      <w:r>
        <w:t>targets,</w:t>
      </w:r>
      <w:r>
        <w:rPr>
          <w:spacing w:val="-6"/>
        </w:rPr>
        <w:t xml:space="preserve"> </w:t>
      </w:r>
      <w:r>
        <w:t>known</w:t>
      </w:r>
      <w:r>
        <w:rPr>
          <w:spacing w:val="-7"/>
        </w:rPr>
        <w:t xml:space="preserve"> </w:t>
      </w:r>
      <w:r>
        <w:t>as the aged care target provision ratios, are based on the number of people aged 70 and over.</w:t>
      </w:r>
    </w:p>
    <w:p w14:paraId="308A7DC9" w14:textId="7ECF526C" w:rsidR="006E522D" w:rsidRDefault="00650CA4" w:rsidP="006E522D">
      <w:r>
        <w:fldChar w:fldCharType="begin"/>
      </w:r>
      <w:r>
        <w:instrText xml:space="preserve"> REF _Ref139553047 \h </w:instrText>
      </w:r>
      <w:r>
        <w:fldChar w:fldCharType="separate"/>
      </w:r>
      <w:r w:rsidR="00294B02">
        <w:t xml:space="preserve">Chart </w:t>
      </w:r>
      <w:r w:rsidR="00294B02">
        <w:rPr>
          <w:noProof/>
        </w:rPr>
        <w:t>2</w:t>
      </w:r>
      <w:r w:rsidR="00294B02">
        <w:t>.</w:t>
      </w:r>
      <w:r w:rsidR="00294B02">
        <w:rPr>
          <w:noProof/>
        </w:rPr>
        <w:t>7</w:t>
      </w:r>
      <w:r>
        <w:fldChar w:fldCharType="end"/>
      </w:r>
      <w:r w:rsidR="006E522D" w:rsidRPr="00092287">
        <w:fldChar w:fldCharType="begin"/>
      </w:r>
      <w:r w:rsidR="006E522D" w:rsidRPr="00092287">
        <w:fldChar w:fldCharType="separate"/>
      </w:r>
      <w:r w:rsidR="002B53A1" w:rsidRPr="003B03A0">
        <w:t>Chart 3.13</w:t>
      </w:r>
      <w:r w:rsidR="006E522D" w:rsidRPr="00092287">
        <w:fldChar w:fldCharType="end"/>
      </w:r>
      <w:r w:rsidR="006E522D">
        <w:t xml:space="preserve"> shows</w:t>
      </w:r>
      <w:r w:rsidR="006E522D">
        <w:rPr>
          <w:spacing w:val="-8"/>
        </w:rPr>
        <w:t xml:space="preserve"> </w:t>
      </w:r>
      <w:r w:rsidR="006E522D">
        <w:t>the</w:t>
      </w:r>
      <w:r w:rsidR="006E522D">
        <w:rPr>
          <w:spacing w:val="-8"/>
        </w:rPr>
        <w:t xml:space="preserve"> </w:t>
      </w:r>
      <w:r w:rsidR="006E522D">
        <w:t>residential</w:t>
      </w:r>
      <w:r w:rsidR="006E522D">
        <w:rPr>
          <w:spacing w:val="-8"/>
        </w:rPr>
        <w:t xml:space="preserve"> </w:t>
      </w:r>
      <w:r w:rsidR="006E522D">
        <w:t>care</w:t>
      </w:r>
      <w:r w:rsidR="006E522D">
        <w:rPr>
          <w:spacing w:val="-8"/>
        </w:rPr>
        <w:t xml:space="preserve"> </w:t>
      </w:r>
      <w:r w:rsidR="006E522D">
        <w:t>ratios</w:t>
      </w:r>
      <w:r w:rsidR="006E522D">
        <w:rPr>
          <w:spacing w:val="-8"/>
        </w:rPr>
        <w:t xml:space="preserve"> </w:t>
      </w:r>
      <w:r w:rsidR="006E522D">
        <w:t xml:space="preserve">for the </w:t>
      </w:r>
      <w:r w:rsidR="00223773">
        <w:t>5</w:t>
      </w:r>
      <w:r w:rsidR="006E522D">
        <w:t xml:space="preserve"> years to 30 June 202</w:t>
      </w:r>
      <w:r w:rsidR="00223773">
        <w:t>2</w:t>
      </w:r>
      <w:r w:rsidR="006E522D">
        <w:t>. The 2021</w:t>
      </w:r>
      <w:r w:rsidR="00223773">
        <w:t>-22</w:t>
      </w:r>
      <w:r w:rsidR="006E522D">
        <w:t xml:space="preserve"> residential care ratio </w:t>
      </w:r>
      <w:r w:rsidR="00223773">
        <w:t xml:space="preserve">was </w:t>
      </w:r>
      <w:r w:rsidR="006E522D">
        <w:t>7</w:t>
      </w:r>
      <w:r w:rsidR="00223773">
        <w:t>4.7</w:t>
      </w:r>
      <w:r w:rsidR="006E522D">
        <w:t xml:space="preserve">, </w:t>
      </w:r>
      <w:r w:rsidR="00223773">
        <w:t xml:space="preserve">a continued </w:t>
      </w:r>
      <w:r w:rsidR="006E522D">
        <w:t>down</w:t>
      </w:r>
      <w:r w:rsidR="00223773">
        <w:t>ward trend</w:t>
      </w:r>
      <w:r w:rsidR="006E522D">
        <w:t xml:space="preserve"> from 7</w:t>
      </w:r>
      <w:r w:rsidR="00223773">
        <w:t xml:space="preserve">6.4 in 2020-21, and 78.4 in 2019-20. </w:t>
      </w:r>
    </w:p>
    <w:p w14:paraId="5CD25896" w14:textId="77777777" w:rsidR="006E522D" w:rsidRDefault="006E522D" w:rsidP="006E522D">
      <w:r>
        <w:t>While the overall aged care target provision ratio comprises</w:t>
      </w:r>
      <w:r>
        <w:rPr>
          <w:spacing w:val="-11"/>
        </w:rPr>
        <w:t xml:space="preserve"> </w:t>
      </w:r>
      <w:r>
        <w:t>residential</w:t>
      </w:r>
      <w:r>
        <w:rPr>
          <w:spacing w:val="-11"/>
        </w:rPr>
        <w:t xml:space="preserve"> </w:t>
      </w:r>
      <w:r>
        <w:t>care,</w:t>
      </w:r>
      <w:r>
        <w:rPr>
          <w:spacing w:val="-9"/>
        </w:rPr>
        <w:t xml:space="preserve"> </w:t>
      </w:r>
      <w:r>
        <w:t>home</w:t>
      </w:r>
      <w:r>
        <w:rPr>
          <w:spacing w:val="-10"/>
        </w:rPr>
        <w:t xml:space="preserve"> </w:t>
      </w:r>
      <w:r>
        <w:t>care,</w:t>
      </w:r>
      <w:r>
        <w:rPr>
          <w:spacing w:val="-10"/>
        </w:rPr>
        <w:t xml:space="preserve"> </w:t>
      </w:r>
      <w:r>
        <w:t>and,</w:t>
      </w:r>
      <w:r>
        <w:rPr>
          <w:spacing w:val="-10"/>
        </w:rPr>
        <w:t xml:space="preserve"> </w:t>
      </w:r>
      <w:r>
        <w:t>since</w:t>
      </w:r>
      <w:r>
        <w:rPr>
          <w:spacing w:val="-11"/>
        </w:rPr>
        <w:t xml:space="preserve"> </w:t>
      </w:r>
      <w:r>
        <w:t>2016, restorative care places, the reported operational ratio refers only to places assigned to approved providers.</w:t>
      </w:r>
    </w:p>
    <w:p w14:paraId="0D236C16" w14:textId="584729AA" w:rsidR="000F64BA" w:rsidRDefault="7EDA6C56" w:rsidP="000F64BA">
      <w:r>
        <w:t>In 2021-22, the</w:t>
      </w:r>
      <w:r w:rsidR="11F13F96">
        <w:t xml:space="preserve"> </w:t>
      </w:r>
      <w:r w:rsidR="003D6A08">
        <w:t>r</w:t>
      </w:r>
      <w:r w:rsidR="000F64BA">
        <w:t>esidential aged care provision ratio was 78.0 place</w:t>
      </w:r>
      <w:r w:rsidR="003D6A08">
        <w:t>s</w:t>
      </w:r>
      <w:r w:rsidR="000F64BA">
        <w:t xml:space="preserve"> per 1,000 people over the aged of 70. </w:t>
      </w:r>
      <w:r w:rsidR="6D446B54">
        <w:t>From 2024-25, for three years, the</w:t>
      </w:r>
      <w:r w:rsidR="000F64BA">
        <w:t xml:space="preserve"> Australian Government will temporarily reduce the residential aged care provision ratio to 60.1 places per 1,000 people over the age of 70 years. </w:t>
      </w:r>
      <w:r w:rsidR="000F64BA" w:rsidRPr="008D293E">
        <w:t xml:space="preserve">The reduction in the ratio reflects the increasing preference of older </w:t>
      </w:r>
      <w:r w:rsidR="00DF7F4A">
        <w:t>Austra</w:t>
      </w:r>
      <w:r w:rsidR="000F64BA">
        <w:t>l</w:t>
      </w:r>
      <w:r w:rsidR="00DF7F4A">
        <w:t>ians</w:t>
      </w:r>
      <w:r w:rsidR="000F64BA" w:rsidRPr="008D293E">
        <w:t xml:space="preserve"> to remain in their homes.</w:t>
      </w:r>
    </w:p>
    <w:p w14:paraId="4087F820" w14:textId="515BAD4D" w:rsidR="00650CA4" w:rsidRDefault="00650CA4" w:rsidP="00650CA4">
      <w:pPr>
        <w:pStyle w:val="Caption"/>
      </w:pPr>
      <w:bookmarkStart w:id="187" w:name="_Ref139553047"/>
      <w:bookmarkStart w:id="188" w:name="_Toc149245219"/>
      <w:bookmarkStart w:id="189" w:name="_Ref135828459"/>
      <w:r>
        <w:t xml:space="preserve">Chart </w:t>
      </w:r>
      <w:r>
        <w:fldChar w:fldCharType="begin"/>
      </w:r>
      <w:r>
        <w:instrText>STYLEREF 1 \s</w:instrText>
      </w:r>
      <w:r>
        <w:fldChar w:fldCharType="separate"/>
      </w:r>
      <w:r w:rsidR="00294B02">
        <w:rPr>
          <w:noProof/>
        </w:rPr>
        <w:t>2</w:t>
      </w:r>
      <w:r>
        <w:fldChar w:fldCharType="end"/>
      </w:r>
      <w:r w:rsidR="00434A28">
        <w:t>.</w:t>
      </w:r>
      <w:r>
        <w:fldChar w:fldCharType="begin"/>
      </w:r>
      <w:r>
        <w:instrText>SEQ Chart \* ARABIC \s 1</w:instrText>
      </w:r>
      <w:r>
        <w:fldChar w:fldCharType="separate"/>
      </w:r>
      <w:r w:rsidR="00294B02">
        <w:rPr>
          <w:noProof/>
        </w:rPr>
        <w:t>7</w:t>
      </w:r>
      <w:r>
        <w:fldChar w:fldCharType="end"/>
      </w:r>
      <w:bookmarkEnd w:id="187"/>
      <w:r>
        <w:t xml:space="preserve">: </w:t>
      </w:r>
      <w:r w:rsidRPr="00DB1A79">
        <w:t>Residential care achieved ratios, 2017-18 to 2021-22</w:t>
      </w:r>
      <w:bookmarkEnd w:id="188"/>
    </w:p>
    <w:bookmarkEnd w:id="189"/>
    <w:p w14:paraId="30A46E4D" w14:textId="34FF40A4" w:rsidR="00523F4F" w:rsidRPr="008E2604" w:rsidRDefault="009E72B4" w:rsidP="008E2604">
      <w:r w:rsidRPr="008E2604">
        <w:rPr>
          <w:noProof/>
        </w:rPr>
        <w:drawing>
          <wp:inline distT="0" distB="0" distL="0" distR="0" wp14:anchorId="167DD9FA" wp14:editId="55E3944F">
            <wp:extent cx="5725160" cy="3388995"/>
            <wp:effectExtent l="0" t="0" r="8890" b="1905"/>
            <wp:docPr id="57" name="Picture 57" descr="Chart 2.7 is a stacked column chart titled Residential care achieved ratios, 2017-18 to 2021-22. The 2021-22 residential care ratio was 74.7, down from 76.4 the prior year. Restorative care was 2.2 in 2021-22, and increase on 2020-21 of 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2.7 is a stacked column chart titled Residential care achieved ratios, 2017-18 to 2021-22. The 2021-22 residential care ratio was 74.7, down from 76.4 the prior year. Restorative care was 2.2 in 2021-22, and increase on 2020-21 of 1.8.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5160" cy="3388995"/>
                    </a:xfrm>
                    <a:prstGeom prst="rect">
                      <a:avLst/>
                    </a:prstGeom>
                    <a:noFill/>
                    <a:ln>
                      <a:noFill/>
                    </a:ln>
                  </pic:spPr>
                </pic:pic>
              </a:graphicData>
            </a:graphic>
          </wp:inline>
        </w:drawing>
      </w:r>
    </w:p>
    <w:p w14:paraId="3F5F9AFC" w14:textId="77777777" w:rsidR="00523F4F" w:rsidRPr="008A35F3" w:rsidRDefault="00523F4F" w:rsidP="008A35F3">
      <w:r w:rsidRPr="008A35F3">
        <w:br w:type="page"/>
      </w:r>
    </w:p>
    <w:p w14:paraId="09A4189E" w14:textId="2FBE34F7" w:rsidR="00751CD1" w:rsidRDefault="00751CD1" w:rsidP="00A20D31">
      <w:pPr>
        <w:pStyle w:val="Heading2"/>
      </w:pPr>
      <w:bookmarkStart w:id="190" w:name="_Toc149245318"/>
      <w:r w:rsidRPr="00CC3BE0">
        <w:lastRenderedPageBreak/>
        <w:t>Providers</w:t>
      </w:r>
      <w:bookmarkEnd w:id="190"/>
    </w:p>
    <w:p w14:paraId="34FEA251" w14:textId="42633517" w:rsidR="00044B4C" w:rsidRPr="001F4197" w:rsidRDefault="00044B4C" w:rsidP="008A35F3">
      <w:pPr>
        <w:pStyle w:val="Heading3"/>
      </w:pPr>
      <w:r w:rsidRPr="00144975">
        <w:t>Supply of residential care</w:t>
      </w:r>
    </w:p>
    <w:p w14:paraId="459A6993" w14:textId="0E22E724" w:rsidR="00F52D3B" w:rsidRPr="00A20D31" w:rsidRDefault="00A81D0F" w:rsidP="002951C1">
      <w:r>
        <w:fldChar w:fldCharType="begin"/>
      </w:r>
      <w:r>
        <w:instrText xml:space="preserve"> REF _Ref139553120 \h </w:instrText>
      </w:r>
      <w:r>
        <w:fldChar w:fldCharType="separate"/>
      </w:r>
      <w:r w:rsidR="00294B02">
        <w:t xml:space="preserve">Table </w:t>
      </w:r>
      <w:r w:rsidR="00294B02">
        <w:rPr>
          <w:noProof/>
        </w:rPr>
        <w:t>2</w:t>
      </w:r>
      <w:r w:rsidR="00294B02">
        <w:t>.</w:t>
      </w:r>
      <w:r w:rsidR="00294B02">
        <w:rPr>
          <w:noProof/>
        </w:rPr>
        <w:t>2</w:t>
      </w:r>
      <w:r>
        <w:fldChar w:fldCharType="end"/>
      </w:r>
      <w:r w:rsidR="002951C1">
        <w:t xml:space="preserve"> shows</w:t>
      </w:r>
      <w:r w:rsidR="002951C1">
        <w:rPr>
          <w:spacing w:val="-6"/>
        </w:rPr>
        <w:t xml:space="preserve"> </w:t>
      </w:r>
      <w:r w:rsidR="002951C1">
        <w:t>a</w:t>
      </w:r>
      <w:r w:rsidR="002951C1">
        <w:rPr>
          <w:spacing w:val="-6"/>
        </w:rPr>
        <w:t xml:space="preserve"> </w:t>
      </w:r>
      <w:r w:rsidR="002951C1">
        <w:t>breakdown</w:t>
      </w:r>
      <w:r w:rsidR="002951C1">
        <w:rPr>
          <w:spacing w:val="-6"/>
        </w:rPr>
        <w:t xml:space="preserve"> </w:t>
      </w:r>
      <w:r w:rsidR="002951C1">
        <w:t>of</w:t>
      </w:r>
      <w:r w:rsidR="002951C1">
        <w:rPr>
          <w:spacing w:val="-6"/>
        </w:rPr>
        <w:t xml:space="preserve"> </w:t>
      </w:r>
      <w:r w:rsidR="002951C1">
        <w:t>residential</w:t>
      </w:r>
      <w:r w:rsidR="002951C1">
        <w:rPr>
          <w:spacing w:val="-6"/>
        </w:rPr>
        <w:t xml:space="preserve"> </w:t>
      </w:r>
      <w:r w:rsidR="002951C1">
        <w:t xml:space="preserve">care </w:t>
      </w:r>
      <w:r w:rsidR="002951C1">
        <w:rPr>
          <w:spacing w:val="-4"/>
        </w:rPr>
        <w:t>providers</w:t>
      </w:r>
      <w:r w:rsidR="002951C1">
        <w:rPr>
          <w:spacing w:val="-5"/>
        </w:rPr>
        <w:t xml:space="preserve"> </w:t>
      </w:r>
      <w:proofErr w:type="gramStart"/>
      <w:r w:rsidR="002951C1">
        <w:rPr>
          <w:spacing w:val="-4"/>
        </w:rPr>
        <w:t>at</w:t>
      </w:r>
      <w:proofErr w:type="gramEnd"/>
      <w:r w:rsidR="002951C1">
        <w:rPr>
          <w:spacing w:val="-5"/>
        </w:rPr>
        <w:t xml:space="preserve"> </w:t>
      </w:r>
      <w:r w:rsidR="002951C1">
        <w:rPr>
          <w:spacing w:val="-4"/>
        </w:rPr>
        <w:t>30</w:t>
      </w:r>
      <w:r w:rsidR="002951C1">
        <w:rPr>
          <w:spacing w:val="-12"/>
        </w:rPr>
        <w:t xml:space="preserve"> </w:t>
      </w:r>
      <w:r w:rsidR="002951C1">
        <w:rPr>
          <w:spacing w:val="-4"/>
        </w:rPr>
        <w:t>June</w:t>
      </w:r>
      <w:r w:rsidR="002951C1">
        <w:rPr>
          <w:spacing w:val="-12"/>
        </w:rPr>
        <w:t xml:space="preserve"> </w:t>
      </w:r>
      <w:r w:rsidR="002951C1">
        <w:rPr>
          <w:spacing w:val="-4"/>
        </w:rPr>
        <w:t>2022,</w:t>
      </w:r>
      <w:r w:rsidR="002951C1">
        <w:rPr>
          <w:spacing w:val="-5"/>
        </w:rPr>
        <w:t xml:space="preserve"> </w:t>
      </w:r>
      <w:r w:rsidR="002951C1">
        <w:rPr>
          <w:spacing w:val="-4"/>
        </w:rPr>
        <w:t>presented</w:t>
      </w:r>
      <w:r w:rsidR="002951C1">
        <w:rPr>
          <w:spacing w:val="-5"/>
        </w:rPr>
        <w:t xml:space="preserve"> </w:t>
      </w:r>
      <w:r w:rsidR="002951C1">
        <w:rPr>
          <w:spacing w:val="-4"/>
        </w:rPr>
        <w:t>by</w:t>
      </w:r>
      <w:r w:rsidR="002951C1">
        <w:rPr>
          <w:spacing w:val="-5"/>
        </w:rPr>
        <w:t xml:space="preserve"> </w:t>
      </w:r>
      <w:r w:rsidR="002951C1">
        <w:rPr>
          <w:spacing w:val="-4"/>
        </w:rPr>
        <w:t>ownership</w:t>
      </w:r>
      <w:r w:rsidR="002951C1">
        <w:t xml:space="preserve"> type, location and scale</w:t>
      </w:r>
      <w:r w:rsidR="002951C1" w:rsidRPr="00A20D31">
        <w:t>.</w:t>
      </w:r>
    </w:p>
    <w:p w14:paraId="651D85D0" w14:textId="3EF937E7" w:rsidR="009D4A2D" w:rsidRDefault="009D4A2D" w:rsidP="002951C1">
      <w:r>
        <w:t>Location i</w:t>
      </w:r>
      <w:r w:rsidRPr="00DA76B8">
        <w:t xml:space="preserve">ndicates where a provider, service or </w:t>
      </w:r>
      <w:r>
        <w:t>resident/recipient</w:t>
      </w:r>
      <w:r w:rsidRPr="00DA76B8">
        <w:t xml:space="preserve"> is located based on whether they are metropolitan or regional areas. Metropolitan is all major cities and regional is any area outside of a major city. A provider is classified as metropolitan if more than 70 per cent of its services are </w:t>
      </w:r>
      <w:r w:rsidR="00FA0766" w:rsidRPr="00DA76B8">
        <w:t>in</w:t>
      </w:r>
      <w:r w:rsidRPr="00DA76B8">
        <w:t xml:space="preserve"> metropolitan areas and similarly classified as regional if more than 70 per cent of its services </w:t>
      </w:r>
      <w:proofErr w:type="gramStart"/>
      <w:r w:rsidRPr="00DA76B8">
        <w:t>are located in</w:t>
      </w:r>
      <w:proofErr w:type="gramEnd"/>
      <w:r w:rsidRPr="00DA76B8">
        <w:t xml:space="preserve"> regional areas.</w:t>
      </w:r>
    </w:p>
    <w:p w14:paraId="2373C882" w14:textId="5522F022" w:rsidR="00046BFE" w:rsidRDefault="00046BFE" w:rsidP="002951C1">
      <w:proofErr w:type="gramStart"/>
      <w:r>
        <w:t>At</w:t>
      </w:r>
      <w:proofErr w:type="gramEnd"/>
      <w:r>
        <w:t xml:space="preserve"> 30 June 2022, there were 805 residential care providers, compared with 830 at 30 June 2021. The</w:t>
      </w:r>
      <w:r>
        <w:rPr>
          <w:spacing w:val="-5"/>
        </w:rPr>
        <w:t xml:space="preserve"> </w:t>
      </w:r>
      <w:r>
        <w:t>largest</w:t>
      </w:r>
      <w:r>
        <w:rPr>
          <w:spacing w:val="-5"/>
        </w:rPr>
        <w:t xml:space="preserve"> </w:t>
      </w:r>
      <w:r>
        <w:t>provider</w:t>
      </w:r>
      <w:r>
        <w:rPr>
          <w:spacing w:val="-5"/>
        </w:rPr>
        <w:t xml:space="preserve"> </w:t>
      </w:r>
      <w:r>
        <w:t>group remained the not-for-profit group (</w:t>
      </w:r>
      <w:r w:rsidRPr="001C332F">
        <w:t xml:space="preserve">religious, </w:t>
      </w:r>
      <w:proofErr w:type="gramStart"/>
      <w:r w:rsidRPr="001C332F">
        <w:t>charitable</w:t>
      </w:r>
      <w:proofErr w:type="gramEnd"/>
      <w:r w:rsidRPr="001C332F">
        <w:t xml:space="preserve"> and community-based organisations). They represented 56 per cent of providers and operated 55 per cent of all residential aged care places. For-profit providers accounted for 33 per cent of providers and 4</w:t>
      </w:r>
      <w:r>
        <w:t>2</w:t>
      </w:r>
      <w:r w:rsidRPr="001C332F">
        <w:t xml:space="preserve"> per cent of places. The remaining providers and places are state and territory and local government-owned providers.</w:t>
      </w:r>
    </w:p>
    <w:p w14:paraId="5F4463CF" w14:textId="15FE125D" w:rsidR="004264AD" w:rsidRPr="00A07F1A" w:rsidRDefault="004264AD" w:rsidP="002951C1">
      <w:r>
        <w:t>Single aged care facility providers accounted</w:t>
      </w:r>
      <w:r>
        <w:rPr>
          <w:spacing w:val="-11"/>
        </w:rPr>
        <w:t xml:space="preserve"> </w:t>
      </w:r>
      <w:r>
        <w:t>for</w:t>
      </w:r>
      <w:r>
        <w:rPr>
          <w:spacing w:val="-11"/>
        </w:rPr>
        <w:t xml:space="preserve"> </w:t>
      </w:r>
      <w:r>
        <w:t>19</w:t>
      </w:r>
      <w:r>
        <w:rPr>
          <w:spacing w:val="-11"/>
        </w:rPr>
        <w:t xml:space="preserve"> </w:t>
      </w:r>
      <w:r>
        <w:t>per</w:t>
      </w:r>
      <w:r>
        <w:rPr>
          <w:spacing w:val="-11"/>
        </w:rPr>
        <w:t xml:space="preserve"> </w:t>
      </w:r>
      <w:r>
        <w:t>cent</w:t>
      </w:r>
      <w:r>
        <w:rPr>
          <w:spacing w:val="-11"/>
        </w:rPr>
        <w:t xml:space="preserve"> </w:t>
      </w:r>
      <w:r>
        <w:t>of</w:t>
      </w:r>
      <w:r>
        <w:rPr>
          <w:spacing w:val="-11"/>
        </w:rPr>
        <w:t xml:space="preserve"> </w:t>
      </w:r>
      <w:r>
        <w:t>all</w:t>
      </w:r>
      <w:r>
        <w:rPr>
          <w:spacing w:val="-11"/>
        </w:rPr>
        <w:t xml:space="preserve"> </w:t>
      </w:r>
      <w:r>
        <w:t>operational</w:t>
      </w:r>
      <w:r>
        <w:rPr>
          <w:spacing w:val="-10"/>
        </w:rPr>
        <w:t xml:space="preserve"> </w:t>
      </w:r>
      <w:r>
        <w:t>residential care places in 2021-22. Conversely, only 3 per cent (23</w:t>
      </w:r>
      <w:r w:rsidRPr="008061D5">
        <w:t xml:space="preserve"> providers</w:t>
      </w:r>
      <w:r>
        <w:t xml:space="preserve">) </w:t>
      </w:r>
      <w:r w:rsidRPr="008061D5">
        <w:t>operated more than 20 facilities, but they</w:t>
      </w:r>
      <w:r w:rsidRPr="008061D5">
        <w:rPr>
          <w:spacing w:val="-7"/>
        </w:rPr>
        <w:t xml:space="preserve"> </w:t>
      </w:r>
      <w:r w:rsidRPr="008061D5">
        <w:t>accounted</w:t>
      </w:r>
      <w:r w:rsidRPr="008061D5">
        <w:rPr>
          <w:spacing w:val="-7"/>
        </w:rPr>
        <w:t xml:space="preserve"> </w:t>
      </w:r>
      <w:r w:rsidRPr="008061D5">
        <w:t>for</w:t>
      </w:r>
      <w:r w:rsidRPr="008061D5">
        <w:rPr>
          <w:spacing w:val="-7"/>
        </w:rPr>
        <w:t xml:space="preserve"> </w:t>
      </w:r>
      <w:r w:rsidRPr="008061D5">
        <w:t>36</w:t>
      </w:r>
      <w:r w:rsidRPr="008061D5">
        <w:rPr>
          <w:spacing w:val="-11"/>
        </w:rPr>
        <w:t xml:space="preserve"> </w:t>
      </w:r>
      <w:r w:rsidRPr="008061D5">
        <w:t>per</w:t>
      </w:r>
      <w:r w:rsidRPr="008061D5">
        <w:rPr>
          <w:spacing w:val="-11"/>
        </w:rPr>
        <w:t xml:space="preserve"> </w:t>
      </w:r>
      <w:r w:rsidRPr="008061D5">
        <w:t>cent</w:t>
      </w:r>
      <w:r w:rsidRPr="008061D5">
        <w:rPr>
          <w:spacing w:val="-7"/>
        </w:rPr>
        <w:t xml:space="preserve"> </w:t>
      </w:r>
      <w:r w:rsidRPr="008061D5">
        <w:t>of</w:t>
      </w:r>
      <w:r w:rsidRPr="008061D5">
        <w:rPr>
          <w:spacing w:val="-7"/>
        </w:rPr>
        <w:t xml:space="preserve"> </w:t>
      </w:r>
      <w:r w:rsidRPr="008061D5">
        <w:t>operational</w:t>
      </w:r>
      <w:r w:rsidRPr="008061D5">
        <w:rPr>
          <w:spacing w:val="-7"/>
        </w:rPr>
        <w:t xml:space="preserve"> </w:t>
      </w:r>
      <w:r w:rsidRPr="008061D5">
        <w:t xml:space="preserve">places. </w:t>
      </w:r>
      <w:r>
        <w:t xml:space="preserve"> The </w:t>
      </w:r>
      <w:r w:rsidRPr="008061D5">
        <w:t>proportion</w:t>
      </w:r>
      <w:r>
        <w:t xml:space="preserve"> of providers that operate more than 20 facilities</w:t>
      </w:r>
      <w:r w:rsidRPr="008061D5">
        <w:rPr>
          <w:spacing w:val="-6"/>
        </w:rPr>
        <w:t xml:space="preserve"> </w:t>
      </w:r>
      <w:r w:rsidRPr="008061D5">
        <w:t>is</w:t>
      </w:r>
      <w:r w:rsidRPr="008061D5">
        <w:rPr>
          <w:spacing w:val="-6"/>
        </w:rPr>
        <w:t xml:space="preserve"> </w:t>
      </w:r>
      <w:r w:rsidRPr="008061D5">
        <w:t>gradually</w:t>
      </w:r>
      <w:r w:rsidRPr="008061D5">
        <w:rPr>
          <w:spacing w:val="-6"/>
        </w:rPr>
        <w:t xml:space="preserve"> </w:t>
      </w:r>
      <w:r w:rsidRPr="008061D5">
        <w:t>increasing</w:t>
      </w:r>
      <w:r w:rsidRPr="008061D5">
        <w:rPr>
          <w:spacing w:val="-6"/>
        </w:rPr>
        <w:t xml:space="preserve"> </w:t>
      </w:r>
      <w:r w:rsidRPr="008061D5">
        <w:t>(31</w:t>
      </w:r>
      <w:r w:rsidRPr="008061D5">
        <w:rPr>
          <w:spacing w:val="-10"/>
        </w:rPr>
        <w:t xml:space="preserve"> </w:t>
      </w:r>
      <w:r w:rsidRPr="008061D5">
        <w:t>per</w:t>
      </w:r>
      <w:r w:rsidRPr="008061D5">
        <w:rPr>
          <w:spacing w:val="-10"/>
        </w:rPr>
        <w:t xml:space="preserve"> </w:t>
      </w:r>
      <w:r w:rsidRPr="008061D5">
        <w:t>cent in</w:t>
      </w:r>
      <w:r w:rsidRPr="008061D5">
        <w:rPr>
          <w:spacing w:val="-7"/>
        </w:rPr>
        <w:t xml:space="preserve"> </w:t>
      </w:r>
      <w:r w:rsidRPr="008061D5">
        <w:t>2017–18). The proportion of providers that operated between 7 to 19 facilities was 7 per cent (55 providers)</w:t>
      </w:r>
      <w:r>
        <w:t xml:space="preserve"> and</w:t>
      </w:r>
      <w:r w:rsidRPr="008061D5">
        <w:t xml:space="preserve"> accounted for 23 per cent of operational places.</w:t>
      </w:r>
    </w:p>
    <w:p w14:paraId="7A25F609" w14:textId="74DFD6B6" w:rsidR="00025532" w:rsidRDefault="00E45A04" w:rsidP="00025532">
      <w:pPr>
        <w:pStyle w:val="Caption"/>
      </w:pPr>
      <w:bookmarkStart w:id="191" w:name="_Ref135830100"/>
      <w:bookmarkStart w:id="192" w:name="_Ref139553120"/>
      <w:bookmarkStart w:id="193" w:name="_Toc149245271"/>
      <w:r>
        <w:t xml:space="preserve">Table </w:t>
      </w:r>
      <w:bookmarkEnd w:id="191"/>
      <w:r w:rsidR="002E758C">
        <w:fldChar w:fldCharType="begin"/>
      </w:r>
      <w:r w:rsidR="002E758C">
        <w:instrText xml:space="preserve"> STYLEREF 1 \s </w:instrText>
      </w:r>
      <w:r w:rsidR="002E758C">
        <w:fldChar w:fldCharType="separate"/>
      </w:r>
      <w:r w:rsidR="00294B02">
        <w:rPr>
          <w:noProof/>
        </w:rPr>
        <w:t>2</w:t>
      </w:r>
      <w:r w:rsidR="002E758C">
        <w:fldChar w:fldCharType="end"/>
      </w:r>
      <w:r w:rsidR="002E758C">
        <w:t>.</w:t>
      </w:r>
      <w:r>
        <w:fldChar w:fldCharType="begin"/>
      </w:r>
      <w:r>
        <w:instrText>SEQ Table \* ARABIC \s 1</w:instrText>
      </w:r>
      <w:r>
        <w:fldChar w:fldCharType="separate"/>
      </w:r>
      <w:r w:rsidR="00294B02">
        <w:rPr>
          <w:noProof/>
        </w:rPr>
        <w:t>2</w:t>
      </w:r>
      <w:r>
        <w:fldChar w:fldCharType="end"/>
      </w:r>
      <w:bookmarkEnd w:id="192"/>
      <w:r w:rsidR="00025532">
        <w:t>:</w:t>
      </w:r>
      <w:r>
        <w:t xml:space="preserve"> </w:t>
      </w:r>
      <w:r w:rsidRPr="00095374">
        <w:t xml:space="preserve">Number of providers, facilities, </w:t>
      </w:r>
      <w:proofErr w:type="gramStart"/>
      <w:r w:rsidRPr="00095374">
        <w:t>places</w:t>
      </w:r>
      <w:proofErr w:type="gramEnd"/>
      <w:r w:rsidRPr="00095374">
        <w:t xml:space="preserve"> and residents in residential care, by ownership, location and scale, 30 June 202</w:t>
      </w:r>
      <w:r>
        <w:t>2</w:t>
      </w:r>
      <w:bookmarkEnd w:id="193"/>
    </w:p>
    <w:tbl>
      <w:tblPr>
        <w:tblStyle w:val="DepartmentofHealthtable"/>
        <w:tblW w:w="5314" w:type="pct"/>
        <w:tblLayout w:type="fixed"/>
        <w:tblLook w:val="04A0" w:firstRow="1" w:lastRow="0" w:firstColumn="1" w:lastColumn="0" w:noHBand="0" w:noVBand="1"/>
      </w:tblPr>
      <w:tblGrid>
        <w:gridCol w:w="1769"/>
        <w:gridCol w:w="190"/>
        <w:gridCol w:w="584"/>
        <w:gridCol w:w="646"/>
        <w:gridCol w:w="773"/>
        <w:gridCol w:w="571"/>
        <w:gridCol w:w="850"/>
        <w:gridCol w:w="710"/>
        <w:gridCol w:w="571"/>
        <w:gridCol w:w="710"/>
        <w:gridCol w:w="708"/>
        <w:gridCol w:w="710"/>
        <w:gridCol w:w="848"/>
      </w:tblGrid>
      <w:tr w:rsidR="007B3335" w:rsidRPr="00941AF1" w14:paraId="4CA66CE6" w14:textId="77777777" w:rsidTr="00F842A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017" w:type="pct"/>
            <w:gridSpan w:val="2"/>
            <w:hideMark/>
          </w:tcPr>
          <w:p w14:paraId="37D98CFC" w14:textId="77777777" w:rsidR="00BB0DBD" w:rsidRPr="00941AF1" w:rsidRDefault="00BB0DBD" w:rsidP="000F2921">
            <w:pPr>
              <w:pStyle w:val="TableHeaderWhite"/>
              <w:rPr>
                <w:lang w:eastAsia="en-AU"/>
              </w:rPr>
            </w:pPr>
            <w:r w:rsidRPr="00941AF1">
              <w:rPr>
                <w:lang w:eastAsia="en-AU"/>
              </w:rPr>
              <w:t> </w:t>
            </w:r>
          </w:p>
        </w:tc>
        <w:tc>
          <w:tcPr>
            <w:tcW w:w="303" w:type="pct"/>
            <w:hideMark/>
          </w:tcPr>
          <w:p w14:paraId="30025EDD" w14:textId="77777777" w:rsidR="00BB0DBD" w:rsidRPr="00941AF1" w:rsidRDefault="00BB0DBD" w:rsidP="000F2921">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941AF1">
              <w:rPr>
                <w:lang w:eastAsia="en-AU"/>
              </w:rPr>
              <w:t> </w:t>
            </w:r>
          </w:p>
        </w:tc>
        <w:tc>
          <w:tcPr>
            <w:tcW w:w="1032" w:type="pct"/>
            <w:gridSpan w:val="3"/>
            <w:hideMark/>
          </w:tcPr>
          <w:p w14:paraId="65FE0A6B" w14:textId="77777777" w:rsidR="00BB0DBD" w:rsidRPr="00941AF1" w:rsidRDefault="00BB0DBD" w:rsidP="00CA3FB9">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941AF1">
              <w:rPr>
                <w:lang w:eastAsia="en-AU"/>
              </w:rPr>
              <w:t>Ownership type</w:t>
            </w:r>
          </w:p>
        </w:tc>
        <w:tc>
          <w:tcPr>
            <w:tcW w:w="1105" w:type="pct"/>
            <w:gridSpan w:val="3"/>
            <w:hideMark/>
          </w:tcPr>
          <w:p w14:paraId="5DE2854F" w14:textId="77777777" w:rsidR="00BB0DBD" w:rsidRPr="00941AF1" w:rsidRDefault="00BB0DBD" w:rsidP="00CA3FB9">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941AF1">
              <w:rPr>
                <w:lang w:eastAsia="en-AU"/>
              </w:rPr>
              <w:t>Location</w:t>
            </w:r>
          </w:p>
        </w:tc>
        <w:tc>
          <w:tcPr>
            <w:tcW w:w="1543" w:type="pct"/>
            <w:gridSpan w:val="4"/>
            <w:hideMark/>
          </w:tcPr>
          <w:p w14:paraId="56210AC1" w14:textId="77777777" w:rsidR="00BB0DBD" w:rsidRPr="00941AF1" w:rsidRDefault="00BB0DBD" w:rsidP="00CA3FB9">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941AF1">
              <w:rPr>
                <w:lang w:eastAsia="en-AU"/>
              </w:rPr>
              <w:t>Scale</w:t>
            </w:r>
          </w:p>
        </w:tc>
      </w:tr>
      <w:tr w:rsidR="007B3335" w:rsidRPr="000F2921" w14:paraId="406BED47" w14:textId="77777777" w:rsidTr="00F842AB">
        <w:trPr>
          <w:trHeight w:val="1387"/>
        </w:trPr>
        <w:tc>
          <w:tcPr>
            <w:cnfStyle w:val="001000000000" w:firstRow="0" w:lastRow="0" w:firstColumn="1" w:lastColumn="0" w:oddVBand="0" w:evenVBand="0" w:oddHBand="0" w:evenHBand="0" w:firstRowFirstColumn="0" w:firstRowLastColumn="0" w:lastRowFirstColumn="0" w:lastRowLastColumn="0"/>
            <w:tcW w:w="1017" w:type="pct"/>
            <w:gridSpan w:val="2"/>
            <w:textDirection w:val="btLr"/>
            <w:hideMark/>
          </w:tcPr>
          <w:p w14:paraId="27AC84C7" w14:textId="77777777" w:rsidR="00BB0DBD" w:rsidRPr="000F2921" w:rsidRDefault="00BB0DBD" w:rsidP="00F842AB">
            <w:pPr>
              <w:pStyle w:val="TableofAuthorities"/>
            </w:pPr>
            <w:r w:rsidRPr="000F2921">
              <w:t> </w:t>
            </w:r>
          </w:p>
        </w:tc>
        <w:tc>
          <w:tcPr>
            <w:tcW w:w="303" w:type="pct"/>
            <w:textDirection w:val="btLr"/>
            <w:hideMark/>
          </w:tcPr>
          <w:p w14:paraId="206E9C3D" w14:textId="23A1319B"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Total </w:t>
            </w:r>
            <w:proofErr w:type="gramStart"/>
            <w:r w:rsidRPr="000F2921">
              <w:t xml:space="preserve">sector </w:t>
            </w:r>
            <w:r w:rsidR="006B0673" w:rsidRPr="000F2921">
              <w:t xml:space="preserve"> </w:t>
            </w:r>
            <w:r w:rsidRPr="000F2921">
              <w:t>2021</w:t>
            </w:r>
            <w:proofErr w:type="gramEnd"/>
            <w:r w:rsidRPr="000F2921">
              <w:t>-22</w:t>
            </w:r>
          </w:p>
        </w:tc>
        <w:tc>
          <w:tcPr>
            <w:tcW w:w="335" w:type="pct"/>
            <w:shd w:val="clear" w:color="auto" w:fill="D8DBDB" w:themeFill="background2" w:themeFillShade="E6"/>
            <w:textDirection w:val="btLr"/>
            <w:hideMark/>
          </w:tcPr>
          <w:p w14:paraId="4E6C90BF"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For-profit</w:t>
            </w:r>
          </w:p>
        </w:tc>
        <w:tc>
          <w:tcPr>
            <w:tcW w:w="401" w:type="pct"/>
            <w:shd w:val="clear" w:color="auto" w:fill="D8DBDB" w:themeFill="background2" w:themeFillShade="E6"/>
            <w:textDirection w:val="btLr"/>
            <w:hideMark/>
          </w:tcPr>
          <w:p w14:paraId="35F9DF41"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Not-for-profit</w:t>
            </w:r>
          </w:p>
        </w:tc>
        <w:tc>
          <w:tcPr>
            <w:tcW w:w="296" w:type="pct"/>
            <w:shd w:val="clear" w:color="auto" w:fill="D8DBDB" w:themeFill="background2" w:themeFillShade="E6"/>
            <w:textDirection w:val="btLr"/>
            <w:hideMark/>
          </w:tcPr>
          <w:p w14:paraId="4DF6A1B8"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Government</w:t>
            </w:r>
          </w:p>
        </w:tc>
        <w:tc>
          <w:tcPr>
            <w:tcW w:w="441" w:type="pct"/>
            <w:textDirection w:val="btLr"/>
            <w:hideMark/>
          </w:tcPr>
          <w:p w14:paraId="09A6F946"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Metropolitan</w:t>
            </w:r>
          </w:p>
        </w:tc>
        <w:tc>
          <w:tcPr>
            <w:tcW w:w="368" w:type="pct"/>
            <w:textDirection w:val="btLr"/>
            <w:hideMark/>
          </w:tcPr>
          <w:p w14:paraId="65B59558"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Regional</w:t>
            </w:r>
          </w:p>
        </w:tc>
        <w:tc>
          <w:tcPr>
            <w:tcW w:w="296" w:type="pct"/>
            <w:textDirection w:val="btLr"/>
            <w:hideMark/>
          </w:tcPr>
          <w:p w14:paraId="022F438A"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Metropolitan &amp; regional</w:t>
            </w:r>
          </w:p>
        </w:tc>
        <w:tc>
          <w:tcPr>
            <w:tcW w:w="368" w:type="pct"/>
            <w:shd w:val="clear" w:color="auto" w:fill="D8DBDB" w:themeFill="background2" w:themeFillShade="E6"/>
            <w:textDirection w:val="btLr"/>
            <w:hideMark/>
          </w:tcPr>
          <w:p w14:paraId="6A3EAE31"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Single facilities</w:t>
            </w:r>
          </w:p>
        </w:tc>
        <w:tc>
          <w:tcPr>
            <w:tcW w:w="367" w:type="pct"/>
            <w:shd w:val="clear" w:color="auto" w:fill="D8DBDB" w:themeFill="background2" w:themeFillShade="E6"/>
            <w:textDirection w:val="btLr"/>
            <w:hideMark/>
          </w:tcPr>
          <w:p w14:paraId="01AD7C54"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Two to six facilities </w:t>
            </w:r>
          </w:p>
        </w:tc>
        <w:tc>
          <w:tcPr>
            <w:tcW w:w="368" w:type="pct"/>
            <w:shd w:val="clear" w:color="auto" w:fill="D8DBDB" w:themeFill="background2" w:themeFillShade="E6"/>
            <w:textDirection w:val="btLr"/>
            <w:hideMark/>
          </w:tcPr>
          <w:p w14:paraId="7787438E"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Seven to 19 facilities</w:t>
            </w:r>
          </w:p>
        </w:tc>
        <w:tc>
          <w:tcPr>
            <w:tcW w:w="439" w:type="pct"/>
            <w:shd w:val="clear" w:color="auto" w:fill="D8DBDB" w:themeFill="background2" w:themeFillShade="E6"/>
            <w:textDirection w:val="btLr"/>
            <w:hideMark/>
          </w:tcPr>
          <w:p w14:paraId="1B37A2C4" w14:textId="77777777" w:rsidR="00BB0DBD" w:rsidRPr="000F2921" w:rsidRDefault="00BB0DBD" w:rsidP="00F842AB">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20 or more facilities </w:t>
            </w:r>
          </w:p>
        </w:tc>
      </w:tr>
      <w:tr w:rsidR="007B3335" w:rsidRPr="000F2921" w14:paraId="4C3C0385" w14:textId="77777777" w:rsidTr="00F842AB">
        <w:trPr>
          <w:trHeight w:val="300"/>
        </w:trPr>
        <w:tc>
          <w:tcPr>
            <w:cnfStyle w:val="001000000000" w:firstRow="0" w:lastRow="0" w:firstColumn="1" w:lastColumn="0" w:oddVBand="0" w:evenVBand="0" w:oddHBand="0" w:evenHBand="0" w:firstRowFirstColumn="0" w:firstRowLastColumn="0" w:lastRowFirstColumn="0" w:lastRowLastColumn="0"/>
            <w:tcW w:w="918" w:type="pct"/>
            <w:noWrap/>
            <w:hideMark/>
          </w:tcPr>
          <w:p w14:paraId="077A9FDA" w14:textId="77777777" w:rsidR="00BB0DBD" w:rsidRPr="000F2921" w:rsidRDefault="00BB0DBD" w:rsidP="000F2921">
            <w:pPr>
              <w:pStyle w:val="TableofAuthorities"/>
            </w:pPr>
            <w:r w:rsidRPr="000F2921">
              <w:t>Providers</w:t>
            </w:r>
          </w:p>
        </w:tc>
        <w:tc>
          <w:tcPr>
            <w:tcW w:w="402" w:type="pct"/>
            <w:gridSpan w:val="2"/>
            <w:noWrap/>
            <w:hideMark/>
          </w:tcPr>
          <w:p w14:paraId="0653269F" w14:textId="77ED6134"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805 </w:t>
            </w:r>
          </w:p>
        </w:tc>
        <w:tc>
          <w:tcPr>
            <w:tcW w:w="335" w:type="pct"/>
            <w:noWrap/>
            <w:hideMark/>
          </w:tcPr>
          <w:p w14:paraId="3EFD4C9F" w14:textId="68B70984"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266 </w:t>
            </w:r>
          </w:p>
        </w:tc>
        <w:tc>
          <w:tcPr>
            <w:tcW w:w="401" w:type="pct"/>
            <w:noWrap/>
            <w:hideMark/>
          </w:tcPr>
          <w:p w14:paraId="167145B5" w14:textId="50F4F015"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453 </w:t>
            </w:r>
          </w:p>
        </w:tc>
        <w:tc>
          <w:tcPr>
            <w:tcW w:w="296" w:type="pct"/>
            <w:noWrap/>
            <w:hideMark/>
          </w:tcPr>
          <w:p w14:paraId="128BF158" w14:textId="262EBB14"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87</w:t>
            </w:r>
          </w:p>
        </w:tc>
        <w:tc>
          <w:tcPr>
            <w:tcW w:w="441" w:type="pct"/>
            <w:noWrap/>
            <w:hideMark/>
          </w:tcPr>
          <w:p w14:paraId="1DB6867A" w14:textId="4711EBB4"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406 </w:t>
            </w:r>
          </w:p>
        </w:tc>
        <w:tc>
          <w:tcPr>
            <w:tcW w:w="368" w:type="pct"/>
            <w:noWrap/>
            <w:hideMark/>
          </w:tcPr>
          <w:p w14:paraId="7E51B110" w14:textId="0F17E03B"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310 </w:t>
            </w:r>
          </w:p>
        </w:tc>
        <w:tc>
          <w:tcPr>
            <w:tcW w:w="296" w:type="pct"/>
            <w:noWrap/>
            <w:hideMark/>
          </w:tcPr>
          <w:p w14:paraId="1F029C3D" w14:textId="68191B0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89 </w:t>
            </w:r>
          </w:p>
        </w:tc>
        <w:tc>
          <w:tcPr>
            <w:tcW w:w="368" w:type="pct"/>
            <w:noWrap/>
            <w:hideMark/>
          </w:tcPr>
          <w:p w14:paraId="42309984" w14:textId="157FEFA4"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507 </w:t>
            </w:r>
          </w:p>
        </w:tc>
        <w:tc>
          <w:tcPr>
            <w:tcW w:w="367" w:type="pct"/>
            <w:noWrap/>
            <w:hideMark/>
          </w:tcPr>
          <w:p w14:paraId="5D7E301F" w14:textId="332B98C0"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220 </w:t>
            </w:r>
          </w:p>
        </w:tc>
        <w:tc>
          <w:tcPr>
            <w:tcW w:w="368" w:type="pct"/>
            <w:noWrap/>
            <w:hideMark/>
          </w:tcPr>
          <w:p w14:paraId="4D0906ED" w14:textId="353047C3"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55 </w:t>
            </w:r>
          </w:p>
        </w:tc>
        <w:tc>
          <w:tcPr>
            <w:tcW w:w="439" w:type="pct"/>
            <w:noWrap/>
            <w:hideMark/>
          </w:tcPr>
          <w:p w14:paraId="6E5BA0FD" w14:textId="53D45924"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23 </w:t>
            </w:r>
          </w:p>
        </w:tc>
      </w:tr>
      <w:tr w:rsidR="007B3335" w:rsidRPr="000F2921" w14:paraId="2A373A7B" w14:textId="77777777" w:rsidTr="00F842AB">
        <w:trPr>
          <w:trHeight w:val="300"/>
        </w:trPr>
        <w:tc>
          <w:tcPr>
            <w:cnfStyle w:val="001000000000" w:firstRow="0" w:lastRow="0" w:firstColumn="1" w:lastColumn="0" w:oddVBand="0" w:evenVBand="0" w:oddHBand="0" w:evenHBand="0" w:firstRowFirstColumn="0" w:firstRowLastColumn="0" w:lastRowFirstColumn="0" w:lastRowLastColumn="0"/>
            <w:tcW w:w="918" w:type="pct"/>
            <w:noWrap/>
            <w:hideMark/>
          </w:tcPr>
          <w:p w14:paraId="355FD7AA" w14:textId="77777777" w:rsidR="00BB0DBD" w:rsidRPr="000F2921" w:rsidRDefault="00BB0DBD" w:rsidP="000F2921">
            <w:pPr>
              <w:pStyle w:val="TableofAuthorities"/>
            </w:pPr>
            <w:r w:rsidRPr="000F2921">
              <w:t>Facilities</w:t>
            </w:r>
          </w:p>
        </w:tc>
        <w:tc>
          <w:tcPr>
            <w:tcW w:w="402" w:type="pct"/>
            <w:gridSpan w:val="2"/>
            <w:noWrap/>
            <w:hideMark/>
          </w:tcPr>
          <w:p w14:paraId="38E16023" w14:textId="24151B5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2,671 </w:t>
            </w:r>
          </w:p>
        </w:tc>
        <w:tc>
          <w:tcPr>
            <w:tcW w:w="335" w:type="pct"/>
            <w:noWrap/>
            <w:hideMark/>
          </w:tcPr>
          <w:p w14:paraId="3931EE37" w14:textId="3DE8B92F"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929 </w:t>
            </w:r>
          </w:p>
        </w:tc>
        <w:tc>
          <w:tcPr>
            <w:tcW w:w="401" w:type="pct"/>
            <w:noWrap/>
            <w:hideMark/>
          </w:tcPr>
          <w:p w14:paraId="4B8C831B" w14:textId="58C69539"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1,515 </w:t>
            </w:r>
          </w:p>
        </w:tc>
        <w:tc>
          <w:tcPr>
            <w:tcW w:w="296" w:type="pct"/>
            <w:noWrap/>
            <w:hideMark/>
          </w:tcPr>
          <w:p w14:paraId="688E7574" w14:textId="69CBB871"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227 </w:t>
            </w:r>
          </w:p>
        </w:tc>
        <w:tc>
          <w:tcPr>
            <w:tcW w:w="441" w:type="pct"/>
            <w:noWrap/>
            <w:hideMark/>
          </w:tcPr>
          <w:p w14:paraId="3C3CCA64" w14:textId="158C2EB6"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1,669 </w:t>
            </w:r>
          </w:p>
        </w:tc>
        <w:tc>
          <w:tcPr>
            <w:tcW w:w="368" w:type="pct"/>
            <w:noWrap/>
            <w:hideMark/>
          </w:tcPr>
          <w:p w14:paraId="032D43B6" w14:textId="429DAFB6"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1,002 </w:t>
            </w:r>
          </w:p>
        </w:tc>
        <w:tc>
          <w:tcPr>
            <w:tcW w:w="296" w:type="pct"/>
            <w:noWrap/>
            <w:hideMark/>
          </w:tcPr>
          <w:p w14:paraId="7A8B4760"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N/A</w:t>
            </w:r>
          </w:p>
        </w:tc>
        <w:tc>
          <w:tcPr>
            <w:tcW w:w="368" w:type="pct"/>
            <w:noWrap/>
            <w:hideMark/>
          </w:tcPr>
          <w:p w14:paraId="4C3E18CD" w14:textId="146C8EC0"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507 </w:t>
            </w:r>
          </w:p>
        </w:tc>
        <w:tc>
          <w:tcPr>
            <w:tcW w:w="367" w:type="pct"/>
            <w:noWrap/>
            <w:hideMark/>
          </w:tcPr>
          <w:p w14:paraId="054A42AC" w14:textId="23AD18F8"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 633 </w:t>
            </w:r>
          </w:p>
        </w:tc>
        <w:tc>
          <w:tcPr>
            <w:tcW w:w="368" w:type="pct"/>
            <w:noWrap/>
            <w:hideMark/>
          </w:tcPr>
          <w:p w14:paraId="0CEC7DEE" w14:textId="42A3A4EE"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642 </w:t>
            </w:r>
          </w:p>
        </w:tc>
        <w:tc>
          <w:tcPr>
            <w:tcW w:w="439" w:type="pct"/>
            <w:noWrap/>
            <w:hideMark/>
          </w:tcPr>
          <w:p w14:paraId="67A7C4D6" w14:textId="476FC082"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889 </w:t>
            </w:r>
          </w:p>
        </w:tc>
      </w:tr>
      <w:tr w:rsidR="007B3335" w:rsidRPr="000F2921" w14:paraId="49C30435" w14:textId="77777777" w:rsidTr="00F842AB">
        <w:trPr>
          <w:trHeight w:val="300"/>
        </w:trPr>
        <w:tc>
          <w:tcPr>
            <w:cnfStyle w:val="001000000000" w:firstRow="0" w:lastRow="0" w:firstColumn="1" w:lastColumn="0" w:oddVBand="0" w:evenVBand="0" w:oddHBand="0" w:evenHBand="0" w:firstRowFirstColumn="0" w:firstRowLastColumn="0" w:lastRowFirstColumn="0" w:lastRowLastColumn="0"/>
            <w:tcW w:w="918" w:type="pct"/>
            <w:noWrap/>
            <w:hideMark/>
          </w:tcPr>
          <w:p w14:paraId="23CB5A60" w14:textId="77777777" w:rsidR="00BB0DBD" w:rsidRPr="000F2921" w:rsidRDefault="00BB0DBD" w:rsidP="000F2921">
            <w:pPr>
              <w:pStyle w:val="TableofAuthorities"/>
            </w:pPr>
            <w:r w:rsidRPr="000F2921">
              <w:t>Operational places</w:t>
            </w:r>
          </w:p>
        </w:tc>
        <w:tc>
          <w:tcPr>
            <w:tcW w:w="402" w:type="pct"/>
            <w:gridSpan w:val="2"/>
            <w:noWrap/>
            <w:hideMark/>
          </w:tcPr>
          <w:p w14:paraId="4B56D89C" w14:textId="5BF18ABE"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219,965 </w:t>
            </w:r>
          </w:p>
        </w:tc>
        <w:tc>
          <w:tcPr>
            <w:tcW w:w="335" w:type="pct"/>
            <w:noWrap/>
            <w:hideMark/>
          </w:tcPr>
          <w:p w14:paraId="5DC0BA4D" w14:textId="7587205D"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91,658 </w:t>
            </w:r>
          </w:p>
        </w:tc>
        <w:tc>
          <w:tcPr>
            <w:tcW w:w="401" w:type="pct"/>
            <w:noWrap/>
            <w:hideMark/>
          </w:tcPr>
          <w:p w14:paraId="45B80FD0" w14:textId="2139D6D0"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120,137 </w:t>
            </w:r>
          </w:p>
        </w:tc>
        <w:tc>
          <w:tcPr>
            <w:tcW w:w="296" w:type="pct"/>
            <w:noWrap/>
            <w:hideMark/>
          </w:tcPr>
          <w:p w14:paraId="4143715C" w14:textId="42F2BE9B"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8,170 </w:t>
            </w:r>
          </w:p>
        </w:tc>
        <w:tc>
          <w:tcPr>
            <w:tcW w:w="441" w:type="pct"/>
            <w:noWrap/>
            <w:hideMark/>
          </w:tcPr>
          <w:p w14:paraId="5360A53F" w14:textId="6CF8F5CB"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155,138 </w:t>
            </w:r>
          </w:p>
        </w:tc>
        <w:tc>
          <w:tcPr>
            <w:tcW w:w="368" w:type="pct"/>
            <w:noWrap/>
            <w:hideMark/>
          </w:tcPr>
          <w:p w14:paraId="3DB03F06" w14:textId="25FA5CB1"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64,827 </w:t>
            </w:r>
          </w:p>
        </w:tc>
        <w:tc>
          <w:tcPr>
            <w:tcW w:w="296" w:type="pct"/>
            <w:noWrap/>
            <w:hideMark/>
          </w:tcPr>
          <w:p w14:paraId="2D6E9A8E"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N/A</w:t>
            </w:r>
          </w:p>
        </w:tc>
        <w:tc>
          <w:tcPr>
            <w:tcW w:w="368" w:type="pct"/>
            <w:noWrap/>
            <w:hideMark/>
          </w:tcPr>
          <w:p w14:paraId="072BF71B" w14:textId="4C46DF68"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41,857 </w:t>
            </w:r>
          </w:p>
        </w:tc>
        <w:tc>
          <w:tcPr>
            <w:tcW w:w="367" w:type="pct"/>
            <w:noWrap/>
            <w:hideMark/>
          </w:tcPr>
          <w:p w14:paraId="3CB37F28" w14:textId="63D061DA"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47,283 </w:t>
            </w:r>
          </w:p>
        </w:tc>
        <w:tc>
          <w:tcPr>
            <w:tcW w:w="368" w:type="pct"/>
            <w:noWrap/>
            <w:hideMark/>
          </w:tcPr>
          <w:p w14:paraId="4D21EBC9" w14:textId="55F5723F"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51,260 </w:t>
            </w:r>
          </w:p>
        </w:tc>
        <w:tc>
          <w:tcPr>
            <w:tcW w:w="439" w:type="pct"/>
            <w:noWrap/>
            <w:hideMark/>
          </w:tcPr>
          <w:p w14:paraId="295F5816" w14:textId="5CF23E02"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79,565 </w:t>
            </w:r>
          </w:p>
        </w:tc>
      </w:tr>
      <w:tr w:rsidR="007B3335" w:rsidRPr="000F2921" w14:paraId="7A68DD9A" w14:textId="77777777" w:rsidTr="00F842AB">
        <w:trPr>
          <w:trHeight w:val="300"/>
        </w:trPr>
        <w:tc>
          <w:tcPr>
            <w:cnfStyle w:val="001000000000" w:firstRow="0" w:lastRow="0" w:firstColumn="1" w:lastColumn="0" w:oddVBand="0" w:evenVBand="0" w:oddHBand="0" w:evenHBand="0" w:firstRowFirstColumn="0" w:firstRowLastColumn="0" w:lastRowFirstColumn="0" w:lastRowLastColumn="0"/>
            <w:tcW w:w="918" w:type="pct"/>
            <w:noWrap/>
            <w:hideMark/>
          </w:tcPr>
          <w:p w14:paraId="59853247" w14:textId="77777777" w:rsidR="00BB0DBD" w:rsidRPr="000F2921" w:rsidRDefault="00BB0DBD" w:rsidP="000F2921">
            <w:pPr>
              <w:pStyle w:val="TableofAuthorities"/>
            </w:pPr>
            <w:r w:rsidRPr="000F2921">
              <w:t>Occupancy</w:t>
            </w:r>
          </w:p>
        </w:tc>
        <w:tc>
          <w:tcPr>
            <w:tcW w:w="402" w:type="pct"/>
            <w:gridSpan w:val="2"/>
            <w:noWrap/>
            <w:hideMark/>
          </w:tcPr>
          <w:p w14:paraId="65E6C381"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86%</w:t>
            </w:r>
          </w:p>
        </w:tc>
        <w:tc>
          <w:tcPr>
            <w:tcW w:w="335" w:type="pct"/>
            <w:noWrap/>
            <w:hideMark/>
          </w:tcPr>
          <w:p w14:paraId="60E7136A"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85%</w:t>
            </w:r>
          </w:p>
        </w:tc>
        <w:tc>
          <w:tcPr>
            <w:tcW w:w="401" w:type="pct"/>
            <w:noWrap/>
            <w:hideMark/>
          </w:tcPr>
          <w:p w14:paraId="1BE0A466"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88%</w:t>
            </w:r>
          </w:p>
        </w:tc>
        <w:tc>
          <w:tcPr>
            <w:tcW w:w="296" w:type="pct"/>
            <w:noWrap/>
            <w:hideMark/>
          </w:tcPr>
          <w:p w14:paraId="140F9D32"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85%</w:t>
            </w:r>
          </w:p>
        </w:tc>
        <w:tc>
          <w:tcPr>
            <w:tcW w:w="441" w:type="pct"/>
            <w:noWrap/>
            <w:hideMark/>
          </w:tcPr>
          <w:p w14:paraId="360E4D39"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86%</w:t>
            </w:r>
          </w:p>
        </w:tc>
        <w:tc>
          <w:tcPr>
            <w:tcW w:w="368" w:type="pct"/>
            <w:noWrap/>
            <w:hideMark/>
          </w:tcPr>
          <w:p w14:paraId="5DB5572D"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87%</w:t>
            </w:r>
          </w:p>
        </w:tc>
        <w:tc>
          <w:tcPr>
            <w:tcW w:w="296" w:type="pct"/>
            <w:noWrap/>
            <w:hideMark/>
          </w:tcPr>
          <w:p w14:paraId="10DE4087"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N/A</w:t>
            </w:r>
          </w:p>
        </w:tc>
        <w:tc>
          <w:tcPr>
            <w:tcW w:w="368" w:type="pct"/>
            <w:noWrap/>
            <w:hideMark/>
          </w:tcPr>
          <w:p w14:paraId="395E3317"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85%</w:t>
            </w:r>
          </w:p>
        </w:tc>
        <w:tc>
          <w:tcPr>
            <w:tcW w:w="367" w:type="pct"/>
            <w:noWrap/>
            <w:hideMark/>
          </w:tcPr>
          <w:p w14:paraId="6DDACE19"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85%</w:t>
            </w:r>
          </w:p>
        </w:tc>
        <w:tc>
          <w:tcPr>
            <w:tcW w:w="368" w:type="pct"/>
            <w:noWrap/>
            <w:hideMark/>
          </w:tcPr>
          <w:p w14:paraId="7E217FA0"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86%</w:t>
            </w:r>
          </w:p>
        </w:tc>
        <w:tc>
          <w:tcPr>
            <w:tcW w:w="439" w:type="pct"/>
            <w:noWrap/>
            <w:hideMark/>
          </w:tcPr>
          <w:p w14:paraId="662A28B7"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86%</w:t>
            </w:r>
          </w:p>
        </w:tc>
      </w:tr>
      <w:tr w:rsidR="007B3335" w:rsidRPr="000F2921" w14:paraId="23E59D08" w14:textId="77777777" w:rsidTr="00F842AB">
        <w:trPr>
          <w:trHeight w:val="300"/>
        </w:trPr>
        <w:tc>
          <w:tcPr>
            <w:cnfStyle w:val="001000000000" w:firstRow="0" w:lastRow="0" w:firstColumn="1" w:lastColumn="0" w:oddVBand="0" w:evenVBand="0" w:oddHBand="0" w:evenHBand="0" w:firstRowFirstColumn="0" w:firstRowLastColumn="0" w:lastRowFirstColumn="0" w:lastRowLastColumn="0"/>
            <w:tcW w:w="918" w:type="pct"/>
            <w:noWrap/>
            <w:hideMark/>
          </w:tcPr>
          <w:p w14:paraId="240A5715" w14:textId="77777777" w:rsidR="00BB0DBD" w:rsidRPr="000F2921" w:rsidRDefault="00BB0DBD" w:rsidP="000F2921">
            <w:pPr>
              <w:pStyle w:val="TableofAuthorities"/>
            </w:pPr>
            <w:r w:rsidRPr="000F2921">
              <w:t>Total residents</w:t>
            </w:r>
          </w:p>
        </w:tc>
        <w:tc>
          <w:tcPr>
            <w:tcW w:w="402" w:type="pct"/>
            <w:gridSpan w:val="2"/>
            <w:noWrap/>
            <w:hideMark/>
          </w:tcPr>
          <w:p w14:paraId="3BBB771A" w14:textId="5C6477B5"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188,208 </w:t>
            </w:r>
          </w:p>
        </w:tc>
        <w:tc>
          <w:tcPr>
            <w:tcW w:w="335" w:type="pct"/>
            <w:noWrap/>
            <w:hideMark/>
          </w:tcPr>
          <w:p w14:paraId="21D4FC4F" w14:textId="15514F0C"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77,032 </w:t>
            </w:r>
          </w:p>
        </w:tc>
        <w:tc>
          <w:tcPr>
            <w:tcW w:w="401" w:type="pct"/>
            <w:noWrap/>
            <w:hideMark/>
          </w:tcPr>
          <w:p w14:paraId="02E030B4" w14:textId="6B522F3C"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104,391 </w:t>
            </w:r>
          </w:p>
        </w:tc>
        <w:tc>
          <w:tcPr>
            <w:tcW w:w="296" w:type="pct"/>
            <w:noWrap/>
            <w:hideMark/>
          </w:tcPr>
          <w:p w14:paraId="6DB9203C" w14:textId="4AEB139F"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6,785 </w:t>
            </w:r>
          </w:p>
        </w:tc>
        <w:tc>
          <w:tcPr>
            <w:tcW w:w="441" w:type="pct"/>
            <w:noWrap/>
            <w:hideMark/>
          </w:tcPr>
          <w:p w14:paraId="72169C80" w14:textId="18867C23"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132,240 </w:t>
            </w:r>
          </w:p>
        </w:tc>
        <w:tc>
          <w:tcPr>
            <w:tcW w:w="368" w:type="pct"/>
            <w:noWrap/>
            <w:hideMark/>
          </w:tcPr>
          <w:p w14:paraId="687ED142" w14:textId="375C9A4C"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55,968 </w:t>
            </w:r>
          </w:p>
        </w:tc>
        <w:tc>
          <w:tcPr>
            <w:tcW w:w="296" w:type="pct"/>
            <w:noWrap/>
            <w:hideMark/>
          </w:tcPr>
          <w:p w14:paraId="642ECD6E"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N/A</w:t>
            </w:r>
          </w:p>
        </w:tc>
        <w:tc>
          <w:tcPr>
            <w:tcW w:w="368" w:type="pct"/>
            <w:noWrap/>
            <w:hideMark/>
          </w:tcPr>
          <w:p w14:paraId="728BE9D9" w14:textId="76981FC9"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36,007 </w:t>
            </w:r>
          </w:p>
        </w:tc>
        <w:tc>
          <w:tcPr>
            <w:tcW w:w="367" w:type="pct"/>
            <w:noWrap/>
            <w:hideMark/>
          </w:tcPr>
          <w:p w14:paraId="7C971174" w14:textId="45085B7A"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40,220 </w:t>
            </w:r>
          </w:p>
        </w:tc>
        <w:tc>
          <w:tcPr>
            <w:tcW w:w="368" w:type="pct"/>
            <w:noWrap/>
            <w:hideMark/>
          </w:tcPr>
          <w:p w14:paraId="4A85976F" w14:textId="6CAA421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43,410 </w:t>
            </w:r>
          </w:p>
        </w:tc>
        <w:tc>
          <w:tcPr>
            <w:tcW w:w="439" w:type="pct"/>
            <w:noWrap/>
            <w:hideMark/>
          </w:tcPr>
          <w:p w14:paraId="020F66C1" w14:textId="2CC5B59F"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68,571 </w:t>
            </w:r>
          </w:p>
        </w:tc>
      </w:tr>
      <w:tr w:rsidR="007B3335" w:rsidRPr="000F2921" w14:paraId="31A86EE8" w14:textId="77777777" w:rsidTr="00F842AB">
        <w:trPr>
          <w:trHeight w:val="300"/>
        </w:trPr>
        <w:tc>
          <w:tcPr>
            <w:cnfStyle w:val="001000000000" w:firstRow="0" w:lastRow="0" w:firstColumn="1" w:lastColumn="0" w:oddVBand="0" w:evenVBand="0" w:oddHBand="0" w:evenHBand="0" w:firstRowFirstColumn="0" w:firstRowLastColumn="0" w:lastRowFirstColumn="0" w:lastRowLastColumn="0"/>
            <w:tcW w:w="918" w:type="pct"/>
            <w:noWrap/>
            <w:hideMark/>
          </w:tcPr>
          <w:p w14:paraId="3AC6081C" w14:textId="77777777" w:rsidR="00BB0DBD" w:rsidRPr="000F2921" w:rsidRDefault="00BB0DBD" w:rsidP="000F2921">
            <w:pPr>
              <w:pStyle w:val="TableofAuthorities"/>
            </w:pPr>
            <w:r w:rsidRPr="000F2921">
              <w:lastRenderedPageBreak/>
              <w:t xml:space="preserve"> -Permanent residents</w:t>
            </w:r>
          </w:p>
        </w:tc>
        <w:tc>
          <w:tcPr>
            <w:tcW w:w="402" w:type="pct"/>
            <w:gridSpan w:val="2"/>
            <w:noWrap/>
            <w:hideMark/>
          </w:tcPr>
          <w:p w14:paraId="5A320099" w14:textId="32688564"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180,750 </w:t>
            </w:r>
          </w:p>
        </w:tc>
        <w:tc>
          <w:tcPr>
            <w:tcW w:w="335" w:type="pct"/>
            <w:noWrap/>
            <w:hideMark/>
          </w:tcPr>
          <w:p w14:paraId="4B4DD309" w14:textId="6F01C82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73,370 </w:t>
            </w:r>
          </w:p>
        </w:tc>
        <w:tc>
          <w:tcPr>
            <w:tcW w:w="401" w:type="pct"/>
            <w:noWrap/>
            <w:hideMark/>
          </w:tcPr>
          <w:p w14:paraId="03A5D7DD" w14:textId="302AA4D2"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100,761 </w:t>
            </w:r>
          </w:p>
        </w:tc>
        <w:tc>
          <w:tcPr>
            <w:tcW w:w="296" w:type="pct"/>
            <w:noWrap/>
            <w:hideMark/>
          </w:tcPr>
          <w:p w14:paraId="0C56F9BA" w14:textId="3CAC1190"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6,619 </w:t>
            </w:r>
          </w:p>
        </w:tc>
        <w:tc>
          <w:tcPr>
            <w:tcW w:w="441" w:type="pct"/>
            <w:noWrap/>
            <w:hideMark/>
          </w:tcPr>
          <w:p w14:paraId="7FB71022" w14:textId="031BBFB2"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127,032 </w:t>
            </w:r>
          </w:p>
        </w:tc>
        <w:tc>
          <w:tcPr>
            <w:tcW w:w="368" w:type="pct"/>
            <w:noWrap/>
            <w:hideMark/>
          </w:tcPr>
          <w:p w14:paraId="2CF2F811" w14:textId="4612073A"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53,718 </w:t>
            </w:r>
          </w:p>
        </w:tc>
        <w:tc>
          <w:tcPr>
            <w:tcW w:w="296" w:type="pct"/>
            <w:noWrap/>
            <w:hideMark/>
          </w:tcPr>
          <w:p w14:paraId="002366A4"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N/A</w:t>
            </w:r>
          </w:p>
        </w:tc>
        <w:tc>
          <w:tcPr>
            <w:tcW w:w="368" w:type="pct"/>
            <w:noWrap/>
            <w:hideMark/>
          </w:tcPr>
          <w:p w14:paraId="69255979" w14:textId="2280E65B"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34,442 </w:t>
            </w:r>
          </w:p>
        </w:tc>
        <w:tc>
          <w:tcPr>
            <w:tcW w:w="367" w:type="pct"/>
            <w:noWrap/>
            <w:hideMark/>
          </w:tcPr>
          <w:p w14:paraId="58E66421" w14:textId="413FC5D8"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38,626 </w:t>
            </w:r>
          </w:p>
        </w:tc>
        <w:tc>
          <w:tcPr>
            <w:tcW w:w="368" w:type="pct"/>
            <w:noWrap/>
            <w:hideMark/>
          </w:tcPr>
          <w:p w14:paraId="199C20CE" w14:textId="5AB66656"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41,842 </w:t>
            </w:r>
          </w:p>
        </w:tc>
        <w:tc>
          <w:tcPr>
            <w:tcW w:w="439" w:type="pct"/>
            <w:noWrap/>
            <w:hideMark/>
          </w:tcPr>
          <w:p w14:paraId="15A33802" w14:textId="4C466BA1"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65,840 </w:t>
            </w:r>
          </w:p>
        </w:tc>
      </w:tr>
      <w:tr w:rsidR="007B3335" w:rsidRPr="000F2921" w14:paraId="1D7280AA" w14:textId="77777777" w:rsidTr="00F842AB">
        <w:trPr>
          <w:trHeight w:val="300"/>
        </w:trPr>
        <w:tc>
          <w:tcPr>
            <w:cnfStyle w:val="001000000000" w:firstRow="0" w:lastRow="0" w:firstColumn="1" w:lastColumn="0" w:oddVBand="0" w:evenVBand="0" w:oddHBand="0" w:evenHBand="0" w:firstRowFirstColumn="0" w:firstRowLastColumn="0" w:lastRowFirstColumn="0" w:lastRowLastColumn="0"/>
            <w:tcW w:w="918" w:type="pct"/>
            <w:noWrap/>
            <w:hideMark/>
          </w:tcPr>
          <w:p w14:paraId="25B38D61" w14:textId="77777777" w:rsidR="00BB0DBD" w:rsidRPr="000F2921" w:rsidRDefault="00BB0DBD" w:rsidP="000F2921">
            <w:pPr>
              <w:pStyle w:val="TableofAuthorities"/>
            </w:pPr>
            <w:r w:rsidRPr="000F2921">
              <w:t xml:space="preserve"> - Respite residents</w:t>
            </w:r>
          </w:p>
        </w:tc>
        <w:tc>
          <w:tcPr>
            <w:tcW w:w="402" w:type="pct"/>
            <w:gridSpan w:val="2"/>
            <w:noWrap/>
            <w:hideMark/>
          </w:tcPr>
          <w:p w14:paraId="74438692" w14:textId="6ED225AB"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7,458 </w:t>
            </w:r>
          </w:p>
        </w:tc>
        <w:tc>
          <w:tcPr>
            <w:tcW w:w="335" w:type="pct"/>
            <w:noWrap/>
            <w:hideMark/>
          </w:tcPr>
          <w:p w14:paraId="5D8E820D" w14:textId="37D56A8E"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3,662</w:t>
            </w:r>
          </w:p>
        </w:tc>
        <w:tc>
          <w:tcPr>
            <w:tcW w:w="401" w:type="pct"/>
            <w:noWrap/>
            <w:hideMark/>
          </w:tcPr>
          <w:p w14:paraId="3F202608" w14:textId="7254C6F8"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3,563 </w:t>
            </w:r>
          </w:p>
        </w:tc>
        <w:tc>
          <w:tcPr>
            <w:tcW w:w="296" w:type="pct"/>
            <w:noWrap/>
            <w:hideMark/>
          </w:tcPr>
          <w:p w14:paraId="4F5FDDAB" w14:textId="39621320"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233 </w:t>
            </w:r>
          </w:p>
        </w:tc>
        <w:tc>
          <w:tcPr>
            <w:tcW w:w="441" w:type="pct"/>
            <w:noWrap/>
            <w:hideMark/>
          </w:tcPr>
          <w:p w14:paraId="2BC7BE04" w14:textId="2E029218"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 5,208 </w:t>
            </w:r>
          </w:p>
        </w:tc>
        <w:tc>
          <w:tcPr>
            <w:tcW w:w="368" w:type="pct"/>
            <w:noWrap/>
            <w:hideMark/>
          </w:tcPr>
          <w:p w14:paraId="28D17194" w14:textId="0284965C"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2,250 </w:t>
            </w:r>
          </w:p>
        </w:tc>
        <w:tc>
          <w:tcPr>
            <w:tcW w:w="296" w:type="pct"/>
            <w:noWrap/>
            <w:hideMark/>
          </w:tcPr>
          <w:p w14:paraId="05FEF13E" w14:textId="77777777"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N/A</w:t>
            </w:r>
          </w:p>
        </w:tc>
        <w:tc>
          <w:tcPr>
            <w:tcW w:w="368" w:type="pct"/>
            <w:noWrap/>
            <w:hideMark/>
          </w:tcPr>
          <w:p w14:paraId="20798D06" w14:textId="3388F1D5"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1,565 </w:t>
            </w:r>
          </w:p>
        </w:tc>
        <w:tc>
          <w:tcPr>
            <w:tcW w:w="367" w:type="pct"/>
            <w:noWrap/>
            <w:hideMark/>
          </w:tcPr>
          <w:p w14:paraId="7223ED2D" w14:textId="27B24AE1"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1,594 </w:t>
            </w:r>
          </w:p>
        </w:tc>
        <w:tc>
          <w:tcPr>
            <w:tcW w:w="368" w:type="pct"/>
            <w:noWrap/>
            <w:hideMark/>
          </w:tcPr>
          <w:p w14:paraId="674EDAEB" w14:textId="7DEF63B0"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1,568 </w:t>
            </w:r>
          </w:p>
        </w:tc>
        <w:tc>
          <w:tcPr>
            <w:tcW w:w="439" w:type="pct"/>
            <w:noWrap/>
            <w:hideMark/>
          </w:tcPr>
          <w:p w14:paraId="57316813" w14:textId="33AB7105" w:rsidR="00BB0DBD" w:rsidRPr="000F2921" w:rsidRDefault="00BB0DBD"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 xml:space="preserve">2,731 </w:t>
            </w:r>
          </w:p>
        </w:tc>
      </w:tr>
    </w:tbl>
    <w:p w14:paraId="3EA565E7" w14:textId="54B54D5C" w:rsidR="00881BDA" w:rsidRPr="001F4197" w:rsidRDefault="00881BDA" w:rsidP="008A35F3">
      <w:pPr>
        <w:pStyle w:val="Heading3"/>
      </w:pPr>
      <w:r w:rsidRPr="006A2605">
        <w:t>Occupancy in residential care</w:t>
      </w:r>
    </w:p>
    <w:p w14:paraId="03F3706D" w14:textId="5B6D9C95" w:rsidR="00B80FDA" w:rsidRDefault="003520A4" w:rsidP="00B80FDA">
      <w:r>
        <w:t>Occupancy</w:t>
      </w:r>
      <w:r>
        <w:rPr>
          <w:spacing w:val="-4"/>
        </w:rPr>
        <w:t xml:space="preserve"> </w:t>
      </w:r>
      <w:r>
        <w:t>is</w:t>
      </w:r>
      <w:r>
        <w:rPr>
          <w:spacing w:val="-4"/>
        </w:rPr>
        <w:t xml:space="preserve"> </w:t>
      </w:r>
      <w:r>
        <w:t>measured</w:t>
      </w:r>
      <w:r>
        <w:rPr>
          <w:spacing w:val="-4"/>
        </w:rPr>
        <w:t xml:space="preserve"> </w:t>
      </w:r>
      <w:r w:rsidR="3639BD79">
        <w:t>by</w:t>
      </w:r>
      <w:r>
        <w:rPr>
          <w:spacing w:val="-4"/>
        </w:rPr>
        <w:t xml:space="preserve"> </w:t>
      </w:r>
      <w:r>
        <w:t>the</w:t>
      </w:r>
      <w:r>
        <w:rPr>
          <w:spacing w:val="-4"/>
        </w:rPr>
        <w:t xml:space="preserve"> </w:t>
      </w:r>
      <w:r>
        <w:t>total</w:t>
      </w:r>
      <w:r>
        <w:rPr>
          <w:spacing w:val="-4"/>
        </w:rPr>
        <w:t xml:space="preserve"> </w:t>
      </w:r>
      <w:r>
        <w:t>number</w:t>
      </w:r>
      <w:r>
        <w:rPr>
          <w:spacing w:val="-4"/>
        </w:rPr>
        <w:t xml:space="preserve"> </w:t>
      </w:r>
      <w:r>
        <w:t>of</w:t>
      </w:r>
      <w:r>
        <w:rPr>
          <w:spacing w:val="-4"/>
        </w:rPr>
        <w:t xml:space="preserve"> </w:t>
      </w:r>
      <w:r>
        <w:t>days</w:t>
      </w:r>
      <w:r>
        <w:rPr>
          <w:spacing w:val="-4"/>
        </w:rPr>
        <w:t xml:space="preserve"> </w:t>
      </w:r>
      <w:r>
        <w:t>an allocated</w:t>
      </w:r>
      <w:r>
        <w:rPr>
          <w:spacing w:val="-7"/>
        </w:rPr>
        <w:t xml:space="preserve"> </w:t>
      </w:r>
      <w:r>
        <w:t>place</w:t>
      </w:r>
      <w:r>
        <w:rPr>
          <w:spacing w:val="-7"/>
        </w:rPr>
        <w:t xml:space="preserve"> </w:t>
      </w:r>
      <w:r>
        <w:t>is</w:t>
      </w:r>
      <w:r>
        <w:rPr>
          <w:spacing w:val="-7"/>
        </w:rPr>
        <w:t xml:space="preserve"> </w:t>
      </w:r>
      <w:r>
        <w:t>occupied</w:t>
      </w:r>
      <w:r>
        <w:rPr>
          <w:spacing w:val="-7"/>
        </w:rPr>
        <w:t xml:space="preserve"> </w:t>
      </w:r>
      <w:r>
        <w:t>by</w:t>
      </w:r>
      <w:r>
        <w:rPr>
          <w:spacing w:val="-7"/>
        </w:rPr>
        <w:t xml:space="preserve"> </w:t>
      </w:r>
      <w:r>
        <w:t>a</w:t>
      </w:r>
      <w:r>
        <w:rPr>
          <w:spacing w:val="-7"/>
        </w:rPr>
        <w:t xml:space="preserve"> </w:t>
      </w:r>
      <w:r>
        <w:t>resident,</w:t>
      </w:r>
      <w:r>
        <w:rPr>
          <w:spacing w:val="-7"/>
        </w:rPr>
        <w:t xml:space="preserve"> </w:t>
      </w:r>
      <w:r>
        <w:t>divided</w:t>
      </w:r>
      <w:r>
        <w:rPr>
          <w:spacing w:val="-7"/>
        </w:rPr>
        <w:t xml:space="preserve"> </w:t>
      </w:r>
      <w:r>
        <w:t>by</w:t>
      </w:r>
      <w:r>
        <w:rPr>
          <w:spacing w:val="-7"/>
        </w:rPr>
        <w:t xml:space="preserve"> </w:t>
      </w:r>
      <w:r>
        <w:t>the total number of days an allocated place was available to be occupied. The subsequent rates therefore reflect both demand for care (</w:t>
      </w:r>
      <w:proofErr w:type="gramStart"/>
      <w:r>
        <w:t>i.e.</w:t>
      </w:r>
      <w:proofErr w:type="gramEnd"/>
      <w:r>
        <w:t xml:space="preserve"> the number of residents accessing places) and the supply of places made available by providers.</w:t>
      </w:r>
    </w:p>
    <w:p w14:paraId="6C478D43" w14:textId="2C754548" w:rsidR="003520A4" w:rsidRDefault="00A81D0F" w:rsidP="00B80FDA">
      <w:r>
        <w:fldChar w:fldCharType="begin"/>
      </w:r>
      <w:r>
        <w:instrText xml:space="preserve"> REF _Ref139553157 \h </w:instrText>
      </w:r>
      <w:r>
        <w:fldChar w:fldCharType="separate"/>
      </w:r>
      <w:r w:rsidR="00294B02">
        <w:t xml:space="preserve">Table </w:t>
      </w:r>
      <w:r w:rsidR="00294B02">
        <w:rPr>
          <w:noProof/>
        </w:rPr>
        <w:t>2</w:t>
      </w:r>
      <w:r w:rsidR="00294B02">
        <w:t>.</w:t>
      </w:r>
      <w:r w:rsidR="00294B02">
        <w:rPr>
          <w:noProof/>
        </w:rPr>
        <w:t>3</w:t>
      </w:r>
      <w:r>
        <w:fldChar w:fldCharType="end"/>
      </w:r>
      <w:r w:rsidR="00BD0C79">
        <w:t xml:space="preserve"> </w:t>
      </w:r>
      <w:r w:rsidR="003520A4">
        <w:t>shows the average occupancy rate across all residential</w:t>
      </w:r>
      <w:r w:rsidR="003520A4">
        <w:rPr>
          <w:spacing w:val="-7"/>
        </w:rPr>
        <w:t xml:space="preserve"> </w:t>
      </w:r>
      <w:r w:rsidR="003520A4">
        <w:t>care</w:t>
      </w:r>
      <w:r w:rsidR="003520A4">
        <w:rPr>
          <w:spacing w:val="-7"/>
        </w:rPr>
        <w:t xml:space="preserve"> </w:t>
      </w:r>
      <w:r w:rsidR="003520A4">
        <w:t>places</w:t>
      </w:r>
      <w:r w:rsidR="003520A4">
        <w:rPr>
          <w:spacing w:val="-7"/>
        </w:rPr>
        <w:t xml:space="preserve"> </w:t>
      </w:r>
      <w:r w:rsidR="003520A4">
        <w:t>was</w:t>
      </w:r>
      <w:r w:rsidR="003520A4">
        <w:rPr>
          <w:spacing w:val="-7"/>
        </w:rPr>
        <w:t xml:space="preserve"> </w:t>
      </w:r>
      <w:r w:rsidR="003520A4">
        <w:t>86.2</w:t>
      </w:r>
      <w:r w:rsidR="003520A4">
        <w:rPr>
          <w:spacing w:val="-11"/>
        </w:rPr>
        <w:t xml:space="preserve"> </w:t>
      </w:r>
      <w:r w:rsidR="003520A4">
        <w:t>per</w:t>
      </w:r>
      <w:r w:rsidR="003520A4">
        <w:rPr>
          <w:spacing w:val="-11"/>
        </w:rPr>
        <w:t xml:space="preserve"> </w:t>
      </w:r>
      <w:r w:rsidR="003520A4">
        <w:t>cent in 2021-22,</w:t>
      </w:r>
      <w:r w:rsidR="003520A4">
        <w:rPr>
          <w:spacing w:val="-7"/>
        </w:rPr>
        <w:t xml:space="preserve"> </w:t>
      </w:r>
      <w:r w:rsidR="003520A4">
        <w:t>down</w:t>
      </w:r>
      <w:r w:rsidR="003520A4">
        <w:rPr>
          <w:spacing w:val="-7"/>
        </w:rPr>
        <w:t xml:space="preserve"> </w:t>
      </w:r>
      <w:r w:rsidR="003520A4">
        <w:t>from 86.</w:t>
      </w:r>
      <w:r w:rsidR="00CB4C3D">
        <w:t>8</w:t>
      </w:r>
      <w:r w:rsidR="003520A4">
        <w:rPr>
          <w:spacing w:val="-9"/>
        </w:rPr>
        <w:t xml:space="preserve"> </w:t>
      </w:r>
      <w:r w:rsidR="003520A4">
        <w:t>per</w:t>
      </w:r>
      <w:r w:rsidR="003520A4">
        <w:rPr>
          <w:spacing w:val="-7"/>
        </w:rPr>
        <w:t xml:space="preserve"> </w:t>
      </w:r>
      <w:r w:rsidR="003520A4">
        <w:t>cent</w:t>
      </w:r>
      <w:r w:rsidR="003520A4">
        <w:rPr>
          <w:spacing w:val="-3"/>
        </w:rPr>
        <w:t xml:space="preserve"> </w:t>
      </w:r>
      <w:r w:rsidR="003520A4">
        <w:t>in</w:t>
      </w:r>
      <w:r w:rsidR="003520A4">
        <w:rPr>
          <w:spacing w:val="-7"/>
        </w:rPr>
        <w:t xml:space="preserve"> </w:t>
      </w:r>
      <w:r w:rsidR="003520A4">
        <w:t>2020-21</w:t>
      </w:r>
      <w:r w:rsidR="003520A4">
        <w:rPr>
          <w:spacing w:val="-2"/>
        </w:rPr>
        <w:t xml:space="preserve"> </w:t>
      </w:r>
      <w:r w:rsidR="003520A4">
        <w:t>and</w:t>
      </w:r>
      <w:r w:rsidR="003520A4">
        <w:rPr>
          <w:spacing w:val="-2"/>
        </w:rPr>
        <w:t xml:space="preserve"> </w:t>
      </w:r>
      <w:r w:rsidR="003520A4">
        <w:t>88.3</w:t>
      </w:r>
      <w:r w:rsidR="003520A4">
        <w:rPr>
          <w:spacing w:val="-7"/>
        </w:rPr>
        <w:t xml:space="preserve"> </w:t>
      </w:r>
      <w:r w:rsidR="003520A4">
        <w:t>per</w:t>
      </w:r>
      <w:r w:rsidR="003520A4">
        <w:rPr>
          <w:spacing w:val="-7"/>
        </w:rPr>
        <w:t xml:space="preserve"> </w:t>
      </w:r>
      <w:r w:rsidR="003520A4">
        <w:t>cent</w:t>
      </w:r>
      <w:r w:rsidR="003520A4">
        <w:rPr>
          <w:spacing w:val="-2"/>
        </w:rPr>
        <w:t xml:space="preserve"> </w:t>
      </w:r>
      <w:r w:rsidR="003520A4">
        <w:t>in</w:t>
      </w:r>
      <w:r w:rsidR="003520A4">
        <w:rPr>
          <w:spacing w:val="-7"/>
        </w:rPr>
        <w:t xml:space="preserve"> </w:t>
      </w:r>
      <w:r w:rsidR="003520A4">
        <w:rPr>
          <w:spacing w:val="-2"/>
        </w:rPr>
        <w:t xml:space="preserve">2019–20. There has been a consistent decline in occupancy rates over the past 5 years. </w:t>
      </w:r>
      <w:r w:rsidR="003520A4">
        <w:t>In</w:t>
      </w:r>
      <w:r w:rsidR="003520A4">
        <w:rPr>
          <w:spacing w:val="-6"/>
        </w:rPr>
        <w:t xml:space="preserve"> </w:t>
      </w:r>
      <w:r w:rsidR="003520A4">
        <w:t>terms</w:t>
      </w:r>
      <w:r w:rsidR="003520A4">
        <w:rPr>
          <w:spacing w:val="-6"/>
        </w:rPr>
        <w:t xml:space="preserve"> </w:t>
      </w:r>
      <w:r w:rsidR="003520A4">
        <w:t>of</w:t>
      </w:r>
      <w:r w:rsidR="003520A4">
        <w:rPr>
          <w:spacing w:val="-6"/>
        </w:rPr>
        <w:t xml:space="preserve"> </w:t>
      </w:r>
      <w:r w:rsidR="003520A4">
        <w:t>ownership</w:t>
      </w:r>
      <w:r w:rsidR="003520A4">
        <w:rPr>
          <w:spacing w:val="-6"/>
        </w:rPr>
        <w:t xml:space="preserve"> </w:t>
      </w:r>
      <w:r w:rsidR="003520A4">
        <w:t>type,</w:t>
      </w:r>
      <w:r w:rsidR="003520A4">
        <w:rPr>
          <w:spacing w:val="-6"/>
        </w:rPr>
        <w:t xml:space="preserve"> </w:t>
      </w:r>
      <w:r w:rsidR="003520A4">
        <w:t>for-profit was the only ownership type to show an increase in occupancy rates up to 84.5 per cent in 2021-22 compared with 84.2 per cent in 2020-21.</w:t>
      </w:r>
    </w:p>
    <w:p w14:paraId="53976E8F" w14:textId="21AA7D31" w:rsidR="00B94071" w:rsidRPr="00E66FD7" w:rsidRDefault="00B94071" w:rsidP="00B94071">
      <w:r>
        <w:t xml:space="preserve">Occupancy rates </w:t>
      </w:r>
      <w:r w:rsidR="00D824B0">
        <w:t>can have a significant</w:t>
      </w:r>
      <w:r>
        <w:t xml:space="preserve"> impact </w:t>
      </w:r>
      <w:r w:rsidR="00863926">
        <w:t xml:space="preserve">on </w:t>
      </w:r>
      <w:r>
        <w:t>profitability</w:t>
      </w:r>
      <w:r w:rsidR="00E15232">
        <w:t xml:space="preserve"> </w:t>
      </w:r>
      <w:r>
        <w:t>if they fall below levels that are insufficient to cover fixed costs</w:t>
      </w:r>
      <w:r w:rsidR="00BF38F4">
        <w:t xml:space="preserve">. </w:t>
      </w:r>
      <w:r w:rsidR="00863926">
        <w:t>T</w:t>
      </w:r>
      <w:r w:rsidR="00E15232">
        <w:t xml:space="preserve">his </w:t>
      </w:r>
      <w:r w:rsidR="00863926">
        <w:t>can</w:t>
      </w:r>
      <w:r w:rsidR="00E15232">
        <w:t xml:space="preserve"> </w:t>
      </w:r>
      <w:r>
        <w:t xml:space="preserve">impact the viability and overall financial performance of providers. The occupancy rates across 2021-22 continued to be impacted by COVID-19 as preferences for older Australians </w:t>
      </w:r>
      <w:r w:rsidR="00BA42E8">
        <w:t>requiring</w:t>
      </w:r>
      <w:r>
        <w:t xml:space="preserve"> aged care changed during this time. Combined with high fixed costs, </w:t>
      </w:r>
      <w:r w:rsidR="00A71CF4">
        <w:t xml:space="preserve">the </w:t>
      </w:r>
      <w:r>
        <w:t xml:space="preserve">continuous decline in occupancy has put financial pressure on residential aged care providers. </w:t>
      </w:r>
    </w:p>
    <w:p w14:paraId="7417D31E" w14:textId="0083AA27" w:rsidR="00143292" w:rsidRPr="00A81D0F" w:rsidRDefault="00DD7D90" w:rsidP="00A81D0F">
      <w:pPr>
        <w:pStyle w:val="Caption"/>
      </w:pPr>
      <w:bookmarkStart w:id="194" w:name="_Ref136607089"/>
      <w:bookmarkStart w:id="195" w:name="_Ref139553157"/>
      <w:bookmarkStart w:id="196" w:name="_Toc149245272"/>
      <w:r>
        <w:t xml:space="preserve">Table </w:t>
      </w:r>
      <w:bookmarkEnd w:id="194"/>
      <w:r w:rsidR="002E758C">
        <w:fldChar w:fldCharType="begin"/>
      </w:r>
      <w:r w:rsidR="002E758C">
        <w:instrText xml:space="preserve"> STYLEREF 1 \s </w:instrText>
      </w:r>
      <w:r w:rsidR="002E758C">
        <w:fldChar w:fldCharType="separate"/>
      </w:r>
      <w:r w:rsidR="00294B02">
        <w:rPr>
          <w:noProof/>
        </w:rPr>
        <w:t>2</w:t>
      </w:r>
      <w:r w:rsidR="002E758C">
        <w:fldChar w:fldCharType="end"/>
      </w:r>
      <w:r w:rsidR="002E758C">
        <w:t>.</w:t>
      </w:r>
      <w:r>
        <w:fldChar w:fldCharType="begin"/>
      </w:r>
      <w:r>
        <w:instrText>SEQ Table \* ARABIC \s 1</w:instrText>
      </w:r>
      <w:r>
        <w:fldChar w:fldCharType="separate"/>
      </w:r>
      <w:r w:rsidR="00294B02">
        <w:rPr>
          <w:noProof/>
        </w:rPr>
        <w:t>3</w:t>
      </w:r>
      <w:r>
        <w:fldChar w:fldCharType="end"/>
      </w:r>
      <w:bookmarkEnd w:id="195"/>
      <w:r w:rsidR="00A81D0F">
        <w:t>:</w:t>
      </w:r>
      <w:r>
        <w:t xml:space="preserve"> </w:t>
      </w:r>
      <w:r w:rsidRPr="00EF3D2C">
        <w:t xml:space="preserve">Occupancy rates, by organisation type, </w:t>
      </w:r>
      <w:r w:rsidRPr="004B45B3">
        <w:t>20</w:t>
      </w:r>
      <w:r w:rsidR="00834DA8" w:rsidRPr="004B45B3">
        <w:t>17-18</w:t>
      </w:r>
      <w:r w:rsidRPr="004B45B3">
        <w:t xml:space="preserve"> to 202</w:t>
      </w:r>
      <w:r w:rsidR="00834DA8" w:rsidRPr="004B45B3">
        <w:t>1-22</w:t>
      </w:r>
      <w:bookmarkEnd w:id="196"/>
    </w:p>
    <w:tbl>
      <w:tblPr>
        <w:tblStyle w:val="DepartmentofHealthtable"/>
        <w:tblW w:w="0" w:type="auto"/>
        <w:tblLook w:val="0420" w:firstRow="1" w:lastRow="0" w:firstColumn="0" w:lastColumn="0" w:noHBand="0" w:noVBand="1"/>
      </w:tblPr>
      <w:tblGrid>
        <w:gridCol w:w="1671"/>
        <w:gridCol w:w="1206"/>
        <w:gridCol w:w="1381"/>
        <w:gridCol w:w="1604"/>
        <w:gridCol w:w="1604"/>
        <w:gridCol w:w="1604"/>
      </w:tblGrid>
      <w:tr w:rsidR="002A4842" w:rsidRPr="00A813EC" w14:paraId="3461B149" w14:textId="77777777" w:rsidTr="00A813EC">
        <w:trPr>
          <w:cnfStyle w:val="100000000000" w:firstRow="1" w:lastRow="0" w:firstColumn="0" w:lastColumn="0" w:oddVBand="0" w:evenVBand="0" w:oddHBand="0" w:evenHBand="0" w:firstRowFirstColumn="0" w:firstRowLastColumn="0" w:lastRowFirstColumn="0" w:lastRowLastColumn="0"/>
        </w:trPr>
        <w:tc>
          <w:tcPr>
            <w:tcW w:w="1671" w:type="dxa"/>
          </w:tcPr>
          <w:p w14:paraId="70D5FBC9" w14:textId="191BFCA3" w:rsidR="002A4842" w:rsidRPr="00A813EC" w:rsidRDefault="002A4842" w:rsidP="00A813EC">
            <w:pPr>
              <w:pStyle w:val="TableHeaderWhite"/>
            </w:pPr>
            <w:r w:rsidRPr="00A813EC">
              <w:t>Ownership type</w:t>
            </w:r>
          </w:p>
        </w:tc>
        <w:tc>
          <w:tcPr>
            <w:tcW w:w="1206" w:type="dxa"/>
          </w:tcPr>
          <w:p w14:paraId="4519101D" w14:textId="61B7BE86" w:rsidR="002A4842" w:rsidRPr="00A813EC" w:rsidRDefault="002A4842" w:rsidP="00A813EC">
            <w:pPr>
              <w:pStyle w:val="TableHeaderWhite"/>
            </w:pPr>
            <w:r w:rsidRPr="00A813EC">
              <w:t>2017-18</w:t>
            </w:r>
          </w:p>
        </w:tc>
        <w:tc>
          <w:tcPr>
            <w:tcW w:w="1381" w:type="dxa"/>
          </w:tcPr>
          <w:p w14:paraId="76F2D8FF" w14:textId="6114F531" w:rsidR="002A4842" w:rsidRPr="00A813EC" w:rsidRDefault="002A4842" w:rsidP="00A813EC">
            <w:pPr>
              <w:pStyle w:val="TableHeaderWhite"/>
            </w:pPr>
            <w:r w:rsidRPr="00A813EC">
              <w:t>2018-19</w:t>
            </w:r>
          </w:p>
        </w:tc>
        <w:tc>
          <w:tcPr>
            <w:tcW w:w="1604" w:type="dxa"/>
          </w:tcPr>
          <w:p w14:paraId="5C293558" w14:textId="2E66ADB3" w:rsidR="002A4842" w:rsidRPr="00A813EC" w:rsidRDefault="002A4842" w:rsidP="00A813EC">
            <w:pPr>
              <w:pStyle w:val="TableHeaderWhite"/>
            </w:pPr>
            <w:r w:rsidRPr="00A813EC">
              <w:t>2019</w:t>
            </w:r>
            <w:r w:rsidR="7ADBE54F" w:rsidRPr="00A813EC">
              <w:t>-</w:t>
            </w:r>
            <w:r w:rsidRPr="00A813EC">
              <w:t>20</w:t>
            </w:r>
          </w:p>
        </w:tc>
        <w:tc>
          <w:tcPr>
            <w:tcW w:w="1604" w:type="dxa"/>
          </w:tcPr>
          <w:p w14:paraId="33F05D64" w14:textId="579EC46A" w:rsidR="002A4842" w:rsidRPr="00A813EC" w:rsidRDefault="002A4842" w:rsidP="00A813EC">
            <w:pPr>
              <w:pStyle w:val="TableHeaderWhite"/>
            </w:pPr>
            <w:r w:rsidRPr="00A813EC">
              <w:t>2020-21</w:t>
            </w:r>
          </w:p>
        </w:tc>
        <w:tc>
          <w:tcPr>
            <w:tcW w:w="1604" w:type="dxa"/>
          </w:tcPr>
          <w:p w14:paraId="273B98CD" w14:textId="7B40A4CA" w:rsidR="002A4842" w:rsidRPr="00A813EC" w:rsidRDefault="002A4842" w:rsidP="00A813EC">
            <w:pPr>
              <w:pStyle w:val="TableHeaderWhite"/>
            </w:pPr>
            <w:r w:rsidRPr="00A813EC">
              <w:t>2021-22</w:t>
            </w:r>
          </w:p>
        </w:tc>
      </w:tr>
      <w:tr w:rsidR="002A4842" w14:paraId="096BB665" w14:textId="77777777" w:rsidTr="00A813EC">
        <w:tc>
          <w:tcPr>
            <w:tcW w:w="1671" w:type="dxa"/>
          </w:tcPr>
          <w:p w14:paraId="22DB1BEE" w14:textId="48F8DE9E" w:rsidR="002A4842" w:rsidRPr="00C648F5" w:rsidRDefault="002A4842" w:rsidP="008A35F3">
            <w:pPr>
              <w:pStyle w:val="TableofAuthorities"/>
              <w:rPr>
                <w:b/>
              </w:rPr>
            </w:pPr>
            <w:r w:rsidRPr="00C648F5">
              <w:t>For-profit</w:t>
            </w:r>
          </w:p>
        </w:tc>
        <w:tc>
          <w:tcPr>
            <w:tcW w:w="1206" w:type="dxa"/>
          </w:tcPr>
          <w:p w14:paraId="7F10AA4F" w14:textId="159D17C5" w:rsidR="002A4842" w:rsidRPr="00C648F5" w:rsidRDefault="002A4842" w:rsidP="008A35F3">
            <w:pPr>
              <w:pStyle w:val="TableofAuthorities"/>
              <w:rPr>
                <w:b/>
              </w:rPr>
            </w:pPr>
            <w:r w:rsidRPr="00C648F5">
              <w:t>87.9%</w:t>
            </w:r>
          </w:p>
        </w:tc>
        <w:tc>
          <w:tcPr>
            <w:tcW w:w="1381" w:type="dxa"/>
          </w:tcPr>
          <w:p w14:paraId="1C9B439A" w14:textId="46A5A8F2" w:rsidR="002A4842" w:rsidRPr="00C648F5" w:rsidRDefault="002A4842" w:rsidP="008A35F3">
            <w:pPr>
              <w:pStyle w:val="TableofAuthorities"/>
              <w:rPr>
                <w:b/>
              </w:rPr>
            </w:pPr>
            <w:r w:rsidRPr="00C648F5">
              <w:t>86.5%</w:t>
            </w:r>
          </w:p>
        </w:tc>
        <w:tc>
          <w:tcPr>
            <w:tcW w:w="1604" w:type="dxa"/>
          </w:tcPr>
          <w:p w14:paraId="4ACB4E34" w14:textId="5C4F3796" w:rsidR="002A4842" w:rsidRPr="00C648F5" w:rsidRDefault="002A4842" w:rsidP="008A35F3">
            <w:pPr>
              <w:pStyle w:val="TableofAuthorities"/>
              <w:rPr>
                <w:b/>
              </w:rPr>
            </w:pPr>
            <w:r w:rsidRPr="00C648F5">
              <w:t>85.3%</w:t>
            </w:r>
          </w:p>
        </w:tc>
        <w:tc>
          <w:tcPr>
            <w:tcW w:w="1604" w:type="dxa"/>
          </w:tcPr>
          <w:p w14:paraId="74840B70" w14:textId="66145001" w:rsidR="002A4842" w:rsidRPr="00C648F5" w:rsidRDefault="002A4842" w:rsidP="008A35F3">
            <w:pPr>
              <w:pStyle w:val="TableofAuthorities"/>
              <w:rPr>
                <w:b/>
              </w:rPr>
            </w:pPr>
            <w:r w:rsidRPr="00C648F5">
              <w:t>84.2%</w:t>
            </w:r>
          </w:p>
        </w:tc>
        <w:tc>
          <w:tcPr>
            <w:tcW w:w="1604" w:type="dxa"/>
          </w:tcPr>
          <w:p w14:paraId="08B7ACC5" w14:textId="344E2063" w:rsidR="002A4842" w:rsidRPr="00C648F5" w:rsidRDefault="002A4842" w:rsidP="008A35F3">
            <w:pPr>
              <w:pStyle w:val="TableofAuthorities"/>
              <w:rPr>
                <w:b/>
              </w:rPr>
            </w:pPr>
            <w:r w:rsidRPr="00C648F5">
              <w:t>84.5%</w:t>
            </w:r>
          </w:p>
        </w:tc>
      </w:tr>
      <w:tr w:rsidR="002A4842" w14:paraId="6C3E94EC" w14:textId="77777777" w:rsidTr="00A813EC">
        <w:tc>
          <w:tcPr>
            <w:tcW w:w="1671" w:type="dxa"/>
          </w:tcPr>
          <w:p w14:paraId="22270078" w14:textId="343D50A1" w:rsidR="002A4842" w:rsidRPr="00BB489D" w:rsidRDefault="002A4842" w:rsidP="008A35F3">
            <w:pPr>
              <w:pStyle w:val="TableofAuthorities"/>
            </w:pPr>
            <w:r w:rsidRPr="00BB489D">
              <w:t>Not-for-profit</w:t>
            </w:r>
          </w:p>
        </w:tc>
        <w:tc>
          <w:tcPr>
            <w:tcW w:w="1206" w:type="dxa"/>
          </w:tcPr>
          <w:p w14:paraId="2449DE19" w14:textId="2F4B0216" w:rsidR="002A4842" w:rsidRPr="00BB489D" w:rsidRDefault="002A4842" w:rsidP="008A35F3">
            <w:pPr>
              <w:pStyle w:val="TableofAuthorities"/>
            </w:pPr>
            <w:r w:rsidRPr="00BB489D">
              <w:t>92.1%</w:t>
            </w:r>
          </w:p>
        </w:tc>
        <w:tc>
          <w:tcPr>
            <w:tcW w:w="1381" w:type="dxa"/>
          </w:tcPr>
          <w:p w14:paraId="54B861E2" w14:textId="6B9BD869" w:rsidR="002A4842" w:rsidRPr="00BB489D" w:rsidRDefault="002A4842" w:rsidP="008A35F3">
            <w:pPr>
              <w:pStyle w:val="TableofAuthorities"/>
            </w:pPr>
            <w:r w:rsidRPr="00BB489D">
              <w:t>91.5%</w:t>
            </w:r>
          </w:p>
        </w:tc>
        <w:tc>
          <w:tcPr>
            <w:tcW w:w="1604" w:type="dxa"/>
          </w:tcPr>
          <w:p w14:paraId="4D49AE52" w14:textId="54CA2CDA" w:rsidR="002A4842" w:rsidRPr="00BB489D" w:rsidRDefault="002A4842" w:rsidP="008A35F3">
            <w:pPr>
              <w:pStyle w:val="TableofAuthorities"/>
            </w:pPr>
            <w:r w:rsidRPr="00BB489D">
              <w:t>90.5%</w:t>
            </w:r>
          </w:p>
        </w:tc>
        <w:tc>
          <w:tcPr>
            <w:tcW w:w="1604" w:type="dxa"/>
          </w:tcPr>
          <w:p w14:paraId="1EB15882" w14:textId="6B279902" w:rsidR="002A4842" w:rsidRPr="00BB489D" w:rsidRDefault="002A4842" w:rsidP="008A35F3">
            <w:pPr>
              <w:pStyle w:val="TableofAuthorities"/>
            </w:pPr>
            <w:r w:rsidRPr="00BB489D">
              <w:t>88.9%</w:t>
            </w:r>
          </w:p>
        </w:tc>
        <w:tc>
          <w:tcPr>
            <w:tcW w:w="1604" w:type="dxa"/>
          </w:tcPr>
          <w:p w14:paraId="149D291A" w14:textId="6925DE8E" w:rsidR="002A4842" w:rsidRPr="00BB489D" w:rsidRDefault="002A4842" w:rsidP="008A35F3">
            <w:pPr>
              <w:pStyle w:val="TableofAuthorities"/>
            </w:pPr>
            <w:r w:rsidRPr="00BB489D">
              <w:t>87.5%</w:t>
            </w:r>
          </w:p>
        </w:tc>
      </w:tr>
      <w:tr w:rsidR="002A4842" w14:paraId="66301B05" w14:textId="77777777" w:rsidTr="00A813EC">
        <w:tc>
          <w:tcPr>
            <w:tcW w:w="1671" w:type="dxa"/>
          </w:tcPr>
          <w:p w14:paraId="6DCCCDD6" w14:textId="6CD7DF1A" w:rsidR="002A4842" w:rsidRPr="00BB489D" w:rsidRDefault="002A4842" w:rsidP="008A35F3">
            <w:pPr>
              <w:pStyle w:val="TableofAuthorities"/>
            </w:pPr>
            <w:r w:rsidRPr="00BB489D">
              <w:t>LST government</w:t>
            </w:r>
          </w:p>
        </w:tc>
        <w:tc>
          <w:tcPr>
            <w:tcW w:w="1206" w:type="dxa"/>
          </w:tcPr>
          <w:p w14:paraId="6501840D" w14:textId="3096C967" w:rsidR="002A4842" w:rsidRPr="00BB489D" w:rsidRDefault="002A4842" w:rsidP="008A35F3">
            <w:pPr>
              <w:pStyle w:val="TableofAuthorities"/>
            </w:pPr>
            <w:r w:rsidRPr="00BB489D">
              <w:t>90.3%</w:t>
            </w:r>
          </w:p>
        </w:tc>
        <w:tc>
          <w:tcPr>
            <w:tcW w:w="1381" w:type="dxa"/>
          </w:tcPr>
          <w:p w14:paraId="0633C390" w14:textId="23B9500F" w:rsidR="002A4842" w:rsidRPr="00BB489D" w:rsidRDefault="002A4842" w:rsidP="008A35F3">
            <w:pPr>
              <w:pStyle w:val="TableofAuthorities"/>
            </w:pPr>
            <w:r w:rsidRPr="00BB489D">
              <w:t>90.4%</w:t>
            </w:r>
          </w:p>
        </w:tc>
        <w:tc>
          <w:tcPr>
            <w:tcW w:w="1604" w:type="dxa"/>
          </w:tcPr>
          <w:p w14:paraId="0AE220D1" w14:textId="1741088C" w:rsidR="002A4842" w:rsidRPr="00BB489D" w:rsidRDefault="002A4842" w:rsidP="008A35F3">
            <w:pPr>
              <w:pStyle w:val="TableofAuthorities"/>
            </w:pPr>
            <w:r w:rsidRPr="00BB489D">
              <w:t>88.3%</w:t>
            </w:r>
          </w:p>
        </w:tc>
        <w:tc>
          <w:tcPr>
            <w:tcW w:w="1604" w:type="dxa"/>
          </w:tcPr>
          <w:p w14:paraId="20119991" w14:textId="34F1A612" w:rsidR="002A4842" w:rsidRPr="00BB489D" w:rsidRDefault="002A4842" w:rsidP="008A35F3">
            <w:pPr>
              <w:pStyle w:val="TableofAuthorities"/>
            </w:pPr>
            <w:r w:rsidRPr="00BB489D">
              <w:t>86.5%</w:t>
            </w:r>
          </w:p>
        </w:tc>
        <w:tc>
          <w:tcPr>
            <w:tcW w:w="1604" w:type="dxa"/>
          </w:tcPr>
          <w:p w14:paraId="5E3D0686" w14:textId="357CD7C2" w:rsidR="002A4842" w:rsidRPr="00BB489D" w:rsidRDefault="002A4842" w:rsidP="008A35F3">
            <w:pPr>
              <w:pStyle w:val="TableofAuthorities"/>
            </w:pPr>
            <w:r w:rsidRPr="00BB489D">
              <w:t>84.8%</w:t>
            </w:r>
          </w:p>
        </w:tc>
      </w:tr>
      <w:tr w:rsidR="002A4842" w14:paraId="19FD4257" w14:textId="77777777" w:rsidTr="00A813EC">
        <w:tc>
          <w:tcPr>
            <w:tcW w:w="1671" w:type="dxa"/>
          </w:tcPr>
          <w:p w14:paraId="02234CBE" w14:textId="116DF171" w:rsidR="002A4842" w:rsidRPr="00BB489D" w:rsidRDefault="002A4842" w:rsidP="008A35F3">
            <w:pPr>
              <w:pStyle w:val="TableofAuthorities"/>
            </w:pPr>
            <w:r w:rsidRPr="00BB489D">
              <w:t>All providers</w:t>
            </w:r>
          </w:p>
        </w:tc>
        <w:tc>
          <w:tcPr>
            <w:tcW w:w="1206" w:type="dxa"/>
          </w:tcPr>
          <w:p w14:paraId="1F43B804" w14:textId="41D425DC" w:rsidR="002A4842" w:rsidRPr="00BB489D" w:rsidRDefault="002A4842" w:rsidP="008A35F3">
            <w:pPr>
              <w:pStyle w:val="TableofAuthorities"/>
            </w:pPr>
            <w:r w:rsidRPr="00BB489D">
              <w:t>90.3%</w:t>
            </w:r>
          </w:p>
        </w:tc>
        <w:tc>
          <w:tcPr>
            <w:tcW w:w="1381" w:type="dxa"/>
          </w:tcPr>
          <w:p w14:paraId="03F744A1" w14:textId="02BD5067" w:rsidR="002A4842" w:rsidRPr="00BB489D" w:rsidRDefault="002A4842" w:rsidP="008A35F3">
            <w:pPr>
              <w:pStyle w:val="TableofAuthorities"/>
            </w:pPr>
            <w:r w:rsidRPr="00BB489D">
              <w:t>89.4%</w:t>
            </w:r>
          </w:p>
        </w:tc>
        <w:tc>
          <w:tcPr>
            <w:tcW w:w="1604" w:type="dxa"/>
          </w:tcPr>
          <w:p w14:paraId="4010906E" w14:textId="33C22CFA" w:rsidR="002A4842" w:rsidRPr="00BB489D" w:rsidRDefault="002A4842" w:rsidP="008A35F3">
            <w:pPr>
              <w:pStyle w:val="TableofAuthorities"/>
            </w:pPr>
            <w:r w:rsidRPr="00BB489D">
              <w:t>88.3%</w:t>
            </w:r>
          </w:p>
        </w:tc>
        <w:tc>
          <w:tcPr>
            <w:tcW w:w="1604" w:type="dxa"/>
          </w:tcPr>
          <w:p w14:paraId="5681B1CA" w14:textId="3B443715" w:rsidR="002A4842" w:rsidRPr="00BB489D" w:rsidRDefault="002A4842" w:rsidP="008A35F3">
            <w:pPr>
              <w:pStyle w:val="TableofAuthorities"/>
            </w:pPr>
            <w:r w:rsidRPr="00BB489D">
              <w:t>86.8%</w:t>
            </w:r>
          </w:p>
        </w:tc>
        <w:tc>
          <w:tcPr>
            <w:tcW w:w="1604" w:type="dxa"/>
          </w:tcPr>
          <w:p w14:paraId="488E6674" w14:textId="4301FD51" w:rsidR="002A4842" w:rsidRPr="00BB489D" w:rsidRDefault="002A4842" w:rsidP="008A35F3">
            <w:pPr>
              <w:pStyle w:val="TableofAuthorities"/>
            </w:pPr>
            <w:r w:rsidRPr="00BB489D">
              <w:t>86.2%</w:t>
            </w:r>
          </w:p>
        </w:tc>
      </w:tr>
    </w:tbl>
    <w:p w14:paraId="7763A407" w14:textId="3F27BD7F" w:rsidR="00D9038E" w:rsidRPr="002153B4" w:rsidRDefault="00CB73B9" w:rsidP="002153B4">
      <w:pPr>
        <w:pStyle w:val="Caption"/>
        <w:rPr>
          <w:b w:val="0"/>
        </w:rPr>
      </w:pPr>
      <w:r>
        <w:rPr>
          <w:b w:val="0"/>
        </w:rPr>
        <w:t xml:space="preserve">Table 2.4 </w:t>
      </w:r>
      <w:r w:rsidR="00D9038E" w:rsidRPr="51C08DB9">
        <w:rPr>
          <w:b w:val="0"/>
        </w:rPr>
        <w:t>shows average occupancy by state and territory for the 5 years</w:t>
      </w:r>
      <w:r w:rsidR="008061D5" w:rsidRPr="51C08DB9">
        <w:rPr>
          <w:b w:val="0"/>
        </w:rPr>
        <w:t xml:space="preserve"> from 2017-18 to 2021-22</w:t>
      </w:r>
      <w:r w:rsidR="00D9038E" w:rsidRPr="51C08DB9">
        <w:rPr>
          <w:b w:val="0"/>
        </w:rPr>
        <w:t>.</w:t>
      </w:r>
    </w:p>
    <w:p w14:paraId="12530552" w14:textId="36838A08" w:rsidR="00D9038E" w:rsidRDefault="00D9038E" w:rsidP="00D9038E">
      <w:r>
        <w:t>There continue</w:t>
      </w:r>
      <w:r w:rsidR="00AC25CC">
        <w:t>d</w:t>
      </w:r>
      <w:r>
        <w:t xml:space="preserve"> to be variations in average occupancy by</w:t>
      </w:r>
      <w:r>
        <w:rPr>
          <w:spacing w:val="-11"/>
        </w:rPr>
        <w:t xml:space="preserve"> </w:t>
      </w:r>
      <w:r>
        <w:t>state</w:t>
      </w:r>
      <w:r>
        <w:rPr>
          <w:spacing w:val="-11"/>
        </w:rPr>
        <w:t xml:space="preserve"> </w:t>
      </w:r>
      <w:r>
        <w:t>and</w:t>
      </w:r>
      <w:r>
        <w:rPr>
          <w:spacing w:val="-11"/>
        </w:rPr>
        <w:t xml:space="preserve"> </w:t>
      </w:r>
      <w:r>
        <w:t>territory.</w:t>
      </w:r>
      <w:r>
        <w:rPr>
          <w:spacing w:val="-11"/>
        </w:rPr>
        <w:t xml:space="preserve"> </w:t>
      </w:r>
      <w:r w:rsidR="00715ABF">
        <w:t xml:space="preserve">South Australia had </w:t>
      </w:r>
      <w:r>
        <w:t>the highest occupancy with 9</w:t>
      </w:r>
      <w:r w:rsidR="00715ABF">
        <w:t>2</w:t>
      </w:r>
      <w:r>
        <w:t>.</w:t>
      </w:r>
      <w:r w:rsidR="00715ABF">
        <w:t>2</w:t>
      </w:r>
      <w:r>
        <w:t xml:space="preserve"> per cent,</w:t>
      </w:r>
      <w:r w:rsidR="006635E4">
        <w:t xml:space="preserve"> </w:t>
      </w:r>
      <w:r>
        <w:t>while</w:t>
      </w:r>
      <w:r>
        <w:rPr>
          <w:spacing w:val="-7"/>
        </w:rPr>
        <w:t xml:space="preserve"> </w:t>
      </w:r>
      <w:r>
        <w:t>Victoria</w:t>
      </w:r>
      <w:r>
        <w:rPr>
          <w:spacing w:val="-7"/>
        </w:rPr>
        <w:t xml:space="preserve"> </w:t>
      </w:r>
      <w:r>
        <w:t>reported</w:t>
      </w:r>
      <w:r>
        <w:rPr>
          <w:spacing w:val="-7"/>
        </w:rPr>
        <w:t xml:space="preserve"> </w:t>
      </w:r>
      <w:r>
        <w:t>the</w:t>
      </w:r>
      <w:r>
        <w:rPr>
          <w:spacing w:val="-7"/>
        </w:rPr>
        <w:t xml:space="preserve"> </w:t>
      </w:r>
      <w:r>
        <w:t>lowest</w:t>
      </w:r>
      <w:r>
        <w:rPr>
          <w:spacing w:val="-7"/>
        </w:rPr>
        <w:t xml:space="preserve"> </w:t>
      </w:r>
      <w:r>
        <w:t>with</w:t>
      </w:r>
      <w:r>
        <w:rPr>
          <w:spacing w:val="-7"/>
        </w:rPr>
        <w:t xml:space="preserve"> </w:t>
      </w:r>
      <w:r>
        <w:t>8</w:t>
      </w:r>
      <w:r w:rsidR="006B68AF">
        <w:t>3.3</w:t>
      </w:r>
      <w:r>
        <w:rPr>
          <w:spacing w:val="-11"/>
        </w:rPr>
        <w:t xml:space="preserve"> </w:t>
      </w:r>
      <w:r>
        <w:t>per</w:t>
      </w:r>
      <w:r>
        <w:rPr>
          <w:spacing w:val="-11"/>
        </w:rPr>
        <w:t xml:space="preserve"> </w:t>
      </w:r>
      <w:r>
        <w:t>cent. Queensland</w:t>
      </w:r>
      <w:r w:rsidR="009F3B5A">
        <w:t xml:space="preserve"> and </w:t>
      </w:r>
      <w:r>
        <w:t xml:space="preserve">Tasmania </w:t>
      </w:r>
      <w:r w:rsidR="009F3B5A">
        <w:t>both</w:t>
      </w:r>
      <w:r>
        <w:t xml:space="preserve"> reported an increase, whereas all other states</w:t>
      </w:r>
      <w:r w:rsidR="009F3B5A">
        <w:t xml:space="preserve"> and territories</w:t>
      </w:r>
      <w:r>
        <w:t xml:space="preserve"> reported a decrease. </w:t>
      </w:r>
      <w:r w:rsidR="000F7726">
        <w:t xml:space="preserve">The </w:t>
      </w:r>
      <w:r w:rsidR="005906A1">
        <w:t>Northern Territory</w:t>
      </w:r>
      <w:r>
        <w:t xml:space="preserve"> had the highest decrease, dropping by </w:t>
      </w:r>
      <w:r w:rsidR="005906A1">
        <w:t>5.1</w:t>
      </w:r>
      <w:r>
        <w:t xml:space="preserve"> percentage points to 8</w:t>
      </w:r>
      <w:r w:rsidR="005906A1">
        <w:t>9.8</w:t>
      </w:r>
      <w:r>
        <w:t xml:space="preserve"> per cent.</w:t>
      </w:r>
    </w:p>
    <w:p w14:paraId="3D26F3C8" w14:textId="77777777" w:rsidR="00523F4F" w:rsidRPr="008E2604" w:rsidRDefault="00523F4F" w:rsidP="008E2604">
      <w:bookmarkStart w:id="197" w:name="_Ref135838605"/>
      <w:bookmarkStart w:id="198" w:name="_Ref139553223"/>
      <w:bookmarkStart w:id="199" w:name="_Ref135838602"/>
      <w:bookmarkStart w:id="200" w:name="_Toc149245273"/>
      <w:r w:rsidRPr="008E2604">
        <w:br w:type="page"/>
      </w:r>
    </w:p>
    <w:p w14:paraId="0810FA5D" w14:textId="747140F8" w:rsidR="00143292" w:rsidRDefault="00A43706" w:rsidP="00A43706">
      <w:pPr>
        <w:pStyle w:val="Caption"/>
      </w:pPr>
      <w:r>
        <w:lastRenderedPageBreak/>
        <w:t xml:space="preserve">Table </w:t>
      </w:r>
      <w:r>
        <w:fldChar w:fldCharType="begin"/>
      </w:r>
      <w:r>
        <w:instrText>STYLEREF 1 \s</w:instrText>
      </w:r>
      <w:r>
        <w:fldChar w:fldCharType="separate"/>
      </w:r>
      <w:r w:rsidR="00294B02">
        <w:rPr>
          <w:noProof/>
        </w:rPr>
        <w:t>2</w:t>
      </w:r>
      <w:r>
        <w:fldChar w:fldCharType="end"/>
      </w:r>
      <w:r w:rsidR="002E758C">
        <w:t>.</w:t>
      </w:r>
      <w:r>
        <w:fldChar w:fldCharType="begin"/>
      </w:r>
      <w:r>
        <w:instrText>SEQ Table \* ARABIC \s 1</w:instrText>
      </w:r>
      <w:r>
        <w:fldChar w:fldCharType="separate"/>
      </w:r>
      <w:r w:rsidR="00294B02">
        <w:rPr>
          <w:noProof/>
        </w:rPr>
        <w:t>4</w:t>
      </w:r>
      <w:r>
        <w:fldChar w:fldCharType="end"/>
      </w:r>
      <w:bookmarkEnd w:id="197"/>
      <w:bookmarkEnd w:id="198"/>
      <w:r w:rsidR="00B50489">
        <w:t>:</w:t>
      </w:r>
      <w:r>
        <w:t xml:space="preserve"> </w:t>
      </w:r>
      <w:r w:rsidRPr="000C02C7">
        <w:t>Occupancy in residential care, by state and territory, 201</w:t>
      </w:r>
      <w:r w:rsidR="004B45B3">
        <w:t>7-18</w:t>
      </w:r>
      <w:r w:rsidRPr="000C02C7">
        <w:t xml:space="preserve"> to 2021</w:t>
      </w:r>
      <w:r>
        <w:t>-22</w:t>
      </w:r>
      <w:bookmarkEnd w:id="199"/>
      <w:bookmarkEnd w:id="200"/>
    </w:p>
    <w:tbl>
      <w:tblPr>
        <w:tblStyle w:val="DepartmentofHealthtable"/>
        <w:tblW w:w="0" w:type="auto"/>
        <w:tblLook w:val="04A0" w:firstRow="1" w:lastRow="0" w:firstColumn="1" w:lastColumn="0" w:noHBand="0" w:noVBand="1"/>
      </w:tblPr>
      <w:tblGrid>
        <w:gridCol w:w="1671"/>
        <w:gridCol w:w="1206"/>
        <w:gridCol w:w="1381"/>
        <w:gridCol w:w="1604"/>
        <w:gridCol w:w="1604"/>
        <w:gridCol w:w="1604"/>
      </w:tblGrid>
      <w:tr w:rsidR="00F307F6" w:rsidRPr="00A813EC" w14:paraId="01C30E4C" w14:textId="77777777" w:rsidTr="00A813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1" w:type="dxa"/>
          </w:tcPr>
          <w:p w14:paraId="6D579F94" w14:textId="36EED1E5" w:rsidR="004B45B3" w:rsidRPr="00A813EC" w:rsidRDefault="00AB49E2" w:rsidP="00A813EC">
            <w:pPr>
              <w:pStyle w:val="TableHeaderWhite"/>
            </w:pPr>
            <w:r w:rsidRPr="00A813EC">
              <w:t>State/territory</w:t>
            </w:r>
          </w:p>
        </w:tc>
        <w:tc>
          <w:tcPr>
            <w:tcW w:w="1206" w:type="dxa"/>
          </w:tcPr>
          <w:p w14:paraId="5591DD7C" w14:textId="77777777" w:rsidR="004B45B3" w:rsidRPr="00A813EC" w:rsidRDefault="004B45B3" w:rsidP="00A813EC">
            <w:pPr>
              <w:pStyle w:val="TableHeaderWhite"/>
              <w:cnfStyle w:val="100000000000" w:firstRow="1" w:lastRow="0" w:firstColumn="0" w:lastColumn="0" w:oddVBand="0" w:evenVBand="0" w:oddHBand="0" w:evenHBand="0" w:firstRowFirstColumn="0" w:firstRowLastColumn="0" w:lastRowFirstColumn="0" w:lastRowLastColumn="0"/>
            </w:pPr>
            <w:r w:rsidRPr="00A813EC">
              <w:t>2017-18</w:t>
            </w:r>
          </w:p>
        </w:tc>
        <w:tc>
          <w:tcPr>
            <w:tcW w:w="1381" w:type="dxa"/>
          </w:tcPr>
          <w:p w14:paraId="57EACD77" w14:textId="77777777" w:rsidR="004B45B3" w:rsidRPr="00A813EC" w:rsidRDefault="004B45B3" w:rsidP="00A813EC">
            <w:pPr>
              <w:pStyle w:val="TableHeaderWhite"/>
              <w:cnfStyle w:val="100000000000" w:firstRow="1" w:lastRow="0" w:firstColumn="0" w:lastColumn="0" w:oddVBand="0" w:evenVBand="0" w:oddHBand="0" w:evenHBand="0" w:firstRowFirstColumn="0" w:firstRowLastColumn="0" w:lastRowFirstColumn="0" w:lastRowLastColumn="0"/>
            </w:pPr>
            <w:r w:rsidRPr="00A813EC">
              <w:t>2018-19</w:t>
            </w:r>
          </w:p>
        </w:tc>
        <w:tc>
          <w:tcPr>
            <w:tcW w:w="1604" w:type="dxa"/>
          </w:tcPr>
          <w:p w14:paraId="65D92BE4" w14:textId="66C36782" w:rsidR="004B45B3" w:rsidRPr="00A813EC" w:rsidRDefault="004B45B3" w:rsidP="00A813EC">
            <w:pPr>
              <w:pStyle w:val="TableHeaderWhite"/>
              <w:cnfStyle w:val="100000000000" w:firstRow="1" w:lastRow="0" w:firstColumn="0" w:lastColumn="0" w:oddVBand="0" w:evenVBand="0" w:oddHBand="0" w:evenHBand="0" w:firstRowFirstColumn="0" w:firstRowLastColumn="0" w:lastRowFirstColumn="0" w:lastRowLastColumn="0"/>
            </w:pPr>
            <w:r w:rsidRPr="00A813EC">
              <w:t>2019</w:t>
            </w:r>
            <w:r w:rsidR="4BC0BF81" w:rsidRPr="00A813EC">
              <w:t>=</w:t>
            </w:r>
            <w:r w:rsidRPr="00A813EC">
              <w:t>20</w:t>
            </w:r>
          </w:p>
        </w:tc>
        <w:tc>
          <w:tcPr>
            <w:tcW w:w="1604" w:type="dxa"/>
          </w:tcPr>
          <w:p w14:paraId="5775A59D" w14:textId="77777777" w:rsidR="004B45B3" w:rsidRPr="00A813EC" w:rsidRDefault="004B45B3" w:rsidP="00A813EC">
            <w:pPr>
              <w:pStyle w:val="TableHeaderWhite"/>
              <w:cnfStyle w:val="100000000000" w:firstRow="1" w:lastRow="0" w:firstColumn="0" w:lastColumn="0" w:oddVBand="0" w:evenVBand="0" w:oddHBand="0" w:evenHBand="0" w:firstRowFirstColumn="0" w:firstRowLastColumn="0" w:lastRowFirstColumn="0" w:lastRowLastColumn="0"/>
            </w:pPr>
            <w:r w:rsidRPr="00A813EC">
              <w:t>2020-21</w:t>
            </w:r>
          </w:p>
        </w:tc>
        <w:tc>
          <w:tcPr>
            <w:tcW w:w="1604" w:type="dxa"/>
          </w:tcPr>
          <w:p w14:paraId="575F656E" w14:textId="77777777" w:rsidR="004B45B3" w:rsidRPr="00A813EC" w:rsidRDefault="004B45B3" w:rsidP="00A813EC">
            <w:pPr>
              <w:pStyle w:val="TableHeaderWhite"/>
              <w:cnfStyle w:val="100000000000" w:firstRow="1" w:lastRow="0" w:firstColumn="0" w:lastColumn="0" w:oddVBand="0" w:evenVBand="0" w:oddHBand="0" w:evenHBand="0" w:firstRowFirstColumn="0" w:firstRowLastColumn="0" w:lastRowFirstColumn="0" w:lastRowLastColumn="0"/>
            </w:pPr>
            <w:r w:rsidRPr="00A813EC">
              <w:t>2021-22</w:t>
            </w:r>
          </w:p>
        </w:tc>
      </w:tr>
      <w:tr w:rsidR="00496209" w:rsidRPr="00A813EC" w14:paraId="2E8AD1D1" w14:textId="77777777" w:rsidTr="00A813EC">
        <w:tc>
          <w:tcPr>
            <w:cnfStyle w:val="001000000000" w:firstRow="0" w:lastRow="0" w:firstColumn="1" w:lastColumn="0" w:oddVBand="0" w:evenVBand="0" w:oddHBand="0" w:evenHBand="0" w:firstRowFirstColumn="0" w:firstRowLastColumn="0" w:lastRowFirstColumn="0" w:lastRowLastColumn="0"/>
            <w:tcW w:w="1671" w:type="dxa"/>
          </w:tcPr>
          <w:p w14:paraId="33082B37" w14:textId="1AEB1C84" w:rsidR="00516FA6" w:rsidRPr="00A813EC" w:rsidRDefault="00516FA6" w:rsidP="00A813EC">
            <w:pPr>
              <w:pStyle w:val="TableofAuthorities"/>
            </w:pPr>
            <w:r w:rsidRPr="00A813EC">
              <w:t>New South Wales</w:t>
            </w:r>
          </w:p>
        </w:tc>
        <w:tc>
          <w:tcPr>
            <w:tcW w:w="1206" w:type="dxa"/>
          </w:tcPr>
          <w:p w14:paraId="5B6E99E6" w14:textId="48B1B5AA"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89.5%</w:t>
            </w:r>
          </w:p>
        </w:tc>
        <w:tc>
          <w:tcPr>
            <w:tcW w:w="1381" w:type="dxa"/>
          </w:tcPr>
          <w:p w14:paraId="3D12F0E2" w14:textId="6493200F"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89.2%</w:t>
            </w:r>
          </w:p>
        </w:tc>
        <w:tc>
          <w:tcPr>
            <w:tcW w:w="1604" w:type="dxa"/>
          </w:tcPr>
          <w:p w14:paraId="1AAFF043" w14:textId="7B41CF77"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88.0%</w:t>
            </w:r>
          </w:p>
        </w:tc>
        <w:tc>
          <w:tcPr>
            <w:tcW w:w="1604" w:type="dxa"/>
          </w:tcPr>
          <w:p w14:paraId="6AA0EBDD" w14:textId="26C0F747"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86.6%</w:t>
            </w:r>
          </w:p>
        </w:tc>
        <w:tc>
          <w:tcPr>
            <w:tcW w:w="1604" w:type="dxa"/>
          </w:tcPr>
          <w:p w14:paraId="3A857FF6" w14:textId="53DB19C3"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85.2%</w:t>
            </w:r>
          </w:p>
        </w:tc>
      </w:tr>
      <w:tr w:rsidR="00496209" w:rsidRPr="00A813EC" w14:paraId="4554871B" w14:textId="77777777" w:rsidTr="00A813EC">
        <w:tc>
          <w:tcPr>
            <w:cnfStyle w:val="001000000000" w:firstRow="0" w:lastRow="0" w:firstColumn="1" w:lastColumn="0" w:oddVBand="0" w:evenVBand="0" w:oddHBand="0" w:evenHBand="0" w:firstRowFirstColumn="0" w:firstRowLastColumn="0" w:lastRowFirstColumn="0" w:lastRowLastColumn="0"/>
            <w:tcW w:w="1671" w:type="dxa"/>
          </w:tcPr>
          <w:p w14:paraId="1EA0036A" w14:textId="177825CF" w:rsidR="00516FA6" w:rsidRPr="00A813EC" w:rsidRDefault="00516FA6" w:rsidP="00A813EC">
            <w:pPr>
              <w:pStyle w:val="TableofAuthorities"/>
            </w:pPr>
            <w:r w:rsidRPr="00A813EC">
              <w:t>Victoria</w:t>
            </w:r>
          </w:p>
        </w:tc>
        <w:tc>
          <w:tcPr>
            <w:tcW w:w="1206" w:type="dxa"/>
          </w:tcPr>
          <w:p w14:paraId="7BAFADBB" w14:textId="774F331D"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90.2%</w:t>
            </w:r>
          </w:p>
        </w:tc>
        <w:tc>
          <w:tcPr>
            <w:tcW w:w="1381" w:type="dxa"/>
          </w:tcPr>
          <w:p w14:paraId="1DA8CFEE" w14:textId="3468D33A"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89.0%</w:t>
            </w:r>
          </w:p>
        </w:tc>
        <w:tc>
          <w:tcPr>
            <w:tcW w:w="1604" w:type="dxa"/>
          </w:tcPr>
          <w:p w14:paraId="703D8DA3" w14:textId="347C1CEE"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87.9%</w:t>
            </w:r>
          </w:p>
        </w:tc>
        <w:tc>
          <w:tcPr>
            <w:tcW w:w="1604" w:type="dxa"/>
          </w:tcPr>
          <w:p w14:paraId="046F9E8E" w14:textId="186EAD88"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84.2%</w:t>
            </w:r>
          </w:p>
        </w:tc>
        <w:tc>
          <w:tcPr>
            <w:tcW w:w="1604" w:type="dxa"/>
          </w:tcPr>
          <w:p w14:paraId="49225646" w14:textId="6903F06D"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83.3%</w:t>
            </w:r>
          </w:p>
        </w:tc>
      </w:tr>
      <w:tr w:rsidR="00496209" w:rsidRPr="00A813EC" w14:paraId="68DE0C99" w14:textId="77777777" w:rsidTr="00A813EC">
        <w:tc>
          <w:tcPr>
            <w:cnfStyle w:val="001000000000" w:firstRow="0" w:lastRow="0" w:firstColumn="1" w:lastColumn="0" w:oddVBand="0" w:evenVBand="0" w:oddHBand="0" w:evenHBand="0" w:firstRowFirstColumn="0" w:firstRowLastColumn="0" w:lastRowFirstColumn="0" w:lastRowLastColumn="0"/>
            <w:tcW w:w="1671" w:type="dxa"/>
          </w:tcPr>
          <w:p w14:paraId="56D0022E" w14:textId="572B8460" w:rsidR="00516FA6" w:rsidRPr="00A813EC" w:rsidRDefault="00516FA6" w:rsidP="00A813EC">
            <w:pPr>
              <w:pStyle w:val="TableofAuthorities"/>
            </w:pPr>
            <w:r w:rsidRPr="00A813EC">
              <w:t>Queensland</w:t>
            </w:r>
          </w:p>
        </w:tc>
        <w:tc>
          <w:tcPr>
            <w:tcW w:w="1206" w:type="dxa"/>
          </w:tcPr>
          <w:p w14:paraId="04F083B8" w14:textId="3B823D9A"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89.1%</w:t>
            </w:r>
          </w:p>
        </w:tc>
        <w:tc>
          <w:tcPr>
            <w:tcW w:w="1381" w:type="dxa"/>
          </w:tcPr>
          <w:p w14:paraId="19F9D7A1" w14:textId="0E8217E9"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88.3%</w:t>
            </w:r>
          </w:p>
        </w:tc>
        <w:tc>
          <w:tcPr>
            <w:tcW w:w="1604" w:type="dxa"/>
          </w:tcPr>
          <w:p w14:paraId="20D1EE4B" w14:textId="2FDC0CC1"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86.7%</w:t>
            </w:r>
          </w:p>
        </w:tc>
        <w:tc>
          <w:tcPr>
            <w:tcW w:w="1604" w:type="dxa"/>
          </w:tcPr>
          <w:p w14:paraId="30AF6C91" w14:textId="27E20A0D"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87.0%</w:t>
            </w:r>
          </w:p>
        </w:tc>
        <w:tc>
          <w:tcPr>
            <w:tcW w:w="1604" w:type="dxa"/>
          </w:tcPr>
          <w:p w14:paraId="54E4CECA" w14:textId="25A86892"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88.0%</w:t>
            </w:r>
          </w:p>
        </w:tc>
      </w:tr>
      <w:tr w:rsidR="00496209" w:rsidRPr="00A813EC" w14:paraId="69DD9E85" w14:textId="77777777" w:rsidTr="00A813EC">
        <w:tc>
          <w:tcPr>
            <w:cnfStyle w:val="001000000000" w:firstRow="0" w:lastRow="0" w:firstColumn="1" w:lastColumn="0" w:oddVBand="0" w:evenVBand="0" w:oddHBand="0" w:evenHBand="0" w:firstRowFirstColumn="0" w:firstRowLastColumn="0" w:lastRowFirstColumn="0" w:lastRowLastColumn="0"/>
            <w:tcW w:w="1671" w:type="dxa"/>
          </w:tcPr>
          <w:p w14:paraId="29963508" w14:textId="48C06655" w:rsidR="00516FA6" w:rsidRPr="00A813EC" w:rsidRDefault="00516FA6" w:rsidP="00A813EC">
            <w:pPr>
              <w:pStyle w:val="TableofAuthorities"/>
            </w:pPr>
            <w:r w:rsidRPr="00A813EC">
              <w:t>Western Australia</w:t>
            </w:r>
          </w:p>
        </w:tc>
        <w:tc>
          <w:tcPr>
            <w:tcW w:w="1206" w:type="dxa"/>
          </w:tcPr>
          <w:p w14:paraId="027D3985" w14:textId="182294B0"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93.2%</w:t>
            </w:r>
          </w:p>
        </w:tc>
        <w:tc>
          <w:tcPr>
            <w:tcW w:w="1381" w:type="dxa"/>
          </w:tcPr>
          <w:p w14:paraId="19144CFB" w14:textId="01AED432"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90.3%</w:t>
            </w:r>
          </w:p>
        </w:tc>
        <w:tc>
          <w:tcPr>
            <w:tcW w:w="1604" w:type="dxa"/>
          </w:tcPr>
          <w:p w14:paraId="3AD9EC5D" w14:textId="2B0F34BE"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89.4%</w:t>
            </w:r>
          </w:p>
        </w:tc>
        <w:tc>
          <w:tcPr>
            <w:tcW w:w="1604" w:type="dxa"/>
          </w:tcPr>
          <w:p w14:paraId="554D7896" w14:textId="016727CF"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88.3%</w:t>
            </w:r>
          </w:p>
        </w:tc>
        <w:tc>
          <w:tcPr>
            <w:tcW w:w="1604" w:type="dxa"/>
          </w:tcPr>
          <w:p w14:paraId="1817F34D" w14:textId="6D6EDEF4"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88.1%</w:t>
            </w:r>
          </w:p>
        </w:tc>
      </w:tr>
      <w:tr w:rsidR="00496209" w:rsidRPr="00A813EC" w14:paraId="3D5E5B28" w14:textId="77777777" w:rsidTr="00A813EC">
        <w:tc>
          <w:tcPr>
            <w:cnfStyle w:val="001000000000" w:firstRow="0" w:lastRow="0" w:firstColumn="1" w:lastColumn="0" w:oddVBand="0" w:evenVBand="0" w:oddHBand="0" w:evenHBand="0" w:firstRowFirstColumn="0" w:firstRowLastColumn="0" w:lastRowFirstColumn="0" w:lastRowLastColumn="0"/>
            <w:tcW w:w="1671" w:type="dxa"/>
          </w:tcPr>
          <w:p w14:paraId="6D512E2E" w14:textId="516C1DAB" w:rsidR="00516FA6" w:rsidRPr="00A813EC" w:rsidRDefault="00516FA6" w:rsidP="00A813EC">
            <w:pPr>
              <w:pStyle w:val="TableofAuthorities"/>
            </w:pPr>
            <w:r w:rsidRPr="00A813EC">
              <w:t>South Australia</w:t>
            </w:r>
          </w:p>
        </w:tc>
        <w:tc>
          <w:tcPr>
            <w:tcW w:w="1206" w:type="dxa"/>
          </w:tcPr>
          <w:p w14:paraId="5E658C60" w14:textId="3BBB0535"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93.4%</w:t>
            </w:r>
          </w:p>
        </w:tc>
        <w:tc>
          <w:tcPr>
            <w:tcW w:w="1381" w:type="dxa"/>
          </w:tcPr>
          <w:p w14:paraId="78C72DD7" w14:textId="10C3A52A"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92.8%</w:t>
            </w:r>
          </w:p>
        </w:tc>
        <w:tc>
          <w:tcPr>
            <w:tcW w:w="1604" w:type="dxa"/>
          </w:tcPr>
          <w:p w14:paraId="0C3691B0" w14:textId="3CA3E6BE"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92.5%</w:t>
            </w:r>
          </w:p>
        </w:tc>
        <w:tc>
          <w:tcPr>
            <w:tcW w:w="1604" w:type="dxa"/>
          </w:tcPr>
          <w:p w14:paraId="247FB4BA" w14:textId="76D7E07C"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93.1%</w:t>
            </w:r>
          </w:p>
        </w:tc>
        <w:tc>
          <w:tcPr>
            <w:tcW w:w="1604" w:type="dxa"/>
          </w:tcPr>
          <w:p w14:paraId="5245085B" w14:textId="52CBF09A"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92.2%</w:t>
            </w:r>
          </w:p>
        </w:tc>
      </w:tr>
      <w:tr w:rsidR="00496209" w:rsidRPr="00A813EC" w14:paraId="50A3F8B2" w14:textId="77777777" w:rsidTr="00A813EC">
        <w:tc>
          <w:tcPr>
            <w:cnfStyle w:val="001000000000" w:firstRow="0" w:lastRow="0" w:firstColumn="1" w:lastColumn="0" w:oddVBand="0" w:evenVBand="0" w:oddHBand="0" w:evenHBand="0" w:firstRowFirstColumn="0" w:firstRowLastColumn="0" w:lastRowFirstColumn="0" w:lastRowLastColumn="0"/>
            <w:tcW w:w="1671" w:type="dxa"/>
          </w:tcPr>
          <w:p w14:paraId="7AE17D36" w14:textId="74DA3203" w:rsidR="00516FA6" w:rsidRPr="00A813EC" w:rsidRDefault="00516FA6" w:rsidP="00A813EC">
            <w:pPr>
              <w:pStyle w:val="TableofAuthorities"/>
            </w:pPr>
            <w:r w:rsidRPr="00A813EC">
              <w:t>Tasmania</w:t>
            </w:r>
          </w:p>
        </w:tc>
        <w:tc>
          <w:tcPr>
            <w:tcW w:w="1206" w:type="dxa"/>
          </w:tcPr>
          <w:p w14:paraId="378D726F" w14:textId="71BD96C5"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90.2%</w:t>
            </w:r>
          </w:p>
        </w:tc>
        <w:tc>
          <w:tcPr>
            <w:tcW w:w="1381" w:type="dxa"/>
          </w:tcPr>
          <w:p w14:paraId="486BE2DE" w14:textId="114E032C"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89.9%</w:t>
            </w:r>
          </w:p>
        </w:tc>
        <w:tc>
          <w:tcPr>
            <w:tcW w:w="1604" w:type="dxa"/>
          </w:tcPr>
          <w:p w14:paraId="6DEB309E" w14:textId="78DC6F58"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88.7%</w:t>
            </w:r>
          </w:p>
        </w:tc>
        <w:tc>
          <w:tcPr>
            <w:tcW w:w="1604" w:type="dxa"/>
          </w:tcPr>
          <w:p w14:paraId="72B512A9" w14:textId="3BA8844C"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88.9%</w:t>
            </w:r>
          </w:p>
        </w:tc>
        <w:tc>
          <w:tcPr>
            <w:tcW w:w="1604" w:type="dxa"/>
          </w:tcPr>
          <w:p w14:paraId="2799C193" w14:textId="4AE81EDE"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89.2%</w:t>
            </w:r>
          </w:p>
        </w:tc>
      </w:tr>
      <w:tr w:rsidR="00496209" w:rsidRPr="00A813EC" w14:paraId="17D593F3" w14:textId="77777777" w:rsidTr="00A813EC">
        <w:tc>
          <w:tcPr>
            <w:cnfStyle w:val="001000000000" w:firstRow="0" w:lastRow="0" w:firstColumn="1" w:lastColumn="0" w:oddVBand="0" w:evenVBand="0" w:oddHBand="0" w:evenHBand="0" w:firstRowFirstColumn="0" w:firstRowLastColumn="0" w:lastRowFirstColumn="0" w:lastRowLastColumn="0"/>
            <w:tcW w:w="1671" w:type="dxa"/>
          </w:tcPr>
          <w:p w14:paraId="6175EC02" w14:textId="45F4FA86" w:rsidR="00516FA6" w:rsidRPr="00A813EC" w:rsidRDefault="00516FA6" w:rsidP="00A813EC">
            <w:pPr>
              <w:pStyle w:val="TableofAuthorities"/>
            </w:pPr>
            <w:r w:rsidRPr="00A813EC">
              <w:t>Australian Capital Territory</w:t>
            </w:r>
          </w:p>
        </w:tc>
        <w:tc>
          <w:tcPr>
            <w:tcW w:w="1206" w:type="dxa"/>
          </w:tcPr>
          <w:p w14:paraId="03EBE86A" w14:textId="623BB248"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91.0%</w:t>
            </w:r>
          </w:p>
        </w:tc>
        <w:tc>
          <w:tcPr>
            <w:tcW w:w="1381" w:type="dxa"/>
          </w:tcPr>
          <w:p w14:paraId="0C3FDC44" w14:textId="27335890"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89.6%</w:t>
            </w:r>
          </w:p>
        </w:tc>
        <w:tc>
          <w:tcPr>
            <w:tcW w:w="1604" w:type="dxa"/>
          </w:tcPr>
          <w:p w14:paraId="08F1C132" w14:textId="77D94F12"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89.4%</w:t>
            </w:r>
          </w:p>
        </w:tc>
        <w:tc>
          <w:tcPr>
            <w:tcW w:w="1604" w:type="dxa"/>
          </w:tcPr>
          <w:p w14:paraId="3D8D6040" w14:textId="66BB5FAC"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87.3%</w:t>
            </w:r>
          </w:p>
        </w:tc>
        <w:tc>
          <w:tcPr>
            <w:tcW w:w="1604" w:type="dxa"/>
          </w:tcPr>
          <w:p w14:paraId="73B23CDB" w14:textId="3D522652"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85.3%</w:t>
            </w:r>
          </w:p>
        </w:tc>
      </w:tr>
      <w:tr w:rsidR="00496209" w:rsidRPr="00A813EC" w14:paraId="20EE0D95" w14:textId="77777777" w:rsidTr="00A813EC">
        <w:tc>
          <w:tcPr>
            <w:cnfStyle w:val="001000000000" w:firstRow="0" w:lastRow="0" w:firstColumn="1" w:lastColumn="0" w:oddVBand="0" w:evenVBand="0" w:oddHBand="0" w:evenHBand="0" w:firstRowFirstColumn="0" w:firstRowLastColumn="0" w:lastRowFirstColumn="0" w:lastRowLastColumn="0"/>
            <w:tcW w:w="1671" w:type="dxa"/>
          </w:tcPr>
          <w:p w14:paraId="2A13F9FD" w14:textId="1394F3A7" w:rsidR="00516FA6" w:rsidRPr="00A813EC" w:rsidRDefault="00516FA6" w:rsidP="00A813EC">
            <w:pPr>
              <w:pStyle w:val="TableofAuthorities"/>
            </w:pPr>
            <w:r w:rsidRPr="00A813EC">
              <w:t>Northern Territory</w:t>
            </w:r>
          </w:p>
        </w:tc>
        <w:tc>
          <w:tcPr>
            <w:tcW w:w="1206" w:type="dxa"/>
          </w:tcPr>
          <w:p w14:paraId="5B6A30E1" w14:textId="54541BAB"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94.4%</w:t>
            </w:r>
          </w:p>
        </w:tc>
        <w:tc>
          <w:tcPr>
            <w:tcW w:w="1381" w:type="dxa"/>
          </w:tcPr>
          <w:p w14:paraId="13E21D01" w14:textId="39B64C55"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94.3%</w:t>
            </w:r>
          </w:p>
        </w:tc>
        <w:tc>
          <w:tcPr>
            <w:tcW w:w="1604" w:type="dxa"/>
          </w:tcPr>
          <w:p w14:paraId="647F6D1A" w14:textId="219B3139"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94.0%</w:t>
            </w:r>
          </w:p>
        </w:tc>
        <w:tc>
          <w:tcPr>
            <w:tcW w:w="1604" w:type="dxa"/>
          </w:tcPr>
          <w:p w14:paraId="07897210" w14:textId="59BC111A"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94.9%</w:t>
            </w:r>
          </w:p>
        </w:tc>
        <w:tc>
          <w:tcPr>
            <w:tcW w:w="1604" w:type="dxa"/>
          </w:tcPr>
          <w:p w14:paraId="3EE98DB4" w14:textId="1EE8F188"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89.8%</w:t>
            </w:r>
          </w:p>
        </w:tc>
      </w:tr>
      <w:tr w:rsidR="00496209" w:rsidRPr="00A813EC" w14:paraId="56490977" w14:textId="77777777" w:rsidTr="00A813EC">
        <w:tc>
          <w:tcPr>
            <w:cnfStyle w:val="001000000000" w:firstRow="0" w:lastRow="0" w:firstColumn="1" w:lastColumn="0" w:oddVBand="0" w:evenVBand="0" w:oddHBand="0" w:evenHBand="0" w:firstRowFirstColumn="0" w:firstRowLastColumn="0" w:lastRowFirstColumn="0" w:lastRowLastColumn="0"/>
            <w:tcW w:w="1671" w:type="dxa"/>
          </w:tcPr>
          <w:p w14:paraId="50E23040" w14:textId="6986B523" w:rsidR="00516FA6" w:rsidRPr="00A813EC" w:rsidRDefault="00516FA6" w:rsidP="00A813EC">
            <w:pPr>
              <w:pStyle w:val="TableofAuthorities"/>
            </w:pPr>
            <w:r w:rsidRPr="00A813EC">
              <w:t>Australia</w:t>
            </w:r>
          </w:p>
        </w:tc>
        <w:tc>
          <w:tcPr>
            <w:tcW w:w="1206" w:type="dxa"/>
          </w:tcPr>
          <w:p w14:paraId="1061E42A" w14:textId="6FDFEB89"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90.3%</w:t>
            </w:r>
          </w:p>
        </w:tc>
        <w:tc>
          <w:tcPr>
            <w:tcW w:w="1381" w:type="dxa"/>
          </w:tcPr>
          <w:p w14:paraId="167ADBBA" w14:textId="7C5BCF37"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89.4%</w:t>
            </w:r>
          </w:p>
        </w:tc>
        <w:tc>
          <w:tcPr>
            <w:tcW w:w="1604" w:type="dxa"/>
          </w:tcPr>
          <w:p w14:paraId="024C3874" w14:textId="69297946"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88.3%</w:t>
            </w:r>
          </w:p>
        </w:tc>
        <w:tc>
          <w:tcPr>
            <w:tcW w:w="1604" w:type="dxa"/>
          </w:tcPr>
          <w:p w14:paraId="411E715D" w14:textId="771E5BDA"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86.8%</w:t>
            </w:r>
          </w:p>
        </w:tc>
        <w:tc>
          <w:tcPr>
            <w:tcW w:w="1604" w:type="dxa"/>
          </w:tcPr>
          <w:p w14:paraId="47EFD19B" w14:textId="62B6A9D6" w:rsidR="00516FA6" w:rsidRPr="00A813EC" w:rsidRDefault="00516FA6" w:rsidP="00A813EC">
            <w:pPr>
              <w:pStyle w:val="TableofAuthorities"/>
              <w:cnfStyle w:val="000000000000" w:firstRow="0" w:lastRow="0" w:firstColumn="0" w:lastColumn="0" w:oddVBand="0" w:evenVBand="0" w:oddHBand="0" w:evenHBand="0" w:firstRowFirstColumn="0" w:firstRowLastColumn="0" w:lastRowFirstColumn="0" w:lastRowLastColumn="0"/>
            </w:pPr>
            <w:r w:rsidRPr="00A813EC">
              <w:t>86.2%</w:t>
            </w:r>
          </w:p>
        </w:tc>
      </w:tr>
    </w:tbl>
    <w:p w14:paraId="2A0CABDB" w14:textId="7FB5A33E" w:rsidR="00912E27" w:rsidRDefault="00B717B0" w:rsidP="00A85D46">
      <w:r>
        <w:fldChar w:fldCharType="begin"/>
      </w:r>
      <w:r>
        <w:instrText xml:space="preserve"> REF _Ref139553325 \h </w:instrText>
      </w:r>
      <w:r>
        <w:fldChar w:fldCharType="separate"/>
      </w:r>
      <w:r w:rsidR="00294B02">
        <w:t xml:space="preserve">Table </w:t>
      </w:r>
      <w:r w:rsidR="00294B02">
        <w:rPr>
          <w:noProof/>
        </w:rPr>
        <w:t>2</w:t>
      </w:r>
      <w:r w:rsidR="00294B02">
        <w:t>.</w:t>
      </w:r>
      <w:r w:rsidR="00294B02">
        <w:rPr>
          <w:noProof/>
        </w:rPr>
        <w:t>5</w:t>
      </w:r>
      <w:r>
        <w:fldChar w:fldCharType="end"/>
      </w:r>
      <w:r w:rsidR="00A85D46">
        <w:t xml:space="preserve"> shows</w:t>
      </w:r>
      <w:r w:rsidR="00A85D46">
        <w:rPr>
          <w:spacing w:val="-11"/>
        </w:rPr>
        <w:t xml:space="preserve"> </w:t>
      </w:r>
      <w:r w:rsidR="00A85D46">
        <w:t>average</w:t>
      </w:r>
      <w:r w:rsidR="00A85D46">
        <w:rPr>
          <w:spacing w:val="-11"/>
        </w:rPr>
        <w:t xml:space="preserve"> </w:t>
      </w:r>
      <w:r w:rsidR="00A85D46">
        <w:t>occupancy</w:t>
      </w:r>
      <w:r w:rsidR="00A85D46">
        <w:rPr>
          <w:spacing w:val="-11"/>
        </w:rPr>
        <w:t xml:space="preserve"> </w:t>
      </w:r>
      <w:r w:rsidR="00A85D46">
        <w:t>in</w:t>
      </w:r>
      <w:r w:rsidR="00A85D46">
        <w:rPr>
          <w:spacing w:val="-11"/>
        </w:rPr>
        <w:t xml:space="preserve"> </w:t>
      </w:r>
      <w:r w:rsidR="00A85D46">
        <w:t>residential</w:t>
      </w:r>
      <w:r w:rsidR="00A85D46">
        <w:rPr>
          <w:spacing w:val="-11"/>
        </w:rPr>
        <w:t xml:space="preserve"> </w:t>
      </w:r>
      <w:r w:rsidR="00A85D46">
        <w:t xml:space="preserve">care by location </w:t>
      </w:r>
      <w:r w:rsidR="00D02C19">
        <w:t>for</w:t>
      </w:r>
      <w:r w:rsidR="00A85D46">
        <w:t xml:space="preserve"> the 5 years</w:t>
      </w:r>
      <w:r w:rsidR="00D02C19">
        <w:t xml:space="preserve"> from 2017-18 to 2021-22</w:t>
      </w:r>
      <w:r w:rsidR="00A85D46">
        <w:t xml:space="preserve">. </w:t>
      </w:r>
    </w:p>
    <w:p w14:paraId="5921D801" w14:textId="0AD5AB69" w:rsidR="00A85D46" w:rsidRDefault="00A85D46" w:rsidP="00A85D46">
      <w:r>
        <w:t>There remain</w:t>
      </w:r>
      <w:r w:rsidR="00D02C19">
        <w:t>ed</w:t>
      </w:r>
      <w:r>
        <w:t xml:space="preserve"> a variation in occupancy rates by remoteness</w:t>
      </w:r>
      <w:r>
        <w:rPr>
          <w:spacing w:val="-11"/>
        </w:rPr>
        <w:t xml:space="preserve"> </w:t>
      </w:r>
      <w:r>
        <w:t>location.</w:t>
      </w:r>
      <w:r>
        <w:rPr>
          <w:spacing w:val="-9"/>
        </w:rPr>
        <w:t xml:space="preserve"> </w:t>
      </w:r>
      <w:r>
        <w:t>In</w:t>
      </w:r>
      <w:r>
        <w:rPr>
          <w:spacing w:val="-11"/>
        </w:rPr>
        <w:t xml:space="preserve"> </w:t>
      </w:r>
      <w:r>
        <w:t>202</w:t>
      </w:r>
      <w:r w:rsidR="00912E27">
        <w:t>1</w:t>
      </w:r>
      <w:r>
        <w:t>–2</w:t>
      </w:r>
      <w:r w:rsidR="00912E27">
        <w:t>2</w:t>
      </w:r>
      <w:r>
        <w:t>,</w:t>
      </w:r>
      <w:r>
        <w:rPr>
          <w:spacing w:val="-9"/>
        </w:rPr>
        <w:t xml:space="preserve"> </w:t>
      </w:r>
      <w:r>
        <w:t>occupancy</w:t>
      </w:r>
      <w:r>
        <w:rPr>
          <w:spacing w:val="-9"/>
        </w:rPr>
        <w:t xml:space="preserve"> </w:t>
      </w:r>
      <w:r>
        <w:t>in</w:t>
      </w:r>
      <w:r w:rsidR="00912E27">
        <w:t xml:space="preserve"> </w:t>
      </w:r>
      <w:r>
        <w:t>major cities, inner regional, outer regional and remote locations</w:t>
      </w:r>
      <w:r>
        <w:rPr>
          <w:spacing w:val="-7"/>
        </w:rPr>
        <w:t xml:space="preserve"> </w:t>
      </w:r>
      <w:r>
        <w:t>decreased</w:t>
      </w:r>
      <w:r>
        <w:rPr>
          <w:spacing w:val="-5"/>
        </w:rPr>
        <w:t xml:space="preserve"> </w:t>
      </w:r>
      <w:r w:rsidR="00793C4A">
        <w:rPr>
          <w:spacing w:val="-5"/>
        </w:rPr>
        <w:t xml:space="preserve">on the 2020-21 result </w:t>
      </w:r>
      <w:r>
        <w:t>(</w:t>
      </w:r>
      <w:r w:rsidR="00F60783">
        <w:t xml:space="preserve">by </w:t>
      </w:r>
      <w:r>
        <w:t>approximately</w:t>
      </w:r>
      <w:r>
        <w:rPr>
          <w:spacing w:val="-5"/>
        </w:rPr>
        <w:t xml:space="preserve"> </w:t>
      </w:r>
      <w:r>
        <w:t>1</w:t>
      </w:r>
      <w:r>
        <w:rPr>
          <w:spacing w:val="-5"/>
        </w:rPr>
        <w:t xml:space="preserve"> </w:t>
      </w:r>
      <w:r>
        <w:t>to</w:t>
      </w:r>
      <w:r>
        <w:rPr>
          <w:spacing w:val="-5"/>
        </w:rPr>
        <w:t xml:space="preserve"> </w:t>
      </w:r>
      <w:r w:rsidR="00092E0F">
        <w:t>3</w:t>
      </w:r>
      <w:r>
        <w:rPr>
          <w:spacing w:val="-5"/>
        </w:rPr>
        <w:t xml:space="preserve"> </w:t>
      </w:r>
      <w:r>
        <w:t>percentage points).</w:t>
      </w:r>
      <w:r>
        <w:rPr>
          <w:spacing w:val="-11"/>
        </w:rPr>
        <w:t xml:space="preserve"> </w:t>
      </w:r>
      <w:r>
        <w:t>Occupancy</w:t>
      </w:r>
      <w:r>
        <w:rPr>
          <w:spacing w:val="-11"/>
        </w:rPr>
        <w:t xml:space="preserve"> </w:t>
      </w:r>
      <w:r>
        <w:t>in</w:t>
      </w:r>
      <w:r>
        <w:rPr>
          <w:spacing w:val="-11"/>
        </w:rPr>
        <w:t xml:space="preserve"> </w:t>
      </w:r>
      <w:r>
        <w:t>very</w:t>
      </w:r>
      <w:r>
        <w:rPr>
          <w:spacing w:val="-11"/>
        </w:rPr>
        <w:t xml:space="preserve"> </w:t>
      </w:r>
      <w:r>
        <w:t>remote</w:t>
      </w:r>
      <w:r>
        <w:rPr>
          <w:spacing w:val="-11"/>
        </w:rPr>
        <w:t xml:space="preserve"> </w:t>
      </w:r>
      <w:r>
        <w:t>locations</w:t>
      </w:r>
      <w:r>
        <w:rPr>
          <w:spacing w:val="-11"/>
        </w:rPr>
        <w:t xml:space="preserve"> </w:t>
      </w:r>
      <w:r>
        <w:t>increased to 7</w:t>
      </w:r>
      <w:r w:rsidR="0065587A">
        <w:t>7.6</w:t>
      </w:r>
      <w:r>
        <w:t xml:space="preserve"> per cent, up from 7</w:t>
      </w:r>
      <w:r w:rsidR="0065587A">
        <w:t>5</w:t>
      </w:r>
      <w:r>
        <w:t>.</w:t>
      </w:r>
      <w:r w:rsidR="0065587A">
        <w:t>1</w:t>
      </w:r>
      <w:r>
        <w:t xml:space="preserve"> per cent.</w:t>
      </w:r>
      <w:r w:rsidR="0065587A">
        <w:t xml:space="preserve"> </w:t>
      </w:r>
    </w:p>
    <w:p w14:paraId="7FECDA87" w14:textId="2D6D9486" w:rsidR="00143292" w:rsidRPr="00B717B0" w:rsidRDefault="00210C05" w:rsidP="00B717B0">
      <w:pPr>
        <w:pStyle w:val="Caption"/>
      </w:pPr>
      <w:bookmarkStart w:id="201" w:name="_Ref135839010"/>
      <w:bookmarkStart w:id="202" w:name="_Ref139553325"/>
      <w:bookmarkStart w:id="203" w:name="_Toc149245274"/>
      <w:r>
        <w:t xml:space="preserve">Table </w:t>
      </w:r>
      <w:r>
        <w:fldChar w:fldCharType="begin"/>
      </w:r>
      <w:r>
        <w:instrText>STYLEREF 1 \s</w:instrText>
      </w:r>
      <w:r>
        <w:fldChar w:fldCharType="separate"/>
      </w:r>
      <w:r w:rsidR="00294B02">
        <w:rPr>
          <w:noProof/>
        </w:rPr>
        <w:t>2</w:t>
      </w:r>
      <w:r>
        <w:fldChar w:fldCharType="end"/>
      </w:r>
      <w:r w:rsidR="002E758C">
        <w:t>.</w:t>
      </w:r>
      <w:r>
        <w:fldChar w:fldCharType="begin"/>
      </w:r>
      <w:r>
        <w:instrText>SEQ Table \* ARABIC \s 1</w:instrText>
      </w:r>
      <w:r>
        <w:fldChar w:fldCharType="separate"/>
      </w:r>
      <w:r w:rsidR="00294B02">
        <w:rPr>
          <w:noProof/>
        </w:rPr>
        <w:t>5</w:t>
      </w:r>
      <w:r>
        <w:fldChar w:fldCharType="end"/>
      </w:r>
      <w:bookmarkEnd w:id="201"/>
      <w:bookmarkEnd w:id="202"/>
      <w:r w:rsidR="00B717B0">
        <w:t>:</w:t>
      </w:r>
      <w:r>
        <w:t xml:space="preserve"> </w:t>
      </w:r>
      <w:r w:rsidRPr="00367786">
        <w:t xml:space="preserve">Occupancy in residential care, by location, </w:t>
      </w:r>
      <w:r w:rsidRPr="00EB1883">
        <w:t>2017-18 to 2021-22</w:t>
      </w:r>
      <w:bookmarkEnd w:id="203"/>
    </w:p>
    <w:tbl>
      <w:tblPr>
        <w:tblStyle w:val="DepartmentofHealthtable"/>
        <w:tblW w:w="0" w:type="auto"/>
        <w:tblLook w:val="04A0" w:firstRow="1" w:lastRow="0" w:firstColumn="1" w:lastColumn="0" w:noHBand="0" w:noVBand="1"/>
      </w:tblPr>
      <w:tblGrid>
        <w:gridCol w:w="1671"/>
        <w:gridCol w:w="1206"/>
        <w:gridCol w:w="1381"/>
        <w:gridCol w:w="1604"/>
        <w:gridCol w:w="1604"/>
        <w:gridCol w:w="1604"/>
      </w:tblGrid>
      <w:tr w:rsidR="00AE5998" w:rsidRPr="008B23BF" w14:paraId="67AEEF91" w14:textId="77777777" w:rsidTr="00483E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71" w:type="dxa"/>
          </w:tcPr>
          <w:p w14:paraId="7F7C3F14" w14:textId="1A8E3F8B" w:rsidR="00AE5998" w:rsidRPr="008B23BF" w:rsidRDefault="00BC1BD1" w:rsidP="008B23BF">
            <w:pPr>
              <w:pStyle w:val="TableHeaderWhite"/>
            </w:pPr>
            <w:r w:rsidRPr="008B23BF">
              <w:t>Provider location</w:t>
            </w:r>
          </w:p>
        </w:tc>
        <w:tc>
          <w:tcPr>
            <w:tcW w:w="1206" w:type="dxa"/>
          </w:tcPr>
          <w:p w14:paraId="5C8CE77D" w14:textId="77777777" w:rsidR="00AE5998" w:rsidRPr="008B23BF" w:rsidRDefault="00AE5998" w:rsidP="008B23BF">
            <w:pPr>
              <w:pStyle w:val="TableHeaderWhite"/>
              <w:cnfStyle w:val="100000000000" w:firstRow="1" w:lastRow="0" w:firstColumn="0" w:lastColumn="0" w:oddVBand="0" w:evenVBand="0" w:oddHBand="0" w:evenHBand="0" w:firstRowFirstColumn="0" w:firstRowLastColumn="0" w:lastRowFirstColumn="0" w:lastRowLastColumn="0"/>
            </w:pPr>
            <w:r w:rsidRPr="008B23BF">
              <w:t>2017-18</w:t>
            </w:r>
          </w:p>
        </w:tc>
        <w:tc>
          <w:tcPr>
            <w:tcW w:w="1381" w:type="dxa"/>
          </w:tcPr>
          <w:p w14:paraId="24997EC1" w14:textId="77777777" w:rsidR="00AE5998" w:rsidRPr="008B23BF" w:rsidRDefault="00AE5998" w:rsidP="008B23BF">
            <w:pPr>
              <w:pStyle w:val="TableHeaderWhite"/>
              <w:cnfStyle w:val="100000000000" w:firstRow="1" w:lastRow="0" w:firstColumn="0" w:lastColumn="0" w:oddVBand="0" w:evenVBand="0" w:oddHBand="0" w:evenHBand="0" w:firstRowFirstColumn="0" w:firstRowLastColumn="0" w:lastRowFirstColumn="0" w:lastRowLastColumn="0"/>
            </w:pPr>
            <w:r w:rsidRPr="008B23BF">
              <w:t>2018-19</w:t>
            </w:r>
          </w:p>
        </w:tc>
        <w:tc>
          <w:tcPr>
            <w:tcW w:w="1604" w:type="dxa"/>
          </w:tcPr>
          <w:p w14:paraId="2FA06B82" w14:textId="77777777" w:rsidR="00AE5998" w:rsidRPr="008B23BF" w:rsidRDefault="00AE5998" w:rsidP="008B23BF">
            <w:pPr>
              <w:pStyle w:val="TableHeaderWhite"/>
              <w:cnfStyle w:val="100000000000" w:firstRow="1" w:lastRow="0" w:firstColumn="0" w:lastColumn="0" w:oddVBand="0" w:evenVBand="0" w:oddHBand="0" w:evenHBand="0" w:firstRowFirstColumn="0" w:firstRowLastColumn="0" w:lastRowFirstColumn="0" w:lastRowLastColumn="0"/>
            </w:pPr>
            <w:r w:rsidRPr="008B23BF">
              <w:t>2019</w:t>
            </w:r>
            <w:r w:rsidRPr="008B23BF">
              <w:noBreakHyphen/>
              <w:t>20</w:t>
            </w:r>
          </w:p>
        </w:tc>
        <w:tc>
          <w:tcPr>
            <w:tcW w:w="1604" w:type="dxa"/>
          </w:tcPr>
          <w:p w14:paraId="38493950" w14:textId="77777777" w:rsidR="00AE5998" w:rsidRPr="008B23BF" w:rsidRDefault="00AE5998" w:rsidP="008B23BF">
            <w:pPr>
              <w:pStyle w:val="TableHeaderWhite"/>
              <w:cnfStyle w:val="100000000000" w:firstRow="1" w:lastRow="0" w:firstColumn="0" w:lastColumn="0" w:oddVBand="0" w:evenVBand="0" w:oddHBand="0" w:evenHBand="0" w:firstRowFirstColumn="0" w:firstRowLastColumn="0" w:lastRowFirstColumn="0" w:lastRowLastColumn="0"/>
            </w:pPr>
            <w:r w:rsidRPr="008B23BF">
              <w:t>2020-21</w:t>
            </w:r>
          </w:p>
        </w:tc>
        <w:tc>
          <w:tcPr>
            <w:tcW w:w="1604" w:type="dxa"/>
          </w:tcPr>
          <w:p w14:paraId="6C2878CB" w14:textId="77777777" w:rsidR="00AE5998" w:rsidRPr="008B23BF" w:rsidRDefault="00AE5998" w:rsidP="008B23BF">
            <w:pPr>
              <w:pStyle w:val="TableHeaderWhite"/>
              <w:cnfStyle w:val="100000000000" w:firstRow="1" w:lastRow="0" w:firstColumn="0" w:lastColumn="0" w:oddVBand="0" w:evenVBand="0" w:oddHBand="0" w:evenHBand="0" w:firstRowFirstColumn="0" w:firstRowLastColumn="0" w:lastRowFirstColumn="0" w:lastRowLastColumn="0"/>
            </w:pPr>
            <w:r w:rsidRPr="008B23BF">
              <w:t>2021-22</w:t>
            </w:r>
          </w:p>
        </w:tc>
      </w:tr>
      <w:tr w:rsidR="00BC1BD1" w14:paraId="7FBCD29C" w14:textId="77777777" w:rsidTr="00483E71">
        <w:tc>
          <w:tcPr>
            <w:cnfStyle w:val="001000000000" w:firstRow="0" w:lastRow="0" w:firstColumn="1" w:lastColumn="0" w:oddVBand="0" w:evenVBand="0" w:oddHBand="0" w:evenHBand="0" w:firstRowFirstColumn="0" w:firstRowLastColumn="0" w:lastRowFirstColumn="0" w:lastRowLastColumn="0"/>
            <w:tcW w:w="1671" w:type="dxa"/>
          </w:tcPr>
          <w:p w14:paraId="3D297634" w14:textId="03442B71" w:rsidR="00BC1BD1" w:rsidRPr="008B23BF" w:rsidRDefault="00BC1BD1" w:rsidP="008B23BF">
            <w:pPr>
              <w:pStyle w:val="TableofAuthorities"/>
            </w:pPr>
            <w:r w:rsidRPr="008B23BF">
              <w:t>Major cities</w:t>
            </w:r>
          </w:p>
        </w:tc>
        <w:tc>
          <w:tcPr>
            <w:tcW w:w="1206" w:type="dxa"/>
          </w:tcPr>
          <w:p w14:paraId="7AA86B46" w14:textId="6943390F"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90.0%</w:t>
            </w:r>
          </w:p>
        </w:tc>
        <w:tc>
          <w:tcPr>
            <w:tcW w:w="1381" w:type="dxa"/>
          </w:tcPr>
          <w:p w14:paraId="2A285A16" w14:textId="52F0D855"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88.9%</w:t>
            </w:r>
          </w:p>
        </w:tc>
        <w:tc>
          <w:tcPr>
            <w:tcW w:w="1604" w:type="dxa"/>
          </w:tcPr>
          <w:p w14:paraId="6914C8FE" w14:textId="7CA80439"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88.0%</w:t>
            </w:r>
          </w:p>
        </w:tc>
        <w:tc>
          <w:tcPr>
            <w:tcW w:w="1604" w:type="dxa"/>
          </w:tcPr>
          <w:p w14:paraId="5D6FB1A8" w14:textId="54B70C9F"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86.4%</w:t>
            </w:r>
          </w:p>
        </w:tc>
        <w:tc>
          <w:tcPr>
            <w:tcW w:w="1604" w:type="dxa"/>
          </w:tcPr>
          <w:p w14:paraId="20FF5DC3" w14:textId="0D6C0ACE"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85.9%</w:t>
            </w:r>
          </w:p>
        </w:tc>
      </w:tr>
      <w:tr w:rsidR="00BB489D" w:rsidRPr="00BB489D" w14:paraId="1F366BE4" w14:textId="77777777" w:rsidTr="00483E71">
        <w:tc>
          <w:tcPr>
            <w:cnfStyle w:val="001000000000" w:firstRow="0" w:lastRow="0" w:firstColumn="1" w:lastColumn="0" w:oddVBand="0" w:evenVBand="0" w:oddHBand="0" w:evenHBand="0" w:firstRowFirstColumn="0" w:firstRowLastColumn="0" w:lastRowFirstColumn="0" w:lastRowLastColumn="0"/>
            <w:tcW w:w="1671" w:type="dxa"/>
          </w:tcPr>
          <w:p w14:paraId="09E8A389" w14:textId="04E7288D" w:rsidR="00BC1BD1" w:rsidRPr="008B23BF" w:rsidRDefault="00BC1BD1" w:rsidP="008B23BF">
            <w:pPr>
              <w:pStyle w:val="TableofAuthorities"/>
            </w:pPr>
            <w:r w:rsidRPr="008B23BF">
              <w:t>Inner regional</w:t>
            </w:r>
          </w:p>
        </w:tc>
        <w:tc>
          <w:tcPr>
            <w:tcW w:w="1206" w:type="dxa"/>
          </w:tcPr>
          <w:p w14:paraId="3CD671CC" w14:textId="330B670A"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91.4%</w:t>
            </w:r>
          </w:p>
        </w:tc>
        <w:tc>
          <w:tcPr>
            <w:tcW w:w="1381" w:type="dxa"/>
          </w:tcPr>
          <w:p w14:paraId="09D86D57" w14:textId="577CBEDA"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91.1%</w:t>
            </w:r>
          </w:p>
        </w:tc>
        <w:tc>
          <w:tcPr>
            <w:tcW w:w="1604" w:type="dxa"/>
          </w:tcPr>
          <w:p w14:paraId="4EE747FE" w14:textId="67B29154"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89.8%</w:t>
            </w:r>
          </w:p>
        </w:tc>
        <w:tc>
          <w:tcPr>
            <w:tcW w:w="1604" w:type="dxa"/>
          </w:tcPr>
          <w:p w14:paraId="19C1CD9E" w14:textId="487E1F14"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88.4%</w:t>
            </w:r>
          </w:p>
        </w:tc>
        <w:tc>
          <w:tcPr>
            <w:tcW w:w="1604" w:type="dxa"/>
          </w:tcPr>
          <w:p w14:paraId="3AF9E0EB" w14:textId="297B1AC2"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87.3%</w:t>
            </w:r>
          </w:p>
        </w:tc>
      </w:tr>
      <w:tr w:rsidR="00BB489D" w:rsidRPr="00BB489D" w14:paraId="294A7B80" w14:textId="77777777" w:rsidTr="00483E71">
        <w:tc>
          <w:tcPr>
            <w:cnfStyle w:val="001000000000" w:firstRow="0" w:lastRow="0" w:firstColumn="1" w:lastColumn="0" w:oddVBand="0" w:evenVBand="0" w:oddHBand="0" w:evenHBand="0" w:firstRowFirstColumn="0" w:firstRowLastColumn="0" w:lastRowFirstColumn="0" w:lastRowLastColumn="0"/>
            <w:tcW w:w="1671" w:type="dxa"/>
          </w:tcPr>
          <w:p w14:paraId="05D5DF7A" w14:textId="72BE4BCE" w:rsidR="00BC1BD1" w:rsidRPr="008B23BF" w:rsidRDefault="00BC1BD1" w:rsidP="008B23BF">
            <w:pPr>
              <w:pStyle w:val="TableofAuthorities"/>
            </w:pPr>
            <w:r w:rsidRPr="008B23BF">
              <w:t>Outer regional</w:t>
            </w:r>
          </w:p>
        </w:tc>
        <w:tc>
          <w:tcPr>
            <w:tcW w:w="1206" w:type="dxa"/>
          </w:tcPr>
          <w:p w14:paraId="78EAF008" w14:textId="096F1B0B"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90.8%</w:t>
            </w:r>
          </w:p>
        </w:tc>
        <w:tc>
          <w:tcPr>
            <w:tcW w:w="1381" w:type="dxa"/>
          </w:tcPr>
          <w:p w14:paraId="68076342" w14:textId="066D3C8E"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90.0%</w:t>
            </w:r>
          </w:p>
        </w:tc>
        <w:tc>
          <w:tcPr>
            <w:tcW w:w="1604" w:type="dxa"/>
          </w:tcPr>
          <w:p w14:paraId="7E77BAA8" w14:textId="27B8D8F9"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87.2%</w:t>
            </w:r>
          </w:p>
        </w:tc>
        <w:tc>
          <w:tcPr>
            <w:tcW w:w="1604" w:type="dxa"/>
          </w:tcPr>
          <w:p w14:paraId="5240BD82" w14:textId="79688393"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86.9%</w:t>
            </w:r>
          </w:p>
        </w:tc>
        <w:tc>
          <w:tcPr>
            <w:tcW w:w="1604" w:type="dxa"/>
          </w:tcPr>
          <w:p w14:paraId="18B31572" w14:textId="398C844E"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86.6%</w:t>
            </w:r>
          </w:p>
        </w:tc>
      </w:tr>
      <w:tr w:rsidR="00BB489D" w:rsidRPr="00BB489D" w14:paraId="111ED5E9" w14:textId="77777777" w:rsidTr="00483E71">
        <w:tc>
          <w:tcPr>
            <w:cnfStyle w:val="001000000000" w:firstRow="0" w:lastRow="0" w:firstColumn="1" w:lastColumn="0" w:oddVBand="0" w:evenVBand="0" w:oddHBand="0" w:evenHBand="0" w:firstRowFirstColumn="0" w:firstRowLastColumn="0" w:lastRowFirstColumn="0" w:lastRowLastColumn="0"/>
            <w:tcW w:w="1671" w:type="dxa"/>
          </w:tcPr>
          <w:p w14:paraId="2970A31C" w14:textId="5EBC7F5F" w:rsidR="00BC1BD1" w:rsidRPr="008B23BF" w:rsidRDefault="00BC1BD1" w:rsidP="008B23BF">
            <w:pPr>
              <w:pStyle w:val="TableofAuthorities"/>
            </w:pPr>
            <w:r w:rsidRPr="008B23BF">
              <w:t>Remote</w:t>
            </w:r>
          </w:p>
        </w:tc>
        <w:tc>
          <w:tcPr>
            <w:tcW w:w="1206" w:type="dxa"/>
          </w:tcPr>
          <w:p w14:paraId="612E3932" w14:textId="006F53F4"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88.4%</w:t>
            </w:r>
          </w:p>
        </w:tc>
        <w:tc>
          <w:tcPr>
            <w:tcW w:w="1381" w:type="dxa"/>
          </w:tcPr>
          <w:p w14:paraId="45550CB4" w14:textId="49F47575"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87.6%</w:t>
            </w:r>
          </w:p>
        </w:tc>
        <w:tc>
          <w:tcPr>
            <w:tcW w:w="1604" w:type="dxa"/>
          </w:tcPr>
          <w:p w14:paraId="6AD5318D" w14:textId="424ADDBA"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84.4%</w:t>
            </w:r>
          </w:p>
        </w:tc>
        <w:tc>
          <w:tcPr>
            <w:tcW w:w="1604" w:type="dxa"/>
          </w:tcPr>
          <w:p w14:paraId="0FDAD819" w14:textId="4D28EDCE"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83.5%</w:t>
            </w:r>
          </w:p>
        </w:tc>
        <w:tc>
          <w:tcPr>
            <w:tcW w:w="1604" w:type="dxa"/>
          </w:tcPr>
          <w:p w14:paraId="59A103E2" w14:textId="3637CB62"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80.3%</w:t>
            </w:r>
          </w:p>
        </w:tc>
      </w:tr>
      <w:tr w:rsidR="00BB489D" w:rsidRPr="00BB489D" w14:paraId="1985582D" w14:textId="77777777" w:rsidTr="00483E71">
        <w:tc>
          <w:tcPr>
            <w:cnfStyle w:val="001000000000" w:firstRow="0" w:lastRow="0" w:firstColumn="1" w:lastColumn="0" w:oddVBand="0" w:evenVBand="0" w:oddHBand="0" w:evenHBand="0" w:firstRowFirstColumn="0" w:firstRowLastColumn="0" w:lastRowFirstColumn="0" w:lastRowLastColumn="0"/>
            <w:tcW w:w="1671" w:type="dxa"/>
          </w:tcPr>
          <w:p w14:paraId="67011931" w14:textId="15823663" w:rsidR="00BC1BD1" w:rsidRPr="008B23BF" w:rsidRDefault="00BC1BD1" w:rsidP="008B23BF">
            <w:pPr>
              <w:pStyle w:val="TableofAuthorities"/>
            </w:pPr>
            <w:r w:rsidRPr="008B23BF">
              <w:t>Very remote</w:t>
            </w:r>
          </w:p>
        </w:tc>
        <w:tc>
          <w:tcPr>
            <w:tcW w:w="1206" w:type="dxa"/>
          </w:tcPr>
          <w:p w14:paraId="30306CEE" w14:textId="3F6D27E4"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77.1%</w:t>
            </w:r>
          </w:p>
        </w:tc>
        <w:tc>
          <w:tcPr>
            <w:tcW w:w="1381" w:type="dxa"/>
          </w:tcPr>
          <w:p w14:paraId="4CCFB12A" w14:textId="59A02AF2"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71.9%</w:t>
            </w:r>
          </w:p>
        </w:tc>
        <w:tc>
          <w:tcPr>
            <w:tcW w:w="1604" w:type="dxa"/>
          </w:tcPr>
          <w:p w14:paraId="56CC75C4" w14:textId="709C6CF0"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72.6%</w:t>
            </w:r>
          </w:p>
        </w:tc>
        <w:tc>
          <w:tcPr>
            <w:tcW w:w="1604" w:type="dxa"/>
          </w:tcPr>
          <w:p w14:paraId="7CCED46A" w14:textId="3C0C2A06"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75.1%</w:t>
            </w:r>
          </w:p>
        </w:tc>
        <w:tc>
          <w:tcPr>
            <w:tcW w:w="1604" w:type="dxa"/>
          </w:tcPr>
          <w:p w14:paraId="25B7DC26" w14:textId="39B50551"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77.6%</w:t>
            </w:r>
          </w:p>
        </w:tc>
      </w:tr>
      <w:tr w:rsidR="00BB489D" w:rsidRPr="00BB489D" w14:paraId="3B973550" w14:textId="77777777" w:rsidTr="00483E71">
        <w:tc>
          <w:tcPr>
            <w:cnfStyle w:val="001000000000" w:firstRow="0" w:lastRow="0" w:firstColumn="1" w:lastColumn="0" w:oddVBand="0" w:evenVBand="0" w:oddHBand="0" w:evenHBand="0" w:firstRowFirstColumn="0" w:firstRowLastColumn="0" w:lastRowFirstColumn="0" w:lastRowLastColumn="0"/>
            <w:tcW w:w="1671" w:type="dxa"/>
          </w:tcPr>
          <w:p w14:paraId="2B947CEF" w14:textId="7099C5CC" w:rsidR="00BC1BD1" w:rsidRPr="008B23BF" w:rsidRDefault="00BC1BD1" w:rsidP="008B23BF">
            <w:pPr>
              <w:pStyle w:val="TableofAuthorities"/>
            </w:pPr>
            <w:r w:rsidRPr="008B23BF">
              <w:t>Australia</w:t>
            </w:r>
          </w:p>
        </w:tc>
        <w:tc>
          <w:tcPr>
            <w:tcW w:w="1206" w:type="dxa"/>
          </w:tcPr>
          <w:p w14:paraId="7A899458" w14:textId="564606FD"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90.3%</w:t>
            </w:r>
          </w:p>
        </w:tc>
        <w:tc>
          <w:tcPr>
            <w:tcW w:w="1381" w:type="dxa"/>
          </w:tcPr>
          <w:p w14:paraId="0B0CE4AA" w14:textId="5786F6B1"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89.4%</w:t>
            </w:r>
          </w:p>
        </w:tc>
        <w:tc>
          <w:tcPr>
            <w:tcW w:w="1604" w:type="dxa"/>
          </w:tcPr>
          <w:p w14:paraId="08AD086E" w14:textId="6FB2DBE2"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88.3%</w:t>
            </w:r>
          </w:p>
        </w:tc>
        <w:tc>
          <w:tcPr>
            <w:tcW w:w="1604" w:type="dxa"/>
          </w:tcPr>
          <w:p w14:paraId="7129200D" w14:textId="3BAA6968"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86.8%</w:t>
            </w:r>
          </w:p>
        </w:tc>
        <w:tc>
          <w:tcPr>
            <w:tcW w:w="1604" w:type="dxa"/>
          </w:tcPr>
          <w:p w14:paraId="51BF867C" w14:textId="139AA1D0" w:rsidR="00BC1BD1" w:rsidRPr="008B23BF" w:rsidRDefault="00BC1BD1"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86.2%</w:t>
            </w:r>
          </w:p>
        </w:tc>
      </w:tr>
    </w:tbl>
    <w:p w14:paraId="6F5BE2AE" w14:textId="77777777" w:rsidR="00E75D8A" w:rsidRPr="002A2E5B" w:rsidRDefault="00144C90" w:rsidP="002A2E5B">
      <w:pPr>
        <w:sectPr w:rsidR="00E75D8A" w:rsidRPr="002A2E5B" w:rsidSect="000D706A">
          <w:headerReference w:type="even" r:id="rId58"/>
          <w:headerReference w:type="default" r:id="rId59"/>
          <w:footerReference w:type="even" r:id="rId60"/>
          <w:footerReference w:type="default" r:id="rId61"/>
          <w:headerReference w:type="first" r:id="rId62"/>
          <w:pgSz w:w="11906" w:h="16838"/>
          <w:pgMar w:top="1701" w:right="1418" w:bottom="1418" w:left="1418" w:header="709" w:footer="709" w:gutter="0"/>
          <w:cols w:space="708"/>
          <w:docGrid w:linePitch="360"/>
        </w:sectPr>
      </w:pPr>
      <w:r w:rsidRPr="002A2E5B">
        <w:br w:type="page"/>
      </w:r>
    </w:p>
    <w:p w14:paraId="39BE0123" w14:textId="10B8997A" w:rsidR="00144C90" w:rsidRPr="008E2604" w:rsidRDefault="00E75D8A" w:rsidP="008E2604">
      <w:r w:rsidRPr="008E2604">
        <w:rPr>
          <w:noProof/>
        </w:rPr>
        <w:lastRenderedPageBreak/>
        <w:drawing>
          <wp:anchor distT="0" distB="0" distL="114300" distR="114300" simplePos="0" relativeHeight="251649024" behindDoc="0" locked="0" layoutInCell="1" allowOverlap="1" wp14:anchorId="110F50AF" wp14:editId="14E4A1BC">
            <wp:simplePos x="0" y="0"/>
            <wp:positionH relativeFrom="page">
              <wp:align>left</wp:align>
            </wp:positionH>
            <wp:positionV relativeFrom="paragraph">
              <wp:posOffset>-1108931</wp:posOffset>
            </wp:positionV>
            <wp:extent cx="7539135" cy="9712466"/>
            <wp:effectExtent l="0" t="0" r="5080" b="3175"/>
            <wp:wrapNone/>
            <wp:docPr id="26" name="Picture 26" descr="The infographic at the beginning of Chapter 3 titled residential care: financial performance, shows a summary of the financial performance in residential care for 2021-22.   Australian Government funding was $14.96 billion at 30 June 2022, a 2.75% increase from the previous year. The average EBITDA was negative $46 per resident per year, a decrease of 101 per cent from 2020-21. The NPBT result per resident per day was negative $32.97. There were 31 per cent profitable providers, a decrease of 15 percentage points from 2020-2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he infographic at the beginning of Chapter 3 titled residential care: financial performance, shows a summary of the financial performance in residential care for 2021-22.   Australian Government funding was $14.96 billion at 30 June 2022, a 2.75% increase from the previous year. The average EBITDA was negative $46 per resident per year, a decrease of 101 per cent from 2020-21. The NPBT result per resident per day was negative $32.97. There were 31 per cent profitable providers, a decrease of 15 percentage points from 2020-21. &#10;"/>
                    <pic:cNvPicPr/>
                  </pic:nvPicPr>
                  <pic:blipFill>
                    <a:blip r:embed="rId63">
                      <a:extLst>
                        <a:ext uri="{28A0092B-C50C-407E-A947-70E740481C1C}">
                          <a14:useLocalDpi xmlns:a14="http://schemas.microsoft.com/office/drawing/2010/main" val="0"/>
                        </a:ext>
                      </a:extLst>
                    </a:blip>
                    <a:stretch>
                      <a:fillRect/>
                    </a:stretch>
                  </pic:blipFill>
                  <pic:spPr>
                    <a:xfrm>
                      <a:off x="0" y="0"/>
                      <a:ext cx="7539135" cy="9712466"/>
                    </a:xfrm>
                    <a:prstGeom prst="rect">
                      <a:avLst/>
                    </a:prstGeom>
                  </pic:spPr>
                </pic:pic>
              </a:graphicData>
            </a:graphic>
            <wp14:sizeRelH relativeFrom="margin">
              <wp14:pctWidth>0</wp14:pctWidth>
            </wp14:sizeRelH>
            <wp14:sizeRelV relativeFrom="margin">
              <wp14:pctHeight>0</wp14:pctHeight>
            </wp14:sizeRelV>
          </wp:anchor>
        </w:drawing>
      </w:r>
    </w:p>
    <w:p w14:paraId="7CD8F9F6" w14:textId="591188C3" w:rsidR="00D14BC9" w:rsidRPr="008E2604" w:rsidRDefault="00D14BC9" w:rsidP="008E2604">
      <w:bookmarkStart w:id="204" w:name="_Toc139451076"/>
      <w:bookmarkStart w:id="205" w:name="_Toc139451332"/>
      <w:r w:rsidRPr="008E2604">
        <w:br w:type="page"/>
      </w:r>
    </w:p>
    <w:p w14:paraId="4985D716" w14:textId="22CF1157" w:rsidR="000A5C10" w:rsidRPr="001445A4" w:rsidRDefault="000A5C10" w:rsidP="008B23BF">
      <w:pPr>
        <w:pStyle w:val="Heading1"/>
      </w:pPr>
      <w:bookmarkStart w:id="206" w:name="_Toc149245319"/>
      <w:r>
        <w:lastRenderedPageBreak/>
        <w:t>Residential care</w:t>
      </w:r>
      <w:r w:rsidR="008E4C2E">
        <w:t xml:space="preserve">: </w:t>
      </w:r>
      <w:r w:rsidR="008E4C2E" w:rsidRPr="00F91F99">
        <w:t>financial performance</w:t>
      </w:r>
      <w:bookmarkEnd w:id="204"/>
      <w:bookmarkEnd w:id="205"/>
      <w:bookmarkEnd w:id="206"/>
    </w:p>
    <w:p w14:paraId="6331742F" w14:textId="7084F20C" w:rsidR="000B4693" w:rsidRDefault="00B15918" w:rsidP="008B23BF">
      <w:pPr>
        <w:pStyle w:val="Heading2"/>
      </w:pPr>
      <w:bookmarkStart w:id="207" w:name="_Toc149245320"/>
      <w:r>
        <w:t>Operational funding</w:t>
      </w:r>
      <w:bookmarkEnd w:id="207"/>
    </w:p>
    <w:p w14:paraId="29F81317" w14:textId="77777777" w:rsidR="009D2859" w:rsidRDefault="009D2859" w:rsidP="009D2859">
      <w:r>
        <w:t>Operational funding supports day-to-day services such</w:t>
      </w:r>
      <w:r>
        <w:rPr>
          <w:spacing w:val="-8"/>
        </w:rPr>
        <w:t xml:space="preserve"> </w:t>
      </w:r>
      <w:r>
        <w:t>as</w:t>
      </w:r>
      <w:r>
        <w:rPr>
          <w:spacing w:val="-8"/>
        </w:rPr>
        <w:t xml:space="preserve"> </w:t>
      </w:r>
      <w:r>
        <w:t>nursing</w:t>
      </w:r>
      <w:r>
        <w:rPr>
          <w:spacing w:val="-8"/>
        </w:rPr>
        <w:t xml:space="preserve"> </w:t>
      </w:r>
      <w:r>
        <w:t>and</w:t>
      </w:r>
      <w:r>
        <w:rPr>
          <w:spacing w:val="-8"/>
        </w:rPr>
        <w:t xml:space="preserve"> </w:t>
      </w:r>
      <w:r>
        <w:t>personal</w:t>
      </w:r>
      <w:r>
        <w:rPr>
          <w:spacing w:val="-8"/>
        </w:rPr>
        <w:t xml:space="preserve"> </w:t>
      </w:r>
      <w:r>
        <w:t>care,</w:t>
      </w:r>
      <w:r>
        <w:rPr>
          <w:spacing w:val="-8"/>
        </w:rPr>
        <w:t xml:space="preserve"> </w:t>
      </w:r>
      <w:r>
        <w:t>living</w:t>
      </w:r>
      <w:r>
        <w:rPr>
          <w:spacing w:val="-8"/>
        </w:rPr>
        <w:t xml:space="preserve"> </w:t>
      </w:r>
      <w:r>
        <w:t>expenses</w:t>
      </w:r>
      <w:r>
        <w:rPr>
          <w:spacing w:val="-8"/>
        </w:rPr>
        <w:t xml:space="preserve"> </w:t>
      </w:r>
      <w:r>
        <w:t>and accommodation expenses.</w:t>
      </w:r>
    </w:p>
    <w:p w14:paraId="1CA93BA7" w14:textId="2362240D" w:rsidR="00E233D1" w:rsidRDefault="00E233D1" w:rsidP="009D2859">
      <w:r>
        <w:t>A combination of Australian Government and resident</w:t>
      </w:r>
      <w:r>
        <w:rPr>
          <w:spacing w:val="-11"/>
        </w:rPr>
        <w:t xml:space="preserve"> </w:t>
      </w:r>
      <w:r>
        <w:t>contributions</w:t>
      </w:r>
      <w:r>
        <w:rPr>
          <w:spacing w:val="-11"/>
        </w:rPr>
        <w:t xml:space="preserve"> </w:t>
      </w:r>
      <w:r>
        <w:t>provides</w:t>
      </w:r>
      <w:r>
        <w:rPr>
          <w:spacing w:val="-11"/>
        </w:rPr>
        <w:t xml:space="preserve"> </w:t>
      </w:r>
      <w:r>
        <w:t>the</w:t>
      </w:r>
      <w:r>
        <w:rPr>
          <w:spacing w:val="-11"/>
        </w:rPr>
        <w:t xml:space="preserve"> </w:t>
      </w:r>
      <w:r>
        <w:t>operational</w:t>
      </w:r>
      <w:r>
        <w:rPr>
          <w:spacing w:val="-11"/>
        </w:rPr>
        <w:t xml:space="preserve"> </w:t>
      </w:r>
      <w:r>
        <w:t>funding for residential care.</w:t>
      </w:r>
    </w:p>
    <w:p w14:paraId="2D012EED" w14:textId="00B9C07D" w:rsidR="009D2859" w:rsidRDefault="006C5BE5" w:rsidP="009D2859">
      <w:r>
        <w:fldChar w:fldCharType="begin"/>
      </w:r>
      <w:r>
        <w:instrText xml:space="preserve"> REF _Ref140156144 \h </w:instrText>
      </w:r>
      <w:r>
        <w:fldChar w:fldCharType="separate"/>
      </w:r>
      <w:r w:rsidR="00294B02">
        <w:t xml:space="preserve">Figure </w:t>
      </w:r>
      <w:r w:rsidR="00294B02">
        <w:rPr>
          <w:noProof/>
        </w:rPr>
        <w:t>3</w:t>
      </w:r>
      <w:r w:rsidR="00294B02">
        <w:t>.</w:t>
      </w:r>
      <w:r w:rsidR="00294B02">
        <w:rPr>
          <w:noProof/>
        </w:rPr>
        <w:t>1</w:t>
      </w:r>
      <w:r>
        <w:fldChar w:fldCharType="end"/>
      </w:r>
      <w:r>
        <w:t xml:space="preserve"> </w:t>
      </w:r>
      <w:r w:rsidR="009D2859">
        <w:t xml:space="preserve">shows the different funding types from the Australian Government and residents for operational funding. </w:t>
      </w:r>
    </w:p>
    <w:p w14:paraId="685524EE" w14:textId="77777777" w:rsidR="00786CDF" w:rsidRDefault="009D2859" w:rsidP="009D2859">
      <w:r>
        <w:t>The Australian Government determines its contributions</w:t>
      </w:r>
      <w:r w:rsidRPr="00FD2090">
        <w:t xml:space="preserve"> </w:t>
      </w:r>
      <w:r>
        <w:t>on</w:t>
      </w:r>
      <w:r w:rsidRPr="00FD2090">
        <w:t xml:space="preserve"> </w:t>
      </w:r>
      <w:r>
        <w:t>behalf</w:t>
      </w:r>
      <w:r w:rsidRPr="00FD2090">
        <w:t xml:space="preserve"> </w:t>
      </w:r>
      <w:r>
        <w:t>of</w:t>
      </w:r>
      <w:r w:rsidRPr="00FD2090">
        <w:t xml:space="preserve"> </w:t>
      </w:r>
      <w:r>
        <w:t>permanent</w:t>
      </w:r>
      <w:r w:rsidRPr="00FD2090">
        <w:t xml:space="preserve"> </w:t>
      </w:r>
      <w:r>
        <w:t>residents</w:t>
      </w:r>
      <w:r w:rsidRPr="00FD2090">
        <w:t xml:space="preserve"> </w:t>
      </w:r>
      <w:r>
        <w:t>in residential care by setting</w:t>
      </w:r>
      <w:r w:rsidR="00860209">
        <w:t xml:space="preserve">: </w:t>
      </w:r>
    </w:p>
    <w:p w14:paraId="1809DB10" w14:textId="471AA8F4" w:rsidR="00C53D86" w:rsidRDefault="009D2859" w:rsidP="00FB50F3">
      <w:pPr>
        <w:pStyle w:val="ListBullet"/>
      </w:pPr>
      <w:r w:rsidRPr="00FD2090">
        <w:t>a basic care subsidy for personal and nursing care</w:t>
      </w:r>
      <w:r w:rsidR="00E568AA">
        <w:t>. I</w:t>
      </w:r>
      <w:r w:rsidR="00F83530">
        <w:t>n 2020-2021</w:t>
      </w:r>
      <w:r w:rsidR="006C2995">
        <w:t>,</w:t>
      </w:r>
      <w:r w:rsidR="00F83530">
        <w:t xml:space="preserve"> this subsidy was determined by the Aged Care Funding Instrument </w:t>
      </w:r>
      <w:r w:rsidR="00E568AA">
        <w:t>(</w:t>
      </w:r>
      <w:r w:rsidR="00F83530">
        <w:t>ACFI)</w:t>
      </w:r>
    </w:p>
    <w:p w14:paraId="781BB0F0" w14:textId="53513A8F" w:rsidR="00F045C7" w:rsidRDefault="009D2859" w:rsidP="00FB50F3">
      <w:pPr>
        <w:pStyle w:val="ListBullet"/>
      </w:pPr>
      <w:r w:rsidRPr="00FD2090">
        <w:t xml:space="preserve">the rates of supplements paid to support aspects of residential care that </w:t>
      </w:r>
      <w:r w:rsidR="008B4356">
        <w:t>have higher delivery costs</w:t>
      </w:r>
      <w:r w:rsidRPr="00FD2090">
        <w:t xml:space="preserve"> and</w:t>
      </w:r>
      <w:r w:rsidR="005E7DEA">
        <w:t xml:space="preserve"> </w:t>
      </w:r>
    </w:p>
    <w:p w14:paraId="0F58447D" w14:textId="3D5EC797" w:rsidR="009D2859" w:rsidRDefault="009D2859" w:rsidP="00FB50F3">
      <w:pPr>
        <w:pStyle w:val="ListBullet"/>
      </w:pPr>
      <w:r w:rsidRPr="00FD2090">
        <w:t>the maximum rate of accommodation supplement.</w:t>
      </w:r>
    </w:p>
    <w:p w14:paraId="2A112BBB" w14:textId="4ED45C69" w:rsidR="009D2859" w:rsidRDefault="0086128A" w:rsidP="009D2859">
      <w:r>
        <w:t>T</w:t>
      </w:r>
      <w:r w:rsidR="009D2859">
        <w:t>he</w:t>
      </w:r>
      <w:r w:rsidR="009D2859">
        <w:rPr>
          <w:spacing w:val="-11"/>
        </w:rPr>
        <w:t xml:space="preserve"> </w:t>
      </w:r>
      <w:r w:rsidR="009D2859">
        <w:t>Australian</w:t>
      </w:r>
      <w:r w:rsidR="009D2859">
        <w:rPr>
          <w:spacing w:val="-10"/>
        </w:rPr>
        <w:t xml:space="preserve"> </w:t>
      </w:r>
      <w:r w:rsidR="009D2859">
        <w:t>Government sets the basic respite care subsidy at two levels</w:t>
      </w:r>
      <w:r w:rsidR="005E7DEA">
        <w:t xml:space="preserve"> </w:t>
      </w:r>
      <w:r w:rsidR="009D2859">
        <w:t>(low</w:t>
      </w:r>
      <w:r w:rsidR="009D2859">
        <w:rPr>
          <w:spacing w:val="-10"/>
        </w:rPr>
        <w:t xml:space="preserve"> </w:t>
      </w:r>
      <w:r w:rsidR="009D2859">
        <w:t>or</w:t>
      </w:r>
      <w:r w:rsidR="009D2859">
        <w:rPr>
          <w:spacing w:val="-10"/>
        </w:rPr>
        <w:t xml:space="preserve"> </w:t>
      </w:r>
      <w:r w:rsidR="009D2859">
        <w:t>high)</w:t>
      </w:r>
      <w:r w:rsidR="009D2859">
        <w:rPr>
          <w:spacing w:val="-10"/>
        </w:rPr>
        <w:t xml:space="preserve"> </w:t>
      </w:r>
      <w:r w:rsidR="009D2859">
        <w:t>depending</w:t>
      </w:r>
      <w:r w:rsidR="009D2859">
        <w:rPr>
          <w:spacing w:val="-10"/>
        </w:rPr>
        <w:t xml:space="preserve"> </w:t>
      </w:r>
      <w:r w:rsidR="009D2859">
        <w:t>on</w:t>
      </w:r>
      <w:r w:rsidR="009D2859">
        <w:rPr>
          <w:spacing w:val="-10"/>
        </w:rPr>
        <w:t xml:space="preserve"> </w:t>
      </w:r>
      <w:r w:rsidR="009D2859">
        <w:t>the</w:t>
      </w:r>
      <w:r w:rsidR="009D2859">
        <w:rPr>
          <w:spacing w:val="-10"/>
        </w:rPr>
        <w:t xml:space="preserve"> </w:t>
      </w:r>
      <w:r w:rsidR="009D2859">
        <w:t>level</w:t>
      </w:r>
      <w:r w:rsidR="009D2859">
        <w:rPr>
          <w:spacing w:val="-10"/>
        </w:rPr>
        <w:t xml:space="preserve"> </w:t>
      </w:r>
      <w:r w:rsidR="009D2859">
        <w:t>of</w:t>
      </w:r>
      <w:r w:rsidR="009D2859">
        <w:rPr>
          <w:spacing w:val="-10"/>
        </w:rPr>
        <w:t xml:space="preserve"> </w:t>
      </w:r>
      <w:r w:rsidR="009D2859">
        <w:t>respite</w:t>
      </w:r>
      <w:r w:rsidR="009D2859">
        <w:rPr>
          <w:spacing w:val="-10"/>
        </w:rPr>
        <w:t xml:space="preserve"> </w:t>
      </w:r>
      <w:r w:rsidR="009D2859">
        <w:t xml:space="preserve">care the </w:t>
      </w:r>
      <w:r w:rsidR="00AE05B9">
        <w:t xml:space="preserve">resident </w:t>
      </w:r>
      <w:r w:rsidR="009D2859">
        <w:t>is approved for by the Aged Care</w:t>
      </w:r>
      <w:r w:rsidR="005E7DEA">
        <w:t xml:space="preserve"> </w:t>
      </w:r>
      <w:r w:rsidR="009D2859">
        <w:rPr>
          <w:spacing w:val="-2"/>
        </w:rPr>
        <w:t>Assessment</w:t>
      </w:r>
      <w:r w:rsidR="009D2859">
        <w:rPr>
          <w:spacing w:val="-4"/>
        </w:rPr>
        <w:t xml:space="preserve"> </w:t>
      </w:r>
      <w:r w:rsidR="009D2859">
        <w:rPr>
          <w:spacing w:val="-2"/>
        </w:rPr>
        <w:t>Team</w:t>
      </w:r>
      <w:r w:rsidR="009D2859">
        <w:rPr>
          <w:spacing w:val="-4"/>
        </w:rPr>
        <w:t xml:space="preserve"> </w:t>
      </w:r>
      <w:r w:rsidR="009D2859">
        <w:rPr>
          <w:spacing w:val="-2"/>
        </w:rPr>
        <w:t>(ACAT).</w:t>
      </w:r>
      <w:r w:rsidR="009D2859">
        <w:rPr>
          <w:spacing w:val="-4"/>
        </w:rPr>
        <w:t xml:space="preserve"> </w:t>
      </w:r>
      <w:r w:rsidR="009D2859">
        <w:rPr>
          <w:spacing w:val="-2"/>
        </w:rPr>
        <w:t>The</w:t>
      </w:r>
      <w:r w:rsidR="009D2859">
        <w:rPr>
          <w:spacing w:val="-4"/>
        </w:rPr>
        <w:t xml:space="preserve"> </w:t>
      </w:r>
      <w:r w:rsidR="009D2859">
        <w:rPr>
          <w:spacing w:val="-2"/>
        </w:rPr>
        <w:t>Australian</w:t>
      </w:r>
      <w:r w:rsidR="009D2859">
        <w:rPr>
          <w:spacing w:val="-4"/>
        </w:rPr>
        <w:t xml:space="preserve"> </w:t>
      </w:r>
      <w:r w:rsidR="009D2859">
        <w:rPr>
          <w:spacing w:val="-2"/>
        </w:rPr>
        <w:t xml:space="preserve">Government </w:t>
      </w:r>
      <w:r w:rsidR="009D2859">
        <w:t>also sets the maximum levels for contributions made by residents for the following:</w:t>
      </w:r>
    </w:p>
    <w:p w14:paraId="6FC774CE" w14:textId="77777777" w:rsidR="009D2859" w:rsidRDefault="009D2859" w:rsidP="00FB50F3">
      <w:pPr>
        <w:pStyle w:val="ListBullet"/>
      </w:pPr>
      <w:r w:rsidRPr="005E7DEA">
        <w:t>the maximum rate of the basic daily fee for living expenses (permanent and respite) and</w:t>
      </w:r>
    </w:p>
    <w:p w14:paraId="51D8F4CD" w14:textId="77777777" w:rsidR="009D2859" w:rsidRDefault="009D2859" w:rsidP="00FB50F3">
      <w:pPr>
        <w:pStyle w:val="ListBullet"/>
      </w:pPr>
      <w:r w:rsidRPr="005E7DEA">
        <w:t>the maximum means tested care fee that may be charged by providers (permanent only).</w:t>
      </w:r>
    </w:p>
    <w:p w14:paraId="7F23B77E" w14:textId="77777777" w:rsidR="00C26EA5" w:rsidRDefault="00C26EA5" w:rsidP="006C4A4E">
      <w:pPr>
        <w:sectPr w:rsidR="00C26EA5" w:rsidSect="00E75D8A">
          <w:footerReference w:type="even" r:id="rId64"/>
          <w:footerReference w:type="default" r:id="rId65"/>
          <w:type w:val="continuous"/>
          <w:pgSz w:w="11906" w:h="16838"/>
          <w:pgMar w:top="1701" w:right="1418" w:bottom="1418" w:left="1418" w:header="709" w:footer="709" w:gutter="0"/>
          <w:cols w:space="708"/>
          <w:docGrid w:linePitch="360"/>
        </w:sectPr>
      </w:pPr>
    </w:p>
    <w:p w14:paraId="5443CFF7" w14:textId="67E52E9D" w:rsidR="004C1945" w:rsidRPr="004C1945" w:rsidRDefault="006C5BE5" w:rsidP="006C5BE5">
      <w:pPr>
        <w:pStyle w:val="Caption"/>
      </w:pPr>
      <w:bookmarkStart w:id="208" w:name="_Ref140156144"/>
      <w:bookmarkStart w:id="209" w:name="_Toc141271701"/>
      <w:r>
        <w:lastRenderedPageBreak/>
        <w:t xml:space="preserve">Figure </w:t>
      </w:r>
      <w:r>
        <w:fldChar w:fldCharType="begin"/>
      </w:r>
      <w:r>
        <w:instrText>STYLEREF 1 \s</w:instrText>
      </w:r>
      <w:r>
        <w:fldChar w:fldCharType="separate"/>
      </w:r>
      <w:r w:rsidR="00294B02">
        <w:rPr>
          <w:noProof/>
        </w:rPr>
        <w:t>3</w:t>
      </w:r>
      <w:r>
        <w:fldChar w:fldCharType="end"/>
      </w:r>
      <w:r>
        <w:t>.</w:t>
      </w:r>
      <w:r>
        <w:fldChar w:fldCharType="begin"/>
      </w:r>
      <w:r>
        <w:instrText>SEQ Figure \* ARABIC \s 1</w:instrText>
      </w:r>
      <w:r>
        <w:fldChar w:fldCharType="separate"/>
      </w:r>
      <w:r w:rsidR="00294B02">
        <w:rPr>
          <w:noProof/>
        </w:rPr>
        <w:t>1</w:t>
      </w:r>
      <w:r>
        <w:fldChar w:fldCharType="end"/>
      </w:r>
      <w:bookmarkEnd w:id="208"/>
      <w:r>
        <w:t>: Residential care services</w:t>
      </w:r>
      <w:bookmarkEnd w:id="209"/>
    </w:p>
    <w:p w14:paraId="6AE11C66" w14:textId="03E307A5" w:rsidR="00247151" w:rsidRDefault="00247151" w:rsidP="00DE3520">
      <w:pPr>
        <w:jc w:val="center"/>
      </w:pPr>
      <w:r>
        <w:rPr>
          <w:noProof/>
        </w:rPr>
        <w:drawing>
          <wp:inline distT="0" distB="0" distL="0" distR="0" wp14:anchorId="1B6E03F5" wp14:editId="4AB0F1F6">
            <wp:extent cx="5759450" cy="2015490"/>
            <wp:effectExtent l="0" t="0" r="0" b="3810"/>
            <wp:docPr id="1549309994" name="Picture 1549309994" descr="Figure 3.1 is titled Residential care services. The figure shows the different funding types from the Australian Government and residents for operational fun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09994" name="Picture 1549309994" descr="Figure 3.1 is titled Residential care services. The figure shows the different funding types from the Australian Government and residents for operational funding.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9450" cy="2015490"/>
                    </a:xfrm>
                    <a:prstGeom prst="rect">
                      <a:avLst/>
                    </a:prstGeom>
                    <a:noFill/>
                    <a:ln>
                      <a:noFill/>
                    </a:ln>
                  </pic:spPr>
                </pic:pic>
              </a:graphicData>
            </a:graphic>
          </wp:inline>
        </w:drawing>
      </w:r>
    </w:p>
    <w:p w14:paraId="1ABD5FB9" w14:textId="258FC8B3" w:rsidR="006C4A4E" w:rsidRPr="003C3425" w:rsidRDefault="00820A67" w:rsidP="006C4A4E">
      <w:r>
        <w:fldChar w:fldCharType="begin"/>
      </w:r>
      <w:r>
        <w:instrText xml:space="preserve"> REF _Ref139550057 \h </w:instrText>
      </w:r>
      <w:r>
        <w:fldChar w:fldCharType="separate"/>
      </w:r>
      <w:r w:rsidR="00294B02">
        <w:t xml:space="preserve">Chart </w:t>
      </w:r>
      <w:r w:rsidR="00294B02">
        <w:rPr>
          <w:noProof/>
        </w:rPr>
        <w:t>3</w:t>
      </w:r>
      <w:r w:rsidR="00294B02">
        <w:t>.</w:t>
      </w:r>
      <w:r w:rsidR="00294B02">
        <w:rPr>
          <w:noProof/>
        </w:rPr>
        <w:t>1</w:t>
      </w:r>
      <w:r>
        <w:fldChar w:fldCharType="end"/>
      </w:r>
      <w:r w:rsidR="004B39CC">
        <w:t xml:space="preserve"> </w:t>
      </w:r>
      <w:r w:rsidR="006C4A4E" w:rsidRPr="00092287">
        <w:t>shows the proportion of revenue that residential care</w:t>
      </w:r>
      <w:r w:rsidR="006C4A4E" w:rsidRPr="003C3425">
        <w:t xml:space="preserve"> providers received from the Australian Government in 2021</w:t>
      </w:r>
      <w:r w:rsidR="00283239" w:rsidRPr="003C3425">
        <w:t>-22</w:t>
      </w:r>
      <w:r w:rsidR="006C4A4E" w:rsidRPr="003C3425">
        <w:t>. Basic</w:t>
      </w:r>
      <w:r w:rsidR="00283239" w:rsidRPr="003C3425">
        <w:t xml:space="preserve"> care</w:t>
      </w:r>
      <w:r w:rsidR="006C4A4E" w:rsidRPr="003C3425">
        <w:t xml:space="preserve"> subsidies (ACFI) comprised by far the greatest share at </w:t>
      </w:r>
      <w:r w:rsidR="00D9300C" w:rsidRPr="003C3425">
        <w:t>79.4</w:t>
      </w:r>
      <w:r w:rsidR="006C4A4E" w:rsidRPr="003C3425">
        <w:t xml:space="preserve"> per </w:t>
      </w:r>
      <w:r w:rsidR="7B48E294" w:rsidRPr="003C3425">
        <w:t>cen</w:t>
      </w:r>
      <w:r w:rsidR="69E41819" w:rsidRPr="003C3425">
        <w:t>t.</w:t>
      </w:r>
    </w:p>
    <w:p w14:paraId="6E0E0F13" w14:textId="437BBD12" w:rsidR="006C4A4E" w:rsidRDefault="006C4A4E" w:rsidP="006C4A4E">
      <w:r w:rsidRPr="003C3425">
        <w:t xml:space="preserve">Accommodation </w:t>
      </w:r>
      <w:r w:rsidRPr="004264AD">
        <w:t>supplements</w:t>
      </w:r>
      <w:r w:rsidRPr="003C3425">
        <w:t xml:space="preserve"> </w:t>
      </w:r>
      <w:r w:rsidRPr="004264AD">
        <w:t>were</w:t>
      </w:r>
      <w:r w:rsidRPr="003C3425">
        <w:t xml:space="preserve"> the second largest </w:t>
      </w:r>
      <w:r w:rsidR="00EF55BB" w:rsidRPr="003C3425">
        <w:t>pro</w:t>
      </w:r>
      <w:r w:rsidRPr="003C3425">
        <w:t>portion (</w:t>
      </w:r>
      <w:r w:rsidR="00AD1DC7">
        <w:t>8.8</w:t>
      </w:r>
      <w:r w:rsidR="00AD1DC7" w:rsidRPr="003C3425">
        <w:t xml:space="preserve"> </w:t>
      </w:r>
      <w:r w:rsidRPr="003C3425">
        <w:t>per cent).</w:t>
      </w:r>
    </w:p>
    <w:p w14:paraId="678BF039" w14:textId="0862D592" w:rsidR="00017515" w:rsidRDefault="00820A67" w:rsidP="008804A2">
      <w:pPr>
        <w:pStyle w:val="Caption"/>
      </w:pPr>
      <w:bookmarkStart w:id="210" w:name="_Ref139550057"/>
      <w:bookmarkStart w:id="211" w:name="_Toc149245220"/>
      <w:r>
        <w:t xml:space="preserve">Chart </w:t>
      </w:r>
      <w:r>
        <w:fldChar w:fldCharType="begin"/>
      </w:r>
      <w:r>
        <w:instrText>STYLEREF 1 \s</w:instrText>
      </w:r>
      <w:r>
        <w:fldChar w:fldCharType="separate"/>
      </w:r>
      <w:r w:rsidR="00294B02">
        <w:rPr>
          <w:noProof/>
        </w:rPr>
        <w:t>3</w:t>
      </w:r>
      <w:r>
        <w:fldChar w:fldCharType="end"/>
      </w:r>
      <w:r w:rsidR="00434A28">
        <w:t>.</w:t>
      </w:r>
      <w:r>
        <w:fldChar w:fldCharType="begin"/>
      </w:r>
      <w:r>
        <w:instrText>SEQ Chart \* ARABIC \s 1</w:instrText>
      </w:r>
      <w:r>
        <w:fldChar w:fldCharType="separate"/>
      </w:r>
      <w:r w:rsidR="00294B02">
        <w:rPr>
          <w:noProof/>
        </w:rPr>
        <w:t>1</w:t>
      </w:r>
      <w:r>
        <w:fldChar w:fldCharType="end"/>
      </w:r>
      <w:bookmarkEnd w:id="210"/>
      <w:r>
        <w:t xml:space="preserve">: </w:t>
      </w:r>
      <w:r w:rsidRPr="00672E8D">
        <w:t>Proportions of provider revenue from the Australian Government, 2021-22 ($m)</w:t>
      </w:r>
      <w:bookmarkEnd w:id="211"/>
    </w:p>
    <w:p w14:paraId="47546D93" w14:textId="65796AFA" w:rsidR="003F6435" w:rsidRPr="008B23BF" w:rsidRDefault="008804A2" w:rsidP="00F67D7F">
      <w:r>
        <w:rPr>
          <w:noProof/>
        </w:rPr>
        <w:drawing>
          <wp:inline distT="0" distB="0" distL="0" distR="0" wp14:anchorId="7E09D308" wp14:editId="551DF8EA">
            <wp:extent cx="5759450" cy="3335655"/>
            <wp:effectExtent l="0" t="0" r="0" b="0"/>
            <wp:docPr id="59" name="Chart 59" descr="Chart 3.1 is a doughnut chart titled Proportions of provider revenue from the Australian Government, 2021-22 ($m). Basic subsidies (ACFI) comprised the greatest portion at 79.4 per cent. Accommodation supplements is the second largest portion at 8.8 per cent. ">
              <a:extLst xmlns:a="http://schemas.openxmlformats.org/drawingml/2006/main">
                <a:ext uri="{FF2B5EF4-FFF2-40B4-BE49-F238E27FC236}">
                  <a16:creationId xmlns:a16="http://schemas.microsoft.com/office/drawing/2014/main" id="{B2FA582B-A6D4-445D-A329-DB8E15D6BD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0330C55" w14:textId="2DF65C35" w:rsidR="00294B02" w:rsidRPr="008B23BF" w:rsidRDefault="00DE2FA6" w:rsidP="008B23BF">
      <w:pPr>
        <w:pStyle w:val="FootnoteText"/>
      </w:pPr>
      <w:r w:rsidRPr="00C523B9">
        <w:t>Note:</w:t>
      </w:r>
      <w:r w:rsidR="00290D50" w:rsidRPr="00C523B9">
        <w:t xml:space="preserve"> Percentages do not add up to total</w:t>
      </w:r>
      <w:r w:rsidR="00C7763F" w:rsidRPr="00C523B9">
        <w:t xml:space="preserve"> due to rounding</w:t>
      </w:r>
      <w:r w:rsidR="00B662EC">
        <w:fldChar w:fldCharType="begin"/>
      </w:r>
      <w:r w:rsidR="00B662EC">
        <w:instrText xml:space="preserve"> REF _Ref139550096 \h </w:instrText>
      </w:r>
      <w:r w:rsidR="00B662EC">
        <w:fldChar w:fldCharType="separate"/>
      </w:r>
    </w:p>
    <w:p w14:paraId="63DCA2B0" w14:textId="59C5643E" w:rsidR="000B0E24" w:rsidRDefault="00294B02" w:rsidP="00523F4F">
      <w:pPr>
        <w:rPr>
          <w:b/>
          <w:bCs/>
          <w:szCs w:val="18"/>
        </w:rPr>
      </w:pPr>
      <w:r>
        <w:t xml:space="preserve">Chart </w:t>
      </w:r>
      <w:r>
        <w:rPr>
          <w:noProof/>
        </w:rPr>
        <w:t>3</w:t>
      </w:r>
      <w:r>
        <w:t>.</w:t>
      </w:r>
      <w:r>
        <w:rPr>
          <w:noProof/>
        </w:rPr>
        <w:t>2</w:t>
      </w:r>
      <w:r w:rsidR="00B662EC">
        <w:fldChar w:fldCharType="end"/>
      </w:r>
      <w:r w:rsidR="00B44A01">
        <w:t xml:space="preserve"> shows</w:t>
      </w:r>
      <w:r w:rsidR="00B44A01">
        <w:rPr>
          <w:spacing w:val="-11"/>
        </w:rPr>
        <w:t xml:space="preserve"> </w:t>
      </w:r>
      <w:r w:rsidR="00B44A01">
        <w:t>total</w:t>
      </w:r>
      <w:r w:rsidR="00B44A01">
        <w:rPr>
          <w:spacing w:val="-11"/>
        </w:rPr>
        <w:t xml:space="preserve"> </w:t>
      </w:r>
      <w:r w:rsidR="00B44A01">
        <w:t>Australian</w:t>
      </w:r>
      <w:r w:rsidR="00B44A01">
        <w:rPr>
          <w:spacing w:val="-11"/>
        </w:rPr>
        <w:t xml:space="preserve"> </w:t>
      </w:r>
      <w:r w:rsidR="00B44A01">
        <w:t>Government</w:t>
      </w:r>
      <w:r w:rsidR="00B44A01">
        <w:rPr>
          <w:spacing w:val="-11"/>
        </w:rPr>
        <w:t xml:space="preserve"> </w:t>
      </w:r>
      <w:r w:rsidR="00B44A01">
        <w:t>payments</w:t>
      </w:r>
      <w:r w:rsidR="00B44A01">
        <w:rPr>
          <w:spacing w:val="-11"/>
        </w:rPr>
        <w:t xml:space="preserve"> </w:t>
      </w:r>
      <w:r w:rsidR="00B44A01">
        <w:t>for</w:t>
      </w:r>
      <w:r w:rsidR="00B44A01">
        <w:rPr>
          <w:spacing w:val="-11"/>
        </w:rPr>
        <w:t xml:space="preserve"> </w:t>
      </w:r>
      <w:r w:rsidR="00B44A01">
        <w:t>residential</w:t>
      </w:r>
      <w:r w:rsidR="00B44A01">
        <w:rPr>
          <w:spacing w:val="-10"/>
        </w:rPr>
        <w:t xml:space="preserve"> </w:t>
      </w:r>
      <w:r w:rsidR="00B44A01">
        <w:t>respite</w:t>
      </w:r>
      <w:r w:rsidR="00B44A01">
        <w:rPr>
          <w:spacing w:val="-11"/>
        </w:rPr>
        <w:t xml:space="preserve"> </w:t>
      </w:r>
      <w:r w:rsidR="00B44A01">
        <w:t>care</w:t>
      </w:r>
      <w:r w:rsidR="00B44A01">
        <w:rPr>
          <w:spacing w:val="-10"/>
        </w:rPr>
        <w:t xml:space="preserve"> </w:t>
      </w:r>
      <w:r w:rsidR="00B44A01">
        <w:t>since</w:t>
      </w:r>
      <w:r w:rsidR="00B44A01">
        <w:rPr>
          <w:spacing w:val="-11"/>
        </w:rPr>
        <w:t xml:space="preserve"> </w:t>
      </w:r>
      <w:r w:rsidR="00B44A01">
        <w:t>2017-18.</w:t>
      </w:r>
      <w:r w:rsidR="00B44A01">
        <w:rPr>
          <w:spacing w:val="-10"/>
        </w:rPr>
        <w:t xml:space="preserve"> </w:t>
      </w:r>
      <w:r w:rsidR="00B44A01">
        <w:t>Payments increased to $509.2 million in 2021-22, up from $458.0 million in 2020-21.</w:t>
      </w:r>
      <w:bookmarkStart w:id="212" w:name="_Ref139550096"/>
    </w:p>
    <w:p w14:paraId="53381970" w14:textId="284078AC" w:rsidR="00B662EC" w:rsidRPr="000B5F2F" w:rsidRDefault="00B662EC" w:rsidP="00B662EC">
      <w:pPr>
        <w:pStyle w:val="Caption"/>
        <w:rPr>
          <w:color w:val="FF0000"/>
        </w:rPr>
      </w:pPr>
      <w:bookmarkStart w:id="213" w:name="_Toc149245221"/>
      <w:r>
        <w:lastRenderedPageBreak/>
        <w:t xml:space="preserve">Chart </w:t>
      </w:r>
      <w:r>
        <w:fldChar w:fldCharType="begin"/>
      </w:r>
      <w:r>
        <w:instrText>STYLEREF 1 \s</w:instrText>
      </w:r>
      <w:r>
        <w:fldChar w:fldCharType="separate"/>
      </w:r>
      <w:r w:rsidR="00294B02">
        <w:rPr>
          <w:noProof/>
        </w:rPr>
        <w:t>3</w:t>
      </w:r>
      <w:r>
        <w:fldChar w:fldCharType="end"/>
      </w:r>
      <w:r w:rsidR="00434A28">
        <w:t>.</w:t>
      </w:r>
      <w:r>
        <w:fldChar w:fldCharType="begin"/>
      </w:r>
      <w:r>
        <w:instrText>SEQ Chart \* ARABIC \s 1</w:instrText>
      </w:r>
      <w:r>
        <w:fldChar w:fldCharType="separate"/>
      </w:r>
      <w:r w:rsidR="00294B02">
        <w:rPr>
          <w:noProof/>
        </w:rPr>
        <w:t>2</w:t>
      </w:r>
      <w:r>
        <w:fldChar w:fldCharType="end"/>
      </w:r>
      <w:bookmarkEnd w:id="212"/>
      <w:r>
        <w:t xml:space="preserve">: </w:t>
      </w:r>
      <w:r w:rsidRPr="003445F1">
        <w:t>Total residential respite care expenditure, 2017-18 to 2021-22 ($m)</w:t>
      </w:r>
      <w:bookmarkEnd w:id="213"/>
    </w:p>
    <w:p w14:paraId="24BD05CA" w14:textId="5117E329" w:rsidR="00267797" w:rsidRDefault="00B42023" w:rsidP="00F67D7F">
      <w:pPr>
        <w:rPr>
          <w:color w:val="FF0000"/>
        </w:rPr>
      </w:pPr>
      <w:r>
        <w:rPr>
          <w:noProof/>
        </w:rPr>
        <w:drawing>
          <wp:inline distT="0" distB="0" distL="0" distR="0" wp14:anchorId="1C727C68" wp14:editId="318EF4BB">
            <wp:extent cx="5577840" cy="2987040"/>
            <wp:effectExtent l="0" t="0" r="3810" b="3810"/>
            <wp:docPr id="60" name="Chart 60" descr="Chart 3.2 is a column chart titled Total residential respite care expenditure, 2017-18 to 2021-22 ($m). Expenditure increased to $509.2 million in 2021-22, up from $458 million in 2020-21. ">
              <a:extLst xmlns:a="http://schemas.openxmlformats.org/drawingml/2006/main">
                <a:ext uri="{FF2B5EF4-FFF2-40B4-BE49-F238E27FC236}">
                  <a16:creationId xmlns:a16="http://schemas.microsoft.com/office/drawing/2014/main" id="{D1489A75-3AD0-43AB-AFBD-37DB117675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F5A17B5" w14:textId="482B2740" w:rsidR="00442E97" w:rsidRPr="00523733" w:rsidRDefault="00442E97" w:rsidP="008A35F3">
      <w:pPr>
        <w:pStyle w:val="Heading2"/>
      </w:pPr>
      <w:bookmarkStart w:id="214" w:name="_Toc149245321"/>
      <w:r w:rsidRPr="00523733">
        <w:t>Financial summary</w:t>
      </w:r>
      <w:bookmarkEnd w:id="214"/>
    </w:p>
    <w:p w14:paraId="08809097" w14:textId="5EB1D294" w:rsidR="008D3230" w:rsidRDefault="00B662EC" w:rsidP="008D3230">
      <w:r>
        <w:fldChar w:fldCharType="begin"/>
      </w:r>
      <w:r>
        <w:instrText xml:space="preserve"> REF _Ref139550135 \h </w:instrText>
      </w:r>
      <w:r>
        <w:fldChar w:fldCharType="separate"/>
      </w:r>
      <w:r w:rsidR="00294B02">
        <w:t xml:space="preserve">Table </w:t>
      </w:r>
      <w:r w:rsidR="00294B02">
        <w:rPr>
          <w:noProof/>
        </w:rPr>
        <w:t>3</w:t>
      </w:r>
      <w:r w:rsidR="00294B02">
        <w:t>.</w:t>
      </w:r>
      <w:r w:rsidR="00294B02">
        <w:rPr>
          <w:noProof/>
        </w:rPr>
        <w:t>1</w:t>
      </w:r>
      <w:r>
        <w:fldChar w:fldCharType="end"/>
      </w:r>
      <w:r w:rsidR="008D3230" w:rsidRPr="008D3230">
        <w:t xml:space="preserve"> provides a summary of the overall financial performance of residential care providers</w:t>
      </w:r>
      <w:r w:rsidR="008D3230">
        <w:t xml:space="preserve"> </w:t>
      </w:r>
      <w:r w:rsidR="008D3230" w:rsidRPr="008D3230">
        <w:t xml:space="preserve">since </w:t>
      </w:r>
      <w:r w:rsidR="008D3230" w:rsidRPr="0075500C">
        <w:t>20</w:t>
      </w:r>
      <w:r w:rsidR="00666207" w:rsidRPr="0075500C">
        <w:t>17-18</w:t>
      </w:r>
      <w:r w:rsidR="008D3230" w:rsidRPr="008D3230">
        <w:t>.</w:t>
      </w:r>
      <w:r w:rsidR="00610640">
        <w:t xml:space="preserve"> </w:t>
      </w:r>
      <w:r w:rsidR="00610640">
        <w:fldChar w:fldCharType="begin"/>
      </w:r>
      <w:r w:rsidR="00610640">
        <w:instrText xml:space="preserve"> REF _Ref139550135 \h </w:instrText>
      </w:r>
      <w:r w:rsidR="00610640">
        <w:fldChar w:fldCharType="separate"/>
      </w:r>
      <w:r w:rsidR="00294B02">
        <w:t xml:space="preserve">Table </w:t>
      </w:r>
      <w:r w:rsidR="00294B02">
        <w:rPr>
          <w:noProof/>
        </w:rPr>
        <w:t>3</w:t>
      </w:r>
      <w:r w:rsidR="00294B02">
        <w:t>.</w:t>
      </w:r>
      <w:r w:rsidR="00294B02">
        <w:rPr>
          <w:noProof/>
        </w:rPr>
        <w:t>1</w:t>
      </w:r>
      <w:r w:rsidR="00610640">
        <w:fldChar w:fldCharType="end"/>
      </w:r>
      <w:r w:rsidR="00610640">
        <w:t xml:space="preserve"> shows that</w:t>
      </w:r>
      <w:r w:rsidR="008D3230" w:rsidRPr="008D3230" w:rsidDel="00610640">
        <w:t xml:space="preserve"> </w:t>
      </w:r>
      <w:r w:rsidR="00610640">
        <w:t>t</w:t>
      </w:r>
      <w:r w:rsidR="008D3230" w:rsidRPr="008D3230">
        <w:t>he overall profit of the sector has been declining since 20</w:t>
      </w:r>
      <w:r w:rsidR="00EB3F33">
        <w:t>17-18</w:t>
      </w:r>
      <w:r w:rsidR="008D3230" w:rsidRPr="008D3230">
        <w:t xml:space="preserve"> and was negative $736 million in 2019–2</w:t>
      </w:r>
      <w:r w:rsidR="00C21B54">
        <w:t xml:space="preserve">0 </w:t>
      </w:r>
      <w:r w:rsidR="00382023">
        <w:t>and</w:t>
      </w:r>
      <w:r w:rsidR="00C21B54">
        <w:t xml:space="preserve"> </w:t>
      </w:r>
      <w:r w:rsidR="008D3230" w:rsidRPr="008D3230">
        <w:t>negative $854 million in</w:t>
      </w:r>
      <w:r w:rsidR="00610640">
        <w:t xml:space="preserve"> </w:t>
      </w:r>
      <w:r w:rsidR="008D3230" w:rsidRPr="008D3230">
        <w:t>2020–21</w:t>
      </w:r>
      <w:r w:rsidR="00382023">
        <w:t>. In 2021-22, t</w:t>
      </w:r>
      <w:r w:rsidR="00891685">
        <w:t>his</w:t>
      </w:r>
      <w:r w:rsidR="008D3230" w:rsidRPr="008D3230">
        <w:t xml:space="preserve"> dropp</w:t>
      </w:r>
      <w:r w:rsidR="00891685">
        <w:t>ed</w:t>
      </w:r>
      <w:r w:rsidR="008D3230" w:rsidRPr="008D3230">
        <w:t xml:space="preserve"> below zero for the </w:t>
      </w:r>
      <w:r w:rsidR="000C4FE4">
        <w:t>third</w:t>
      </w:r>
      <w:r w:rsidR="008D3230" w:rsidRPr="008D3230">
        <w:t xml:space="preserve"> consecutive year</w:t>
      </w:r>
      <w:r w:rsidR="000C4FE4">
        <w:t xml:space="preserve"> and </w:t>
      </w:r>
      <w:r w:rsidR="00515986">
        <w:t>the loss more than doubled,</w:t>
      </w:r>
      <w:r w:rsidR="000A7EE9">
        <w:t xml:space="preserve"> </w:t>
      </w:r>
      <w:r w:rsidR="00EA6743">
        <w:t>to</w:t>
      </w:r>
      <w:r w:rsidR="00C21B54">
        <w:t xml:space="preserve"> </w:t>
      </w:r>
      <w:r w:rsidR="000A7EE9">
        <w:t>$2,264 million</w:t>
      </w:r>
      <w:r w:rsidR="00C21B54">
        <w:t>.</w:t>
      </w:r>
    </w:p>
    <w:p w14:paraId="2A2872F9" w14:textId="72AE1A37" w:rsidR="006C2C33" w:rsidRDefault="006C2C33" w:rsidP="008D3230">
      <w:r>
        <w:t xml:space="preserve">The decrease in </w:t>
      </w:r>
      <w:r w:rsidR="00151C28">
        <w:t xml:space="preserve">net profit before tax </w:t>
      </w:r>
      <w:r w:rsidR="00DA601F">
        <w:t xml:space="preserve">(NPBT) </w:t>
      </w:r>
      <w:r w:rsidR="00151C28">
        <w:t xml:space="preserve">and </w:t>
      </w:r>
      <w:r w:rsidR="00465554">
        <w:t xml:space="preserve">earnings before interest, tax, </w:t>
      </w:r>
      <w:proofErr w:type="gramStart"/>
      <w:r w:rsidR="00CF6EB2">
        <w:t>depreciation</w:t>
      </w:r>
      <w:proofErr w:type="gramEnd"/>
      <w:r w:rsidR="00CF6EB2">
        <w:t xml:space="preserve"> and amortisation</w:t>
      </w:r>
      <w:r w:rsidR="00151C28">
        <w:t xml:space="preserve"> </w:t>
      </w:r>
      <w:r w:rsidR="00CF6EB2">
        <w:t>(</w:t>
      </w:r>
      <w:r>
        <w:t>EBITDA</w:t>
      </w:r>
      <w:r w:rsidR="00CF6EB2">
        <w:t>)</w:t>
      </w:r>
      <w:r>
        <w:t xml:space="preserve"> margin</w:t>
      </w:r>
      <w:r w:rsidRPr="004D035D">
        <w:t xml:space="preserve"> can be likely attributed to a large increase in COVID-19 expenses and increasing labour costs across all expense categories. </w:t>
      </w:r>
      <w:r w:rsidR="00500DE0">
        <w:t xml:space="preserve">A more detailed breakdown of expenses </w:t>
      </w:r>
      <w:r w:rsidR="00383195">
        <w:t xml:space="preserve">for residential </w:t>
      </w:r>
      <w:r w:rsidR="00B057D8">
        <w:t xml:space="preserve">care providers is available in </w:t>
      </w:r>
      <w:r w:rsidR="00B057D8" w:rsidRPr="00AD73B0">
        <w:t xml:space="preserve">Appendix </w:t>
      </w:r>
      <w:r w:rsidR="00AD73B0" w:rsidRPr="004264AD">
        <w:t>A</w:t>
      </w:r>
      <w:r w:rsidR="00B057D8">
        <w:t>.</w:t>
      </w:r>
    </w:p>
    <w:p w14:paraId="1C5D9E5F" w14:textId="236048FB" w:rsidR="00AB30D0" w:rsidRPr="008B23BF" w:rsidRDefault="00AB30D0" w:rsidP="00AB30D0">
      <w:pPr>
        <w:pStyle w:val="Caption"/>
      </w:pPr>
      <w:bookmarkStart w:id="215" w:name="_Ref139550135"/>
      <w:bookmarkStart w:id="216" w:name="_Toc149245275"/>
      <w:r>
        <w:t xml:space="preserve">Table </w:t>
      </w:r>
      <w:r>
        <w:fldChar w:fldCharType="begin"/>
      </w:r>
      <w:r>
        <w:instrText>STYLEREF 1 \s</w:instrText>
      </w:r>
      <w:r>
        <w:fldChar w:fldCharType="separate"/>
      </w:r>
      <w:r w:rsidR="00294B02">
        <w:rPr>
          <w:noProof/>
        </w:rPr>
        <w:t>3</w:t>
      </w:r>
      <w:r>
        <w:fldChar w:fldCharType="end"/>
      </w:r>
      <w:r w:rsidR="002E758C">
        <w:t>.</w:t>
      </w:r>
      <w:r>
        <w:fldChar w:fldCharType="begin"/>
      </w:r>
      <w:r>
        <w:instrText>SEQ Table \* ARABIC \s 1</w:instrText>
      </w:r>
      <w:r>
        <w:fldChar w:fldCharType="separate"/>
      </w:r>
      <w:r w:rsidR="00294B02">
        <w:rPr>
          <w:noProof/>
        </w:rPr>
        <w:t>1</w:t>
      </w:r>
      <w:r>
        <w:fldChar w:fldCharType="end"/>
      </w:r>
      <w:bookmarkEnd w:id="215"/>
      <w:r>
        <w:t xml:space="preserve">: </w:t>
      </w:r>
      <w:r w:rsidRPr="00900BAA">
        <w:t xml:space="preserve">Summary of financial performance of residential care providers, </w:t>
      </w:r>
      <w:r w:rsidRPr="00442E97">
        <w:t>20</w:t>
      </w:r>
      <w:r w:rsidR="003369C3" w:rsidRPr="00442E97">
        <w:t>17-18</w:t>
      </w:r>
      <w:r w:rsidRPr="00442E97">
        <w:t xml:space="preserve"> to 2021-22</w:t>
      </w:r>
      <w:bookmarkEnd w:id="216"/>
    </w:p>
    <w:tbl>
      <w:tblPr>
        <w:tblStyle w:val="DepartmentofHealthtable"/>
        <w:tblW w:w="9611" w:type="dxa"/>
        <w:tblLook w:val="04A0" w:firstRow="1" w:lastRow="0" w:firstColumn="1" w:lastColumn="0" w:noHBand="0" w:noVBand="1"/>
      </w:tblPr>
      <w:tblGrid>
        <w:gridCol w:w="3969"/>
        <w:gridCol w:w="1276"/>
        <w:gridCol w:w="1134"/>
        <w:gridCol w:w="1134"/>
        <w:gridCol w:w="992"/>
        <w:gridCol w:w="1106"/>
      </w:tblGrid>
      <w:tr w:rsidR="008B23BF" w:rsidRPr="00F307F6" w14:paraId="708A5055" w14:textId="77777777" w:rsidTr="008409E2">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3969" w:type="dxa"/>
            <w:noWrap/>
            <w:hideMark/>
          </w:tcPr>
          <w:p w14:paraId="7BA87A5E" w14:textId="77777777" w:rsidR="003369C3" w:rsidRPr="00F307F6" w:rsidRDefault="003369C3" w:rsidP="00F307F6">
            <w:pPr>
              <w:pStyle w:val="TableHeaderWhite"/>
            </w:pPr>
            <w:r w:rsidRPr="00F307F6">
              <w:t> </w:t>
            </w:r>
          </w:p>
        </w:tc>
        <w:tc>
          <w:tcPr>
            <w:tcW w:w="1276" w:type="dxa"/>
            <w:noWrap/>
            <w:hideMark/>
          </w:tcPr>
          <w:p w14:paraId="096B7192" w14:textId="77777777" w:rsidR="003369C3" w:rsidRPr="00F307F6" w:rsidRDefault="003369C3"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2017-18</w:t>
            </w:r>
          </w:p>
        </w:tc>
        <w:tc>
          <w:tcPr>
            <w:tcW w:w="1134" w:type="dxa"/>
            <w:noWrap/>
            <w:hideMark/>
          </w:tcPr>
          <w:p w14:paraId="79F0A69B" w14:textId="77777777" w:rsidR="003369C3" w:rsidRPr="00F307F6" w:rsidRDefault="003369C3"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2018-19</w:t>
            </w:r>
          </w:p>
        </w:tc>
        <w:tc>
          <w:tcPr>
            <w:tcW w:w="1134" w:type="dxa"/>
            <w:noWrap/>
            <w:hideMark/>
          </w:tcPr>
          <w:p w14:paraId="20348DD5" w14:textId="77777777" w:rsidR="003369C3" w:rsidRPr="00F307F6" w:rsidRDefault="003369C3"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2019-20</w:t>
            </w:r>
          </w:p>
        </w:tc>
        <w:tc>
          <w:tcPr>
            <w:tcW w:w="992" w:type="dxa"/>
            <w:noWrap/>
            <w:hideMark/>
          </w:tcPr>
          <w:p w14:paraId="1B31F23B" w14:textId="77777777" w:rsidR="003369C3" w:rsidRPr="00F307F6" w:rsidRDefault="003369C3"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2020-21</w:t>
            </w:r>
          </w:p>
        </w:tc>
        <w:tc>
          <w:tcPr>
            <w:tcW w:w="1106" w:type="dxa"/>
            <w:noWrap/>
            <w:hideMark/>
          </w:tcPr>
          <w:p w14:paraId="662690B5" w14:textId="77777777" w:rsidR="003369C3" w:rsidRPr="00F307F6" w:rsidRDefault="003369C3"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2021-22</w:t>
            </w:r>
          </w:p>
        </w:tc>
      </w:tr>
      <w:tr w:rsidR="00496209" w:rsidRPr="008B23BF" w14:paraId="50198A5C" w14:textId="77777777" w:rsidTr="008409E2">
        <w:trPr>
          <w:trHeight w:val="315"/>
        </w:trPr>
        <w:tc>
          <w:tcPr>
            <w:cnfStyle w:val="001000000000" w:firstRow="0" w:lastRow="0" w:firstColumn="1" w:lastColumn="0" w:oddVBand="0" w:evenVBand="0" w:oddHBand="0" w:evenHBand="0" w:firstRowFirstColumn="0" w:firstRowLastColumn="0" w:lastRowFirstColumn="0" w:lastRowLastColumn="0"/>
            <w:tcW w:w="3969" w:type="dxa"/>
            <w:noWrap/>
            <w:hideMark/>
          </w:tcPr>
          <w:p w14:paraId="0538D241" w14:textId="77777777" w:rsidR="003369C3" w:rsidRPr="008B23BF" w:rsidRDefault="003369C3" w:rsidP="008B23BF">
            <w:pPr>
              <w:pStyle w:val="TableofAuthorities"/>
            </w:pPr>
            <w:r w:rsidRPr="008B23BF">
              <w:t>Revenue ($m)</w:t>
            </w:r>
          </w:p>
        </w:tc>
        <w:tc>
          <w:tcPr>
            <w:tcW w:w="1276" w:type="dxa"/>
            <w:noWrap/>
            <w:hideMark/>
          </w:tcPr>
          <w:p w14:paraId="6FE6C760"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$18,066</w:t>
            </w:r>
          </w:p>
        </w:tc>
        <w:tc>
          <w:tcPr>
            <w:tcW w:w="1134" w:type="dxa"/>
            <w:noWrap/>
            <w:hideMark/>
          </w:tcPr>
          <w:p w14:paraId="037B9DD2"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$19,302</w:t>
            </w:r>
          </w:p>
        </w:tc>
        <w:tc>
          <w:tcPr>
            <w:tcW w:w="1134" w:type="dxa"/>
            <w:noWrap/>
            <w:hideMark/>
          </w:tcPr>
          <w:p w14:paraId="38624327"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$20,536</w:t>
            </w:r>
          </w:p>
        </w:tc>
        <w:tc>
          <w:tcPr>
            <w:tcW w:w="992" w:type="dxa"/>
            <w:noWrap/>
            <w:hideMark/>
          </w:tcPr>
          <w:p w14:paraId="2CB6FC0C"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$21,478</w:t>
            </w:r>
          </w:p>
        </w:tc>
        <w:tc>
          <w:tcPr>
            <w:tcW w:w="1106" w:type="dxa"/>
            <w:noWrap/>
            <w:hideMark/>
          </w:tcPr>
          <w:p w14:paraId="02F019C7"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$22,075</w:t>
            </w:r>
          </w:p>
        </w:tc>
      </w:tr>
      <w:tr w:rsidR="00496209" w:rsidRPr="008B23BF" w14:paraId="6526D033" w14:textId="77777777" w:rsidTr="008409E2">
        <w:trPr>
          <w:trHeight w:val="315"/>
        </w:trPr>
        <w:tc>
          <w:tcPr>
            <w:cnfStyle w:val="001000000000" w:firstRow="0" w:lastRow="0" w:firstColumn="1" w:lastColumn="0" w:oddVBand="0" w:evenVBand="0" w:oddHBand="0" w:evenHBand="0" w:firstRowFirstColumn="0" w:firstRowLastColumn="0" w:lastRowFirstColumn="0" w:lastRowLastColumn="0"/>
            <w:tcW w:w="3969" w:type="dxa"/>
            <w:noWrap/>
            <w:hideMark/>
          </w:tcPr>
          <w:p w14:paraId="7EDDC58F" w14:textId="77777777" w:rsidR="003369C3" w:rsidRPr="008B23BF" w:rsidRDefault="003369C3" w:rsidP="008B23BF">
            <w:pPr>
              <w:pStyle w:val="TableofAuthorities"/>
            </w:pPr>
            <w:r w:rsidRPr="008B23BF">
              <w:t>Expenses ($m)</w:t>
            </w:r>
          </w:p>
        </w:tc>
        <w:tc>
          <w:tcPr>
            <w:tcW w:w="1276" w:type="dxa"/>
            <w:noWrap/>
            <w:hideMark/>
          </w:tcPr>
          <w:p w14:paraId="1CF10380"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$17,631</w:t>
            </w:r>
          </w:p>
        </w:tc>
        <w:tc>
          <w:tcPr>
            <w:tcW w:w="1134" w:type="dxa"/>
            <w:noWrap/>
            <w:hideMark/>
          </w:tcPr>
          <w:p w14:paraId="65200569"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$19,037</w:t>
            </w:r>
          </w:p>
        </w:tc>
        <w:tc>
          <w:tcPr>
            <w:tcW w:w="1134" w:type="dxa"/>
            <w:noWrap/>
            <w:hideMark/>
          </w:tcPr>
          <w:p w14:paraId="187C8B07"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$21,273</w:t>
            </w:r>
          </w:p>
        </w:tc>
        <w:tc>
          <w:tcPr>
            <w:tcW w:w="992" w:type="dxa"/>
            <w:noWrap/>
            <w:hideMark/>
          </w:tcPr>
          <w:p w14:paraId="7CEE4502"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$22,332</w:t>
            </w:r>
          </w:p>
        </w:tc>
        <w:tc>
          <w:tcPr>
            <w:tcW w:w="1106" w:type="dxa"/>
            <w:noWrap/>
            <w:hideMark/>
          </w:tcPr>
          <w:p w14:paraId="5BDA6A24"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$24,339</w:t>
            </w:r>
          </w:p>
        </w:tc>
      </w:tr>
      <w:tr w:rsidR="00496209" w:rsidRPr="008B23BF" w14:paraId="04A45213" w14:textId="77777777" w:rsidTr="008409E2">
        <w:trPr>
          <w:trHeight w:val="315"/>
        </w:trPr>
        <w:tc>
          <w:tcPr>
            <w:cnfStyle w:val="001000000000" w:firstRow="0" w:lastRow="0" w:firstColumn="1" w:lastColumn="0" w:oddVBand="0" w:evenVBand="0" w:oddHBand="0" w:evenHBand="0" w:firstRowFirstColumn="0" w:firstRowLastColumn="0" w:lastRowFirstColumn="0" w:lastRowLastColumn="0"/>
            <w:tcW w:w="3969" w:type="dxa"/>
            <w:noWrap/>
            <w:hideMark/>
          </w:tcPr>
          <w:p w14:paraId="1D0E2EAA" w14:textId="77777777" w:rsidR="003369C3" w:rsidRPr="008B23BF" w:rsidRDefault="003369C3" w:rsidP="008B23BF">
            <w:pPr>
              <w:pStyle w:val="TableofAuthorities"/>
            </w:pPr>
            <w:r w:rsidRPr="008B23BF">
              <w:t>NPBT ($m)</w:t>
            </w:r>
          </w:p>
        </w:tc>
        <w:tc>
          <w:tcPr>
            <w:tcW w:w="1276" w:type="dxa"/>
            <w:noWrap/>
            <w:hideMark/>
          </w:tcPr>
          <w:p w14:paraId="4420E615"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$435</w:t>
            </w:r>
          </w:p>
        </w:tc>
        <w:tc>
          <w:tcPr>
            <w:tcW w:w="1134" w:type="dxa"/>
            <w:noWrap/>
            <w:hideMark/>
          </w:tcPr>
          <w:p w14:paraId="3D27818E"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$264</w:t>
            </w:r>
          </w:p>
        </w:tc>
        <w:tc>
          <w:tcPr>
            <w:tcW w:w="1134" w:type="dxa"/>
            <w:noWrap/>
            <w:hideMark/>
          </w:tcPr>
          <w:p w14:paraId="2FA1FAD4" w14:textId="5A84EB79" w:rsidR="003369C3" w:rsidRPr="008B23BF" w:rsidRDefault="006F46A6"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w:t>
            </w:r>
            <w:r w:rsidR="003369C3" w:rsidRPr="008B23BF">
              <w:t>$736</w:t>
            </w:r>
            <w:r w:rsidRPr="008B23BF">
              <w:t>)</w:t>
            </w:r>
          </w:p>
        </w:tc>
        <w:tc>
          <w:tcPr>
            <w:tcW w:w="992" w:type="dxa"/>
            <w:noWrap/>
            <w:hideMark/>
          </w:tcPr>
          <w:p w14:paraId="74207379" w14:textId="4A38077F" w:rsidR="003369C3" w:rsidRPr="008B23BF" w:rsidRDefault="006F46A6"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w:t>
            </w:r>
            <w:r w:rsidR="003369C3" w:rsidRPr="008B23BF">
              <w:t>$854</w:t>
            </w:r>
            <w:r w:rsidRPr="008B23BF">
              <w:t>)</w:t>
            </w:r>
          </w:p>
        </w:tc>
        <w:tc>
          <w:tcPr>
            <w:tcW w:w="1106" w:type="dxa"/>
            <w:noWrap/>
            <w:hideMark/>
          </w:tcPr>
          <w:p w14:paraId="1BFAEEB5" w14:textId="2813CB24" w:rsidR="003369C3" w:rsidRPr="008B23BF" w:rsidRDefault="00104634"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w:t>
            </w:r>
            <w:r w:rsidR="003369C3" w:rsidRPr="008B23BF">
              <w:t>$2,264</w:t>
            </w:r>
            <w:r w:rsidRPr="008B23BF">
              <w:t>)</w:t>
            </w:r>
          </w:p>
        </w:tc>
      </w:tr>
      <w:tr w:rsidR="00496209" w:rsidRPr="008B23BF" w14:paraId="06038311" w14:textId="77777777" w:rsidTr="008409E2">
        <w:trPr>
          <w:trHeight w:val="315"/>
        </w:trPr>
        <w:tc>
          <w:tcPr>
            <w:cnfStyle w:val="001000000000" w:firstRow="0" w:lastRow="0" w:firstColumn="1" w:lastColumn="0" w:oddVBand="0" w:evenVBand="0" w:oddHBand="0" w:evenHBand="0" w:firstRowFirstColumn="0" w:firstRowLastColumn="0" w:lastRowFirstColumn="0" w:lastRowLastColumn="0"/>
            <w:tcW w:w="3969" w:type="dxa"/>
            <w:noWrap/>
            <w:hideMark/>
          </w:tcPr>
          <w:p w14:paraId="2EED5ED9" w14:textId="77777777" w:rsidR="003369C3" w:rsidRPr="008B23BF" w:rsidRDefault="003369C3" w:rsidP="008B23BF">
            <w:pPr>
              <w:pStyle w:val="TableofAuthorities"/>
            </w:pPr>
            <w:r w:rsidRPr="008B23BF">
              <w:t>NPBT margin</w:t>
            </w:r>
          </w:p>
        </w:tc>
        <w:tc>
          <w:tcPr>
            <w:tcW w:w="1276" w:type="dxa"/>
            <w:noWrap/>
            <w:hideMark/>
          </w:tcPr>
          <w:p w14:paraId="635C6A4B"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2.40%</w:t>
            </w:r>
          </w:p>
        </w:tc>
        <w:tc>
          <w:tcPr>
            <w:tcW w:w="1134" w:type="dxa"/>
            <w:noWrap/>
            <w:hideMark/>
          </w:tcPr>
          <w:p w14:paraId="6B66B9AD"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1.40%</w:t>
            </w:r>
          </w:p>
        </w:tc>
        <w:tc>
          <w:tcPr>
            <w:tcW w:w="1134" w:type="dxa"/>
            <w:noWrap/>
            <w:hideMark/>
          </w:tcPr>
          <w:p w14:paraId="5EEE1A68" w14:textId="6FE25839" w:rsidR="003369C3" w:rsidRPr="008B23BF" w:rsidRDefault="006F46A6"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w:t>
            </w:r>
            <w:r w:rsidR="003369C3" w:rsidRPr="008B23BF">
              <w:t>3.60%</w:t>
            </w:r>
            <w:r w:rsidRPr="008B23BF">
              <w:t>)</w:t>
            </w:r>
          </w:p>
        </w:tc>
        <w:tc>
          <w:tcPr>
            <w:tcW w:w="992" w:type="dxa"/>
            <w:noWrap/>
            <w:hideMark/>
          </w:tcPr>
          <w:p w14:paraId="6F77EBA8" w14:textId="73475C75" w:rsidR="003369C3" w:rsidRPr="008B23BF" w:rsidRDefault="00104634"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w:t>
            </w:r>
            <w:r w:rsidR="003369C3" w:rsidRPr="008B23BF">
              <w:t>4.00%</w:t>
            </w:r>
            <w:r w:rsidRPr="008B23BF">
              <w:t>)</w:t>
            </w:r>
          </w:p>
        </w:tc>
        <w:tc>
          <w:tcPr>
            <w:tcW w:w="1106" w:type="dxa"/>
            <w:noWrap/>
            <w:hideMark/>
          </w:tcPr>
          <w:p w14:paraId="6698911A" w14:textId="4790CD7A" w:rsidR="003369C3" w:rsidRPr="008B23BF" w:rsidRDefault="00104634"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w:t>
            </w:r>
            <w:r w:rsidR="003369C3" w:rsidRPr="008B23BF">
              <w:t>10.30%</w:t>
            </w:r>
            <w:r w:rsidRPr="008B23BF">
              <w:t>)</w:t>
            </w:r>
          </w:p>
        </w:tc>
      </w:tr>
      <w:tr w:rsidR="00496209" w:rsidRPr="008B23BF" w14:paraId="5EBFEF04" w14:textId="77777777" w:rsidTr="008409E2">
        <w:trPr>
          <w:trHeight w:val="315"/>
        </w:trPr>
        <w:tc>
          <w:tcPr>
            <w:cnfStyle w:val="001000000000" w:firstRow="0" w:lastRow="0" w:firstColumn="1" w:lastColumn="0" w:oddVBand="0" w:evenVBand="0" w:oddHBand="0" w:evenHBand="0" w:firstRowFirstColumn="0" w:firstRowLastColumn="0" w:lastRowFirstColumn="0" w:lastRowLastColumn="0"/>
            <w:tcW w:w="3969" w:type="dxa"/>
            <w:noWrap/>
            <w:hideMark/>
          </w:tcPr>
          <w:p w14:paraId="4FC7D6E0" w14:textId="77777777" w:rsidR="003369C3" w:rsidRPr="008B23BF" w:rsidRDefault="003369C3" w:rsidP="008B23BF">
            <w:pPr>
              <w:pStyle w:val="TableofAuthorities"/>
            </w:pPr>
            <w:r w:rsidRPr="008B23BF">
              <w:t>EBITDA ($m)</w:t>
            </w:r>
          </w:p>
        </w:tc>
        <w:tc>
          <w:tcPr>
            <w:tcW w:w="1276" w:type="dxa"/>
            <w:noWrap/>
            <w:hideMark/>
          </w:tcPr>
          <w:p w14:paraId="408B35F4"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$1,591</w:t>
            </w:r>
          </w:p>
        </w:tc>
        <w:tc>
          <w:tcPr>
            <w:tcW w:w="1134" w:type="dxa"/>
            <w:noWrap/>
            <w:hideMark/>
          </w:tcPr>
          <w:p w14:paraId="37A19EAB"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$1,590</w:t>
            </w:r>
          </w:p>
        </w:tc>
        <w:tc>
          <w:tcPr>
            <w:tcW w:w="1134" w:type="dxa"/>
            <w:noWrap/>
            <w:hideMark/>
          </w:tcPr>
          <w:p w14:paraId="4E50D578"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$1,222</w:t>
            </w:r>
          </w:p>
        </w:tc>
        <w:tc>
          <w:tcPr>
            <w:tcW w:w="992" w:type="dxa"/>
            <w:noWrap/>
            <w:hideMark/>
          </w:tcPr>
          <w:p w14:paraId="0E1A4426"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$713</w:t>
            </w:r>
          </w:p>
        </w:tc>
        <w:tc>
          <w:tcPr>
            <w:tcW w:w="1106" w:type="dxa"/>
            <w:noWrap/>
            <w:hideMark/>
          </w:tcPr>
          <w:p w14:paraId="20B51A55" w14:textId="4A7E447C" w:rsidR="003369C3" w:rsidRPr="008B23BF" w:rsidRDefault="00104634"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w:t>
            </w:r>
            <w:r w:rsidR="003369C3" w:rsidRPr="008B23BF">
              <w:t>$9</w:t>
            </w:r>
            <w:r w:rsidRPr="008B23BF">
              <w:t>)</w:t>
            </w:r>
          </w:p>
        </w:tc>
      </w:tr>
      <w:tr w:rsidR="00496209" w:rsidRPr="008B23BF" w14:paraId="2460FBE1" w14:textId="77777777" w:rsidTr="008409E2">
        <w:trPr>
          <w:trHeight w:val="315"/>
        </w:trPr>
        <w:tc>
          <w:tcPr>
            <w:cnfStyle w:val="001000000000" w:firstRow="0" w:lastRow="0" w:firstColumn="1" w:lastColumn="0" w:oddVBand="0" w:evenVBand="0" w:oddHBand="0" w:evenHBand="0" w:firstRowFirstColumn="0" w:firstRowLastColumn="0" w:lastRowFirstColumn="0" w:lastRowLastColumn="0"/>
            <w:tcW w:w="3969" w:type="dxa"/>
            <w:noWrap/>
            <w:hideMark/>
          </w:tcPr>
          <w:p w14:paraId="044158E1" w14:textId="77777777" w:rsidR="003369C3" w:rsidRPr="008B23BF" w:rsidRDefault="003369C3" w:rsidP="008B23BF">
            <w:pPr>
              <w:pStyle w:val="TableofAuthorities"/>
            </w:pPr>
            <w:r w:rsidRPr="008B23BF">
              <w:t>Average EBITDA per resident per annum</w:t>
            </w:r>
          </w:p>
        </w:tc>
        <w:tc>
          <w:tcPr>
            <w:tcW w:w="1276" w:type="dxa"/>
            <w:noWrap/>
            <w:hideMark/>
          </w:tcPr>
          <w:p w14:paraId="59FB5CD8"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$8,746</w:t>
            </w:r>
          </w:p>
        </w:tc>
        <w:tc>
          <w:tcPr>
            <w:tcW w:w="1134" w:type="dxa"/>
            <w:noWrap/>
            <w:hideMark/>
          </w:tcPr>
          <w:p w14:paraId="1B25B1A6"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$8,523</w:t>
            </w:r>
          </w:p>
        </w:tc>
        <w:tc>
          <w:tcPr>
            <w:tcW w:w="1134" w:type="dxa"/>
            <w:noWrap/>
            <w:hideMark/>
          </w:tcPr>
          <w:p w14:paraId="101CE55B"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$6,445</w:t>
            </w:r>
          </w:p>
        </w:tc>
        <w:tc>
          <w:tcPr>
            <w:tcW w:w="992" w:type="dxa"/>
            <w:noWrap/>
            <w:hideMark/>
          </w:tcPr>
          <w:p w14:paraId="3F978271"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$3,771</w:t>
            </w:r>
          </w:p>
        </w:tc>
        <w:tc>
          <w:tcPr>
            <w:tcW w:w="1106" w:type="dxa"/>
            <w:noWrap/>
            <w:hideMark/>
          </w:tcPr>
          <w:p w14:paraId="3273ED3D" w14:textId="6EA5502D" w:rsidR="003369C3" w:rsidRPr="008B23BF" w:rsidRDefault="00104634"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w:t>
            </w:r>
            <w:r w:rsidR="003369C3" w:rsidRPr="008B23BF">
              <w:t>$46</w:t>
            </w:r>
            <w:r w:rsidRPr="008B23BF">
              <w:t>)</w:t>
            </w:r>
          </w:p>
        </w:tc>
      </w:tr>
      <w:tr w:rsidR="00496209" w:rsidRPr="008B23BF" w14:paraId="27D58A3F" w14:textId="77777777" w:rsidTr="008409E2">
        <w:trPr>
          <w:trHeight w:val="315"/>
        </w:trPr>
        <w:tc>
          <w:tcPr>
            <w:cnfStyle w:val="001000000000" w:firstRow="0" w:lastRow="0" w:firstColumn="1" w:lastColumn="0" w:oddVBand="0" w:evenVBand="0" w:oddHBand="0" w:evenHBand="0" w:firstRowFirstColumn="0" w:firstRowLastColumn="0" w:lastRowFirstColumn="0" w:lastRowLastColumn="0"/>
            <w:tcW w:w="3969" w:type="dxa"/>
            <w:noWrap/>
            <w:hideMark/>
          </w:tcPr>
          <w:p w14:paraId="37AB9B7D" w14:textId="77777777" w:rsidR="003369C3" w:rsidRPr="008B23BF" w:rsidRDefault="003369C3" w:rsidP="008B23BF">
            <w:pPr>
              <w:pStyle w:val="TableofAuthorities"/>
            </w:pPr>
            <w:r w:rsidRPr="008B23BF">
              <w:t>EBITDA margin</w:t>
            </w:r>
          </w:p>
        </w:tc>
        <w:tc>
          <w:tcPr>
            <w:tcW w:w="1276" w:type="dxa"/>
            <w:noWrap/>
            <w:hideMark/>
          </w:tcPr>
          <w:p w14:paraId="4D78DF74"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8.80%</w:t>
            </w:r>
          </w:p>
        </w:tc>
        <w:tc>
          <w:tcPr>
            <w:tcW w:w="1134" w:type="dxa"/>
            <w:noWrap/>
            <w:hideMark/>
          </w:tcPr>
          <w:p w14:paraId="31214533"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8.20%</w:t>
            </w:r>
          </w:p>
        </w:tc>
        <w:tc>
          <w:tcPr>
            <w:tcW w:w="1134" w:type="dxa"/>
            <w:noWrap/>
            <w:hideMark/>
          </w:tcPr>
          <w:p w14:paraId="64688A1F"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6.00%</w:t>
            </w:r>
          </w:p>
        </w:tc>
        <w:tc>
          <w:tcPr>
            <w:tcW w:w="992" w:type="dxa"/>
            <w:noWrap/>
            <w:hideMark/>
          </w:tcPr>
          <w:p w14:paraId="1987A3E0"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3.30%</w:t>
            </w:r>
          </w:p>
        </w:tc>
        <w:tc>
          <w:tcPr>
            <w:tcW w:w="1106" w:type="dxa"/>
            <w:noWrap/>
            <w:hideMark/>
          </w:tcPr>
          <w:p w14:paraId="03A68F56" w14:textId="77777777" w:rsidR="003369C3" w:rsidRPr="008B23BF" w:rsidRDefault="003369C3" w:rsidP="008B23BF">
            <w:pPr>
              <w:pStyle w:val="TableofAuthorities"/>
              <w:cnfStyle w:val="000000000000" w:firstRow="0" w:lastRow="0" w:firstColumn="0" w:lastColumn="0" w:oddVBand="0" w:evenVBand="0" w:oddHBand="0" w:evenHBand="0" w:firstRowFirstColumn="0" w:firstRowLastColumn="0" w:lastRowFirstColumn="0" w:lastRowLastColumn="0"/>
            </w:pPr>
            <w:r w:rsidRPr="008B23BF">
              <w:t>0.00%</w:t>
            </w:r>
          </w:p>
        </w:tc>
      </w:tr>
    </w:tbl>
    <w:p w14:paraId="5D88B275" w14:textId="32D719E9" w:rsidR="00790872" w:rsidRDefault="001A415E" w:rsidP="00790872">
      <w:r>
        <w:lastRenderedPageBreak/>
        <w:fldChar w:fldCharType="begin"/>
      </w:r>
      <w:r>
        <w:instrText xml:space="preserve"> REF _Ref139550182 \h </w:instrText>
      </w:r>
      <w:r>
        <w:fldChar w:fldCharType="separate"/>
      </w:r>
      <w:r w:rsidR="00294B02">
        <w:t xml:space="preserve">Table </w:t>
      </w:r>
      <w:r w:rsidR="00294B02">
        <w:rPr>
          <w:noProof/>
        </w:rPr>
        <w:t>3</w:t>
      </w:r>
      <w:r w:rsidR="00294B02">
        <w:t>.</w:t>
      </w:r>
      <w:r w:rsidR="00294B02">
        <w:rPr>
          <w:noProof/>
        </w:rPr>
        <w:t>2</w:t>
      </w:r>
      <w:r>
        <w:fldChar w:fldCharType="end"/>
      </w:r>
      <w:r w:rsidR="00196452">
        <w:t xml:space="preserve"> </w:t>
      </w:r>
      <w:r w:rsidR="00790872">
        <w:t>shows</w:t>
      </w:r>
      <w:r w:rsidR="00790872">
        <w:rPr>
          <w:spacing w:val="-7"/>
        </w:rPr>
        <w:t xml:space="preserve"> </w:t>
      </w:r>
      <w:r w:rsidR="00790872">
        <w:t>the</w:t>
      </w:r>
      <w:r w:rsidR="00790872">
        <w:rPr>
          <w:spacing w:val="-7"/>
        </w:rPr>
        <w:t xml:space="preserve"> </w:t>
      </w:r>
      <w:r w:rsidR="00790872">
        <w:t>financial</w:t>
      </w:r>
      <w:r w:rsidR="00790872">
        <w:rPr>
          <w:spacing w:val="-7"/>
        </w:rPr>
        <w:t xml:space="preserve"> </w:t>
      </w:r>
      <w:r w:rsidR="00790872">
        <w:t>performance</w:t>
      </w:r>
      <w:r w:rsidR="00790872">
        <w:rPr>
          <w:spacing w:val="-7"/>
        </w:rPr>
        <w:t xml:space="preserve"> </w:t>
      </w:r>
      <w:r w:rsidR="00790872">
        <w:t>of providers</w:t>
      </w:r>
      <w:r w:rsidR="00790872">
        <w:rPr>
          <w:spacing w:val="-9"/>
        </w:rPr>
        <w:t xml:space="preserve"> </w:t>
      </w:r>
      <w:r w:rsidR="00790872">
        <w:t>in</w:t>
      </w:r>
      <w:r w:rsidR="00790872">
        <w:rPr>
          <w:spacing w:val="-12"/>
        </w:rPr>
        <w:t xml:space="preserve"> </w:t>
      </w:r>
      <w:r w:rsidR="00790872">
        <w:t>2021</w:t>
      </w:r>
      <w:r w:rsidR="00925D19">
        <w:t>-22</w:t>
      </w:r>
      <w:r w:rsidR="00790872">
        <w:rPr>
          <w:spacing w:val="-9"/>
        </w:rPr>
        <w:t xml:space="preserve"> </w:t>
      </w:r>
      <w:r w:rsidR="00790872">
        <w:t>by</w:t>
      </w:r>
      <w:r w:rsidR="00790872">
        <w:rPr>
          <w:spacing w:val="-9"/>
        </w:rPr>
        <w:t xml:space="preserve"> </w:t>
      </w:r>
      <w:r w:rsidR="00790872">
        <w:t>ownership</w:t>
      </w:r>
      <w:r w:rsidR="00790872">
        <w:rPr>
          <w:spacing w:val="-9"/>
        </w:rPr>
        <w:t xml:space="preserve"> </w:t>
      </w:r>
      <w:r w:rsidR="00790872">
        <w:t>type,</w:t>
      </w:r>
      <w:r w:rsidR="00790872">
        <w:rPr>
          <w:spacing w:val="-9"/>
        </w:rPr>
        <w:t xml:space="preserve"> </w:t>
      </w:r>
      <w:proofErr w:type="gramStart"/>
      <w:r w:rsidR="00790872">
        <w:t>location</w:t>
      </w:r>
      <w:proofErr w:type="gramEnd"/>
      <w:r w:rsidR="00790872">
        <w:rPr>
          <w:spacing w:val="-9"/>
        </w:rPr>
        <w:t xml:space="preserve"> </w:t>
      </w:r>
      <w:r w:rsidR="00790872">
        <w:t>and scale.</w:t>
      </w:r>
      <w:r w:rsidR="00790872">
        <w:rPr>
          <w:spacing w:val="-7"/>
        </w:rPr>
        <w:t xml:space="preserve"> </w:t>
      </w:r>
      <w:r w:rsidR="00773533">
        <w:t>B</w:t>
      </w:r>
      <w:r w:rsidR="00790872">
        <w:t>ased</w:t>
      </w:r>
      <w:r w:rsidR="00790872">
        <w:rPr>
          <w:spacing w:val="-7"/>
        </w:rPr>
        <w:t xml:space="preserve"> </w:t>
      </w:r>
      <w:r w:rsidR="00790872">
        <w:t>on</w:t>
      </w:r>
      <w:r w:rsidR="00790872">
        <w:rPr>
          <w:spacing w:val="-7"/>
        </w:rPr>
        <w:t xml:space="preserve"> </w:t>
      </w:r>
      <w:r w:rsidR="00790872">
        <w:t>EBITDA</w:t>
      </w:r>
      <w:r w:rsidR="00790872">
        <w:rPr>
          <w:spacing w:val="-7"/>
        </w:rPr>
        <w:t xml:space="preserve"> </w:t>
      </w:r>
      <w:r w:rsidR="00790872">
        <w:t>per</w:t>
      </w:r>
      <w:r w:rsidR="00790872">
        <w:rPr>
          <w:spacing w:val="-7"/>
        </w:rPr>
        <w:t xml:space="preserve"> </w:t>
      </w:r>
      <w:r w:rsidR="00790872">
        <w:t>resident</w:t>
      </w:r>
      <w:r w:rsidR="002403C9">
        <w:t xml:space="preserve"> per </w:t>
      </w:r>
      <w:r w:rsidR="00071647">
        <w:t>year</w:t>
      </w:r>
      <w:r w:rsidR="0089317F">
        <w:t>,</w:t>
      </w:r>
      <w:r w:rsidR="00790872">
        <w:t xml:space="preserve"> for-profit providers outperformed not-for-profit providers, and metropolitan providers significantly outperformed</w:t>
      </w:r>
      <w:r w:rsidR="00790872">
        <w:rPr>
          <w:spacing w:val="-11"/>
        </w:rPr>
        <w:t xml:space="preserve"> </w:t>
      </w:r>
      <w:r w:rsidR="00790872">
        <w:t>regional</w:t>
      </w:r>
      <w:r w:rsidR="00790872">
        <w:rPr>
          <w:spacing w:val="-11"/>
        </w:rPr>
        <w:t xml:space="preserve"> </w:t>
      </w:r>
      <w:r w:rsidR="00790872">
        <w:t>and</w:t>
      </w:r>
      <w:r w:rsidR="00790872">
        <w:rPr>
          <w:spacing w:val="-11"/>
        </w:rPr>
        <w:t xml:space="preserve"> </w:t>
      </w:r>
      <w:r w:rsidR="00790872">
        <w:t>rural</w:t>
      </w:r>
      <w:r w:rsidR="00790872">
        <w:rPr>
          <w:spacing w:val="-11"/>
        </w:rPr>
        <w:t xml:space="preserve"> </w:t>
      </w:r>
      <w:r w:rsidR="00790872">
        <w:t>providers.</w:t>
      </w:r>
      <w:r w:rsidR="00790872">
        <w:rPr>
          <w:spacing w:val="-11"/>
        </w:rPr>
        <w:t xml:space="preserve"> </w:t>
      </w:r>
    </w:p>
    <w:p w14:paraId="61303C02" w14:textId="0A53332F" w:rsidR="003F139E" w:rsidRPr="00B662EC" w:rsidRDefault="00790872" w:rsidP="003F139E">
      <w:r>
        <w:t>In</w:t>
      </w:r>
      <w:r>
        <w:rPr>
          <w:spacing w:val="-10"/>
        </w:rPr>
        <w:t xml:space="preserve"> </w:t>
      </w:r>
      <w:r>
        <w:t>202</w:t>
      </w:r>
      <w:r w:rsidR="00E55AE1">
        <w:t>1-22</w:t>
      </w:r>
      <w:r>
        <w:t>,</w:t>
      </w:r>
      <w:r>
        <w:rPr>
          <w:spacing w:val="-6"/>
        </w:rPr>
        <w:t xml:space="preserve"> </w:t>
      </w:r>
      <w:r w:rsidR="00D7140A">
        <w:t>31</w:t>
      </w:r>
      <w:r>
        <w:rPr>
          <w:spacing w:val="-10"/>
        </w:rPr>
        <w:t xml:space="preserve"> </w:t>
      </w:r>
      <w:r>
        <w:t>per</w:t>
      </w:r>
      <w:r>
        <w:rPr>
          <w:spacing w:val="-10"/>
        </w:rPr>
        <w:t xml:space="preserve"> </w:t>
      </w:r>
      <w:r>
        <w:t>cent</w:t>
      </w:r>
      <w:r>
        <w:rPr>
          <w:spacing w:val="-6"/>
        </w:rPr>
        <w:t xml:space="preserve"> </w:t>
      </w:r>
      <w:r>
        <w:t>of</w:t>
      </w:r>
      <w:r>
        <w:rPr>
          <w:spacing w:val="-6"/>
        </w:rPr>
        <w:t xml:space="preserve"> </w:t>
      </w:r>
      <w:r>
        <w:t>providers</w:t>
      </w:r>
      <w:r>
        <w:rPr>
          <w:spacing w:val="-6"/>
        </w:rPr>
        <w:t xml:space="preserve"> </w:t>
      </w:r>
      <w:r>
        <w:t>reported</w:t>
      </w:r>
      <w:r>
        <w:rPr>
          <w:spacing w:val="-6"/>
        </w:rPr>
        <w:t xml:space="preserve"> </w:t>
      </w:r>
      <w:r>
        <w:t>a</w:t>
      </w:r>
      <w:r>
        <w:rPr>
          <w:spacing w:val="-6"/>
        </w:rPr>
        <w:t xml:space="preserve"> </w:t>
      </w:r>
      <w:r>
        <w:t xml:space="preserve">positive net profit, representing </w:t>
      </w:r>
      <w:r w:rsidR="00D7140A">
        <w:t>18</w:t>
      </w:r>
      <w:r>
        <w:t xml:space="preserve"> per cent of total operational beds in the residential care sector.</w:t>
      </w:r>
    </w:p>
    <w:p w14:paraId="3DB315D8" w14:textId="235635A4" w:rsidR="00AB30D0" w:rsidRPr="00F307F6" w:rsidRDefault="00375E19" w:rsidP="00375E19">
      <w:pPr>
        <w:pStyle w:val="Caption"/>
      </w:pPr>
      <w:bookmarkStart w:id="217" w:name="_Ref139550182"/>
      <w:bookmarkStart w:id="218" w:name="_Toc149245276"/>
      <w:r>
        <w:t xml:space="preserve">Table </w:t>
      </w:r>
      <w:r>
        <w:fldChar w:fldCharType="begin"/>
      </w:r>
      <w:r>
        <w:instrText>STYLEREF 1 \s</w:instrText>
      </w:r>
      <w:r>
        <w:fldChar w:fldCharType="separate"/>
      </w:r>
      <w:r w:rsidR="00294B02">
        <w:rPr>
          <w:noProof/>
        </w:rPr>
        <w:t>3</w:t>
      </w:r>
      <w:r>
        <w:fldChar w:fldCharType="end"/>
      </w:r>
      <w:r w:rsidR="002E758C">
        <w:t>.</w:t>
      </w:r>
      <w:r>
        <w:fldChar w:fldCharType="begin"/>
      </w:r>
      <w:r>
        <w:instrText>SEQ Table \* ARABIC \s 1</w:instrText>
      </w:r>
      <w:r>
        <w:fldChar w:fldCharType="separate"/>
      </w:r>
      <w:r w:rsidR="00294B02">
        <w:rPr>
          <w:noProof/>
        </w:rPr>
        <w:t>2</w:t>
      </w:r>
      <w:r>
        <w:fldChar w:fldCharType="end"/>
      </w:r>
      <w:bookmarkEnd w:id="217"/>
      <w:r>
        <w:t xml:space="preserve">: </w:t>
      </w:r>
      <w:r w:rsidRPr="009D0860">
        <w:t xml:space="preserve">Summary of financial performance of residential care providers, by ownership, </w:t>
      </w:r>
      <w:proofErr w:type="gramStart"/>
      <w:r w:rsidRPr="009D0860">
        <w:t>location</w:t>
      </w:r>
      <w:proofErr w:type="gramEnd"/>
      <w:r w:rsidRPr="009D0860">
        <w:t xml:space="preserve"> and scale, 202</w:t>
      </w:r>
      <w:r>
        <w:t>1-22</w:t>
      </w:r>
      <w:bookmarkEnd w:id="218"/>
    </w:p>
    <w:tbl>
      <w:tblPr>
        <w:tblStyle w:val="DepartmentofHealthtable"/>
        <w:tblW w:w="10349" w:type="dxa"/>
        <w:tblLayout w:type="fixed"/>
        <w:tblLook w:val="04A0" w:firstRow="1" w:lastRow="0" w:firstColumn="1" w:lastColumn="0" w:noHBand="0" w:noVBand="1"/>
      </w:tblPr>
      <w:tblGrid>
        <w:gridCol w:w="1115"/>
        <w:gridCol w:w="869"/>
        <w:gridCol w:w="439"/>
        <w:gridCol w:w="388"/>
        <w:gridCol w:w="828"/>
        <w:gridCol w:w="322"/>
        <w:gridCol w:w="506"/>
        <w:gridCol w:w="828"/>
        <w:gridCol w:w="828"/>
        <w:gridCol w:w="828"/>
        <w:gridCol w:w="258"/>
        <w:gridCol w:w="570"/>
        <w:gridCol w:w="828"/>
        <w:gridCol w:w="828"/>
        <w:gridCol w:w="914"/>
      </w:tblGrid>
      <w:tr w:rsidR="008867F7" w:rsidRPr="00F307F6" w14:paraId="3D9DEC17" w14:textId="77777777" w:rsidTr="008409E2">
        <w:trPr>
          <w:cnfStyle w:val="100000000000" w:firstRow="1" w:lastRow="0" w:firstColumn="0" w:lastColumn="0" w:oddVBand="0" w:evenVBand="0" w:oddHBand="0"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1995" w:type="dxa"/>
            <w:gridSpan w:val="2"/>
            <w:noWrap/>
            <w:hideMark/>
          </w:tcPr>
          <w:p w14:paraId="2FD3AD8B" w14:textId="656DEA37" w:rsidR="00B93468" w:rsidRPr="00F307F6" w:rsidRDefault="00B93468" w:rsidP="00F307F6">
            <w:pPr>
              <w:pStyle w:val="TableHeaderWhite"/>
            </w:pPr>
          </w:p>
        </w:tc>
        <w:tc>
          <w:tcPr>
            <w:tcW w:w="441" w:type="dxa"/>
            <w:noWrap/>
            <w:hideMark/>
          </w:tcPr>
          <w:p w14:paraId="66B5878F" w14:textId="44BF2A61" w:rsidR="00B93468" w:rsidRPr="00F307F6" w:rsidRDefault="00B93468" w:rsidP="00F307F6">
            <w:pPr>
              <w:pStyle w:val="TableHeaderWhite"/>
              <w:cnfStyle w:val="100000000000" w:firstRow="1" w:lastRow="0" w:firstColumn="0" w:lastColumn="0" w:oddVBand="0" w:evenVBand="0" w:oddHBand="0" w:evenHBand="0" w:firstRowFirstColumn="0" w:firstRowLastColumn="0" w:lastRowFirstColumn="0" w:lastRowLastColumn="0"/>
            </w:pPr>
          </w:p>
        </w:tc>
        <w:tc>
          <w:tcPr>
            <w:tcW w:w="1544" w:type="dxa"/>
            <w:gridSpan w:val="3"/>
            <w:noWrap/>
            <w:hideMark/>
          </w:tcPr>
          <w:p w14:paraId="5D1E5F86" w14:textId="77777777" w:rsidR="00B93468" w:rsidRPr="00F307F6" w:rsidRDefault="00B93468"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Ownership type</w:t>
            </w:r>
          </w:p>
        </w:tc>
        <w:tc>
          <w:tcPr>
            <w:tcW w:w="3260" w:type="dxa"/>
            <w:gridSpan w:val="5"/>
            <w:noWrap/>
            <w:hideMark/>
          </w:tcPr>
          <w:p w14:paraId="71438B11" w14:textId="77777777" w:rsidR="00B93468" w:rsidRPr="00F307F6" w:rsidRDefault="00B93468"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Location</w:t>
            </w:r>
          </w:p>
        </w:tc>
        <w:tc>
          <w:tcPr>
            <w:tcW w:w="3109" w:type="dxa"/>
            <w:gridSpan w:val="4"/>
            <w:noWrap/>
            <w:hideMark/>
          </w:tcPr>
          <w:p w14:paraId="473B00E3" w14:textId="77777777" w:rsidR="00B93468" w:rsidRPr="00F307F6" w:rsidRDefault="00B93468"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Scale</w:t>
            </w:r>
          </w:p>
        </w:tc>
      </w:tr>
      <w:tr w:rsidR="00B52FB0" w:rsidRPr="00F307F6" w14:paraId="314BE45C" w14:textId="77777777" w:rsidTr="008409E2">
        <w:trPr>
          <w:trHeight w:val="2164"/>
        </w:trPr>
        <w:tc>
          <w:tcPr>
            <w:cnfStyle w:val="001000000000" w:firstRow="0" w:lastRow="0" w:firstColumn="1" w:lastColumn="0" w:oddVBand="0" w:evenVBand="0" w:oddHBand="0" w:evenHBand="0" w:firstRowFirstColumn="0" w:firstRowLastColumn="0" w:lastRowFirstColumn="0" w:lastRowLastColumn="0"/>
            <w:tcW w:w="1121" w:type="dxa"/>
            <w:shd w:val="clear" w:color="auto" w:fill="D8DBDB" w:themeFill="background2" w:themeFillShade="E6"/>
            <w:noWrap/>
            <w:hideMark/>
          </w:tcPr>
          <w:p w14:paraId="6E771036" w14:textId="77777777" w:rsidR="00B93468" w:rsidRPr="00F307F6" w:rsidRDefault="00B93468" w:rsidP="008409E2">
            <w:pPr>
              <w:pStyle w:val="TableofAuthorities"/>
            </w:pPr>
            <w:r w:rsidRPr="00F307F6">
              <w:t> </w:t>
            </w:r>
          </w:p>
        </w:tc>
        <w:tc>
          <w:tcPr>
            <w:tcW w:w="831" w:type="dxa"/>
            <w:shd w:val="clear" w:color="auto" w:fill="D8DBDB" w:themeFill="background2" w:themeFillShade="E6"/>
            <w:noWrap/>
            <w:textDirection w:val="btLr"/>
            <w:hideMark/>
          </w:tcPr>
          <w:p w14:paraId="68B5C9FF"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Total sector 2021-22</w:t>
            </w:r>
          </w:p>
        </w:tc>
        <w:tc>
          <w:tcPr>
            <w:tcW w:w="831" w:type="dxa"/>
            <w:gridSpan w:val="2"/>
            <w:shd w:val="clear" w:color="auto" w:fill="D8DBDB" w:themeFill="background2" w:themeFillShade="E6"/>
            <w:noWrap/>
            <w:textDirection w:val="btLr"/>
            <w:hideMark/>
          </w:tcPr>
          <w:p w14:paraId="21132882"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For-profit</w:t>
            </w:r>
          </w:p>
        </w:tc>
        <w:tc>
          <w:tcPr>
            <w:tcW w:w="831" w:type="dxa"/>
            <w:shd w:val="clear" w:color="auto" w:fill="D8DBDB" w:themeFill="background2" w:themeFillShade="E6"/>
            <w:noWrap/>
            <w:textDirection w:val="btLr"/>
            <w:hideMark/>
          </w:tcPr>
          <w:p w14:paraId="7705DA24" w14:textId="71CE405A"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Not-for-profit</w:t>
            </w:r>
          </w:p>
        </w:tc>
        <w:tc>
          <w:tcPr>
            <w:tcW w:w="831" w:type="dxa"/>
            <w:gridSpan w:val="2"/>
            <w:shd w:val="clear" w:color="auto" w:fill="D8DBDB" w:themeFill="background2" w:themeFillShade="E6"/>
            <w:noWrap/>
            <w:textDirection w:val="btLr"/>
            <w:hideMark/>
          </w:tcPr>
          <w:p w14:paraId="368E8BE4"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LST government</w:t>
            </w:r>
          </w:p>
        </w:tc>
        <w:tc>
          <w:tcPr>
            <w:tcW w:w="831" w:type="dxa"/>
            <w:shd w:val="clear" w:color="auto" w:fill="D8DBDB" w:themeFill="background2" w:themeFillShade="E6"/>
            <w:noWrap/>
            <w:textDirection w:val="btLr"/>
            <w:hideMark/>
          </w:tcPr>
          <w:p w14:paraId="15998A90"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Metro</w:t>
            </w:r>
          </w:p>
        </w:tc>
        <w:tc>
          <w:tcPr>
            <w:tcW w:w="831" w:type="dxa"/>
            <w:shd w:val="clear" w:color="auto" w:fill="D8DBDB" w:themeFill="background2" w:themeFillShade="E6"/>
            <w:noWrap/>
            <w:textDirection w:val="btLr"/>
            <w:hideMark/>
          </w:tcPr>
          <w:p w14:paraId="3E657CE5"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Regional</w:t>
            </w:r>
          </w:p>
        </w:tc>
        <w:tc>
          <w:tcPr>
            <w:tcW w:w="831" w:type="dxa"/>
            <w:shd w:val="clear" w:color="auto" w:fill="D8DBDB" w:themeFill="background2" w:themeFillShade="E6"/>
            <w:noWrap/>
            <w:textDirection w:val="btLr"/>
            <w:hideMark/>
          </w:tcPr>
          <w:p w14:paraId="56753B13"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Metro/Regional</w:t>
            </w:r>
          </w:p>
        </w:tc>
        <w:tc>
          <w:tcPr>
            <w:tcW w:w="831" w:type="dxa"/>
            <w:gridSpan w:val="2"/>
            <w:shd w:val="clear" w:color="auto" w:fill="D8DBDB" w:themeFill="background2" w:themeFillShade="E6"/>
            <w:noWrap/>
            <w:textDirection w:val="btLr"/>
            <w:hideMark/>
          </w:tcPr>
          <w:p w14:paraId="6A683898"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Single facility</w:t>
            </w:r>
          </w:p>
        </w:tc>
        <w:tc>
          <w:tcPr>
            <w:tcW w:w="831" w:type="dxa"/>
            <w:shd w:val="clear" w:color="auto" w:fill="D8DBDB" w:themeFill="background2" w:themeFillShade="E6"/>
            <w:noWrap/>
            <w:textDirection w:val="btLr"/>
            <w:hideMark/>
          </w:tcPr>
          <w:p w14:paraId="3B500040"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2 to 6 facilities</w:t>
            </w:r>
          </w:p>
        </w:tc>
        <w:tc>
          <w:tcPr>
            <w:tcW w:w="831" w:type="dxa"/>
            <w:shd w:val="clear" w:color="auto" w:fill="D8DBDB" w:themeFill="background2" w:themeFillShade="E6"/>
            <w:noWrap/>
            <w:textDirection w:val="btLr"/>
            <w:hideMark/>
          </w:tcPr>
          <w:p w14:paraId="072679B6"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7 to 19 facilities</w:t>
            </w:r>
          </w:p>
        </w:tc>
        <w:tc>
          <w:tcPr>
            <w:tcW w:w="918" w:type="dxa"/>
            <w:shd w:val="clear" w:color="auto" w:fill="D8DBDB" w:themeFill="background2" w:themeFillShade="E6"/>
            <w:noWrap/>
            <w:textDirection w:val="btLr"/>
            <w:hideMark/>
          </w:tcPr>
          <w:p w14:paraId="6A17E227" w14:textId="77777777" w:rsidR="00B93468" w:rsidRPr="00F307F6" w:rsidRDefault="00B93468" w:rsidP="008409E2">
            <w:pPr>
              <w:pStyle w:val="TableofAuthorities"/>
              <w:cnfStyle w:val="000000000000" w:firstRow="0" w:lastRow="0" w:firstColumn="0" w:lastColumn="0" w:oddVBand="0" w:evenVBand="0" w:oddHBand="0" w:evenHBand="0" w:firstRowFirstColumn="0" w:firstRowLastColumn="0" w:lastRowFirstColumn="0" w:lastRowLastColumn="0"/>
            </w:pPr>
            <w:r w:rsidRPr="00F307F6">
              <w:t>20 or more facilities</w:t>
            </w:r>
          </w:p>
        </w:tc>
      </w:tr>
      <w:tr w:rsidR="008867F7" w:rsidRPr="00F307F6" w14:paraId="1BB23283" w14:textId="77777777" w:rsidTr="008409E2">
        <w:trPr>
          <w:trHeight w:val="316"/>
        </w:trPr>
        <w:tc>
          <w:tcPr>
            <w:cnfStyle w:val="001000000000" w:firstRow="0" w:lastRow="0" w:firstColumn="1" w:lastColumn="0" w:oddVBand="0" w:evenVBand="0" w:oddHBand="0" w:evenHBand="0" w:firstRowFirstColumn="0" w:firstRowLastColumn="0" w:lastRowFirstColumn="0" w:lastRowLastColumn="0"/>
            <w:tcW w:w="1121" w:type="dxa"/>
            <w:noWrap/>
            <w:hideMark/>
          </w:tcPr>
          <w:p w14:paraId="4784705E" w14:textId="77777777" w:rsidR="00B93468" w:rsidRPr="00F307F6" w:rsidRDefault="00B93468" w:rsidP="00F307F6">
            <w:pPr>
              <w:pStyle w:val="TableofAuthorities"/>
            </w:pPr>
            <w:r w:rsidRPr="00F307F6">
              <w:t>Revenue ($m)</w:t>
            </w:r>
          </w:p>
        </w:tc>
        <w:tc>
          <w:tcPr>
            <w:tcW w:w="831" w:type="dxa"/>
            <w:noWrap/>
            <w:hideMark/>
          </w:tcPr>
          <w:p w14:paraId="3ED7A2E9" w14:textId="78617C9A"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$22,075</w:t>
            </w:r>
          </w:p>
        </w:tc>
        <w:tc>
          <w:tcPr>
            <w:tcW w:w="831" w:type="dxa"/>
            <w:gridSpan w:val="2"/>
            <w:noWrap/>
            <w:hideMark/>
          </w:tcPr>
          <w:p w14:paraId="71919989" w14:textId="4EF61E93"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$9,255</w:t>
            </w:r>
          </w:p>
        </w:tc>
        <w:tc>
          <w:tcPr>
            <w:tcW w:w="831" w:type="dxa"/>
            <w:noWrap/>
            <w:hideMark/>
          </w:tcPr>
          <w:p w14:paraId="79BC1540" w14:textId="52FFC657"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$11,794</w:t>
            </w:r>
          </w:p>
        </w:tc>
        <w:tc>
          <w:tcPr>
            <w:tcW w:w="831" w:type="dxa"/>
            <w:gridSpan w:val="2"/>
            <w:noWrap/>
            <w:hideMark/>
          </w:tcPr>
          <w:p w14:paraId="3F883B73" w14:textId="3968E8BF"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$1,026</w:t>
            </w:r>
          </w:p>
        </w:tc>
        <w:tc>
          <w:tcPr>
            <w:tcW w:w="831" w:type="dxa"/>
            <w:noWrap/>
            <w:hideMark/>
          </w:tcPr>
          <w:p w14:paraId="685D86B6" w14:textId="08B5CBDF"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$14,225</w:t>
            </w:r>
          </w:p>
        </w:tc>
        <w:tc>
          <w:tcPr>
            <w:tcW w:w="831" w:type="dxa"/>
            <w:noWrap/>
            <w:hideMark/>
          </w:tcPr>
          <w:p w14:paraId="6705EF72" w14:textId="415ACD61"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$3,148</w:t>
            </w:r>
          </w:p>
        </w:tc>
        <w:tc>
          <w:tcPr>
            <w:tcW w:w="831" w:type="dxa"/>
            <w:noWrap/>
            <w:hideMark/>
          </w:tcPr>
          <w:p w14:paraId="69BFE7DD" w14:textId="5385D1E3"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$4,702</w:t>
            </w:r>
          </w:p>
        </w:tc>
        <w:tc>
          <w:tcPr>
            <w:tcW w:w="831" w:type="dxa"/>
            <w:gridSpan w:val="2"/>
            <w:noWrap/>
            <w:hideMark/>
          </w:tcPr>
          <w:p w14:paraId="022F085E" w14:textId="4FD1CE86"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$4,087</w:t>
            </w:r>
          </w:p>
        </w:tc>
        <w:tc>
          <w:tcPr>
            <w:tcW w:w="831" w:type="dxa"/>
            <w:noWrap/>
            <w:hideMark/>
          </w:tcPr>
          <w:p w14:paraId="6160B405" w14:textId="3EECDB72"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$4,752</w:t>
            </w:r>
          </w:p>
        </w:tc>
        <w:tc>
          <w:tcPr>
            <w:tcW w:w="831" w:type="dxa"/>
            <w:noWrap/>
            <w:hideMark/>
          </w:tcPr>
          <w:p w14:paraId="55E714A9" w14:textId="1FAB8C6B"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$5,280</w:t>
            </w:r>
          </w:p>
        </w:tc>
        <w:tc>
          <w:tcPr>
            <w:tcW w:w="918" w:type="dxa"/>
            <w:noWrap/>
            <w:hideMark/>
          </w:tcPr>
          <w:p w14:paraId="1D107701" w14:textId="13369CD8"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$7,956</w:t>
            </w:r>
          </w:p>
        </w:tc>
      </w:tr>
      <w:tr w:rsidR="008867F7" w:rsidRPr="00F307F6" w14:paraId="266DBCF6" w14:textId="77777777" w:rsidTr="008409E2">
        <w:trPr>
          <w:trHeight w:val="316"/>
        </w:trPr>
        <w:tc>
          <w:tcPr>
            <w:cnfStyle w:val="001000000000" w:firstRow="0" w:lastRow="0" w:firstColumn="1" w:lastColumn="0" w:oddVBand="0" w:evenVBand="0" w:oddHBand="0" w:evenHBand="0" w:firstRowFirstColumn="0" w:firstRowLastColumn="0" w:lastRowFirstColumn="0" w:lastRowLastColumn="0"/>
            <w:tcW w:w="1121" w:type="dxa"/>
            <w:noWrap/>
            <w:hideMark/>
          </w:tcPr>
          <w:p w14:paraId="1E489A91" w14:textId="77777777" w:rsidR="00B93468" w:rsidRPr="00F307F6" w:rsidRDefault="00B93468" w:rsidP="00F307F6">
            <w:pPr>
              <w:pStyle w:val="TableofAuthorities"/>
            </w:pPr>
            <w:r w:rsidRPr="00F307F6">
              <w:t>Expenses ($m)</w:t>
            </w:r>
          </w:p>
        </w:tc>
        <w:tc>
          <w:tcPr>
            <w:tcW w:w="831" w:type="dxa"/>
            <w:noWrap/>
            <w:hideMark/>
          </w:tcPr>
          <w:p w14:paraId="625E7162" w14:textId="312BD83F"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$24,339</w:t>
            </w:r>
          </w:p>
        </w:tc>
        <w:tc>
          <w:tcPr>
            <w:tcW w:w="831" w:type="dxa"/>
            <w:gridSpan w:val="2"/>
            <w:noWrap/>
            <w:hideMark/>
          </w:tcPr>
          <w:p w14:paraId="5C30AC18" w14:textId="7A13B130"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$10,097</w:t>
            </w:r>
          </w:p>
        </w:tc>
        <w:tc>
          <w:tcPr>
            <w:tcW w:w="831" w:type="dxa"/>
            <w:noWrap/>
            <w:hideMark/>
          </w:tcPr>
          <w:p w14:paraId="5246F959" w14:textId="60818981"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$13,046</w:t>
            </w:r>
          </w:p>
        </w:tc>
        <w:tc>
          <w:tcPr>
            <w:tcW w:w="831" w:type="dxa"/>
            <w:gridSpan w:val="2"/>
            <w:noWrap/>
            <w:hideMark/>
          </w:tcPr>
          <w:p w14:paraId="07D8A300" w14:textId="6484F87F"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$1,196</w:t>
            </w:r>
          </w:p>
        </w:tc>
        <w:tc>
          <w:tcPr>
            <w:tcW w:w="831" w:type="dxa"/>
            <w:noWrap/>
            <w:hideMark/>
          </w:tcPr>
          <w:p w14:paraId="1CF1FE69" w14:textId="5C3E09C9"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$15,536</w:t>
            </w:r>
          </w:p>
        </w:tc>
        <w:tc>
          <w:tcPr>
            <w:tcW w:w="831" w:type="dxa"/>
            <w:noWrap/>
            <w:hideMark/>
          </w:tcPr>
          <w:p w14:paraId="0AB9B998" w14:textId="530A4234"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$3,525</w:t>
            </w:r>
          </w:p>
        </w:tc>
        <w:tc>
          <w:tcPr>
            <w:tcW w:w="831" w:type="dxa"/>
            <w:noWrap/>
            <w:hideMark/>
          </w:tcPr>
          <w:p w14:paraId="1211BF95" w14:textId="4B9AAB18"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$5,277</w:t>
            </w:r>
          </w:p>
        </w:tc>
        <w:tc>
          <w:tcPr>
            <w:tcW w:w="831" w:type="dxa"/>
            <w:gridSpan w:val="2"/>
            <w:noWrap/>
            <w:hideMark/>
          </w:tcPr>
          <w:p w14:paraId="4DEF75EB" w14:textId="07A28845"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$4,418</w:t>
            </w:r>
          </w:p>
        </w:tc>
        <w:tc>
          <w:tcPr>
            <w:tcW w:w="831" w:type="dxa"/>
            <w:noWrap/>
            <w:hideMark/>
          </w:tcPr>
          <w:p w14:paraId="768B9A73" w14:textId="01527CA9"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$5,169</w:t>
            </w:r>
          </w:p>
        </w:tc>
        <w:tc>
          <w:tcPr>
            <w:tcW w:w="831" w:type="dxa"/>
            <w:noWrap/>
            <w:hideMark/>
          </w:tcPr>
          <w:p w14:paraId="64B12510" w14:textId="54851EB5"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$5,820</w:t>
            </w:r>
          </w:p>
        </w:tc>
        <w:tc>
          <w:tcPr>
            <w:tcW w:w="918" w:type="dxa"/>
            <w:noWrap/>
            <w:hideMark/>
          </w:tcPr>
          <w:p w14:paraId="7AE7B73E" w14:textId="11F7F241"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$8,931</w:t>
            </w:r>
          </w:p>
        </w:tc>
      </w:tr>
      <w:tr w:rsidR="008867F7" w:rsidRPr="00F307F6" w14:paraId="35D546C5" w14:textId="77777777" w:rsidTr="008409E2">
        <w:trPr>
          <w:trHeight w:val="316"/>
        </w:trPr>
        <w:tc>
          <w:tcPr>
            <w:cnfStyle w:val="001000000000" w:firstRow="0" w:lastRow="0" w:firstColumn="1" w:lastColumn="0" w:oddVBand="0" w:evenVBand="0" w:oddHBand="0" w:evenHBand="0" w:firstRowFirstColumn="0" w:firstRowLastColumn="0" w:lastRowFirstColumn="0" w:lastRowLastColumn="0"/>
            <w:tcW w:w="1121" w:type="dxa"/>
            <w:noWrap/>
            <w:hideMark/>
          </w:tcPr>
          <w:p w14:paraId="5AF6F186" w14:textId="77777777" w:rsidR="00B93468" w:rsidRPr="00F307F6" w:rsidRDefault="00B93468" w:rsidP="00F307F6">
            <w:pPr>
              <w:pStyle w:val="TableofAuthorities"/>
            </w:pPr>
            <w:r w:rsidRPr="00F307F6">
              <w:t>Profit ($m)</w:t>
            </w:r>
          </w:p>
        </w:tc>
        <w:tc>
          <w:tcPr>
            <w:tcW w:w="831" w:type="dxa"/>
            <w:noWrap/>
            <w:hideMark/>
          </w:tcPr>
          <w:p w14:paraId="4E9C7872" w14:textId="10DF64DC"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$2,264</w:t>
            </w:r>
            <w:r w:rsidRPr="00F307F6">
              <w:t>)</w:t>
            </w:r>
          </w:p>
        </w:tc>
        <w:tc>
          <w:tcPr>
            <w:tcW w:w="831" w:type="dxa"/>
            <w:gridSpan w:val="2"/>
            <w:noWrap/>
            <w:hideMark/>
          </w:tcPr>
          <w:p w14:paraId="63C5944A" w14:textId="1965D9CB"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$842</w:t>
            </w:r>
            <w:r w:rsidRPr="00F307F6">
              <w:t>)</w:t>
            </w:r>
          </w:p>
        </w:tc>
        <w:tc>
          <w:tcPr>
            <w:tcW w:w="831" w:type="dxa"/>
            <w:noWrap/>
            <w:hideMark/>
          </w:tcPr>
          <w:p w14:paraId="2DD6C3C9" w14:textId="5E0D9CBB"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$1,252</w:t>
            </w:r>
            <w:r w:rsidRPr="00F307F6">
              <w:t>)</w:t>
            </w:r>
          </w:p>
        </w:tc>
        <w:tc>
          <w:tcPr>
            <w:tcW w:w="831" w:type="dxa"/>
            <w:gridSpan w:val="2"/>
            <w:noWrap/>
            <w:hideMark/>
          </w:tcPr>
          <w:p w14:paraId="2321B4E3" w14:textId="735158A9"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$171</w:t>
            </w:r>
            <w:r w:rsidRPr="00F307F6">
              <w:t>)</w:t>
            </w:r>
          </w:p>
        </w:tc>
        <w:tc>
          <w:tcPr>
            <w:tcW w:w="831" w:type="dxa"/>
            <w:noWrap/>
            <w:hideMark/>
          </w:tcPr>
          <w:p w14:paraId="5F252B26" w14:textId="63C9FC81"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$1,311</w:t>
            </w:r>
            <w:r w:rsidRPr="00F307F6">
              <w:t>)</w:t>
            </w:r>
          </w:p>
        </w:tc>
        <w:tc>
          <w:tcPr>
            <w:tcW w:w="831" w:type="dxa"/>
            <w:noWrap/>
            <w:hideMark/>
          </w:tcPr>
          <w:p w14:paraId="2FF543F9" w14:textId="61A7A8BD"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$378</w:t>
            </w:r>
            <w:r w:rsidRPr="00F307F6">
              <w:t>)</w:t>
            </w:r>
          </w:p>
        </w:tc>
        <w:tc>
          <w:tcPr>
            <w:tcW w:w="831" w:type="dxa"/>
            <w:noWrap/>
            <w:hideMark/>
          </w:tcPr>
          <w:p w14:paraId="6F3D61E6" w14:textId="2D5F8311"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$575</w:t>
            </w:r>
            <w:r w:rsidRPr="00F307F6">
              <w:t>)</w:t>
            </w:r>
          </w:p>
        </w:tc>
        <w:tc>
          <w:tcPr>
            <w:tcW w:w="831" w:type="dxa"/>
            <w:gridSpan w:val="2"/>
            <w:noWrap/>
            <w:hideMark/>
          </w:tcPr>
          <w:p w14:paraId="20E1A879" w14:textId="1C6827D9"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$331</w:t>
            </w:r>
            <w:r w:rsidRPr="00F307F6">
              <w:t>)</w:t>
            </w:r>
          </w:p>
        </w:tc>
        <w:tc>
          <w:tcPr>
            <w:tcW w:w="831" w:type="dxa"/>
            <w:noWrap/>
            <w:hideMark/>
          </w:tcPr>
          <w:p w14:paraId="0C08DD70" w14:textId="5F99B5FE"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$418</w:t>
            </w:r>
            <w:r w:rsidRPr="00F307F6">
              <w:t>)</w:t>
            </w:r>
          </w:p>
        </w:tc>
        <w:tc>
          <w:tcPr>
            <w:tcW w:w="831" w:type="dxa"/>
            <w:noWrap/>
            <w:hideMark/>
          </w:tcPr>
          <w:p w14:paraId="4B23BCFF" w14:textId="5368B5F7"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$540</w:t>
            </w:r>
            <w:r w:rsidRPr="00F307F6">
              <w:t>)</w:t>
            </w:r>
          </w:p>
        </w:tc>
        <w:tc>
          <w:tcPr>
            <w:tcW w:w="918" w:type="dxa"/>
            <w:noWrap/>
            <w:hideMark/>
          </w:tcPr>
          <w:p w14:paraId="35165C07" w14:textId="493D2A1C"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$975</w:t>
            </w:r>
            <w:r w:rsidRPr="00F307F6">
              <w:t>)</w:t>
            </w:r>
          </w:p>
        </w:tc>
      </w:tr>
      <w:tr w:rsidR="008867F7" w:rsidRPr="00F307F6" w14:paraId="221627ED" w14:textId="77777777" w:rsidTr="008409E2">
        <w:trPr>
          <w:trHeight w:val="316"/>
        </w:trPr>
        <w:tc>
          <w:tcPr>
            <w:cnfStyle w:val="001000000000" w:firstRow="0" w:lastRow="0" w:firstColumn="1" w:lastColumn="0" w:oddVBand="0" w:evenVBand="0" w:oddHBand="0" w:evenHBand="0" w:firstRowFirstColumn="0" w:firstRowLastColumn="0" w:lastRowFirstColumn="0" w:lastRowLastColumn="0"/>
            <w:tcW w:w="1121" w:type="dxa"/>
            <w:noWrap/>
            <w:hideMark/>
          </w:tcPr>
          <w:p w14:paraId="5208BF51" w14:textId="77777777" w:rsidR="00B93468" w:rsidRPr="00F307F6" w:rsidRDefault="00B93468" w:rsidP="00F307F6">
            <w:pPr>
              <w:pStyle w:val="TableofAuthorities"/>
            </w:pPr>
            <w:r w:rsidRPr="00F307F6">
              <w:t>EBITDA ($m)</w:t>
            </w:r>
          </w:p>
        </w:tc>
        <w:tc>
          <w:tcPr>
            <w:tcW w:w="831" w:type="dxa"/>
            <w:noWrap/>
            <w:hideMark/>
          </w:tcPr>
          <w:p w14:paraId="34A078C4" w14:textId="7F7A5987"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$9</w:t>
            </w:r>
            <w:r w:rsidRPr="00F307F6">
              <w:t>)</w:t>
            </w:r>
          </w:p>
        </w:tc>
        <w:tc>
          <w:tcPr>
            <w:tcW w:w="831" w:type="dxa"/>
            <w:gridSpan w:val="2"/>
            <w:noWrap/>
            <w:hideMark/>
          </w:tcPr>
          <w:p w14:paraId="0B45D817" w14:textId="6B117EE7"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$223</w:t>
            </w:r>
          </w:p>
        </w:tc>
        <w:tc>
          <w:tcPr>
            <w:tcW w:w="831" w:type="dxa"/>
            <w:noWrap/>
            <w:hideMark/>
          </w:tcPr>
          <w:p w14:paraId="117F9884" w14:textId="4822339B"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$136</w:t>
            </w:r>
            <w:r w:rsidRPr="00F307F6">
              <w:t>)</w:t>
            </w:r>
          </w:p>
        </w:tc>
        <w:tc>
          <w:tcPr>
            <w:tcW w:w="831" w:type="dxa"/>
            <w:gridSpan w:val="2"/>
            <w:noWrap/>
            <w:hideMark/>
          </w:tcPr>
          <w:p w14:paraId="670AAF3B" w14:textId="264AF2B6"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$96</w:t>
            </w:r>
            <w:r w:rsidRPr="00F307F6">
              <w:t>)</w:t>
            </w:r>
          </w:p>
        </w:tc>
        <w:tc>
          <w:tcPr>
            <w:tcW w:w="831" w:type="dxa"/>
            <w:noWrap/>
            <w:hideMark/>
          </w:tcPr>
          <w:p w14:paraId="1FF15BE1" w14:textId="2DFD8C0D"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$203</w:t>
            </w:r>
          </w:p>
        </w:tc>
        <w:tc>
          <w:tcPr>
            <w:tcW w:w="831" w:type="dxa"/>
            <w:noWrap/>
            <w:hideMark/>
          </w:tcPr>
          <w:p w14:paraId="095E7A5E" w14:textId="0E98C52D"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$143</w:t>
            </w:r>
            <w:r w:rsidRPr="00F307F6">
              <w:t>)</w:t>
            </w:r>
          </w:p>
        </w:tc>
        <w:tc>
          <w:tcPr>
            <w:tcW w:w="831" w:type="dxa"/>
            <w:noWrap/>
            <w:hideMark/>
          </w:tcPr>
          <w:p w14:paraId="08892166" w14:textId="6CB2F442"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$69</w:t>
            </w:r>
            <w:r w:rsidRPr="00F307F6">
              <w:t>)</w:t>
            </w:r>
          </w:p>
        </w:tc>
        <w:tc>
          <w:tcPr>
            <w:tcW w:w="831" w:type="dxa"/>
            <w:gridSpan w:val="2"/>
            <w:noWrap/>
            <w:hideMark/>
          </w:tcPr>
          <w:p w14:paraId="0FD2F0D8" w14:textId="252E7977"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$26</w:t>
            </w:r>
          </w:p>
        </w:tc>
        <w:tc>
          <w:tcPr>
            <w:tcW w:w="831" w:type="dxa"/>
            <w:noWrap/>
            <w:hideMark/>
          </w:tcPr>
          <w:p w14:paraId="2A6E3715" w14:textId="085A1D48"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$14</w:t>
            </w:r>
            <w:r w:rsidRPr="00F307F6">
              <w:t>)</w:t>
            </w:r>
          </w:p>
        </w:tc>
        <w:tc>
          <w:tcPr>
            <w:tcW w:w="831" w:type="dxa"/>
            <w:noWrap/>
            <w:hideMark/>
          </w:tcPr>
          <w:p w14:paraId="6143E556" w14:textId="470A65DD"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$22</w:t>
            </w:r>
          </w:p>
        </w:tc>
        <w:tc>
          <w:tcPr>
            <w:tcW w:w="918" w:type="dxa"/>
            <w:noWrap/>
            <w:hideMark/>
          </w:tcPr>
          <w:p w14:paraId="04C203BD" w14:textId="715F2FCB"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$43</w:t>
            </w:r>
            <w:r w:rsidRPr="00F307F6">
              <w:t>)</w:t>
            </w:r>
          </w:p>
        </w:tc>
      </w:tr>
      <w:tr w:rsidR="008867F7" w:rsidRPr="00F307F6" w14:paraId="00A9B4E6" w14:textId="77777777" w:rsidTr="008409E2">
        <w:trPr>
          <w:trHeight w:val="316"/>
        </w:trPr>
        <w:tc>
          <w:tcPr>
            <w:cnfStyle w:val="001000000000" w:firstRow="0" w:lastRow="0" w:firstColumn="1" w:lastColumn="0" w:oddVBand="0" w:evenVBand="0" w:oddHBand="0" w:evenHBand="0" w:firstRowFirstColumn="0" w:firstRowLastColumn="0" w:lastRowFirstColumn="0" w:lastRowLastColumn="0"/>
            <w:tcW w:w="1121" w:type="dxa"/>
            <w:noWrap/>
            <w:hideMark/>
          </w:tcPr>
          <w:p w14:paraId="470686C3" w14:textId="77777777" w:rsidR="00B93468" w:rsidRPr="00F307F6" w:rsidRDefault="00B93468" w:rsidP="00F307F6">
            <w:pPr>
              <w:pStyle w:val="TableofAuthorities"/>
            </w:pPr>
            <w:r w:rsidRPr="00F307F6">
              <w:t xml:space="preserve">EBITDA </w:t>
            </w:r>
            <w:proofErr w:type="spellStart"/>
            <w:r w:rsidRPr="00F307F6">
              <w:t>p.r.</w:t>
            </w:r>
            <w:proofErr w:type="gramStart"/>
            <w:r w:rsidRPr="00F307F6">
              <w:t>p.a</w:t>
            </w:r>
            <w:proofErr w:type="spellEnd"/>
            <w:proofErr w:type="gramEnd"/>
          </w:p>
        </w:tc>
        <w:tc>
          <w:tcPr>
            <w:tcW w:w="831" w:type="dxa"/>
            <w:noWrap/>
            <w:hideMark/>
          </w:tcPr>
          <w:p w14:paraId="606CD49C" w14:textId="1A8AD608"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$46</w:t>
            </w:r>
            <w:r w:rsidRPr="00F307F6">
              <w:t>)</w:t>
            </w:r>
          </w:p>
        </w:tc>
        <w:tc>
          <w:tcPr>
            <w:tcW w:w="831" w:type="dxa"/>
            <w:gridSpan w:val="2"/>
            <w:noWrap/>
            <w:hideMark/>
          </w:tcPr>
          <w:p w14:paraId="4A25427B" w14:textId="629CFE95"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$2,920</w:t>
            </w:r>
          </w:p>
        </w:tc>
        <w:tc>
          <w:tcPr>
            <w:tcW w:w="831" w:type="dxa"/>
            <w:noWrap/>
            <w:hideMark/>
          </w:tcPr>
          <w:p w14:paraId="12745269" w14:textId="5A78E65D" w:rsidR="00B93468" w:rsidRPr="00F307F6" w:rsidRDefault="0077351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$1,294</w:t>
            </w:r>
            <w:r w:rsidRPr="00F307F6">
              <w:t>)</w:t>
            </w:r>
          </w:p>
        </w:tc>
        <w:tc>
          <w:tcPr>
            <w:tcW w:w="831" w:type="dxa"/>
            <w:gridSpan w:val="2"/>
            <w:noWrap/>
            <w:hideMark/>
          </w:tcPr>
          <w:p w14:paraId="138A44F0" w14:textId="1CF4C121" w:rsidR="00B93468" w:rsidRPr="00F307F6" w:rsidRDefault="007060D0"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$13,660</w:t>
            </w:r>
            <w:r w:rsidRPr="00F307F6">
              <w:t>)</w:t>
            </w:r>
          </w:p>
        </w:tc>
        <w:tc>
          <w:tcPr>
            <w:tcW w:w="831" w:type="dxa"/>
            <w:noWrap/>
            <w:hideMark/>
          </w:tcPr>
          <w:p w14:paraId="3A8366E8" w14:textId="18AAA5B8"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$1,703</w:t>
            </w:r>
          </w:p>
        </w:tc>
        <w:tc>
          <w:tcPr>
            <w:tcW w:w="831" w:type="dxa"/>
            <w:noWrap/>
            <w:hideMark/>
          </w:tcPr>
          <w:p w14:paraId="5E0FA334" w14:textId="5ACA7935" w:rsidR="00B93468" w:rsidRPr="00F307F6" w:rsidRDefault="007060D0"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$5,325</w:t>
            </w:r>
            <w:r w:rsidRPr="00F307F6">
              <w:t>)</w:t>
            </w:r>
          </w:p>
        </w:tc>
        <w:tc>
          <w:tcPr>
            <w:tcW w:w="831" w:type="dxa"/>
            <w:noWrap/>
            <w:hideMark/>
          </w:tcPr>
          <w:p w14:paraId="18F4E253" w14:textId="74493CF6" w:rsidR="00B93468" w:rsidRPr="00F307F6" w:rsidRDefault="007060D0"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$1,655</w:t>
            </w:r>
            <w:r w:rsidRPr="00F307F6">
              <w:t>)</w:t>
            </w:r>
          </w:p>
        </w:tc>
        <w:tc>
          <w:tcPr>
            <w:tcW w:w="831" w:type="dxa"/>
            <w:gridSpan w:val="2"/>
            <w:noWrap/>
            <w:hideMark/>
          </w:tcPr>
          <w:p w14:paraId="059B5B3B" w14:textId="6661D0C0"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$731</w:t>
            </w:r>
          </w:p>
        </w:tc>
        <w:tc>
          <w:tcPr>
            <w:tcW w:w="831" w:type="dxa"/>
            <w:noWrap/>
            <w:hideMark/>
          </w:tcPr>
          <w:p w14:paraId="34078814" w14:textId="00FADFB8" w:rsidR="00B93468" w:rsidRPr="00F307F6" w:rsidRDefault="007060D0"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$349</w:t>
            </w:r>
            <w:r w:rsidRPr="00F307F6">
              <w:t>)</w:t>
            </w:r>
          </w:p>
        </w:tc>
        <w:tc>
          <w:tcPr>
            <w:tcW w:w="831" w:type="dxa"/>
            <w:noWrap/>
            <w:hideMark/>
          </w:tcPr>
          <w:p w14:paraId="1FFC3019" w14:textId="7496B337"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$503</w:t>
            </w:r>
          </w:p>
        </w:tc>
        <w:tc>
          <w:tcPr>
            <w:tcW w:w="918" w:type="dxa"/>
            <w:noWrap/>
            <w:hideMark/>
          </w:tcPr>
          <w:p w14:paraId="28CDF7D7" w14:textId="731CC8B9" w:rsidR="00B93468" w:rsidRPr="00F307F6" w:rsidRDefault="007060D0"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$622</w:t>
            </w:r>
            <w:r w:rsidRPr="00F307F6">
              <w:t>)</w:t>
            </w:r>
          </w:p>
        </w:tc>
      </w:tr>
      <w:tr w:rsidR="008867F7" w:rsidRPr="00F307F6" w14:paraId="2A842BC0" w14:textId="77777777" w:rsidTr="008409E2">
        <w:trPr>
          <w:trHeight w:val="316"/>
        </w:trPr>
        <w:tc>
          <w:tcPr>
            <w:cnfStyle w:val="001000000000" w:firstRow="0" w:lastRow="0" w:firstColumn="1" w:lastColumn="0" w:oddVBand="0" w:evenVBand="0" w:oddHBand="0" w:evenHBand="0" w:firstRowFirstColumn="0" w:firstRowLastColumn="0" w:lastRowFirstColumn="0" w:lastRowLastColumn="0"/>
            <w:tcW w:w="1121" w:type="dxa"/>
            <w:noWrap/>
            <w:hideMark/>
          </w:tcPr>
          <w:p w14:paraId="098D7B1A" w14:textId="77777777" w:rsidR="00B93468" w:rsidRPr="00F307F6" w:rsidRDefault="00B93468" w:rsidP="00F307F6">
            <w:pPr>
              <w:pStyle w:val="TableofAuthorities"/>
            </w:pPr>
            <w:r w:rsidRPr="00F307F6">
              <w:t>EBITDA margin</w:t>
            </w:r>
          </w:p>
        </w:tc>
        <w:tc>
          <w:tcPr>
            <w:tcW w:w="831" w:type="dxa"/>
            <w:noWrap/>
            <w:hideMark/>
          </w:tcPr>
          <w:p w14:paraId="13B859FC" w14:textId="73A10093"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0.00%</w:t>
            </w:r>
          </w:p>
        </w:tc>
        <w:tc>
          <w:tcPr>
            <w:tcW w:w="831" w:type="dxa"/>
            <w:gridSpan w:val="2"/>
            <w:noWrap/>
            <w:hideMark/>
          </w:tcPr>
          <w:p w14:paraId="2260C6BE" w14:textId="029FEC43"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2.40%</w:t>
            </w:r>
          </w:p>
        </w:tc>
        <w:tc>
          <w:tcPr>
            <w:tcW w:w="831" w:type="dxa"/>
            <w:noWrap/>
            <w:hideMark/>
          </w:tcPr>
          <w:p w14:paraId="75B52CF7" w14:textId="3C5EAB67" w:rsidR="00B93468" w:rsidRPr="00F307F6" w:rsidRDefault="007060D0"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1.20%</w:t>
            </w:r>
            <w:r w:rsidRPr="00F307F6">
              <w:t>)</w:t>
            </w:r>
          </w:p>
        </w:tc>
        <w:tc>
          <w:tcPr>
            <w:tcW w:w="831" w:type="dxa"/>
            <w:gridSpan w:val="2"/>
            <w:noWrap/>
            <w:hideMark/>
          </w:tcPr>
          <w:p w14:paraId="428B024B" w14:textId="52C17D79" w:rsidR="00B93468" w:rsidRPr="00F307F6" w:rsidRDefault="007060D0"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9.30%</w:t>
            </w:r>
            <w:r w:rsidRPr="00F307F6">
              <w:t>)</w:t>
            </w:r>
          </w:p>
        </w:tc>
        <w:tc>
          <w:tcPr>
            <w:tcW w:w="831" w:type="dxa"/>
            <w:noWrap/>
            <w:hideMark/>
          </w:tcPr>
          <w:p w14:paraId="69E3D188" w14:textId="1ABE0A68"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1.40%</w:t>
            </w:r>
          </w:p>
        </w:tc>
        <w:tc>
          <w:tcPr>
            <w:tcW w:w="831" w:type="dxa"/>
            <w:noWrap/>
            <w:hideMark/>
          </w:tcPr>
          <w:p w14:paraId="63EA49E3" w14:textId="60359FED"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4.50%</w:t>
            </w:r>
            <w:r w:rsidRPr="00F307F6">
              <w:t>)</w:t>
            </w:r>
          </w:p>
        </w:tc>
        <w:tc>
          <w:tcPr>
            <w:tcW w:w="831" w:type="dxa"/>
            <w:noWrap/>
            <w:hideMark/>
          </w:tcPr>
          <w:p w14:paraId="2E21707E" w14:textId="0A0B0FFA"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1.50%</w:t>
            </w:r>
            <w:r w:rsidRPr="00F307F6">
              <w:t>)</w:t>
            </w:r>
          </w:p>
        </w:tc>
        <w:tc>
          <w:tcPr>
            <w:tcW w:w="831" w:type="dxa"/>
            <w:gridSpan w:val="2"/>
            <w:noWrap/>
            <w:hideMark/>
          </w:tcPr>
          <w:p w14:paraId="53E5623F" w14:textId="73E37211"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0.60%</w:t>
            </w:r>
          </w:p>
        </w:tc>
        <w:tc>
          <w:tcPr>
            <w:tcW w:w="831" w:type="dxa"/>
            <w:noWrap/>
            <w:hideMark/>
          </w:tcPr>
          <w:p w14:paraId="21F6E7E0" w14:textId="57ADFFAB"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0.30%</w:t>
            </w:r>
            <w:r w:rsidRPr="00F307F6">
              <w:t>)</w:t>
            </w:r>
          </w:p>
        </w:tc>
        <w:tc>
          <w:tcPr>
            <w:tcW w:w="831" w:type="dxa"/>
            <w:noWrap/>
            <w:hideMark/>
          </w:tcPr>
          <w:p w14:paraId="182A3FD0" w14:textId="314B46D2" w:rsidR="00B93468" w:rsidRPr="00F307F6" w:rsidRDefault="00B934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0.40%</w:t>
            </w:r>
          </w:p>
        </w:tc>
        <w:tc>
          <w:tcPr>
            <w:tcW w:w="918" w:type="dxa"/>
            <w:noWrap/>
            <w:hideMark/>
          </w:tcPr>
          <w:p w14:paraId="27DED453" w14:textId="596AC19A"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0.50%</w:t>
            </w:r>
            <w:r w:rsidRPr="00F307F6">
              <w:t>)</w:t>
            </w:r>
          </w:p>
        </w:tc>
      </w:tr>
      <w:tr w:rsidR="008867F7" w:rsidRPr="00F307F6" w14:paraId="5BE08DBA" w14:textId="77777777" w:rsidTr="008409E2">
        <w:trPr>
          <w:trHeight w:val="327"/>
        </w:trPr>
        <w:tc>
          <w:tcPr>
            <w:cnfStyle w:val="001000000000" w:firstRow="0" w:lastRow="0" w:firstColumn="1" w:lastColumn="0" w:oddVBand="0" w:evenVBand="0" w:oddHBand="0" w:evenHBand="0" w:firstRowFirstColumn="0" w:firstRowLastColumn="0" w:lastRowFirstColumn="0" w:lastRowLastColumn="0"/>
            <w:tcW w:w="1121" w:type="dxa"/>
            <w:noWrap/>
            <w:hideMark/>
          </w:tcPr>
          <w:p w14:paraId="2B8F360C" w14:textId="77777777" w:rsidR="00B93468" w:rsidRPr="00F307F6" w:rsidRDefault="00B93468" w:rsidP="00F307F6">
            <w:pPr>
              <w:pStyle w:val="TableofAuthorities"/>
            </w:pPr>
            <w:r w:rsidRPr="00F307F6">
              <w:t>NPBT margin</w:t>
            </w:r>
          </w:p>
        </w:tc>
        <w:tc>
          <w:tcPr>
            <w:tcW w:w="831" w:type="dxa"/>
            <w:noWrap/>
            <w:hideMark/>
          </w:tcPr>
          <w:p w14:paraId="30194746" w14:textId="50F9A991"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10.30%</w:t>
            </w:r>
            <w:r w:rsidRPr="00F307F6">
              <w:t>)</w:t>
            </w:r>
          </w:p>
        </w:tc>
        <w:tc>
          <w:tcPr>
            <w:tcW w:w="831" w:type="dxa"/>
            <w:gridSpan w:val="2"/>
            <w:noWrap/>
            <w:hideMark/>
          </w:tcPr>
          <w:p w14:paraId="54D004E5" w14:textId="4FC712A2"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9.10%</w:t>
            </w:r>
            <w:r w:rsidRPr="00F307F6">
              <w:t>)</w:t>
            </w:r>
          </w:p>
        </w:tc>
        <w:tc>
          <w:tcPr>
            <w:tcW w:w="831" w:type="dxa"/>
            <w:noWrap/>
            <w:hideMark/>
          </w:tcPr>
          <w:p w14:paraId="4B58B56F" w14:textId="4D6B92A8"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10.60%</w:t>
            </w:r>
            <w:r w:rsidRPr="00F307F6">
              <w:t>)</w:t>
            </w:r>
          </w:p>
        </w:tc>
        <w:tc>
          <w:tcPr>
            <w:tcW w:w="831" w:type="dxa"/>
            <w:gridSpan w:val="2"/>
            <w:noWrap/>
            <w:hideMark/>
          </w:tcPr>
          <w:p w14:paraId="253540E9" w14:textId="476A3545"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16.60%</w:t>
            </w:r>
            <w:r w:rsidRPr="00F307F6">
              <w:t>)</w:t>
            </w:r>
          </w:p>
        </w:tc>
        <w:tc>
          <w:tcPr>
            <w:tcW w:w="831" w:type="dxa"/>
            <w:noWrap/>
            <w:hideMark/>
          </w:tcPr>
          <w:p w14:paraId="0707FF78" w14:textId="3917C9DC"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9.20%</w:t>
            </w:r>
            <w:r w:rsidRPr="00F307F6">
              <w:t>)</w:t>
            </w:r>
          </w:p>
        </w:tc>
        <w:tc>
          <w:tcPr>
            <w:tcW w:w="831" w:type="dxa"/>
            <w:noWrap/>
            <w:hideMark/>
          </w:tcPr>
          <w:p w14:paraId="58E04362" w14:textId="06E2A310"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12.00%</w:t>
            </w:r>
            <w:r w:rsidRPr="00F307F6">
              <w:t>)</w:t>
            </w:r>
          </w:p>
        </w:tc>
        <w:tc>
          <w:tcPr>
            <w:tcW w:w="831" w:type="dxa"/>
            <w:noWrap/>
            <w:hideMark/>
          </w:tcPr>
          <w:p w14:paraId="2E85E78F" w14:textId="422CBC68"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12.20%</w:t>
            </w:r>
            <w:r w:rsidRPr="00F307F6">
              <w:t>)</w:t>
            </w:r>
          </w:p>
        </w:tc>
        <w:tc>
          <w:tcPr>
            <w:tcW w:w="831" w:type="dxa"/>
            <w:gridSpan w:val="2"/>
            <w:noWrap/>
            <w:hideMark/>
          </w:tcPr>
          <w:p w14:paraId="6211346F" w14:textId="33D823C7"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8.10%</w:t>
            </w:r>
            <w:r w:rsidRPr="00F307F6">
              <w:t>)</w:t>
            </w:r>
          </w:p>
        </w:tc>
        <w:tc>
          <w:tcPr>
            <w:tcW w:w="831" w:type="dxa"/>
            <w:noWrap/>
            <w:hideMark/>
          </w:tcPr>
          <w:p w14:paraId="49157E36" w14:textId="2D803DBA"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8.80%</w:t>
            </w:r>
            <w:r w:rsidRPr="00F307F6">
              <w:t>)</w:t>
            </w:r>
          </w:p>
        </w:tc>
        <w:tc>
          <w:tcPr>
            <w:tcW w:w="831" w:type="dxa"/>
            <w:noWrap/>
            <w:hideMark/>
          </w:tcPr>
          <w:p w14:paraId="5897A912" w14:textId="4A9678B7" w:rsidR="00B93468" w:rsidRPr="00F307F6" w:rsidRDefault="003A0168"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10.20%</w:t>
            </w:r>
            <w:r w:rsidRPr="00F307F6">
              <w:t>)</w:t>
            </w:r>
          </w:p>
        </w:tc>
        <w:tc>
          <w:tcPr>
            <w:tcW w:w="918" w:type="dxa"/>
            <w:noWrap/>
            <w:hideMark/>
          </w:tcPr>
          <w:p w14:paraId="4D3DEE01" w14:textId="4DAF8C8B" w:rsidR="00B93468" w:rsidRPr="00F307F6" w:rsidRDefault="00D67AA1"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w:t>
            </w:r>
            <w:r w:rsidR="00B93468" w:rsidRPr="00F307F6">
              <w:t>12.30%</w:t>
            </w:r>
            <w:r w:rsidRPr="00F307F6">
              <w:t>)</w:t>
            </w:r>
          </w:p>
        </w:tc>
      </w:tr>
    </w:tbl>
    <w:p w14:paraId="394413A0" w14:textId="2EEA2CE5" w:rsidR="00C02E2C" w:rsidRDefault="000B17F9" w:rsidP="00C02E2C">
      <w:r>
        <w:t>Figure 3.</w:t>
      </w:r>
      <w:r w:rsidR="00617101">
        <w:t xml:space="preserve">2 </w:t>
      </w:r>
      <w:r w:rsidR="00C02E2C">
        <w:t>shows</w:t>
      </w:r>
      <w:r w:rsidR="00C02E2C">
        <w:rPr>
          <w:spacing w:val="-8"/>
        </w:rPr>
        <w:t xml:space="preserve"> </w:t>
      </w:r>
      <w:r w:rsidR="00C02E2C">
        <w:t>a</w:t>
      </w:r>
      <w:r w:rsidR="00C02E2C">
        <w:rPr>
          <w:spacing w:val="-8"/>
        </w:rPr>
        <w:t xml:space="preserve"> </w:t>
      </w:r>
      <w:r w:rsidR="00C02E2C">
        <w:t>visual</w:t>
      </w:r>
      <w:r w:rsidR="00C02E2C">
        <w:rPr>
          <w:spacing w:val="-8"/>
        </w:rPr>
        <w:t xml:space="preserve"> </w:t>
      </w:r>
      <w:r w:rsidR="00C02E2C">
        <w:t>summary</w:t>
      </w:r>
      <w:r w:rsidR="00C02E2C">
        <w:rPr>
          <w:spacing w:val="-8"/>
        </w:rPr>
        <w:t xml:space="preserve"> </w:t>
      </w:r>
      <w:r w:rsidR="00C02E2C">
        <w:t>of</w:t>
      </w:r>
      <w:r w:rsidR="00C02E2C">
        <w:rPr>
          <w:spacing w:val="-8"/>
        </w:rPr>
        <w:t xml:space="preserve"> </w:t>
      </w:r>
      <w:r w:rsidR="00C02E2C">
        <w:t>income and expenses categories within residential care.</w:t>
      </w:r>
    </w:p>
    <w:p w14:paraId="00F7440A" w14:textId="77777777" w:rsidR="00A07FDA" w:rsidRPr="00F307F6" w:rsidRDefault="00F9447D" w:rsidP="00F307F6">
      <w:r w:rsidRPr="00D779FC">
        <w:t>In 202</w:t>
      </w:r>
      <w:r>
        <w:t>1</w:t>
      </w:r>
      <w:r w:rsidRPr="00D779FC">
        <w:t>–2</w:t>
      </w:r>
      <w:r>
        <w:t>2</w:t>
      </w:r>
      <w:r w:rsidRPr="00D779FC">
        <w:t xml:space="preserve">, </w:t>
      </w:r>
      <w:r>
        <w:t>residential aged care</w:t>
      </w:r>
      <w:r w:rsidRPr="00D779FC">
        <w:t xml:space="preserve"> providers reported an average loss of $</w:t>
      </w:r>
      <w:r>
        <w:t>32.97</w:t>
      </w:r>
      <w:r w:rsidRPr="00D779FC">
        <w:t xml:space="preserve"> per </w:t>
      </w:r>
      <w:r w:rsidRPr="00F307F6">
        <w:t xml:space="preserve">resident per day. When comparing care income with total care expenses, there is a positive average care result of $19.36 per resident per day at the sector level. This is a decrease of $5.78 per resident per day from 2020-21 when the care result average was $25.14 per resident per day. This decrease can likely be attributed to the sector spending more on care expenses such as labour to meet the increasing care minute requirements. </w:t>
      </w:r>
    </w:p>
    <w:p w14:paraId="629E8CA7" w14:textId="323D9E86" w:rsidR="00F9447D" w:rsidRDefault="00F9447D" w:rsidP="00F307F6">
      <w:r w:rsidRPr="00F307F6">
        <w:t xml:space="preserve">From 2020-21 to 2021-22 the </w:t>
      </w:r>
      <w:r w:rsidR="7359C561" w:rsidRPr="00F307F6">
        <w:t>Financial Report on the Australian Aged Care Sector (</w:t>
      </w:r>
      <w:r w:rsidRPr="00F307F6">
        <w:t>FRAACS</w:t>
      </w:r>
      <w:r w:rsidR="0BA0A380" w:rsidRPr="00F307F6">
        <w:t>)</w:t>
      </w:r>
      <w:r w:rsidRPr="00F307F6">
        <w:t xml:space="preserve"> shows that the average care minute</w:t>
      </w:r>
      <w:r w:rsidR="003805E1" w:rsidRPr="00F307F6">
        <w:t xml:space="preserve">s being delivered </w:t>
      </w:r>
      <w:r w:rsidRPr="00F307F6">
        <w:t>increase</w:t>
      </w:r>
      <w:r w:rsidR="00260096" w:rsidRPr="00F307F6">
        <w:t>d</w:t>
      </w:r>
      <w:r w:rsidRPr="00F307F6">
        <w:t xml:space="preserve"> by 4.9 minutes, with registered nurse minutes increasing by an average of 1.80 minutes to </w:t>
      </w:r>
      <w:r w:rsidRPr="00F307F6">
        <w:lastRenderedPageBreak/>
        <w:t>an average</w:t>
      </w:r>
      <w:r>
        <w:t xml:space="preserve"> of 33 minutes. The </w:t>
      </w:r>
      <w:r w:rsidR="00D54A34">
        <w:t>d</w:t>
      </w:r>
      <w:r>
        <w:t xml:space="preserve">epartment expects this trend to continue into 2022-23 as the funding of care through </w:t>
      </w:r>
      <w:r w:rsidR="79EDB23A">
        <w:t>Australian National Aged Care Classification (</w:t>
      </w:r>
      <w:r>
        <w:t>AN-ACC</w:t>
      </w:r>
      <w:r w:rsidR="1B9D9EED">
        <w:t>)</w:t>
      </w:r>
      <w:r>
        <w:t xml:space="preserve"> is more closely aligned to the delivery of care</w:t>
      </w:r>
      <w:r w:rsidR="003805E1">
        <w:t>, and as care minute targets become mandatory from 1 October 2023</w:t>
      </w:r>
      <w:r>
        <w:t xml:space="preserve">. </w:t>
      </w:r>
    </w:p>
    <w:p w14:paraId="71C6593B" w14:textId="280596DC" w:rsidR="00F9447D" w:rsidRDefault="00F9447D" w:rsidP="00F307F6">
      <w:r>
        <w:t xml:space="preserve">The hotel income and expense comparison </w:t>
      </w:r>
      <w:proofErr w:type="gramStart"/>
      <w:r>
        <w:t>shows</w:t>
      </w:r>
      <w:proofErr w:type="gramEnd"/>
      <w:r>
        <w:t xml:space="preserve"> an average result of $10.17 per resident per day at the sector level. This was an increase of $9.26 from 2020-21 when the hotel result was $0.91. This increase can likely be attributed to the $10 Basic Daily Fee supplement in the 2021-22 financial year. </w:t>
      </w:r>
    </w:p>
    <w:p w14:paraId="5AD6E1E4" w14:textId="63D516A0" w:rsidR="00F9447D" w:rsidRDefault="00F9447D" w:rsidP="00F307F6">
      <w:r>
        <w:t>In 2021-22, the most significant loss</w:t>
      </w:r>
      <w:r w:rsidR="00173657">
        <w:t>-</w:t>
      </w:r>
      <w:r>
        <w:t>making categories for providers were administration (</w:t>
      </w:r>
      <w:r w:rsidR="00CE47AA">
        <w:t xml:space="preserve">negative </w:t>
      </w:r>
      <w:r>
        <w:t>$43.02 per resident per day), accommodation (</w:t>
      </w:r>
      <w:r w:rsidR="007049E2">
        <w:t xml:space="preserve">negative </w:t>
      </w:r>
      <w:r>
        <w:t>$14.8</w:t>
      </w:r>
      <w:r w:rsidR="00396125">
        <w:t>6</w:t>
      </w:r>
      <w:r>
        <w:t xml:space="preserve"> per resident per day), and COVID-19 (</w:t>
      </w:r>
      <w:r w:rsidR="00CE47AA">
        <w:t xml:space="preserve">negative </w:t>
      </w:r>
      <w:r>
        <w:t>$6.</w:t>
      </w:r>
      <w:r w:rsidR="00274C92">
        <w:t>3</w:t>
      </w:r>
      <w:r>
        <w:t>7 per resident per day). The accommodation category represented the largest decrease of all the categories, falling by $14.</w:t>
      </w:r>
      <w:r w:rsidR="0005551B">
        <w:t xml:space="preserve">22 </w:t>
      </w:r>
      <w:r>
        <w:t xml:space="preserve">per resident per day from 2020-21 when the accommodation and finance income result was </w:t>
      </w:r>
      <w:r w:rsidR="00006FE7">
        <w:t>negative $</w:t>
      </w:r>
      <w:r>
        <w:t xml:space="preserve">0.64 per resident per day. </w:t>
      </w:r>
      <w:r w:rsidR="00E54544">
        <w:t>Most of th</w:t>
      </w:r>
      <w:r w:rsidR="009871DF">
        <w:t xml:space="preserve">e accommodation </w:t>
      </w:r>
      <w:r w:rsidR="00E54544">
        <w:t>loss of $14.86 per resident per day</w:t>
      </w:r>
      <w:r w:rsidR="00E54544" w:rsidDel="003E3BED">
        <w:t xml:space="preserve"> </w:t>
      </w:r>
      <w:r w:rsidR="009871DF">
        <w:t xml:space="preserve">can be attributed to </w:t>
      </w:r>
      <w:r w:rsidR="00E54544">
        <w:t xml:space="preserve">a </w:t>
      </w:r>
      <w:r w:rsidR="00E54544" w:rsidRPr="00217FE0">
        <w:t>loss of $813</w:t>
      </w:r>
      <w:r w:rsidR="00522686">
        <w:t xml:space="preserve"> </w:t>
      </w:r>
      <w:r w:rsidR="00E54544" w:rsidRPr="00217FE0">
        <w:t>m</w:t>
      </w:r>
      <w:r w:rsidR="00522686">
        <w:t>illion</w:t>
      </w:r>
      <w:r w:rsidR="00E54544" w:rsidRPr="00217FE0">
        <w:t xml:space="preserve"> in bed license amortisation</w:t>
      </w:r>
      <w:r w:rsidR="009871DF">
        <w:t xml:space="preserve">. </w:t>
      </w:r>
    </w:p>
    <w:p w14:paraId="3B48D300" w14:textId="787A38E3" w:rsidR="00BF694A" w:rsidRDefault="009871DF" w:rsidP="00BF694A">
      <w:r w:rsidRPr="004264AD">
        <w:t>The $813</w:t>
      </w:r>
      <w:r w:rsidR="002C5EC7">
        <w:t xml:space="preserve"> million</w:t>
      </w:r>
      <w:r w:rsidRPr="004264AD">
        <w:t xml:space="preserve"> bed license amortisation loss is a result of the removal of the Aged Care Approvals Round (ACAR)</w:t>
      </w:r>
      <w:r w:rsidRPr="003F783C">
        <w:t xml:space="preserve"> and the need for providers to readjust the treatment of bed licences as intangible assets. The impact of bed license amortisation will not be ongoing post 1 July 2024</w:t>
      </w:r>
      <w:r>
        <w:t>, when residential aged care places will be allocated directly to older people, rather than providers</w:t>
      </w:r>
      <w:r w:rsidRPr="003F783C">
        <w:t xml:space="preserve">. </w:t>
      </w:r>
      <w:r>
        <w:t>For more information on ACAR, please visit the department</w:t>
      </w:r>
      <w:r w:rsidR="004345D6">
        <w:t>’</w:t>
      </w:r>
      <w:r>
        <w:t xml:space="preserve">s website: </w:t>
      </w:r>
      <w:hyperlink r:id="rId69" w:history="1">
        <w:r w:rsidR="00BF694A">
          <w:rPr>
            <w:rStyle w:val="Hyperlink"/>
          </w:rPr>
          <w:t>Places to people – Embedding choice in residential aged care | Australian Government Department of Health and Aged Care</w:t>
        </w:r>
      </w:hyperlink>
    </w:p>
    <w:p w14:paraId="4BE8ABD1" w14:textId="3DCCE6A2" w:rsidR="00F9447D" w:rsidRPr="008E2604" w:rsidRDefault="00F9447D" w:rsidP="008E2604">
      <w:r w:rsidRPr="008E2604">
        <w:t>In addition to the COVID-19 income and expenditure reported i</w:t>
      </w:r>
      <w:r w:rsidR="00617101" w:rsidRPr="008E2604">
        <w:t>n Figure 3.2</w:t>
      </w:r>
      <w:r w:rsidRPr="008E2604">
        <w:t>, residential aged care providers self-reported approximately $10.81 per resident per day (or $742</w:t>
      </w:r>
      <w:r w:rsidR="008D6883" w:rsidRPr="008E2604">
        <w:t xml:space="preserve"> </w:t>
      </w:r>
      <w:r w:rsidRPr="008E2604">
        <w:t>m</w:t>
      </w:r>
      <w:r w:rsidR="008D6883" w:rsidRPr="008E2604">
        <w:t>illion</w:t>
      </w:r>
      <w:r w:rsidRPr="008E2604">
        <w:t>) in COVID-19 related grant reimbursements</w:t>
      </w:r>
      <w:r w:rsidRPr="008E2604">
        <w:footnoteReference w:id="6"/>
      </w:r>
      <w:r w:rsidRPr="008E2604">
        <w:t xml:space="preserve"> that had been claimed but not yet approved or paid</w:t>
      </w:r>
      <w:r w:rsidRPr="008E2604" w:rsidDel="00A21E85">
        <w:t xml:space="preserve"> </w:t>
      </w:r>
      <w:r w:rsidRPr="008E2604">
        <w:t xml:space="preserve">in 2021-22. This amount is not recognised as income for 2021-22 in this report, and it is a self-reported provider figure based on available COVID-19 grants in 2021-22. The department continues to work through these claims and assess them in 2022-23. The correlating approved COVID-19 grant funding may vary from the providers’ self-reported figure.  </w:t>
      </w:r>
    </w:p>
    <w:p w14:paraId="38145E9F" w14:textId="0A606F6E" w:rsidR="00F9447D" w:rsidRPr="00C37746" w:rsidRDefault="00F9447D" w:rsidP="00C37746">
      <w:r w:rsidRPr="00C37746">
        <w:t>For the first time, the</w:t>
      </w:r>
      <w:r w:rsidR="00380CD9" w:rsidRPr="00C37746">
        <w:t xml:space="preserve"> 2021-22 Aged Care Financial Report (ACFR) </w:t>
      </w:r>
      <w:r w:rsidR="002B6635" w:rsidRPr="00C37746">
        <w:t>required providers to report their administration</w:t>
      </w:r>
      <w:r w:rsidR="00380CD9" w:rsidRPr="00C37746">
        <w:t xml:space="preserve"> </w:t>
      </w:r>
      <w:r w:rsidR="009066DD" w:rsidRPr="00C37746">
        <w:t xml:space="preserve">expenses across </w:t>
      </w:r>
      <w:r w:rsidR="00FB4C34" w:rsidRPr="00C37746">
        <w:t xml:space="preserve">care, hotel, </w:t>
      </w:r>
      <w:proofErr w:type="gramStart"/>
      <w:r w:rsidR="00FB4C34" w:rsidRPr="00C37746">
        <w:t>accommodation</w:t>
      </w:r>
      <w:proofErr w:type="gramEnd"/>
      <w:r w:rsidR="00FB4C34" w:rsidRPr="00C37746">
        <w:t xml:space="preserve"> and COVID-19 </w:t>
      </w:r>
      <w:r w:rsidR="009066DD" w:rsidRPr="00C37746">
        <w:t>categories</w:t>
      </w:r>
      <w:r w:rsidRPr="00C37746">
        <w:t>.</w:t>
      </w:r>
      <w:r w:rsidR="0068539F" w:rsidRPr="00C37746">
        <w:t xml:space="preserve"> </w:t>
      </w:r>
      <w:r w:rsidR="009C594F" w:rsidRPr="00C37746">
        <w:t xml:space="preserve">Previously, providers reported administration expenses as a </w:t>
      </w:r>
      <w:r w:rsidR="00EE0C38" w:rsidRPr="00C37746">
        <w:t xml:space="preserve">separate </w:t>
      </w:r>
      <w:r w:rsidR="009C594F" w:rsidRPr="00C37746">
        <w:t>stand-alone expense.</w:t>
      </w:r>
      <w:r w:rsidR="00EE0C38" w:rsidRPr="00C37746">
        <w:t xml:space="preserve"> </w:t>
      </w:r>
      <w:r w:rsidRPr="00C37746">
        <w:t>Noting this was the first-time providers have been required to apportion administration costs, and that only 82 per cent of providers allocated 100</w:t>
      </w:r>
      <w:r w:rsidR="00153C8A" w:rsidRPr="00C37746">
        <w:t xml:space="preserve"> per cent</w:t>
      </w:r>
      <w:r w:rsidRPr="00C37746">
        <w:t xml:space="preserve"> of their administration costs across these categories, this </w:t>
      </w:r>
      <w:r w:rsidRPr="00C37746">
        <w:lastRenderedPageBreak/>
        <w:t>breakdown has not been included in this FRAACS. The department will continue to work with the sector to improve the response rate and accuracy of this data, with a view to including a break-down of administration expenses and trends in administration expenses over-time, in future FRAACS reports.</w:t>
      </w:r>
    </w:p>
    <w:p w14:paraId="4A0EADF3" w14:textId="3EA7AC67" w:rsidR="00DB20D6" w:rsidRDefault="005F743D" w:rsidP="008409E2">
      <w:pPr>
        <w:pStyle w:val="Caption"/>
        <w:keepNext w:val="0"/>
      </w:pPr>
      <w:bookmarkStart w:id="219" w:name="_Ref139553039"/>
      <w:bookmarkStart w:id="220" w:name="_Toc141271702"/>
      <w:r>
        <w:t xml:space="preserve">Figure </w:t>
      </w:r>
      <w:r>
        <w:fldChar w:fldCharType="begin"/>
      </w:r>
      <w:r>
        <w:instrText>STYLEREF 1 \s</w:instrText>
      </w:r>
      <w:r>
        <w:fldChar w:fldCharType="separate"/>
      </w:r>
      <w:r w:rsidR="00294B02">
        <w:rPr>
          <w:noProof/>
        </w:rPr>
        <w:t>3</w:t>
      </w:r>
      <w:r>
        <w:fldChar w:fldCharType="end"/>
      </w:r>
      <w:r w:rsidR="006C5BE5">
        <w:t>.</w:t>
      </w:r>
      <w:r>
        <w:fldChar w:fldCharType="begin"/>
      </w:r>
      <w:r>
        <w:instrText>SEQ Figure \* ARABIC \s 1</w:instrText>
      </w:r>
      <w:r>
        <w:fldChar w:fldCharType="separate"/>
      </w:r>
      <w:r w:rsidR="00294B02">
        <w:rPr>
          <w:noProof/>
        </w:rPr>
        <w:t>2</w:t>
      </w:r>
      <w:r>
        <w:fldChar w:fldCharType="end"/>
      </w:r>
      <w:bookmarkEnd w:id="219"/>
      <w:r>
        <w:t xml:space="preserve">: </w:t>
      </w:r>
      <w:r w:rsidRPr="00280C0E">
        <w:t xml:space="preserve">Summary of financial performance, </w:t>
      </w:r>
      <w:proofErr w:type="gramStart"/>
      <w:r w:rsidRPr="00280C0E">
        <w:t>income</w:t>
      </w:r>
      <w:proofErr w:type="gramEnd"/>
      <w:r w:rsidRPr="00280C0E">
        <w:t xml:space="preserve"> and expense categ</w:t>
      </w:r>
      <w:r>
        <w:t>o</w:t>
      </w:r>
      <w:r w:rsidRPr="00280C0E">
        <w:t>ry comparison, per resident per day, all providers, 202</w:t>
      </w:r>
      <w:r>
        <w:t>1-22</w:t>
      </w:r>
      <w:r w:rsidR="0011243E">
        <w:rPr>
          <w:rStyle w:val="FootnoteReference"/>
        </w:rPr>
        <w:footnoteReference w:id="7"/>
      </w:r>
      <w:bookmarkEnd w:id="220"/>
      <w:r w:rsidR="0011243E" w:rsidRPr="0011243E">
        <w:t xml:space="preserve"> </w:t>
      </w:r>
    </w:p>
    <w:p w14:paraId="0A8E24C0" w14:textId="568EDDB6" w:rsidR="00370CF6" w:rsidRPr="00A07F1A" w:rsidRDefault="00F5287F" w:rsidP="00A07F1A">
      <w:r>
        <w:rPr>
          <w:noProof/>
        </w:rPr>
        <w:drawing>
          <wp:inline distT="0" distB="0" distL="0" distR="0" wp14:anchorId="37B7F6D4" wp14:editId="49E073EF">
            <wp:extent cx="6048375" cy="6496817"/>
            <wp:effectExtent l="0" t="0" r="0" b="0"/>
            <wp:docPr id="27" name="Picture 27" descr="Figure 3.2 is a collection of tables giving a summary of financial performance, income and expense category comparison, per resident per day, all providers,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3.2 is a collection of tables giving a summary of financial performance, income and expense category comparison, per resident per day, all providers, 2021-22  "/>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6080128" cy="6530925"/>
                    </a:xfrm>
                    <a:prstGeom prst="rect">
                      <a:avLst/>
                    </a:prstGeom>
                    <a:noFill/>
                    <a:ln>
                      <a:noFill/>
                    </a:ln>
                  </pic:spPr>
                </pic:pic>
              </a:graphicData>
            </a:graphic>
          </wp:inline>
        </w:drawing>
      </w:r>
    </w:p>
    <w:p w14:paraId="7B20AD7D" w14:textId="22DCB315" w:rsidR="00754963" w:rsidRPr="00EA0C8A" w:rsidRDefault="00CE47AA" w:rsidP="00754963">
      <w:r w:rsidRPr="00EA0C8A">
        <w:lastRenderedPageBreak/>
        <w:fldChar w:fldCharType="begin"/>
      </w:r>
      <w:r w:rsidRPr="00EA0C8A">
        <w:instrText xml:space="preserve"> REF _Ref139553122 \h </w:instrText>
      </w:r>
      <w:r w:rsidRPr="00EA0C8A">
        <w:fldChar w:fldCharType="separate"/>
      </w:r>
      <w:r w:rsidR="00294B02">
        <w:t xml:space="preserve">Table </w:t>
      </w:r>
      <w:r w:rsidR="00294B02">
        <w:rPr>
          <w:noProof/>
        </w:rPr>
        <w:t>3</w:t>
      </w:r>
      <w:r w:rsidR="00294B02">
        <w:t>.</w:t>
      </w:r>
      <w:r w:rsidR="00294B02">
        <w:rPr>
          <w:noProof/>
        </w:rPr>
        <w:t>3</w:t>
      </w:r>
      <w:r w:rsidRPr="00EA0C8A">
        <w:fldChar w:fldCharType="end"/>
      </w:r>
      <w:r w:rsidR="000D34A9" w:rsidRPr="00EA0C8A">
        <w:t xml:space="preserve"> </w:t>
      </w:r>
      <w:r w:rsidR="00754963" w:rsidRPr="00EA0C8A">
        <w:t>shows a summary of income and expenses based on functional centres within</w:t>
      </w:r>
      <w:r w:rsidR="009B59B5" w:rsidRPr="00EA0C8A">
        <w:t xml:space="preserve"> </w:t>
      </w:r>
      <w:r w:rsidR="00754963" w:rsidRPr="00EA0C8A">
        <w:t>residential</w:t>
      </w:r>
      <w:r w:rsidR="00754963" w:rsidRPr="00EA0C8A">
        <w:rPr>
          <w:spacing w:val="-11"/>
        </w:rPr>
        <w:t xml:space="preserve"> </w:t>
      </w:r>
      <w:r w:rsidR="00754963" w:rsidRPr="00EA0C8A">
        <w:t>care.</w:t>
      </w:r>
      <w:r w:rsidR="00754963" w:rsidRPr="00EA0C8A">
        <w:rPr>
          <w:spacing w:val="-11"/>
        </w:rPr>
        <w:t xml:space="preserve"> </w:t>
      </w:r>
      <w:r w:rsidR="00754963" w:rsidRPr="00EA0C8A">
        <w:t>The</w:t>
      </w:r>
      <w:r w:rsidR="00754963" w:rsidRPr="00EA0C8A">
        <w:rPr>
          <w:spacing w:val="-11"/>
        </w:rPr>
        <w:t xml:space="preserve"> </w:t>
      </w:r>
      <w:r w:rsidR="00754963" w:rsidRPr="00EA0C8A">
        <w:t>table</w:t>
      </w:r>
      <w:r w:rsidR="00754963" w:rsidRPr="00EA0C8A">
        <w:rPr>
          <w:spacing w:val="-11"/>
        </w:rPr>
        <w:t xml:space="preserve"> </w:t>
      </w:r>
      <w:r w:rsidR="00754963" w:rsidRPr="00EA0C8A">
        <w:t>enables</w:t>
      </w:r>
      <w:r w:rsidR="00754963" w:rsidRPr="00EA0C8A">
        <w:rPr>
          <w:spacing w:val="-11"/>
        </w:rPr>
        <w:t xml:space="preserve"> </w:t>
      </w:r>
      <w:r w:rsidR="00754963" w:rsidRPr="00EA0C8A">
        <w:t>better</w:t>
      </w:r>
      <w:r w:rsidR="00754963" w:rsidRPr="00EA0C8A">
        <w:rPr>
          <w:spacing w:val="-11"/>
        </w:rPr>
        <w:t xml:space="preserve"> </w:t>
      </w:r>
      <w:r w:rsidR="00754963" w:rsidRPr="00EA0C8A">
        <w:t>understanding of sector level financial information and its impact</w:t>
      </w:r>
      <w:r w:rsidR="009B59B5" w:rsidRPr="00EA0C8A">
        <w:t xml:space="preserve"> </w:t>
      </w:r>
      <w:r w:rsidR="00754963" w:rsidRPr="00EA0C8A">
        <w:t>on</w:t>
      </w:r>
      <w:r w:rsidR="00754963" w:rsidRPr="00EA0C8A">
        <w:rPr>
          <w:spacing w:val="-11"/>
        </w:rPr>
        <w:t xml:space="preserve"> </w:t>
      </w:r>
      <w:r w:rsidR="00754963" w:rsidRPr="00EA0C8A">
        <w:t>individual</w:t>
      </w:r>
      <w:r w:rsidR="00754963" w:rsidRPr="00EA0C8A">
        <w:rPr>
          <w:spacing w:val="-11"/>
        </w:rPr>
        <w:t xml:space="preserve"> </w:t>
      </w:r>
      <w:r w:rsidR="00754963" w:rsidRPr="00EA0C8A">
        <w:t>residents</w:t>
      </w:r>
      <w:r w:rsidR="00754963" w:rsidRPr="00EA0C8A">
        <w:rPr>
          <w:spacing w:val="-11"/>
        </w:rPr>
        <w:t xml:space="preserve"> </w:t>
      </w:r>
      <w:r w:rsidR="00754963" w:rsidRPr="00EA0C8A">
        <w:t>by</w:t>
      </w:r>
      <w:r w:rsidR="00754963" w:rsidRPr="00EA0C8A">
        <w:rPr>
          <w:spacing w:val="-11"/>
        </w:rPr>
        <w:t xml:space="preserve"> </w:t>
      </w:r>
      <w:r w:rsidR="00754963" w:rsidRPr="00EA0C8A">
        <w:t>summarising</w:t>
      </w:r>
      <w:r w:rsidR="00754963" w:rsidRPr="00EA0C8A">
        <w:rPr>
          <w:spacing w:val="-11"/>
        </w:rPr>
        <w:t xml:space="preserve"> </w:t>
      </w:r>
      <w:r w:rsidR="00754963" w:rsidRPr="00EA0C8A">
        <w:t>the</w:t>
      </w:r>
      <w:r w:rsidR="00754963" w:rsidRPr="00EA0C8A">
        <w:rPr>
          <w:spacing w:val="-11"/>
        </w:rPr>
        <w:t xml:space="preserve"> </w:t>
      </w:r>
      <w:r w:rsidR="00754963" w:rsidRPr="00EA0C8A">
        <w:t>detailed income</w:t>
      </w:r>
      <w:r w:rsidR="00754963" w:rsidRPr="00EA0C8A">
        <w:rPr>
          <w:spacing w:val="-2"/>
        </w:rPr>
        <w:t xml:space="preserve"> </w:t>
      </w:r>
      <w:r w:rsidR="00754963" w:rsidRPr="00EA0C8A">
        <w:t>statement</w:t>
      </w:r>
      <w:r w:rsidR="00754963" w:rsidRPr="00EA0C8A">
        <w:rPr>
          <w:spacing w:val="-2"/>
        </w:rPr>
        <w:t xml:space="preserve"> </w:t>
      </w:r>
      <w:r w:rsidR="00754963" w:rsidRPr="00EA0C8A">
        <w:t>submitted</w:t>
      </w:r>
      <w:r w:rsidR="00754963" w:rsidRPr="00EA0C8A">
        <w:rPr>
          <w:spacing w:val="-2"/>
        </w:rPr>
        <w:t xml:space="preserve"> </w:t>
      </w:r>
      <w:r w:rsidR="00754963" w:rsidRPr="00EA0C8A">
        <w:t>by</w:t>
      </w:r>
      <w:r w:rsidR="00754963" w:rsidRPr="00EA0C8A">
        <w:rPr>
          <w:spacing w:val="-2"/>
        </w:rPr>
        <w:t xml:space="preserve"> </w:t>
      </w:r>
      <w:r w:rsidR="00754963" w:rsidRPr="00EA0C8A">
        <w:t>providers.</w:t>
      </w:r>
      <w:r w:rsidR="00754963" w:rsidRPr="00EA0C8A">
        <w:rPr>
          <w:spacing w:val="-2"/>
        </w:rPr>
        <w:t xml:space="preserve"> </w:t>
      </w:r>
      <w:r w:rsidR="00754963" w:rsidRPr="00EA0C8A">
        <w:t>A</w:t>
      </w:r>
      <w:r w:rsidR="00754963" w:rsidRPr="00EA0C8A">
        <w:rPr>
          <w:spacing w:val="-2"/>
        </w:rPr>
        <w:t xml:space="preserve"> </w:t>
      </w:r>
      <w:r w:rsidR="00754963" w:rsidRPr="00EA0C8A">
        <w:t xml:space="preserve">more detailed income statement has been provided in Appendix </w:t>
      </w:r>
      <w:r w:rsidR="00AD73B0" w:rsidRPr="00EA0C8A">
        <w:t>B</w:t>
      </w:r>
      <w:r w:rsidR="00220F98" w:rsidRPr="00EA0C8A">
        <w:t xml:space="preserve"> </w:t>
      </w:r>
      <w:r w:rsidR="00754963" w:rsidRPr="00EA0C8A">
        <w:t>to allow providers to benchmark their financial</w:t>
      </w:r>
      <w:r w:rsidR="00754963" w:rsidRPr="00EA0C8A">
        <w:rPr>
          <w:spacing w:val="-3"/>
        </w:rPr>
        <w:t xml:space="preserve"> </w:t>
      </w:r>
      <w:r w:rsidR="00754963" w:rsidRPr="00EA0C8A">
        <w:t>information</w:t>
      </w:r>
      <w:r w:rsidR="00754963" w:rsidRPr="00EA0C8A">
        <w:rPr>
          <w:spacing w:val="-3"/>
        </w:rPr>
        <w:t xml:space="preserve"> </w:t>
      </w:r>
      <w:r w:rsidR="00754963" w:rsidRPr="00EA0C8A">
        <w:t>against</w:t>
      </w:r>
      <w:r w:rsidR="00754963" w:rsidRPr="00EA0C8A">
        <w:rPr>
          <w:spacing w:val="-3"/>
        </w:rPr>
        <w:t xml:space="preserve"> </w:t>
      </w:r>
      <w:r w:rsidR="00754963" w:rsidRPr="00EA0C8A">
        <w:t>the</w:t>
      </w:r>
      <w:r w:rsidR="00754963" w:rsidRPr="00EA0C8A">
        <w:rPr>
          <w:spacing w:val="-3"/>
        </w:rPr>
        <w:t xml:space="preserve"> </w:t>
      </w:r>
      <w:r w:rsidR="00754963" w:rsidRPr="00EA0C8A">
        <w:t>rest</w:t>
      </w:r>
      <w:r w:rsidR="00754963" w:rsidRPr="00EA0C8A">
        <w:rPr>
          <w:spacing w:val="-3"/>
        </w:rPr>
        <w:t xml:space="preserve"> </w:t>
      </w:r>
      <w:r w:rsidR="00754963" w:rsidRPr="00EA0C8A">
        <w:t>of</w:t>
      </w:r>
      <w:r w:rsidR="00754963" w:rsidRPr="00EA0C8A">
        <w:rPr>
          <w:spacing w:val="-3"/>
        </w:rPr>
        <w:t xml:space="preserve"> </w:t>
      </w:r>
      <w:r w:rsidR="00754963" w:rsidRPr="00EA0C8A">
        <w:t>the</w:t>
      </w:r>
      <w:r w:rsidR="00754963" w:rsidRPr="00EA0C8A">
        <w:rPr>
          <w:spacing w:val="-3"/>
        </w:rPr>
        <w:t xml:space="preserve"> </w:t>
      </w:r>
      <w:r w:rsidR="00754963" w:rsidRPr="00EA0C8A">
        <w:t>sector.</w:t>
      </w:r>
    </w:p>
    <w:p w14:paraId="43CB7158" w14:textId="70A58A64" w:rsidR="00983D8D" w:rsidRPr="00EA0C8A" w:rsidRDefault="00523F4F" w:rsidP="00754963">
      <w:r>
        <w:t>Table 3.3</w:t>
      </w:r>
      <w:r w:rsidR="008757FC" w:rsidRPr="00EA0C8A">
        <w:t xml:space="preserve"> </w:t>
      </w:r>
      <w:r w:rsidR="00754963" w:rsidRPr="00EA0C8A">
        <w:t xml:space="preserve">also allows for </w:t>
      </w:r>
      <w:r w:rsidR="009B59B5" w:rsidRPr="00EA0C8A">
        <w:t xml:space="preserve">residents </w:t>
      </w:r>
      <w:r w:rsidR="00754963" w:rsidRPr="00EA0C8A">
        <w:t>to better understand providers’</w:t>
      </w:r>
      <w:r w:rsidR="00754963" w:rsidRPr="00EA0C8A">
        <w:rPr>
          <w:spacing w:val="-10"/>
        </w:rPr>
        <w:t xml:space="preserve"> </w:t>
      </w:r>
      <w:r w:rsidR="00754963" w:rsidRPr="00EA0C8A">
        <w:t>expenditure</w:t>
      </w:r>
      <w:r w:rsidR="00754963" w:rsidRPr="00EA0C8A">
        <w:rPr>
          <w:spacing w:val="-10"/>
        </w:rPr>
        <w:t xml:space="preserve"> </w:t>
      </w:r>
      <w:r w:rsidR="00754963" w:rsidRPr="00EA0C8A">
        <w:t>by</w:t>
      </w:r>
      <w:r w:rsidR="00754963" w:rsidRPr="00EA0C8A">
        <w:rPr>
          <w:spacing w:val="-10"/>
        </w:rPr>
        <w:t xml:space="preserve"> </w:t>
      </w:r>
      <w:r w:rsidR="00754963" w:rsidRPr="00EA0C8A">
        <w:t>showing</w:t>
      </w:r>
      <w:r w:rsidR="00754963" w:rsidRPr="00EA0C8A">
        <w:rPr>
          <w:spacing w:val="-10"/>
        </w:rPr>
        <w:t xml:space="preserve"> </w:t>
      </w:r>
      <w:r w:rsidR="00754963" w:rsidRPr="00EA0C8A">
        <w:t>how</w:t>
      </w:r>
      <w:r w:rsidR="00754963" w:rsidRPr="00EA0C8A">
        <w:rPr>
          <w:spacing w:val="-10"/>
        </w:rPr>
        <w:t xml:space="preserve"> </w:t>
      </w:r>
      <w:r w:rsidR="00754963" w:rsidRPr="00EA0C8A">
        <w:t>much</w:t>
      </w:r>
      <w:r w:rsidR="00754963" w:rsidRPr="00EA0C8A">
        <w:rPr>
          <w:spacing w:val="-10"/>
        </w:rPr>
        <w:t xml:space="preserve"> </w:t>
      </w:r>
      <w:r w:rsidR="00754963" w:rsidRPr="00EA0C8A">
        <w:t>is</w:t>
      </w:r>
      <w:r w:rsidR="00754963" w:rsidRPr="00EA0C8A">
        <w:rPr>
          <w:spacing w:val="-10"/>
        </w:rPr>
        <w:t xml:space="preserve"> </w:t>
      </w:r>
      <w:r w:rsidR="00754963" w:rsidRPr="00EA0C8A">
        <w:t xml:space="preserve">spent </w:t>
      </w:r>
      <w:r w:rsidR="00DD0561" w:rsidRPr="00EA0C8A">
        <w:t xml:space="preserve">(at the sector level) </w:t>
      </w:r>
      <w:r w:rsidR="00754963" w:rsidRPr="00EA0C8A">
        <w:t xml:space="preserve">on categories like care, nursing, food, maintenance, </w:t>
      </w:r>
      <w:proofErr w:type="gramStart"/>
      <w:r w:rsidR="00754963" w:rsidRPr="00EA0C8A">
        <w:t>cleaning</w:t>
      </w:r>
      <w:proofErr w:type="gramEnd"/>
      <w:r w:rsidR="00754963" w:rsidRPr="00EA0C8A">
        <w:t xml:space="preserve"> and administration.</w:t>
      </w:r>
      <w:r w:rsidR="007C057D" w:rsidRPr="00EA0C8A">
        <w:t xml:space="preserve"> </w:t>
      </w:r>
    </w:p>
    <w:p w14:paraId="0CFD53A0" w14:textId="09595981" w:rsidR="009B59B5" w:rsidRPr="00EA0C8A" w:rsidRDefault="007C057D" w:rsidP="00754963">
      <w:r w:rsidRPr="00EA0C8A">
        <w:t xml:space="preserve">From early 2024, the </w:t>
      </w:r>
      <w:r w:rsidR="00601916" w:rsidRPr="00EA0C8A">
        <w:t>d</w:t>
      </w:r>
      <w:r w:rsidRPr="00EA0C8A">
        <w:t>epartment will pu</w:t>
      </w:r>
      <w:r w:rsidR="004500C0" w:rsidRPr="00EA0C8A">
        <w:t xml:space="preserve">blish information at the service level on provider </w:t>
      </w:r>
      <w:r w:rsidR="004141A9" w:rsidRPr="00EA0C8A">
        <w:t xml:space="preserve">income and </w:t>
      </w:r>
      <w:r w:rsidR="004500C0" w:rsidRPr="00EA0C8A">
        <w:t>expenditure</w:t>
      </w:r>
      <w:r w:rsidR="00AA7F25" w:rsidRPr="00EA0C8A">
        <w:t xml:space="preserve"> on My Aged Care</w:t>
      </w:r>
      <w:r w:rsidR="00301CC9" w:rsidRPr="00EA0C8A">
        <w:t>. This will</w:t>
      </w:r>
      <w:r w:rsidR="004500C0" w:rsidRPr="00EA0C8A">
        <w:t xml:space="preserve"> further contribute to transparency and accountability and support informed decision-making for older Australians and their families. </w:t>
      </w:r>
    </w:p>
    <w:p w14:paraId="68E331C3" w14:textId="01FE246A" w:rsidR="00573C7D" w:rsidRDefault="00987E48" w:rsidP="00987E48">
      <w:pPr>
        <w:pStyle w:val="Caption"/>
      </w:pPr>
      <w:bookmarkStart w:id="221" w:name="_Ref139553122"/>
      <w:bookmarkStart w:id="222" w:name="_Toc149245277"/>
      <w:r>
        <w:t xml:space="preserve">Table </w:t>
      </w:r>
      <w:r>
        <w:fldChar w:fldCharType="begin"/>
      </w:r>
      <w:r>
        <w:instrText>STYLEREF 1 \s</w:instrText>
      </w:r>
      <w:r>
        <w:fldChar w:fldCharType="separate"/>
      </w:r>
      <w:r w:rsidR="00294B02">
        <w:rPr>
          <w:noProof/>
        </w:rPr>
        <w:t>3</w:t>
      </w:r>
      <w:r>
        <w:fldChar w:fldCharType="end"/>
      </w:r>
      <w:r w:rsidR="002E758C">
        <w:t>.</w:t>
      </w:r>
      <w:r>
        <w:fldChar w:fldCharType="begin"/>
      </w:r>
      <w:r>
        <w:instrText>SEQ Table \* ARABIC \s 1</w:instrText>
      </w:r>
      <w:r>
        <w:fldChar w:fldCharType="separate"/>
      </w:r>
      <w:r w:rsidR="00294B02">
        <w:rPr>
          <w:noProof/>
        </w:rPr>
        <w:t>3</w:t>
      </w:r>
      <w:r>
        <w:fldChar w:fldCharType="end"/>
      </w:r>
      <w:bookmarkEnd w:id="221"/>
      <w:r>
        <w:t xml:space="preserve">: </w:t>
      </w:r>
      <w:r w:rsidRPr="00D61BE0">
        <w:t>Summary of income and expense statement per resident per day, by ownership, 202</w:t>
      </w:r>
      <w:r>
        <w:t>1-22</w:t>
      </w:r>
      <w:bookmarkEnd w:id="222"/>
    </w:p>
    <w:tbl>
      <w:tblPr>
        <w:tblStyle w:val="DepartmentofHealthtable"/>
        <w:tblW w:w="9272" w:type="dxa"/>
        <w:tblLook w:val="04A0" w:firstRow="1" w:lastRow="0" w:firstColumn="1" w:lastColumn="0" w:noHBand="0" w:noVBand="1"/>
      </w:tblPr>
      <w:tblGrid>
        <w:gridCol w:w="3772"/>
        <w:gridCol w:w="1375"/>
        <w:gridCol w:w="1375"/>
        <w:gridCol w:w="1375"/>
        <w:gridCol w:w="1375"/>
      </w:tblGrid>
      <w:tr w:rsidR="009752E9" w:rsidRPr="00F307F6" w14:paraId="71226980" w14:textId="77777777" w:rsidTr="008409E2">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772" w:type="dxa"/>
            <w:hideMark/>
          </w:tcPr>
          <w:p w14:paraId="00FA4648" w14:textId="77777777" w:rsidR="009752E9" w:rsidRPr="00F307F6" w:rsidRDefault="009752E9" w:rsidP="00F307F6">
            <w:pPr>
              <w:pStyle w:val="TableHeaderWhite"/>
            </w:pPr>
            <w:r w:rsidRPr="00F307F6">
              <w:t> </w:t>
            </w:r>
          </w:p>
        </w:tc>
        <w:tc>
          <w:tcPr>
            <w:tcW w:w="1375" w:type="dxa"/>
            <w:hideMark/>
          </w:tcPr>
          <w:p w14:paraId="1C66D7C7" w14:textId="77777777" w:rsidR="009752E9" w:rsidRPr="00F307F6" w:rsidRDefault="009752E9"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Not-for-profit</w:t>
            </w:r>
          </w:p>
        </w:tc>
        <w:tc>
          <w:tcPr>
            <w:tcW w:w="1375" w:type="dxa"/>
            <w:hideMark/>
          </w:tcPr>
          <w:p w14:paraId="3070B9CC" w14:textId="77777777" w:rsidR="009752E9" w:rsidRPr="00F307F6" w:rsidRDefault="009752E9"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For-profit</w:t>
            </w:r>
          </w:p>
        </w:tc>
        <w:tc>
          <w:tcPr>
            <w:tcW w:w="1375" w:type="dxa"/>
            <w:hideMark/>
          </w:tcPr>
          <w:p w14:paraId="6F94978B" w14:textId="68DD0869" w:rsidR="009752E9" w:rsidRPr="00F307F6" w:rsidRDefault="00241F6A"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LST g</w:t>
            </w:r>
            <w:r w:rsidR="009752E9" w:rsidRPr="00F307F6">
              <w:t>overnment</w:t>
            </w:r>
          </w:p>
        </w:tc>
        <w:tc>
          <w:tcPr>
            <w:tcW w:w="1375" w:type="dxa"/>
            <w:hideMark/>
          </w:tcPr>
          <w:p w14:paraId="32869C2E" w14:textId="77777777" w:rsidR="009752E9" w:rsidRPr="00F307F6" w:rsidRDefault="009752E9"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All providers</w:t>
            </w:r>
          </w:p>
        </w:tc>
      </w:tr>
      <w:tr w:rsidR="009752E9" w:rsidRPr="00F307F6" w14:paraId="2AE07DDB"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hideMark/>
          </w:tcPr>
          <w:p w14:paraId="503636B4" w14:textId="77777777" w:rsidR="009752E9" w:rsidRPr="00F307F6" w:rsidRDefault="009752E9" w:rsidP="00F307F6">
            <w:pPr>
              <w:pStyle w:val="TableParagraphbold"/>
            </w:pPr>
            <w:r w:rsidRPr="00F307F6">
              <w:t>Income</w:t>
            </w:r>
          </w:p>
        </w:tc>
        <w:tc>
          <w:tcPr>
            <w:tcW w:w="1375" w:type="dxa"/>
            <w:shd w:val="clear" w:color="auto" w:fill="D8DBDB" w:themeFill="background2" w:themeFillShade="E6"/>
            <w:hideMark/>
          </w:tcPr>
          <w:p w14:paraId="4ADD841C"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hideMark/>
          </w:tcPr>
          <w:p w14:paraId="2F221584"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hideMark/>
          </w:tcPr>
          <w:p w14:paraId="49A03FA5"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hideMark/>
          </w:tcPr>
          <w:p w14:paraId="23B67CDA"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r>
      <w:tr w:rsidR="009752E9" w:rsidRPr="00F307F6" w14:paraId="2A9AA3DB"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0148F90E" w14:textId="77777777" w:rsidR="009752E9" w:rsidRPr="00F307F6" w:rsidRDefault="009752E9" w:rsidP="00F307F6">
            <w:pPr>
              <w:pStyle w:val="TableofAuthorities"/>
            </w:pPr>
            <w:r w:rsidRPr="00F307F6">
              <w:t>Recurrent Income</w:t>
            </w:r>
          </w:p>
        </w:tc>
        <w:tc>
          <w:tcPr>
            <w:tcW w:w="1375" w:type="dxa"/>
            <w:noWrap/>
            <w:hideMark/>
          </w:tcPr>
          <w:p w14:paraId="67872DEE"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w:t>
            </w:r>
          </w:p>
        </w:tc>
        <w:tc>
          <w:tcPr>
            <w:tcW w:w="1375" w:type="dxa"/>
            <w:noWrap/>
            <w:hideMark/>
          </w:tcPr>
          <w:p w14:paraId="47F9E4DE"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w:t>
            </w:r>
          </w:p>
        </w:tc>
        <w:tc>
          <w:tcPr>
            <w:tcW w:w="1375" w:type="dxa"/>
            <w:noWrap/>
            <w:hideMark/>
          </w:tcPr>
          <w:p w14:paraId="58CE030C"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w:t>
            </w:r>
          </w:p>
        </w:tc>
        <w:tc>
          <w:tcPr>
            <w:tcW w:w="1375" w:type="dxa"/>
            <w:noWrap/>
            <w:hideMark/>
          </w:tcPr>
          <w:p w14:paraId="7257BA80"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w:t>
            </w:r>
          </w:p>
        </w:tc>
      </w:tr>
      <w:tr w:rsidR="009752E9" w:rsidRPr="00F307F6" w14:paraId="03E40E11"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098CDD02" w14:textId="77777777" w:rsidR="009752E9" w:rsidRPr="00F307F6" w:rsidRDefault="009752E9" w:rsidP="00F307F6">
            <w:pPr>
              <w:pStyle w:val="TableofAuthorities"/>
            </w:pPr>
            <w:r w:rsidRPr="00F307F6">
              <w:t>Care income</w:t>
            </w:r>
          </w:p>
        </w:tc>
        <w:tc>
          <w:tcPr>
            <w:tcW w:w="1375" w:type="dxa"/>
            <w:noWrap/>
            <w:hideMark/>
          </w:tcPr>
          <w:p w14:paraId="7C073E09"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$191.25</w:t>
            </w:r>
          </w:p>
        </w:tc>
        <w:tc>
          <w:tcPr>
            <w:tcW w:w="1375" w:type="dxa"/>
            <w:noWrap/>
            <w:hideMark/>
          </w:tcPr>
          <w:p w14:paraId="3CE3D4D5"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$201.14</w:t>
            </w:r>
          </w:p>
        </w:tc>
        <w:tc>
          <w:tcPr>
            <w:tcW w:w="1375" w:type="dxa"/>
            <w:noWrap/>
            <w:hideMark/>
          </w:tcPr>
          <w:p w14:paraId="0B68C912"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$259.69</w:t>
            </w:r>
          </w:p>
        </w:tc>
        <w:tc>
          <w:tcPr>
            <w:tcW w:w="1375" w:type="dxa"/>
            <w:noWrap/>
            <w:hideMark/>
          </w:tcPr>
          <w:p w14:paraId="4DF67B46"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$197.80</w:t>
            </w:r>
          </w:p>
        </w:tc>
      </w:tr>
      <w:tr w:rsidR="009752E9" w:rsidRPr="00F307F6" w14:paraId="1076C50D"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5EFC4949" w14:textId="77777777" w:rsidR="009752E9" w:rsidRPr="00F307F6" w:rsidRDefault="009752E9" w:rsidP="00F307F6">
            <w:pPr>
              <w:pStyle w:val="TableofAuthorities"/>
            </w:pPr>
            <w:r w:rsidRPr="00F307F6">
              <w:t>Hotel Services income</w:t>
            </w:r>
          </w:p>
        </w:tc>
        <w:tc>
          <w:tcPr>
            <w:tcW w:w="1375" w:type="dxa"/>
            <w:noWrap/>
            <w:hideMark/>
          </w:tcPr>
          <w:p w14:paraId="0F946EAF"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$65.98</w:t>
            </w:r>
          </w:p>
        </w:tc>
        <w:tc>
          <w:tcPr>
            <w:tcW w:w="1375" w:type="dxa"/>
            <w:noWrap/>
            <w:hideMark/>
          </w:tcPr>
          <w:p w14:paraId="4C66D809"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$72.03</w:t>
            </w:r>
          </w:p>
        </w:tc>
        <w:tc>
          <w:tcPr>
            <w:tcW w:w="1375" w:type="dxa"/>
            <w:noWrap/>
            <w:hideMark/>
          </w:tcPr>
          <w:p w14:paraId="207AAE68"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$64.30</w:t>
            </w:r>
          </w:p>
        </w:tc>
        <w:tc>
          <w:tcPr>
            <w:tcW w:w="1375" w:type="dxa"/>
            <w:noWrap/>
            <w:hideMark/>
          </w:tcPr>
          <w:p w14:paraId="1D819D28"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$68.37</w:t>
            </w:r>
          </w:p>
        </w:tc>
      </w:tr>
      <w:tr w:rsidR="009752E9" w:rsidRPr="00F307F6" w14:paraId="6C438023"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37723C12" w14:textId="77777777" w:rsidR="009752E9" w:rsidRPr="00F307F6" w:rsidRDefault="009752E9" w:rsidP="00F307F6">
            <w:pPr>
              <w:pStyle w:val="TableofAuthorities"/>
            </w:pPr>
            <w:r w:rsidRPr="00F307F6">
              <w:t>Accommodation &amp; Finance income</w:t>
            </w:r>
          </w:p>
        </w:tc>
        <w:tc>
          <w:tcPr>
            <w:tcW w:w="1375" w:type="dxa"/>
            <w:noWrap/>
            <w:hideMark/>
          </w:tcPr>
          <w:p w14:paraId="347748CB"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$37.42</w:t>
            </w:r>
          </w:p>
        </w:tc>
        <w:tc>
          <w:tcPr>
            <w:tcW w:w="1375" w:type="dxa"/>
            <w:noWrap/>
            <w:hideMark/>
          </w:tcPr>
          <w:p w14:paraId="5F306DCF"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$34.99</w:t>
            </w:r>
          </w:p>
        </w:tc>
        <w:tc>
          <w:tcPr>
            <w:tcW w:w="1375" w:type="dxa"/>
            <w:noWrap/>
            <w:hideMark/>
          </w:tcPr>
          <w:p w14:paraId="5FF184C6"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$34.57</w:t>
            </w:r>
          </w:p>
        </w:tc>
        <w:tc>
          <w:tcPr>
            <w:tcW w:w="1375" w:type="dxa"/>
            <w:noWrap/>
            <w:hideMark/>
          </w:tcPr>
          <w:p w14:paraId="4F7F9352"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$36.33</w:t>
            </w:r>
          </w:p>
        </w:tc>
      </w:tr>
      <w:tr w:rsidR="009752E9" w:rsidRPr="00F307F6" w14:paraId="202EB52E"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7497A643" w14:textId="77777777" w:rsidR="009752E9" w:rsidRPr="00F307F6" w:rsidRDefault="009752E9" w:rsidP="00F307F6">
            <w:pPr>
              <w:pStyle w:val="TableofAuthorities"/>
            </w:pPr>
            <w:r w:rsidRPr="00F307F6">
              <w:t>COVID-19 income</w:t>
            </w:r>
          </w:p>
        </w:tc>
        <w:tc>
          <w:tcPr>
            <w:tcW w:w="1375" w:type="dxa"/>
            <w:noWrap/>
            <w:hideMark/>
          </w:tcPr>
          <w:p w14:paraId="78D259B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$4.07</w:t>
            </w:r>
          </w:p>
        </w:tc>
        <w:tc>
          <w:tcPr>
            <w:tcW w:w="1375" w:type="dxa"/>
            <w:noWrap/>
            <w:hideMark/>
          </w:tcPr>
          <w:p w14:paraId="38C99C2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$4.74</w:t>
            </w:r>
          </w:p>
        </w:tc>
        <w:tc>
          <w:tcPr>
            <w:tcW w:w="1375" w:type="dxa"/>
            <w:noWrap/>
            <w:hideMark/>
          </w:tcPr>
          <w:p w14:paraId="29792F35"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$7.21</w:t>
            </w:r>
          </w:p>
        </w:tc>
        <w:tc>
          <w:tcPr>
            <w:tcW w:w="1375" w:type="dxa"/>
            <w:noWrap/>
            <w:hideMark/>
          </w:tcPr>
          <w:p w14:paraId="2914DB53"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$4.46</w:t>
            </w:r>
          </w:p>
        </w:tc>
      </w:tr>
      <w:tr w:rsidR="009752E9" w:rsidRPr="00F307F6" w14:paraId="33EBCF39"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3AE957C4" w14:textId="77777777" w:rsidR="009752E9" w:rsidRPr="00F307F6" w:rsidRDefault="009752E9" w:rsidP="00F307F6">
            <w:pPr>
              <w:pStyle w:val="TableParagraphbold"/>
            </w:pPr>
            <w:r w:rsidRPr="00F307F6">
              <w:t>Total Recurrent Income</w:t>
            </w:r>
          </w:p>
        </w:tc>
        <w:tc>
          <w:tcPr>
            <w:tcW w:w="1375" w:type="dxa"/>
            <w:shd w:val="clear" w:color="auto" w:fill="D8DBDB" w:themeFill="background2" w:themeFillShade="E6"/>
            <w:noWrap/>
            <w:hideMark/>
          </w:tcPr>
          <w:p w14:paraId="24D8BA92"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$298.73</w:t>
            </w:r>
          </w:p>
        </w:tc>
        <w:tc>
          <w:tcPr>
            <w:tcW w:w="1375" w:type="dxa"/>
            <w:shd w:val="clear" w:color="auto" w:fill="D8DBDB" w:themeFill="background2" w:themeFillShade="E6"/>
            <w:noWrap/>
            <w:hideMark/>
          </w:tcPr>
          <w:p w14:paraId="297A27A4"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$312.89</w:t>
            </w:r>
          </w:p>
        </w:tc>
        <w:tc>
          <w:tcPr>
            <w:tcW w:w="1375" w:type="dxa"/>
            <w:shd w:val="clear" w:color="auto" w:fill="D8DBDB" w:themeFill="background2" w:themeFillShade="E6"/>
            <w:noWrap/>
            <w:hideMark/>
          </w:tcPr>
          <w:p w14:paraId="4E4F85AF"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$365.78</w:t>
            </w:r>
          </w:p>
        </w:tc>
        <w:tc>
          <w:tcPr>
            <w:tcW w:w="1375" w:type="dxa"/>
            <w:shd w:val="clear" w:color="auto" w:fill="D8DBDB" w:themeFill="background2" w:themeFillShade="E6"/>
            <w:noWrap/>
            <w:hideMark/>
          </w:tcPr>
          <w:p w14:paraId="5BC872DF"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$306.96</w:t>
            </w:r>
          </w:p>
        </w:tc>
      </w:tr>
      <w:tr w:rsidR="009752E9" w:rsidRPr="00F307F6" w14:paraId="017ACE78"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78797AFF" w14:textId="77777777" w:rsidR="009752E9" w:rsidRPr="00F307F6" w:rsidRDefault="009752E9" w:rsidP="00F307F6">
            <w:pPr>
              <w:pStyle w:val="TableParagraphbold"/>
            </w:pPr>
            <w:r w:rsidRPr="00F307F6">
              <w:t>Recurrent Expense</w:t>
            </w:r>
          </w:p>
        </w:tc>
        <w:tc>
          <w:tcPr>
            <w:tcW w:w="1375" w:type="dxa"/>
            <w:shd w:val="clear" w:color="auto" w:fill="D8DBDB" w:themeFill="background2" w:themeFillShade="E6"/>
            <w:noWrap/>
            <w:hideMark/>
          </w:tcPr>
          <w:p w14:paraId="677078CD"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noWrap/>
            <w:hideMark/>
          </w:tcPr>
          <w:p w14:paraId="60D74D87"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noWrap/>
            <w:hideMark/>
          </w:tcPr>
          <w:p w14:paraId="3EC613F4"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noWrap/>
            <w:hideMark/>
          </w:tcPr>
          <w:p w14:paraId="4FF83E4C"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r>
      <w:tr w:rsidR="009752E9" w:rsidRPr="00F307F6" w14:paraId="63E2D45A"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5F4F7170" w14:textId="77777777" w:rsidR="009752E9" w:rsidRPr="00F307F6" w:rsidRDefault="009752E9" w:rsidP="00F307F6">
            <w:pPr>
              <w:pStyle w:val="TableofAuthorities"/>
            </w:pPr>
            <w:r w:rsidRPr="00F307F6">
              <w:t>Care expenses:</w:t>
            </w:r>
          </w:p>
        </w:tc>
        <w:tc>
          <w:tcPr>
            <w:tcW w:w="1375" w:type="dxa"/>
            <w:noWrap/>
            <w:hideMark/>
          </w:tcPr>
          <w:p w14:paraId="05BFB719"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w:t>
            </w:r>
          </w:p>
        </w:tc>
        <w:tc>
          <w:tcPr>
            <w:tcW w:w="1375" w:type="dxa"/>
            <w:noWrap/>
            <w:hideMark/>
          </w:tcPr>
          <w:p w14:paraId="26DFFE1E"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w:t>
            </w:r>
          </w:p>
        </w:tc>
        <w:tc>
          <w:tcPr>
            <w:tcW w:w="1375" w:type="dxa"/>
            <w:noWrap/>
            <w:hideMark/>
          </w:tcPr>
          <w:p w14:paraId="7A249C09"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w:t>
            </w:r>
          </w:p>
        </w:tc>
        <w:tc>
          <w:tcPr>
            <w:tcW w:w="1375" w:type="dxa"/>
            <w:noWrap/>
            <w:hideMark/>
          </w:tcPr>
          <w:p w14:paraId="69830EFC"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w:t>
            </w:r>
          </w:p>
        </w:tc>
      </w:tr>
      <w:tr w:rsidR="009752E9" w:rsidRPr="00F307F6" w14:paraId="40D040E0"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0FF975BD" w14:textId="77777777" w:rsidR="009752E9" w:rsidRPr="00F307F6" w:rsidRDefault="009752E9" w:rsidP="00F307F6">
            <w:pPr>
              <w:pStyle w:val="TableofAuthorities"/>
            </w:pPr>
            <w:r w:rsidRPr="00F307F6">
              <w:t>  ◦ Labour costs</w:t>
            </w:r>
          </w:p>
        </w:tc>
        <w:tc>
          <w:tcPr>
            <w:tcW w:w="1375" w:type="dxa"/>
            <w:noWrap/>
            <w:hideMark/>
          </w:tcPr>
          <w:p w14:paraId="70267C7E"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$165.31</w:t>
            </w:r>
          </w:p>
        </w:tc>
        <w:tc>
          <w:tcPr>
            <w:tcW w:w="1375" w:type="dxa"/>
            <w:noWrap/>
            <w:hideMark/>
          </w:tcPr>
          <w:p w14:paraId="0F82EDC1"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$151.88</w:t>
            </w:r>
          </w:p>
        </w:tc>
        <w:tc>
          <w:tcPr>
            <w:tcW w:w="1375" w:type="dxa"/>
            <w:noWrap/>
            <w:hideMark/>
          </w:tcPr>
          <w:p w14:paraId="2CE7C1E2"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$260.26</w:t>
            </w:r>
          </w:p>
        </w:tc>
        <w:tc>
          <w:tcPr>
            <w:tcW w:w="1375" w:type="dxa"/>
            <w:noWrap/>
            <w:hideMark/>
          </w:tcPr>
          <w:p w14:paraId="5205BA7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$163.40</w:t>
            </w:r>
          </w:p>
        </w:tc>
      </w:tr>
      <w:tr w:rsidR="009752E9" w:rsidRPr="00F307F6" w14:paraId="72067230"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1055A7B2" w14:textId="77777777" w:rsidR="009752E9" w:rsidRPr="00F307F6" w:rsidRDefault="009752E9" w:rsidP="00F307F6">
            <w:pPr>
              <w:pStyle w:val="TableofAuthorities"/>
            </w:pPr>
            <w:r w:rsidRPr="00F307F6">
              <w:t>  ◦ Resident expenses</w:t>
            </w:r>
          </w:p>
        </w:tc>
        <w:tc>
          <w:tcPr>
            <w:tcW w:w="1375" w:type="dxa"/>
            <w:noWrap/>
            <w:hideMark/>
          </w:tcPr>
          <w:p w14:paraId="410F14BB"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$7.71</w:t>
            </w:r>
          </w:p>
        </w:tc>
        <w:tc>
          <w:tcPr>
            <w:tcW w:w="1375" w:type="dxa"/>
            <w:noWrap/>
            <w:hideMark/>
          </w:tcPr>
          <w:p w14:paraId="7A9B2531"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$7.03</w:t>
            </w:r>
          </w:p>
        </w:tc>
        <w:tc>
          <w:tcPr>
            <w:tcW w:w="1375" w:type="dxa"/>
            <w:noWrap/>
            <w:hideMark/>
          </w:tcPr>
          <w:p w14:paraId="2CEED225"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$7.80</w:t>
            </w:r>
          </w:p>
        </w:tc>
        <w:tc>
          <w:tcPr>
            <w:tcW w:w="1375" w:type="dxa"/>
            <w:noWrap/>
            <w:hideMark/>
          </w:tcPr>
          <w:p w14:paraId="6100AD55"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$7.44</w:t>
            </w:r>
          </w:p>
        </w:tc>
      </w:tr>
      <w:tr w:rsidR="009752E9" w:rsidRPr="00F307F6" w14:paraId="1B6B5DE3"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7C57933F" w14:textId="77777777" w:rsidR="009752E9" w:rsidRPr="00F307F6" w:rsidRDefault="009752E9" w:rsidP="00F307F6">
            <w:pPr>
              <w:pStyle w:val="TableofAuthorities"/>
            </w:pPr>
            <w:r w:rsidRPr="00F307F6">
              <w:t>  ◦ Other care expenses</w:t>
            </w:r>
          </w:p>
        </w:tc>
        <w:tc>
          <w:tcPr>
            <w:tcW w:w="1375" w:type="dxa"/>
            <w:noWrap/>
            <w:hideMark/>
          </w:tcPr>
          <w:p w14:paraId="46B8C2CF"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$5.31</w:t>
            </w:r>
          </w:p>
        </w:tc>
        <w:tc>
          <w:tcPr>
            <w:tcW w:w="1375" w:type="dxa"/>
            <w:noWrap/>
            <w:hideMark/>
          </w:tcPr>
          <w:p w14:paraId="391660D5"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$10.99</w:t>
            </w:r>
          </w:p>
        </w:tc>
        <w:tc>
          <w:tcPr>
            <w:tcW w:w="1375" w:type="dxa"/>
            <w:noWrap/>
            <w:hideMark/>
          </w:tcPr>
          <w:p w14:paraId="2A8D98DB"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$5.32</w:t>
            </w:r>
          </w:p>
        </w:tc>
        <w:tc>
          <w:tcPr>
            <w:tcW w:w="1375" w:type="dxa"/>
            <w:noWrap/>
            <w:hideMark/>
          </w:tcPr>
          <w:p w14:paraId="152DDC5B" w14:textId="0C80D54E"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$7.61</w:t>
            </w:r>
          </w:p>
        </w:tc>
      </w:tr>
      <w:tr w:rsidR="009752E9" w:rsidRPr="00F307F6" w14:paraId="58574E38"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00FD843E" w14:textId="77777777" w:rsidR="009752E9" w:rsidRPr="00F307F6" w:rsidRDefault="009752E9" w:rsidP="00F307F6">
            <w:pPr>
              <w:pStyle w:val="TableParagraphbold"/>
            </w:pPr>
            <w:r w:rsidRPr="00F307F6">
              <w:t>Total Care expenses</w:t>
            </w:r>
          </w:p>
        </w:tc>
        <w:tc>
          <w:tcPr>
            <w:tcW w:w="1375" w:type="dxa"/>
            <w:shd w:val="clear" w:color="auto" w:fill="D8DBDB" w:themeFill="background2" w:themeFillShade="E6"/>
            <w:noWrap/>
            <w:hideMark/>
          </w:tcPr>
          <w:p w14:paraId="18C6E989"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$178.32</w:t>
            </w:r>
          </w:p>
        </w:tc>
        <w:tc>
          <w:tcPr>
            <w:tcW w:w="1375" w:type="dxa"/>
            <w:shd w:val="clear" w:color="auto" w:fill="D8DBDB" w:themeFill="background2" w:themeFillShade="E6"/>
            <w:noWrap/>
            <w:hideMark/>
          </w:tcPr>
          <w:p w14:paraId="21F9EA4A"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$169.91</w:t>
            </w:r>
          </w:p>
        </w:tc>
        <w:tc>
          <w:tcPr>
            <w:tcW w:w="1375" w:type="dxa"/>
            <w:shd w:val="clear" w:color="auto" w:fill="D8DBDB" w:themeFill="background2" w:themeFillShade="E6"/>
            <w:noWrap/>
            <w:hideMark/>
          </w:tcPr>
          <w:p w14:paraId="0B9DDCBC"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$273.39</w:t>
            </w:r>
          </w:p>
        </w:tc>
        <w:tc>
          <w:tcPr>
            <w:tcW w:w="1375" w:type="dxa"/>
            <w:shd w:val="clear" w:color="auto" w:fill="D8DBDB" w:themeFill="background2" w:themeFillShade="E6"/>
            <w:noWrap/>
            <w:hideMark/>
          </w:tcPr>
          <w:p w14:paraId="4229CAD6" w14:textId="4583CEDA"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$178.44</w:t>
            </w:r>
          </w:p>
        </w:tc>
      </w:tr>
      <w:tr w:rsidR="009752E9" w:rsidRPr="00F307F6" w14:paraId="37C8EBA8"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28608DAA" w14:textId="77777777" w:rsidR="009752E9" w:rsidRPr="00F307F6" w:rsidRDefault="009752E9" w:rsidP="00F307F6">
            <w:pPr>
              <w:pStyle w:val="TableParagraphbold"/>
            </w:pPr>
            <w:r w:rsidRPr="00F307F6">
              <w:t>Hotel Services expenses:</w:t>
            </w:r>
          </w:p>
        </w:tc>
        <w:tc>
          <w:tcPr>
            <w:tcW w:w="1375" w:type="dxa"/>
            <w:shd w:val="clear" w:color="auto" w:fill="D8DBDB" w:themeFill="background2" w:themeFillShade="E6"/>
            <w:noWrap/>
            <w:hideMark/>
          </w:tcPr>
          <w:p w14:paraId="1B278C00"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noWrap/>
            <w:hideMark/>
          </w:tcPr>
          <w:p w14:paraId="57329C4A"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noWrap/>
            <w:hideMark/>
          </w:tcPr>
          <w:p w14:paraId="4BA296E1"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noWrap/>
            <w:hideMark/>
          </w:tcPr>
          <w:p w14:paraId="378300F8"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r>
      <w:tr w:rsidR="009752E9" w:rsidRPr="00F307F6" w14:paraId="2A8E688B"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32056366" w14:textId="77777777" w:rsidR="009752E9" w:rsidRPr="00F307F6" w:rsidRDefault="009752E9" w:rsidP="00F307F6">
            <w:pPr>
              <w:pStyle w:val="TableofAuthorities"/>
            </w:pPr>
            <w:r w:rsidRPr="00F307F6">
              <w:t>  ◦ Catering</w:t>
            </w:r>
          </w:p>
        </w:tc>
        <w:tc>
          <w:tcPr>
            <w:tcW w:w="1375" w:type="dxa"/>
            <w:noWrap/>
            <w:hideMark/>
          </w:tcPr>
          <w:p w14:paraId="13C311F4"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$34.81</w:t>
            </w:r>
          </w:p>
        </w:tc>
        <w:tc>
          <w:tcPr>
            <w:tcW w:w="1375" w:type="dxa"/>
            <w:noWrap/>
            <w:hideMark/>
          </w:tcPr>
          <w:p w14:paraId="3D948592"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$33.06</w:t>
            </w:r>
          </w:p>
        </w:tc>
        <w:tc>
          <w:tcPr>
            <w:tcW w:w="1375" w:type="dxa"/>
            <w:noWrap/>
            <w:hideMark/>
          </w:tcPr>
          <w:p w14:paraId="05D51A45"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$44.96</w:t>
            </w:r>
          </w:p>
        </w:tc>
        <w:tc>
          <w:tcPr>
            <w:tcW w:w="1375" w:type="dxa"/>
            <w:noWrap/>
            <w:hideMark/>
          </w:tcPr>
          <w:p w14:paraId="5B5D6F94"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$34.48</w:t>
            </w:r>
          </w:p>
        </w:tc>
      </w:tr>
      <w:tr w:rsidR="009752E9" w:rsidRPr="00F307F6" w14:paraId="00F26E1E"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344D65ED" w14:textId="77777777" w:rsidR="009752E9" w:rsidRPr="00F307F6" w:rsidRDefault="009752E9" w:rsidP="00F307F6">
            <w:pPr>
              <w:pStyle w:val="TableofAuthorities"/>
            </w:pPr>
            <w:r w:rsidRPr="00F307F6">
              <w:t>  ◦ Cleaning</w:t>
            </w:r>
          </w:p>
        </w:tc>
        <w:tc>
          <w:tcPr>
            <w:tcW w:w="1375" w:type="dxa"/>
            <w:noWrap/>
            <w:hideMark/>
          </w:tcPr>
          <w:p w14:paraId="184C0F3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$10.68</w:t>
            </w:r>
          </w:p>
        </w:tc>
        <w:tc>
          <w:tcPr>
            <w:tcW w:w="1375" w:type="dxa"/>
            <w:noWrap/>
            <w:hideMark/>
          </w:tcPr>
          <w:p w14:paraId="38F15E58"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$9.24</w:t>
            </w:r>
          </w:p>
        </w:tc>
        <w:tc>
          <w:tcPr>
            <w:tcW w:w="1375" w:type="dxa"/>
            <w:noWrap/>
            <w:hideMark/>
          </w:tcPr>
          <w:p w14:paraId="1EBD1EE0"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$21.00</w:t>
            </w:r>
          </w:p>
        </w:tc>
        <w:tc>
          <w:tcPr>
            <w:tcW w:w="1375" w:type="dxa"/>
            <w:noWrap/>
            <w:hideMark/>
          </w:tcPr>
          <w:p w14:paraId="58564719"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$10.48</w:t>
            </w:r>
          </w:p>
        </w:tc>
      </w:tr>
      <w:tr w:rsidR="009752E9" w:rsidRPr="00F307F6" w14:paraId="10852EBB"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6F7714D1" w14:textId="77777777" w:rsidR="009752E9" w:rsidRPr="00F307F6" w:rsidRDefault="009752E9" w:rsidP="00F307F6">
            <w:pPr>
              <w:pStyle w:val="TableofAuthorities"/>
            </w:pPr>
            <w:r w:rsidRPr="00F307F6">
              <w:t>  ◦ Laundry</w:t>
            </w:r>
          </w:p>
        </w:tc>
        <w:tc>
          <w:tcPr>
            <w:tcW w:w="1375" w:type="dxa"/>
            <w:noWrap/>
            <w:hideMark/>
          </w:tcPr>
          <w:p w14:paraId="46667E4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$4.54</w:t>
            </w:r>
          </w:p>
        </w:tc>
        <w:tc>
          <w:tcPr>
            <w:tcW w:w="1375" w:type="dxa"/>
            <w:noWrap/>
            <w:hideMark/>
          </w:tcPr>
          <w:p w14:paraId="65083666"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$4.27</w:t>
            </w:r>
          </w:p>
        </w:tc>
        <w:tc>
          <w:tcPr>
            <w:tcW w:w="1375" w:type="dxa"/>
            <w:noWrap/>
            <w:hideMark/>
          </w:tcPr>
          <w:p w14:paraId="071BCC83"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$7.23</w:t>
            </w:r>
          </w:p>
        </w:tc>
        <w:tc>
          <w:tcPr>
            <w:tcW w:w="1375" w:type="dxa"/>
            <w:noWrap/>
            <w:hideMark/>
          </w:tcPr>
          <w:p w14:paraId="50816ED1"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$4.53</w:t>
            </w:r>
          </w:p>
        </w:tc>
      </w:tr>
      <w:tr w:rsidR="009752E9" w:rsidRPr="00F307F6" w14:paraId="5C1C6F1B"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605E7780" w14:textId="77777777" w:rsidR="009752E9" w:rsidRPr="00F307F6" w:rsidRDefault="009752E9" w:rsidP="00F307F6">
            <w:pPr>
              <w:pStyle w:val="TableofAuthorities"/>
            </w:pPr>
            <w:r w:rsidRPr="00F307F6">
              <w:t>  ◦ Other hotel expenses</w:t>
            </w:r>
          </w:p>
        </w:tc>
        <w:tc>
          <w:tcPr>
            <w:tcW w:w="1375" w:type="dxa"/>
            <w:noWrap/>
            <w:hideMark/>
          </w:tcPr>
          <w:p w14:paraId="231B52DA"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$8.07</w:t>
            </w:r>
          </w:p>
        </w:tc>
        <w:tc>
          <w:tcPr>
            <w:tcW w:w="1375" w:type="dxa"/>
            <w:noWrap/>
            <w:hideMark/>
          </w:tcPr>
          <w:p w14:paraId="6A463781"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$9.64</w:t>
            </w:r>
          </w:p>
        </w:tc>
        <w:tc>
          <w:tcPr>
            <w:tcW w:w="1375" w:type="dxa"/>
            <w:noWrap/>
            <w:hideMark/>
          </w:tcPr>
          <w:p w14:paraId="22CC468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$8.13</w:t>
            </w:r>
          </w:p>
        </w:tc>
        <w:tc>
          <w:tcPr>
            <w:tcW w:w="1375" w:type="dxa"/>
            <w:noWrap/>
            <w:hideMark/>
          </w:tcPr>
          <w:p w14:paraId="11BB5E46" w14:textId="6CA35FE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$8.71</w:t>
            </w:r>
          </w:p>
        </w:tc>
      </w:tr>
      <w:tr w:rsidR="009752E9" w:rsidRPr="00F307F6" w14:paraId="02F03689"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49DF4A2E" w14:textId="77777777" w:rsidR="009752E9" w:rsidRPr="00F307F6" w:rsidRDefault="009752E9" w:rsidP="00F307F6">
            <w:pPr>
              <w:pStyle w:val="TableParagraphbold"/>
            </w:pPr>
            <w:r w:rsidRPr="00F307F6">
              <w:lastRenderedPageBreak/>
              <w:t>Total Hotel expenses</w:t>
            </w:r>
          </w:p>
        </w:tc>
        <w:tc>
          <w:tcPr>
            <w:tcW w:w="1375" w:type="dxa"/>
            <w:noWrap/>
            <w:hideMark/>
          </w:tcPr>
          <w:p w14:paraId="162DABB8"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$58.11</w:t>
            </w:r>
          </w:p>
        </w:tc>
        <w:tc>
          <w:tcPr>
            <w:tcW w:w="1375" w:type="dxa"/>
            <w:noWrap/>
            <w:hideMark/>
          </w:tcPr>
          <w:p w14:paraId="71215F9F"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$56.22</w:t>
            </w:r>
          </w:p>
        </w:tc>
        <w:tc>
          <w:tcPr>
            <w:tcW w:w="1375" w:type="dxa"/>
            <w:noWrap/>
            <w:hideMark/>
          </w:tcPr>
          <w:p w14:paraId="285E564B"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$81.32</w:t>
            </w:r>
          </w:p>
        </w:tc>
        <w:tc>
          <w:tcPr>
            <w:tcW w:w="1375" w:type="dxa"/>
            <w:noWrap/>
            <w:hideMark/>
          </w:tcPr>
          <w:p w14:paraId="462134B7" w14:textId="52A31189"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$58.20</w:t>
            </w:r>
          </w:p>
        </w:tc>
      </w:tr>
      <w:tr w:rsidR="009752E9" w:rsidRPr="00F307F6" w14:paraId="3EFE51AE"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5468E861" w14:textId="77777777" w:rsidR="009752E9" w:rsidRPr="00F307F6" w:rsidRDefault="009752E9" w:rsidP="00F307F6">
            <w:pPr>
              <w:pStyle w:val="TableParagraphbold"/>
            </w:pPr>
            <w:r w:rsidRPr="00F307F6">
              <w:t>Accommodation &amp; Finance expenses:</w:t>
            </w:r>
          </w:p>
        </w:tc>
        <w:tc>
          <w:tcPr>
            <w:tcW w:w="1375" w:type="dxa"/>
            <w:shd w:val="clear" w:color="auto" w:fill="D8DBDB" w:themeFill="background2" w:themeFillShade="E6"/>
            <w:noWrap/>
            <w:hideMark/>
          </w:tcPr>
          <w:p w14:paraId="57A7BD70"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noWrap/>
            <w:hideMark/>
          </w:tcPr>
          <w:p w14:paraId="591B4741"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noWrap/>
            <w:hideMark/>
          </w:tcPr>
          <w:p w14:paraId="06897317"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375" w:type="dxa"/>
            <w:shd w:val="clear" w:color="auto" w:fill="D8DBDB" w:themeFill="background2" w:themeFillShade="E6"/>
            <w:noWrap/>
            <w:hideMark/>
          </w:tcPr>
          <w:p w14:paraId="6210F11A"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r>
      <w:tr w:rsidR="009752E9" w:rsidRPr="00F307F6" w14:paraId="5C69B65D"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3D9054E1" w14:textId="77777777" w:rsidR="009752E9" w:rsidRPr="00F307F6" w:rsidRDefault="009752E9" w:rsidP="00F307F6">
            <w:pPr>
              <w:pStyle w:val="TableofAuthorities"/>
            </w:pPr>
            <w:r w:rsidRPr="00F307F6">
              <w:t>◦ Routine maintenance</w:t>
            </w:r>
          </w:p>
        </w:tc>
        <w:tc>
          <w:tcPr>
            <w:tcW w:w="1375" w:type="dxa"/>
            <w:noWrap/>
            <w:hideMark/>
          </w:tcPr>
          <w:p w14:paraId="65151F51"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$10.74</w:t>
            </w:r>
          </w:p>
        </w:tc>
        <w:tc>
          <w:tcPr>
            <w:tcW w:w="1375" w:type="dxa"/>
            <w:noWrap/>
            <w:hideMark/>
          </w:tcPr>
          <w:p w14:paraId="765F4F9F"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$7.53</w:t>
            </w:r>
          </w:p>
        </w:tc>
        <w:tc>
          <w:tcPr>
            <w:tcW w:w="1375" w:type="dxa"/>
            <w:noWrap/>
            <w:hideMark/>
          </w:tcPr>
          <w:p w14:paraId="417E87D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$12.27</w:t>
            </w:r>
          </w:p>
        </w:tc>
        <w:tc>
          <w:tcPr>
            <w:tcW w:w="1375" w:type="dxa"/>
            <w:noWrap/>
            <w:hideMark/>
          </w:tcPr>
          <w:p w14:paraId="2E2F01E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$9.50</w:t>
            </w:r>
          </w:p>
        </w:tc>
      </w:tr>
      <w:tr w:rsidR="009752E9" w:rsidRPr="00F307F6" w14:paraId="24C78043"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5E8602BF" w14:textId="77777777" w:rsidR="009752E9" w:rsidRPr="00F307F6" w:rsidRDefault="009752E9" w:rsidP="00F307F6">
            <w:pPr>
              <w:pStyle w:val="TableofAuthorities"/>
            </w:pPr>
            <w:r w:rsidRPr="00F307F6">
              <w:t>◦ Financing interest</w:t>
            </w:r>
          </w:p>
        </w:tc>
        <w:tc>
          <w:tcPr>
            <w:tcW w:w="1375" w:type="dxa"/>
            <w:noWrap/>
            <w:hideMark/>
          </w:tcPr>
          <w:p w14:paraId="562447FB"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$0.36</w:t>
            </w:r>
          </w:p>
        </w:tc>
        <w:tc>
          <w:tcPr>
            <w:tcW w:w="1375" w:type="dxa"/>
            <w:noWrap/>
            <w:hideMark/>
          </w:tcPr>
          <w:p w14:paraId="48EA45EB"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$2.68</w:t>
            </w:r>
          </w:p>
        </w:tc>
        <w:tc>
          <w:tcPr>
            <w:tcW w:w="1375" w:type="dxa"/>
            <w:noWrap/>
            <w:hideMark/>
          </w:tcPr>
          <w:p w14:paraId="5E892B20"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$0.33</w:t>
            </w:r>
          </w:p>
        </w:tc>
        <w:tc>
          <w:tcPr>
            <w:tcW w:w="1375" w:type="dxa"/>
            <w:noWrap/>
            <w:hideMark/>
          </w:tcPr>
          <w:p w14:paraId="4F4853E6"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$1.30</w:t>
            </w:r>
          </w:p>
        </w:tc>
      </w:tr>
      <w:tr w:rsidR="009752E9" w:rsidRPr="00F307F6" w14:paraId="5AD3768A"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14905EC9" w14:textId="77777777" w:rsidR="009752E9" w:rsidRPr="00F307F6" w:rsidRDefault="009752E9" w:rsidP="00F307F6">
            <w:pPr>
              <w:pStyle w:val="TableofAuthorities"/>
            </w:pPr>
            <w:r w:rsidRPr="00F307F6">
              <w:t>◦ Depreciation, Rent &amp; Others</w:t>
            </w:r>
          </w:p>
        </w:tc>
        <w:tc>
          <w:tcPr>
            <w:tcW w:w="1375" w:type="dxa"/>
            <w:noWrap/>
            <w:hideMark/>
          </w:tcPr>
          <w:p w14:paraId="019113B3"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$31.65</w:t>
            </w:r>
          </w:p>
        </w:tc>
        <w:tc>
          <w:tcPr>
            <w:tcW w:w="1375" w:type="dxa"/>
            <w:noWrap/>
            <w:hideMark/>
          </w:tcPr>
          <w:p w14:paraId="35AD62D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$53.10</w:t>
            </w:r>
          </w:p>
        </w:tc>
        <w:tc>
          <w:tcPr>
            <w:tcW w:w="1375" w:type="dxa"/>
            <w:noWrap/>
            <w:hideMark/>
          </w:tcPr>
          <w:p w14:paraId="57B691E6"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$32.88</w:t>
            </w:r>
          </w:p>
        </w:tc>
        <w:tc>
          <w:tcPr>
            <w:tcW w:w="1375" w:type="dxa"/>
            <w:noWrap/>
            <w:hideMark/>
          </w:tcPr>
          <w:p w14:paraId="12081327" w14:textId="54E48EE8"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$40.39</w:t>
            </w:r>
          </w:p>
        </w:tc>
      </w:tr>
      <w:tr w:rsidR="009752E9" w:rsidRPr="00F307F6" w14:paraId="66DBA297"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7D776EE3" w14:textId="77777777" w:rsidR="009752E9" w:rsidRPr="00F307F6" w:rsidRDefault="009752E9" w:rsidP="00F307F6">
            <w:pPr>
              <w:pStyle w:val="TableParagraphbold"/>
            </w:pPr>
            <w:r w:rsidRPr="00F307F6">
              <w:t>Total Accommodation &amp; Finance expenses</w:t>
            </w:r>
          </w:p>
        </w:tc>
        <w:tc>
          <w:tcPr>
            <w:tcW w:w="1375" w:type="dxa"/>
            <w:shd w:val="clear" w:color="auto" w:fill="D8DBDB" w:themeFill="background2" w:themeFillShade="E6"/>
            <w:noWrap/>
            <w:hideMark/>
          </w:tcPr>
          <w:p w14:paraId="69E5E3BD"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$42.76</w:t>
            </w:r>
          </w:p>
        </w:tc>
        <w:tc>
          <w:tcPr>
            <w:tcW w:w="1375" w:type="dxa"/>
            <w:shd w:val="clear" w:color="auto" w:fill="D8DBDB" w:themeFill="background2" w:themeFillShade="E6"/>
            <w:noWrap/>
            <w:hideMark/>
          </w:tcPr>
          <w:p w14:paraId="335EAB71"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$63.31</w:t>
            </w:r>
          </w:p>
        </w:tc>
        <w:tc>
          <w:tcPr>
            <w:tcW w:w="1375" w:type="dxa"/>
            <w:shd w:val="clear" w:color="auto" w:fill="D8DBDB" w:themeFill="background2" w:themeFillShade="E6"/>
            <w:noWrap/>
            <w:hideMark/>
          </w:tcPr>
          <w:p w14:paraId="51E3E976"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$45.48</w:t>
            </w:r>
          </w:p>
        </w:tc>
        <w:tc>
          <w:tcPr>
            <w:tcW w:w="1375" w:type="dxa"/>
            <w:shd w:val="clear" w:color="auto" w:fill="D8DBDB" w:themeFill="background2" w:themeFillShade="E6"/>
            <w:noWrap/>
            <w:hideMark/>
          </w:tcPr>
          <w:p w14:paraId="2F8044C9"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$51.19</w:t>
            </w:r>
          </w:p>
        </w:tc>
      </w:tr>
      <w:tr w:rsidR="009752E9" w:rsidRPr="00F307F6" w14:paraId="73F0944F"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12F97750" w14:textId="77777777" w:rsidR="009752E9" w:rsidRPr="00F307F6" w:rsidRDefault="009752E9" w:rsidP="00F307F6">
            <w:pPr>
              <w:pStyle w:val="TableParagraphbold"/>
            </w:pPr>
            <w:r w:rsidRPr="00F307F6">
              <w:t>Administration expenses</w:t>
            </w:r>
          </w:p>
        </w:tc>
        <w:tc>
          <w:tcPr>
            <w:tcW w:w="1375" w:type="dxa"/>
            <w:shd w:val="clear" w:color="auto" w:fill="D8DBDB" w:themeFill="background2" w:themeFillShade="E6"/>
            <w:noWrap/>
            <w:hideMark/>
          </w:tcPr>
          <w:p w14:paraId="07630697"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$42.95</w:t>
            </w:r>
          </w:p>
        </w:tc>
        <w:tc>
          <w:tcPr>
            <w:tcW w:w="1375" w:type="dxa"/>
            <w:shd w:val="clear" w:color="auto" w:fill="D8DBDB" w:themeFill="background2" w:themeFillShade="E6"/>
            <w:noWrap/>
            <w:hideMark/>
          </w:tcPr>
          <w:p w14:paraId="7D00901D"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$42.36</w:t>
            </w:r>
          </w:p>
        </w:tc>
        <w:tc>
          <w:tcPr>
            <w:tcW w:w="1375" w:type="dxa"/>
            <w:shd w:val="clear" w:color="auto" w:fill="D8DBDB" w:themeFill="background2" w:themeFillShade="E6"/>
            <w:noWrap/>
            <w:hideMark/>
          </w:tcPr>
          <w:p w14:paraId="19A5B0C2"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$51.30</w:t>
            </w:r>
          </w:p>
        </w:tc>
        <w:tc>
          <w:tcPr>
            <w:tcW w:w="1375" w:type="dxa"/>
            <w:shd w:val="clear" w:color="auto" w:fill="D8DBDB" w:themeFill="background2" w:themeFillShade="E6"/>
            <w:noWrap/>
            <w:hideMark/>
          </w:tcPr>
          <w:p w14:paraId="047ABEA6" w14:textId="5F4B47D3"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$43.02</w:t>
            </w:r>
          </w:p>
        </w:tc>
      </w:tr>
      <w:tr w:rsidR="009752E9" w:rsidRPr="00F307F6" w14:paraId="312EE926"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6F7688C4" w14:textId="77777777" w:rsidR="009752E9" w:rsidRPr="00F307F6" w:rsidRDefault="009752E9" w:rsidP="00F307F6">
            <w:pPr>
              <w:pStyle w:val="TableParagraphbold"/>
            </w:pPr>
            <w:r w:rsidRPr="00F307F6">
              <w:t>COVID-19 expenses</w:t>
            </w:r>
          </w:p>
        </w:tc>
        <w:tc>
          <w:tcPr>
            <w:tcW w:w="1375" w:type="dxa"/>
            <w:shd w:val="clear" w:color="auto" w:fill="D8DBDB" w:themeFill="background2" w:themeFillShade="E6"/>
            <w:noWrap/>
            <w:hideMark/>
          </w:tcPr>
          <w:p w14:paraId="3169C0F6"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$10.43</w:t>
            </w:r>
          </w:p>
        </w:tc>
        <w:tc>
          <w:tcPr>
            <w:tcW w:w="1375" w:type="dxa"/>
            <w:shd w:val="clear" w:color="auto" w:fill="D8DBDB" w:themeFill="background2" w:themeFillShade="E6"/>
            <w:noWrap/>
            <w:hideMark/>
          </w:tcPr>
          <w:p w14:paraId="411C7DA6"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$11.75</w:t>
            </w:r>
          </w:p>
        </w:tc>
        <w:tc>
          <w:tcPr>
            <w:tcW w:w="1375" w:type="dxa"/>
            <w:shd w:val="clear" w:color="auto" w:fill="D8DBDB" w:themeFill="background2" w:themeFillShade="E6"/>
            <w:noWrap/>
            <w:hideMark/>
          </w:tcPr>
          <w:p w14:paraId="7D0D32CD"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$6.79</w:t>
            </w:r>
          </w:p>
        </w:tc>
        <w:tc>
          <w:tcPr>
            <w:tcW w:w="1375" w:type="dxa"/>
            <w:shd w:val="clear" w:color="auto" w:fill="D8DBDB" w:themeFill="background2" w:themeFillShade="E6"/>
            <w:noWrap/>
            <w:hideMark/>
          </w:tcPr>
          <w:p w14:paraId="7E62D915" w14:textId="660F58EB"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$10.83</w:t>
            </w:r>
          </w:p>
        </w:tc>
      </w:tr>
      <w:tr w:rsidR="009752E9" w:rsidRPr="00F307F6" w14:paraId="09BD55E9"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6FB32DA5" w14:textId="77777777" w:rsidR="009752E9" w:rsidRPr="00F307F6" w:rsidRDefault="009752E9" w:rsidP="00F307F6">
            <w:pPr>
              <w:pStyle w:val="TableParagraphbold"/>
            </w:pPr>
            <w:r w:rsidRPr="00F307F6">
              <w:t>Total Recurrent Expense</w:t>
            </w:r>
          </w:p>
        </w:tc>
        <w:tc>
          <w:tcPr>
            <w:tcW w:w="1375" w:type="dxa"/>
            <w:shd w:val="clear" w:color="auto" w:fill="D8DBDB" w:themeFill="background2" w:themeFillShade="E6"/>
            <w:noWrap/>
            <w:hideMark/>
          </w:tcPr>
          <w:p w14:paraId="47EB00C9"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$332.56</w:t>
            </w:r>
          </w:p>
        </w:tc>
        <w:tc>
          <w:tcPr>
            <w:tcW w:w="1375" w:type="dxa"/>
            <w:shd w:val="clear" w:color="auto" w:fill="D8DBDB" w:themeFill="background2" w:themeFillShade="E6"/>
            <w:noWrap/>
            <w:hideMark/>
          </w:tcPr>
          <w:p w14:paraId="1D8A03F3"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$343.54</w:t>
            </w:r>
          </w:p>
        </w:tc>
        <w:tc>
          <w:tcPr>
            <w:tcW w:w="1375" w:type="dxa"/>
            <w:shd w:val="clear" w:color="auto" w:fill="D8DBDB" w:themeFill="background2" w:themeFillShade="E6"/>
            <w:noWrap/>
            <w:hideMark/>
          </w:tcPr>
          <w:p w14:paraId="52C64E74"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$458.27</w:t>
            </w:r>
          </w:p>
        </w:tc>
        <w:tc>
          <w:tcPr>
            <w:tcW w:w="1375" w:type="dxa"/>
            <w:shd w:val="clear" w:color="auto" w:fill="D8DBDB" w:themeFill="background2" w:themeFillShade="E6"/>
            <w:noWrap/>
            <w:hideMark/>
          </w:tcPr>
          <w:p w14:paraId="1CBC956E"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$341.68</w:t>
            </w:r>
          </w:p>
        </w:tc>
      </w:tr>
      <w:tr w:rsidR="009752E9" w:rsidRPr="00F307F6" w14:paraId="13C5AE76"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3F9580EB" w14:textId="77777777" w:rsidR="009752E9" w:rsidRPr="00F307F6" w:rsidRDefault="009752E9" w:rsidP="00F307F6">
            <w:pPr>
              <w:pStyle w:val="TableParagraphbold"/>
            </w:pPr>
            <w:r w:rsidRPr="00F307F6">
              <w:t>Recurrent operating profit/(Loss)</w:t>
            </w:r>
          </w:p>
        </w:tc>
        <w:tc>
          <w:tcPr>
            <w:tcW w:w="1375" w:type="dxa"/>
            <w:shd w:val="clear" w:color="auto" w:fill="D8DBDB" w:themeFill="background2" w:themeFillShade="E6"/>
            <w:noWrap/>
            <w:hideMark/>
          </w:tcPr>
          <w:p w14:paraId="657F96D4"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($33.83)</w:t>
            </w:r>
          </w:p>
        </w:tc>
        <w:tc>
          <w:tcPr>
            <w:tcW w:w="1375" w:type="dxa"/>
            <w:shd w:val="clear" w:color="auto" w:fill="D8DBDB" w:themeFill="background2" w:themeFillShade="E6"/>
            <w:noWrap/>
            <w:hideMark/>
          </w:tcPr>
          <w:p w14:paraId="6ACA2C96"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($30.65)</w:t>
            </w:r>
          </w:p>
        </w:tc>
        <w:tc>
          <w:tcPr>
            <w:tcW w:w="1375" w:type="dxa"/>
            <w:shd w:val="clear" w:color="auto" w:fill="D8DBDB" w:themeFill="background2" w:themeFillShade="E6"/>
            <w:noWrap/>
            <w:hideMark/>
          </w:tcPr>
          <w:p w14:paraId="691D7412"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($92.49)</w:t>
            </w:r>
          </w:p>
        </w:tc>
        <w:tc>
          <w:tcPr>
            <w:tcW w:w="1375" w:type="dxa"/>
            <w:shd w:val="clear" w:color="auto" w:fill="D8DBDB" w:themeFill="background2" w:themeFillShade="E6"/>
            <w:noWrap/>
            <w:hideMark/>
          </w:tcPr>
          <w:p w14:paraId="29FAC0DD"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($34.72)</w:t>
            </w:r>
          </w:p>
        </w:tc>
      </w:tr>
      <w:tr w:rsidR="009752E9" w:rsidRPr="00F307F6" w14:paraId="62E72F72"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21C2A5FB" w14:textId="77777777" w:rsidR="009752E9" w:rsidRPr="00F307F6" w:rsidRDefault="009752E9" w:rsidP="00F307F6">
            <w:pPr>
              <w:pStyle w:val="TableofAuthorities"/>
            </w:pPr>
            <w:r w:rsidRPr="00F307F6">
              <w:t>Non - Recurrent Income</w:t>
            </w:r>
          </w:p>
        </w:tc>
        <w:tc>
          <w:tcPr>
            <w:tcW w:w="1375" w:type="dxa"/>
            <w:noWrap/>
            <w:hideMark/>
          </w:tcPr>
          <w:p w14:paraId="4366621A"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$9.25</w:t>
            </w:r>
          </w:p>
        </w:tc>
        <w:tc>
          <w:tcPr>
            <w:tcW w:w="1375" w:type="dxa"/>
            <w:noWrap/>
            <w:hideMark/>
          </w:tcPr>
          <w:p w14:paraId="49CE6A11"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$19.76</w:t>
            </w:r>
          </w:p>
        </w:tc>
        <w:tc>
          <w:tcPr>
            <w:tcW w:w="1375" w:type="dxa"/>
            <w:noWrap/>
            <w:hideMark/>
          </w:tcPr>
          <w:p w14:paraId="0EC7FA3A"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$36.00</w:t>
            </w:r>
          </w:p>
        </w:tc>
        <w:tc>
          <w:tcPr>
            <w:tcW w:w="1375" w:type="dxa"/>
            <w:noWrap/>
            <w:hideMark/>
          </w:tcPr>
          <w:p w14:paraId="28D733B3"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$14.50</w:t>
            </w:r>
          </w:p>
        </w:tc>
      </w:tr>
      <w:tr w:rsidR="009752E9" w:rsidRPr="00F307F6" w14:paraId="2B192FD0"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noWrap/>
            <w:hideMark/>
          </w:tcPr>
          <w:p w14:paraId="5A1404F3" w14:textId="352010C4" w:rsidR="009752E9" w:rsidRPr="00F307F6" w:rsidRDefault="009752E9" w:rsidP="00F307F6">
            <w:pPr>
              <w:pStyle w:val="TableofAuthorities"/>
            </w:pPr>
            <w:r w:rsidRPr="00F307F6">
              <w:t>Non</w:t>
            </w:r>
            <w:r w:rsidR="006423F2" w:rsidRPr="00F307F6">
              <w:t xml:space="preserve"> </w:t>
            </w:r>
            <w:r w:rsidRPr="00F307F6">
              <w:t>- Recurrent Expense</w:t>
            </w:r>
          </w:p>
        </w:tc>
        <w:tc>
          <w:tcPr>
            <w:tcW w:w="1375" w:type="dxa"/>
            <w:noWrap/>
            <w:hideMark/>
          </w:tcPr>
          <w:p w14:paraId="4D0EC4A1"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$8.11</w:t>
            </w:r>
          </w:p>
        </w:tc>
        <w:tc>
          <w:tcPr>
            <w:tcW w:w="1375" w:type="dxa"/>
            <w:noWrap/>
            <w:hideMark/>
          </w:tcPr>
          <w:p w14:paraId="4A9A32F9"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$19.37</w:t>
            </w:r>
          </w:p>
        </w:tc>
        <w:tc>
          <w:tcPr>
            <w:tcW w:w="1375" w:type="dxa"/>
            <w:noWrap/>
            <w:hideMark/>
          </w:tcPr>
          <w:p w14:paraId="18A2562C"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$10.34</w:t>
            </w:r>
          </w:p>
        </w:tc>
        <w:tc>
          <w:tcPr>
            <w:tcW w:w="1375" w:type="dxa"/>
            <w:noWrap/>
            <w:hideMark/>
          </w:tcPr>
          <w:p w14:paraId="26D0960D" w14:textId="77777777" w:rsidR="009752E9" w:rsidRPr="00F307F6" w:rsidRDefault="009752E9"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$12.75</w:t>
            </w:r>
          </w:p>
        </w:tc>
      </w:tr>
      <w:tr w:rsidR="009752E9" w:rsidRPr="00F307F6" w14:paraId="6A54DAA9"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004C1628" w14:textId="75D32575" w:rsidR="009752E9" w:rsidRPr="00F307F6" w:rsidRDefault="009752E9" w:rsidP="00F307F6">
            <w:pPr>
              <w:pStyle w:val="TableParagraphbold"/>
            </w:pPr>
            <w:r w:rsidRPr="00F307F6">
              <w:t>Non-recurrent profit/(loss)</w:t>
            </w:r>
          </w:p>
        </w:tc>
        <w:tc>
          <w:tcPr>
            <w:tcW w:w="1375" w:type="dxa"/>
            <w:shd w:val="clear" w:color="auto" w:fill="D8DBDB" w:themeFill="background2" w:themeFillShade="E6"/>
            <w:noWrap/>
            <w:hideMark/>
          </w:tcPr>
          <w:p w14:paraId="01FABCF9"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$1.14</w:t>
            </w:r>
          </w:p>
        </w:tc>
        <w:tc>
          <w:tcPr>
            <w:tcW w:w="1375" w:type="dxa"/>
            <w:shd w:val="clear" w:color="auto" w:fill="D8DBDB" w:themeFill="background2" w:themeFillShade="E6"/>
            <w:noWrap/>
            <w:hideMark/>
          </w:tcPr>
          <w:p w14:paraId="0B305808"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$0.39</w:t>
            </w:r>
          </w:p>
        </w:tc>
        <w:tc>
          <w:tcPr>
            <w:tcW w:w="1375" w:type="dxa"/>
            <w:shd w:val="clear" w:color="auto" w:fill="D8DBDB" w:themeFill="background2" w:themeFillShade="E6"/>
            <w:noWrap/>
            <w:hideMark/>
          </w:tcPr>
          <w:p w14:paraId="58ADD5E7"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$25.66</w:t>
            </w:r>
          </w:p>
        </w:tc>
        <w:tc>
          <w:tcPr>
            <w:tcW w:w="1375" w:type="dxa"/>
            <w:shd w:val="clear" w:color="auto" w:fill="D8DBDB" w:themeFill="background2" w:themeFillShade="E6"/>
            <w:noWrap/>
            <w:hideMark/>
          </w:tcPr>
          <w:p w14:paraId="1FF3E2E9"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$1.75</w:t>
            </w:r>
          </w:p>
        </w:tc>
      </w:tr>
      <w:tr w:rsidR="009752E9" w:rsidRPr="00F307F6" w14:paraId="5271A45E" w14:textId="77777777" w:rsidTr="008409E2">
        <w:trPr>
          <w:trHeight w:val="420"/>
        </w:trPr>
        <w:tc>
          <w:tcPr>
            <w:cnfStyle w:val="001000000000" w:firstRow="0" w:lastRow="0" w:firstColumn="1" w:lastColumn="0" w:oddVBand="0" w:evenVBand="0" w:oddHBand="0" w:evenHBand="0" w:firstRowFirstColumn="0" w:firstRowLastColumn="0" w:lastRowFirstColumn="0" w:lastRowLastColumn="0"/>
            <w:tcW w:w="3772" w:type="dxa"/>
            <w:shd w:val="clear" w:color="auto" w:fill="D8DBDB" w:themeFill="background2" w:themeFillShade="E6"/>
            <w:noWrap/>
            <w:hideMark/>
          </w:tcPr>
          <w:p w14:paraId="54557350" w14:textId="77777777" w:rsidR="009752E9" w:rsidRPr="00F307F6" w:rsidRDefault="009752E9" w:rsidP="00F307F6">
            <w:pPr>
              <w:pStyle w:val="TableParagraphbold"/>
            </w:pPr>
            <w:r w:rsidRPr="00F307F6">
              <w:t>Residential Aged Care Segment Profit (Loss)</w:t>
            </w:r>
          </w:p>
        </w:tc>
        <w:tc>
          <w:tcPr>
            <w:tcW w:w="1375" w:type="dxa"/>
            <w:shd w:val="clear" w:color="auto" w:fill="D8DBDB" w:themeFill="background2" w:themeFillShade="E6"/>
            <w:noWrap/>
            <w:hideMark/>
          </w:tcPr>
          <w:p w14:paraId="6D35AFCF"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($32.68)</w:t>
            </w:r>
          </w:p>
        </w:tc>
        <w:tc>
          <w:tcPr>
            <w:tcW w:w="1375" w:type="dxa"/>
            <w:shd w:val="clear" w:color="auto" w:fill="D8DBDB" w:themeFill="background2" w:themeFillShade="E6"/>
            <w:noWrap/>
            <w:hideMark/>
          </w:tcPr>
          <w:p w14:paraId="3FA679AE"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($30.26)</w:t>
            </w:r>
          </w:p>
        </w:tc>
        <w:tc>
          <w:tcPr>
            <w:tcW w:w="1375" w:type="dxa"/>
            <w:shd w:val="clear" w:color="auto" w:fill="D8DBDB" w:themeFill="background2" w:themeFillShade="E6"/>
            <w:noWrap/>
            <w:hideMark/>
          </w:tcPr>
          <w:p w14:paraId="7096EE30" w14:textId="77777777"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($66.83)</w:t>
            </w:r>
          </w:p>
        </w:tc>
        <w:tc>
          <w:tcPr>
            <w:tcW w:w="1375" w:type="dxa"/>
            <w:shd w:val="clear" w:color="auto" w:fill="D8DBDB" w:themeFill="background2" w:themeFillShade="E6"/>
            <w:noWrap/>
            <w:hideMark/>
          </w:tcPr>
          <w:p w14:paraId="693C8971" w14:textId="2281BB1B" w:rsidR="009752E9" w:rsidRPr="00F307F6" w:rsidRDefault="009752E9" w:rsidP="00F307F6">
            <w:pPr>
              <w:pStyle w:val="TableParagraphbold"/>
              <w:cnfStyle w:val="000000000000" w:firstRow="0" w:lastRow="0" w:firstColumn="0" w:lastColumn="0" w:oddVBand="0" w:evenVBand="0" w:oddHBand="0" w:evenHBand="0" w:firstRowFirstColumn="0" w:firstRowLastColumn="0" w:lastRowFirstColumn="0" w:lastRowLastColumn="0"/>
            </w:pPr>
            <w:r w:rsidRPr="00F307F6">
              <w:t>($32.97)</w:t>
            </w:r>
          </w:p>
        </w:tc>
      </w:tr>
    </w:tbl>
    <w:p w14:paraId="046622F3" w14:textId="77B8E833" w:rsidR="00105CAD" w:rsidRDefault="00233AD2" w:rsidP="008A35F3">
      <w:pPr>
        <w:pStyle w:val="Heading2"/>
      </w:pPr>
      <w:bookmarkStart w:id="223" w:name="_Toc149245322"/>
      <w:r w:rsidRPr="00E73670">
        <w:t xml:space="preserve">Financial performance </w:t>
      </w:r>
      <w:r w:rsidR="007D4236" w:rsidRPr="00E73670">
        <w:t>–</w:t>
      </w:r>
      <w:r w:rsidRPr="00E73670">
        <w:t xml:space="preserve"> revenue</w:t>
      </w:r>
      <w:bookmarkEnd w:id="223"/>
    </w:p>
    <w:p w14:paraId="3C42A598" w14:textId="658928FC" w:rsidR="00523F4F" w:rsidRDefault="00A65BBA" w:rsidP="00523F4F">
      <w:r>
        <w:t xml:space="preserve">Revenue for residential care providers is broadly described in four categories: care related, living expenses, accommodation and other. </w:t>
      </w:r>
    </w:p>
    <w:p w14:paraId="1A41CBFD" w14:textId="74CC2D53" w:rsidR="00D21558" w:rsidRDefault="00523F4F" w:rsidP="00D21558">
      <w:r>
        <w:t xml:space="preserve">Chart 3.3 </w:t>
      </w:r>
      <w:r w:rsidR="00D21558">
        <w:t>shows the proportion of all revenue sources for</w:t>
      </w:r>
      <w:r w:rsidR="00D21558">
        <w:rPr>
          <w:spacing w:val="-5"/>
        </w:rPr>
        <w:t xml:space="preserve"> </w:t>
      </w:r>
      <w:r w:rsidR="00D21558">
        <w:t>residential</w:t>
      </w:r>
      <w:r w:rsidR="00D21558">
        <w:rPr>
          <w:spacing w:val="-5"/>
        </w:rPr>
        <w:t xml:space="preserve"> </w:t>
      </w:r>
      <w:r w:rsidR="00D21558">
        <w:t>care</w:t>
      </w:r>
      <w:r w:rsidR="00D21558">
        <w:rPr>
          <w:spacing w:val="-5"/>
        </w:rPr>
        <w:t xml:space="preserve"> </w:t>
      </w:r>
      <w:r w:rsidR="00D21558">
        <w:t>providers</w:t>
      </w:r>
      <w:r w:rsidR="00D21558">
        <w:rPr>
          <w:spacing w:val="-5"/>
        </w:rPr>
        <w:t xml:space="preserve"> </w:t>
      </w:r>
      <w:r w:rsidR="00D21558">
        <w:t>in</w:t>
      </w:r>
      <w:r w:rsidR="00D21558">
        <w:rPr>
          <w:spacing w:val="-10"/>
        </w:rPr>
        <w:t xml:space="preserve"> </w:t>
      </w:r>
      <w:r w:rsidR="00D21558">
        <w:t>2021-22.</w:t>
      </w:r>
      <w:r w:rsidR="00D21558">
        <w:rPr>
          <w:spacing w:val="-5"/>
        </w:rPr>
        <w:t xml:space="preserve"> </w:t>
      </w:r>
      <w:r w:rsidR="00D21558">
        <w:t>Revenue</w:t>
      </w:r>
      <w:r w:rsidR="00D21558">
        <w:rPr>
          <w:spacing w:val="-5"/>
        </w:rPr>
        <w:t xml:space="preserve"> </w:t>
      </w:r>
      <w:r w:rsidR="00D21558">
        <w:t>from Australian</w:t>
      </w:r>
      <w:r w:rsidR="00D21558">
        <w:rPr>
          <w:spacing w:val="-11"/>
        </w:rPr>
        <w:t xml:space="preserve"> </w:t>
      </w:r>
      <w:r w:rsidR="00D21558">
        <w:t>Government</w:t>
      </w:r>
      <w:r w:rsidR="00D21558">
        <w:rPr>
          <w:spacing w:val="-11"/>
        </w:rPr>
        <w:t xml:space="preserve"> </w:t>
      </w:r>
      <w:r w:rsidR="00D21558">
        <w:t>care</w:t>
      </w:r>
      <w:r w:rsidR="00D21558">
        <w:rPr>
          <w:spacing w:val="-11"/>
        </w:rPr>
        <w:t xml:space="preserve"> </w:t>
      </w:r>
      <w:r w:rsidR="00D21558">
        <w:t>subsidies</w:t>
      </w:r>
      <w:r w:rsidR="00D21558">
        <w:rPr>
          <w:spacing w:val="-11"/>
        </w:rPr>
        <w:t xml:space="preserve"> </w:t>
      </w:r>
      <w:r w:rsidR="00D21558">
        <w:t>and</w:t>
      </w:r>
      <w:r w:rsidR="00D21558">
        <w:rPr>
          <w:spacing w:val="-11"/>
        </w:rPr>
        <w:t xml:space="preserve"> </w:t>
      </w:r>
      <w:r w:rsidR="00D21558">
        <w:t>supplements accounted for 61 per cent, while revenue from other income</w:t>
      </w:r>
      <w:r w:rsidR="00D21558">
        <w:rPr>
          <w:spacing w:val="-4"/>
        </w:rPr>
        <w:t xml:space="preserve"> </w:t>
      </w:r>
      <w:r w:rsidR="00D21558">
        <w:t>accounted</w:t>
      </w:r>
      <w:r w:rsidR="00D21558">
        <w:rPr>
          <w:spacing w:val="-4"/>
        </w:rPr>
        <w:t xml:space="preserve"> </w:t>
      </w:r>
      <w:r w:rsidR="00D21558">
        <w:t>for</w:t>
      </w:r>
      <w:r w:rsidR="00D21558">
        <w:rPr>
          <w:spacing w:val="-4"/>
        </w:rPr>
        <w:t xml:space="preserve"> </w:t>
      </w:r>
      <w:r w:rsidR="00D21558">
        <w:t>approximately</w:t>
      </w:r>
      <w:r w:rsidR="00D21558">
        <w:rPr>
          <w:spacing w:val="-4"/>
        </w:rPr>
        <w:t xml:space="preserve"> </w:t>
      </w:r>
      <w:r w:rsidR="00D21558">
        <w:t>7</w:t>
      </w:r>
      <w:r w:rsidR="00D21558">
        <w:rPr>
          <w:spacing w:val="-9"/>
        </w:rPr>
        <w:t xml:space="preserve"> </w:t>
      </w:r>
      <w:r w:rsidR="00D21558">
        <w:t>per</w:t>
      </w:r>
      <w:r w:rsidR="00D21558">
        <w:rPr>
          <w:spacing w:val="-9"/>
        </w:rPr>
        <w:t xml:space="preserve"> </w:t>
      </w:r>
      <w:r w:rsidR="00D21558">
        <w:t>cent</w:t>
      </w:r>
      <w:r w:rsidR="00D21558">
        <w:rPr>
          <w:spacing w:val="-4"/>
        </w:rPr>
        <w:t xml:space="preserve"> </w:t>
      </w:r>
      <w:r w:rsidR="00D21558">
        <w:t>of</w:t>
      </w:r>
      <w:r w:rsidR="00D21558">
        <w:rPr>
          <w:spacing w:val="-4"/>
        </w:rPr>
        <w:t xml:space="preserve"> </w:t>
      </w:r>
      <w:r w:rsidR="00D21558">
        <w:t>total provider revenue.</w:t>
      </w:r>
    </w:p>
    <w:p w14:paraId="59985059" w14:textId="474AA32C" w:rsidR="00BB2381" w:rsidRDefault="00D21558" w:rsidP="000B0E24">
      <w:r>
        <w:rPr>
          <w:spacing w:val="-2"/>
        </w:rPr>
        <w:t xml:space="preserve">Australian Government accommodation supplements </w:t>
      </w:r>
      <w:r>
        <w:t>and</w:t>
      </w:r>
      <w:r>
        <w:rPr>
          <w:spacing w:val="-9"/>
        </w:rPr>
        <w:t xml:space="preserve"> </w:t>
      </w:r>
      <w:r>
        <w:t>capital</w:t>
      </w:r>
      <w:r>
        <w:rPr>
          <w:spacing w:val="-8"/>
        </w:rPr>
        <w:t xml:space="preserve"> </w:t>
      </w:r>
      <w:r>
        <w:t>grants</w:t>
      </w:r>
      <w:r>
        <w:rPr>
          <w:spacing w:val="-8"/>
        </w:rPr>
        <w:t xml:space="preserve"> </w:t>
      </w:r>
      <w:r>
        <w:t>revenue</w:t>
      </w:r>
      <w:r>
        <w:rPr>
          <w:spacing w:val="-8"/>
        </w:rPr>
        <w:t xml:space="preserve"> </w:t>
      </w:r>
      <w:r>
        <w:t>accounted</w:t>
      </w:r>
      <w:r>
        <w:rPr>
          <w:spacing w:val="-8"/>
        </w:rPr>
        <w:t xml:space="preserve"> </w:t>
      </w:r>
      <w:r>
        <w:t>for</w:t>
      </w:r>
      <w:r>
        <w:rPr>
          <w:spacing w:val="-8"/>
        </w:rPr>
        <w:t xml:space="preserve"> </w:t>
      </w:r>
      <w:r>
        <w:t>7</w:t>
      </w:r>
      <w:r>
        <w:rPr>
          <w:spacing w:val="-11"/>
        </w:rPr>
        <w:t xml:space="preserve"> </w:t>
      </w:r>
      <w:r>
        <w:t>per</w:t>
      </w:r>
      <w:r>
        <w:rPr>
          <w:spacing w:val="-11"/>
        </w:rPr>
        <w:t xml:space="preserve"> </w:t>
      </w:r>
      <w:r>
        <w:t>cent</w:t>
      </w:r>
      <w:r>
        <w:rPr>
          <w:spacing w:val="-7"/>
        </w:rPr>
        <w:t xml:space="preserve"> </w:t>
      </w:r>
      <w:r>
        <w:t>of total provider revenue.</w:t>
      </w:r>
      <w:bookmarkStart w:id="224" w:name="_Ref139553180"/>
    </w:p>
    <w:p w14:paraId="49AD664E" w14:textId="0B085F4D" w:rsidR="00CF6702" w:rsidRPr="00766E45" w:rsidRDefault="00A16532" w:rsidP="00766E45">
      <w:pPr>
        <w:pStyle w:val="Caption"/>
      </w:pPr>
      <w:bookmarkStart w:id="225" w:name="_Toc149245222"/>
      <w:r>
        <w:lastRenderedPageBreak/>
        <w:t xml:space="preserve">Chart </w:t>
      </w:r>
      <w:r>
        <w:fldChar w:fldCharType="begin"/>
      </w:r>
      <w:r>
        <w:instrText>STYLEREF 1 \s</w:instrText>
      </w:r>
      <w:r>
        <w:fldChar w:fldCharType="separate"/>
      </w:r>
      <w:r w:rsidR="00294B02">
        <w:rPr>
          <w:noProof/>
        </w:rPr>
        <w:t>3</w:t>
      </w:r>
      <w:r>
        <w:fldChar w:fldCharType="end"/>
      </w:r>
      <w:r w:rsidR="00434A28">
        <w:t>.</w:t>
      </w:r>
      <w:r>
        <w:fldChar w:fldCharType="begin"/>
      </w:r>
      <w:r>
        <w:instrText>SEQ Chart \* ARABIC \s 1</w:instrText>
      </w:r>
      <w:r>
        <w:fldChar w:fldCharType="separate"/>
      </w:r>
      <w:r w:rsidR="00294B02">
        <w:rPr>
          <w:noProof/>
        </w:rPr>
        <w:t>3</w:t>
      </w:r>
      <w:r>
        <w:fldChar w:fldCharType="end"/>
      </w:r>
      <w:bookmarkEnd w:id="224"/>
      <w:r w:rsidR="00CE47AA">
        <w:t>:</w:t>
      </w:r>
      <w:r>
        <w:t xml:space="preserve"> </w:t>
      </w:r>
      <w:r w:rsidRPr="00561987">
        <w:t>Proportions of total residential care provider revenue, 2021</w:t>
      </w:r>
      <w:r>
        <w:t>-22</w:t>
      </w:r>
      <w:r w:rsidRPr="00561987">
        <w:t xml:space="preserve"> ($m)</w:t>
      </w:r>
      <w:bookmarkEnd w:id="225"/>
    </w:p>
    <w:p w14:paraId="74A6C4B9" w14:textId="02083F66" w:rsidR="00AD172D" w:rsidRPr="008409E2" w:rsidRDefault="00AD172D" w:rsidP="00CF6702">
      <w:r>
        <w:rPr>
          <w:noProof/>
        </w:rPr>
        <w:drawing>
          <wp:inline distT="0" distB="0" distL="0" distR="0" wp14:anchorId="1174D977" wp14:editId="099AC71C">
            <wp:extent cx="5759450" cy="3353435"/>
            <wp:effectExtent l="0" t="0" r="0" b="0"/>
            <wp:docPr id="61" name="Chart 61" descr="Chart 3.3 is a doughnut chart titled Proportions of total residential care provider revenue, 2021-22 ($m). Revenue from Australian Government care subsidies and supplements accounted for 61.2 per cent, while revenue from other income accounted for approximately 7 per cent of total provider revenue. Australian Government accommodation supplements and capital grants revenue accounted for 6.6 per cent of total provider revenue.">
              <a:extLst xmlns:a="http://schemas.openxmlformats.org/drawingml/2006/main">
                <a:ext uri="{FF2B5EF4-FFF2-40B4-BE49-F238E27FC236}">
                  <a16:creationId xmlns:a16="http://schemas.microsoft.com/office/drawing/2014/main" id="{140311EC-8430-44CF-AB40-35CDF9205C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6E93C21" w14:textId="1A0CB489" w:rsidR="0030623D" w:rsidRPr="00A11B02" w:rsidRDefault="00CE47AA" w:rsidP="0030623D">
      <w:r>
        <w:fldChar w:fldCharType="begin"/>
      </w:r>
      <w:r>
        <w:instrText xml:space="preserve"> REF _Ref139553212 \h </w:instrText>
      </w:r>
      <w:r>
        <w:fldChar w:fldCharType="separate"/>
      </w:r>
      <w:r w:rsidR="00294B02" w:rsidRPr="00741EDD">
        <w:t xml:space="preserve">Table </w:t>
      </w:r>
      <w:r w:rsidR="00294B02">
        <w:rPr>
          <w:noProof/>
        </w:rPr>
        <w:t>3</w:t>
      </w:r>
      <w:r w:rsidR="00294B02">
        <w:t>.</w:t>
      </w:r>
      <w:r w:rsidR="00294B02">
        <w:rPr>
          <w:noProof/>
        </w:rPr>
        <w:t>4</w:t>
      </w:r>
      <w:r>
        <w:fldChar w:fldCharType="end"/>
      </w:r>
      <w:r w:rsidR="00F31E08">
        <w:t xml:space="preserve"> </w:t>
      </w:r>
      <w:r w:rsidR="0030623D" w:rsidRPr="00A11B02">
        <w:t>provides a breakdown of the revenue reported by residential care providers in 2021</w:t>
      </w:r>
      <w:r w:rsidR="00CD0D27">
        <w:t>-22</w:t>
      </w:r>
      <w:r w:rsidR="0030623D" w:rsidRPr="00A11B02">
        <w:t xml:space="preserve"> compared with the previous two years.</w:t>
      </w:r>
    </w:p>
    <w:p w14:paraId="662BC200" w14:textId="13552BB1" w:rsidR="0030623D" w:rsidRPr="00A11B02" w:rsidRDefault="0030623D" w:rsidP="0030623D">
      <w:r w:rsidRPr="00A11B02">
        <w:t>In 20</w:t>
      </w:r>
      <w:r w:rsidR="00CD0D27">
        <w:t>21</w:t>
      </w:r>
      <w:r w:rsidRPr="00A11B02">
        <w:t>–2</w:t>
      </w:r>
      <w:r w:rsidR="00CD0D27">
        <w:t>2</w:t>
      </w:r>
      <w:r w:rsidRPr="00A11B02">
        <w:t>, care related revenue ($13.</w:t>
      </w:r>
      <w:r w:rsidR="00CD0D27">
        <w:t>6</w:t>
      </w:r>
      <w:r w:rsidRPr="00A11B02">
        <w:t xml:space="preserve"> billion) formed the majority (6</w:t>
      </w:r>
      <w:r w:rsidR="00912D20">
        <w:t>2</w:t>
      </w:r>
      <w:r w:rsidRPr="00A11B02">
        <w:t xml:space="preserve"> per cent) of total revenue earned by residential care providers. This has been the case in previous years and is an increase of $</w:t>
      </w:r>
      <w:r w:rsidR="00C3641E">
        <w:t>281</w:t>
      </w:r>
      <w:r w:rsidRPr="00A11B02">
        <w:t xml:space="preserve"> million on the previous year. The Australian Government is the primary funder of care related revenue.</w:t>
      </w:r>
    </w:p>
    <w:p w14:paraId="37BE728F" w14:textId="1BCD3C1D" w:rsidR="0030623D" w:rsidRPr="00A11B02" w:rsidRDefault="009648EA" w:rsidP="0030623D">
      <w:r>
        <w:t>Hotel</w:t>
      </w:r>
      <w:r w:rsidR="0030623D" w:rsidRPr="00A11B02">
        <w:t xml:space="preserve"> related revenue received from residents, which includes the basic daily fee, extra services </w:t>
      </w:r>
      <w:proofErr w:type="gramStart"/>
      <w:r w:rsidR="0030623D" w:rsidRPr="00A11B02">
        <w:t>fees</w:t>
      </w:r>
      <w:proofErr w:type="gramEnd"/>
      <w:r w:rsidR="0030623D" w:rsidRPr="00A11B02">
        <w:t xml:space="preserve"> and additional service fees, accounted for </w:t>
      </w:r>
      <w:r w:rsidR="009F2DD2">
        <w:t>21</w:t>
      </w:r>
      <w:r w:rsidR="0030623D" w:rsidRPr="00A11B02">
        <w:t xml:space="preserve"> per cent </w:t>
      </w:r>
      <w:r w:rsidR="000B22BF">
        <w:t>of total revenue</w:t>
      </w:r>
      <w:r w:rsidR="0030623D" w:rsidRPr="00A11B02">
        <w:t xml:space="preserve"> ($</w:t>
      </w:r>
      <w:r w:rsidR="000D1461">
        <w:t>4.6</w:t>
      </w:r>
      <w:r w:rsidR="0030623D" w:rsidRPr="00A11B02">
        <w:t xml:space="preserve"> billion), </w:t>
      </w:r>
      <w:r w:rsidR="009F2DD2">
        <w:t xml:space="preserve">an increase </w:t>
      </w:r>
      <w:r w:rsidR="002C6829">
        <w:t>of</w:t>
      </w:r>
      <w:r w:rsidR="001833F9">
        <w:t xml:space="preserve"> </w:t>
      </w:r>
      <w:r w:rsidR="00155F90" w:rsidRPr="00184322">
        <w:t>$</w:t>
      </w:r>
      <w:r w:rsidR="00AB0859" w:rsidRPr="00C06BDF">
        <w:t>729.68m</w:t>
      </w:r>
      <w:r w:rsidR="00155F90" w:rsidRPr="00184322">
        <w:t xml:space="preserve"> </w:t>
      </w:r>
      <w:r w:rsidR="00E4732F" w:rsidRPr="00184322">
        <w:t xml:space="preserve">(or </w:t>
      </w:r>
      <w:r w:rsidR="00527788" w:rsidRPr="00C06BDF">
        <w:t>1</w:t>
      </w:r>
      <w:r w:rsidR="00527788">
        <w:t xml:space="preserve">9 </w:t>
      </w:r>
      <w:r w:rsidR="00C06BDF">
        <w:t>per cent</w:t>
      </w:r>
      <w:r w:rsidR="00E4732F" w:rsidRPr="00184322">
        <w:t>)</w:t>
      </w:r>
      <w:r w:rsidR="00E4732F">
        <w:t xml:space="preserve"> </w:t>
      </w:r>
      <w:r w:rsidR="009F2DD2">
        <w:t>on</w:t>
      </w:r>
      <w:r w:rsidR="0030623D" w:rsidRPr="00A11B02">
        <w:t xml:space="preserve"> </w:t>
      </w:r>
      <w:r w:rsidR="009F2DD2">
        <w:t>2020-21</w:t>
      </w:r>
      <w:r w:rsidR="0030623D" w:rsidRPr="00A11B02">
        <w:t>.</w:t>
      </w:r>
    </w:p>
    <w:p w14:paraId="4F324B1E" w14:textId="0D6472FA" w:rsidR="00EA2DEB" w:rsidRDefault="004118DD" w:rsidP="00A11B02">
      <w:pPr>
        <w:pStyle w:val="Caption"/>
      </w:pPr>
      <w:bookmarkStart w:id="226" w:name="_Ref139553212"/>
      <w:bookmarkStart w:id="227" w:name="_Toc149245278"/>
      <w:r w:rsidRPr="00741EDD">
        <w:t xml:space="preserve">Table </w:t>
      </w:r>
      <w:r>
        <w:fldChar w:fldCharType="begin"/>
      </w:r>
      <w:r>
        <w:instrText>STYLEREF 1 \s</w:instrText>
      </w:r>
      <w:r>
        <w:fldChar w:fldCharType="separate"/>
      </w:r>
      <w:r w:rsidR="00294B02">
        <w:rPr>
          <w:noProof/>
        </w:rPr>
        <w:t>3</w:t>
      </w:r>
      <w:r>
        <w:fldChar w:fldCharType="end"/>
      </w:r>
      <w:r w:rsidR="002E758C">
        <w:t>.</w:t>
      </w:r>
      <w:r>
        <w:fldChar w:fldCharType="begin"/>
      </w:r>
      <w:r>
        <w:instrText>SEQ Table \* ARABIC \s 1</w:instrText>
      </w:r>
      <w:r>
        <w:fldChar w:fldCharType="separate"/>
      </w:r>
      <w:r w:rsidR="00294B02">
        <w:rPr>
          <w:noProof/>
        </w:rPr>
        <w:t>4</w:t>
      </w:r>
      <w:r>
        <w:fldChar w:fldCharType="end"/>
      </w:r>
      <w:bookmarkEnd w:id="226"/>
      <w:r w:rsidRPr="00741EDD">
        <w:t>:</w:t>
      </w:r>
      <w:r>
        <w:t xml:space="preserve"> </w:t>
      </w:r>
      <w:r w:rsidRPr="0097668A">
        <w:t xml:space="preserve">Revenue sources for residential care providers, by care, accommodation, living and ‘other’, </w:t>
      </w:r>
      <w:r w:rsidRPr="005B6FCC">
        <w:t>2019-20 to 2021-22 ($m)</w:t>
      </w:r>
      <w:bookmarkEnd w:id="227"/>
    </w:p>
    <w:tbl>
      <w:tblPr>
        <w:tblStyle w:val="DepartmentofHealthtable"/>
        <w:tblW w:w="9781" w:type="dxa"/>
        <w:tblLook w:val="04A0" w:firstRow="1" w:lastRow="0" w:firstColumn="1" w:lastColumn="0" w:noHBand="0" w:noVBand="1"/>
      </w:tblPr>
      <w:tblGrid>
        <w:gridCol w:w="3273"/>
        <w:gridCol w:w="216"/>
        <w:gridCol w:w="1217"/>
        <w:gridCol w:w="122"/>
        <w:gridCol w:w="1217"/>
        <w:gridCol w:w="1309"/>
        <w:gridCol w:w="110"/>
        <w:gridCol w:w="1149"/>
        <w:gridCol w:w="68"/>
        <w:gridCol w:w="1415"/>
      </w:tblGrid>
      <w:tr w:rsidR="00496209" w:rsidRPr="00F307F6" w14:paraId="5627ECD6" w14:textId="77777777" w:rsidTr="008409E2">
        <w:trPr>
          <w:cnfStyle w:val="100000000000" w:firstRow="1" w:lastRow="0" w:firstColumn="0" w:lastColumn="0" w:oddVBand="0" w:evenVBand="0" w:oddHBand="0" w:evenHBand="0" w:firstRowFirstColumn="0" w:firstRowLastColumn="0" w:lastRowFirstColumn="0" w:lastRowLastColumn="0"/>
          <w:trHeight w:val="526"/>
        </w:trPr>
        <w:tc>
          <w:tcPr>
            <w:cnfStyle w:val="001000000000" w:firstRow="0" w:lastRow="0" w:firstColumn="1" w:lastColumn="0" w:oddVBand="0" w:evenVBand="0" w:oddHBand="0" w:evenHBand="0" w:firstRowFirstColumn="0" w:firstRowLastColumn="0" w:lastRowFirstColumn="0" w:lastRowLastColumn="0"/>
            <w:tcW w:w="3489" w:type="dxa"/>
            <w:gridSpan w:val="2"/>
            <w:hideMark/>
          </w:tcPr>
          <w:p w14:paraId="5C133BE4" w14:textId="77777777" w:rsidR="00AF0B72" w:rsidRPr="00F307F6" w:rsidRDefault="00AF0B72" w:rsidP="00F307F6">
            <w:pPr>
              <w:pStyle w:val="TableHeaderWhite"/>
            </w:pPr>
            <w:r w:rsidRPr="00F307F6">
              <w:t>Revenue sources</w:t>
            </w:r>
          </w:p>
        </w:tc>
        <w:tc>
          <w:tcPr>
            <w:tcW w:w="1105" w:type="dxa"/>
            <w:hideMark/>
          </w:tcPr>
          <w:p w14:paraId="68ED7F0E" w14:textId="06591121" w:rsidR="00AF0B72" w:rsidRPr="00F307F6" w:rsidRDefault="00AF0B72"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2019-20 ($m)</w:t>
            </w:r>
          </w:p>
        </w:tc>
        <w:tc>
          <w:tcPr>
            <w:tcW w:w="1218" w:type="dxa"/>
            <w:gridSpan w:val="2"/>
            <w:hideMark/>
          </w:tcPr>
          <w:p w14:paraId="7A302522" w14:textId="21F2CD12" w:rsidR="00AF0B72" w:rsidRPr="00F307F6" w:rsidRDefault="00AF0B72"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2020-21</w:t>
            </w:r>
            <w:r w:rsidRPr="00F307F6">
              <w:br/>
              <w:t>($m)</w:t>
            </w:r>
          </w:p>
        </w:tc>
        <w:tc>
          <w:tcPr>
            <w:tcW w:w="1419" w:type="dxa"/>
            <w:gridSpan w:val="2"/>
            <w:hideMark/>
          </w:tcPr>
          <w:p w14:paraId="19C7B9F4" w14:textId="77777777" w:rsidR="00C16355" w:rsidRPr="00F307F6" w:rsidRDefault="00C16355"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Change</w:t>
            </w:r>
          </w:p>
          <w:p w14:paraId="240D7C85" w14:textId="04A966EC" w:rsidR="00AF0B72" w:rsidRPr="00F307F6" w:rsidRDefault="00C16355"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from 2019-20 to 2020-21 ($m)</w:t>
            </w:r>
          </w:p>
        </w:tc>
        <w:tc>
          <w:tcPr>
            <w:tcW w:w="1135" w:type="dxa"/>
            <w:gridSpan w:val="2"/>
            <w:hideMark/>
          </w:tcPr>
          <w:p w14:paraId="346EB4D6" w14:textId="7AB1FA36" w:rsidR="00AF0B72" w:rsidRPr="00F307F6" w:rsidRDefault="00AF0B72"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2021-22</w:t>
            </w:r>
            <w:r w:rsidRPr="00F307F6">
              <w:br/>
              <w:t>($m)</w:t>
            </w:r>
          </w:p>
        </w:tc>
        <w:tc>
          <w:tcPr>
            <w:tcW w:w="1415" w:type="dxa"/>
            <w:hideMark/>
          </w:tcPr>
          <w:p w14:paraId="4F9EABCF" w14:textId="77777777" w:rsidR="00C16355" w:rsidRPr="00F307F6" w:rsidRDefault="00C16355"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Change</w:t>
            </w:r>
          </w:p>
          <w:p w14:paraId="161C4A44" w14:textId="155DB48E" w:rsidR="00AF0B72" w:rsidRPr="00F307F6" w:rsidRDefault="00C16355" w:rsidP="00F307F6">
            <w:pPr>
              <w:pStyle w:val="TableHeaderWhite"/>
              <w:cnfStyle w:val="100000000000" w:firstRow="1" w:lastRow="0" w:firstColumn="0" w:lastColumn="0" w:oddVBand="0" w:evenVBand="0" w:oddHBand="0" w:evenHBand="0" w:firstRowFirstColumn="0" w:firstRowLastColumn="0" w:lastRowFirstColumn="0" w:lastRowLastColumn="0"/>
            </w:pPr>
            <w:r w:rsidRPr="00F307F6">
              <w:t>from 2020-21 to 2021-22 ($m)</w:t>
            </w:r>
          </w:p>
        </w:tc>
      </w:tr>
      <w:tr w:rsidR="00B17F2E" w:rsidRPr="00F307F6" w14:paraId="1FF4AA4C"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489" w:type="dxa"/>
            <w:gridSpan w:val="2"/>
            <w:shd w:val="clear" w:color="auto" w:fill="D8DBDB" w:themeFill="background2" w:themeFillShade="E6"/>
            <w:hideMark/>
          </w:tcPr>
          <w:p w14:paraId="4C73ABA0" w14:textId="50459DAD" w:rsidR="00AF0B72" w:rsidRPr="00F307F6" w:rsidRDefault="00AF0B72" w:rsidP="00496209">
            <w:pPr>
              <w:pStyle w:val="TableParagraphbold"/>
            </w:pPr>
            <w:r w:rsidRPr="00F307F6">
              <w:t xml:space="preserve">Care </w:t>
            </w:r>
            <w:r w:rsidR="00F71DEA" w:rsidRPr="00F307F6">
              <w:t>r</w:t>
            </w:r>
            <w:r w:rsidRPr="00F307F6">
              <w:t>elated</w:t>
            </w:r>
          </w:p>
        </w:tc>
        <w:tc>
          <w:tcPr>
            <w:tcW w:w="1105" w:type="dxa"/>
            <w:shd w:val="clear" w:color="auto" w:fill="D8DBDB" w:themeFill="background2" w:themeFillShade="E6"/>
            <w:hideMark/>
          </w:tcPr>
          <w:p w14:paraId="0C8BF31E"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218" w:type="dxa"/>
            <w:gridSpan w:val="2"/>
            <w:shd w:val="clear" w:color="auto" w:fill="D8DBDB" w:themeFill="background2" w:themeFillShade="E6"/>
            <w:hideMark/>
          </w:tcPr>
          <w:p w14:paraId="6FFA7F24"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419" w:type="dxa"/>
            <w:gridSpan w:val="2"/>
            <w:shd w:val="clear" w:color="auto" w:fill="D8DBDB" w:themeFill="background2" w:themeFillShade="E6"/>
            <w:hideMark/>
          </w:tcPr>
          <w:p w14:paraId="77EC7F96"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135" w:type="dxa"/>
            <w:gridSpan w:val="2"/>
            <w:shd w:val="clear" w:color="auto" w:fill="D8DBDB" w:themeFill="background2" w:themeFillShade="E6"/>
            <w:hideMark/>
          </w:tcPr>
          <w:p w14:paraId="46E792E8"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415" w:type="dxa"/>
            <w:shd w:val="clear" w:color="auto" w:fill="D8DBDB" w:themeFill="background2" w:themeFillShade="E6"/>
            <w:hideMark/>
          </w:tcPr>
          <w:p w14:paraId="3CFB9A09"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r>
      <w:tr w:rsidR="00AD09B1" w:rsidRPr="00F307F6" w14:paraId="503C0D67"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10F5ACC6" w14:textId="77777777" w:rsidR="00AF0B72" w:rsidRPr="00F307F6" w:rsidRDefault="00AF0B72" w:rsidP="00F307F6">
            <w:pPr>
              <w:pStyle w:val="TableofAuthorities"/>
            </w:pPr>
            <w:r w:rsidRPr="00F307F6">
              <w:t>Basic care subsidy (ACFI)</w:t>
            </w:r>
          </w:p>
        </w:tc>
        <w:tc>
          <w:tcPr>
            <w:tcW w:w="1537" w:type="dxa"/>
            <w:gridSpan w:val="3"/>
            <w:noWrap/>
            <w:hideMark/>
          </w:tcPr>
          <w:p w14:paraId="3BF1D61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$11,386.30 </w:t>
            </w:r>
          </w:p>
        </w:tc>
        <w:tc>
          <w:tcPr>
            <w:tcW w:w="1002" w:type="dxa"/>
            <w:noWrap/>
            <w:hideMark/>
          </w:tcPr>
          <w:p w14:paraId="47AEDFA3"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$11,777.87 </w:t>
            </w:r>
          </w:p>
        </w:tc>
        <w:tc>
          <w:tcPr>
            <w:tcW w:w="1309" w:type="dxa"/>
            <w:noWrap/>
            <w:hideMark/>
          </w:tcPr>
          <w:p w14:paraId="1AC63B4C"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$391.57 </w:t>
            </w:r>
          </w:p>
        </w:tc>
        <w:tc>
          <w:tcPr>
            <w:tcW w:w="1177" w:type="dxa"/>
            <w:gridSpan w:val="2"/>
            <w:noWrap/>
            <w:hideMark/>
          </w:tcPr>
          <w:p w14:paraId="41DD863C"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$11,883.39 </w:t>
            </w:r>
          </w:p>
        </w:tc>
        <w:tc>
          <w:tcPr>
            <w:tcW w:w="1483" w:type="dxa"/>
            <w:gridSpan w:val="2"/>
            <w:noWrap/>
            <w:hideMark/>
          </w:tcPr>
          <w:p w14:paraId="6A738B6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$105.52 </w:t>
            </w:r>
          </w:p>
        </w:tc>
      </w:tr>
      <w:tr w:rsidR="00AD09B1" w:rsidRPr="00F307F6" w14:paraId="17A6D4BF"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42FCAA6F" w14:textId="19BEE0B3" w:rsidR="00AF0B72" w:rsidRPr="00F307F6" w:rsidRDefault="00AF0B72" w:rsidP="00F307F6">
            <w:pPr>
              <w:pStyle w:val="TableofAuthorities"/>
            </w:pPr>
            <w:r w:rsidRPr="00F307F6">
              <w:t xml:space="preserve">Respite subsidy </w:t>
            </w:r>
            <w:r w:rsidR="00F71DEA" w:rsidRPr="00F307F6">
              <w:t>and</w:t>
            </w:r>
            <w:r w:rsidRPr="00F307F6">
              <w:t xml:space="preserve"> supplements</w:t>
            </w:r>
          </w:p>
        </w:tc>
        <w:tc>
          <w:tcPr>
            <w:tcW w:w="1537" w:type="dxa"/>
            <w:gridSpan w:val="3"/>
            <w:noWrap/>
            <w:hideMark/>
          </w:tcPr>
          <w:p w14:paraId="72234F8B"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$415.60 </w:t>
            </w:r>
          </w:p>
        </w:tc>
        <w:tc>
          <w:tcPr>
            <w:tcW w:w="1002" w:type="dxa"/>
            <w:noWrap/>
            <w:hideMark/>
          </w:tcPr>
          <w:p w14:paraId="4FAF84ED"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$455.77 </w:t>
            </w:r>
          </w:p>
        </w:tc>
        <w:tc>
          <w:tcPr>
            <w:tcW w:w="1309" w:type="dxa"/>
            <w:noWrap/>
            <w:hideMark/>
          </w:tcPr>
          <w:p w14:paraId="1B8B54A3"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$40.17 </w:t>
            </w:r>
          </w:p>
        </w:tc>
        <w:tc>
          <w:tcPr>
            <w:tcW w:w="1177" w:type="dxa"/>
            <w:gridSpan w:val="2"/>
            <w:noWrap/>
            <w:hideMark/>
          </w:tcPr>
          <w:p w14:paraId="4B3AB134"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$501.02 </w:t>
            </w:r>
          </w:p>
        </w:tc>
        <w:tc>
          <w:tcPr>
            <w:tcW w:w="1483" w:type="dxa"/>
            <w:gridSpan w:val="2"/>
            <w:noWrap/>
            <w:hideMark/>
          </w:tcPr>
          <w:p w14:paraId="25ACF661"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$45.26 </w:t>
            </w:r>
          </w:p>
        </w:tc>
      </w:tr>
      <w:tr w:rsidR="00AD09B1" w:rsidRPr="00F307F6" w14:paraId="3028B144"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4FA80CEB" w14:textId="77777777" w:rsidR="00AF0B72" w:rsidRPr="00F307F6" w:rsidRDefault="00AF0B72" w:rsidP="00F307F6">
            <w:pPr>
              <w:pStyle w:val="TableofAuthorities"/>
            </w:pPr>
            <w:r w:rsidRPr="00F307F6">
              <w:t>COVID-19 funding</w:t>
            </w:r>
          </w:p>
        </w:tc>
        <w:tc>
          <w:tcPr>
            <w:tcW w:w="1537" w:type="dxa"/>
            <w:gridSpan w:val="3"/>
            <w:noWrap/>
            <w:hideMark/>
          </w:tcPr>
          <w:p w14:paraId="7D0478E5"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$301.10 </w:t>
            </w:r>
          </w:p>
        </w:tc>
        <w:tc>
          <w:tcPr>
            <w:tcW w:w="1002" w:type="dxa"/>
            <w:noWrap/>
            <w:hideMark/>
          </w:tcPr>
          <w:p w14:paraId="2F9EEE1E"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$753.61 </w:t>
            </w:r>
          </w:p>
        </w:tc>
        <w:tc>
          <w:tcPr>
            <w:tcW w:w="1309" w:type="dxa"/>
            <w:noWrap/>
            <w:hideMark/>
          </w:tcPr>
          <w:p w14:paraId="7F21B15D"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$452.51 </w:t>
            </w:r>
          </w:p>
        </w:tc>
        <w:tc>
          <w:tcPr>
            <w:tcW w:w="1177" w:type="dxa"/>
            <w:gridSpan w:val="2"/>
            <w:noWrap/>
            <w:hideMark/>
          </w:tcPr>
          <w:p w14:paraId="4A9E2D0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$306.06 </w:t>
            </w:r>
          </w:p>
        </w:tc>
        <w:tc>
          <w:tcPr>
            <w:tcW w:w="1483" w:type="dxa"/>
            <w:gridSpan w:val="2"/>
            <w:noWrap/>
            <w:hideMark/>
          </w:tcPr>
          <w:p w14:paraId="31324348"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($447.55)</w:t>
            </w:r>
          </w:p>
        </w:tc>
      </w:tr>
      <w:tr w:rsidR="00AD09B1" w:rsidRPr="00F307F6" w14:paraId="0DED668D"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297F2D23" w14:textId="77777777" w:rsidR="00AF0B72" w:rsidRPr="00F307F6" w:rsidRDefault="00AF0B72" w:rsidP="00F307F6">
            <w:pPr>
              <w:pStyle w:val="TableofAuthorities"/>
            </w:pPr>
            <w:r w:rsidRPr="00F307F6">
              <w:t>Other supplements</w:t>
            </w:r>
          </w:p>
        </w:tc>
        <w:tc>
          <w:tcPr>
            <w:tcW w:w="1537" w:type="dxa"/>
            <w:gridSpan w:val="3"/>
            <w:noWrap/>
            <w:hideMark/>
          </w:tcPr>
          <w:p w14:paraId="0EF35323"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$127.00 </w:t>
            </w:r>
          </w:p>
        </w:tc>
        <w:tc>
          <w:tcPr>
            <w:tcW w:w="1002" w:type="dxa"/>
            <w:noWrap/>
            <w:hideMark/>
          </w:tcPr>
          <w:p w14:paraId="27C91AC4"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$156.61 </w:t>
            </w:r>
          </w:p>
        </w:tc>
        <w:tc>
          <w:tcPr>
            <w:tcW w:w="1309" w:type="dxa"/>
            <w:noWrap/>
            <w:hideMark/>
          </w:tcPr>
          <w:p w14:paraId="69149BC1"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$29.61 </w:t>
            </w:r>
          </w:p>
        </w:tc>
        <w:tc>
          <w:tcPr>
            <w:tcW w:w="1177" w:type="dxa"/>
            <w:gridSpan w:val="2"/>
            <w:noWrap/>
            <w:hideMark/>
          </w:tcPr>
          <w:p w14:paraId="56A8310D"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$155.15 </w:t>
            </w:r>
          </w:p>
        </w:tc>
        <w:tc>
          <w:tcPr>
            <w:tcW w:w="1483" w:type="dxa"/>
            <w:gridSpan w:val="2"/>
            <w:noWrap/>
            <w:hideMark/>
          </w:tcPr>
          <w:p w14:paraId="0D6E95D2"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($1.46)</w:t>
            </w:r>
          </w:p>
        </w:tc>
      </w:tr>
      <w:tr w:rsidR="00AD09B1" w:rsidRPr="00F307F6" w14:paraId="1A844DAC"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61B9C067" w14:textId="77777777" w:rsidR="00AF0B72" w:rsidRPr="00F307F6" w:rsidRDefault="00AF0B72" w:rsidP="00F307F6">
            <w:pPr>
              <w:pStyle w:val="TableofAuthorities"/>
            </w:pPr>
            <w:r w:rsidRPr="00F307F6">
              <w:t>Resident means tested fee</w:t>
            </w:r>
          </w:p>
        </w:tc>
        <w:tc>
          <w:tcPr>
            <w:tcW w:w="1537" w:type="dxa"/>
            <w:gridSpan w:val="3"/>
            <w:noWrap/>
            <w:hideMark/>
          </w:tcPr>
          <w:p w14:paraId="2E17114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$648.00 </w:t>
            </w:r>
          </w:p>
        </w:tc>
        <w:tc>
          <w:tcPr>
            <w:tcW w:w="1002" w:type="dxa"/>
            <w:noWrap/>
            <w:hideMark/>
          </w:tcPr>
          <w:p w14:paraId="45FE8CCF"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$657.01 </w:t>
            </w:r>
          </w:p>
        </w:tc>
        <w:tc>
          <w:tcPr>
            <w:tcW w:w="1309" w:type="dxa"/>
            <w:noWrap/>
            <w:hideMark/>
          </w:tcPr>
          <w:p w14:paraId="516CCDFF"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$9.01 </w:t>
            </w:r>
          </w:p>
        </w:tc>
        <w:tc>
          <w:tcPr>
            <w:tcW w:w="1177" w:type="dxa"/>
            <w:gridSpan w:val="2"/>
            <w:noWrap/>
            <w:hideMark/>
          </w:tcPr>
          <w:p w14:paraId="56277F9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$678.64 </w:t>
            </w:r>
          </w:p>
        </w:tc>
        <w:tc>
          <w:tcPr>
            <w:tcW w:w="1483" w:type="dxa"/>
            <w:gridSpan w:val="2"/>
            <w:noWrap/>
            <w:hideMark/>
          </w:tcPr>
          <w:p w14:paraId="44567010"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$21.63 </w:t>
            </w:r>
          </w:p>
        </w:tc>
      </w:tr>
      <w:tr w:rsidR="00AD09B1" w:rsidRPr="00F307F6" w14:paraId="4B31D401"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3C8EE038" w14:textId="77777777" w:rsidR="00AF0B72" w:rsidRPr="00F307F6" w:rsidRDefault="00AF0B72" w:rsidP="00F307F6">
            <w:pPr>
              <w:pStyle w:val="TableofAuthorities"/>
            </w:pPr>
            <w:r w:rsidRPr="00F307F6">
              <w:t>Resident other care fees</w:t>
            </w:r>
          </w:p>
        </w:tc>
        <w:tc>
          <w:tcPr>
            <w:tcW w:w="1537" w:type="dxa"/>
            <w:gridSpan w:val="3"/>
            <w:noWrap/>
            <w:hideMark/>
          </w:tcPr>
          <w:p w14:paraId="503C949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$52.30 </w:t>
            </w:r>
          </w:p>
        </w:tc>
        <w:tc>
          <w:tcPr>
            <w:tcW w:w="1002" w:type="dxa"/>
            <w:noWrap/>
            <w:hideMark/>
          </w:tcPr>
          <w:p w14:paraId="3F1D534D"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$118.37 </w:t>
            </w:r>
          </w:p>
        </w:tc>
        <w:tc>
          <w:tcPr>
            <w:tcW w:w="1309" w:type="dxa"/>
            <w:noWrap/>
            <w:hideMark/>
          </w:tcPr>
          <w:p w14:paraId="631180C5"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$66.07 </w:t>
            </w:r>
          </w:p>
        </w:tc>
        <w:tc>
          <w:tcPr>
            <w:tcW w:w="1177" w:type="dxa"/>
            <w:gridSpan w:val="2"/>
            <w:noWrap/>
            <w:hideMark/>
          </w:tcPr>
          <w:p w14:paraId="3185F091"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$113.71 </w:t>
            </w:r>
          </w:p>
        </w:tc>
        <w:tc>
          <w:tcPr>
            <w:tcW w:w="1483" w:type="dxa"/>
            <w:gridSpan w:val="2"/>
            <w:noWrap/>
            <w:hideMark/>
          </w:tcPr>
          <w:p w14:paraId="7A6AACD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($4.66)</w:t>
            </w:r>
          </w:p>
        </w:tc>
      </w:tr>
      <w:tr w:rsidR="00B17F2E" w:rsidRPr="00F307F6" w14:paraId="5E2E0AC9"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489" w:type="dxa"/>
            <w:gridSpan w:val="2"/>
            <w:shd w:val="clear" w:color="auto" w:fill="D8DBDB" w:themeFill="background2" w:themeFillShade="E6"/>
            <w:noWrap/>
            <w:hideMark/>
          </w:tcPr>
          <w:p w14:paraId="5A4F9737" w14:textId="77777777" w:rsidR="00AF0B72" w:rsidRPr="00F307F6" w:rsidRDefault="00AF0B72" w:rsidP="00496209">
            <w:pPr>
              <w:pStyle w:val="TableParagraphbold"/>
            </w:pPr>
            <w:r w:rsidRPr="00F307F6">
              <w:lastRenderedPageBreak/>
              <w:t>Total care revenue</w:t>
            </w:r>
          </w:p>
        </w:tc>
        <w:tc>
          <w:tcPr>
            <w:tcW w:w="1105" w:type="dxa"/>
            <w:shd w:val="clear" w:color="auto" w:fill="D8DBDB" w:themeFill="background2" w:themeFillShade="E6"/>
            <w:noWrap/>
            <w:hideMark/>
          </w:tcPr>
          <w:p w14:paraId="3A68F1D9"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$12,930.30 </w:t>
            </w:r>
          </w:p>
        </w:tc>
        <w:tc>
          <w:tcPr>
            <w:tcW w:w="1218" w:type="dxa"/>
            <w:gridSpan w:val="2"/>
            <w:shd w:val="clear" w:color="auto" w:fill="D8DBDB" w:themeFill="background2" w:themeFillShade="E6"/>
            <w:noWrap/>
            <w:hideMark/>
          </w:tcPr>
          <w:p w14:paraId="6712D5A4"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$13,919.24 </w:t>
            </w:r>
          </w:p>
        </w:tc>
        <w:tc>
          <w:tcPr>
            <w:tcW w:w="1419" w:type="dxa"/>
            <w:gridSpan w:val="2"/>
            <w:shd w:val="clear" w:color="auto" w:fill="D8DBDB" w:themeFill="background2" w:themeFillShade="E6"/>
            <w:noWrap/>
            <w:hideMark/>
          </w:tcPr>
          <w:p w14:paraId="589ADD2D"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$988.94 </w:t>
            </w:r>
          </w:p>
        </w:tc>
        <w:tc>
          <w:tcPr>
            <w:tcW w:w="1135" w:type="dxa"/>
            <w:gridSpan w:val="2"/>
            <w:shd w:val="clear" w:color="auto" w:fill="D8DBDB" w:themeFill="background2" w:themeFillShade="E6"/>
            <w:noWrap/>
            <w:hideMark/>
          </w:tcPr>
          <w:p w14:paraId="4823F711"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$13,637.97 </w:t>
            </w:r>
          </w:p>
        </w:tc>
        <w:tc>
          <w:tcPr>
            <w:tcW w:w="1415" w:type="dxa"/>
            <w:shd w:val="clear" w:color="auto" w:fill="D8DBDB" w:themeFill="background2" w:themeFillShade="E6"/>
            <w:noWrap/>
            <w:hideMark/>
          </w:tcPr>
          <w:p w14:paraId="26CA1A59"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($281.27)</w:t>
            </w:r>
          </w:p>
        </w:tc>
      </w:tr>
      <w:tr w:rsidR="00B17F2E" w:rsidRPr="00F307F6" w14:paraId="2B376765"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489" w:type="dxa"/>
            <w:gridSpan w:val="2"/>
            <w:shd w:val="clear" w:color="auto" w:fill="D8DBDB" w:themeFill="background2" w:themeFillShade="E6"/>
            <w:hideMark/>
          </w:tcPr>
          <w:p w14:paraId="64699CBE" w14:textId="77777777" w:rsidR="00AF0B72" w:rsidRPr="00F307F6" w:rsidRDefault="00AF0B72" w:rsidP="00496209">
            <w:pPr>
              <w:pStyle w:val="TableParagraphbold"/>
            </w:pPr>
            <w:r w:rsidRPr="00F307F6">
              <w:t xml:space="preserve">Hotel </w:t>
            </w:r>
          </w:p>
        </w:tc>
        <w:tc>
          <w:tcPr>
            <w:tcW w:w="1105" w:type="dxa"/>
            <w:shd w:val="clear" w:color="auto" w:fill="D8DBDB" w:themeFill="background2" w:themeFillShade="E6"/>
            <w:hideMark/>
          </w:tcPr>
          <w:p w14:paraId="42AF1EA2"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218" w:type="dxa"/>
            <w:gridSpan w:val="2"/>
            <w:shd w:val="clear" w:color="auto" w:fill="D8DBDB" w:themeFill="background2" w:themeFillShade="E6"/>
            <w:hideMark/>
          </w:tcPr>
          <w:p w14:paraId="5336FF1F"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419" w:type="dxa"/>
            <w:gridSpan w:val="2"/>
            <w:shd w:val="clear" w:color="auto" w:fill="D8DBDB" w:themeFill="background2" w:themeFillShade="E6"/>
            <w:hideMark/>
          </w:tcPr>
          <w:p w14:paraId="7FE63308"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135" w:type="dxa"/>
            <w:gridSpan w:val="2"/>
            <w:shd w:val="clear" w:color="auto" w:fill="D8DBDB" w:themeFill="background2" w:themeFillShade="E6"/>
            <w:hideMark/>
          </w:tcPr>
          <w:p w14:paraId="3D40B3E4"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415" w:type="dxa"/>
            <w:shd w:val="clear" w:color="auto" w:fill="D8DBDB" w:themeFill="background2" w:themeFillShade="E6"/>
            <w:hideMark/>
          </w:tcPr>
          <w:p w14:paraId="76420093"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r>
      <w:tr w:rsidR="00AD09B1" w:rsidRPr="00F307F6" w14:paraId="5D626E19"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3D2CBD78" w14:textId="77777777" w:rsidR="00AF0B72" w:rsidRPr="00F307F6" w:rsidRDefault="00AF0B72" w:rsidP="00F307F6">
            <w:pPr>
              <w:pStyle w:val="TableofAuthorities"/>
            </w:pPr>
            <w:r w:rsidRPr="00F307F6">
              <w:t>Resident basic daily fee</w:t>
            </w:r>
          </w:p>
        </w:tc>
        <w:tc>
          <w:tcPr>
            <w:tcW w:w="1537" w:type="dxa"/>
            <w:gridSpan w:val="3"/>
            <w:noWrap/>
            <w:hideMark/>
          </w:tcPr>
          <w:p w14:paraId="786D6FAB"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$3,574.00 </w:t>
            </w:r>
          </w:p>
        </w:tc>
        <w:tc>
          <w:tcPr>
            <w:tcW w:w="1002" w:type="dxa"/>
            <w:noWrap/>
            <w:hideMark/>
          </w:tcPr>
          <w:p w14:paraId="1961F37A"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$3,598.91 </w:t>
            </w:r>
          </w:p>
        </w:tc>
        <w:tc>
          <w:tcPr>
            <w:tcW w:w="1309" w:type="dxa"/>
            <w:noWrap/>
            <w:hideMark/>
          </w:tcPr>
          <w:p w14:paraId="5DC648A4"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$24.91 </w:t>
            </w:r>
          </w:p>
        </w:tc>
        <w:tc>
          <w:tcPr>
            <w:tcW w:w="1177" w:type="dxa"/>
            <w:gridSpan w:val="2"/>
            <w:noWrap/>
            <w:hideMark/>
          </w:tcPr>
          <w:p w14:paraId="1ADD93B2"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$3,651.14 </w:t>
            </w:r>
          </w:p>
        </w:tc>
        <w:tc>
          <w:tcPr>
            <w:tcW w:w="1483" w:type="dxa"/>
            <w:gridSpan w:val="2"/>
            <w:noWrap/>
            <w:hideMark/>
          </w:tcPr>
          <w:p w14:paraId="4177DE85"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$52.23 </w:t>
            </w:r>
          </w:p>
        </w:tc>
      </w:tr>
      <w:tr w:rsidR="00AD09B1" w:rsidRPr="00F307F6" w14:paraId="21FDC38F"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58928A06" w14:textId="77777777" w:rsidR="00AF0B72" w:rsidRPr="00F307F6" w:rsidRDefault="00AF0B72" w:rsidP="00F307F6">
            <w:pPr>
              <w:pStyle w:val="TableofAuthorities"/>
            </w:pPr>
            <w:r w:rsidRPr="00F307F6">
              <w:t>Basic daily fee supplement</w:t>
            </w:r>
          </w:p>
        </w:tc>
        <w:tc>
          <w:tcPr>
            <w:tcW w:w="1537" w:type="dxa"/>
            <w:gridSpan w:val="3"/>
            <w:noWrap/>
            <w:hideMark/>
          </w:tcPr>
          <w:p w14:paraId="08C5FE92"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$0.00 </w:t>
            </w:r>
          </w:p>
        </w:tc>
        <w:tc>
          <w:tcPr>
            <w:tcW w:w="1002" w:type="dxa"/>
            <w:noWrap/>
            <w:hideMark/>
          </w:tcPr>
          <w:p w14:paraId="2EC3DA3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$0.00 </w:t>
            </w:r>
          </w:p>
        </w:tc>
        <w:tc>
          <w:tcPr>
            <w:tcW w:w="1309" w:type="dxa"/>
            <w:noWrap/>
            <w:hideMark/>
          </w:tcPr>
          <w:p w14:paraId="2A974C25"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$0.00 </w:t>
            </w:r>
          </w:p>
        </w:tc>
        <w:tc>
          <w:tcPr>
            <w:tcW w:w="1177" w:type="dxa"/>
            <w:gridSpan w:val="2"/>
            <w:noWrap/>
            <w:hideMark/>
          </w:tcPr>
          <w:p w14:paraId="0950EAF5"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$660.99 </w:t>
            </w:r>
          </w:p>
        </w:tc>
        <w:tc>
          <w:tcPr>
            <w:tcW w:w="1483" w:type="dxa"/>
            <w:gridSpan w:val="2"/>
            <w:noWrap/>
            <w:hideMark/>
          </w:tcPr>
          <w:p w14:paraId="00525F5F"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$660.99 </w:t>
            </w:r>
          </w:p>
        </w:tc>
      </w:tr>
      <w:tr w:rsidR="00AD09B1" w:rsidRPr="00F307F6" w14:paraId="251FE4C7"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65452595" w14:textId="77777777" w:rsidR="00AF0B72" w:rsidRPr="00F307F6" w:rsidRDefault="00AF0B72" w:rsidP="00F307F6">
            <w:pPr>
              <w:pStyle w:val="TableofAuthorities"/>
            </w:pPr>
            <w:r w:rsidRPr="00F307F6">
              <w:t>Extra service fee</w:t>
            </w:r>
          </w:p>
        </w:tc>
        <w:tc>
          <w:tcPr>
            <w:tcW w:w="1537" w:type="dxa"/>
            <w:gridSpan w:val="3"/>
            <w:noWrap/>
            <w:hideMark/>
          </w:tcPr>
          <w:p w14:paraId="28BFACE8"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$123.40 </w:t>
            </w:r>
          </w:p>
        </w:tc>
        <w:tc>
          <w:tcPr>
            <w:tcW w:w="1002" w:type="dxa"/>
            <w:noWrap/>
            <w:hideMark/>
          </w:tcPr>
          <w:p w14:paraId="5C5909B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$123.35 </w:t>
            </w:r>
          </w:p>
        </w:tc>
        <w:tc>
          <w:tcPr>
            <w:tcW w:w="1309" w:type="dxa"/>
            <w:noWrap/>
            <w:hideMark/>
          </w:tcPr>
          <w:p w14:paraId="5ED66541"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$0.00 </w:t>
            </w:r>
          </w:p>
        </w:tc>
        <w:tc>
          <w:tcPr>
            <w:tcW w:w="1177" w:type="dxa"/>
            <w:gridSpan w:val="2"/>
            <w:noWrap/>
            <w:hideMark/>
          </w:tcPr>
          <w:p w14:paraId="61F75C28"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$125.59 </w:t>
            </w:r>
          </w:p>
        </w:tc>
        <w:tc>
          <w:tcPr>
            <w:tcW w:w="1483" w:type="dxa"/>
            <w:gridSpan w:val="2"/>
            <w:noWrap/>
            <w:hideMark/>
          </w:tcPr>
          <w:p w14:paraId="699759CC"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$2.24 </w:t>
            </w:r>
          </w:p>
        </w:tc>
      </w:tr>
      <w:tr w:rsidR="00AD09B1" w:rsidRPr="00F307F6" w14:paraId="752BC2F1"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7B9EAB31" w14:textId="77777777" w:rsidR="00AF0B72" w:rsidRPr="00F307F6" w:rsidRDefault="00AF0B72" w:rsidP="00F307F6">
            <w:pPr>
              <w:pStyle w:val="TableofAuthorities"/>
            </w:pPr>
            <w:r w:rsidRPr="00F307F6">
              <w:t>Additional services fees</w:t>
            </w:r>
          </w:p>
        </w:tc>
        <w:tc>
          <w:tcPr>
            <w:tcW w:w="1537" w:type="dxa"/>
            <w:gridSpan w:val="3"/>
            <w:noWrap/>
            <w:hideMark/>
          </w:tcPr>
          <w:p w14:paraId="111A638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$158.10 </w:t>
            </w:r>
          </w:p>
        </w:tc>
        <w:tc>
          <w:tcPr>
            <w:tcW w:w="1002" w:type="dxa"/>
            <w:noWrap/>
            <w:hideMark/>
          </w:tcPr>
          <w:p w14:paraId="3C68D4BC"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$161.76 </w:t>
            </w:r>
          </w:p>
        </w:tc>
        <w:tc>
          <w:tcPr>
            <w:tcW w:w="1309" w:type="dxa"/>
            <w:noWrap/>
            <w:hideMark/>
          </w:tcPr>
          <w:p w14:paraId="1CB60DF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$3.66 </w:t>
            </w:r>
          </w:p>
        </w:tc>
        <w:tc>
          <w:tcPr>
            <w:tcW w:w="1177" w:type="dxa"/>
            <w:gridSpan w:val="2"/>
            <w:noWrap/>
            <w:hideMark/>
          </w:tcPr>
          <w:p w14:paraId="0F424BCB"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$175.97 </w:t>
            </w:r>
          </w:p>
        </w:tc>
        <w:tc>
          <w:tcPr>
            <w:tcW w:w="1483" w:type="dxa"/>
            <w:gridSpan w:val="2"/>
            <w:noWrap/>
            <w:hideMark/>
          </w:tcPr>
          <w:p w14:paraId="7D6271C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$14.21 </w:t>
            </w:r>
          </w:p>
        </w:tc>
      </w:tr>
      <w:tr w:rsidR="00B17F2E" w:rsidRPr="00F307F6" w14:paraId="3A96CDD5"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489" w:type="dxa"/>
            <w:gridSpan w:val="2"/>
            <w:noWrap/>
            <w:hideMark/>
          </w:tcPr>
          <w:p w14:paraId="3EF1922B" w14:textId="77777777" w:rsidR="00AF0B72" w:rsidRPr="00F307F6" w:rsidRDefault="00AF0B72" w:rsidP="00496209">
            <w:pPr>
              <w:pStyle w:val="TableParagraphbold"/>
            </w:pPr>
            <w:r w:rsidRPr="00F307F6">
              <w:t>Total hotel revenue</w:t>
            </w:r>
          </w:p>
        </w:tc>
        <w:tc>
          <w:tcPr>
            <w:tcW w:w="1105" w:type="dxa"/>
            <w:noWrap/>
            <w:hideMark/>
          </w:tcPr>
          <w:p w14:paraId="54813F81"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$3,855.50 </w:t>
            </w:r>
          </w:p>
        </w:tc>
        <w:tc>
          <w:tcPr>
            <w:tcW w:w="1218" w:type="dxa"/>
            <w:gridSpan w:val="2"/>
            <w:noWrap/>
            <w:hideMark/>
          </w:tcPr>
          <w:p w14:paraId="7D6E276E"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$3,884.02 </w:t>
            </w:r>
          </w:p>
        </w:tc>
        <w:tc>
          <w:tcPr>
            <w:tcW w:w="1419" w:type="dxa"/>
            <w:gridSpan w:val="2"/>
            <w:noWrap/>
            <w:hideMark/>
          </w:tcPr>
          <w:p w14:paraId="05EB9290"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$28.52 </w:t>
            </w:r>
          </w:p>
        </w:tc>
        <w:tc>
          <w:tcPr>
            <w:tcW w:w="1135" w:type="dxa"/>
            <w:gridSpan w:val="2"/>
            <w:noWrap/>
            <w:hideMark/>
          </w:tcPr>
          <w:p w14:paraId="39624B7F"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$4,613.69 </w:t>
            </w:r>
          </w:p>
        </w:tc>
        <w:tc>
          <w:tcPr>
            <w:tcW w:w="1415" w:type="dxa"/>
            <w:noWrap/>
            <w:hideMark/>
          </w:tcPr>
          <w:p w14:paraId="0AF70EEC"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$729.68 </w:t>
            </w:r>
          </w:p>
        </w:tc>
      </w:tr>
      <w:tr w:rsidR="00B17F2E" w:rsidRPr="00F307F6" w14:paraId="11261CAA"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489" w:type="dxa"/>
            <w:gridSpan w:val="2"/>
            <w:shd w:val="clear" w:color="auto" w:fill="D8DBDB" w:themeFill="background2" w:themeFillShade="E6"/>
            <w:hideMark/>
          </w:tcPr>
          <w:p w14:paraId="11725384" w14:textId="77777777" w:rsidR="00AF0B72" w:rsidRPr="00F307F6" w:rsidRDefault="00AF0B72" w:rsidP="00496209">
            <w:pPr>
              <w:pStyle w:val="TableParagraphbold"/>
            </w:pPr>
            <w:r w:rsidRPr="00F307F6">
              <w:t>Accommodation and finance related</w:t>
            </w:r>
          </w:p>
        </w:tc>
        <w:tc>
          <w:tcPr>
            <w:tcW w:w="1105" w:type="dxa"/>
            <w:shd w:val="clear" w:color="auto" w:fill="D8DBDB" w:themeFill="background2" w:themeFillShade="E6"/>
            <w:hideMark/>
          </w:tcPr>
          <w:p w14:paraId="69FAAF9D"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218" w:type="dxa"/>
            <w:gridSpan w:val="2"/>
            <w:shd w:val="clear" w:color="auto" w:fill="D8DBDB" w:themeFill="background2" w:themeFillShade="E6"/>
            <w:hideMark/>
          </w:tcPr>
          <w:p w14:paraId="513010DF"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419" w:type="dxa"/>
            <w:gridSpan w:val="2"/>
            <w:shd w:val="clear" w:color="auto" w:fill="D8DBDB" w:themeFill="background2" w:themeFillShade="E6"/>
            <w:hideMark/>
          </w:tcPr>
          <w:p w14:paraId="3C041800"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135" w:type="dxa"/>
            <w:gridSpan w:val="2"/>
            <w:shd w:val="clear" w:color="auto" w:fill="D8DBDB" w:themeFill="background2" w:themeFillShade="E6"/>
            <w:hideMark/>
          </w:tcPr>
          <w:p w14:paraId="04197B70"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415" w:type="dxa"/>
            <w:shd w:val="clear" w:color="auto" w:fill="D8DBDB" w:themeFill="background2" w:themeFillShade="E6"/>
            <w:hideMark/>
          </w:tcPr>
          <w:p w14:paraId="60A13D72"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r>
      <w:tr w:rsidR="00AD09B1" w:rsidRPr="00F307F6" w14:paraId="518A50BC"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52B0602C" w14:textId="77777777" w:rsidR="00AF0B72" w:rsidRPr="00F307F6" w:rsidRDefault="00AF0B72" w:rsidP="00F307F6">
            <w:pPr>
              <w:pStyle w:val="TableofAuthorities"/>
            </w:pPr>
            <w:r w:rsidRPr="00F307F6">
              <w:t>Accommodation supplement</w:t>
            </w:r>
          </w:p>
        </w:tc>
        <w:tc>
          <w:tcPr>
            <w:tcW w:w="1537" w:type="dxa"/>
            <w:gridSpan w:val="3"/>
            <w:noWrap/>
            <w:hideMark/>
          </w:tcPr>
          <w:p w14:paraId="536654E5"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$1,287.80 </w:t>
            </w:r>
          </w:p>
        </w:tc>
        <w:tc>
          <w:tcPr>
            <w:tcW w:w="1002" w:type="dxa"/>
            <w:noWrap/>
            <w:hideMark/>
          </w:tcPr>
          <w:p w14:paraId="17D3B80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$1,337.39 </w:t>
            </w:r>
          </w:p>
        </w:tc>
        <w:tc>
          <w:tcPr>
            <w:tcW w:w="1309" w:type="dxa"/>
            <w:noWrap/>
            <w:hideMark/>
          </w:tcPr>
          <w:p w14:paraId="3047880F"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$49.59 </w:t>
            </w:r>
          </w:p>
        </w:tc>
        <w:tc>
          <w:tcPr>
            <w:tcW w:w="1177" w:type="dxa"/>
            <w:gridSpan w:val="2"/>
            <w:noWrap/>
            <w:hideMark/>
          </w:tcPr>
          <w:p w14:paraId="433B8509"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$1,323.19 </w:t>
            </w:r>
          </w:p>
        </w:tc>
        <w:tc>
          <w:tcPr>
            <w:tcW w:w="1483" w:type="dxa"/>
            <w:gridSpan w:val="2"/>
            <w:noWrap/>
            <w:hideMark/>
          </w:tcPr>
          <w:p w14:paraId="5D6B7F1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($14.20)</w:t>
            </w:r>
          </w:p>
        </w:tc>
      </w:tr>
      <w:tr w:rsidR="00AD09B1" w:rsidRPr="00F307F6" w14:paraId="0D5A0A4A"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503E3C2F" w14:textId="77777777" w:rsidR="00AF0B72" w:rsidRPr="00F307F6" w:rsidRDefault="00AF0B72" w:rsidP="00F307F6">
            <w:pPr>
              <w:pStyle w:val="TableofAuthorities"/>
            </w:pPr>
            <w:r w:rsidRPr="00F307F6">
              <w:t>Accommodation payments from residents</w:t>
            </w:r>
          </w:p>
        </w:tc>
        <w:tc>
          <w:tcPr>
            <w:tcW w:w="1537" w:type="dxa"/>
            <w:gridSpan w:val="3"/>
            <w:noWrap/>
            <w:hideMark/>
          </w:tcPr>
          <w:p w14:paraId="7E97B2B5"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$847.90 </w:t>
            </w:r>
          </w:p>
        </w:tc>
        <w:tc>
          <w:tcPr>
            <w:tcW w:w="1002" w:type="dxa"/>
            <w:noWrap/>
            <w:hideMark/>
          </w:tcPr>
          <w:p w14:paraId="1CAFCF94"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$828.43 </w:t>
            </w:r>
          </w:p>
        </w:tc>
        <w:tc>
          <w:tcPr>
            <w:tcW w:w="1309" w:type="dxa"/>
            <w:noWrap/>
            <w:hideMark/>
          </w:tcPr>
          <w:p w14:paraId="1FBB2421"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($19.47)</w:t>
            </w:r>
          </w:p>
        </w:tc>
        <w:tc>
          <w:tcPr>
            <w:tcW w:w="1177" w:type="dxa"/>
            <w:gridSpan w:val="2"/>
            <w:noWrap/>
            <w:hideMark/>
          </w:tcPr>
          <w:p w14:paraId="6965C4C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$833.48 </w:t>
            </w:r>
          </w:p>
        </w:tc>
        <w:tc>
          <w:tcPr>
            <w:tcW w:w="1483" w:type="dxa"/>
            <w:gridSpan w:val="2"/>
            <w:noWrap/>
            <w:hideMark/>
          </w:tcPr>
          <w:p w14:paraId="003AE861"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$5.05 </w:t>
            </w:r>
          </w:p>
        </w:tc>
      </w:tr>
      <w:tr w:rsidR="00AD09B1" w:rsidRPr="00F307F6" w14:paraId="02FE68F9"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4127218B" w14:textId="4ABEE741" w:rsidR="00AF0B72" w:rsidRPr="00F307F6" w:rsidRDefault="00AF0B72" w:rsidP="00F307F6">
            <w:pPr>
              <w:pStyle w:val="TableofAuthorities"/>
            </w:pPr>
            <w:r w:rsidRPr="00F307F6">
              <w:t xml:space="preserve">Capital </w:t>
            </w:r>
            <w:r w:rsidR="00F71DEA" w:rsidRPr="00F307F6">
              <w:t>g</w:t>
            </w:r>
            <w:r w:rsidRPr="00F307F6">
              <w:t>rants</w:t>
            </w:r>
          </w:p>
        </w:tc>
        <w:tc>
          <w:tcPr>
            <w:tcW w:w="1537" w:type="dxa"/>
            <w:gridSpan w:val="3"/>
            <w:noWrap/>
            <w:hideMark/>
          </w:tcPr>
          <w:p w14:paraId="153EB108"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$71.40 </w:t>
            </w:r>
          </w:p>
        </w:tc>
        <w:tc>
          <w:tcPr>
            <w:tcW w:w="1002" w:type="dxa"/>
            <w:noWrap/>
            <w:hideMark/>
          </w:tcPr>
          <w:p w14:paraId="211A4A1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$75.67 </w:t>
            </w:r>
          </w:p>
        </w:tc>
        <w:tc>
          <w:tcPr>
            <w:tcW w:w="1309" w:type="dxa"/>
            <w:noWrap/>
            <w:hideMark/>
          </w:tcPr>
          <w:p w14:paraId="0899011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$4.27 </w:t>
            </w:r>
          </w:p>
        </w:tc>
        <w:tc>
          <w:tcPr>
            <w:tcW w:w="1177" w:type="dxa"/>
            <w:gridSpan w:val="2"/>
            <w:noWrap/>
            <w:hideMark/>
          </w:tcPr>
          <w:p w14:paraId="70CB93B0"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$131.70 </w:t>
            </w:r>
          </w:p>
        </w:tc>
        <w:tc>
          <w:tcPr>
            <w:tcW w:w="1483" w:type="dxa"/>
            <w:gridSpan w:val="2"/>
            <w:noWrap/>
            <w:hideMark/>
          </w:tcPr>
          <w:p w14:paraId="4CEDB9F4"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$56.04 </w:t>
            </w:r>
          </w:p>
        </w:tc>
      </w:tr>
      <w:tr w:rsidR="00AD09B1" w:rsidRPr="00F307F6" w14:paraId="3E499279"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40018F41" w14:textId="77777777" w:rsidR="00AF0B72" w:rsidRPr="00F307F6" w:rsidRDefault="00AF0B72" w:rsidP="00F307F6">
            <w:pPr>
              <w:pStyle w:val="TableofAuthorities"/>
            </w:pPr>
            <w:r w:rsidRPr="00F307F6">
              <w:t>Interest</w:t>
            </w:r>
          </w:p>
        </w:tc>
        <w:tc>
          <w:tcPr>
            <w:tcW w:w="1537" w:type="dxa"/>
            <w:gridSpan w:val="3"/>
            <w:noWrap/>
            <w:hideMark/>
          </w:tcPr>
          <w:p w14:paraId="16E18583"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$304.40 </w:t>
            </w:r>
          </w:p>
        </w:tc>
        <w:tc>
          <w:tcPr>
            <w:tcW w:w="1002" w:type="dxa"/>
            <w:noWrap/>
            <w:hideMark/>
          </w:tcPr>
          <w:p w14:paraId="64CB9E59"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$223.28 </w:t>
            </w:r>
          </w:p>
        </w:tc>
        <w:tc>
          <w:tcPr>
            <w:tcW w:w="1309" w:type="dxa"/>
            <w:noWrap/>
            <w:hideMark/>
          </w:tcPr>
          <w:p w14:paraId="7286992A"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($81.12)</w:t>
            </w:r>
          </w:p>
        </w:tc>
        <w:tc>
          <w:tcPr>
            <w:tcW w:w="1177" w:type="dxa"/>
            <w:gridSpan w:val="2"/>
            <w:noWrap/>
            <w:hideMark/>
          </w:tcPr>
          <w:p w14:paraId="30AEE27C"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$187.07 </w:t>
            </w:r>
          </w:p>
        </w:tc>
        <w:tc>
          <w:tcPr>
            <w:tcW w:w="1483" w:type="dxa"/>
            <w:gridSpan w:val="2"/>
            <w:noWrap/>
            <w:hideMark/>
          </w:tcPr>
          <w:p w14:paraId="40337D33"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($36.21)</w:t>
            </w:r>
          </w:p>
        </w:tc>
      </w:tr>
      <w:tr w:rsidR="00B17F2E" w:rsidRPr="00F307F6" w14:paraId="767340E4"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489" w:type="dxa"/>
            <w:gridSpan w:val="2"/>
            <w:shd w:val="clear" w:color="auto" w:fill="D8DBDB" w:themeFill="background2" w:themeFillShade="E6"/>
            <w:noWrap/>
            <w:hideMark/>
          </w:tcPr>
          <w:p w14:paraId="27CF172A" w14:textId="18BA733F" w:rsidR="00AF0B72" w:rsidRPr="00F307F6" w:rsidRDefault="00AF0B72" w:rsidP="00496209">
            <w:pPr>
              <w:pStyle w:val="TableParagraphbold"/>
            </w:pPr>
            <w:r w:rsidRPr="00F307F6">
              <w:t xml:space="preserve">Total </w:t>
            </w:r>
            <w:r w:rsidR="00F71DEA" w:rsidRPr="00F307F6">
              <w:t>a</w:t>
            </w:r>
            <w:r w:rsidRPr="00F307F6">
              <w:t>ccommodation and finance related revenue</w:t>
            </w:r>
          </w:p>
        </w:tc>
        <w:tc>
          <w:tcPr>
            <w:tcW w:w="1105" w:type="dxa"/>
            <w:shd w:val="clear" w:color="auto" w:fill="D8DBDB" w:themeFill="background2" w:themeFillShade="E6"/>
            <w:noWrap/>
            <w:hideMark/>
          </w:tcPr>
          <w:p w14:paraId="4EB86067"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$2,511.50 </w:t>
            </w:r>
          </w:p>
        </w:tc>
        <w:tc>
          <w:tcPr>
            <w:tcW w:w="1218" w:type="dxa"/>
            <w:gridSpan w:val="2"/>
            <w:shd w:val="clear" w:color="auto" w:fill="D8DBDB" w:themeFill="background2" w:themeFillShade="E6"/>
            <w:noWrap/>
            <w:hideMark/>
          </w:tcPr>
          <w:p w14:paraId="12572776"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$2,464.77 </w:t>
            </w:r>
          </w:p>
        </w:tc>
        <w:tc>
          <w:tcPr>
            <w:tcW w:w="1419" w:type="dxa"/>
            <w:gridSpan w:val="2"/>
            <w:shd w:val="clear" w:color="auto" w:fill="D8DBDB" w:themeFill="background2" w:themeFillShade="E6"/>
            <w:noWrap/>
            <w:hideMark/>
          </w:tcPr>
          <w:p w14:paraId="34919DC1"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($46.73)</w:t>
            </w:r>
          </w:p>
        </w:tc>
        <w:tc>
          <w:tcPr>
            <w:tcW w:w="1135" w:type="dxa"/>
            <w:gridSpan w:val="2"/>
            <w:shd w:val="clear" w:color="auto" w:fill="D8DBDB" w:themeFill="background2" w:themeFillShade="E6"/>
            <w:noWrap/>
            <w:hideMark/>
          </w:tcPr>
          <w:p w14:paraId="515DBE51"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$2,475.45 </w:t>
            </w:r>
          </w:p>
        </w:tc>
        <w:tc>
          <w:tcPr>
            <w:tcW w:w="1415" w:type="dxa"/>
            <w:shd w:val="clear" w:color="auto" w:fill="D8DBDB" w:themeFill="background2" w:themeFillShade="E6"/>
            <w:noWrap/>
            <w:hideMark/>
          </w:tcPr>
          <w:p w14:paraId="145B1507"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$10.68 </w:t>
            </w:r>
          </w:p>
        </w:tc>
      </w:tr>
      <w:tr w:rsidR="00B17F2E" w:rsidRPr="00F307F6" w14:paraId="051AFCA0"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489" w:type="dxa"/>
            <w:gridSpan w:val="2"/>
            <w:shd w:val="clear" w:color="auto" w:fill="D8DBDB" w:themeFill="background2" w:themeFillShade="E6"/>
            <w:noWrap/>
            <w:hideMark/>
          </w:tcPr>
          <w:p w14:paraId="5D9F595A" w14:textId="77777777" w:rsidR="00AF0B72" w:rsidRPr="00F307F6" w:rsidRDefault="00AF0B72" w:rsidP="00496209">
            <w:pPr>
              <w:pStyle w:val="TableParagraphbold"/>
            </w:pPr>
            <w:r w:rsidRPr="00F307F6">
              <w:t>Other income</w:t>
            </w:r>
          </w:p>
        </w:tc>
        <w:tc>
          <w:tcPr>
            <w:tcW w:w="1105" w:type="dxa"/>
            <w:shd w:val="clear" w:color="auto" w:fill="D8DBDB" w:themeFill="background2" w:themeFillShade="E6"/>
            <w:noWrap/>
            <w:hideMark/>
          </w:tcPr>
          <w:p w14:paraId="4533ABFC"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218" w:type="dxa"/>
            <w:gridSpan w:val="2"/>
            <w:shd w:val="clear" w:color="auto" w:fill="D8DBDB" w:themeFill="background2" w:themeFillShade="E6"/>
            <w:noWrap/>
            <w:hideMark/>
          </w:tcPr>
          <w:p w14:paraId="6A59B7AA"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419" w:type="dxa"/>
            <w:gridSpan w:val="2"/>
            <w:shd w:val="clear" w:color="auto" w:fill="D8DBDB" w:themeFill="background2" w:themeFillShade="E6"/>
            <w:noWrap/>
            <w:hideMark/>
          </w:tcPr>
          <w:p w14:paraId="0EE7DBCA"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135" w:type="dxa"/>
            <w:gridSpan w:val="2"/>
            <w:shd w:val="clear" w:color="auto" w:fill="D8DBDB" w:themeFill="background2" w:themeFillShade="E6"/>
            <w:noWrap/>
            <w:hideMark/>
          </w:tcPr>
          <w:p w14:paraId="6FE77E7D"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c>
          <w:tcPr>
            <w:tcW w:w="1415" w:type="dxa"/>
            <w:shd w:val="clear" w:color="auto" w:fill="D8DBDB" w:themeFill="background2" w:themeFillShade="E6"/>
            <w:noWrap/>
            <w:hideMark/>
          </w:tcPr>
          <w:p w14:paraId="1EEC84C3"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w:t>
            </w:r>
          </w:p>
        </w:tc>
      </w:tr>
      <w:tr w:rsidR="00AD09B1" w:rsidRPr="00F307F6" w14:paraId="2604656A"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15EA796D" w14:textId="77777777" w:rsidR="00AF0B72" w:rsidRPr="00F307F6" w:rsidRDefault="00AF0B72" w:rsidP="00F307F6">
            <w:pPr>
              <w:pStyle w:val="TableofAuthorities"/>
            </w:pPr>
            <w:r w:rsidRPr="00F307F6">
              <w:t>Donations and fundraising</w:t>
            </w:r>
          </w:p>
        </w:tc>
        <w:tc>
          <w:tcPr>
            <w:tcW w:w="1537" w:type="dxa"/>
            <w:gridSpan w:val="3"/>
            <w:noWrap/>
            <w:hideMark/>
          </w:tcPr>
          <w:p w14:paraId="5F40FE12"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$37.90 </w:t>
            </w:r>
          </w:p>
        </w:tc>
        <w:tc>
          <w:tcPr>
            <w:tcW w:w="1002" w:type="dxa"/>
            <w:noWrap/>
            <w:hideMark/>
          </w:tcPr>
          <w:p w14:paraId="5B5FF093"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$31.44 </w:t>
            </w:r>
          </w:p>
        </w:tc>
        <w:tc>
          <w:tcPr>
            <w:tcW w:w="1309" w:type="dxa"/>
            <w:noWrap/>
            <w:hideMark/>
          </w:tcPr>
          <w:p w14:paraId="0A9D10CC"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($6.46)</w:t>
            </w:r>
          </w:p>
        </w:tc>
        <w:tc>
          <w:tcPr>
            <w:tcW w:w="1177" w:type="dxa"/>
            <w:gridSpan w:val="2"/>
            <w:noWrap/>
            <w:hideMark/>
          </w:tcPr>
          <w:p w14:paraId="469A09F9"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$39.36 </w:t>
            </w:r>
          </w:p>
        </w:tc>
        <w:tc>
          <w:tcPr>
            <w:tcW w:w="1483" w:type="dxa"/>
            <w:gridSpan w:val="2"/>
            <w:noWrap/>
            <w:hideMark/>
          </w:tcPr>
          <w:p w14:paraId="1E7D613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$7.92 </w:t>
            </w:r>
          </w:p>
        </w:tc>
      </w:tr>
      <w:tr w:rsidR="00AD09B1" w:rsidRPr="00F307F6" w14:paraId="7C2BBD08"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6B7A4819" w14:textId="77777777" w:rsidR="00AF0B72" w:rsidRPr="00F307F6" w:rsidRDefault="00AF0B72" w:rsidP="00F307F6">
            <w:pPr>
              <w:pStyle w:val="TableofAuthorities"/>
            </w:pPr>
            <w:r w:rsidRPr="00F307F6">
              <w:t>Gain on sale of assets</w:t>
            </w:r>
          </w:p>
        </w:tc>
        <w:tc>
          <w:tcPr>
            <w:tcW w:w="1537" w:type="dxa"/>
            <w:gridSpan w:val="3"/>
            <w:noWrap/>
            <w:hideMark/>
          </w:tcPr>
          <w:p w14:paraId="4D2CE1F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$45.90 </w:t>
            </w:r>
          </w:p>
        </w:tc>
        <w:tc>
          <w:tcPr>
            <w:tcW w:w="1002" w:type="dxa"/>
            <w:noWrap/>
            <w:hideMark/>
          </w:tcPr>
          <w:p w14:paraId="4DE5965F"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$18.82 </w:t>
            </w:r>
          </w:p>
        </w:tc>
        <w:tc>
          <w:tcPr>
            <w:tcW w:w="1309" w:type="dxa"/>
            <w:noWrap/>
            <w:hideMark/>
          </w:tcPr>
          <w:p w14:paraId="7BC6ABF3"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($27.08)</w:t>
            </w:r>
          </w:p>
        </w:tc>
        <w:tc>
          <w:tcPr>
            <w:tcW w:w="1177" w:type="dxa"/>
            <w:gridSpan w:val="2"/>
            <w:noWrap/>
            <w:hideMark/>
          </w:tcPr>
          <w:p w14:paraId="0FBF89A2"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$22.20 </w:t>
            </w:r>
          </w:p>
        </w:tc>
        <w:tc>
          <w:tcPr>
            <w:tcW w:w="1483" w:type="dxa"/>
            <w:gridSpan w:val="2"/>
            <w:noWrap/>
            <w:hideMark/>
          </w:tcPr>
          <w:p w14:paraId="420FC52C"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$3.39 </w:t>
            </w:r>
          </w:p>
        </w:tc>
      </w:tr>
      <w:tr w:rsidR="00AD09B1" w:rsidRPr="00F307F6" w14:paraId="1001E2BC"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51930D4C" w14:textId="77777777" w:rsidR="00AF0B72" w:rsidRPr="00F307F6" w:rsidRDefault="00AF0B72" w:rsidP="00F307F6">
            <w:pPr>
              <w:pStyle w:val="TableofAuthorities"/>
            </w:pPr>
            <w:r w:rsidRPr="00F307F6">
              <w:t>Revaluation of assets</w:t>
            </w:r>
          </w:p>
        </w:tc>
        <w:tc>
          <w:tcPr>
            <w:tcW w:w="1537" w:type="dxa"/>
            <w:gridSpan w:val="3"/>
            <w:noWrap/>
            <w:hideMark/>
          </w:tcPr>
          <w:p w14:paraId="11720822"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$42.20 </w:t>
            </w:r>
          </w:p>
        </w:tc>
        <w:tc>
          <w:tcPr>
            <w:tcW w:w="1002" w:type="dxa"/>
            <w:noWrap/>
            <w:hideMark/>
          </w:tcPr>
          <w:p w14:paraId="5EAECCED"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$85.10 </w:t>
            </w:r>
          </w:p>
        </w:tc>
        <w:tc>
          <w:tcPr>
            <w:tcW w:w="1309" w:type="dxa"/>
            <w:noWrap/>
            <w:hideMark/>
          </w:tcPr>
          <w:p w14:paraId="72F8925C"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$42.90 </w:t>
            </w:r>
          </w:p>
        </w:tc>
        <w:tc>
          <w:tcPr>
            <w:tcW w:w="1177" w:type="dxa"/>
            <w:gridSpan w:val="2"/>
            <w:noWrap/>
            <w:hideMark/>
          </w:tcPr>
          <w:p w14:paraId="4513D3B3"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$85.91 </w:t>
            </w:r>
          </w:p>
        </w:tc>
        <w:tc>
          <w:tcPr>
            <w:tcW w:w="1483" w:type="dxa"/>
            <w:gridSpan w:val="2"/>
            <w:noWrap/>
            <w:hideMark/>
          </w:tcPr>
          <w:p w14:paraId="24AD52AB"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$0.81 </w:t>
            </w:r>
          </w:p>
        </w:tc>
      </w:tr>
      <w:tr w:rsidR="00AD09B1" w:rsidRPr="00F307F6" w14:paraId="2CDBF2CA"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1D11ADEE" w14:textId="49ECB90F" w:rsidR="00AF0B72" w:rsidRPr="00F307F6" w:rsidRDefault="00AF0B72" w:rsidP="00F307F6">
            <w:pPr>
              <w:pStyle w:val="TableofAuthorities"/>
            </w:pPr>
            <w:r w:rsidRPr="00F307F6">
              <w:t xml:space="preserve">Imputed </w:t>
            </w:r>
            <w:r w:rsidR="00454842" w:rsidRPr="00F307F6">
              <w:t>i</w:t>
            </w:r>
            <w:r w:rsidRPr="00F307F6">
              <w:t xml:space="preserve">nterest on RADs - AASB 16 </w:t>
            </w:r>
            <w:r w:rsidR="00063ACB" w:rsidRPr="00F307F6">
              <w:t>l</w:t>
            </w:r>
            <w:r w:rsidRPr="00F307F6">
              <w:t xml:space="preserve">eases </w:t>
            </w:r>
          </w:p>
        </w:tc>
        <w:tc>
          <w:tcPr>
            <w:tcW w:w="1537" w:type="dxa"/>
            <w:gridSpan w:val="3"/>
            <w:noWrap/>
            <w:hideMark/>
          </w:tcPr>
          <w:p w14:paraId="4A4A4BB1"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$551.40 </w:t>
            </w:r>
          </w:p>
        </w:tc>
        <w:tc>
          <w:tcPr>
            <w:tcW w:w="1002" w:type="dxa"/>
            <w:noWrap/>
            <w:hideMark/>
          </w:tcPr>
          <w:p w14:paraId="1F46A30A"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$509.22 </w:t>
            </w:r>
          </w:p>
        </w:tc>
        <w:tc>
          <w:tcPr>
            <w:tcW w:w="1309" w:type="dxa"/>
            <w:noWrap/>
            <w:hideMark/>
          </w:tcPr>
          <w:p w14:paraId="73E97306"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($42.18)</w:t>
            </w:r>
          </w:p>
        </w:tc>
        <w:tc>
          <w:tcPr>
            <w:tcW w:w="1177" w:type="dxa"/>
            <w:gridSpan w:val="2"/>
            <w:noWrap/>
            <w:hideMark/>
          </w:tcPr>
          <w:p w14:paraId="5DEE9674"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$558.59 </w:t>
            </w:r>
          </w:p>
        </w:tc>
        <w:tc>
          <w:tcPr>
            <w:tcW w:w="1483" w:type="dxa"/>
            <w:gridSpan w:val="2"/>
            <w:noWrap/>
            <w:hideMark/>
          </w:tcPr>
          <w:p w14:paraId="250EC1ED"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$49.37 </w:t>
            </w:r>
          </w:p>
        </w:tc>
      </w:tr>
      <w:tr w:rsidR="00AD09B1" w:rsidRPr="00F307F6" w14:paraId="5C799832"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201FBA5C" w14:textId="77777777" w:rsidR="00AF0B72" w:rsidRPr="00F307F6" w:rsidRDefault="00AF0B72" w:rsidP="00F307F6">
            <w:pPr>
              <w:pStyle w:val="TableofAuthorities"/>
            </w:pPr>
            <w:r w:rsidRPr="00F307F6">
              <w:t>Other</w:t>
            </w:r>
          </w:p>
        </w:tc>
        <w:tc>
          <w:tcPr>
            <w:tcW w:w="1537" w:type="dxa"/>
            <w:gridSpan w:val="3"/>
            <w:noWrap/>
            <w:hideMark/>
          </w:tcPr>
          <w:p w14:paraId="7C3D2AFE"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$562.00 </w:t>
            </w:r>
          </w:p>
        </w:tc>
        <w:tc>
          <w:tcPr>
            <w:tcW w:w="1002" w:type="dxa"/>
            <w:noWrap/>
            <w:hideMark/>
          </w:tcPr>
          <w:p w14:paraId="51A74EBB"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$565.85 </w:t>
            </w:r>
          </w:p>
        </w:tc>
        <w:tc>
          <w:tcPr>
            <w:tcW w:w="1309" w:type="dxa"/>
            <w:noWrap/>
            <w:hideMark/>
          </w:tcPr>
          <w:p w14:paraId="1A842A89"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$3.85 </w:t>
            </w:r>
          </w:p>
        </w:tc>
        <w:tc>
          <w:tcPr>
            <w:tcW w:w="1177" w:type="dxa"/>
            <w:gridSpan w:val="2"/>
            <w:noWrap/>
            <w:hideMark/>
          </w:tcPr>
          <w:p w14:paraId="5B609200"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$641.38 </w:t>
            </w:r>
          </w:p>
        </w:tc>
        <w:tc>
          <w:tcPr>
            <w:tcW w:w="1483" w:type="dxa"/>
            <w:gridSpan w:val="2"/>
            <w:noWrap/>
            <w:hideMark/>
          </w:tcPr>
          <w:p w14:paraId="22CDE7BD"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$75.53 </w:t>
            </w:r>
          </w:p>
        </w:tc>
      </w:tr>
      <w:tr w:rsidR="00AD09B1" w:rsidRPr="00F307F6" w14:paraId="7A011888"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273" w:type="dxa"/>
            <w:noWrap/>
            <w:hideMark/>
          </w:tcPr>
          <w:p w14:paraId="4168ADFF" w14:textId="77777777" w:rsidR="00AF0B72" w:rsidRPr="00F307F6" w:rsidRDefault="00AF0B72" w:rsidP="00F307F6">
            <w:pPr>
              <w:pStyle w:val="TableofAuthorities"/>
            </w:pPr>
            <w:r w:rsidRPr="00F307F6">
              <w:t>Total other revenue</w:t>
            </w:r>
          </w:p>
        </w:tc>
        <w:tc>
          <w:tcPr>
            <w:tcW w:w="1537" w:type="dxa"/>
            <w:gridSpan w:val="3"/>
            <w:noWrap/>
            <w:hideMark/>
          </w:tcPr>
          <w:p w14:paraId="67E7F15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$1,239.40 </w:t>
            </w:r>
          </w:p>
        </w:tc>
        <w:tc>
          <w:tcPr>
            <w:tcW w:w="1002" w:type="dxa"/>
            <w:noWrap/>
            <w:hideMark/>
          </w:tcPr>
          <w:p w14:paraId="4822916A"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$1,210.42 </w:t>
            </w:r>
          </w:p>
        </w:tc>
        <w:tc>
          <w:tcPr>
            <w:tcW w:w="1309" w:type="dxa"/>
            <w:noWrap/>
            <w:hideMark/>
          </w:tcPr>
          <w:p w14:paraId="71315E2E"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($28.98)</w:t>
            </w:r>
          </w:p>
        </w:tc>
        <w:tc>
          <w:tcPr>
            <w:tcW w:w="1177" w:type="dxa"/>
            <w:gridSpan w:val="2"/>
            <w:noWrap/>
            <w:hideMark/>
          </w:tcPr>
          <w:p w14:paraId="0DF70047" w14:textId="77777777"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$1,347.43 </w:t>
            </w:r>
          </w:p>
        </w:tc>
        <w:tc>
          <w:tcPr>
            <w:tcW w:w="1483" w:type="dxa"/>
            <w:gridSpan w:val="2"/>
            <w:noWrap/>
            <w:hideMark/>
          </w:tcPr>
          <w:p w14:paraId="57D2571E" w14:textId="65F3BF71" w:rsidR="00AF0B72" w:rsidRPr="00F307F6" w:rsidRDefault="00AF0B72" w:rsidP="00F307F6">
            <w:pPr>
              <w:pStyle w:val="TableofAuthorities"/>
              <w:cnfStyle w:val="000000000000" w:firstRow="0" w:lastRow="0" w:firstColumn="0" w:lastColumn="0" w:oddVBand="0" w:evenVBand="0" w:oddHBand="0" w:evenHBand="0" w:firstRowFirstColumn="0" w:firstRowLastColumn="0" w:lastRowFirstColumn="0" w:lastRowLastColumn="0"/>
            </w:pPr>
            <w:r w:rsidRPr="00F307F6">
              <w:t xml:space="preserve">$137.00 </w:t>
            </w:r>
          </w:p>
        </w:tc>
      </w:tr>
      <w:tr w:rsidR="00B17F2E" w:rsidRPr="00F307F6" w14:paraId="4EB2AC88" w14:textId="77777777" w:rsidTr="008409E2">
        <w:trPr>
          <w:trHeight w:val="321"/>
        </w:trPr>
        <w:tc>
          <w:tcPr>
            <w:cnfStyle w:val="001000000000" w:firstRow="0" w:lastRow="0" w:firstColumn="1" w:lastColumn="0" w:oddVBand="0" w:evenVBand="0" w:oddHBand="0" w:evenHBand="0" w:firstRowFirstColumn="0" w:firstRowLastColumn="0" w:lastRowFirstColumn="0" w:lastRowLastColumn="0"/>
            <w:tcW w:w="3489" w:type="dxa"/>
            <w:gridSpan w:val="2"/>
            <w:shd w:val="clear" w:color="auto" w:fill="D8DBDB" w:themeFill="background2" w:themeFillShade="E6"/>
            <w:noWrap/>
            <w:hideMark/>
          </w:tcPr>
          <w:p w14:paraId="2D572F45" w14:textId="77777777" w:rsidR="00AF0B72" w:rsidRPr="00F307F6" w:rsidRDefault="00AF0B72" w:rsidP="00496209">
            <w:pPr>
              <w:pStyle w:val="TableParagraphbold"/>
            </w:pPr>
            <w:r w:rsidRPr="00F307F6">
              <w:t>Total residential provider revenue</w:t>
            </w:r>
          </w:p>
        </w:tc>
        <w:tc>
          <w:tcPr>
            <w:tcW w:w="1105" w:type="dxa"/>
            <w:shd w:val="clear" w:color="auto" w:fill="D8DBDB" w:themeFill="background2" w:themeFillShade="E6"/>
            <w:noWrap/>
            <w:hideMark/>
          </w:tcPr>
          <w:p w14:paraId="04BD378C"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$20,536.50 </w:t>
            </w:r>
          </w:p>
        </w:tc>
        <w:tc>
          <w:tcPr>
            <w:tcW w:w="1218" w:type="dxa"/>
            <w:gridSpan w:val="2"/>
            <w:shd w:val="clear" w:color="auto" w:fill="D8DBDB" w:themeFill="background2" w:themeFillShade="E6"/>
            <w:noWrap/>
            <w:hideMark/>
          </w:tcPr>
          <w:p w14:paraId="6A08A24A"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$21,478.45 </w:t>
            </w:r>
          </w:p>
        </w:tc>
        <w:tc>
          <w:tcPr>
            <w:tcW w:w="1419" w:type="dxa"/>
            <w:gridSpan w:val="2"/>
            <w:shd w:val="clear" w:color="auto" w:fill="D8DBDB" w:themeFill="background2" w:themeFillShade="E6"/>
            <w:noWrap/>
            <w:hideMark/>
          </w:tcPr>
          <w:p w14:paraId="6846E612"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$941.95 </w:t>
            </w:r>
          </w:p>
        </w:tc>
        <w:tc>
          <w:tcPr>
            <w:tcW w:w="1135" w:type="dxa"/>
            <w:gridSpan w:val="2"/>
            <w:shd w:val="clear" w:color="auto" w:fill="D8DBDB" w:themeFill="background2" w:themeFillShade="E6"/>
            <w:noWrap/>
            <w:hideMark/>
          </w:tcPr>
          <w:p w14:paraId="02F51DAE"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$22,074.54 </w:t>
            </w:r>
          </w:p>
        </w:tc>
        <w:tc>
          <w:tcPr>
            <w:tcW w:w="1415" w:type="dxa"/>
            <w:shd w:val="clear" w:color="auto" w:fill="D8DBDB" w:themeFill="background2" w:themeFillShade="E6"/>
            <w:noWrap/>
            <w:hideMark/>
          </w:tcPr>
          <w:p w14:paraId="10804739" w14:textId="77777777" w:rsidR="00AF0B72" w:rsidRPr="00F307F6" w:rsidRDefault="00AF0B72" w:rsidP="00496209">
            <w:pPr>
              <w:pStyle w:val="TableParagraphbold"/>
              <w:cnfStyle w:val="000000000000" w:firstRow="0" w:lastRow="0" w:firstColumn="0" w:lastColumn="0" w:oddVBand="0" w:evenVBand="0" w:oddHBand="0" w:evenHBand="0" w:firstRowFirstColumn="0" w:firstRowLastColumn="0" w:lastRowFirstColumn="0" w:lastRowLastColumn="0"/>
            </w:pPr>
            <w:r w:rsidRPr="00F307F6">
              <w:t xml:space="preserve">$596.09 </w:t>
            </w:r>
          </w:p>
        </w:tc>
      </w:tr>
    </w:tbl>
    <w:p w14:paraId="5778AA05" w14:textId="49058D88" w:rsidR="00EA2DEB" w:rsidRPr="00F307F6" w:rsidRDefault="00255819" w:rsidP="00F307F6">
      <w:pPr>
        <w:pStyle w:val="FootnoteText"/>
      </w:pPr>
      <w:r w:rsidRPr="005B6FCC">
        <w:t>Note</w:t>
      </w:r>
    </w:p>
    <w:p w14:paraId="6A05A4AB" w14:textId="46C10BF2" w:rsidR="00255819" w:rsidRPr="005B6FCC" w:rsidRDefault="00255819" w:rsidP="00143EBD">
      <w:pPr>
        <w:pStyle w:val="Footnotetextlist"/>
        <w:numPr>
          <w:ilvl w:val="0"/>
          <w:numId w:val="19"/>
        </w:numPr>
      </w:pPr>
      <w:r w:rsidRPr="005B6FCC">
        <w:t>COVID-19 Funding</w:t>
      </w:r>
      <w:r w:rsidR="003956C8">
        <w:t xml:space="preserve"> for 2019-20 and 2020-21</w:t>
      </w:r>
      <w:r w:rsidRPr="005B6FCC">
        <w:t xml:space="preserve"> includes the total amount of funding received for residential aged care operations through aged care specific COVID-19 measures such as the one-off Residential Care Subsidy Increase or the Workforce Retention Bonus and non</w:t>
      </w:r>
      <w:r w:rsidR="00DA62D7">
        <w:t>-</w:t>
      </w:r>
      <w:r w:rsidRPr="005B6FCC">
        <w:t xml:space="preserve">aged-care measures such as </w:t>
      </w:r>
      <w:proofErr w:type="spellStart"/>
      <w:r w:rsidRPr="005B6FCC">
        <w:t>JobKeeper</w:t>
      </w:r>
      <w:proofErr w:type="spellEnd"/>
      <w:r w:rsidRPr="005B6FCC">
        <w:t>.</w:t>
      </w:r>
    </w:p>
    <w:p w14:paraId="2FAC05F7" w14:textId="6C1D9CF7" w:rsidR="00BA74DD" w:rsidRPr="008E2604" w:rsidRDefault="00523F4F" w:rsidP="008E2604">
      <w:r>
        <w:t xml:space="preserve">Chart 3.4 </w:t>
      </w:r>
      <w:r w:rsidR="00F13BD2">
        <w:t>shows the proportion of total revenue that residential care providers received from residents.</w:t>
      </w:r>
      <w:r w:rsidR="00F13BD2">
        <w:rPr>
          <w:spacing w:val="-11"/>
        </w:rPr>
        <w:t xml:space="preserve"> </w:t>
      </w:r>
      <w:r w:rsidR="00F13BD2">
        <w:t>Consistent</w:t>
      </w:r>
      <w:r w:rsidR="00F13BD2">
        <w:rPr>
          <w:spacing w:val="-11"/>
        </w:rPr>
        <w:t xml:space="preserve"> </w:t>
      </w:r>
      <w:r w:rsidR="00F13BD2">
        <w:t>with</w:t>
      </w:r>
      <w:r w:rsidR="00F13BD2">
        <w:rPr>
          <w:spacing w:val="-11"/>
        </w:rPr>
        <w:t xml:space="preserve"> </w:t>
      </w:r>
      <w:r w:rsidR="00F13BD2">
        <w:t>previous</w:t>
      </w:r>
      <w:r w:rsidR="00F13BD2">
        <w:rPr>
          <w:spacing w:val="-11"/>
        </w:rPr>
        <w:t xml:space="preserve"> </w:t>
      </w:r>
      <w:r w:rsidR="00F13BD2">
        <w:t>years,</w:t>
      </w:r>
      <w:r w:rsidR="00F13BD2">
        <w:rPr>
          <w:spacing w:val="-11"/>
        </w:rPr>
        <w:t xml:space="preserve"> </w:t>
      </w:r>
      <w:r w:rsidR="00F13BD2">
        <w:t>the</w:t>
      </w:r>
      <w:r w:rsidR="00F13BD2">
        <w:rPr>
          <w:spacing w:val="-10"/>
        </w:rPr>
        <w:t xml:space="preserve"> </w:t>
      </w:r>
      <w:r w:rsidR="005356E6">
        <w:t>Basic Daily Fee</w:t>
      </w:r>
      <w:r w:rsidR="00F13BD2">
        <w:t xml:space="preserve"> formed the greatest share </w:t>
      </w:r>
      <w:r w:rsidR="00FB1487">
        <w:t xml:space="preserve">of revenue from residents </w:t>
      </w:r>
      <w:r w:rsidR="00F13BD2">
        <w:t>(6</w:t>
      </w:r>
      <w:r w:rsidR="00F4385B">
        <w:t>5</w:t>
      </w:r>
      <w:r w:rsidR="00F13BD2">
        <w:t xml:space="preserve"> per cent).</w:t>
      </w:r>
      <w:r w:rsidR="00C00A52">
        <w:t xml:space="preserve"> </w:t>
      </w:r>
      <w:r w:rsidR="00F13BD2">
        <w:t>Accommodation payments (Daily Accommodation Payments)</w:t>
      </w:r>
      <w:r w:rsidR="00F13BD2">
        <w:rPr>
          <w:spacing w:val="-9"/>
        </w:rPr>
        <w:t xml:space="preserve"> </w:t>
      </w:r>
      <w:r w:rsidR="00F13BD2">
        <w:t>formed</w:t>
      </w:r>
      <w:r w:rsidR="00F13BD2">
        <w:rPr>
          <w:spacing w:val="-8"/>
        </w:rPr>
        <w:t xml:space="preserve"> </w:t>
      </w:r>
      <w:r w:rsidR="00F13BD2">
        <w:t>a</w:t>
      </w:r>
      <w:r w:rsidR="00F13BD2">
        <w:rPr>
          <w:spacing w:val="-8"/>
        </w:rPr>
        <w:t xml:space="preserve"> </w:t>
      </w:r>
      <w:r w:rsidR="00F13BD2">
        <w:t>further</w:t>
      </w:r>
      <w:r w:rsidR="00F13BD2">
        <w:rPr>
          <w:spacing w:val="-8"/>
        </w:rPr>
        <w:t xml:space="preserve"> </w:t>
      </w:r>
      <w:r w:rsidR="00F13BD2">
        <w:t>15</w:t>
      </w:r>
      <w:r w:rsidR="00F13BD2">
        <w:rPr>
          <w:spacing w:val="-11"/>
        </w:rPr>
        <w:t xml:space="preserve"> </w:t>
      </w:r>
      <w:r w:rsidR="00F13BD2">
        <w:t>per</w:t>
      </w:r>
      <w:r w:rsidR="00F13BD2">
        <w:rPr>
          <w:spacing w:val="-11"/>
        </w:rPr>
        <w:t xml:space="preserve"> </w:t>
      </w:r>
      <w:r w:rsidR="00F13BD2">
        <w:t>cent</w:t>
      </w:r>
      <w:r w:rsidR="00F13BD2">
        <w:rPr>
          <w:spacing w:val="-8"/>
        </w:rPr>
        <w:t xml:space="preserve"> </w:t>
      </w:r>
      <w:r w:rsidR="00F13BD2">
        <w:t>of</w:t>
      </w:r>
      <w:r w:rsidR="00F13BD2">
        <w:rPr>
          <w:spacing w:val="-8"/>
        </w:rPr>
        <w:t xml:space="preserve"> </w:t>
      </w:r>
      <w:r w:rsidR="00F13BD2">
        <w:t>the</w:t>
      </w:r>
      <w:r w:rsidR="00F13BD2">
        <w:rPr>
          <w:spacing w:val="-8"/>
        </w:rPr>
        <w:t xml:space="preserve"> </w:t>
      </w:r>
      <w:r w:rsidR="00F13BD2">
        <w:t>revenue received and means tested care fees represented</w:t>
      </w:r>
      <w:r w:rsidR="00C00A52">
        <w:t xml:space="preserve"> 1</w:t>
      </w:r>
      <w:r w:rsidR="00F13BD2">
        <w:t xml:space="preserve">2 per cent. The remaining </w:t>
      </w:r>
      <w:r w:rsidR="0040715B">
        <w:t>8</w:t>
      </w:r>
      <w:r w:rsidR="00F13BD2">
        <w:t xml:space="preserve"> per cent consisted of extra</w:t>
      </w:r>
      <w:r w:rsidR="00F13BD2">
        <w:rPr>
          <w:spacing w:val="-6"/>
        </w:rPr>
        <w:t xml:space="preserve"> </w:t>
      </w:r>
      <w:r w:rsidR="00F13BD2">
        <w:t>service</w:t>
      </w:r>
      <w:r w:rsidR="00F13BD2">
        <w:rPr>
          <w:spacing w:val="-6"/>
        </w:rPr>
        <w:t xml:space="preserve"> </w:t>
      </w:r>
      <w:r w:rsidR="00F13BD2">
        <w:t>fees,</w:t>
      </w:r>
      <w:r w:rsidR="00F13BD2">
        <w:rPr>
          <w:spacing w:val="-6"/>
        </w:rPr>
        <w:t xml:space="preserve"> </w:t>
      </w:r>
      <w:r w:rsidR="00F13BD2">
        <w:t>additional</w:t>
      </w:r>
      <w:r w:rsidR="00F13BD2">
        <w:rPr>
          <w:spacing w:val="-6"/>
        </w:rPr>
        <w:t xml:space="preserve"> </w:t>
      </w:r>
      <w:r w:rsidR="00F13BD2">
        <w:t>service</w:t>
      </w:r>
      <w:r w:rsidR="00F13BD2">
        <w:rPr>
          <w:spacing w:val="-6"/>
        </w:rPr>
        <w:t xml:space="preserve"> </w:t>
      </w:r>
      <w:r w:rsidR="00F13BD2">
        <w:t>fees</w:t>
      </w:r>
      <w:r w:rsidR="00F13BD2">
        <w:rPr>
          <w:spacing w:val="-6"/>
        </w:rPr>
        <w:t xml:space="preserve"> </w:t>
      </w:r>
      <w:r w:rsidR="00F13BD2">
        <w:t>and</w:t>
      </w:r>
      <w:r w:rsidR="00F13BD2">
        <w:rPr>
          <w:spacing w:val="-6"/>
        </w:rPr>
        <w:t xml:space="preserve"> </w:t>
      </w:r>
      <w:r w:rsidR="00F13BD2">
        <w:t>other residential care fees.</w:t>
      </w:r>
      <w:bookmarkStart w:id="228" w:name="_Ref140742607"/>
      <w:bookmarkStart w:id="229" w:name="_Ref139553245"/>
      <w:r w:rsidR="00BA74DD" w:rsidRPr="008E2604">
        <w:br w:type="page"/>
      </w:r>
    </w:p>
    <w:p w14:paraId="66BE507F" w14:textId="553D87B9" w:rsidR="00CE47AA" w:rsidRDefault="00CE47AA" w:rsidP="00CE47AA">
      <w:pPr>
        <w:pStyle w:val="Caption"/>
      </w:pPr>
      <w:bookmarkStart w:id="230" w:name="_Toc149245223"/>
      <w:r>
        <w:lastRenderedPageBreak/>
        <w:t xml:space="preserve">Chart </w:t>
      </w:r>
      <w:r>
        <w:fldChar w:fldCharType="begin"/>
      </w:r>
      <w:r>
        <w:instrText>STYLEREF 1 \s</w:instrText>
      </w:r>
      <w:r>
        <w:fldChar w:fldCharType="separate"/>
      </w:r>
      <w:r w:rsidR="00294B02">
        <w:rPr>
          <w:noProof/>
        </w:rPr>
        <w:t>3</w:t>
      </w:r>
      <w:r>
        <w:fldChar w:fldCharType="end"/>
      </w:r>
      <w:r w:rsidR="00434A28">
        <w:t>.</w:t>
      </w:r>
      <w:r>
        <w:fldChar w:fldCharType="begin"/>
      </w:r>
      <w:r>
        <w:instrText>SEQ Chart \* ARABIC \s 1</w:instrText>
      </w:r>
      <w:r>
        <w:fldChar w:fldCharType="separate"/>
      </w:r>
      <w:r w:rsidR="00294B02">
        <w:rPr>
          <w:noProof/>
        </w:rPr>
        <w:t>4</w:t>
      </w:r>
      <w:r>
        <w:fldChar w:fldCharType="end"/>
      </w:r>
      <w:bookmarkEnd w:id="228"/>
      <w:r>
        <w:t xml:space="preserve">: </w:t>
      </w:r>
      <w:r w:rsidRPr="00220F44">
        <w:t>Proportions of residential care provider revenue from residents, 2021-22 ($m)</w:t>
      </w:r>
      <w:bookmarkEnd w:id="229"/>
      <w:bookmarkEnd w:id="230"/>
    </w:p>
    <w:p w14:paraId="085D0027" w14:textId="28AD0467" w:rsidR="00CF6702" w:rsidRDefault="007E2BBB" w:rsidP="00CF6702">
      <w:r>
        <w:rPr>
          <w:noProof/>
        </w:rPr>
        <w:drawing>
          <wp:inline distT="0" distB="0" distL="0" distR="0" wp14:anchorId="225FE046" wp14:editId="7DD5D9F4">
            <wp:extent cx="5759450" cy="3349625"/>
            <wp:effectExtent l="0" t="0" r="0" b="3175"/>
            <wp:docPr id="1" name="Picture 1" descr="Chart 3.4 is a doughnut chart titled Proportions of residential care provider revenue from residents, 2021-22 ($m). The basic daily fee forms the greatest share at 65.4 per cent. Accommodation payments (Daily Accommodation Payments) formed a further 14.9 per cent of the revenue received and means tested care fees represent 12.2 per cent. The remaining 7.5 per cent consists of extra service fees, additional service fees and other residential care fe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Chart 3.4 is a doughnut chart titled Proportions of residential care provider revenue from residents, 2021-22 ($m). The basic daily fee forms the greatest share at 65.4 per cent. Accommodation payments (Daily Accommodation Payments) formed a further 14.9 per cent of the revenue received and means tested care fees represent 12.2 per cent. The remaining 7.5 per cent consists of extra service fees, additional service fees and other residential care fees.&#10;"/>
                    <pic:cNvPicPr/>
                  </pic:nvPicPr>
                  <pic:blipFill>
                    <a:blip r:embed="rId72">
                      <a:extLst>
                        <a:ext uri="{96DAC541-7B7A-43D3-8B79-37D633B846F1}">
                          <asvg:svgBlip xmlns:asvg="http://schemas.microsoft.com/office/drawing/2016/SVG/main" r:embed="rId73"/>
                        </a:ext>
                      </a:extLst>
                    </a:blip>
                    <a:stretch>
                      <a:fillRect/>
                    </a:stretch>
                  </pic:blipFill>
                  <pic:spPr>
                    <a:xfrm>
                      <a:off x="0" y="0"/>
                      <a:ext cx="5759450" cy="3349625"/>
                    </a:xfrm>
                    <a:prstGeom prst="rect">
                      <a:avLst/>
                    </a:prstGeom>
                  </pic:spPr>
                </pic:pic>
              </a:graphicData>
            </a:graphic>
          </wp:inline>
        </w:drawing>
      </w:r>
    </w:p>
    <w:p w14:paraId="3BD4C54F" w14:textId="384EE7AA" w:rsidR="001951D2" w:rsidRDefault="00CE47AA" w:rsidP="001951D2">
      <w:r>
        <w:rPr>
          <w:color w:val="FF0000"/>
        </w:rPr>
        <w:fldChar w:fldCharType="begin"/>
      </w:r>
      <w:r>
        <w:rPr>
          <w:color w:val="FF0000"/>
        </w:rPr>
        <w:instrText xml:space="preserve"> REF _Ref139553293 \h </w:instrText>
      </w:r>
      <w:r>
        <w:rPr>
          <w:color w:val="FF0000"/>
        </w:rPr>
      </w:r>
      <w:r>
        <w:rPr>
          <w:color w:val="FF0000"/>
        </w:rPr>
        <w:fldChar w:fldCharType="separate"/>
      </w:r>
      <w:r w:rsidR="00294B02">
        <w:t xml:space="preserve">Table </w:t>
      </w:r>
      <w:r w:rsidR="00294B02">
        <w:rPr>
          <w:noProof/>
        </w:rPr>
        <w:t>3</w:t>
      </w:r>
      <w:r w:rsidR="00294B02">
        <w:t>.</w:t>
      </w:r>
      <w:r w:rsidR="00294B02">
        <w:rPr>
          <w:noProof/>
        </w:rPr>
        <w:t>5</w:t>
      </w:r>
      <w:r>
        <w:rPr>
          <w:color w:val="FF0000"/>
        </w:rPr>
        <w:fldChar w:fldCharType="end"/>
      </w:r>
      <w:r w:rsidR="0004356D">
        <w:rPr>
          <w:color w:val="FF0000"/>
        </w:rPr>
        <w:t xml:space="preserve"> </w:t>
      </w:r>
      <w:r w:rsidR="001951D2">
        <w:t>shows</w:t>
      </w:r>
      <w:r w:rsidR="001951D2">
        <w:rPr>
          <w:spacing w:val="-11"/>
        </w:rPr>
        <w:t xml:space="preserve"> </w:t>
      </w:r>
      <w:r w:rsidR="001951D2">
        <w:t>provider</w:t>
      </w:r>
      <w:r w:rsidR="001951D2">
        <w:rPr>
          <w:spacing w:val="-11"/>
        </w:rPr>
        <w:t xml:space="preserve"> </w:t>
      </w:r>
      <w:r w:rsidR="001951D2">
        <w:t>revenue</w:t>
      </w:r>
      <w:r w:rsidR="001951D2">
        <w:rPr>
          <w:spacing w:val="-11"/>
        </w:rPr>
        <w:t xml:space="preserve"> </w:t>
      </w:r>
      <w:r w:rsidR="001951D2">
        <w:t>sources</w:t>
      </w:r>
      <w:r w:rsidR="001951D2">
        <w:rPr>
          <w:spacing w:val="-11"/>
        </w:rPr>
        <w:t xml:space="preserve"> </w:t>
      </w:r>
      <w:r w:rsidR="001951D2">
        <w:t>for</w:t>
      </w:r>
      <w:r w:rsidR="001951D2">
        <w:rPr>
          <w:spacing w:val="-11"/>
        </w:rPr>
        <w:t xml:space="preserve"> </w:t>
      </w:r>
      <w:r w:rsidR="001951D2">
        <w:t>2021-22 compared with the previous two years.</w:t>
      </w:r>
    </w:p>
    <w:p w14:paraId="38EE7ECC" w14:textId="6C18073F" w:rsidR="00CE47AA" w:rsidRDefault="001951D2" w:rsidP="001951D2">
      <w:r>
        <w:t>In</w:t>
      </w:r>
      <w:r>
        <w:rPr>
          <w:spacing w:val="-10"/>
        </w:rPr>
        <w:t xml:space="preserve"> </w:t>
      </w:r>
      <w:r>
        <w:t>2021-22,</w:t>
      </w:r>
      <w:r>
        <w:rPr>
          <w:spacing w:val="-6"/>
        </w:rPr>
        <w:t xml:space="preserve"> </w:t>
      </w:r>
      <w:r>
        <w:t>total</w:t>
      </w:r>
      <w:r>
        <w:rPr>
          <w:spacing w:val="-5"/>
        </w:rPr>
        <w:t xml:space="preserve"> </w:t>
      </w:r>
      <w:r>
        <w:t>revenue</w:t>
      </w:r>
      <w:r>
        <w:rPr>
          <w:spacing w:val="-6"/>
        </w:rPr>
        <w:t xml:space="preserve"> </w:t>
      </w:r>
      <w:r>
        <w:t>was</w:t>
      </w:r>
      <w:r>
        <w:rPr>
          <w:spacing w:val="-6"/>
        </w:rPr>
        <w:t xml:space="preserve"> </w:t>
      </w:r>
      <w:r>
        <w:t>$22.1</w:t>
      </w:r>
      <w:r>
        <w:rPr>
          <w:spacing w:val="-9"/>
        </w:rPr>
        <w:t xml:space="preserve"> </w:t>
      </w:r>
      <w:r>
        <w:t>billion,</w:t>
      </w:r>
      <w:r>
        <w:rPr>
          <w:spacing w:val="-6"/>
        </w:rPr>
        <w:t xml:space="preserve"> </w:t>
      </w:r>
      <w:r>
        <w:t>up</w:t>
      </w:r>
      <w:r>
        <w:rPr>
          <w:spacing w:val="-5"/>
        </w:rPr>
        <w:t xml:space="preserve"> </w:t>
      </w:r>
      <w:r>
        <w:rPr>
          <w:spacing w:val="-4"/>
        </w:rPr>
        <w:t>from</w:t>
      </w:r>
      <w:r>
        <w:t xml:space="preserve"> </w:t>
      </w:r>
      <w:r>
        <w:rPr>
          <w:spacing w:val="-2"/>
        </w:rPr>
        <w:t>$21.5</w:t>
      </w:r>
      <w:r>
        <w:rPr>
          <w:spacing w:val="-7"/>
        </w:rPr>
        <w:t xml:space="preserve"> </w:t>
      </w:r>
      <w:r>
        <w:rPr>
          <w:spacing w:val="-2"/>
        </w:rPr>
        <w:t>billion in</w:t>
      </w:r>
      <w:r>
        <w:rPr>
          <w:spacing w:val="-7"/>
        </w:rPr>
        <w:t xml:space="preserve"> </w:t>
      </w:r>
      <w:r>
        <w:rPr>
          <w:spacing w:val="-2"/>
        </w:rPr>
        <w:t>2020–21 and $20.5</w:t>
      </w:r>
      <w:r>
        <w:rPr>
          <w:spacing w:val="-7"/>
        </w:rPr>
        <w:t xml:space="preserve"> </w:t>
      </w:r>
      <w:r>
        <w:rPr>
          <w:spacing w:val="-2"/>
        </w:rPr>
        <w:t>billion in</w:t>
      </w:r>
      <w:r>
        <w:rPr>
          <w:spacing w:val="-7"/>
        </w:rPr>
        <w:t xml:space="preserve"> </w:t>
      </w:r>
      <w:r>
        <w:rPr>
          <w:spacing w:val="-2"/>
        </w:rPr>
        <w:t xml:space="preserve">2019-20. </w:t>
      </w:r>
      <w:r>
        <w:t>The $596 million increase in 2021-22 can mostly be</w:t>
      </w:r>
      <w:r>
        <w:rPr>
          <w:spacing w:val="-11"/>
        </w:rPr>
        <w:t xml:space="preserve"> </w:t>
      </w:r>
      <w:r>
        <w:t>attributed</w:t>
      </w:r>
      <w:r>
        <w:rPr>
          <w:spacing w:val="-11"/>
        </w:rPr>
        <w:t xml:space="preserve"> </w:t>
      </w:r>
      <w:r>
        <w:t>to</w:t>
      </w:r>
      <w:r>
        <w:rPr>
          <w:spacing w:val="-10"/>
        </w:rPr>
        <w:t xml:space="preserve"> </w:t>
      </w:r>
      <w:r>
        <w:t>$661</w:t>
      </w:r>
      <w:r>
        <w:rPr>
          <w:spacing w:val="-11"/>
        </w:rPr>
        <w:t xml:space="preserve"> </w:t>
      </w:r>
      <w:r>
        <w:t>million</w:t>
      </w:r>
      <w:r>
        <w:rPr>
          <w:spacing w:val="-10"/>
        </w:rPr>
        <w:t xml:space="preserve"> </w:t>
      </w:r>
      <w:r>
        <w:t xml:space="preserve">in </w:t>
      </w:r>
      <w:r w:rsidR="009F7F52">
        <w:t>Basic Daily Fee</w:t>
      </w:r>
      <w:r>
        <w:t xml:space="preserve"> supplement</w:t>
      </w:r>
      <w:r w:rsidR="00562FCC">
        <w:t xml:space="preserve"> provided by the Government</w:t>
      </w:r>
      <w:r w:rsidR="00B404F7">
        <w:t xml:space="preserve"> in 2021-22</w:t>
      </w:r>
      <w:r>
        <w:t xml:space="preserve">. COVID-19 </w:t>
      </w:r>
      <w:r w:rsidR="006E13F3">
        <w:t xml:space="preserve">revenue </w:t>
      </w:r>
      <w:r>
        <w:t>decreased in 2021-22 by $448 million</w:t>
      </w:r>
      <w:r w:rsidR="00166503">
        <w:t>, to a sector total of $</w:t>
      </w:r>
      <w:r w:rsidR="008D34AC">
        <w:t>306</w:t>
      </w:r>
      <w:r w:rsidR="00166503">
        <w:t xml:space="preserve"> million</w:t>
      </w:r>
      <w:r>
        <w:t xml:space="preserve">. </w:t>
      </w:r>
    </w:p>
    <w:p w14:paraId="6CA23B8B" w14:textId="4CA514DE" w:rsidR="001951D2" w:rsidRDefault="00CE47AA" w:rsidP="00CE47AA">
      <w:pPr>
        <w:pStyle w:val="Caption"/>
      </w:pPr>
      <w:bookmarkStart w:id="231" w:name="_Ref139553293"/>
      <w:bookmarkStart w:id="232" w:name="_Toc149245279"/>
      <w:r>
        <w:t xml:space="preserve">Table </w:t>
      </w:r>
      <w:r>
        <w:fldChar w:fldCharType="begin"/>
      </w:r>
      <w:r>
        <w:instrText>STYLEREF 1 \s</w:instrText>
      </w:r>
      <w:r>
        <w:fldChar w:fldCharType="separate"/>
      </w:r>
      <w:r w:rsidR="00294B02">
        <w:rPr>
          <w:noProof/>
        </w:rPr>
        <w:t>3</w:t>
      </w:r>
      <w:r>
        <w:fldChar w:fldCharType="end"/>
      </w:r>
      <w:r w:rsidR="002E758C">
        <w:t>.</w:t>
      </w:r>
      <w:r>
        <w:fldChar w:fldCharType="begin"/>
      </w:r>
      <w:r>
        <w:instrText>SEQ Table \* ARABIC \s 1</w:instrText>
      </w:r>
      <w:r>
        <w:fldChar w:fldCharType="separate"/>
      </w:r>
      <w:r w:rsidR="00294B02">
        <w:rPr>
          <w:noProof/>
        </w:rPr>
        <w:t>5</w:t>
      </w:r>
      <w:r>
        <w:fldChar w:fldCharType="end"/>
      </w:r>
      <w:bookmarkEnd w:id="231"/>
      <w:r>
        <w:t xml:space="preserve">: </w:t>
      </w:r>
      <w:r w:rsidR="008328E5">
        <w:t>Re</w:t>
      </w:r>
      <w:r w:rsidRPr="0082305C">
        <w:t>venue sources for residential care providers, Australian Government, resident and ‘other’, 2019-20 to 2021-22 ($m)</w:t>
      </w:r>
      <w:bookmarkEnd w:id="232"/>
      <w:r w:rsidR="001A2EA9" w:rsidDel="001A2EA9">
        <w:t xml:space="preserve"> </w:t>
      </w:r>
    </w:p>
    <w:tbl>
      <w:tblPr>
        <w:tblStyle w:val="DepartmentofHealthtable"/>
        <w:tblW w:w="9536" w:type="dxa"/>
        <w:tblLook w:val="04A0" w:firstRow="1" w:lastRow="0" w:firstColumn="1" w:lastColumn="0" w:noHBand="0" w:noVBand="1"/>
      </w:tblPr>
      <w:tblGrid>
        <w:gridCol w:w="2831"/>
        <w:gridCol w:w="287"/>
        <w:gridCol w:w="1217"/>
        <w:gridCol w:w="1217"/>
        <w:gridCol w:w="1417"/>
        <w:gridCol w:w="104"/>
        <w:gridCol w:w="1113"/>
        <w:gridCol w:w="260"/>
        <w:gridCol w:w="1452"/>
      </w:tblGrid>
      <w:tr w:rsidR="00010919" w:rsidRPr="00496209" w14:paraId="33F466F2" w14:textId="77777777" w:rsidTr="00496209">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831" w:type="dxa"/>
            <w:hideMark/>
          </w:tcPr>
          <w:p w14:paraId="13CF4D9D" w14:textId="77777777" w:rsidR="008564B1" w:rsidRPr="00496209" w:rsidRDefault="008564B1" w:rsidP="00496209">
            <w:pPr>
              <w:pStyle w:val="TableHeaderWhite"/>
            </w:pPr>
            <w:r w:rsidRPr="00496209">
              <w:t>Revenue sources</w:t>
            </w:r>
          </w:p>
        </w:tc>
        <w:tc>
          <w:tcPr>
            <w:tcW w:w="1383" w:type="dxa"/>
            <w:gridSpan w:val="2"/>
            <w:hideMark/>
          </w:tcPr>
          <w:p w14:paraId="12E13310" w14:textId="77777777" w:rsidR="008564B1" w:rsidRPr="00496209" w:rsidRDefault="008564B1" w:rsidP="00496209">
            <w:pPr>
              <w:pStyle w:val="TableHeaderWhite"/>
              <w:cnfStyle w:val="100000000000" w:firstRow="1" w:lastRow="0" w:firstColumn="0" w:lastColumn="0" w:oddVBand="0" w:evenVBand="0" w:oddHBand="0" w:evenHBand="0" w:firstRowFirstColumn="0" w:firstRowLastColumn="0" w:lastRowFirstColumn="0" w:lastRowLastColumn="0"/>
            </w:pPr>
            <w:r w:rsidRPr="00496209">
              <w:t>2019-20 ($million)</w:t>
            </w:r>
          </w:p>
        </w:tc>
        <w:tc>
          <w:tcPr>
            <w:tcW w:w="1096" w:type="dxa"/>
            <w:hideMark/>
          </w:tcPr>
          <w:p w14:paraId="6470BB09" w14:textId="77777777" w:rsidR="008564B1" w:rsidRPr="00496209" w:rsidRDefault="008564B1" w:rsidP="00496209">
            <w:pPr>
              <w:pStyle w:val="TableHeaderWhite"/>
              <w:cnfStyle w:val="100000000000" w:firstRow="1" w:lastRow="0" w:firstColumn="0" w:lastColumn="0" w:oddVBand="0" w:evenVBand="0" w:oddHBand="0" w:evenHBand="0" w:firstRowFirstColumn="0" w:firstRowLastColumn="0" w:lastRowFirstColumn="0" w:lastRowLastColumn="0"/>
            </w:pPr>
            <w:r w:rsidRPr="00496209">
              <w:t>2020-21</w:t>
            </w:r>
            <w:r w:rsidRPr="00496209">
              <w:br/>
              <w:t>($million)</w:t>
            </w:r>
          </w:p>
        </w:tc>
        <w:tc>
          <w:tcPr>
            <w:tcW w:w="1585" w:type="dxa"/>
            <w:gridSpan w:val="2"/>
            <w:hideMark/>
          </w:tcPr>
          <w:p w14:paraId="53C43A62" w14:textId="7733437E" w:rsidR="008564B1" w:rsidRPr="00496209" w:rsidRDefault="008564B1" w:rsidP="00496209">
            <w:pPr>
              <w:pStyle w:val="TableHeaderWhite"/>
              <w:cnfStyle w:val="100000000000" w:firstRow="1" w:lastRow="0" w:firstColumn="0" w:lastColumn="0" w:oddVBand="0" w:evenVBand="0" w:oddHBand="0" w:evenHBand="0" w:firstRowFirstColumn="0" w:firstRowLastColumn="0" w:lastRowFirstColumn="0" w:lastRowLastColumn="0"/>
            </w:pPr>
            <w:r w:rsidRPr="00496209">
              <w:t>Change</w:t>
            </w:r>
            <w:r w:rsidR="00010919" w:rsidRPr="00496209">
              <w:t xml:space="preserve"> from </w:t>
            </w:r>
            <w:r w:rsidR="00B53E42" w:rsidRPr="00496209">
              <w:t>2019-20</w:t>
            </w:r>
            <w:r w:rsidR="00883BDD" w:rsidRPr="00496209">
              <w:t xml:space="preserve"> to 2020-21</w:t>
            </w:r>
            <w:r w:rsidRPr="00496209">
              <w:t xml:space="preserve"> ($m)</w:t>
            </w:r>
          </w:p>
        </w:tc>
        <w:tc>
          <w:tcPr>
            <w:tcW w:w="1188" w:type="dxa"/>
            <w:gridSpan w:val="2"/>
            <w:hideMark/>
          </w:tcPr>
          <w:p w14:paraId="2A00B3F2" w14:textId="77777777" w:rsidR="008564B1" w:rsidRPr="00496209" w:rsidRDefault="008564B1" w:rsidP="00496209">
            <w:pPr>
              <w:pStyle w:val="TableHeaderWhite"/>
              <w:cnfStyle w:val="100000000000" w:firstRow="1" w:lastRow="0" w:firstColumn="0" w:lastColumn="0" w:oddVBand="0" w:evenVBand="0" w:oddHBand="0" w:evenHBand="0" w:firstRowFirstColumn="0" w:firstRowLastColumn="0" w:lastRowFirstColumn="0" w:lastRowLastColumn="0"/>
            </w:pPr>
            <w:r w:rsidRPr="00496209">
              <w:t>2021-22</w:t>
            </w:r>
            <w:r w:rsidRPr="00496209">
              <w:br/>
              <w:t>($million)</w:t>
            </w:r>
          </w:p>
        </w:tc>
        <w:tc>
          <w:tcPr>
            <w:tcW w:w="1453" w:type="dxa"/>
            <w:hideMark/>
          </w:tcPr>
          <w:p w14:paraId="7804056E" w14:textId="303547D1" w:rsidR="008564B1" w:rsidRPr="00496209" w:rsidRDefault="008564B1" w:rsidP="00496209">
            <w:pPr>
              <w:pStyle w:val="TableHeaderWhite"/>
              <w:cnfStyle w:val="100000000000" w:firstRow="1" w:lastRow="0" w:firstColumn="0" w:lastColumn="0" w:oddVBand="0" w:evenVBand="0" w:oddHBand="0" w:evenHBand="0" w:firstRowFirstColumn="0" w:firstRowLastColumn="0" w:lastRowFirstColumn="0" w:lastRowLastColumn="0"/>
            </w:pPr>
            <w:r w:rsidRPr="00496209">
              <w:t>Change</w:t>
            </w:r>
            <w:r w:rsidR="00883BDD" w:rsidRPr="00496209">
              <w:t xml:space="preserve"> from 2020-21 to 2021-22</w:t>
            </w:r>
            <w:r w:rsidRPr="00496209">
              <w:t xml:space="preserve"> ($m)</w:t>
            </w:r>
          </w:p>
        </w:tc>
      </w:tr>
      <w:tr w:rsidR="00010919" w:rsidRPr="00496209" w14:paraId="22DCC256" w14:textId="77777777" w:rsidTr="00701AAB">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shd w:val="clear" w:color="auto" w:fill="D8DBDB" w:themeFill="background2" w:themeFillShade="E6"/>
            <w:hideMark/>
          </w:tcPr>
          <w:p w14:paraId="423DFF1D" w14:textId="57251577" w:rsidR="008564B1" w:rsidRPr="00496209" w:rsidRDefault="00BA5298" w:rsidP="00496209">
            <w:pPr>
              <w:pStyle w:val="TableParagraphbold"/>
            </w:pPr>
            <w:r w:rsidRPr="00496209">
              <w:t>Australian Government</w:t>
            </w:r>
          </w:p>
        </w:tc>
        <w:tc>
          <w:tcPr>
            <w:tcW w:w="1096" w:type="dxa"/>
            <w:shd w:val="clear" w:color="auto" w:fill="D8DBDB" w:themeFill="background2" w:themeFillShade="E6"/>
            <w:hideMark/>
          </w:tcPr>
          <w:p w14:paraId="5F70C69D"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096" w:type="dxa"/>
            <w:shd w:val="clear" w:color="auto" w:fill="D8DBDB" w:themeFill="background2" w:themeFillShade="E6"/>
            <w:hideMark/>
          </w:tcPr>
          <w:p w14:paraId="04804F07"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417" w:type="dxa"/>
            <w:shd w:val="clear" w:color="auto" w:fill="D8DBDB" w:themeFill="background2" w:themeFillShade="E6"/>
            <w:hideMark/>
          </w:tcPr>
          <w:p w14:paraId="496478CA"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096" w:type="dxa"/>
            <w:gridSpan w:val="2"/>
            <w:shd w:val="clear" w:color="auto" w:fill="D8DBDB" w:themeFill="background2" w:themeFillShade="E6"/>
            <w:hideMark/>
          </w:tcPr>
          <w:p w14:paraId="2E7AAE88"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712" w:type="dxa"/>
            <w:gridSpan w:val="2"/>
            <w:shd w:val="clear" w:color="auto" w:fill="D8DBDB" w:themeFill="background2" w:themeFillShade="E6"/>
            <w:hideMark/>
          </w:tcPr>
          <w:p w14:paraId="33866662"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r>
      <w:tr w:rsidR="008564B1" w:rsidRPr="00496209" w14:paraId="0D15F098"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4F1E0031" w14:textId="77777777" w:rsidR="008564B1" w:rsidRPr="00496209" w:rsidRDefault="008564B1" w:rsidP="00496209">
            <w:pPr>
              <w:pStyle w:val="TableofAuthorities"/>
            </w:pPr>
            <w:r w:rsidRPr="00496209">
              <w:t>Basic care subsidy (ACFI)</w:t>
            </w:r>
          </w:p>
        </w:tc>
        <w:tc>
          <w:tcPr>
            <w:tcW w:w="1096" w:type="dxa"/>
            <w:noWrap/>
            <w:hideMark/>
          </w:tcPr>
          <w:p w14:paraId="4CFA3C6E"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$11,386.30 </w:t>
            </w:r>
          </w:p>
        </w:tc>
        <w:tc>
          <w:tcPr>
            <w:tcW w:w="1096" w:type="dxa"/>
            <w:noWrap/>
            <w:hideMark/>
          </w:tcPr>
          <w:p w14:paraId="36ED1FA1"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$11,777.87 </w:t>
            </w:r>
          </w:p>
        </w:tc>
        <w:tc>
          <w:tcPr>
            <w:tcW w:w="1417" w:type="dxa"/>
            <w:noWrap/>
            <w:hideMark/>
          </w:tcPr>
          <w:p w14:paraId="41E32AE5"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$391.57 </w:t>
            </w:r>
          </w:p>
        </w:tc>
        <w:tc>
          <w:tcPr>
            <w:tcW w:w="1096" w:type="dxa"/>
            <w:gridSpan w:val="2"/>
            <w:noWrap/>
            <w:hideMark/>
          </w:tcPr>
          <w:p w14:paraId="42F17100"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$11,883.39 </w:t>
            </w:r>
          </w:p>
        </w:tc>
        <w:tc>
          <w:tcPr>
            <w:tcW w:w="1712" w:type="dxa"/>
            <w:gridSpan w:val="2"/>
            <w:noWrap/>
            <w:hideMark/>
          </w:tcPr>
          <w:p w14:paraId="4388F6B9"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$105.52 </w:t>
            </w:r>
          </w:p>
        </w:tc>
      </w:tr>
      <w:tr w:rsidR="008564B1" w:rsidRPr="00496209" w14:paraId="25C7188D"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2E773781" w14:textId="77777777" w:rsidR="008564B1" w:rsidRPr="00496209" w:rsidRDefault="008564B1" w:rsidP="00496209">
            <w:pPr>
              <w:pStyle w:val="TableofAuthorities"/>
            </w:pPr>
            <w:r w:rsidRPr="00496209">
              <w:t>Respite subsidy &amp; supplements</w:t>
            </w:r>
          </w:p>
        </w:tc>
        <w:tc>
          <w:tcPr>
            <w:tcW w:w="1096" w:type="dxa"/>
            <w:noWrap/>
            <w:hideMark/>
          </w:tcPr>
          <w:p w14:paraId="2E9920DD"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$415.60 </w:t>
            </w:r>
          </w:p>
        </w:tc>
        <w:tc>
          <w:tcPr>
            <w:tcW w:w="1096" w:type="dxa"/>
            <w:noWrap/>
            <w:hideMark/>
          </w:tcPr>
          <w:p w14:paraId="438E7F53"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$455.77 </w:t>
            </w:r>
          </w:p>
        </w:tc>
        <w:tc>
          <w:tcPr>
            <w:tcW w:w="1417" w:type="dxa"/>
            <w:noWrap/>
            <w:hideMark/>
          </w:tcPr>
          <w:p w14:paraId="4CB7601A"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$40.17 </w:t>
            </w:r>
          </w:p>
        </w:tc>
        <w:tc>
          <w:tcPr>
            <w:tcW w:w="1096" w:type="dxa"/>
            <w:gridSpan w:val="2"/>
            <w:noWrap/>
            <w:hideMark/>
          </w:tcPr>
          <w:p w14:paraId="31EEB431"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$501.02 </w:t>
            </w:r>
          </w:p>
        </w:tc>
        <w:tc>
          <w:tcPr>
            <w:tcW w:w="1712" w:type="dxa"/>
            <w:gridSpan w:val="2"/>
            <w:noWrap/>
            <w:hideMark/>
          </w:tcPr>
          <w:p w14:paraId="2D83811C"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$45.26 </w:t>
            </w:r>
          </w:p>
        </w:tc>
      </w:tr>
      <w:tr w:rsidR="008564B1" w:rsidRPr="00496209" w14:paraId="17752122"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099DC89A" w14:textId="77777777" w:rsidR="008564B1" w:rsidRPr="00496209" w:rsidRDefault="008564B1" w:rsidP="00496209">
            <w:pPr>
              <w:pStyle w:val="TableofAuthorities"/>
            </w:pPr>
            <w:r w:rsidRPr="00496209">
              <w:t>Basic daily fee supplement</w:t>
            </w:r>
          </w:p>
        </w:tc>
        <w:tc>
          <w:tcPr>
            <w:tcW w:w="1096" w:type="dxa"/>
            <w:noWrap/>
            <w:hideMark/>
          </w:tcPr>
          <w:p w14:paraId="05257040"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$0.00 </w:t>
            </w:r>
          </w:p>
        </w:tc>
        <w:tc>
          <w:tcPr>
            <w:tcW w:w="1096" w:type="dxa"/>
            <w:noWrap/>
            <w:hideMark/>
          </w:tcPr>
          <w:p w14:paraId="084FF27D"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$0.00 </w:t>
            </w:r>
          </w:p>
        </w:tc>
        <w:tc>
          <w:tcPr>
            <w:tcW w:w="1417" w:type="dxa"/>
            <w:noWrap/>
            <w:hideMark/>
          </w:tcPr>
          <w:p w14:paraId="7E165177"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$0.00 </w:t>
            </w:r>
          </w:p>
        </w:tc>
        <w:tc>
          <w:tcPr>
            <w:tcW w:w="1096" w:type="dxa"/>
            <w:gridSpan w:val="2"/>
            <w:noWrap/>
            <w:hideMark/>
          </w:tcPr>
          <w:p w14:paraId="39403AF1"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$660.99 </w:t>
            </w:r>
          </w:p>
        </w:tc>
        <w:tc>
          <w:tcPr>
            <w:tcW w:w="1712" w:type="dxa"/>
            <w:gridSpan w:val="2"/>
            <w:noWrap/>
            <w:hideMark/>
          </w:tcPr>
          <w:p w14:paraId="7021FB00"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$660.99 </w:t>
            </w:r>
          </w:p>
        </w:tc>
      </w:tr>
      <w:tr w:rsidR="008564B1" w:rsidRPr="00496209" w14:paraId="4A675BFD"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42495588" w14:textId="77777777" w:rsidR="008564B1" w:rsidRPr="00496209" w:rsidRDefault="008564B1" w:rsidP="00496209">
            <w:pPr>
              <w:pStyle w:val="TableofAuthorities"/>
            </w:pPr>
            <w:r w:rsidRPr="00496209">
              <w:t>COVID-19 funding</w:t>
            </w:r>
          </w:p>
        </w:tc>
        <w:tc>
          <w:tcPr>
            <w:tcW w:w="1096" w:type="dxa"/>
            <w:noWrap/>
            <w:hideMark/>
          </w:tcPr>
          <w:p w14:paraId="1263235E"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$301.10 </w:t>
            </w:r>
          </w:p>
        </w:tc>
        <w:tc>
          <w:tcPr>
            <w:tcW w:w="1096" w:type="dxa"/>
            <w:noWrap/>
            <w:hideMark/>
          </w:tcPr>
          <w:p w14:paraId="00508247"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$753.61 </w:t>
            </w:r>
          </w:p>
        </w:tc>
        <w:tc>
          <w:tcPr>
            <w:tcW w:w="1417" w:type="dxa"/>
            <w:noWrap/>
            <w:hideMark/>
          </w:tcPr>
          <w:p w14:paraId="2BA288F4"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$452.51 </w:t>
            </w:r>
          </w:p>
        </w:tc>
        <w:tc>
          <w:tcPr>
            <w:tcW w:w="1096" w:type="dxa"/>
            <w:gridSpan w:val="2"/>
            <w:noWrap/>
            <w:hideMark/>
          </w:tcPr>
          <w:p w14:paraId="156CC419"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$306.06 </w:t>
            </w:r>
          </w:p>
        </w:tc>
        <w:tc>
          <w:tcPr>
            <w:tcW w:w="1712" w:type="dxa"/>
            <w:gridSpan w:val="2"/>
            <w:noWrap/>
            <w:hideMark/>
          </w:tcPr>
          <w:p w14:paraId="08ABB193"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($447.55)</w:t>
            </w:r>
          </w:p>
        </w:tc>
      </w:tr>
      <w:tr w:rsidR="008564B1" w:rsidRPr="00496209" w14:paraId="0CC9DA85"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40B1B414" w14:textId="77777777" w:rsidR="008564B1" w:rsidRPr="00496209" w:rsidRDefault="008564B1" w:rsidP="00496209">
            <w:pPr>
              <w:pStyle w:val="TableofAuthorities"/>
            </w:pPr>
            <w:r w:rsidRPr="00496209">
              <w:t>Other supplements</w:t>
            </w:r>
          </w:p>
        </w:tc>
        <w:tc>
          <w:tcPr>
            <w:tcW w:w="1096" w:type="dxa"/>
            <w:noWrap/>
            <w:hideMark/>
          </w:tcPr>
          <w:p w14:paraId="7C564232"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$127.00 </w:t>
            </w:r>
          </w:p>
        </w:tc>
        <w:tc>
          <w:tcPr>
            <w:tcW w:w="1096" w:type="dxa"/>
            <w:noWrap/>
            <w:hideMark/>
          </w:tcPr>
          <w:p w14:paraId="14367DB0"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$156.61 </w:t>
            </w:r>
          </w:p>
        </w:tc>
        <w:tc>
          <w:tcPr>
            <w:tcW w:w="1417" w:type="dxa"/>
            <w:noWrap/>
            <w:hideMark/>
          </w:tcPr>
          <w:p w14:paraId="098096CB"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$29.61 </w:t>
            </w:r>
          </w:p>
        </w:tc>
        <w:tc>
          <w:tcPr>
            <w:tcW w:w="1096" w:type="dxa"/>
            <w:gridSpan w:val="2"/>
            <w:noWrap/>
            <w:hideMark/>
          </w:tcPr>
          <w:p w14:paraId="252592A9"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$155.15 </w:t>
            </w:r>
          </w:p>
        </w:tc>
        <w:tc>
          <w:tcPr>
            <w:tcW w:w="1712" w:type="dxa"/>
            <w:gridSpan w:val="2"/>
            <w:noWrap/>
            <w:hideMark/>
          </w:tcPr>
          <w:p w14:paraId="2D78179E"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($1.46)</w:t>
            </w:r>
          </w:p>
        </w:tc>
      </w:tr>
      <w:tr w:rsidR="008564B1" w:rsidRPr="00496209" w14:paraId="76FF86AA"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63B0A91F" w14:textId="77777777" w:rsidR="008564B1" w:rsidRPr="00496209" w:rsidRDefault="008564B1" w:rsidP="00496209">
            <w:pPr>
              <w:pStyle w:val="TableofAuthorities"/>
            </w:pPr>
            <w:r w:rsidRPr="00496209">
              <w:t>Accommodation supplement</w:t>
            </w:r>
          </w:p>
        </w:tc>
        <w:tc>
          <w:tcPr>
            <w:tcW w:w="1096" w:type="dxa"/>
            <w:noWrap/>
            <w:hideMark/>
          </w:tcPr>
          <w:p w14:paraId="0B54FA48"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$1,287.80 </w:t>
            </w:r>
          </w:p>
        </w:tc>
        <w:tc>
          <w:tcPr>
            <w:tcW w:w="1096" w:type="dxa"/>
            <w:noWrap/>
            <w:hideMark/>
          </w:tcPr>
          <w:p w14:paraId="561264D6"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$1,337.39 </w:t>
            </w:r>
          </w:p>
        </w:tc>
        <w:tc>
          <w:tcPr>
            <w:tcW w:w="1417" w:type="dxa"/>
            <w:noWrap/>
            <w:hideMark/>
          </w:tcPr>
          <w:p w14:paraId="1AB346ED"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$49.59 </w:t>
            </w:r>
          </w:p>
        </w:tc>
        <w:tc>
          <w:tcPr>
            <w:tcW w:w="1096" w:type="dxa"/>
            <w:gridSpan w:val="2"/>
            <w:noWrap/>
            <w:hideMark/>
          </w:tcPr>
          <w:p w14:paraId="6AB4BC20"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$1,323.19 </w:t>
            </w:r>
          </w:p>
        </w:tc>
        <w:tc>
          <w:tcPr>
            <w:tcW w:w="1712" w:type="dxa"/>
            <w:gridSpan w:val="2"/>
            <w:noWrap/>
            <w:hideMark/>
          </w:tcPr>
          <w:p w14:paraId="32A20326"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($14.20)</w:t>
            </w:r>
          </w:p>
        </w:tc>
      </w:tr>
      <w:tr w:rsidR="008564B1" w:rsidRPr="00496209" w14:paraId="4DE68D92"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49F29C81" w14:textId="77777777" w:rsidR="008564B1" w:rsidRPr="00496209" w:rsidRDefault="008564B1" w:rsidP="00496209">
            <w:pPr>
              <w:pStyle w:val="TableofAuthorities"/>
            </w:pPr>
            <w:r w:rsidRPr="00496209">
              <w:t>Capital Grants</w:t>
            </w:r>
          </w:p>
        </w:tc>
        <w:tc>
          <w:tcPr>
            <w:tcW w:w="1096" w:type="dxa"/>
            <w:noWrap/>
            <w:hideMark/>
          </w:tcPr>
          <w:p w14:paraId="7B6ADAC6"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$71.40 </w:t>
            </w:r>
          </w:p>
        </w:tc>
        <w:tc>
          <w:tcPr>
            <w:tcW w:w="1096" w:type="dxa"/>
            <w:noWrap/>
            <w:hideMark/>
          </w:tcPr>
          <w:p w14:paraId="4D57DCEF"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$75.67 </w:t>
            </w:r>
          </w:p>
        </w:tc>
        <w:tc>
          <w:tcPr>
            <w:tcW w:w="1417" w:type="dxa"/>
            <w:noWrap/>
            <w:hideMark/>
          </w:tcPr>
          <w:p w14:paraId="3EC3922B"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$4.27 </w:t>
            </w:r>
          </w:p>
        </w:tc>
        <w:tc>
          <w:tcPr>
            <w:tcW w:w="1096" w:type="dxa"/>
            <w:gridSpan w:val="2"/>
            <w:noWrap/>
            <w:hideMark/>
          </w:tcPr>
          <w:p w14:paraId="6FCB5130"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$131.70 </w:t>
            </w:r>
          </w:p>
        </w:tc>
        <w:tc>
          <w:tcPr>
            <w:tcW w:w="1712" w:type="dxa"/>
            <w:gridSpan w:val="2"/>
            <w:noWrap/>
            <w:hideMark/>
          </w:tcPr>
          <w:p w14:paraId="65F688E9"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$56.04 </w:t>
            </w:r>
          </w:p>
        </w:tc>
      </w:tr>
      <w:tr w:rsidR="00010919" w:rsidRPr="00496209" w14:paraId="4733147A" w14:textId="77777777" w:rsidTr="00701AAB">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shd w:val="clear" w:color="auto" w:fill="D8DBDB" w:themeFill="background2" w:themeFillShade="E6"/>
            <w:noWrap/>
            <w:hideMark/>
          </w:tcPr>
          <w:p w14:paraId="1C311B38" w14:textId="56321490" w:rsidR="008564B1" w:rsidRPr="00496209" w:rsidRDefault="00BA5298" w:rsidP="00496209">
            <w:pPr>
              <w:pStyle w:val="TableParagraphbold"/>
            </w:pPr>
            <w:r w:rsidRPr="00496209">
              <w:t>Australia</w:t>
            </w:r>
            <w:r w:rsidR="006B405D" w:rsidRPr="00496209">
              <w:t xml:space="preserve"> Government</w:t>
            </w:r>
            <w:r w:rsidR="008564B1" w:rsidRPr="00496209">
              <w:t xml:space="preserve"> funding sources</w:t>
            </w:r>
          </w:p>
        </w:tc>
        <w:tc>
          <w:tcPr>
            <w:tcW w:w="1096" w:type="dxa"/>
            <w:shd w:val="clear" w:color="auto" w:fill="D8DBDB" w:themeFill="background2" w:themeFillShade="E6"/>
            <w:noWrap/>
            <w:hideMark/>
          </w:tcPr>
          <w:p w14:paraId="22EE03E5"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$13,589.20 </w:t>
            </w:r>
          </w:p>
        </w:tc>
        <w:tc>
          <w:tcPr>
            <w:tcW w:w="1096" w:type="dxa"/>
            <w:shd w:val="clear" w:color="auto" w:fill="D8DBDB" w:themeFill="background2" w:themeFillShade="E6"/>
            <w:noWrap/>
            <w:hideMark/>
          </w:tcPr>
          <w:p w14:paraId="201825C9"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$14,556.92 </w:t>
            </w:r>
          </w:p>
        </w:tc>
        <w:tc>
          <w:tcPr>
            <w:tcW w:w="1417" w:type="dxa"/>
            <w:shd w:val="clear" w:color="auto" w:fill="D8DBDB" w:themeFill="background2" w:themeFillShade="E6"/>
            <w:noWrap/>
            <w:hideMark/>
          </w:tcPr>
          <w:p w14:paraId="596E4F55"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$967.72 </w:t>
            </w:r>
          </w:p>
        </w:tc>
        <w:tc>
          <w:tcPr>
            <w:tcW w:w="1096" w:type="dxa"/>
            <w:gridSpan w:val="2"/>
            <w:shd w:val="clear" w:color="auto" w:fill="D8DBDB" w:themeFill="background2" w:themeFillShade="E6"/>
            <w:noWrap/>
            <w:hideMark/>
          </w:tcPr>
          <w:p w14:paraId="77E65C5F"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$14,961.51 </w:t>
            </w:r>
          </w:p>
        </w:tc>
        <w:tc>
          <w:tcPr>
            <w:tcW w:w="1712" w:type="dxa"/>
            <w:gridSpan w:val="2"/>
            <w:shd w:val="clear" w:color="auto" w:fill="D8DBDB" w:themeFill="background2" w:themeFillShade="E6"/>
            <w:noWrap/>
            <w:hideMark/>
          </w:tcPr>
          <w:p w14:paraId="5B72A950"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$404.59 </w:t>
            </w:r>
          </w:p>
        </w:tc>
      </w:tr>
      <w:tr w:rsidR="00010919" w:rsidRPr="00496209" w14:paraId="6E7AE520" w14:textId="77777777" w:rsidTr="00701AAB">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shd w:val="clear" w:color="auto" w:fill="D8DBDB" w:themeFill="background2" w:themeFillShade="E6"/>
            <w:noWrap/>
            <w:hideMark/>
          </w:tcPr>
          <w:p w14:paraId="2F294E8E" w14:textId="77777777" w:rsidR="008564B1" w:rsidRPr="00496209" w:rsidRDefault="008564B1" w:rsidP="00496209">
            <w:pPr>
              <w:pStyle w:val="TableParagraphbold"/>
            </w:pPr>
            <w:r w:rsidRPr="00496209">
              <w:lastRenderedPageBreak/>
              <w:t>Resident</w:t>
            </w:r>
          </w:p>
        </w:tc>
        <w:tc>
          <w:tcPr>
            <w:tcW w:w="1096" w:type="dxa"/>
            <w:shd w:val="clear" w:color="auto" w:fill="D8DBDB" w:themeFill="background2" w:themeFillShade="E6"/>
            <w:hideMark/>
          </w:tcPr>
          <w:p w14:paraId="5EB76AB0"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096" w:type="dxa"/>
            <w:shd w:val="clear" w:color="auto" w:fill="D8DBDB" w:themeFill="background2" w:themeFillShade="E6"/>
            <w:hideMark/>
          </w:tcPr>
          <w:p w14:paraId="3D84B841"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417" w:type="dxa"/>
            <w:shd w:val="clear" w:color="auto" w:fill="D8DBDB" w:themeFill="background2" w:themeFillShade="E6"/>
            <w:hideMark/>
          </w:tcPr>
          <w:p w14:paraId="279D790C"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096" w:type="dxa"/>
            <w:gridSpan w:val="2"/>
            <w:shd w:val="clear" w:color="auto" w:fill="D8DBDB" w:themeFill="background2" w:themeFillShade="E6"/>
            <w:hideMark/>
          </w:tcPr>
          <w:p w14:paraId="5F397642"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712" w:type="dxa"/>
            <w:gridSpan w:val="2"/>
            <w:shd w:val="clear" w:color="auto" w:fill="D8DBDB" w:themeFill="background2" w:themeFillShade="E6"/>
            <w:hideMark/>
          </w:tcPr>
          <w:p w14:paraId="3A7AA4F5"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r>
      <w:tr w:rsidR="008564B1" w:rsidRPr="00496209" w14:paraId="4FE3F775" w14:textId="77777777" w:rsidTr="00496209">
        <w:trPr>
          <w:trHeight w:val="315"/>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289FA7A2" w14:textId="77777777" w:rsidR="008564B1" w:rsidRPr="00496209" w:rsidRDefault="008564B1" w:rsidP="00496209">
            <w:pPr>
              <w:pStyle w:val="TableofAuthorities"/>
            </w:pPr>
            <w:r w:rsidRPr="00496209">
              <w:t>Resident basic daily fee</w:t>
            </w:r>
          </w:p>
        </w:tc>
        <w:tc>
          <w:tcPr>
            <w:tcW w:w="1096" w:type="dxa"/>
            <w:noWrap/>
            <w:hideMark/>
          </w:tcPr>
          <w:p w14:paraId="0FEEC76C"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$3,574.00 </w:t>
            </w:r>
          </w:p>
        </w:tc>
        <w:tc>
          <w:tcPr>
            <w:tcW w:w="1096" w:type="dxa"/>
            <w:noWrap/>
            <w:hideMark/>
          </w:tcPr>
          <w:p w14:paraId="56653E58"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$3,598.91 </w:t>
            </w:r>
          </w:p>
        </w:tc>
        <w:tc>
          <w:tcPr>
            <w:tcW w:w="1417" w:type="dxa"/>
            <w:noWrap/>
            <w:hideMark/>
          </w:tcPr>
          <w:p w14:paraId="05159415"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$24.91 </w:t>
            </w:r>
          </w:p>
        </w:tc>
        <w:tc>
          <w:tcPr>
            <w:tcW w:w="1096" w:type="dxa"/>
            <w:gridSpan w:val="2"/>
            <w:noWrap/>
            <w:hideMark/>
          </w:tcPr>
          <w:p w14:paraId="27DEA280"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$3,651.14 </w:t>
            </w:r>
          </w:p>
        </w:tc>
        <w:tc>
          <w:tcPr>
            <w:tcW w:w="1712" w:type="dxa"/>
            <w:gridSpan w:val="2"/>
            <w:noWrap/>
            <w:hideMark/>
          </w:tcPr>
          <w:p w14:paraId="230CDD2C"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$52.23 </w:t>
            </w:r>
          </w:p>
        </w:tc>
      </w:tr>
      <w:tr w:rsidR="008564B1" w:rsidRPr="00496209" w14:paraId="196429D9"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36FAF3BA" w14:textId="77777777" w:rsidR="008564B1" w:rsidRPr="00496209" w:rsidRDefault="008564B1" w:rsidP="00496209">
            <w:pPr>
              <w:pStyle w:val="TableofAuthorities"/>
            </w:pPr>
            <w:r w:rsidRPr="00496209">
              <w:t>Resident means tested fee</w:t>
            </w:r>
          </w:p>
        </w:tc>
        <w:tc>
          <w:tcPr>
            <w:tcW w:w="1096" w:type="dxa"/>
            <w:noWrap/>
            <w:hideMark/>
          </w:tcPr>
          <w:p w14:paraId="5465014F"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$648.00 </w:t>
            </w:r>
          </w:p>
        </w:tc>
        <w:tc>
          <w:tcPr>
            <w:tcW w:w="1096" w:type="dxa"/>
            <w:noWrap/>
            <w:hideMark/>
          </w:tcPr>
          <w:p w14:paraId="41F00C44"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$657.01 </w:t>
            </w:r>
          </w:p>
        </w:tc>
        <w:tc>
          <w:tcPr>
            <w:tcW w:w="1417" w:type="dxa"/>
            <w:noWrap/>
            <w:hideMark/>
          </w:tcPr>
          <w:p w14:paraId="31135B01"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$9.01 </w:t>
            </w:r>
          </w:p>
        </w:tc>
        <w:tc>
          <w:tcPr>
            <w:tcW w:w="1096" w:type="dxa"/>
            <w:gridSpan w:val="2"/>
            <w:noWrap/>
            <w:hideMark/>
          </w:tcPr>
          <w:p w14:paraId="4E970815"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$678.64 </w:t>
            </w:r>
          </w:p>
        </w:tc>
        <w:tc>
          <w:tcPr>
            <w:tcW w:w="1712" w:type="dxa"/>
            <w:gridSpan w:val="2"/>
            <w:noWrap/>
            <w:hideMark/>
          </w:tcPr>
          <w:p w14:paraId="131DFBDA"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$21.63 </w:t>
            </w:r>
          </w:p>
        </w:tc>
      </w:tr>
      <w:tr w:rsidR="008564B1" w:rsidRPr="00496209" w14:paraId="190D4A4D"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218B645B" w14:textId="77777777" w:rsidR="008564B1" w:rsidRPr="00496209" w:rsidRDefault="008564B1" w:rsidP="00496209">
            <w:pPr>
              <w:pStyle w:val="TableofAuthorities"/>
            </w:pPr>
            <w:r w:rsidRPr="00496209">
              <w:t>Resident other care fees</w:t>
            </w:r>
          </w:p>
        </w:tc>
        <w:tc>
          <w:tcPr>
            <w:tcW w:w="1096" w:type="dxa"/>
            <w:noWrap/>
            <w:hideMark/>
          </w:tcPr>
          <w:p w14:paraId="7B95B818"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$52.30 </w:t>
            </w:r>
          </w:p>
        </w:tc>
        <w:tc>
          <w:tcPr>
            <w:tcW w:w="1096" w:type="dxa"/>
            <w:noWrap/>
            <w:hideMark/>
          </w:tcPr>
          <w:p w14:paraId="39C4726C"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$118.37 </w:t>
            </w:r>
          </w:p>
        </w:tc>
        <w:tc>
          <w:tcPr>
            <w:tcW w:w="1417" w:type="dxa"/>
            <w:noWrap/>
            <w:hideMark/>
          </w:tcPr>
          <w:p w14:paraId="40665CE5"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$66.07 </w:t>
            </w:r>
          </w:p>
        </w:tc>
        <w:tc>
          <w:tcPr>
            <w:tcW w:w="1096" w:type="dxa"/>
            <w:gridSpan w:val="2"/>
            <w:noWrap/>
            <w:hideMark/>
          </w:tcPr>
          <w:p w14:paraId="320697DB"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$113.71 </w:t>
            </w:r>
          </w:p>
        </w:tc>
        <w:tc>
          <w:tcPr>
            <w:tcW w:w="1712" w:type="dxa"/>
            <w:gridSpan w:val="2"/>
            <w:noWrap/>
            <w:hideMark/>
          </w:tcPr>
          <w:p w14:paraId="41FC7E28"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($4.66)</w:t>
            </w:r>
          </w:p>
        </w:tc>
      </w:tr>
      <w:tr w:rsidR="008564B1" w:rsidRPr="00496209" w14:paraId="01842872"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762BE0FC" w14:textId="77777777" w:rsidR="008564B1" w:rsidRPr="00496209" w:rsidRDefault="008564B1" w:rsidP="00496209">
            <w:pPr>
              <w:pStyle w:val="TableofAuthorities"/>
            </w:pPr>
            <w:r w:rsidRPr="00496209">
              <w:t>Accommodation payments from residents</w:t>
            </w:r>
          </w:p>
        </w:tc>
        <w:tc>
          <w:tcPr>
            <w:tcW w:w="1096" w:type="dxa"/>
            <w:noWrap/>
            <w:hideMark/>
          </w:tcPr>
          <w:p w14:paraId="0C63154B"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$847.90 </w:t>
            </w:r>
          </w:p>
        </w:tc>
        <w:tc>
          <w:tcPr>
            <w:tcW w:w="1096" w:type="dxa"/>
            <w:noWrap/>
            <w:hideMark/>
          </w:tcPr>
          <w:p w14:paraId="50348788"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$828.43 </w:t>
            </w:r>
          </w:p>
        </w:tc>
        <w:tc>
          <w:tcPr>
            <w:tcW w:w="1417" w:type="dxa"/>
            <w:noWrap/>
            <w:hideMark/>
          </w:tcPr>
          <w:p w14:paraId="0A404979"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($19.47)</w:t>
            </w:r>
          </w:p>
        </w:tc>
        <w:tc>
          <w:tcPr>
            <w:tcW w:w="1096" w:type="dxa"/>
            <w:gridSpan w:val="2"/>
            <w:noWrap/>
            <w:hideMark/>
          </w:tcPr>
          <w:p w14:paraId="5F4F4AFF"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$833.48 </w:t>
            </w:r>
          </w:p>
        </w:tc>
        <w:tc>
          <w:tcPr>
            <w:tcW w:w="1712" w:type="dxa"/>
            <w:gridSpan w:val="2"/>
            <w:noWrap/>
            <w:hideMark/>
          </w:tcPr>
          <w:p w14:paraId="7FFD00A2"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$5.05 </w:t>
            </w:r>
          </w:p>
        </w:tc>
      </w:tr>
      <w:tr w:rsidR="008564B1" w:rsidRPr="00496209" w14:paraId="3E7B67CE"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47752E13" w14:textId="77777777" w:rsidR="008564B1" w:rsidRPr="00496209" w:rsidRDefault="008564B1" w:rsidP="00496209">
            <w:pPr>
              <w:pStyle w:val="TableofAuthorities"/>
            </w:pPr>
            <w:r w:rsidRPr="00496209">
              <w:t>Extra service fee</w:t>
            </w:r>
          </w:p>
        </w:tc>
        <w:tc>
          <w:tcPr>
            <w:tcW w:w="1096" w:type="dxa"/>
            <w:noWrap/>
            <w:hideMark/>
          </w:tcPr>
          <w:p w14:paraId="75755E2C"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$123.40 </w:t>
            </w:r>
          </w:p>
        </w:tc>
        <w:tc>
          <w:tcPr>
            <w:tcW w:w="1096" w:type="dxa"/>
            <w:noWrap/>
            <w:hideMark/>
          </w:tcPr>
          <w:p w14:paraId="32AAC4EE"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$123.35 </w:t>
            </w:r>
          </w:p>
        </w:tc>
        <w:tc>
          <w:tcPr>
            <w:tcW w:w="1417" w:type="dxa"/>
            <w:noWrap/>
            <w:hideMark/>
          </w:tcPr>
          <w:p w14:paraId="5C51BD8B"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($0.05)</w:t>
            </w:r>
          </w:p>
        </w:tc>
        <w:tc>
          <w:tcPr>
            <w:tcW w:w="1096" w:type="dxa"/>
            <w:gridSpan w:val="2"/>
            <w:noWrap/>
            <w:hideMark/>
          </w:tcPr>
          <w:p w14:paraId="46E16A97"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$125.59 </w:t>
            </w:r>
          </w:p>
        </w:tc>
        <w:tc>
          <w:tcPr>
            <w:tcW w:w="1712" w:type="dxa"/>
            <w:gridSpan w:val="2"/>
            <w:noWrap/>
            <w:hideMark/>
          </w:tcPr>
          <w:p w14:paraId="50C30EAD"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$2.24 </w:t>
            </w:r>
          </w:p>
        </w:tc>
      </w:tr>
      <w:tr w:rsidR="008564B1" w:rsidRPr="00496209" w14:paraId="24BCFA47"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184DA465" w14:textId="77777777" w:rsidR="008564B1" w:rsidRPr="00496209" w:rsidRDefault="008564B1" w:rsidP="00496209">
            <w:pPr>
              <w:pStyle w:val="TableofAuthorities"/>
            </w:pPr>
            <w:r w:rsidRPr="00496209">
              <w:t>Additional services fees</w:t>
            </w:r>
          </w:p>
        </w:tc>
        <w:tc>
          <w:tcPr>
            <w:tcW w:w="1096" w:type="dxa"/>
            <w:noWrap/>
            <w:hideMark/>
          </w:tcPr>
          <w:p w14:paraId="75A86BBD"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$158.10 </w:t>
            </w:r>
          </w:p>
        </w:tc>
        <w:tc>
          <w:tcPr>
            <w:tcW w:w="1096" w:type="dxa"/>
            <w:noWrap/>
            <w:hideMark/>
          </w:tcPr>
          <w:p w14:paraId="593A2293"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$161.76 </w:t>
            </w:r>
          </w:p>
        </w:tc>
        <w:tc>
          <w:tcPr>
            <w:tcW w:w="1417" w:type="dxa"/>
            <w:noWrap/>
            <w:hideMark/>
          </w:tcPr>
          <w:p w14:paraId="264D576B"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$3.66 </w:t>
            </w:r>
          </w:p>
        </w:tc>
        <w:tc>
          <w:tcPr>
            <w:tcW w:w="1096" w:type="dxa"/>
            <w:gridSpan w:val="2"/>
            <w:noWrap/>
            <w:hideMark/>
          </w:tcPr>
          <w:p w14:paraId="001F5A93"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$175.97 </w:t>
            </w:r>
          </w:p>
        </w:tc>
        <w:tc>
          <w:tcPr>
            <w:tcW w:w="1712" w:type="dxa"/>
            <w:gridSpan w:val="2"/>
            <w:noWrap/>
            <w:hideMark/>
          </w:tcPr>
          <w:p w14:paraId="4DE25D71"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$14.21 </w:t>
            </w:r>
          </w:p>
        </w:tc>
      </w:tr>
      <w:tr w:rsidR="00010919" w:rsidRPr="00496209" w14:paraId="3A27A82D" w14:textId="77777777" w:rsidTr="00701AAB">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shd w:val="clear" w:color="auto" w:fill="D8DBDB" w:themeFill="background2" w:themeFillShade="E6"/>
            <w:noWrap/>
            <w:hideMark/>
          </w:tcPr>
          <w:p w14:paraId="0B33FF72" w14:textId="77777777" w:rsidR="008564B1" w:rsidRPr="00496209" w:rsidRDefault="008564B1" w:rsidP="00496209">
            <w:pPr>
              <w:pStyle w:val="TableParagraphbold"/>
            </w:pPr>
            <w:r w:rsidRPr="00496209">
              <w:t>Resident funding sources</w:t>
            </w:r>
          </w:p>
        </w:tc>
        <w:tc>
          <w:tcPr>
            <w:tcW w:w="1096" w:type="dxa"/>
            <w:shd w:val="clear" w:color="auto" w:fill="D8DBDB" w:themeFill="background2" w:themeFillShade="E6"/>
            <w:noWrap/>
            <w:hideMark/>
          </w:tcPr>
          <w:p w14:paraId="64DB8165"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$5,403.60 </w:t>
            </w:r>
          </w:p>
        </w:tc>
        <w:tc>
          <w:tcPr>
            <w:tcW w:w="1096" w:type="dxa"/>
            <w:shd w:val="clear" w:color="auto" w:fill="D8DBDB" w:themeFill="background2" w:themeFillShade="E6"/>
            <w:noWrap/>
            <w:hideMark/>
          </w:tcPr>
          <w:p w14:paraId="53FFE4C2"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$5,487.83 </w:t>
            </w:r>
          </w:p>
        </w:tc>
        <w:tc>
          <w:tcPr>
            <w:tcW w:w="1417" w:type="dxa"/>
            <w:shd w:val="clear" w:color="auto" w:fill="D8DBDB" w:themeFill="background2" w:themeFillShade="E6"/>
            <w:noWrap/>
            <w:hideMark/>
          </w:tcPr>
          <w:p w14:paraId="1AF7D8AB"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$84.23 </w:t>
            </w:r>
          </w:p>
        </w:tc>
        <w:tc>
          <w:tcPr>
            <w:tcW w:w="1096" w:type="dxa"/>
            <w:gridSpan w:val="2"/>
            <w:shd w:val="clear" w:color="auto" w:fill="D8DBDB" w:themeFill="background2" w:themeFillShade="E6"/>
            <w:noWrap/>
            <w:hideMark/>
          </w:tcPr>
          <w:p w14:paraId="313FEB11"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$5,578.53 </w:t>
            </w:r>
          </w:p>
        </w:tc>
        <w:tc>
          <w:tcPr>
            <w:tcW w:w="1712" w:type="dxa"/>
            <w:gridSpan w:val="2"/>
            <w:shd w:val="clear" w:color="auto" w:fill="D8DBDB" w:themeFill="background2" w:themeFillShade="E6"/>
            <w:noWrap/>
            <w:hideMark/>
          </w:tcPr>
          <w:p w14:paraId="7C29C7EF"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$90.70 </w:t>
            </w:r>
          </w:p>
        </w:tc>
      </w:tr>
      <w:tr w:rsidR="00010919" w:rsidRPr="00496209" w14:paraId="190C2498" w14:textId="77777777" w:rsidTr="00701AAB">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shd w:val="clear" w:color="auto" w:fill="D8DBDB" w:themeFill="background2" w:themeFillShade="E6"/>
            <w:noWrap/>
            <w:hideMark/>
          </w:tcPr>
          <w:p w14:paraId="07CA52D4" w14:textId="77777777" w:rsidR="008564B1" w:rsidRPr="00496209" w:rsidRDefault="008564B1" w:rsidP="00496209">
            <w:pPr>
              <w:pStyle w:val="TableParagraphbold"/>
            </w:pPr>
            <w:r w:rsidRPr="00496209">
              <w:t>Other income</w:t>
            </w:r>
          </w:p>
        </w:tc>
        <w:tc>
          <w:tcPr>
            <w:tcW w:w="1096" w:type="dxa"/>
            <w:shd w:val="clear" w:color="auto" w:fill="D8DBDB" w:themeFill="background2" w:themeFillShade="E6"/>
            <w:noWrap/>
            <w:hideMark/>
          </w:tcPr>
          <w:p w14:paraId="77D84C74"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096" w:type="dxa"/>
            <w:shd w:val="clear" w:color="auto" w:fill="D8DBDB" w:themeFill="background2" w:themeFillShade="E6"/>
            <w:noWrap/>
            <w:hideMark/>
          </w:tcPr>
          <w:p w14:paraId="3FF9FC3F"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417" w:type="dxa"/>
            <w:shd w:val="clear" w:color="auto" w:fill="D8DBDB" w:themeFill="background2" w:themeFillShade="E6"/>
            <w:noWrap/>
            <w:hideMark/>
          </w:tcPr>
          <w:p w14:paraId="744ECB55"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096" w:type="dxa"/>
            <w:gridSpan w:val="2"/>
            <w:shd w:val="clear" w:color="auto" w:fill="D8DBDB" w:themeFill="background2" w:themeFillShade="E6"/>
            <w:noWrap/>
            <w:hideMark/>
          </w:tcPr>
          <w:p w14:paraId="0DDB82E7"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c>
          <w:tcPr>
            <w:tcW w:w="1712" w:type="dxa"/>
            <w:gridSpan w:val="2"/>
            <w:shd w:val="clear" w:color="auto" w:fill="D8DBDB" w:themeFill="background2" w:themeFillShade="E6"/>
            <w:noWrap/>
            <w:hideMark/>
          </w:tcPr>
          <w:p w14:paraId="393997AF"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w:t>
            </w:r>
          </w:p>
        </w:tc>
      </w:tr>
      <w:tr w:rsidR="008564B1" w:rsidRPr="00496209" w14:paraId="169D084D"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5E63663E" w14:textId="77777777" w:rsidR="008564B1" w:rsidRPr="00496209" w:rsidRDefault="008564B1" w:rsidP="00496209">
            <w:pPr>
              <w:pStyle w:val="TableofAuthorities"/>
            </w:pPr>
            <w:r w:rsidRPr="00496209">
              <w:t>Interest</w:t>
            </w:r>
          </w:p>
        </w:tc>
        <w:tc>
          <w:tcPr>
            <w:tcW w:w="1096" w:type="dxa"/>
            <w:noWrap/>
            <w:hideMark/>
          </w:tcPr>
          <w:p w14:paraId="26563DE7"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$304.40 </w:t>
            </w:r>
          </w:p>
        </w:tc>
        <w:tc>
          <w:tcPr>
            <w:tcW w:w="1096" w:type="dxa"/>
            <w:noWrap/>
            <w:hideMark/>
          </w:tcPr>
          <w:p w14:paraId="5591978A"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$223.28 </w:t>
            </w:r>
          </w:p>
        </w:tc>
        <w:tc>
          <w:tcPr>
            <w:tcW w:w="1417" w:type="dxa"/>
            <w:noWrap/>
            <w:hideMark/>
          </w:tcPr>
          <w:p w14:paraId="4D6F740E"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($81.12)</w:t>
            </w:r>
          </w:p>
        </w:tc>
        <w:tc>
          <w:tcPr>
            <w:tcW w:w="1096" w:type="dxa"/>
            <w:gridSpan w:val="2"/>
            <w:noWrap/>
            <w:hideMark/>
          </w:tcPr>
          <w:p w14:paraId="47C41EA4"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$187.07 </w:t>
            </w:r>
          </w:p>
        </w:tc>
        <w:tc>
          <w:tcPr>
            <w:tcW w:w="1712" w:type="dxa"/>
            <w:gridSpan w:val="2"/>
            <w:noWrap/>
            <w:hideMark/>
          </w:tcPr>
          <w:p w14:paraId="49D86673"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($36.21)</w:t>
            </w:r>
          </w:p>
        </w:tc>
      </w:tr>
      <w:tr w:rsidR="008564B1" w:rsidRPr="00496209" w14:paraId="364C5B47"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43F61B1D" w14:textId="77777777" w:rsidR="008564B1" w:rsidRPr="00496209" w:rsidRDefault="008564B1" w:rsidP="00496209">
            <w:pPr>
              <w:pStyle w:val="TableofAuthorities"/>
            </w:pPr>
            <w:r w:rsidRPr="00496209">
              <w:t>Donations and fundraising</w:t>
            </w:r>
          </w:p>
        </w:tc>
        <w:tc>
          <w:tcPr>
            <w:tcW w:w="1096" w:type="dxa"/>
            <w:noWrap/>
            <w:hideMark/>
          </w:tcPr>
          <w:p w14:paraId="537B0831"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$37.90 </w:t>
            </w:r>
          </w:p>
        </w:tc>
        <w:tc>
          <w:tcPr>
            <w:tcW w:w="1096" w:type="dxa"/>
            <w:noWrap/>
            <w:hideMark/>
          </w:tcPr>
          <w:p w14:paraId="31F625C8"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$31.44 </w:t>
            </w:r>
          </w:p>
        </w:tc>
        <w:tc>
          <w:tcPr>
            <w:tcW w:w="1417" w:type="dxa"/>
            <w:noWrap/>
            <w:hideMark/>
          </w:tcPr>
          <w:p w14:paraId="4B14254C"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($6.46)</w:t>
            </w:r>
          </w:p>
        </w:tc>
        <w:tc>
          <w:tcPr>
            <w:tcW w:w="1096" w:type="dxa"/>
            <w:gridSpan w:val="2"/>
            <w:noWrap/>
            <w:hideMark/>
          </w:tcPr>
          <w:p w14:paraId="5EE7C4ED"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$39.36 </w:t>
            </w:r>
          </w:p>
        </w:tc>
        <w:tc>
          <w:tcPr>
            <w:tcW w:w="1712" w:type="dxa"/>
            <w:gridSpan w:val="2"/>
            <w:noWrap/>
            <w:hideMark/>
          </w:tcPr>
          <w:p w14:paraId="7C7A9CA6"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$7.92 </w:t>
            </w:r>
          </w:p>
        </w:tc>
      </w:tr>
      <w:tr w:rsidR="008564B1" w:rsidRPr="00496209" w14:paraId="1CC1B182"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3B3478C0" w14:textId="77777777" w:rsidR="008564B1" w:rsidRPr="00496209" w:rsidRDefault="008564B1" w:rsidP="00496209">
            <w:pPr>
              <w:pStyle w:val="TableofAuthorities"/>
            </w:pPr>
            <w:r w:rsidRPr="00496209">
              <w:t>Gain on sale of assets</w:t>
            </w:r>
          </w:p>
        </w:tc>
        <w:tc>
          <w:tcPr>
            <w:tcW w:w="1096" w:type="dxa"/>
            <w:noWrap/>
            <w:hideMark/>
          </w:tcPr>
          <w:p w14:paraId="67094227"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$45.90 </w:t>
            </w:r>
          </w:p>
        </w:tc>
        <w:tc>
          <w:tcPr>
            <w:tcW w:w="1096" w:type="dxa"/>
            <w:noWrap/>
            <w:hideMark/>
          </w:tcPr>
          <w:p w14:paraId="693BBB4A"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$18.82 </w:t>
            </w:r>
          </w:p>
        </w:tc>
        <w:tc>
          <w:tcPr>
            <w:tcW w:w="1417" w:type="dxa"/>
            <w:noWrap/>
            <w:hideMark/>
          </w:tcPr>
          <w:p w14:paraId="338D0004"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($27.08)</w:t>
            </w:r>
          </w:p>
        </w:tc>
        <w:tc>
          <w:tcPr>
            <w:tcW w:w="1096" w:type="dxa"/>
            <w:gridSpan w:val="2"/>
            <w:noWrap/>
            <w:hideMark/>
          </w:tcPr>
          <w:p w14:paraId="43467624"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$22.20 </w:t>
            </w:r>
          </w:p>
        </w:tc>
        <w:tc>
          <w:tcPr>
            <w:tcW w:w="1712" w:type="dxa"/>
            <w:gridSpan w:val="2"/>
            <w:noWrap/>
            <w:hideMark/>
          </w:tcPr>
          <w:p w14:paraId="012F1102"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$3.39 </w:t>
            </w:r>
          </w:p>
        </w:tc>
      </w:tr>
      <w:tr w:rsidR="008564B1" w:rsidRPr="00496209" w14:paraId="7E056E41"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38C4FBC6" w14:textId="77777777" w:rsidR="008564B1" w:rsidRPr="00496209" w:rsidRDefault="008564B1" w:rsidP="00496209">
            <w:pPr>
              <w:pStyle w:val="TableofAuthorities"/>
            </w:pPr>
            <w:r w:rsidRPr="00496209">
              <w:t>Revaluation of assets</w:t>
            </w:r>
          </w:p>
        </w:tc>
        <w:tc>
          <w:tcPr>
            <w:tcW w:w="1096" w:type="dxa"/>
            <w:noWrap/>
            <w:hideMark/>
          </w:tcPr>
          <w:p w14:paraId="77FB9F72"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$42.20 </w:t>
            </w:r>
          </w:p>
        </w:tc>
        <w:tc>
          <w:tcPr>
            <w:tcW w:w="1096" w:type="dxa"/>
            <w:noWrap/>
            <w:hideMark/>
          </w:tcPr>
          <w:p w14:paraId="0B20C211"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$85.10 </w:t>
            </w:r>
          </w:p>
        </w:tc>
        <w:tc>
          <w:tcPr>
            <w:tcW w:w="1417" w:type="dxa"/>
            <w:noWrap/>
            <w:hideMark/>
          </w:tcPr>
          <w:p w14:paraId="02C1BE27"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$42.90 </w:t>
            </w:r>
          </w:p>
        </w:tc>
        <w:tc>
          <w:tcPr>
            <w:tcW w:w="1096" w:type="dxa"/>
            <w:gridSpan w:val="2"/>
            <w:noWrap/>
            <w:hideMark/>
          </w:tcPr>
          <w:p w14:paraId="5DA88594"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$85.91 </w:t>
            </w:r>
          </w:p>
        </w:tc>
        <w:tc>
          <w:tcPr>
            <w:tcW w:w="1712" w:type="dxa"/>
            <w:gridSpan w:val="2"/>
            <w:noWrap/>
            <w:hideMark/>
          </w:tcPr>
          <w:p w14:paraId="25196D70"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$0.81 </w:t>
            </w:r>
          </w:p>
        </w:tc>
      </w:tr>
      <w:tr w:rsidR="008564B1" w:rsidRPr="00496209" w14:paraId="73594E32"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13B4037A" w14:textId="77777777" w:rsidR="008564B1" w:rsidRPr="00496209" w:rsidRDefault="008564B1" w:rsidP="00496209">
            <w:pPr>
              <w:pStyle w:val="TableofAuthorities"/>
            </w:pPr>
            <w:r w:rsidRPr="00496209">
              <w:t xml:space="preserve">Imputed Interest on RADs - AASB 16 Leases </w:t>
            </w:r>
          </w:p>
        </w:tc>
        <w:tc>
          <w:tcPr>
            <w:tcW w:w="1096" w:type="dxa"/>
            <w:noWrap/>
            <w:hideMark/>
          </w:tcPr>
          <w:p w14:paraId="7BF6236D"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$551.40 </w:t>
            </w:r>
          </w:p>
        </w:tc>
        <w:tc>
          <w:tcPr>
            <w:tcW w:w="1096" w:type="dxa"/>
            <w:noWrap/>
            <w:hideMark/>
          </w:tcPr>
          <w:p w14:paraId="2CBA1113"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$509.22 </w:t>
            </w:r>
          </w:p>
        </w:tc>
        <w:tc>
          <w:tcPr>
            <w:tcW w:w="1417" w:type="dxa"/>
            <w:noWrap/>
            <w:hideMark/>
          </w:tcPr>
          <w:p w14:paraId="792DBEC5"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($42.18)</w:t>
            </w:r>
          </w:p>
        </w:tc>
        <w:tc>
          <w:tcPr>
            <w:tcW w:w="1096" w:type="dxa"/>
            <w:gridSpan w:val="2"/>
            <w:noWrap/>
            <w:hideMark/>
          </w:tcPr>
          <w:p w14:paraId="6AFC8699"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$558.59 </w:t>
            </w:r>
          </w:p>
        </w:tc>
        <w:tc>
          <w:tcPr>
            <w:tcW w:w="1712" w:type="dxa"/>
            <w:gridSpan w:val="2"/>
            <w:noWrap/>
            <w:hideMark/>
          </w:tcPr>
          <w:p w14:paraId="74C47F4F"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$49.37 </w:t>
            </w:r>
          </w:p>
        </w:tc>
      </w:tr>
      <w:tr w:rsidR="008564B1" w:rsidRPr="00496209" w14:paraId="56642439" w14:textId="77777777" w:rsidTr="00496209">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noWrap/>
            <w:hideMark/>
          </w:tcPr>
          <w:p w14:paraId="22AAF430" w14:textId="77777777" w:rsidR="008564B1" w:rsidRPr="00496209" w:rsidRDefault="008564B1" w:rsidP="00496209">
            <w:pPr>
              <w:pStyle w:val="TableofAuthorities"/>
            </w:pPr>
            <w:r w:rsidRPr="00496209">
              <w:t>Other</w:t>
            </w:r>
          </w:p>
        </w:tc>
        <w:tc>
          <w:tcPr>
            <w:tcW w:w="1096" w:type="dxa"/>
            <w:noWrap/>
            <w:hideMark/>
          </w:tcPr>
          <w:p w14:paraId="13668B3D"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$562.00 </w:t>
            </w:r>
          </w:p>
        </w:tc>
        <w:tc>
          <w:tcPr>
            <w:tcW w:w="1096" w:type="dxa"/>
            <w:noWrap/>
            <w:hideMark/>
          </w:tcPr>
          <w:p w14:paraId="5FF866AB"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$565.85 </w:t>
            </w:r>
          </w:p>
        </w:tc>
        <w:tc>
          <w:tcPr>
            <w:tcW w:w="1417" w:type="dxa"/>
            <w:noWrap/>
            <w:hideMark/>
          </w:tcPr>
          <w:p w14:paraId="5787A136"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$3.85 </w:t>
            </w:r>
          </w:p>
        </w:tc>
        <w:tc>
          <w:tcPr>
            <w:tcW w:w="1096" w:type="dxa"/>
            <w:gridSpan w:val="2"/>
            <w:noWrap/>
            <w:hideMark/>
          </w:tcPr>
          <w:p w14:paraId="09406E76"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$641.38 </w:t>
            </w:r>
          </w:p>
        </w:tc>
        <w:tc>
          <w:tcPr>
            <w:tcW w:w="1712" w:type="dxa"/>
            <w:gridSpan w:val="2"/>
            <w:noWrap/>
            <w:hideMark/>
          </w:tcPr>
          <w:p w14:paraId="07DA502E" w14:textId="77777777" w:rsidR="008564B1" w:rsidRPr="00496209" w:rsidRDefault="008564B1" w:rsidP="00496209">
            <w:pPr>
              <w:pStyle w:val="TableofAuthorities"/>
              <w:cnfStyle w:val="000000000000" w:firstRow="0" w:lastRow="0" w:firstColumn="0" w:lastColumn="0" w:oddVBand="0" w:evenVBand="0" w:oddHBand="0" w:evenHBand="0" w:firstRowFirstColumn="0" w:firstRowLastColumn="0" w:lastRowFirstColumn="0" w:lastRowLastColumn="0"/>
            </w:pPr>
            <w:r w:rsidRPr="00496209">
              <w:t xml:space="preserve">$75.53 </w:t>
            </w:r>
          </w:p>
        </w:tc>
      </w:tr>
      <w:tr w:rsidR="00010919" w:rsidRPr="00496209" w14:paraId="0CBFA68C" w14:textId="77777777" w:rsidTr="00701AAB">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shd w:val="clear" w:color="auto" w:fill="D8DBDB" w:themeFill="background2" w:themeFillShade="E6"/>
            <w:noWrap/>
            <w:hideMark/>
          </w:tcPr>
          <w:p w14:paraId="6129CBE2" w14:textId="77777777" w:rsidR="008564B1" w:rsidRPr="00496209" w:rsidRDefault="008564B1" w:rsidP="00496209">
            <w:pPr>
              <w:pStyle w:val="TableParagraphbold"/>
            </w:pPr>
            <w:r w:rsidRPr="00496209">
              <w:t>Other funding sources</w:t>
            </w:r>
          </w:p>
        </w:tc>
        <w:tc>
          <w:tcPr>
            <w:tcW w:w="1096" w:type="dxa"/>
            <w:shd w:val="clear" w:color="auto" w:fill="D8DBDB" w:themeFill="background2" w:themeFillShade="E6"/>
            <w:noWrap/>
            <w:hideMark/>
          </w:tcPr>
          <w:p w14:paraId="1B7F8F38"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$1,543.70 </w:t>
            </w:r>
          </w:p>
        </w:tc>
        <w:tc>
          <w:tcPr>
            <w:tcW w:w="1096" w:type="dxa"/>
            <w:shd w:val="clear" w:color="auto" w:fill="D8DBDB" w:themeFill="background2" w:themeFillShade="E6"/>
            <w:noWrap/>
            <w:hideMark/>
          </w:tcPr>
          <w:p w14:paraId="07A62353"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$1,433.71 </w:t>
            </w:r>
          </w:p>
        </w:tc>
        <w:tc>
          <w:tcPr>
            <w:tcW w:w="1417" w:type="dxa"/>
            <w:shd w:val="clear" w:color="auto" w:fill="D8DBDB" w:themeFill="background2" w:themeFillShade="E6"/>
            <w:noWrap/>
            <w:hideMark/>
          </w:tcPr>
          <w:p w14:paraId="0BA5E1AD"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($109.99)</w:t>
            </w:r>
          </w:p>
        </w:tc>
        <w:tc>
          <w:tcPr>
            <w:tcW w:w="1096" w:type="dxa"/>
            <w:gridSpan w:val="2"/>
            <w:shd w:val="clear" w:color="auto" w:fill="D8DBDB" w:themeFill="background2" w:themeFillShade="E6"/>
            <w:noWrap/>
            <w:hideMark/>
          </w:tcPr>
          <w:p w14:paraId="75CF5800"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$1,534.50 </w:t>
            </w:r>
          </w:p>
        </w:tc>
        <w:tc>
          <w:tcPr>
            <w:tcW w:w="1712" w:type="dxa"/>
            <w:gridSpan w:val="2"/>
            <w:shd w:val="clear" w:color="auto" w:fill="D8DBDB" w:themeFill="background2" w:themeFillShade="E6"/>
            <w:noWrap/>
            <w:hideMark/>
          </w:tcPr>
          <w:p w14:paraId="2E6FF402"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$100.80 </w:t>
            </w:r>
          </w:p>
        </w:tc>
      </w:tr>
      <w:tr w:rsidR="00010919" w:rsidRPr="00496209" w14:paraId="7638E8FB" w14:textId="77777777" w:rsidTr="00701AAB">
        <w:trPr>
          <w:trHeight w:val="330"/>
        </w:trPr>
        <w:tc>
          <w:tcPr>
            <w:cnfStyle w:val="001000000000" w:firstRow="0" w:lastRow="0" w:firstColumn="1" w:lastColumn="0" w:oddVBand="0" w:evenVBand="0" w:oddHBand="0" w:evenHBand="0" w:firstRowFirstColumn="0" w:firstRowLastColumn="0" w:lastRowFirstColumn="0" w:lastRowLastColumn="0"/>
            <w:tcW w:w="3118" w:type="dxa"/>
            <w:gridSpan w:val="2"/>
            <w:shd w:val="clear" w:color="auto" w:fill="D8DBDB" w:themeFill="background2" w:themeFillShade="E6"/>
            <w:noWrap/>
            <w:hideMark/>
          </w:tcPr>
          <w:p w14:paraId="096487B3" w14:textId="77777777" w:rsidR="008564B1" w:rsidRPr="00496209" w:rsidRDefault="008564B1" w:rsidP="00496209">
            <w:pPr>
              <w:pStyle w:val="TableParagraphbold"/>
            </w:pPr>
            <w:r w:rsidRPr="00496209">
              <w:t>Total revenue</w:t>
            </w:r>
          </w:p>
        </w:tc>
        <w:tc>
          <w:tcPr>
            <w:tcW w:w="1096" w:type="dxa"/>
            <w:shd w:val="clear" w:color="auto" w:fill="D8DBDB" w:themeFill="background2" w:themeFillShade="E6"/>
            <w:noWrap/>
            <w:hideMark/>
          </w:tcPr>
          <w:p w14:paraId="70B69326"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$20,536.50 </w:t>
            </w:r>
          </w:p>
        </w:tc>
        <w:tc>
          <w:tcPr>
            <w:tcW w:w="1096" w:type="dxa"/>
            <w:shd w:val="clear" w:color="auto" w:fill="D8DBDB" w:themeFill="background2" w:themeFillShade="E6"/>
            <w:noWrap/>
            <w:hideMark/>
          </w:tcPr>
          <w:p w14:paraId="273810B1"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$21,478.45 </w:t>
            </w:r>
          </w:p>
        </w:tc>
        <w:tc>
          <w:tcPr>
            <w:tcW w:w="1417" w:type="dxa"/>
            <w:shd w:val="clear" w:color="auto" w:fill="D8DBDB" w:themeFill="background2" w:themeFillShade="E6"/>
            <w:noWrap/>
            <w:hideMark/>
          </w:tcPr>
          <w:p w14:paraId="2CE521C1"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$941.95 </w:t>
            </w:r>
          </w:p>
        </w:tc>
        <w:tc>
          <w:tcPr>
            <w:tcW w:w="1096" w:type="dxa"/>
            <w:gridSpan w:val="2"/>
            <w:shd w:val="clear" w:color="auto" w:fill="D8DBDB" w:themeFill="background2" w:themeFillShade="E6"/>
            <w:noWrap/>
            <w:hideMark/>
          </w:tcPr>
          <w:p w14:paraId="6D4CBF94"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$22,074.54 </w:t>
            </w:r>
          </w:p>
        </w:tc>
        <w:tc>
          <w:tcPr>
            <w:tcW w:w="1712" w:type="dxa"/>
            <w:gridSpan w:val="2"/>
            <w:shd w:val="clear" w:color="auto" w:fill="D8DBDB" w:themeFill="background2" w:themeFillShade="E6"/>
            <w:noWrap/>
            <w:hideMark/>
          </w:tcPr>
          <w:p w14:paraId="345E8222" w14:textId="77777777" w:rsidR="008564B1" w:rsidRPr="00496209" w:rsidRDefault="008564B1" w:rsidP="00496209">
            <w:pPr>
              <w:pStyle w:val="TableParagraphbold"/>
              <w:cnfStyle w:val="000000000000" w:firstRow="0" w:lastRow="0" w:firstColumn="0" w:lastColumn="0" w:oddVBand="0" w:evenVBand="0" w:oddHBand="0" w:evenHBand="0" w:firstRowFirstColumn="0" w:firstRowLastColumn="0" w:lastRowFirstColumn="0" w:lastRowLastColumn="0"/>
            </w:pPr>
            <w:r w:rsidRPr="00496209">
              <w:t xml:space="preserve">$596.09 </w:t>
            </w:r>
          </w:p>
        </w:tc>
      </w:tr>
    </w:tbl>
    <w:p w14:paraId="4BD6040C" w14:textId="5A51B42A" w:rsidR="00A10288" w:rsidRPr="00701AAB" w:rsidRDefault="001D22F7" w:rsidP="00701AAB">
      <w:pPr>
        <w:rPr>
          <w:rStyle w:val="Strong"/>
        </w:rPr>
      </w:pPr>
      <w:r w:rsidRPr="00701AAB">
        <w:rPr>
          <w:rStyle w:val="Strong"/>
        </w:rPr>
        <w:fldChar w:fldCharType="begin"/>
      </w:r>
      <w:r w:rsidRPr="00701AAB">
        <w:rPr>
          <w:rStyle w:val="Strong"/>
        </w:rPr>
        <w:instrText xml:space="preserve"> REF _Ref139553362 \h </w:instrText>
      </w:r>
      <w:r w:rsidR="00701AAB" w:rsidRPr="00701AAB">
        <w:rPr>
          <w:rStyle w:val="Strong"/>
        </w:rPr>
        <w:instrText xml:space="preserve"> \* MERGEFORMAT </w:instrText>
      </w:r>
      <w:r w:rsidRPr="00701AAB">
        <w:rPr>
          <w:rStyle w:val="Strong"/>
        </w:rPr>
      </w:r>
      <w:r w:rsidRPr="00701AAB">
        <w:rPr>
          <w:rStyle w:val="Strong"/>
        </w:rPr>
        <w:fldChar w:fldCharType="separate"/>
      </w:r>
      <w:r w:rsidR="00294B02" w:rsidRPr="00701AAB">
        <w:rPr>
          <w:rStyle w:val="Strong"/>
        </w:rPr>
        <w:t>Table 3.6</w:t>
      </w:r>
      <w:r w:rsidRPr="00701AAB">
        <w:rPr>
          <w:rStyle w:val="Strong"/>
        </w:rPr>
        <w:fldChar w:fldCharType="end"/>
      </w:r>
      <w:r w:rsidR="003D1437" w:rsidRPr="00701AAB">
        <w:rPr>
          <w:rStyle w:val="Strong"/>
        </w:rPr>
        <w:t xml:space="preserve"> </w:t>
      </w:r>
      <w:r w:rsidR="00A10288" w:rsidRPr="00701AAB">
        <w:rPr>
          <w:rStyle w:val="Strong"/>
        </w:rPr>
        <w:t>shows total revenue per resident per day in 2021-22 compared with the previous two years.</w:t>
      </w:r>
    </w:p>
    <w:p w14:paraId="6C66169A" w14:textId="1EAAC908" w:rsidR="00A10288" w:rsidRDefault="00A10288" w:rsidP="00A10288">
      <w:r>
        <w:t>Total revenue per resident per day was $3</w:t>
      </w:r>
      <w:r w:rsidR="007D5B6F">
        <w:t>21.46</w:t>
      </w:r>
      <w:r>
        <w:t>, an increase</w:t>
      </w:r>
      <w:r>
        <w:rPr>
          <w:spacing w:val="-11"/>
        </w:rPr>
        <w:t xml:space="preserve"> </w:t>
      </w:r>
      <w:r>
        <w:t>of</w:t>
      </w:r>
      <w:r>
        <w:rPr>
          <w:spacing w:val="-11"/>
        </w:rPr>
        <w:t xml:space="preserve"> </w:t>
      </w:r>
      <w:r w:rsidR="002415D9">
        <w:t>3</w:t>
      </w:r>
      <w:r>
        <w:rPr>
          <w:spacing w:val="-11"/>
        </w:rPr>
        <w:t xml:space="preserve"> </w:t>
      </w:r>
      <w:r>
        <w:t>per</w:t>
      </w:r>
      <w:r>
        <w:rPr>
          <w:spacing w:val="-11"/>
        </w:rPr>
        <w:t xml:space="preserve"> </w:t>
      </w:r>
      <w:r>
        <w:t>cent</w:t>
      </w:r>
      <w:r>
        <w:rPr>
          <w:spacing w:val="-10"/>
        </w:rPr>
        <w:t xml:space="preserve"> </w:t>
      </w:r>
      <w:r>
        <w:t>from</w:t>
      </w:r>
      <w:r>
        <w:rPr>
          <w:spacing w:val="-11"/>
        </w:rPr>
        <w:t xml:space="preserve"> </w:t>
      </w:r>
      <w:r>
        <w:t>20</w:t>
      </w:r>
      <w:r w:rsidR="00224178">
        <w:t>2</w:t>
      </w:r>
      <w:r w:rsidR="007E5C0F">
        <w:t>0</w:t>
      </w:r>
      <w:r w:rsidR="00224178">
        <w:t>-</w:t>
      </w:r>
      <w:r w:rsidR="007E5C0F">
        <w:t>21</w:t>
      </w:r>
      <w:r>
        <w:rPr>
          <w:spacing w:val="-8"/>
        </w:rPr>
        <w:t xml:space="preserve"> </w:t>
      </w:r>
      <w:r>
        <w:t>($</w:t>
      </w:r>
      <w:r w:rsidR="00373200">
        <w:t>311.44</w:t>
      </w:r>
      <w:r>
        <w:t>)</w:t>
      </w:r>
      <w:r>
        <w:rPr>
          <w:spacing w:val="-9"/>
        </w:rPr>
        <w:t xml:space="preserve"> </w:t>
      </w:r>
      <w:r>
        <w:t>and</w:t>
      </w:r>
      <w:r>
        <w:rPr>
          <w:spacing w:val="-9"/>
        </w:rPr>
        <w:t xml:space="preserve"> </w:t>
      </w:r>
      <w:r>
        <w:t xml:space="preserve">an increase of </w:t>
      </w:r>
      <w:r w:rsidR="00373200">
        <w:t>8</w:t>
      </w:r>
      <w:r>
        <w:t xml:space="preserve"> per cent from 2019</w:t>
      </w:r>
      <w:r w:rsidR="00373200">
        <w:t>-20</w:t>
      </w:r>
      <w:r>
        <w:t xml:space="preserve"> ($2</w:t>
      </w:r>
      <w:r w:rsidR="00373200">
        <w:t>96.64</w:t>
      </w:r>
      <w:r>
        <w:t>).</w:t>
      </w:r>
      <w:r w:rsidR="00012520">
        <w:t xml:space="preserve"> This increase is likely due to the $10 </w:t>
      </w:r>
      <w:r w:rsidR="002C1E71">
        <w:t xml:space="preserve">Basic Daily Fee Supplement paid in the 2021-22 financial year. </w:t>
      </w:r>
    </w:p>
    <w:p w14:paraId="3C5B409B" w14:textId="6815B569" w:rsidR="001D22F7" w:rsidRPr="001D22F7" w:rsidRDefault="001D22F7" w:rsidP="001D22F7">
      <w:pPr>
        <w:pStyle w:val="Caption"/>
      </w:pPr>
      <w:bookmarkStart w:id="233" w:name="_Ref139553362"/>
      <w:bookmarkStart w:id="234" w:name="_Toc149245280"/>
      <w:r>
        <w:t xml:space="preserve">Table </w:t>
      </w:r>
      <w:r>
        <w:fldChar w:fldCharType="begin"/>
      </w:r>
      <w:r>
        <w:instrText>STYLEREF 1 \s</w:instrText>
      </w:r>
      <w:r>
        <w:fldChar w:fldCharType="separate"/>
      </w:r>
      <w:r w:rsidR="00294B02">
        <w:rPr>
          <w:noProof/>
        </w:rPr>
        <w:t>3</w:t>
      </w:r>
      <w:r>
        <w:fldChar w:fldCharType="end"/>
      </w:r>
      <w:r w:rsidR="002E758C">
        <w:t>.</w:t>
      </w:r>
      <w:r>
        <w:fldChar w:fldCharType="begin"/>
      </w:r>
      <w:r>
        <w:instrText>SEQ Table \* ARABIC \s 1</w:instrText>
      </w:r>
      <w:r>
        <w:fldChar w:fldCharType="separate"/>
      </w:r>
      <w:r w:rsidR="00294B02">
        <w:rPr>
          <w:noProof/>
        </w:rPr>
        <w:t>6</w:t>
      </w:r>
      <w:r>
        <w:fldChar w:fldCharType="end"/>
      </w:r>
      <w:bookmarkEnd w:id="233"/>
      <w:r>
        <w:t xml:space="preserve">: </w:t>
      </w:r>
      <w:r w:rsidRPr="00CA51B1">
        <w:t>Residential care provider revenue sources per resident per day, 2019-20 to 2021-22</w:t>
      </w:r>
      <w:bookmarkEnd w:id="234"/>
    </w:p>
    <w:tbl>
      <w:tblPr>
        <w:tblW w:w="9498" w:type="dxa"/>
        <w:tblLook w:val="04A0" w:firstRow="1" w:lastRow="0" w:firstColumn="1" w:lastColumn="0" w:noHBand="0" w:noVBand="1"/>
      </w:tblPr>
      <w:tblGrid>
        <w:gridCol w:w="3969"/>
        <w:gridCol w:w="1180"/>
        <w:gridCol w:w="992"/>
        <w:gridCol w:w="1276"/>
        <w:gridCol w:w="184"/>
        <w:gridCol w:w="947"/>
        <w:gridCol w:w="950"/>
      </w:tblGrid>
      <w:tr w:rsidR="00B95B0E" w:rsidRPr="00496209" w14:paraId="614D35DF" w14:textId="77777777" w:rsidTr="00E757D2">
        <w:trPr>
          <w:trHeight w:val="290"/>
        </w:trPr>
        <w:tc>
          <w:tcPr>
            <w:tcW w:w="3969" w:type="dxa"/>
            <w:tcBorders>
              <w:top w:val="nil"/>
              <w:left w:val="nil"/>
              <w:bottom w:val="nil"/>
              <w:right w:val="nil"/>
            </w:tcBorders>
            <w:shd w:val="clear" w:color="000000" w:fill="1E1545"/>
            <w:vAlign w:val="bottom"/>
            <w:hideMark/>
          </w:tcPr>
          <w:p w14:paraId="64BBF053" w14:textId="77777777" w:rsidR="00B95B0E" w:rsidRPr="00496209" w:rsidRDefault="00B95B0E" w:rsidP="00496209">
            <w:pPr>
              <w:pStyle w:val="TableHeaderWhite"/>
            </w:pPr>
            <w:r w:rsidRPr="00496209">
              <w:t> </w:t>
            </w:r>
          </w:p>
        </w:tc>
        <w:tc>
          <w:tcPr>
            <w:tcW w:w="1276" w:type="dxa"/>
            <w:tcBorders>
              <w:top w:val="nil"/>
              <w:left w:val="nil"/>
              <w:bottom w:val="nil"/>
              <w:right w:val="nil"/>
            </w:tcBorders>
            <w:shd w:val="clear" w:color="000000" w:fill="1E1545"/>
            <w:vAlign w:val="center"/>
            <w:hideMark/>
          </w:tcPr>
          <w:p w14:paraId="18FF7A38" w14:textId="77777777" w:rsidR="00B95B0E" w:rsidRPr="00496209" w:rsidRDefault="00B95B0E" w:rsidP="00496209">
            <w:pPr>
              <w:pStyle w:val="TableHeaderWhite"/>
            </w:pPr>
            <w:r w:rsidRPr="00496209">
              <w:t>2019-20</w:t>
            </w:r>
          </w:p>
        </w:tc>
        <w:tc>
          <w:tcPr>
            <w:tcW w:w="992" w:type="dxa"/>
            <w:tcBorders>
              <w:top w:val="nil"/>
              <w:left w:val="nil"/>
              <w:bottom w:val="nil"/>
              <w:right w:val="nil"/>
            </w:tcBorders>
            <w:shd w:val="clear" w:color="000000" w:fill="1E1545"/>
            <w:vAlign w:val="center"/>
            <w:hideMark/>
          </w:tcPr>
          <w:p w14:paraId="1C00768F" w14:textId="77777777" w:rsidR="00B95B0E" w:rsidRPr="00496209" w:rsidRDefault="00B95B0E" w:rsidP="00496209">
            <w:pPr>
              <w:pStyle w:val="TableHeaderWhite"/>
            </w:pPr>
            <w:r w:rsidRPr="00496209">
              <w:t>2020-21</w:t>
            </w:r>
          </w:p>
        </w:tc>
        <w:tc>
          <w:tcPr>
            <w:tcW w:w="1276" w:type="dxa"/>
            <w:tcBorders>
              <w:top w:val="nil"/>
              <w:left w:val="nil"/>
              <w:bottom w:val="nil"/>
              <w:right w:val="nil"/>
            </w:tcBorders>
            <w:shd w:val="clear" w:color="000000" w:fill="1E1545"/>
            <w:vAlign w:val="center"/>
            <w:hideMark/>
          </w:tcPr>
          <w:p w14:paraId="58D118F9" w14:textId="5E79B6C1" w:rsidR="00B95B0E" w:rsidRPr="00496209" w:rsidRDefault="00AF058D" w:rsidP="00496209">
            <w:pPr>
              <w:pStyle w:val="TableHeaderWhite"/>
            </w:pPr>
            <w:r w:rsidRPr="00496209">
              <w:t>Change from 2019-20 to 2020-21 ($m)</w:t>
            </w:r>
          </w:p>
        </w:tc>
        <w:tc>
          <w:tcPr>
            <w:tcW w:w="1134" w:type="dxa"/>
            <w:gridSpan w:val="2"/>
            <w:tcBorders>
              <w:top w:val="nil"/>
              <w:left w:val="nil"/>
              <w:bottom w:val="nil"/>
              <w:right w:val="nil"/>
            </w:tcBorders>
            <w:shd w:val="clear" w:color="000000" w:fill="1E1545"/>
            <w:vAlign w:val="center"/>
            <w:hideMark/>
          </w:tcPr>
          <w:p w14:paraId="68B7FE2B" w14:textId="77777777" w:rsidR="00B95B0E" w:rsidRPr="00496209" w:rsidRDefault="00B95B0E" w:rsidP="00496209">
            <w:pPr>
              <w:pStyle w:val="TableHeaderWhite"/>
            </w:pPr>
            <w:r w:rsidRPr="00496209">
              <w:t>2021-22</w:t>
            </w:r>
          </w:p>
        </w:tc>
        <w:tc>
          <w:tcPr>
            <w:tcW w:w="851" w:type="dxa"/>
            <w:tcBorders>
              <w:top w:val="nil"/>
              <w:left w:val="nil"/>
              <w:bottom w:val="nil"/>
              <w:right w:val="nil"/>
            </w:tcBorders>
            <w:shd w:val="clear" w:color="000000" w:fill="1E1545"/>
            <w:vAlign w:val="center"/>
            <w:hideMark/>
          </w:tcPr>
          <w:p w14:paraId="759E9F2B" w14:textId="7E64E632" w:rsidR="00B95B0E" w:rsidRPr="00496209" w:rsidRDefault="00AF058D" w:rsidP="00496209">
            <w:pPr>
              <w:pStyle w:val="TableHeaderWhite"/>
            </w:pPr>
            <w:r w:rsidRPr="00496209">
              <w:t>Change from 2020-21 to 2021-22 ($m)</w:t>
            </w:r>
          </w:p>
        </w:tc>
      </w:tr>
      <w:tr w:rsidR="00B95B0E" w:rsidRPr="00496209" w14:paraId="7302D4CA" w14:textId="77777777" w:rsidTr="00D949A3">
        <w:trPr>
          <w:trHeight w:val="300"/>
        </w:trPr>
        <w:tc>
          <w:tcPr>
            <w:tcW w:w="3969" w:type="dxa"/>
            <w:tcBorders>
              <w:top w:val="nil"/>
              <w:left w:val="nil"/>
              <w:bottom w:val="single" w:sz="8" w:space="0" w:color="auto"/>
              <w:right w:val="nil"/>
            </w:tcBorders>
            <w:shd w:val="clear" w:color="auto" w:fill="D8DBDB" w:themeFill="background1" w:themeFillShade="E6"/>
            <w:noWrap/>
            <w:vAlign w:val="center"/>
            <w:hideMark/>
          </w:tcPr>
          <w:p w14:paraId="6A189296" w14:textId="77777777" w:rsidR="00B95B0E" w:rsidRPr="00496209" w:rsidRDefault="00B95B0E" w:rsidP="00496209">
            <w:pPr>
              <w:pStyle w:val="TableParagraphbold"/>
            </w:pPr>
            <w:r w:rsidRPr="00496209">
              <w:t xml:space="preserve">Australian Government </w:t>
            </w:r>
          </w:p>
        </w:tc>
        <w:tc>
          <w:tcPr>
            <w:tcW w:w="1276" w:type="dxa"/>
            <w:tcBorders>
              <w:top w:val="nil"/>
              <w:left w:val="nil"/>
              <w:bottom w:val="single" w:sz="8" w:space="0" w:color="auto"/>
              <w:right w:val="nil"/>
            </w:tcBorders>
            <w:shd w:val="clear" w:color="auto" w:fill="D8DBDB" w:themeFill="background1" w:themeFillShade="E6"/>
            <w:vAlign w:val="center"/>
            <w:hideMark/>
          </w:tcPr>
          <w:p w14:paraId="4BBC77E2" w14:textId="77777777" w:rsidR="00B95B0E" w:rsidRPr="00496209" w:rsidRDefault="00B95B0E" w:rsidP="00496209">
            <w:pPr>
              <w:pStyle w:val="TableParagraphbold"/>
            </w:pPr>
            <w:r w:rsidRPr="00496209">
              <w:t> </w:t>
            </w:r>
          </w:p>
        </w:tc>
        <w:tc>
          <w:tcPr>
            <w:tcW w:w="992" w:type="dxa"/>
            <w:tcBorders>
              <w:top w:val="nil"/>
              <w:left w:val="nil"/>
              <w:bottom w:val="single" w:sz="8" w:space="0" w:color="auto"/>
              <w:right w:val="nil"/>
            </w:tcBorders>
            <w:shd w:val="clear" w:color="auto" w:fill="D8DBDB" w:themeFill="background1" w:themeFillShade="E6"/>
            <w:noWrap/>
            <w:vAlign w:val="center"/>
            <w:hideMark/>
          </w:tcPr>
          <w:p w14:paraId="184FE874" w14:textId="77777777" w:rsidR="00B95B0E" w:rsidRPr="00496209" w:rsidRDefault="00B95B0E" w:rsidP="00496209">
            <w:pPr>
              <w:pStyle w:val="TableParagraphbold"/>
            </w:pPr>
            <w:r w:rsidRPr="00496209">
              <w:t> </w:t>
            </w:r>
          </w:p>
        </w:tc>
        <w:tc>
          <w:tcPr>
            <w:tcW w:w="1460" w:type="dxa"/>
            <w:gridSpan w:val="2"/>
            <w:tcBorders>
              <w:top w:val="nil"/>
              <w:left w:val="nil"/>
              <w:bottom w:val="single" w:sz="8" w:space="0" w:color="auto"/>
              <w:right w:val="nil"/>
            </w:tcBorders>
            <w:shd w:val="clear" w:color="auto" w:fill="D8DBDB" w:themeFill="background1" w:themeFillShade="E6"/>
            <w:noWrap/>
            <w:vAlign w:val="center"/>
            <w:hideMark/>
          </w:tcPr>
          <w:p w14:paraId="4C956B54" w14:textId="77777777" w:rsidR="00B95B0E" w:rsidRPr="00496209" w:rsidRDefault="00B95B0E" w:rsidP="00496209">
            <w:pPr>
              <w:pStyle w:val="TableParagraphbold"/>
            </w:pPr>
            <w:r w:rsidRPr="00496209">
              <w:t> </w:t>
            </w:r>
          </w:p>
        </w:tc>
        <w:tc>
          <w:tcPr>
            <w:tcW w:w="950" w:type="dxa"/>
            <w:tcBorders>
              <w:top w:val="nil"/>
              <w:left w:val="nil"/>
              <w:bottom w:val="single" w:sz="8" w:space="0" w:color="auto"/>
              <w:right w:val="nil"/>
            </w:tcBorders>
            <w:shd w:val="clear" w:color="auto" w:fill="D8DBDB" w:themeFill="background1" w:themeFillShade="E6"/>
            <w:vAlign w:val="center"/>
            <w:hideMark/>
          </w:tcPr>
          <w:p w14:paraId="1B435068" w14:textId="77777777" w:rsidR="00B95B0E" w:rsidRPr="00496209" w:rsidRDefault="00B95B0E" w:rsidP="00496209">
            <w:pPr>
              <w:pStyle w:val="TableParagraphbold"/>
            </w:pPr>
            <w:r w:rsidRPr="00496209">
              <w:t> </w:t>
            </w:r>
          </w:p>
        </w:tc>
        <w:tc>
          <w:tcPr>
            <w:tcW w:w="851" w:type="dxa"/>
            <w:tcBorders>
              <w:top w:val="nil"/>
              <w:left w:val="nil"/>
              <w:bottom w:val="single" w:sz="8" w:space="0" w:color="auto"/>
              <w:right w:val="nil"/>
            </w:tcBorders>
            <w:shd w:val="clear" w:color="auto" w:fill="D8DBDB" w:themeFill="background1" w:themeFillShade="E6"/>
            <w:noWrap/>
            <w:vAlign w:val="center"/>
            <w:hideMark/>
          </w:tcPr>
          <w:p w14:paraId="007065ED" w14:textId="77777777" w:rsidR="00B95B0E" w:rsidRPr="00496209" w:rsidRDefault="00B95B0E" w:rsidP="00496209">
            <w:pPr>
              <w:pStyle w:val="TableParagraphbold"/>
            </w:pPr>
            <w:r w:rsidRPr="00496209">
              <w:t> </w:t>
            </w:r>
          </w:p>
        </w:tc>
      </w:tr>
      <w:tr w:rsidR="00B95B0E" w:rsidRPr="00496209" w14:paraId="2F652AC4"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4EAA4338" w14:textId="77777777" w:rsidR="00B95B0E" w:rsidRPr="00496209" w:rsidRDefault="00B95B0E" w:rsidP="00496209">
            <w:pPr>
              <w:pStyle w:val="TableofAuthorities"/>
            </w:pPr>
            <w:r w:rsidRPr="00496209">
              <w:t>Basic care subsidy (ACFI)</w:t>
            </w:r>
          </w:p>
        </w:tc>
        <w:tc>
          <w:tcPr>
            <w:tcW w:w="1276" w:type="dxa"/>
            <w:tcBorders>
              <w:top w:val="nil"/>
              <w:left w:val="nil"/>
              <w:bottom w:val="single" w:sz="8" w:space="0" w:color="auto"/>
              <w:right w:val="nil"/>
            </w:tcBorders>
            <w:shd w:val="clear" w:color="auto" w:fill="auto"/>
            <w:vAlign w:val="center"/>
            <w:hideMark/>
          </w:tcPr>
          <w:p w14:paraId="74E187B1" w14:textId="77777777" w:rsidR="00B95B0E" w:rsidRPr="00496209" w:rsidRDefault="00B95B0E" w:rsidP="00496209">
            <w:pPr>
              <w:pStyle w:val="TableofAuthorities"/>
            </w:pPr>
            <w:r w:rsidRPr="00496209">
              <w:t>$164.47</w:t>
            </w:r>
          </w:p>
        </w:tc>
        <w:tc>
          <w:tcPr>
            <w:tcW w:w="992" w:type="dxa"/>
            <w:tcBorders>
              <w:top w:val="nil"/>
              <w:left w:val="nil"/>
              <w:bottom w:val="single" w:sz="8" w:space="0" w:color="auto"/>
              <w:right w:val="nil"/>
            </w:tcBorders>
            <w:shd w:val="clear" w:color="auto" w:fill="auto"/>
            <w:noWrap/>
            <w:vAlign w:val="center"/>
            <w:hideMark/>
          </w:tcPr>
          <w:p w14:paraId="0B1F9507" w14:textId="77777777" w:rsidR="00B95B0E" w:rsidRPr="00496209" w:rsidRDefault="00B95B0E" w:rsidP="00496209">
            <w:pPr>
              <w:pStyle w:val="TableofAuthorities"/>
            </w:pPr>
            <w:r w:rsidRPr="00496209">
              <w:t>$170.78</w:t>
            </w:r>
          </w:p>
        </w:tc>
        <w:tc>
          <w:tcPr>
            <w:tcW w:w="1460" w:type="dxa"/>
            <w:gridSpan w:val="2"/>
            <w:tcBorders>
              <w:top w:val="nil"/>
              <w:left w:val="nil"/>
              <w:bottom w:val="single" w:sz="8" w:space="0" w:color="auto"/>
              <w:right w:val="nil"/>
            </w:tcBorders>
            <w:shd w:val="clear" w:color="auto" w:fill="auto"/>
            <w:noWrap/>
            <w:vAlign w:val="center"/>
            <w:hideMark/>
          </w:tcPr>
          <w:p w14:paraId="55A4ED9B" w14:textId="77777777" w:rsidR="00B95B0E" w:rsidRPr="00496209" w:rsidRDefault="00B95B0E" w:rsidP="00496209">
            <w:pPr>
              <w:pStyle w:val="TableofAuthorities"/>
            </w:pPr>
            <w:r w:rsidRPr="00496209">
              <w:t>$6.31</w:t>
            </w:r>
          </w:p>
        </w:tc>
        <w:tc>
          <w:tcPr>
            <w:tcW w:w="950" w:type="dxa"/>
            <w:tcBorders>
              <w:top w:val="nil"/>
              <w:left w:val="nil"/>
              <w:bottom w:val="single" w:sz="8" w:space="0" w:color="auto"/>
              <w:right w:val="nil"/>
            </w:tcBorders>
            <w:shd w:val="clear" w:color="auto" w:fill="auto"/>
            <w:vAlign w:val="center"/>
            <w:hideMark/>
          </w:tcPr>
          <w:p w14:paraId="333C38C3" w14:textId="77777777" w:rsidR="00B95B0E" w:rsidRPr="00496209" w:rsidRDefault="00B95B0E" w:rsidP="00496209">
            <w:pPr>
              <w:pStyle w:val="TableofAuthorities"/>
            </w:pPr>
            <w:r w:rsidRPr="00496209">
              <w:t>$173.05</w:t>
            </w:r>
          </w:p>
        </w:tc>
        <w:tc>
          <w:tcPr>
            <w:tcW w:w="851" w:type="dxa"/>
            <w:tcBorders>
              <w:top w:val="nil"/>
              <w:left w:val="nil"/>
              <w:bottom w:val="single" w:sz="8" w:space="0" w:color="auto"/>
              <w:right w:val="nil"/>
            </w:tcBorders>
            <w:shd w:val="clear" w:color="auto" w:fill="auto"/>
            <w:noWrap/>
            <w:vAlign w:val="center"/>
            <w:hideMark/>
          </w:tcPr>
          <w:p w14:paraId="285A686F" w14:textId="77777777" w:rsidR="00B95B0E" w:rsidRPr="00496209" w:rsidRDefault="00B95B0E" w:rsidP="00496209">
            <w:pPr>
              <w:pStyle w:val="TableofAuthorities"/>
            </w:pPr>
            <w:r w:rsidRPr="00496209">
              <w:t>$2.28</w:t>
            </w:r>
          </w:p>
        </w:tc>
      </w:tr>
      <w:tr w:rsidR="00B95B0E" w:rsidRPr="00496209" w14:paraId="69D20E1F"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57265CC5" w14:textId="77777777" w:rsidR="00B95B0E" w:rsidRPr="00496209" w:rsidRDefault="00B95B0E" w:rsidP="00496209">
            <w:pPr>
              <w:pStyle w:val="TableofAuthorities"/>
            </w:pPr>
            <w:r w:rsidRPr="00496209">
              <w:t>Respite subsidy &amp; supplements</w:t>
            </w:r>
          </w:p>
        </w:tc>
        <w:tc>
          <w:tcPr>
            <w:tcW w:w="1276" w:type="dxa"/>
            <w:tcBorders>
              <w:top w:val="nil"/>
              <w:left w:val="nil"/>
              <w:bottom w:val="single" w:sz="8" w:space="0" w:color="auto"/>
              <w:right w:val="nil"/>
            </w:tcBorders>
            <w:shd w:val="clear" w:color="auto" w:fill="auto"/>
            <w:vAlign w:val="center"/>
            <w:hideMark/>
          </w:tcPr>
          <w:p w14:paraId="75C1DAEA" w14:textId="77777777" w:rsidR="00B95B0E" w:rsidRPr="00496209" w:rsidRDefault="00B95B0E" w:rsidP="00496209">
            <w:pPr>
              <w:pStyle w:val="TableofAuthorities"/>
            </w:pPr>
            <w:r w:rsidRPr="00496209">
              <w:t>$6.00</w:t>
            </w:r>
          </w:p>
        </w:tc>
        <w:tc>
          <w:tcPr>
            <w:tcW w:w="992" w:type="dxa"/>
            <w:tcBorders>
              <w:top w:val="nil"/>
              <w:left w:val="nil"/>
              <w:bottom w:val="single" w:sz="8" w:space="0" w:color="auto"/>
              <w:right w:val="nil"/>
            </w:tcBorders>
            <w:shd w:val="clear" w:color="auto" w:fill="auto"/>
            <w:noWrap/>
            <w:vAlign w:val="center"/>
            <w:hideMark/>
          </w:tcPr>
          <w:p w14:paraId="28F82BAF" w14:textId="77777777" w:rsidR="00B95B0E" w:rsidRPr="00496209" w:rsidRDefault="00B95B0E" w:rsidP="00496209">
            <w:pPr>
              <w:pStyle w:val="TableofAuthorities"/>
            </w:pPr>
            <w:r w:rsidRPr="00496209">
              <w:t>$6.61</w:t>
            </w:r>
          </w:p>
        </w:tc>
        <w:tc>
          <w:tcPr>
            <w:tcW w:w="1460" w:type="dxa"/>
            <w:gridSpan w:val="2"/>
            <w:tcBorders>
              <w:top w:val="nil"/>
              <w:left w:val="nil"/>
              <w:bottom w:val="single" w:sz="8" w:space="0" w:color="auto"/>
              <w:right w:val="nil"/>
            </w:tcBorders>
            <w:shd w:val="clear" w:color="auto" w:fill="auto"/>
            <w:noWrap/>
            <w:vAlign w:val="center"/>
            <w:hideMark/>
          </w:tcPr>
          <w:p w14:paraId="53B0A8F9" w14:textId="77777777" w:rsidR="00B95B0E" w:rsidRPr="00496209" w:rsidRDefault="00B95B0E" w:rsidP="00496209">
            <w:pPr>
              <w:pStyle w:val="TableofAuthorities"/>
            </w:pPr>
            <w:r w:rsidRPr="00496209">
              <w:t>$0.61</w:t>
            </w:r>
          </w:p>
        </w:tc>
        <w:tc>
          <w:tcPr>
            <w:tcW w:w="950" w:type="dxa"/>
            <w:tcBorders>
              <w:top w:val="nil"/>
              <w:left w:val="nil"/>
              <w:bottom w:val="single" w:sz="8" w:space="0" w:color="auto"/>
              <w:right w:val="nil"/>
            </w:tcBorders>
            <w:shd w:val="clear" w:color="auto" w:fill="auto"/>
            <w:vAlign w:val="center"/>
            <w:hideMark/>
          </w:tcPr>
          <w:p w14:paraId="3B4F2E7A" w14:textId="77777777" w:rsidR="00B95B0E" w:rsidRPr="00496209" w:rsidRDefault="00B95B0E" w:rsidP="00496209">
            <w:pPr>
              <w:pStyle w:val="TableofAuthorities"/>
            </w:pPr>
            <w:r w:rsidRPr="00496209">
              <w:t>$7.30</w:t>
            </w:r>
          </w:p>
        </w:tc>
        <w:tc>
          <w:tcPr>
            <w:tcW w:w="851" w:type="dxa"/>
            <w:tcBorders>
              <w:top w:val="nil"/>
              <w:left w:val="nil"/>
              <w:bottom w:val="single" w:sz="8" w:space="0" w:color="auto"/>
              <w:right w:val="nil"/>
            </w:tcBorders>
            <w:shd w:val="clear" w:color="auto" w:fill="auto"/>
            <w:noWrap/>
            <w:vAlign w:val="center"/>
            <w:hideMark/>
          </w:tcPr>
          <w:p w14:paraId="67B6C5E0" w14:textId="77777777" w:rsidR="00B95B0E" w:rsidRPr="00496209" w:rsidRDefault="00B95B0E" w:rsidP="00496209">
            <w:pPr>
              <w:pStyle w:val="TableofAuthorities"/>
            </w:pPr>
            <w:r w:rsidRPr="00496209">
              <w:t>$0.69</w:t>
            </w:r>
          </w:p>
        </w:tc>
      </w:tr>
      <w:tr w:rsidR="00B95B0E" w:rsidRPr="00496209" w14:paraId="2FB0FB31"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3A749CBE" w14:textId="77777777" w:rsidR="00B95B0E" w:rsidRPr="00496209" w:rsidRDefault="00B95B0E" w:rsidP="00496209">
            <w:pPr>
              <w:pStyle w:val="TableofAuthorities"/>
            </w:pPr>
            <w:r w:rsidRPr="00496209">
              <w:t>Basic daily fee supplement</w:t>
            </w:r>
          </w:p>
        </w:tc>
        <w:tc>
          <w:tcPr>
            <w:tcW w:w="1276" w:type="dxa"/>
            <w:tcBorders>
              <w:top w:val="nil"/>
              <w:left w:val="nil"/>
              <w:bottom w:val="single" w:sz="8" w:space="0" w:color="auto"/>
              <w:right w:val="nil"/>
            </w:tcBorders>
            <w:shd w:val="clear" w:color="auto" w:fill="auto"/>
            <w:vAlign w:val="center"/>
            <w:hideMark/>
          </w:tcPr>
          <w:p w14:paraId="26AE0AEE" w14:textId="77777777" w:rsidR="00B95B0E" w:rsidRPr="00496209" w:rsidRDefault="00B95B0E" w:rsidP="00496209">
            <w:pPr>
              <w:pStyle w:val="TableofAuthorities"/>
            </w:pPr>
            <w:r w:rsidRPr="00496209">
              <w:t>$0.00</w:t>
            </w:r>
          </w:p>
        </w:tc>
        <w:tc>
          <w:tcPr>
            <w:tcW w:w="992" w:type="dxa"/>
            <w:tcBorders>
              <w:top w:val="nil"/>
              <w:left w:val="nil"/>
              <w:bottom w:val="single" w:sz="8" w:space="0" w:color="auto"/>
              <w:right w:val="nil"/>
            </w:tcBorders>
            <w:shd w:val="clear" w:color="auto" w:fill="auto"/>
            <w:noWrap/>
            <w:vAlign w:val="center"/>
            <w:hideMark/>
          </w:tcPr>
          <w:p w14:paraId="7DE60122" w14:textId="77777777" w:rsidR="00B95B0E" w:rsidRPr="00496209" w:rsidRDefault="00B95B0E" w:rsidP="00496209">
            <w:pPr>
              <w:pStyle w:val="TableofAuthorities"/>
            </w:pPr>
            <w:r w:rsidRPr="00496209">
              <w:t>$0.00</w:t>
            </w:r>
          </w:p>
        </w:tc>
        <w:tc>
          <w:tcPr>
            <w:tcW w:w="1460" w:type="dxa"/>
            <w:gridSpan w:val="2"/>
            <w:tcBorders>
              <w:top w:val="nil"/>
              <w:left w:val="nil"/>
              <w:bottom w:val="single" w:sz="8" w:space="0" w:color="auto"/>
              <w:right w:val="nil"/>
            </w:tcBorders>
            <w:shd w:val="clear" w:color="auto" w:fill="auto"/>
            <w:noWrap/>
            <w:vAlign w:val="center"/>
            <w:hideMark/>
          </w:tcPr>
          <w:p w14:paraId="7BC669C9" w14:textId="77777777" w:rsidR="00B95B0E" w:rsidRPr="00496209" w:rsidRDefault="00B95B0E" w:rsidP="00496209">
            <w:pPr>
              <w:pStyle w:val="TableofAuthorities"/>
            </w:pPr>
            <w:r w:rsidRPr="00496209">
              <w:t>$0.00</w:t>
            </w:r>
          </w:p>
        </w:tc>
        <w:tc>
          <w:tcPr>
            <w:tcW w:w="950" w:type="dxa"/>
            <w:tcBorders>
              <w:top w:val="nil"/>
              <w:left w:val="nil"/>
              <w:bottom w:val="single" w:sz="8" w:space="0" w:color="auto"/>
              <w:right w:val="nil"/>
            </w:tcBorders>
            <w:shd w:val="clear" w:color="auto" w:fill="auto"/>
            <w:vAlign w:val="center"/>
            <w:hideMark/>
          </w:tcPr>
          <w:p w14:paraId="05D54EB7" w14:textId="77777777" w:rsidR="00B95B0E" w:rsidRPr="00496209" w:rsidRDefault="00B95B0E" w:rsidP="00496209">
            <w:pPr>
              <w:pStyle w:val="TableofAuthorities"/>
            </w:pPr>
            <w:r w:rsidRPr="00496209">
              <w:t>$9.63</w:t>
            </w:r>
          </w:p>
        </w:tc>
        <w:tc>
          <w:tcPr>
            <w:tcW w:w="851" w:type="dxa"/>
            <w:tcBorders>
              <w:top w:val="nil"/>
              <w:left w:val="nil"/>
              <w:bottom w:val="single" w:sz="8" w:space="0" w:color="auto"/>
              <w:right w:val="nil"/>
            </w:tcBorders>
            <w:shd w:val="clear" w:color="auto" w:fill="auto"/>
            <w:noWrap/>
            <w:vAlign w:val="center"/>
            <w:hideMark/>
          </w:tcPr>
          <w:p w14:paraId="63397E59" w14:textId="77777777" w:rsidR="00B95B0E" w:rsidRPr="00496209" w:rsidRDefault="00B95B0E" w:rsidP="00496209">
            <w:pPr>
              <w:pStyle w:val="TableofAuthorities"/>
            </w:pPr>
            <w:r w:rsidRPr="00496209">
              <w:t>$9.63</w:t>
            </w:r>
          </w:p>
        </w:tc>
      </w:tr>
      <w:tr w:rsidR="00B95B0E" w:rsidRPr="00496209" w14:paraId="268914BC"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33A15EFE" w14:textId="77777777" w:rsidR="00B95B0E" w:rsidRPr="00496209" w:rsidRDefault="00B95B0E" w:rsidP="00496209">
            <w:pPr>
              <w:pStyle w:val="TableofAuthorities"/>
            </w:pPr>
            <w:r w:rsidRPr="00496209">
              <w:t>COVID-19 funding</w:t>
            </w:r>
          </w:p>
        </w:tc>
        <w:tc>
          <w:tcPr>
            <w:tcW w:w="1276" w:type="dxa"/>
            <w:tcBorders>
              <w:top w:val="nil"/>
              <w:left w:val="nil"/>
              <w:bottom w:val="single" w:sz="8" w:space="0" w:color="auto"/>
              <w:right w:val="nil"/>
            </w:tcBorders>
            <w:shd w:val="clear" w:color="auto" w:fill="auto"/>
            <w:vAlign w:val="center"/>
            <w:hideMark/>
          </w:tcPr>
          <w:p w14:paraId="50C60818" w14:textId="77777777" w:rsidR="00B95B0E" w:rsidRPr="00496209" w:rsidRDefault="00B95B0E" w:rsidP="00496209">
            <w:pPr>
              <w:pStyle w:val="TableofAuthorities"/>
            </w:pPr>
            <w:r w:rsidRPr="00496209">
              <w:t>$4.35</w:t>
            </w:r>
          </w:p>
        </w:tc>
        <w:tc>
          <w:tcPr>
            <w:tcW w:w="992" w:type="dxa"/>
            <w:tcBorders>
              <w:top w:val="nil"/>
              <w:left w:val="nil"/>
              <w:bottom w:val="single" w:sz="8" w:space="0" w:color="auto"/>
              <w:right w:val="nil"/>
            </w:tcBorders>
            <w:shd w:val="clear" w:color="auto" w:fill="auto"/>
            <w:noWrap/>
            <w:vAlign w:val="center"/>
            <w:hideMark/>
          </w:tcPr>
          <w:p w14:paraId="5831680B" w14:textId="77777777" w:rsidR="00B95B0E" w:rsidRPr="00496209" w:rsidRDefault="00B95B0E" w:rsidP="00496209">
            <w:pPr>
              <w:pStyle w:val="TableofAuthorities"/>
            </w:pPr>
            <w:r w:rsidRPr="00496209">
              <w:t>$10.93</w:t>
            </w:r>
          </w:p>
        </w:tc>
        <w:tc>
          <w:tcPr>
            <w:tcW w:w="1460" w:type="dxa"/>
            <w:gridSpan w:val="2"/>
            <w:tcBorders>
              <w:top w:val="nil"/>
              <w:left w:val="nil"/>
              <w:bottom w:val="single" w:sz="8" w:space="0" w:color="auto"/>
              <w:right w:val="nil"/>
            </w:tcBorders>
            <w:shd w:val="clear" w:color="auto" w:fill="auto"/>
            <w:noWrap/>
            <w:vAlign w:val="center"/>
            <w:hideMark/>
          </w:tcPr>
          <w:p w14:paraId="7A715A57" w14:textId="77777777" w:rsidR="00B95B0E" w:rsidRPr="00496209" w:rsidRDefault="00B95B0E" w:rsidP="00496209">
            <w:pPr>
              <w:pStyle w:val="TableofAuthorities"/>
            </w:pPr>
            <w:r w:rsidRPr="00496209">
              <w:t>$6.58</w:t>
            </w:r>
          </w:p>
        </w:tc>
        <w:tc>
          <w:tcPr>
            <w:tcW w:w="950" w:type="dxa"/>
            <w:tcBorders>
              <w:top w:val="nil"/>
              <w:left w:val="nil"/>
              <w:bottom w:val="single" w:sz="8" w:space="0" w:color="auto"/>
              <w:right w:val="nil"/>
            </w:tcBorders>
            <w:shd w:val="clear" w:color="auto" w:fill="auto"/>
            <w:vAlign w:val="center"/>
            <w:hideMark/>
          </w:tcPr>
          <w:p w14:paraId="69A3AE78" w14:textId="77777777" w:rsidR="00B95B0E" w:rsidRPr="00496209" w:rsidRDefault="00B95B0E" w:rsidP="00496209">
            <w:pPr>
              <w:pStyle w:val="TableofAuthorities"/>
            </w:pPr>
            <w:r w:rsidRPr="00496209">
              <w:t>$4.46</w:t>
            </w:r>
          </w:p>
        </w:tc>
        <w:tc>
          <w:tcPr>
            <w:tcW w:w="851" w:type="dxa"/>
            <w:tcBorders>
              <w:top w:val="nil"/>
              <w:left w:val="nil"/>
              <w:bottom w:val="single" w:sz="8" w:space="0" w:color="auto"/>
              <w:right w:val="nil"/>
            </w:tcBorders>
            <w:shd w:val="clear" w:color="auto" w:fill="auto"/>
            <w:noWrap/>
            <w:vAlign w:val="center"/>
            <w:hideMark/>
          </w:tcPr>
          <w:p w14:paraId="47691CF7" w14:textId="00E1A407" w:rsidR="00B95B0E" w:rsidRPr="00496209" w:rsidRDefault="00B95B0E" w:rsidP="00496209">
            <w:pPr>
              <w:pStyle w:val="TableofAuthorities"/>
            </w:pPr>
            <w:r w:rsidRPr="00496209">
              <w:t>($6.47)</w:t>
            </w:r>
          </w:p>
        </w:tc>
      </w:tr>
      <w:tr w:rsidR="00B95B0E" w:rsidRPr="00496209" w14:paraId="38CFA8DE"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73ED4470" w14:textId="77777777" w:rsidR="00B95B0E" w:rsidRPr="00496209" w:rsidRDefault="00B95B0E" w:rsidP="00496209">
            <w:pPr>
              <w:pStyle w:val="TableofAuthorities"/>
            </w:pPr>
            <w:r w:rsidRPr="00496209">
              <w:t>Other supplements</w:t>
            </w:r>
          </w:p>
        </w:tc>
        <w:tc>
          <w:tcPr>
            <w:tcW w:w="1276" w:type="dxa"/>
            <w:tcBorders>
              <w:top w:val="nil"/>
              <w:left w:val="nil"/>
              <w:bottom w:val="single" w:sz="8" w:space="0" w:color="auto"/>
              <w:right w:val="nil"/>
            </w:tcBorders>
            <w:shd w:val="clear" w:color="auto" w:fill="auto"/>
            <w:vAlign w:val="center"/>
            <w:hideMark/>
          </w:tcPr>
          <w:p w14:paraId="70677C36" w14:textId="77777777" w:rsidR="00B95B0E" w:rsidRPr="00496209" w:rsidRDefault="00B95B0E" w:rsidP="00496209">
            <w:pPr>
              <w:pStyle w:val="TableofAuthorities"/>
            </w:pPr>
            <w:r w:rsidRPr="00496209">
              <w:t>$1.83</w:t>
            </w:r>
          </w:p>
        </w:tc>
        <w:tc>
          <w:tcPr>
            <w:tcW w:w="992" w:type="dxa"/>
            <w:tcBorders>
              <w:top w:val="nil"/>
              <w:left w:val="nil"/>
              <w:bottom w:val="single" w:sz="8" w:space="0" w:color="auto"/>
              <w:right w:val="nil"/>
            </w:tcBorders>
            <w:shd w:val="clear" w:color="auto" w:fill="auto"/>
            <w:noWrap/>
            <w:vAlign w:val="center"/>
            <w:hideMark/>
          </w:tcPr>
          <w:p w14:paraId="4D1529D0" w14:textId="77777777" w:rsidR="00B95B0E" w:rsidRPr="00496209" w:rsidRDefault="00B95B0E" w:rsidP="00496209">
            <w:pPr>
              <w:pStyle w:val="TableofAuthorities"/>
            </w:pPr>
            <w:r w:rsidRPr="00496209">
              <w:t>$2.27</w:t>
            </w:r>
          </w:p>
        </w:tc>
        <w:tc>
          <w:tcPr>
            <w:tcW w:w="1460" w:type="dxa"/>
            <w:gridSpan w:val="2"/>
            <w:tcBorders>
              <w:top w:val="nil"/>
              <w:left w:val="nil"/>
              <w:bottom w:val="single" w:sz="8" w:space="0" w:color="auto"/>
              <w:right w:val="nil"/>
            </w:tcBorders>
            <w:shd w:val="clear" w:color="auto" w:fill="auto"/>
            <w:noWrap/>
            <w:vAlign w:val="center"/>
            <w:hideMark/>
          </w:tcPr>
          <w:p w14:paraId="3FF1F6B1" w14:textId="77777777" w:rsidR="00B95B0E" w:rsidRPr="00496209" w:rsidRDefault="00B95B0E" w:rsidP="00496209">
            <w:pPr>
              <w:pStyle w:val="TableofAuthorities"/>
            </w:pPr>
            <w:r w:rsidRPr="00496209">
              <w:t>$0.44</w:t>
            </w:r>
          </w:p>
        </w:tc>
        <w:tc>
          <w:tcPr>
            <w:tcW w:w="950" w:type="dxa"/>
            <w:tcBorders>
              <w:top w:val="nil"/>
              <w:left w:val="nil"/>
              <w:bottom w:val="single" w:sz="8" w:space="0" w:color="auto"/>
              <w:right w:val="nil"/>
            </w:tcBorders>
            <w:shd w:val="clear" w:color="auto" w:fill="auto"/>
            <w:vAlign w:val="center"/>
            <w:hideMark/>
          </w:tcPr>
          <w:p w14:paraId="4091ADE1" w14:textId="77777777" w:rsidR="00B95B0E" w:rsidRPr="00496209" w:rsidRDefault="00B95B0E" w:rsidP="00496209">
            <w:pPr>
              <w:pStyle w:val="TableofAuthorities"/>
            </w:pPr>
            <w:r w:rsidRPr="00496209">
              <w:t>$2.26</w:t>
            </w:r>
          </w:p>
        </w:tc>
        <w:tc>
          <w:tcPr>
            <w:tcW w:w="851" w:type="dxa"/>
            <w:tcBorders>
              <w:top w:val="nil"/>
              <w:left w:val="nil"/>
              <w:bottom w:val="single" w:sz="8" w:space="0" w:color="auto"/>
              <w:right w:val="nil"/>
            </w:tcBorders>
            <w:shd w:val="clear" w:color="auto" w:fill="auto"/>
            <w:noWrap/>
            <w:vAlign w:val="center"/>
            <w:hideMark/>
          </w:tcPr>
          <w:p w14:paraId="2FC878D1" w14:textId="4476AC59" w:rsidR="00B95B0E" w:rsidRPr="00496209" w:rsidRDefault="00B95B0E" w:rsidP="00496209">
            <w:pPr>
              <w:pStyle w:val="TableofAuthorities"/>
            </w:pPr>
            <w:r w:rsidRPr="00496209">
              <w:t>($0.01)</w:t>
            </w:r>
          </w:p>
        </w:tc>
      </w:tr>
      <w:tr w:rsidR="00B95B0E" w:rsidRPr="00496209" w14:paraId="23693918"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118E164E" w14:textId="77777777" w:rsidR="00B95B0E" w:rsidRPr="00496209" w:rsidRDefault="00B95B0E" w:rsidP="00496209">
            <w:pPr>
              <w:pStyle w:val="TableofAuthorities"/>
            </w:pPr>
            <w:r w:rsidRPr="00496209">
              <w:t>Accommodation supplement</w:t>
            </w:r>
          </w:p>
        </w:tc>
        <w:tc>
          <w:tcPr>
            <w:tcW w:w="1276" w:type="dxa"/>
            <w:tcBorders>
              <w:top w:val="nil"/>
              <w:left w:val="nil"/>
              <w:bottom w:val="single" w:sz="8" w:space="0" w:color="auto"/>
              <w:right w:val="nil"/>
            </w:tcBorders>
            <w:shd w:val="clear" w:color="auto" w:fill="auto"/>
            <w:vAlign w:val="center"/>
            <w:hideMark/>
          </w:tcPr>
          <w:p w14:paraId="12FA7705" w14:textId="77777777" w:rsidR="00B95B0E" w:rsidRPr="00496209" w:rsidRDefault="00B95B0E" w:rsidP="00496209">
            <w:pPr>
              <w:pStyle w:val="TableofAuthorities"/>
            </w:pPr>
            <w:r w:rsidRPr="00496209">
              <w:t>$18.60</w:t>
            </w:r>
          </w:p>
        </w:tc>
        <w:tc>
          <w:tcPr>
            <w:tcW w:w="992" w:type="dxa"/>
            <w:tcBorders>
              <w:top w:val="nil"/>
              <w:left w:val="nil"/>
              <w:bottom w:val="single" w:sz="8" w:space="0" w:color="auto"/>
              <w:right w:val="nil"/>
            </w:tcBorders>
            <w:shd w:val="clear" w:color="auto" w:fill="auto"/>
            <w:noWrap/>
            <w:vAlign w:val="center"/>
            <w:hideMark/>
          </w:tcPr>
          <w:p w14:paraId="2DB4B5A3" w14:textId="77777777" w:rsidR="00B95B0E" w:rsidRPr="00496209" w:rsidRDefault="00B95B0E" w:rsidP="00496209">
            <w:pPr>
              <w:pStyle w:val="TableofAuthorities"/>
            </w:pPr>
            <w:r w:rsidRPr="00496209">
              <w:t>$19.39</w:t>
            </w:r>
          </w:p>
        </w:tc>
        <w:tc>
          <w:tcPr>
            <w:tcW w:w="1460" w:type="dxa"/>
            <w:gridSpan w:val="2"/>
            <w:tcBorders>
              <w:top w:val="nil"/>
              <w:left w:val="nil"/>
              <w:bottom w:val="single" w:sz="8" w:space="0" w:color="auto"/>
              <w:right w:val="nil"/>
            </w:tcBorders>
            <w:shd w:val="clear" w:color="auto" w:fill="auto"/>
            <w:noWrap/>
            <w:vAlign w:val="center"/>
            <w:hideMark/>
          </w:tcPr>
          <w:p w14:paraId="08A8F83F" w14:textId="77777777" w:rsidR="00B95B0E" w:rsidRPr="00496209" w:rsidRDefault="00B95B0E" w:rsidP="00496209">
            <w:pPr>
              <w:pStyle w:val="TableofAuthorities"/>
            </w:pPr>
            <w:r w:rsidRPr="00496209">
              <w:t>$0.79</w:t>
            </w:r>
          </w:p>
        </w:tc>
        <w:tc>
          <w:tcPr>
            <w:tcW w:w="950" w:type="dxa"/>
            <w:tcBorders>
              <w:top w:val="nil"/>
              <w:left w:val="nil"/>
              <w:bottom w:val="single" w:sz="8" w:space="0" w:color="auto"/>
              <w:right w:val="nil"/>
            </w:tcBorders>
            <w:shd w:val="clear" w:color="auto" w:fill="auto"/>
            <w:vAlign w:val="center"/>
            <w:hideMark/>
          </w:tcPr>
          <w:p w14:paraId="55484E0B" w14:textId="77777777" w:rsidR="00B95B0E" w:rsidRPr="00496209" w:rsidRDefault="00B95B0E" w:rsidP="00496209">
            <w:pPr>
              <w:pStyle w:val="TableofAuthorities"/>
            </w:pPr>
            <w:r w:rsidRPr="00496209">
              <w:t>$19.27</w:t>
            </w:r>
          </w:p>
        </w:tc>
        <w:tc>
          <w:tcPr>
            <w:tcW w:w="851" w:type="dxa"/>
            <w:tcBorders>
              <w:top w:val="nil"/>
              <w:left w:val="nil"/>
              <w:bottom w:val="single" w:sz="8" w:space="0" w:color="auto"/>
              <w:right w:val="nil"/>
            </w:tcBorders>
            <w:shd w:val="clear" w:color="auto" w:fill="auto"/>
            <w:noWrap/>
            <w:vAlign w:val="center"/>
            <w:hideMark/>
          </w:tcPr>
          <w:p w14:paraId="51E6EEEF" w14:textId="3263D6E6" w:rsidR="00B95B0E" w:rsidRPr="00496209" w:rsidRDefault="00B95B0E" w:rsidP="00496209">
            <w:pPr>
              <w:pStyle w:val="TableofAuthorities"/>
            </w:pPr>
            <w:r w:rsidRPr="00496209">
              <w:t>($0.12)</w:t>
            </w:r>
          </w:p>
        </w:tc>
      </w:tr>
      <w:tr w:rsidR="00B95B0E" w:rsidRPr="00496209" w14:paraId="579A8648"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16C00146" w14:textId="77777777" w:rsidR="00B95B0E" w:rsidRPr="00496209" w:rsidRDefault="00B95B0E" w:rsidP="00496209">
            <w:pPr>
              <w:pStyle w:val="TableofAuthorities"/>
            </w:pPr>
            <w:r w:rsidRPr="00496209">
              <w:lastRenderedPageBreak/>
              <w:t>Capital Grants</w:t>
            </w:r>
          </w:p>
        </w:tc>
        <w:tc>
          <w:tcPr>
            <w:tcW w:w="1276" w:type="dxa"/>
            <w:tcBorders>
              <w:top w:val="nil"/>
              <w:left w:val="nil"/>
              <w:bottom w:val="single" w:sz="8" w:space="0" w:color="auto"/>
              <w:right w:val="nil"/>
            </w:tcBorders>
            <w:shd w:val="clear" w:color="auto" w:fill="auto"/>
            <w:vAlign w:val="center"/>
            <w:hideMark/>
          </w:tcPr>
          <w:p w14:paraId="5EFD8CB4" w14:textId="77777777" w:rsidR="00B95B0E" w:rsidRPr="00496209" w:rsidRDefault="00B95B0E" w:rsidP="00496209">
            <w:pPr>
              <w:pStyle w:val="TableofAuthorities"/>
            </w:pPr>
            <w:r w:rsidRPr="00496209">
              <w:t>$1.03</w:t>
            </w:r>
          </w:p>
        </w:tc>
        <w:tc>
          <w:tcPr>
            <w:tcW w:w="992" w:type="dxa"/>
            <w:tcBorders>
              <w:top w:val="nil"/>
              <w:left w:val="nil"/>
              <w:bottom w:val="single" w:sz="8" w:space="0" w:color="auto"/>
              <w:right w:val="nil"/>
            </w:tcBorders>
            <w:shd w:val="clear" w:color="auto" w:fill="auto"/>
            <w:noWrap/>
            <w:vAlign w:val="center"/>
            <w:hideMark/>
          </w:tcPr>
          <w:p w14:paraId="400BD106" w14:textId="77777777" w:rsidR="00B95B0E" w:rsidRPr="00496209" w:rsidRDefault="00B95B0E" w:rsidP="00496209">
            <w:pPr>
              <w:pStyle w:val="TableofAuthorities"/>
            </w:pPr>
            <w:r w:rsidRPr="00496209">
              <w:t>$1.10</w:t>
            </w:r>
          </w:p>
        </w:tc>
        <w:tc>
          <w:tcPr>
            <w:tcW w:w="1460" w:type="dxa"/>
            <w:gridSpan w:val="2"/>
            <w:tcBorders>
              <w:top w:val="nil"/>
              <w:left w:val="nil"/>
              <w:bottom w:val="single" w:sz="8" w:space="0" w:color="auto"/>
              <w:right w:val="nil"/>
            </w:tcBorders>
            <w:shd w:val="clear" w:color="auto" w:fill="auto"/>
            <w:noWrap/>
            <w:vAlign w:val="center"/>
            <w:hideMark/>
          </w:tcPr>
          <w:p w14:paraId="205EA1C8" w14:textId="77777777" w:rsidR="00B95B0E" w:rsidRPr="00496209" w:rsidRDefault="00B95B0E" w:rsidP="00496209">
            <w:pPr>
              <w:pStyle w:val="TableofAuthorities"/>
            </w:pPr>
            <w:r w:rsidRPr="00496209">
              <w:t>$0.07</w:t>
            </w:r>
          </w:p>
        </w:tc>
        <w:tc>
          <w:tcPr>
            <w:tcW w:w="950" w:type="dxa"/>
            <w:tcBorders>
              <w:top w:val="nil"/>
              <w:left w:val="nil"/>
              <w:bottom w:val="single" w:sz="8" w:space="0" w:color="auto"/>
              <w:right w:val="nil"/>
            </w:tcBorders>
            <w:shd w:val="clear" w:color="auto" w:fill="auto"/>
            <w:vAlign w:val="center"/>
            <w:hideMark/>
          </w:tcPr>
          <w:p w14:paraId="69713DE3" w14:textId="77777777" w:rsidR="00B95B0E" w:rsidRPr="00496209" w:rsidRDefault="00B95B0E" w:rsidP="00496209">
            <w:pPr>
              <w:pStyle w:val="TableofAuthorities"/>
            </w:pPr>
            <w:r w:rsidRPr="00496209">
              <w:t>$1.92</w:t>
            </w:r>
          </w:p>
        </w:tc>
        <w:tc>
          <w:tcPr>
            <w:tcW w:w="851" w:type="dxa"/>
            <w:tcBorders>
              <w:top w:val="nil"/>
              <w:left w:val="nil"/>
              <w:bottom w:val="single" w:sz="8" w:space="0" w:color="auto"/>
              <w:right w:val="nil"/>
            </w:tcBorders>
            <w:shd w:val="clear" w:color="auto" w:fill="auto"/>
            <w:noWrap/>
            <w:vAlign w:val="center"/>
            <w:hideMark/>
          </w:tcPr>
          <w:p w14:paraId="38600B33" w14:textId="77777777" w:rsidR="00B95B0E" w:rsidRPr="00496209" w:rsidRDefault="00B95B0E" w:rsidP="00496209">
            <w:pPr>
              <w:pStyle w:val="TableofAuthorities"/>
            </w:pPr>
            <w:r w:rsidRPr="00496209">
              <w:t>$0.82</w:t>
            </w:r>
          </w:p>
        </w:tc>
      </w:tr>
      <w:tr w:rsidR="00B95B0E" w:rsidRPr="00496209" w14:paraId="5B085243" w14:textId="77777777" w:rsidTr="00D949A3">
        <w:trPr>
          <w:trHeight w:val="300"/>
        </w:trPr>
        <w:tc>
          <w:tcPr>
            <w:tcW w:w="3969" w:type="dxa"/>
            <w:tcBorders>
              <w:top w:val="nil"/>
              <w:left w:val="nil"/>
              <w:bottom w:val="single" w:sz="8" w:space="0" w:color="auto"/>
              <w:right w:val="nil"/>
            </w:tcBorders>
            <w:shd w:val="clear" w:color="auto" w:fill="D8DBDB" w:themeFill="background1" w:themeFillShade="E6"/>
            <w:noWrap/>
            <w:vAlign w:val="center"/>
            <w:hideMark/>
          </w:tcPr>
          <w:p w14:paraId="5E1E616E" w14:textId="5DC5242C" w:rsidR="00B95B0E" w:rsidRPr="00496209" w:rsidRDefault="00B05883" w:rsidP="00496209">
            <w:pPr>
              <w:pStyle w:val="TableParagraphbold"/>
            </w:pPr>
            <w:r w:rsidRPr="00496209">
              <w:t>Aust</w:t>
            </w:r>
            <w:r w:rsidR="00052B10" w:rsidRPr="00496209">
              <w:t>ralian Government</w:t>
            </w:r>
            <w:r w:rsidR="00B95B0E" w:rsidRPr="00496209">
              <w:t xml:space="preserve"> funding sources</w:t>
            </w:r>
          </w:p>
        </w:tc>
        <w:tc>
          <w:tcPr>
            <w:tcW w:w="1276" w:type="dxa"/>
            <w:tcBorders>
              <w:top w:val="nil"/>
              <w:left w:val="nil"/>
              <w:bottom w:val="single" w:sz="8" w:space="0" w:color="auto"/>
              <w:right w:val="nil"/>
            </w:tcBorders>
            <w:shd w:val="clear" w:color="auto" w:fill="D8DBDB" w:themeFill="background1" w:themeFillShade="E6"/>
            <w:vAlign w:val="center"/>
            <w:hideMark/>
          </w:tcPr>
          <w:p w14:paraId="4E8C9AAB" w14:textId="77777777" w:rsidR="00B95B0E" w:rsidRPr="00496209" w:rsidRDefault="00B95B0E" w:rsidP="00496209">
            <w:pPr>
              <w:pStyle w:val="TableParagraphbold"/>
            </w:pPr>
            <w:r w:rsidRPr="00496209">
              <w:t>$196.29</w:t>
            </w:r>
          </w:p>
        </w:tc>
        <w:tc>
          <w:tcPr>
            <w:tcW w:w="992" w:type="dxa"/>
            <w:tcBorders>
              <w:top w:val="nil"/>
              <w:left w:val="nil"/>
              <w:bottom w:val="single" w:sz="8" w:space="0" w:color="auto"/>
              <w:right w:val="nil"/>
            </w:tcBorders>
            <w:shd w:val="clear" w:color="auto" w:fill="D8DBDB" w:themeFill="background1" w:themeFillShade="E6"/>
            <w:noWrap/>
            <w:vAlign w:val="center"/>
            <w:hideMark/>
          </w:tcPr>
          <w:p w14:paraId="03166692" w14:textId="77777777" w:rsidR="00B95B0E" w:rsidRPr="00496209" w:rsidRDefault="00B95B0E" w:rsidP="00496209">
            <w:pPr>
              <w:pStyle w:val="TableParagraphbold"/>
            </w:pPr>
            <w:r w:rsidRPr="00496209">
              <w:t>$211.07</w:t>
            </w:r>
          </w:p>
        </w:tc>
        <w:tc>
          <w:tcPr>
            <w:tcW w:w="1460" w:type="dxa"/>
            <w:gridSpan w:val="2"/>
            <w:tcBorders>
              <w:top w:val="nil"/>
              <w:left w:val="nil"/>
              <w:bottom w:val="single" w:sz="8" w:space="0" w:color="auto"/>
              <w:right w:val="nil"/>
            </w:tcBorders>
            <w:shd w:val="clear" w:color="auto" w:fill="D8DBDB" w:themeFill="background1" w:themeFillShade="E6"/>
            <w:noWrap/>
            <w:vAlign w:val="center"/>
            <w:hideMark/>
          </w:tcPr>
          <w:p w14:paraId="0D69975B" w14:textId="77777777" w:rsidR="00B95B0E" w:rsidRPr="00496209" w:rsidRDefault="00B95B0E" w:rsidP="00496209">
            <w:pPr>
              <w:pStyle w:val="TableParagraphbold"/>
            </w:pPr>
            <w:r w:rsidRPr="00496209">
              <w:t>$14.78</w:t>
            </w:r>
          </w:p>
        </w:tc>
        <w:tc>
          <w:tcPr>
            <w:tcW w:w="950" w:type="dxa"/>
            <w:tcBorders>
              <w:top w:val="nil"/>
              <w:left w:val="nil"/>
              <w:bottom w:val="single" w:sz="8" w:space="0" w:color="auto"/>
              <w:right w:val="nil"/>
            </w:tcBorders>
            <w:shd w:val="clear" w:color="auto" w:fill="D8DBDB" w:themeFill="background1" w:themeFillShade="E6"/>
            <w:vAlign w:val="center"/>
            <w:hideMark/>
          </w:tcPr>
          <w:p w14:paraId="26E026E6" w14:textId="77777777" w:rsidR="00B95B0E" w:rsidRPr="00496209" w:rsidRDefault="00B95B0E" w:rsidP="00496209">
            <w:pPr>
              <w:pStyle w:val="TableParagraphbold"/>
            </w:pPr>
            <w:r w:rsidRPr="00496209">
              <w:t>$217.88</w:t>
            </w:r>
          </w:p>
        </w:tc>
        <w:tc>
          <w:tcPr>
            <w:tcW w:w="851" w:type="dxa"/>
            <w:tcBorders>
              <w:top w:val="nil"/>
              <w:left w:val="nil"/>
              <w:bottom w:val="single" w:sz="8" w:space="0" w:color="auto"/>
              <w:right w:val="nil"/>
            </w:tcBorders>
            <w:shd w:val="clear" w:color="auto" w:fill="D8DBDB" w:themeFill="background1" w:themeFillShade="E6"/>
            <w:noWrap/>
            <w:vAlign w:val="center"/>
            <w:hideMark/>
          </w:tcPr>
          <w:p w14:paraId="00410FD0" w14:textId="77777777" w:rsidR="00B95B0E" w:rsidRPr="00496209" w:rsidRDefault="00B95B0E" w:rsidP="00496209">
            <w:pPr>
              <w:pStyle w:val="TableParagraphbold"/>
            </w:pPr>
            <w:r w:rsidRPr="00496209">
              <w:t>$6.81</w:t>
            </w:r>
          </w:p>
        </w:tc>
      </w:tr>
      <w:tr w:rsidR="00B95B0E" w:rsidRPr="00496209" w14:paraId="2FD13309" w14:textId="77777777" w:rsidTr="00D949A3">
        <w:trPr>
          <w:trHeight w:val="300"/>
        </w:trPr>
        <w:tc>
          <w:tcPr>
            <w:tcW w:w="3969" w:type="dxa"/>
            <w:tcBorders>
              <w:top w:val="nil"/>
              <w:left w:val="nil"/>
              <w:bottom w:val="single" w:sz="8" w:space="0" w:color="auto"/>
              <w:right w:val="nil"/>
            </w:tcBorders>
            <w:shd w:val="clear" w:color="auto" w:fill="D8DBDB" w:themeFill="background1" w:themeFillShade="E6"/>
            <w:noWrap/>
            <w:vAlign w:val="center"/>
            <w:hideMark/>
          </w:tcPr>
          <w:p w14:paraId="6948BAEA" w14:textId="77777777" w:rsidR="00B95B0E" w:rsidRPr="00496209" w:rsidRDefault="00B95B0E" w:rsidP="00496209">
            <w:pPr>
              <w:pStyle w:val="TableParagraphbold"/>
            </w:pPr>
            <w:r w:rsidRPr="00496209">
              <w:t>Resident</w:t>
            </w:r>
          </w:p>
        </w:tc>
        <w:tc>
          <w:tcPr>
            <w:tcW w:w="1276" w:type="dxa"/>
            <w:tcBorders>
              <w:top w:val="nil"/>
              <w:left w:val="nil"/>
              <w:bottom w:val="single" w:sz="8" w:space="0" w:color="auto"/>
              <w:right w:val="nil"/>
            </w:tcBorders>
            <w:shd w:val="clear" w:color="auto" w:fill="D8DBDB" w:themeFill="background1" w:themeFillShade="E6"/>
            <w:vAlign w:val="center"/>
            <w:hideMark/>
          </w:tcPr>
          <w:p w14:paraId="2637A4C9" w14:textId="77777777" w:rsidR="00B95B0E" w:rsidRPr="00496209" w:rsidRDefault="00B95B0E" w:rsidP="00496209">
            <w:pPr>
              <w:pStyle w:val="TableParagraphbold"/>
            </w:pPr>
            <w:r w:rsidRPr="00496209">
              <w:t> </w:t>
            </w:r>
          </w:p>
        </w:tc>
        <w:tc>
          <w:tcPr>
            <w:tcW w:w="992" w:type="dxa"/>
            <w:tcBorders>
              <w:top w:val="nil"/>
              <w:left w:val="nil"/>
              <w:bottom w:val="single" w:sz="8" w:space="0" w:color="auto"/>
              <w:right w:val="nil"/>
            </w:tcBorders>
            <w:shd w:val="clear" w:color="auto" w:fill="D8DBDB" w:themeFill="background1" w:themeFillShade="E6"/>
            <w:noWrap/>
            <w:vAlign w:val="center"/>
            <w:hideMark/>
          </w:tcPr>
          <w:p w14:paraId="3FB97D93" w14:textId="77777777" w:rsidR="00B95B0E" w:rsidRPr="00496209" w:rsidRDefault="00B95B0E" w:rsidP="00496209">
            <w:pPr>
              <w:pStyle w:val="TableParagraphbold"/>
            </w:pPr>
            <w:r w:rsidRPr="00496209">
              <w:t> </w:t>
            </w:r>
          </w:p>
        </w:tc>
        <w:tc>
          <w:tcPr>
            <w:tcW w:w="1460" w:type="dxa"/>
            <w:gridSpan w:val="2"/>
            <w:tcBorders>
              <w:top w:val="nil"/>
              <w:left w:val="nil"/>
              <w:bottom w:val="single" w:sz="8" w:space="0" w:color="auto"/>
              <w:right w:val="nil"/>
            </w:tcBorders>
            <w:shd w:val="clear" w:color="auto" w:fill="D8DBDB" w:themeFill="background1" w:themeFillShade="E6"/>
            <w:noWrap/>
            <w:vAlign w:val="center"/>
            <w:hideMark/>
          </w:tcPr>
          <w:p w14:paraId="4A133FFA" w14:textId="77777777" w:rsidR="00B95B0E" w:rsidRPr="00496209" w:rsidRDefault="00B95B0E" w:rsidP="00496209">
            <w:pPr>
              <w:pStyle w:val="TableParagraphbold"/>
            </w:pPr>
            <w:r w:rsidRPr="00496209">
              <w:t> </w:t>
            </w:r>
          </w:p>
        </w:tc>
        <w:tc>
          <w:tcPr>
            <w:tcW w:w="950" w:type="dxa"/>
            <w:tcBorders>
              <w:top w:val="nil"/>
              <w:left w:val="nil"/>
              <w:bottom w:val="single" w:sz="8" w:space="0" w:color="auto"/>
              <w:right w:val="nil"/>
            </w:tcBorders>
            <w:shd w:val="clear" w:color="auto" w:fill="D8DBDB" w:themeFill="background1" w:themeFillShade="E6"/>
            <w:vAlign w:val="center"/>
            <w:hideMark/>
          </w:tcPr>
          <w:p w14:paraId="5F8A2FE9" w14:textId="77777777" w:rsidR="00B95B0E" w:rsidRPr="00496209" w:rsidRDefault="00B95B0E" w:rsidP="00496209">
            <w:pPr>
              <w:pStyle w:val="TableParagraphbold"/>
            </w:pPr>
            <w:r w:rsidRPr="00496209">
              <w:t> </w:t>
            </w:r>
          </w:p>
        </w:tc>
        <w:tc>
          <w:tcPr>
            <w:tcW w:w="851" w:type="dxa"/>
            <w:tcBorders>
              <w:top w:val="nil"/>
              <w:left w:val="nil"/>
              <w:bottom w:val="single" w:sz="8" w:space="0" w:color="auto"/>
              <w:right w:val="nil"/>
            </w:tcBorders>
            <w:shd w:val="clear" w:color="auto" w:fill="D8DBDB" w:themeFill="background1" w:themeFillShade="E6"/>
            <w:noWrap/>
            <w:vAlign w:val="center"/>
            <w:hideMark/>
          </w:tcPr>
          <w:p w14:paraId="535CF288" w14:textId="77777777" w:rsidR="00B95B0E" w:rsidRPr="00496209" w:rsidRDefault="00B95B0E" w:rsidP="00496209">
            <w:pPr>
              <w:pStyle w:val="TableParagraphbold"/>
            </w:pPr>
            <w:r w:rsidRPr="00496209">
              <w:t> </w:t>
            </w:r>
          </w:p>
        </w:tc>
      </w:tr>
      <w:tr w:rsidR="00B95B0E" w:rsidRPr="00496209" w14:paraId="7A5AF66C"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079F9BC4" w14:textId="77777777" w:rsidR="00B95B0E" w:rsidRPr="00496209" w:rsidRDefault="00B95B0E" w:rsidP="00496209">
            <w:pPr>
              <w:pStyle w:val="TableofAuthorities"/>
            </w:pPr>
            <w:r w:rsidRPr="00496209">
              <w:t>Resident basic daily fee</w:t>
            </w:r>
          </w:p>
        </w:tc>
        <w:tc>
          <w:tcPr>
            <w:tcW w:w="1276" w:type="dxa"/>
            <w:tcBorders>
              <w:top w:val="nil"/>
              <w:left w:val="nil"/>
              <w:bottom w:val="single" w:sz="8" w:space="0" w:color="auto"/>
              <w:right w:val="nil"/>
            </w:tcBorders>
            <w:shd w:val="clear" w:color="auto" w:fill="auto"/>
            <w:vAlign w:val="center"/>
            <w:hideMark/>
          </w:tcPr>
          <w:p w14:paraId="11276A39" w14:textId="77777777" w:rsidR="00B95B0E" w:rsidRPr="00496209" w:rsidRDefault="00B95B0E" w:rsidP="00496209">
            <w:pPr>
              <w:pStyle w:val="TableofAuthorities"/>
            </w:pPr>
            <w:r w:rsidRPr="00496209">
              <w:t>$51.62</w:t>
            </w:r>
          </w:p>
        </w:tc>
        <w:tc>
          <w:tcPr>
            <w:tcW w:w="992" w:type="dxa"/>
            <w:tcBorders>
              <w:top w:val="nil"/>
              <w:left w:val="nil"/>
              <w:bottom w:val="single" w:sz="8" w:space="0" w:color="auto"/>
              <w:right w:val="nil"/>
            </w:tcBorders>
            <w:shd w:val="clear" w:color="auto" w:fill="auto"/>
            <w:noWrap/>
            <w:vAlign w:val="center"/>
            <w:hideMark/>
          </w:tcPr>
          <w:p w14:paraId="3022D324" w14:textId="77777777" w:rsidR="00B95B0E" w:rsidRPr="00496209" w:rsidRDefault="00B95B0E" w:rsidP="00496209">
            <w:pPr>
              <w:pStyle w:val="TableofAuthorities"/>
            </w:pPr>
            <w:r w:rsidRPr="00496209">
              <w:t>$52.18</w:t>
            </w:r>
          </w:p>
        </w:tc>
        <w:tc>
          <w:tcPr>
            <w:tcW w:w="1460" w:type="dxa"/>
            <w:gridSpan w:val="2"/>
            <w:tcBorders>
              <w:top w:val="nil"/>
              <w:left w:val="nil"/>
              <w:bottom w:val="single" w:sz="8" w:space="0" w:color="auto"/>
              <w:right w:val="nil"/>
            </w:tcBorders>
            <w:shd w:val="clear" w:color="auto" w:fill="auto"/>
            <w:noWrap/>
            <w:vAlign w:val="center"/>
            <w:hideMark/>
          </w:tcPr>
          <w:p w14:paraId="430ADC07" w14:textId="77777777" w:rsidR="00B95B0E" w:rsidRPr="00496209" w:rsidRDefault="00B95B0E" w:rsidP="00496209">
            <w:pPr>
              <w:pStyle w:val="TableofAuthorities"/>
            </w:pPr>
            <w:r w:rsidRPr="00496209">
              <w:t>$0.56</w:t>
            </w:r>
          </w:p>
        </w:tc>
        <w:tc>
          <w:tcPr>
            <w:tcW w:w="950" w:type="dxa"/>
            <w:tcBorders>
              <w:top w:val="nil"/>
              <w:left w:val="nil"/>
              <w:bottom w:val="single" w:sz="8" w:space="0" w:color="auto"/>
              <w:right w:val="nil"/>
            </w:tcBorders>
            <w:shd w:val="clear" w:color="auto" w:fill="auto"/>
            <w:vAlign w:val="center"/>
            <w:hideMark/>
          </w:tcPr>
          <w:p w14:paraId="12A7CB1E" w14:textId="77777777" w:rsidR="00B95B0E" w:rsidRPr="00496209" w:rsidRDefault="00B95B0E" w:rsidP="00496209">
            <w:pPr>
              <w:pStyle w:val="TableofAuthorities"/>
            </w:pPr>
            <w:r w:rsidRPr="00496209">
              <w:t>$53.17</w:t>
            </w:r>
          </w:p>
        </w:tc>
        <w:tc>
          <w:tcPr>
            <w:tcW w:w="851" w:type="dxa"/>
            <w:tcBorders>
              <w:top w:val="nil"/>
              <w:left w:val="nil"/>
              <w:bottom w:val="single" w:sz="8" w:space="0" w:color="auto"/>
              <w:right w:val="nil"/>
            </w:tcBorders>
            <w:shd w:val="clear" w:color="auto" w:fill="auto"/>
            <w:noWrap/>
            <w:vAlign w:val="center"/>
            <w:hideMark/>
          </w:tcPr>
          <w:p w14:paraId="4A27F7D1" w14:textId="77777777" w:rsidR="00B95B0E" w:rsidRPr="00496209" w:rsidRDefault="00B95B0E" w:rsidP="00496209">
            <w:pPr>
              <w:pStyle w:val="TableofAuthorities"/>
            </w:pPr>
            <w:r w:rsidRPr="00496209">
              <w:t>$0.99</w:t>
            </w:r>
          </w:p>
        </w:tc>
      </w:tr>
      <w:tr w:rsidR="00B95B0E" w:rsidRPr="00496209" w14:paraId="46CE0752"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0EAC83D9" w14:textId="77777777" w:rsidR="00B95B0E" w:rsidRPr="00496209" w:rsidRDefault="00B95B0E" w:rsidP="00496209">
            <w:pPr>
              <w:pStyle w:val="TableofAuthorities"/>
            </w:pPr>
            <w:r w:rsidRPr="00496209">
              <w:t>Resident means tested fee</w:t>
            </w:r>
          </w:p>
        </w:tc>
        <w:tc>
          <w:tcPr>
            <w:tcW w:w="1276" w:type="dxa"/>
            <w:tcBorders>
              <w:top w:val="nil"/>
              <w:left w:val="nil"/>
              <w:bottom w:val="single" w:sz="8" w:space="0" w:color="auto"/>
              <w:right w:val="nil"/>
            </w:tcBorders>
            <w:shd w:val="clear" w:color="auto" w:fill="auto"/>
            <w:vAlign w:val="center"/>
            <w:hideMark/>
          </w:tcPr>
          <w:p w14:paraId="0B4AE3FE" w14:textId="77777777" w:rsidR="00B95B0E" w:rsidRPr="00496209" w:rsidRDefault="00B95B0E" w:rsidP="00496209">
            <w:pPr>
              <w:pStyle w:val="TableofAuthorities"/>
            </w:pPr>
            <w:r w:rsidRPr="00496209">
              <w:t>$9.36</w:t>
            </w:r>
          </w:p>
        </w:tc>
        <w:tc>
          <w:tcPr>
            <w:tcW w:w="992" w:type="dxa"/>
            <w:tcBorders>
              <w:top w:val="nil"/>
              <w:left w:val="nil"/>
              <w:bottom w:val="single" w:sz="8" w:space="0" w:color="auto"/>
              <w:right w:val="nil"/>
            </w:tcBorders>
            <w:shd w:val="clear" w:color="auto" w:fill="auto"/>
            <w:noWrap/>
            <w:vAlign w:val="center"/>
            <w:hideMark/>
          </w:tcPr>
          <w:p w14:paraId="531937AD" w14:textId="77777777" w:rsidR="00B95B0E" w:rsidRPr="00496209" w:rsidRDefault="00B95B0E" w:rsidP="00496209">
            <w:pPr>
              <w:pStyle w:val="TableofAuthorities"/>
            </w:pPr>
            <w:r w:rsidRPr="00496209">
              <w:t>$9.53</w:t>
            </w:r>
          </w:p>
        </w:tc>
        <w:tc>
          <w:tcPr>
            <w:tcW w:w="1460" w:type="dxa"/>
            <w:gridSpan w:val="2"/>
            <w:tcBorders>
              <w:top w:val="nil"/>
              <w:left w:val="nil"/>
              <w:bottom w:val="single" w:sz="8" w:space="0" w:color="auto"/>
              <w:right w:val="nil"/>
            </w:tcBorders>
            <w:shd w:val="clear" w:color="auto" w:fill="auto"/>
            <w:noWrap/>
            <w:vAlign w:val="center"/>
            <w:hideMark/>
          </w:tcPr>
          <w:p w14:paraId="0979CEBA" w14:textId="77777777" w:rsidR="00B95B0E" w:rsidRPr="00496209" w:rsidRDefault="00B95B0E" w:rsidP="00496209">
            <w:pPr>
              <w:pStyle w:val="TableofAuthorities"/>
            </w:pPr>
            <w:r w:rsidRPr="00496209">
              <w:t>$0.17</w:t>
            </w:r>
          </w:p>
        </w:tc>
        <w:tc>
          <w:tcPr>
            <w:tcW w:w="950" w:type="dxa"/>
            <w:tcBorders>
              <w:top w:val="nil"/>
              <w:left w:val="nil"/>
              <w:bottom w:val="single" w:sz="8" w:space="0" w:color="auto"/>
              <w:right w:val="nil"/>
            </w:tcBorders>
            <w:shd w:val="clear" w:color="auto" w:fill="auto"/>
            <w:vAlign w:val="center"/>
            <w:hideMark/>
          </w:tcPr>
          <w:p w14:paraId="20FC781C" w14:textId="77777777" w:rsidR="00B95B0E" w:rsidRPr="00496209" w:rsidRDefault="00B95B0E" w:rsidP="00496209">
            <w:pPr>
              <w:pStyle w:val="TableofAuthorities"/>
            </w:pPr>
            <w:r w:rsidRPr="00496209">
              <w:t>$9.88</w:t>
            </w:r>
          </w:p>
        </w:tc>
        <w:tc>
          <w:tcPr>
            <w:tcW w:w="851" w:type="dxa"/>
            <w:tcBorders>
              <w:top w:val="nil"/>
              <w:left w:val="nil"/>
              <w:bottom w:val="single" w:sz="8" w:space="0" w:color="auto"/>
              <w:right w:val="nil"/>
            </w:tcBorders>
            <w:shd w:val="clear" w:color="auto" w:fill="auto"/>
            <w:noWrap/>
            <w:vAlign w:val="center"/>
            <w:hideMark/>
          </w:tcPr>
          <w:p w14:paraId="1098890A" w14:textId="77777777" w:rsidR="00B95B0E" w:rsidRPr="00496209" w:rsidRDefault="00B95B0E" w:rsidP="00496209">
            <w:pPr>
              <w:pStyle w:val="TableofAuthorities"/>
            </w:pPr>
            <w:r w:rsidRPr="00496209">
              <w:t>$0.36</w:t>
            </w:r>
          </w:p>
        </w:tc>
      </w:tr>
      <w:tr w:rsidR="00B95B0E" w:rsidRPr="00496209" w14:paraId="47D44B18"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68FBA197" w14:textId="77777777" w:rsidR="00B95B0E" w:rsidRPr="00496209" w:rsidRDefault="00B95B0E" w:rsidP="00496209">
            <w:pPr>
              <w:pStyle w:val="TableofAuthorities"/>
            </w:pPr>
            <w:r w:rsidRPr="00496209">
              <w:t>Resident other care fees</w:t>
            </w:r>
          </w:p>
        </w:tc>
        <w:tc>
          <w:tcPr>
            <w:tcW w:w="1276" w:type="dxa"/>
            <w:tcBorders>
              <w:top w:val="nil"/>
              <w:left w:val="nil"/>
              <w:bottom w:val="single" w:sz="8" w:space="0" w:color="auto"/>
              <w:right w:val="nil"/>
            </w:tcBorders>
            <w:shd w:val="clear" w:color="auto" w:fill="auto"/>
            <w:vAlign w:val="center"/>
            <w:hideMark/>
          </w:tcPr>
          <w:p w14:paraId="1872FEAA" w14:textId="77777777" w:rsidR="00B95B0E" w:rsidRPr="00496209" w:rsidRDefault="00B95B0E" w:rsidP="00496209">
            <w:pPr>
              <w:pStyle w:val="TableofAuthorities"/>
            </w:pPr>
            <w:r w:rsidRPr="00496209">
              <w:t>$0.76</w:t>
            </w:r>
          </w:p>
        </w:tc>
        <w:tc>
          <w:tcPr>
            <w:tcW w:w="992" w:type="dxa"/>
            <w:tcBorders>
              <w:top w:val="nil"/>
              <w:left w:val="nil"/>
              <w:bottom w:val="single" w:sz="8" w:space="0" w:color="auto"/>
              <w:right w:val="nil"/>
            </w:tcBorders>
            <w:shd w:val="clear" w:color="auto" w:fill="auto"/>
            <w:noWrap/>
            <w:vAlign w:val="center"/>
            <w:hideMark/>
          </w:tcPr>
          <w:p w14:paraId="0EA08D50" w14:textId="77777777" w:rsidR="00B95B0E" w:rsidRPr="00496209" w:rsidRDefault="00B95B0E" w:rsidP="00496209">
            <w:pPr>
              <w:pStyle w:val="TableofAuthorities"/>
            </w:pPr>
            <w:r w:rsidRPr="00496209">
              <w:t>$1.72</w:t>
            </w:r>
          </w:p>
        </w:tc>
        <w:tc>
          <w:tcPr>
            <w:tcW w:w="1460" w:type="dxa"/>
            <w:gridSpan w:val="2"/>
            <w:tcBorders>
              <w:top w:val="nil"/>
              <w:left w:val="nil"/>
              <w:bottom w:val="single" w:sz="8" w:space="0" w:color="auto"/>
              <w:right w:val="nil"/>
            </w:tcBorders>
            <w:shd w:val="clear" w:color="auto" w:fill="auto"/>
            <w:noWrap/>
            <w:vAlign w:val="center"/>
            <w:hideMark/>
          </w:tcPr>
          <w:p w14:paraId="4059E977" w14:textId="77777777" w:rsidR="00B95B0E" w:rsidRPr="00496209" w:rsidRDefault="00B95B0E" w:rsidP="00496209">
            <w:pPr>
              <w:pStyle w:val="TableofAuthorities"/>
            </w:pPr>
            <w:r w:rsidRPr="00496209">
              <w:t>$0.96</w:t>
            </w:r>
          </w:p>
        </w:tc>
        <w:tc>
          <w:tcPr>
            <w:tcW w:w="950" w:type="dxa"/>
            <w:tcBorders>
              <w:top w:val="nil"/>
              <w:left w:val="nil"/>
              <w:bottom w:val="single" w:sz="8" w:space="0" w:color="auto"/>
              <w:right w:val="nil"/>
            </w:tcBorders>
            <w:shd w:val="clear" w:color="auto" w:fill="auto"/>
            <w:vAlign w:val="center"/>
            <w:hideMark/>
          </w:tcPr>
          <w:p w14:paraId="545E44EF" w14:textId="77777777" w:rsidR="00B95B0E" w:rsidRPr="00496209" w:rsidRDefault="00B95B0E" w:rsidP="00496209">
            <w:pPr>
              <w:pStyle w:val="TableofAuthorities"/>
            </w:pPr>
            <w:r w:rsidRPr="00496209">
              <w:t>$1.66</w:t>
            </w:r>
          </w:p>
        </w:tc>
        <w:tc>
          <w:tcPr>
            <w:tcW w:w="851" w:type="dxa"/>
            <w:tcBorders>
              <w:top w:val="nil"/>
              <w:left w:val="nil"/>
              <w:bottom w:val="single" w:sz="8" w:space="0" w:color="auto"/>
              <w:right w:val="nil"/>
            </w:tcBorders>
            <w:shd w:val="clear" w:color="auto" w:fill="auto"/>
            <w:noWrap/>
            <w:vAlign w:val="center"/>
            <w:hideMark/>
          </w:tcPr>
          <w:p w14:paraId="3F876256" w14:textId="2F3F6F18" w:rsidR="00B95B0E" w:rsidRPr="00496209" w:rsidRDefault="00B95B0E" w:rsidP="00496209">
            <w:pPr>
              <w:pStyle w:val="TableofAuthorities"/>
            </w:pPr>
            <w:r w:rsidRPr="00496209">
              <w:t>($0.06)</w:t>
            </w:r>
          </w:p>
        </w:tc>
      </w:tr>
      <w:tr w:rsidR="00B95B0E" w:rsidRPr="00496209" w14:paraId="42F4792C"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3651A6FE" w14:textId="77777777" w:rsidR="00B95B0E" w:rsidRPr="00496209" w:rsidRDefault="00B95B0E" w:rsidP="00496209">
            <w:pPr>
              <w:pStyle w:val="TableofAuthorities"/>
            </w:pPr>
            <w:r w:rsidRPr="00496209">
              <w:t>Accommodation payments from residents</w:t>
            </w:r>
          </w:p>
        </w:tc>
        <w:tc>
          <w:tcPr>
            <w:tcW w:w="1276" w:type="dxa"/>
            <w:tcBorders>
              <w:top w:val="nil"/>
              <w:left w:val="nil"/>
              <w:bottom w:val="single" w:sz="8" w:space="0" w:color="auto"/>
              <w:right w:val="nil"/>
            </w:tcBorders>
            <w:shd w:val="clear" w:color="auto" w:fill="auto"/>
            <w:vAlign w:val="center"/>
            <w:hideMark/>
          </w:tcPr>
          <w:p w14:paraId="75803EDA" w14:textId="77777777" w:rsidR="00B95B0E" w:rsidRPr="00496209" w:rsidRDefault="00B95B0E" w:rsidP="00496209">
            <w:pPr>
              <w:pStyle w:val="TableofAuthorities"/>
            </w:pPr>
            <w:r w:rsidRPr="00496209">
              <w:t>$12.25</w:t>
            </w:r>
          </w:p>
        </w:tc>
        <w:tc>
          <w:tcPr>
            <w:tcW w:w="992" w:type="dxa"/>
            <w:tcBorders>
              <w:top w:val="nil"/>
              <w:left w:val="nil"/>
              <w:bottom w:val="single" w:sz="8" w:space="0" w:color="auto"/>
              <w:right w:val="nil"/>
            </w:tcBorders>
            <w:shd w:val="clear" w:color="auto" w:fill="auto"/>
            <w:noWrap/>
            <w:vAlign w:val="center"/>
            <w:hideMark/>
          </w:tcPr>
          <w:p w14:paraId="53F83691" w14:textId="77777777" w:rsidR="00B95B0E" w:rsidRPr="00496209" w:rsidRDefault="00B95B0E" w:rsidP="00496209">
            <w:pPr>
              <w:pStyle w:val="TableofAuthorities"/>
            </w:pPr>
            <w:r w:rsidRPr="00496209">
              <w:t>$12.01</w:t>
            </w:r>
          </w:p>
        </w:tc>
        <w:tc>
          <w:tcPr>
            <w:tcW w:w="1460" w:type="dxa"/>
            <w:gridSpan w:val="2"/>
            <w:tcBorders>
              <w:top w:val="nil"/>
              <w:left w:val="nil"/>
              <w:bottom w:val="single" w:sz="8" w:space="0" w:color="auto"/>
              <w:right w:val="nil"/>
            </w:tcBorders>
            <w:shd w:val="clear" w:color="auto" w:fill="auto"/>
            <w:noWrap/>
            <w:vAlign w:val="center"/>
            <w:hideMark/>
          </w:tcPr>
          <w:p w14:paraId="74523ECD" w14:textId="2C26C48A" w:rsidR="00B95B0E" w:rsidRPr="00496209" w:rsidRDefault="00B95B0E" w:rsidP="00496209">
            <w:pPr>
              <w:pStyle w:val="TableofAuthorities"/>
            </w:pPr>
            <w:r w:rsidRPr="00496209">
              <w:t>($0.24)</w:t>
            </w:r>
          </w:p>
        </w:tc>
        <w:tc>
          <w:tcPr>
            <w:tcW w:w="950" w:type="dxa"/>
            <w:tcBorders>
              <w:top w:val="nil"/>
              <w:left w:val="nil"/>
              <w:bottom w:val="single" w:sz="8" w:space="0" w:color="auto"/>
              <w:right w:val="nil"/>
            </w:tcBorders>
            <w:shd w:val="clear" w:color="auto" w:fill="auto"/>
            <w:vAlign w:val="center"/>
            <w:hideMark/>
          </w:tcPr>
          <w:p w14:paraId="12402E6B" w14:textId="77777777" w:rsidR="00B95B0E" w:rsidRPr="00496209" w:rsidRDefault="00B95B0E" w:rsidP="00496209">
            <w:pPr>
              <w:pStyle w:val="TableofAuthorities"/>
            </w:pPr>
            <w:r w:rsidRPr="00496209">
              <w:t>$12.14</w:t>
            </w:r>
          </w:p>
        </w:tc>
        <w:tc>
          <w:tcPr>
            <w:tcW w:w="851" w:type="dxa"/>
            <w:tcBorders>
              <w:top w:val="nil"/>
              <w:left w:val="nil"/>
              <w:bottom w:val="single" w:sz="8" w:space="0" w:color="auto"/>
              <w:right w:val="nil"/>
            </w:tcBorders>
            <w:shd w:val="clear" w:color="auto" w:fill="auto"/>
            <w:noWrap/>
            <w:vAlign w:val="center"/>
            <w:hideMark/>
          </w:tcPr>
          <w:p w14:paraId="434180BC" w14:textId="77777777" w:rsidR="00B95B0E" w:rsidRPr="00496209" w:rsidRDefault="00B95B0E" w:rsidP="00496209">
            <w:pPr>
              <w:pStyle w:val="TableofAuthorities"/>
            </w:pPr>
            <w:r w:rsidRPr="00496209">
              <w:t>$0.13</w:t>
            </w:r>
          </w:p>
        </w:tc>
      </w:tr>
      <w:tr w:rsidR="00B95B0E" w:rsidRPr="00496209" w14:paraId="404C1F95"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37D974C3" w14:textId="77777777" w:rsidR="00B95B0E" w:rsidRPr="00496209" w:rsidRDefault="00B95B0E" w:rsidP="00496209">
            <w:pPr>
              <w:pStyle w:val="TableofAuthorities"/>
            </w:pPr>
            <w:r w:rsidRPr="00496209">
              <w:t>Extra service fee</w:t>
            </w:r>
          </w:p>
        </w:tc>
        <w:tc>
          <w:tcPr>
            <w:tcW w:w="1276" w:type="dxa"/>
            <w:tcBorders>
              <w:top w:val="nil"/>
              <w:left w:val="nil"/>
              <w:bottom w:val="single" w:sz="8" w:space="0" w:color="auto"/>
              <w:right w:val="nil"/>
            </w:tcBorders>
            <w:shd w:val="clear" w:color="auto" w:fill="auto"/>
            <w:vAlign w:val="center"/>
            <w:hideMark/>
          </w:tcPr>
          <w:p w14:paraId="2C612645" w14:textId="77777777" w:rsidR="00B95B0E" w:rsidRPr="00496209" w:rsidRDefault="00B95B0E" w:rsidP="00496209">
            <w:pPr>
              <w:pStyle w:val="TableofAuthorities"/>
            </w:pPr>
            <w:r w:rsidRPr="00496209">
              <w:t>$1.78</w:t>
            </w:r>
          </w:p>
        </w:tc>
        <w:tc>
          <w:tcPr>
            <w:tcW w:w="992" w:type="dxa"/>
            <w:tcBorders>
              <w:top w:val="nil"/>
              <w:left w:val="nil"/>
              <w:bottom w:val="single" w:sz="8" w:space="0" w:color="auto"/>
              <w:right w:val="nil"/>
            </w:tcBorders>
            <w:shd w:val="clear" w:color="auto" w:fill="auto"/>
            <w:noWrap/>
            <w:vAlign w:val="center"/>
            <w:hideMark/>
          </w:tcPr>
          <w:p w14:paraId="2605FF35" w14:textId="77777777" w:rsidR="00B95B0E" w:rsidRPr="00496209" w:rsidRDefault="00B95B0E" w:rsidP="00496209">
            <w:pPr>
              <w:pStyle w:val="TableofAuthorities"/>
            </w:pPr>
            <w:r w:rsidRPr="00496209">
              <w:t>$1.79</w:t>
            </w:r>
          </w:p>
        </w:tc>
        <w:tc>
          <w:tcPr>
            <w:tcW w:w="1460" w:type="dxa"/>
            <w:gridSpan w:val="2"/>
            <w:tcBorders>
              <w:top w:val="nil"/>
              <w:left w:val="nil"/>
              <w:bottom w:val="single" w:sz="8" w:space="0" w:color="auto"/>
              <w:right w:val="nil"/>
            </w:tcBorders>
            <w:shd w:val="clear" w:color="auto" w:fill="auto"/>
            <w:noWrap/>
            <w:vAlign w:val="center"/>
            <w:hideMark/>
          </w:tcPr>
          <w:p w14:paraId="4F1C5B6F" w14:textId="77777777" w:rsidR="00B95B0E" w:rsidRPr="00496209" w:rsidRDefault="00B95B0E" w:rsidP="00496209">
            <w:pPr>
              <w:pStyle w:val="TableofAuthorities"/>
            </w:pPr>
            <w:r w:rsidRPr="00496209">
              <w:t>$0.01</w:t>
            </w:r>
          </w:p>
        </w:tc>
        <w:tc>
          <w:tcPr>
            <w:tcW w:w="950" w:type="dxa"/>
            <w:tcBorders>
              <w:top w:val="nil"/>
              <w:left w:val="nil"/>
              <w:bottom w:val="single" w:sz="8" w:space="0" w:color="auto"/>
              <w:right w:val="nil"/>
            </w:tcBorders>
            <w:shd w:val="clear" w:color="auto" w:fill="auto"/>
            <w:vAlign w:val="center"/>
            <w:hideMark/>
          </w:tcPr>
          <w:p w14:paraId="0DECA099" w14:textId="77777777" w:rsidR="00B95B0E" w:rsidRPr="00496209" w:rsidRDefault="00B95B0E" w:rsidP="00496209">
            <w:pPr>
              <w:pStyle w:val="TableofAuthorities"/>
            </w:pPr>
            <w:r w:rsidRPr="00496209">
              <w:t>$1.83</w:t>
            </w:r>
          </w:p>
        </w:tc>
        <w:tc>
          <w:tcPr>
            <w:tcW w:w="851" w:type="dxa"/>
            <w:tcBorders>
              <w:top w:val="nil"/>
              <w:left w:val="nil"/>
              <w:bottom w:val="single" w:sz="8" w:space="0" w:color="auto"/>
              <w:right w:val="nil"/>
            </w:tcBorders>
            <w:shd w:val="clear" w:color="auto" w:fill="auto"/>
            <w:noWrap/>
            <w:vAlign w:val="center"/>
            <w:hideMark/>
          </w:tcPr>
          <w:p w14:paraId="49D9B6F1" w14:textId="77777777" w:rsidR="00B95B0E" w:rsidRPr="00496209" w:rsidRDefault="00B95B0E" w:rsidP="00496209">
            <w:pPr>
              <w:pStyle w:val="TableofAuthorities"/>
            </w:pPr>
            <w:r w:rsidRPr="00496209">
              <w:t>$0.04</w:t>
            </w:r>
          </w:p>
        </w:tc>
      </w:tr>
      <w:tr w:rsidR="00B95B0E" w:rsidRPr="00496209" w14:paraId="312167E5"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43645D69" w14:textId="77777777" w:rsidR="00B95B0E" w:rsidRPr="00496209" w:rsidRDefault="00B95B0E" w:rsidP="00496209">
            <w:pPr>
              <w:pStyle w:val="TableofAuthorities"/>
            </w:pPr>
            <w:r w:rsidRPr="00496209">
              <w:t>Additional services fees</w:t>
            </w:r>
          </w:p>
        </w:tc>
        <w:tc>
          <w:tcPr>
            <w:tcW w:w="1276" w:type="dxa"/>
            <w:tcBorders>
              <w:top w:val="nil"/>
              <w:left w:val="nil"/>
              <w:bottom w:val="single" w:sz="8" w:space="0" w:color="auto"/>
              <w:right w:val="nil"/>
            </w:tcBorders>
            <w:shd w:val="clear" w:color="auto" w:fill="auto"/>
            <w:vAlign w:val="center"/>
            <w:hideMark/>
          </w:tcPr>
          <w:p w14:paraId="7C606D84" w14:textId="77777777" w:rsidR="00B95B0E" w:rsidRPr="00496209" w:rsidRDefault="00B95B0E" w:rsidP="00496209">
            <w:pPr>
              <w:pStyle w:val="TableofAuthorities"/>
            </w:pPr>
            <w:r w:rsidRPr="00496209">
              <w:t>$2.28</w:t>
            </w:r>
          </w:p>
        </w:tc>
        <w:tc>
          <w:tcPr>
            <w:tcW w:w="992" w:type="dxa"/>
            <w:tcBorders>
              <w:top w:val="nil"/>
              <w:left w:val="nil"/>
              <w:bottom w:val="single" w:sz="8" w:space="0" w:color="auto"/>
              <w:right w:val="nil"/>
            </w:tcBorders>
            <w:shd w:val="clear" w:color="auto" w:fill="auto"/>
            <w:noWrap/>
            <w:vAlign w:val="center"/>
            <w:hideMark/>
          </w:tcPr>
          <w:p w14:paraId="1A566222" w14:textId="77777777" w:rsidR="00B95B0E" w:rsidRPr="00496209" w:rsidRDefault="00B95B0E" w:rsidP="00496209">
            <w:pPr>
              <w:pStyle w:val="TableofAuthorities"/>
            </w:pPr>
            <w:r w:rsidRPr="00496209">
              <w:t>$2.35</w:t>
            </w:r>
          </w:p>
        </w:tc>
        <w:tc>
          <w:tcPr>
            <w:tcW w:w="1460" w:type="dxa"/>
            <w:gridSpan w:val="2"/>
            <w:tcBorders>
              <w:top w:val="nil"/>
              <w:left w:val="nil"/>
              <w:bottom w:val="single" w:sz="8" w:space="0" w:color="auto"/>
              <w:right w:val="nil"/>
            </w:tcBorders>
            <w:shd w:val="clear" w:color="auto" w:fill="auto"/>
            <w:noWrap/>
            <w:vAlign w:val="center"/>
            <w:hideMark/>
          </w:tcPr>
          <w:p w14:paraId="7EFF6B85" w14:textId="77777777" w:rsidR="00B95B0E" w:rsidRPr="00496209" w:rsidRDefault="00B95B0E" w:rsidP="00496209">
            <w:pPr>
              <w:pStyle w:val="TableofAuthorities"/>
            </w:pPr>
            <w:r w:rsidRPr="00496209">
              <w:t>$0.07</w:t>
            </w:r>
          </w:p>
        </w:tc>
        <w:tc>
          <w:tcPr>
            <w:tcW w:w="950" w:type="dxa"/>
            <w:tcBorders>
              <w:top w:val="nil"/>
              <w:left w:val="nil"/>
              <w:bottom w:val="single" w:sz="8" w:space="0" w:color="auto"/>
              <w:right w:val="nil"/>
            </w:tcBorders>
            <w:shd w:val="clear" w:color="auto" w:fill="auto"/>
            <w:vAlign w:val="center"/>
            <w:hideMark/>
          </w:tcPr>
          <w:p w14:paraId="27CCBDDC" w14:textId="77777777" w:rsidR="00B95B0E" w:rsidRPr="00496209" w:rsidRDefault="00B95B0E" w:rsidP="00496209">
            <w:pPr>
              <w:pStyle w:val="TableofAuthorities"/>
            </w:pPr>
            <w:r w:rsidRPr="00496209">
              <w:t>$2.56</w:t>
            </w:r>
          </w:p>
        </w:tc>
        <w:tc>
          <w:tcPr>
            <w:tcW w:w="851" w:type="dxa"/>
            <w:tcBorders>
              <w:top w:val="nil"/>
              <w:left w:val="nil"/>
              <w:bottom w:val="single" w:sz="8" w:space="0" w:color="auto"/>
              <w:right w:val="nil"/>
            </w:tcBorders>
            <w:shd w:val="clear" w:color="auto" w:fill="auto"/>
            <w:noWrap/>
            <w:vAlign w:val="center"/>
            <w:hideMark/>
          </w:tcPr>
          <w:p w14:paraId="749C742A" w14:textId="77777777" w:rsidR="00B95B0E" w:rsidRPr="00496209" w:rsidRDefault="00B95B0E" w:rsidP="00496209">
            <w:pPr>
              <w:pStyle w:val="TableofAuthorities"/>
            </w:pPr>
            <w:r w:rsidRPr="00496209">
              <w:t>$0.22</w:t>
            </w:r>
          </w:p>
        </w:tc>
      </w:tr>
      <w:tr w:rsidR="00B95B0E" w:rsidRPr="00496209" w14:paraId="2D0E032A" w14:textId="77777777" w:rsidTr="00701AAB">
        <w:trPr>
          <w:trHeight w:val="300"/>
        </w:trPr>
        <w:tc>
          <w:tcPr>
            <w:tcW w:w="3969" w:type="dxa"/>
            <w:tcBorders>
              <w:top w:val="nil"/>
              <w:left w:val="nil"/>
              <w:bottom w:val="single" w:sz="8" w:space="0" w:color="auto"/>
              <w:right w:val="nil"/>
            </w:tcBorders>
            <w:shd w:val="clear" w:color="auto" w:fill="D8DBDB" w:themeFill="background2" w:themeFillShade="E6"/>
            <w:noWrap/>
            <w:vAlign w:val="center"/>
            <w:hideMark/>
          </w:tcPr>
          <w:p w14:paraId="699B80C0" w14:textId="77777777" w:rsidR="00B95B0E" w:rsidRPr="00496209" w:rsidRDefault="00B95B0E" w:rsidP="00496209">
            <w:pPr>
              <w:pStyle w:val="TableParagraphbold"/>
            </w:pPr>
            <w:r w:rsidRPr="00496209">
              <w:t>Resident funding sources</w:t>
            </w:r>
          </w:p>
        </w:tc>
        <w:tc>
          <w:tcPr>
            <w:tcW w:w="1276" w:type="dxa"/>
            <w:tcBorders>
              <w:top w:val="nil"/>
              <w:left w:val="nil"/>
              <w:bottom w:val="single" w:sz="8" w:space="0" w:color="auto"/>
              <w:right w:val="nil"/>
            </w:tcBorders>
            <w:shd w:val="clear" w:color="auto" w:fill="D8DBDB" w:themeFill="background2" w:themeFillShade="E6"/>
            <w:vAlign w:val="center"/>
            <w:hideMark/>
          </w:tcPr>
          <w:p w14:paraId="0DA7274F" w14:textId="77777777" w:rsidR="00B95B0E" w:rsidRPr="00496209" w:rsidRDefault="00B95B0E" w:rsidP="00496209">
            <w:pPr>
              <w:pStyle w:val="TableParagraphbold"/>
            </w:pPr>
            <w:r w:rsidRPr="00496209">
              <w:t>$78.05</w:t>
            </w:r>
          </w:p>
        </w:tc>
        <w:tc>
          <w:tcPr>
            <w:tcW w:w="992" w:type="dxa"/>
            <w:tcBorders>
              <w:top w:val="nil"/>
              <w:left w:val="nil"/>
              <w:bottom w:val="single" w:sz="8" w:space="0" w:color="auto"/>
              <w:right w:val="nil"/>
            </w:tcBorders>
            <w:shd w:val="clear" w:color="auto" w:fill="D8DBDB" w:themeFill="background2" w:themeFillShade="E6"/>
            <w:noWrap/>
            <w:vAlign w:val="center"/>
            <w:hideMark/>
          </w:tcPr>
          <w:p w14:paraId="609BC835" w14:textId="77777777" w:rsidR="00B95B0E" w:rsidRPr="00496209" w:rsidRDefault="00B95B0E" w:rsidP="00496209">
            <w:pPr>
              <w:pStyle w:val="TableParagraphbold"/>
            </w:pPr>
            <w:r w:rsidRPr="00496209">
              <w:t>$79.57</w:t>
            </w:r>
          </w:p>
        </w:tc>
        <w:tc>
          <w:tcPr>
            <w:tcW w:w="1460" w:type="dxa"/>
            <w:gridSpan w:val="2"/>
            <w:tcBorders>
              <w:top w:val="nil"/>
              <w:left w:val="nil"/>
              <w:bottom w:val="single" w:sz="8" w:space="0" w:color="auto"/>
              <w:right w:val="nil"/>
            </w:tcBorders>
            <w:shd w:val="clear" w:color="auto" w:fill="D8DBDB" w:themeFill="background2" w:themeFillShade="E6"/>
            <w:noWrap/>
            <w:vAlign w:val="center"/>
            <w:hideMark/>
          </w:tcPr>
          <w:p w14:paraId="535C702B" w14:textId="77777777" w:rsidR="00B95B0E" w:rsidRPr="00496209" w:rsidRDefault="00B95B0E" w:rsidP="00496209">
            <w:pPr>
              <w:pStyle w:val="TableParagraphbold"/>
            </w:pPr>
            <w:r w:rsidRPr="00496209">
              <w:t>$1.52</w:t>
            </w:r>
          </w:p>
        </w:tc>
        <w:tc>
          <w:tcPr>
            <w:tcW w:w="950" w:type="dxa"/>
            <w:tcBorders>
              <w:top w:val="nil"/>
              <w:left w:val="nil"/>
              <w:bottom w:val="single" w:sz="8" w:space="0" w:color="auto"/>
              <w:right w:val="nil"/>
            </w:tcBorders>
            <w:shd w:val="clear" w:color="auto" w:fill="D8DBDB" w:themeFill="background2" w:themeFillShade="E6"/>
            <w:vAlign w:val="center"/>
            <w:hideMark/>
          </w:tcPr>
          <w:p w14:paraId="1C481670" w14:textId="77777777" w:rsidR="00B95B0E" w:rsidRPr="00496209" w:rsidRDefault="00B95B0E" w:rsidP="00496209">
            <w:pPr>
              <w:pStyle w:val="TableParagraphbold"/>
            </w:pPr>
            <w:r w:rsidRPr="00496209">
              <w:t>$81.24</w:t>
            </w:r>
          </w:p>
        </w:tc>
        <w:tc>
          <w:tcPr>
            <w:tcW w:w="851" w:type="dxa"/>
            <w:tcBorders>
              <w:top w:val="nil"/>
              <w:left w:val="nil"/>
              <w:bottom w:val="single" w:sz="8" w:space="0" w:color="auto"/>
              <w:right w:val="nil"/>
            </w:tcBorders>
            <w:shd w:val="clear" w:color="auto" w:fill="D8DBDB" w:themeFill="background2" w:themeFillShade="E6"/>
            <w:noWrap/>
            <w:vAlign w:val="center"/>
            <w:hideMark/>
          </w:tcPr>
          <w:p w14:paraId="149180FC" w14:textId="77777777" w:rsidR="00B95B0E" w:rsidRPr="00496209" w:rsidRDefault="00B95B0E" w:rsidP="00496209">
            <w:pPr>
              <w:pStyle w:val="TableParagraphbold"/>
            </w:pPr>
            <w:r w:rsidRPr="00496209">
              <w:t>$1.67</w:t>
            </w:r>
          </w:p>
        </w:tc>
      </w:tr>
      <w:tr w:rsidR="00B95B0E" w:rsidRPr="00496209" w14:paraId="543BB871" w14:textId="77777777" w:rsidTr="00701AAB">
        <w:trPr>
          <w:trHeight w:val="300"/>
        </w:trPr>
        <w:tc>
          <w:tcPr>
            <w:tcW w:w="3969" w:type="dxa"/>
            <w:tcBorders>
              <w:top w:val="nil"/>
              <w:left w:val="nil"/>
              <w:bottom w:val="single" w:sz="8" w:space="0" w:color="auto"/>
              <w:right w:val="nil"/>
            </w:tcBorders>
            <w:shd w:val="clear" w:color="auto" w:fill="D8DBDB" w:themeFill="background2" w:themeFillShade="E6"/>
            <w:noWrap/>
            <w:vAlign w:val="center"/>
            <w:hideMark/>
          </w:tcPr>
          <w:p w14:paraId="0D9C1DE7" w14:textId="77777777" w:rsidR="00B95B0E" w:rsidRPr="00496209" w:rsidRDefault="00B95B0E" w:rsidP="00496209">
            <w:pPr>
              <w:pStyle w:val="TableParagraphbold"/>
            </w:pPr>
            <w:r w:rsidRPr="00496209">
              <w:t>Other</w:t>
            </w:r>
          </w:p>
        </w:tc>
        <w:tc>
          <w:tcPr>
            <w:tcW w:w="1276" w:type="dxa"/>
            <w:tcBorders>
              <w:top w:val="nil"/>
              <w:left w:val="nil"/>
              <w:bottom w:val="single" w:sz="8" w:space="0" w:color="auto"/>
              <w:right w:val="nil"/>
            </w:tcBorders>
            <w:shd w:val="clear" w:color="auto" w:fill="D8DBDB" w:themeFill="background2" w:themeFillShade="E6"/>
            <w:vAlign w:val="center"/>
            <w:hideMark/>
          </w:tcPr>
          <w:p w14:paraId="3933F0DF" w14:textId="77777777" w:rsidR="00B95B0E" w:rsidRPr="00496209" w:rsidRDefault="00B95B0E" w:rsidP="00496209">
            <w:pPr>
              <w:pStyle w:val="TableParagraphbold"/>
            </w:pPr>
            <w:r w:rsidRPr="00496209">
              <w:t> </w:t>
            </w:r>
          </w:p>
        </w:tc>
        <w:tc>
          <w:tcPr>
            <w:tcW w:w="992" w:type="dxa"/>
            <w:tcBorders>
              <w:top w:val="nil"/>
              <w:left w:val="nil"/>
              <w:bottom w:val="single" w:sz="8" w:space="0" w:color="auto"/>
              <w:right w:val="nil"/>
            </w:tcBorders>
            <w:shd w:val="clear" w:color="auto" w:fill="D8DBDB" w:themeFill="background2" w:themeFillShade="E6"/>
            <w:noWrap/>
            <w:vAlign w:val="center"/>
            <w:hideMark/>
          </w:tcPr>
          <w:p w14:paraId="18AC7F91" w14:textId="77777777" w:rsidR="00B95B0E" w:rsidRPr="00496209" w:rsidRDefault="00B95B0E" w:rsidP="00496209">
            <w:pPr>
              <w:pStyle w:val="TableParagraphbold"/>
            </w:pPr>
            <w:r w:rsidRPr="00496209">
              <w:t> </w:t>
            </w:r>
          </w:p>
        </w:tc>
        <w:tc>
          <w:tcPr>
            <w:tcW w:w="1460" w:type="dxa"/>
            <w:gridSpan w:val="2"/>
            <w:tcBorders>
              <w:top w:val="nil"/>
              <w:left w:val="nil"/>
              <w:bottom w:val="single" w:sz="8" w:space="0" w:color="auto"/>
              <w:right w:val="nil"/>
            </w:tcBorders>
            <w:shd w:val="clear" w:color="auto" w:fill="D8DBDB" w:themeFill="background2" w:themeFillShade="E6"/>
            <w:noWrap/>
            <w:vAlign w:val="center"/>
            <w:hideMark/>
          </w:tcPr>
          <w:p w14:paraId="2CA6AE60" w14:textId="77777777" w:rsidR="00B95B0E" w:rsidRPr="00496209" w:rsidRDefault="00B95B0E" w:rsidP="00496209">
            <w:pPr>
              <w:pStyle w:val="TableParagraphbold"/>
            </w:pPr>
            <w:r w:rsidRPr="00496209">
              <w:t> </w:t>
            </w:r>
          </w:p>
        </w:tc>
        <w:tc>
          <w:tcPr>
            <w:tcW w:w="950" w:type="dxa"/>
            <w:tcBorders>
              <w:top w:val="nil"/>
              <w:left w:val="nil"/>
              <w:bottom w:val="single" w:sz="8" w:space="0" w:color="auto"/>
              <w:right w:val="nil"/>
            </w:tcBorders>
            <w:shd w:val="clear" w:color="auto" w:fill="D8DBDB" w:themeFill="background2" w:themeFillShade="E6"/>
            <w:vAlign w:val="center"/>
            <w:hideMark/>
          </w:tcPr>
          <w:p w14:paraId="117C6468" w14:textId="77777777" w:rsidR="00B95B0E" w:rsidRPr="00496209" w:rsidRDefault="00B95B0E" w:rsidP="00496209">
            <w:pPr>
              <w:pStyle w:val="TableParagraphbold"/>
            </w:pPr>
            <w:r w:rsidRPr="00496209">
              <w:t> </w:t>
            </w:r>
          </w:p>
        </w:tc>
        <w:tc>
          <w:tcPr>
            <w:tcW w:w="851" w:type="dxa"/>
            <w:tcBorders>
              <w:top w:val="nil"/>
              <w:left w:val="nil"/>
              <w:bottom w:val="single" w:sz="8" w:space="0" w:color="auto"/>
              <w:right w:val="nil"/>
            </w:tcBorders>
            <w:shd w:val="clear" w:color="auto" w:fill="D8DBDB" w:themeFill="background2" w:themeFillShade="E6"/>
            <w:noWrap/>
            <w:vAlign w:val="center"/>
            <w:hideMark/>
          </w:tcPr>
          <w:p w14:paraId="6C24A0DA" w14:textId="77777777" w:rsidR="00B95B0E" w:rsidRPr="00496209" w:rsidRDefault="00B95B0E" w:rsidP="00496209">
            <w:pPr>
              <w:pStyle w:val="TableParagraphbold"/>
            </w:pPr>
            <w:r w:rsidRPr="00496209">
              <w:t> </w:t>
            </w:r>
          </w:p>
        </w:tc>
      </w:tr>
      <w:tr w:rsidR="00B95B0E" w:rsidRPr="00496209" w14:paraId="0747F18A"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121F9A99" w14:textId="77777777" w:rsidR="00B95B0E" w:rsidRPr="00496209" w:rsidRDefault="00B95B0E" w:rsidP="00496209">
            <w:pPr>
              <w:pStyle w:val="TableofAuthorities"/>
            </w:pPr>
            <w:r w:rsidRPr="00496209">
              <w:t xml:space="preserve">Imputed Interest on RADs - AASB 16 Leases </w:t>
            </w:r>
          </w:p>
        </w:tc>
        <w:tc>
          <w:tcPr>
            <w:tcW w:w="1276" w:type="dxa"/>
            <w:tcBorders>
              <w:top w:val="nil"/>
              <w:left w:val="nil"/>
              <w:bottom w:val="single" w:sz="8" w:space="0" w:color="auto"/>
              <w:right w:val="nil"/>
            </w:tcBorders>
            <w:shd w:val="clear" w:color="auto" w:fill="auto"/>
            <w:vAlign w:val="center"/>
            <w:hideMark/>
          </w:tcPr>
          <w:p w14:paraId="617AA75D" w14:textId="30CFB667" w:rsidR="00B95B0E" w:rsidRPr="00496209" w:rsidRDefault="004209DE" w:rsidP="00496209">
            <w:pPr>
              <w:pStyle w:val="TableofAuthorities"/>
            </w:pPr>
            <w:r w:rsidRPr="00496209">
              <w:t>$8.00</w:t>
            </w:r>
          </w:p>
        </w:tc>
        <w:tc>
          <w:tcPr>
            <w:tcW w:w="992" w:type="dxa"/>
            <w:tcBorders>
              <w:top w:val="nil"/>
              <w:left w:val="nil"/>
              <w:bottom w:val="single" w:sz="8" w:space="0" w:color="auto"/>
              <w:right w:val="nil"/>
            </w:tcBorders>
            <w:shd w:val="clear" w:color="auto" w:fill="auto"/>
            <w:noWrap/>
            <w:vAlign w:val="center"/>
            <w:hideMark/>
          </w:tcPr>
          <w:p w14:paraId="39737513" w14:textId="77777777" w:rsidR="00B95B0E" w:rsidRPr="00496209" w:rsidRDefault="00B95B0E" w:rsidP="00496209">
            <w:pPr>
              <w:pStyle w:val="TableofAuthorities"/>
            </w:pPr>
            <w:r w:rsidRPr="00496209">
              <w:t>$7.38</w:t>
            </w:r>
          </w:p>
        </w:tc>
        <w:tc>
          <w:tcPr>
            <w:tcW w:w="1460" w:type="dxa"/>
            <w:gridSpan w:val="2"/>
            <w:tcBorders>
              <w:top w:val="nil"/>
              <w:left w:val="nil"/>
              <w:bottom w:val="single" w:sz="8" w:space="0" w:color="auto"/>
              <w:right w:val="nil"/>
            </w:tcBorders>
            <w:shd w:val="clear" w:color="auto" w:fill="auto"/>
            <w:noWrap/>
            <w:vAlign w:val="center"/>
            <w:hideMark/>
          </w:tcPr>
          <w:p w14:paraId="1D5F2F06" w14:textId="19A9A396" w:rsidR="00B95B0E" w:rsidRPr="00496209" w:rsidRDefault="00B95B0E" w:rsidP="00496209">
            <w:pPr>
              <w:pStyle w:val="TableofAuthorities"/>
            </w:pPr>
            <w:r w:rsidRPr="00496209">
              <w:t>($0.58)</w:t>
            </w:r>
          </w:p>
        </w:tc>
        <w:tc>
          <w:tcPr>
            <w:tcW w:w="950" w:type="dxa"/>
            <w:tcBorders>
              <w:top w:val="nil"/>
              <w:left w:val="nil"/>
              <w:bottom w:val="single" w:sz="8" w:space="0" w:color="auto"/>
              <w:right w:val="nil"/>
            </w:tcBorders>
            <w:shd w:val="clear" w:color="auto" w:fill="auto"/>
            <w:vAlign w:val="center"/>
            <w:hideMark/>
          </w:tcPr>
          <w:p w14:paraId="679BB9D7" w14:textId="77777777" w:rsidR="00B95B0E" w:rsidRPr="00496209" w:rsidRDefault="00B95B0E" w:rsidP="00496209">
            <w:pPr>
              <w:pStyle w:val="TableofAuthorities"/>
            </w:pPr>
            <w:r w:rsidRPr="00496209">
              <w:t>$8.13</w:t>
            </w:r>
          </w:p>
        </w:tc>
        <w:tc>
          <w:tcPr>
            <w:tcW w:w="851" w:type="dxa"/>
            <w:tcBorders>
              <w:top w:val="nil"/>
              <w:left w:val="nil"/>
              <w:bottom w:val="single" w:sz="8" w:space="0" w:color="auto"/>
              <w:right w:val="nil"/>
            </w:tcBorders>
            <w:shd w:val="clear" w:color="auto" w:fill="auto"/>
            <w:noWrap/>
            <w:vAlign w:val="center"/>
            <w:hideMark/>
          </w:tcPr>
          <w:p w14:paraId="5C3563F1" w14:textId="77777777" w:rsidR="00B95B0E" w:rsidRPr="00496209" w:rsidRDefault="00B95B0E" w:rsidP="00496209">
            <w:pPr>
              <w:pStyle w:val="TableofAuthorities"/>
            </w:pPr>
            <w:r w:rsidRPr="00496209">
              <w:t>$0.75</w:t>
            </w:r>
          </w:p>
        </w:tc>
      </w:tr>
      <w:tr w:rsidR="00B95B0E" w:rsidRPr="00496209" w14:paraId="329DAD9F"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6E09FE91" w14:textId="77777777" w:rsidR="00B95B0E" w:rsidRPr="00496209" w:rsidRDefault="00B95B0E" w:rsidP="00496209">
            <w:pPr>
              <w:pStyle w:val="TableofAuthorities"/>
            </w:pPr>
            <w:r w:rsidRPr="00496209">
              <w:t>Other income</w:t>
            </w:r>
          </w:p>
        </w:tc>
        <w:tc>
          <w:tcPr>
            <w:tcW w:w="1276" w:type="dxa"/>
            <w:tcBorders>
              <w:top w:val="nil"/>
              <w:left w:val="nil"/>
              <w:bottom w:val="single" w:sz="8" w:space="0" w:color="auto"/>
              <w:right w:val="nil"/>
            </w:tcBorders>
            <w:shd w:val="clear" w:color="auto" w:fill="auto"/>
            <w:vAlign w:val="center"/>
            <w:hideMark/>
          </w:tcPr>
          <w:p w14:paraId="1077ECCD" w14:textId="77777777" w:rsidR="00B95B0E" w:rsidRPr="00496209" w:rsidRDefault="00B95B0E" w:rsidP="00496209">
            <w:pPr>
              <w:pStyle w:val="TableofAuthorities"/>
            </w:pPr>
            <w:r w:rsidRPr="00496209">
              <w:t>$14.33</w:t>
            </w:r>
          </w:p>
        </w:tc>
        <w:tc>
          <w:tcPr>
            <w:tcW w:w="992" w:type="dxa"/>
            <w:tcBorders>
              <w:top w:val="nil"/>
              <w:left w:val="nil"/>
              <w:bottom w:val="single" w:sz="8" w:space="0" w:color="auto"/>
              <w:right w:val="nil"/>
            </w:tcBorders>
            <w:shd w:val="clear" w:color="auto" w:fill="auto"/>
            <w:noWrap/>
            <w:vAlign w:val="center"/>
            <w:hideMark/>
          </w:tcPr>
          <w:p w14:paraId="63C42C24" w14:textId="77777777" w:rsidR="00B95B0E" w:rsidRPr="00496209" w:rsidRDefault="00B95B0E" w:rsidP="00496209">
            <w:pPr>
              <w:pStyle w:val="TableofAuthorities"/>
            </w:pPr>
            <w:r w:rsidRPr="00496209">
              <w:t>$13.40</w:t>
            </w:r>
          </w:p>
        </w:tc>
        <w:tc>
          <w:tcPr>
            <w:tcW w:w="1460" w:type="dxa"/>
            <w:gridSpan w:val="2"/>
            <w:tcBorders>
              <w:top w:val="nil"/>
              <w:left w:val="nil"/>
              <w:bottom w:val="single" w:sz="8" w:space="0" w:color="auto"/>
              <w:right w:val="nil"/>
            </w:tcBorders>
            <w:shd w:val="clear" w:color="auto" w:fill="auto"/>
            <w:noWrap/>
            <w:vAlign w:val="center"/>
            <w:hideMark/>
          </w:tcPr>
          <w:p w14:paraId="77DE5FB4" w14:textId="29905EBE" w:rsidR="00B95B0E" w:rsidRPr="00496209" w:rsidRDefault="00B95B0E" w:rsidP="00496209">
            <w:pPr>
              <w:pStyle w:val="TableofAuthorities"/>
            </w:pPr>
            <w:r w:rsidRPr="00496209">
              <w:t>($0.93)</w:t>
            </w:r>
          </w:p>
        </w:tc>
        <w:tc>
          <w:tcPr>
            <w:tcW w:w="950" w:type="dxa"/>
            <w:tcBorders>
              <w:top w:val="nil"/>
              <w:left w:val="nil"/>
              <w:bottom w:val="single" w:sz="8" w:space="0" w:color="auto"/>
              <w:right w:val="nil"/>
            </w:tcBorders>
            <w:shd w:val="clear" w:color="auto" w:fill="auto"/>
            <w:vAlign w:val="center"/>
            <w:hideMark/>
          </w:tcPr>
          <w:p w14:paraId="290A7B8C" w14:textId="77777777" w:rsidR="00B95B0E" w:rsidRPr="00496209" w:rsidRDefault="00B95B0E" w:rsidP="00496209">
            <w:pPr>
              <w:pStyle w:val="TableofAuthorities"/>
            </w:pPr>
            <w:r w:rsidRPr="00496209">
              <w:t>$14.21</w:t>
            </w:r>
          </w:p>
        </w:tc>
        <w:tc>
          <w:tcPr>
            <w:tcW w:w="851" w:type="dxa"/>
            <w:tcBorders>
              <w:top w:val="nil"/>
              <w:left w:val="nil"/>
              <w:bottom w:val="single" w:sz="8" w:space="0" w:color="auto"/>
              <w:right w:val="nil"/>
            </w:tcBorders>
            <w:shd w:val="clear" w:color="auto" w:fill="auto"/>
            <w:noWrap/>
            <w:vAlign w:val="center"/>
            <w:hideMark/>
          </w:tcPr>
          <w:p w14:paraId="123266C7" w14:textId="77777777" w:rsidR="00B95B0E" w:rsidRPr="00496209" w:rsidRDefault="00B95B0E" w:rsidP="00496209">
            <w:pPr>
              <w:pStyle w:val="TableofAuthorities"/>
            </w:pPr>
            <w:r w:rsidRPr="00496209">
              <w:t>$0.81</w:t>
            </w:r>
          </w:p>
        </w:tc>
      </w:tr>
      <w:tr w:rsidR="00B95B0E" w:rsidRPr="00496209" w14:paraId="39172230" w14:textId="77777777" w:rsidTr="00E757D2">
        <w:trPr>
          <w:trHeight w:val="300"/>
        </w:trPr>
        <w:tc>
          <w:tcPr>
            <w:tcW w:w="3969" w:type="dxa"/>
            <w:tcBorders>
              <w:top w:val="nil"/>
              <w:left w:val="nil"/>
              <w:bottom w:val="single" w:sz="8" w:space="0" w:color="auto"/>
              <w:right w:val="nil"/>
            </w:tcBorders>
            <w:shd w:val="clear" w:color="auto" w:fill="auto"/>
            <w:noWrap/>
            <w:vAlign w:val="center"/>
            <w:hideMark/>
          </w:tcPr>
          <w:p w14:paraId="661A719E" w14:textId="77777777" w:rsidR="00B95B0E" w:rsidRPr="00496209" w:rsidRDefault="00B95B0E" w:rsidP="00496209">
            <w:pPr>
              <w:pStyle w:val="TableofAuthorities"/>
            </w:pPr>
            <w:r w:rsidRPr="00496209">
              <w:t xml:space="preserve">Other </w:t>
            </w:r>
          </w:p>
        </w:tc>
        <w:tc>
          <w:tcPr>
            <w:tcW w:w="1276" w:type="dxa"/>
            <w:tcBorders>
              <w:top w:val="nil"/>
              <w:left w:val="nil"/>
              <w:bottom w:val="single" w:sz="8" w:space="0" w:color="auto"/>
              <w:right w:val="nil"/>
            </w:tcBorders>
            <w:shd w:val="clear" w:color="auto" w:fill="auto"/>
            <w:vAlign w:val="center"/>
            <w:hideMark/>
          </w:tcPr>
          <w:p w14:paraId="1F85B7D5" w14:textId="77777777" w:rsidR="00B95B0E" w:rsidRPr="00496209" w:rsidRDefault="00B95B0E" w:rsidP="00496209">
            <w:pPr>
              <w:pStyle w:val="TableofAuthorities"/>
            </w:pPr>
            <w:r w:rsidRPr="00496209">
              <w:t>$22.30</w:t>
            </w:r>
          </w:p>
        </w:tc>
        <w:tc>
          <w:tcPr>
            <w:tcW w:w="992" w:type="dxa"/>
            <w:tcBorders>
              <w:top w:val="nil"/>
              <w:left w:val="nil"/>
              <w:bottom w:val="single" w:sz="8" w:space="0" w:color="auto"/>
              <w:right w:val="nil"/>
            </w:tcBorders>
            <w:shd w:val="clear" w:color="auto" w:fill="auto"/>
            <w:noWrap/>
            <w:vAlign w:val="center"/>
            <w:hideMark/>
          </w:tcPr>
          <w:p w14:paraId="67EA1C66" w14:textId="77777777" w:rsidR="00B95B0E" w:rsidRPr="00496209" w:rsidRDefault="00B95B0E" w:rsidP="00496209">
            <w:pPr>
              <w:pStyle w:val="TableofAuthorities"/>
            </w:pPr>
            <w:r w:rsidRPr="00496209">
              <w:t>$20.79</w:t>
            </w:r>
          </w:p>
        </w:tc>
        <w:tc>
          <w:tcPr>
            <w:tcW w:w="1460" w:type="dxa"/>
            <w:gridSpan w:val="2"/>
            <w:tcBorders>
              <w:top w:val="nil"/>
              <w:left w:val="nil"/>
              <w:bottom w:val="single" w:sz="8" w:space="0" w:color="auto"/>
              <w:right w:val="nil"/>
            </w:tcBorders>
            <w:shd w:val="clear" w:color="auto" w:fill="auto"/>
            <w:noWrap/>
            <w:vAlign w:val="center"/>
            <w:hideMark/>
          </w:tcPr>
          <w:p w14:paraId="1B5073D6" w14:textId="29BD2E0C" w:rsidR="00B95B0E" w:rsidRPr="00496209" w:rsidRDefault="00B95B0E" w:rsidP="00496209">
            <w:pPr>
              <w:pStyle w:val="TableofAuthorities"/>
            </w:pPr>
            <w:r w:rsidRPr="00496209">
              <w:t>($1.51)</w:t>
            </w:r>
          </w:p>
        </w:tc>
        <w:tc>
          <w:tcPr>
            <w:tcW w:w="950" w:type="dxa"/>
            <w:tcBorders>
              <w:top w:val="nil"/>
              <w:left w:val="nil"/>
              <w:bottom w:val="single" w:sz="8" w:space="0" w:color="auto"/>
              <w:right w:val="nil"/>
            </w:tcBorders>
            <w:shd w:val="clear" w:color="auto" w:fill="auto"/>
            <w:vAlign w:val="center"/>
            <w:hideMark/>
          </w:tcPr>
          <w:p w14:paraId="7878991A" w14:textId="77777777" w:rsidR="00B95B0E" w:rsidRPr="00496209" w:rsidRDefault="00B95B0E" w:rsidP="00496209">
            <w:pPr>
              <w:pStyle w:val="TableofAuthorities"/>
            </w:pPr>
            <w:r w:rsidRPr="00496209">
              <w:t>$22.35</w:t>
            </w:r>
          </w:p>
        </w:tc>
        <w:tc>
          <w:tcPr>
            <w:tcW w:w="851" w:type="dxa"/>
            <w:tcBorders>
              <w:top w:val="nil"/>
              <w:left w:val="nil"/>
              <w:bottom w:val="single" w:sz="8" w:space="0" w:color="auto"/>
              <w:right w:val="nil"/>
            </w:tcBorders>
            <w:shd w:val="clear" w:color="auto" w:fill="auto"/>
            <w:noWrap/>
            <w:vAlign w:val="center"/>
            <w:hideMark/>
          </w:tcPr>
          <w:p w14:paraId="45967BC6" w14:textId="77777777" w:rsidR="00B95B0E" w:rsidRPr="00496209" w:rsidRDefault="00B95B0E" w:rsidP="00496209">
            <w:pPr>
              <w:pStyle w:val="TableofAuthorities"/>
            </w:pPr>
            <w:r w:rsidRPr="00496209">
              <w:t>$1.56</w:t>
            </w:r>
          </w:p>
        </w:tc>
      </w:tr>
      <w:tr w:rsidR="00B95B0E" w:rsidRPr="00496209" w14:paraId="6A70C7A3" w14:textId="77777777" w:rsidTr="00701AAB">
        <w:trPr>
          <w:trHeight w:val="300"/>
        </w:trPr>
        <w:tc>
          <w:tcPr>
            <w:tcW w:w="3969" w:type="dxa"/>
            <w:tcBorders>
              <w:top w:val="nil"/>
              <w:left w:val="nil"/>
              <w:bottom w:val="single" w:sz="12" w:space="0" w:color="auto"/>
              <w:right w:val="nil"/>
            </w:tcBorders>
            <w:shd w:val="clear" w:color="auto" w:fill="D8DBDB" w:themeFill="background2" w:themeFillShade="E6"/>
            <w:noWrap/>
            <w:vAlign w:val="center"/>
            <w:hideMark/>
          </w:tcPr>
          <w:p w14:paraId="47875B50" w14:textId="77777777" w:rsidR="00B95B0E" w:rsidRPr="00496209" w:rsidRDefault="00B95B0E" w:rsidP="00496209">
            <w:pPr>
              <w:pStyle w:val="TableParagraphbold"/>
            </w:pPr>
            <w:r w:rsidRPr="00496209">
              <w:t>Total revenue</w:t>
            </w:r>
          </w:p>
        </w:tc>
        <w:tc>
          <w:tcPr>
            <w:tcW w:w="1276" w:type="dxa"/>
            <w:tcBorders>
              <w:top w:val="nil"/>
              <w:left w:val="nil"/>
              <w:bottom w:val="single" w:sz="12" w:space="0" w:color="auto"/>
              <w:right w:val="nil"/>
            </w:tcBorders>
            <w:shd w:val="clear" w:color="auto" w:fill="D8DBDB" w:themeFill="background2" w:themeFillShade="E6"/>
            <w:vAlign w:val="center"/>
            <w:hideMark/>
          </w:tcPr>
          <w:p w14:paraId="2EC6D7AB" w14:textId="77777777" w:rsidR="00B95B0E" w:rsidRPr="00496209" w:rsidRDefault="00B95B0E" w:rsidP="00496209">
            <w:pPr>
              <w:pStyle w:val="TableParagraphbold"/>
            </w:pPr>
            <w:r w:rsidRPr="00496209">
              <w:t>$296.64</w:t>
            </w:r>
          </w:p>
        </w:tc>
        <w:tc>
          <w:tcPr>
            <w:tcW w:w="992" w:type="dxa"/>
            <w:tcBorders>
              <w:top w:val="nil"/>
              <w:left w:val="nil"/>
              <w:bottom w:val="single" w:sz="12" w:space="0" w:color="auto"/>
              <w:right w:val="nil"/>
            </w:tcBorders>
            <w:shd w:val="clear" w:color="auto" w:fill="D8DBDB" w:themeFill="background2" w:themeFillShade="E6"/>
            <w:noWrap/>
            <w:vAlign w:val="center"/>
            <w:hideMark/>
          </w:tcPr>
          <w:p w14:paraId="1D4C792A" w14:textId="77777777" w:rsidR="00B95B0E" w:rsidRPr="00496209" w:rsidRDefault="00B95B0E" w:rsidP="00496209">
            <w:pPr>
              <w:pStyle w:val="TableParagraphbold"/>
            </w:pPr>
            <w:r w:rsidRPr="00496209">
              <w:t>$311.44</w:t>
            </w:r>
          </w:p>
        </w:tc>
        <w:tc>
          <w:tcPr>
            <w:tcW w:w="1460" w:type="dxa"/>
            <w:gridSpan w:val="2"/>
            <w:tcBorders>
              <w:top w:val="nil"/>
              <w:left w:val="nil"/>
              <w:bottom w:val="single" w:sz="12" w:space="0" w:color="auto"/>
              <w:right w:val="nil"/>
            </w:tcBorders>
            <w:shd w:val="clear" w:color="auto" w:fill="D8DBDB" w:themeFill="background2" w:themeFillShade="E6"/>
            <w:noWrap/>
            <w:vAlign w:val="center"/>
            <w:hideMark/>
          </w:tcPr>
          <w:p w14:paraId="19D10306" w14:textId="77777777" w:rsidR="00B95B0E" w:rsidRPr="00496209" w:rsidRDefault="00B95B0E" w:rsidP="00496209">
            <w:pPr>
              <w:pStyle w:val="TableParagraphbold"/>
            </w:pPr>
            <w:r w:rsidRPr="00496209">
              <w:t>$14.80</w:t>
            </w:r>
          </w:p>
        </w:tc>
        <w:tc>
          <w:tcPr>
            <w:tcW w:w="950" w:type="dxa"/>
            <w:tcBorders>
              <w:top w:val="nil"/>
              <w:left w:val="nil"/>
              <w:bottom w:val="single" w:sz="12" w:space="0" w:color="auto"/>
              <w:right w:val="nil"/>
            </w:tcBorders>
            <w:shd w:val="clear" w:color="auto" w:fill="D8DBDB" w:themeFill="background2" w:themeFillShade="E6"/>
            <w:vAlign w:val="center"/>
            <w:hideMark/>
          </w:tcPr>
          <w:p w14:paraId="026DAA97" w14:textId="77777777" w:rsidR="00B95B0E" w:rsidRPr="00496209" w:rsidRDefault="00B95B0E" w:rsidP="00496209">
            <w:pPr>
              <w:pStyle w:val="TableParagraphbold"/>
            </w:pPr>
            <w:r w:rsidRPr="00496209">
              <w:t>$321.46</w:t>
            </w:r>
          </w:p>
        </w:tc>
        <w:tc>
          <w:tcPr>
            <w:tcW w:w="851" w:type="dxa"/>
            <w:tcBorders>
              <w:top w:val="nil"/>
              <w:left w:val="nil"/>
              <w:bottom w:val="single" w:sz="12" w:space="0" w:color="auto"/>
              <w:right w:val="nil"/>
            </w:tcBorders>
            <w:shd w:val="clear" w:color="auto" w:fill="D8DBDB" w:themeFill="background2" w:themeFillShade="E6"/>
            <w:noWrap/>
            <w:vAlign w:val="center"/>
            <w:hideMark/>
          </w:tcPr>
          <w:p w14:paraId="4436192E" w14:textId="77777777" w:rsidR="00B95B0E" w:rsidRPr="00496209" w:rsidRDefault="00B95B0E" w:rsidP="00496209">
            <w:pPr>
              <w:pStyle w:val="TableParagraphbold"/>
            </w:pPr>
            <w:r w:rsidRPr="00496209">
              <w:t>$10.03</w:t>
            </w:r>
          </w:p>
        </w:tc>
      </w:tr>
    </w:tbl>
    <w:p w14:paraId="68709228" w14:textId="77777777" w:rsidR="00A11406" w:rsidRPr="0004214B" w:rsidRDefault="00A11406" w:rsidP="002F3FAB">
      <w:pPr>
        <w:pStyle w:val="FootnoteText"/>
      </w:pPr>
      <w:r w:rsidRPr="0004214B">
        <w:t>Notes:</w:t>
      </w:r>
    </w:p>
    <w:p w14:paraId="41A3E7D7" w14:textId="136004B5" w:rsidR="00A11406" w:rsidRPr="0004214B" w:rsidRDefault="00A11406" w:rsidP="00496209">
      <w:pPr>
        <w:pStyle w:val="Footnotetextlist"/>
        <w:numPr>
          <w:ilvl w:val="0"/>
          <w:numId w:val="20"/>
        </w:numPr>
      </w:pPr>
      <w:r w:rsidRPr="0004214B">
        <w:t>Extra service subsidy</w:t>
      </w:r>
      <w:r w:rsidR="00256ABF" w:rsidRPr="0004214B">
        <w:t xml:space="preserve"> (ESS)</w:t>
      </w:r>
      <w:r w:rsidRPr="0004214B">
        <w:t xml:space="preserve"> reduction does not apply to new residents entering care from 1 July </w:t>
      </w:r>
      <w:proofErr w:type="gramStart"/>
      <w:r w:rsidRPr="0004214B">
        <w:t>2014,</w:t>
      </w:r>
      <w:proofErr w:type="gramEnd"/>
      <w:r w:rsidRPr="0004214B">
        <w:t xml:space="preserve"> however it still applies to residents in ESS places who were in care prior to 1 July 2014.</w:t>
      </w:r>
    </w:p>
    <w:p w14:paraId="35E1B47F" w14:textId="08C91E9B" w:rsidR="00932439" w:rsidRDefault="00641677" w:rsidP="008A35F3">
      <w:pPr>
        <w:pStyle w:val="Heading2"/>
      </w:pPr>
      <w:bookmarkStart w:id="235" w:name="_Toc149245323"/>
      <w:r>
        <w:t>Financial performance – expenditure</w:t>
      </w:r>
      <w:bookmarkEnd w:id="235"/>
    </w:p>
    <w:p w14:paraId="43BFB8A1" w14:textId="284880F5" w:rsidR="00DF4B58" w:rsidRDefault="001D22F7" w:rsidP="00DF4B58">
      <w:r>
        <w:rPr>
          <w:b/>
          <w:bCs/>
          <w:szCs w:val="18"/>
        </w:rPr>
        <w:fldChar w:fldCharType="begin"/>
      </w:r>
      <w:r>
        <w:instrText xml:space="preserve"> REF _Ref139553413 \h </w:instrText>
      </w:r>
      <w:r>
        <w:rPr>
          <w:b/>
          <w:bCs/>
          <w:szCs w:val="18"/>
        </w:rPr>
      </w:r>
      <w:r>
        <w:rPr>
          <w:b/>
          <w:bCs/>
          <w:szCs w:val="18"/>
        </w:rPr>
        <w:fldChar w:fldCharType="separate"/>
      </w:r>
      <w:r w:rsidR="00294B02">
        <w:t xml:space="preserve">Chart </w:t>
      </w:r>
      <w:r w:rsidR="00294B02">
        <w:rPr>
          <w:noProof/>
        </w:rPr>
        <w:t>3</w:t>
      </w:r>
      <w:r w:rsidR="00294B02">
        <w:t>.</w:t>
      </w:r>
      <w:r w:rsidR="00294B02">
        <w:rPr>
          <w:noProof/>
        </w:rPr>
        <w:t>5</w:t>
      </w:r>
      <w:r>
        <w:fldChar w:fldCharType="end"/>
      </w:r>
      <w:r w:rsidR="00C31253">
        <w:t xml:space="preserve"> </w:t>
      </w:r>
      <w:r w:rsidR="00DF4B58">
        <w:t>shows</w:t>
      </w:r>
      <w:r w:rsidR="00DF4B58">
        <w:rPr>
          <w:spacing w:val="-3"/>
        </w:rPr>
        <w:t xml:space="preserve"> </w:t>
      </w:r>
      <w:r w:rsidR="00DF4B58">
        <w:t>total</w:t>
      </w:r>
      <w:r w:rsidR="00DF4B58">
        <w:rPr>
          <w:spacing w:val="-3"/>
        </w:rPr>
        <w:t xml:space="preserve"> </w:t>
      </w:r>
      <w:r w:rsidR="00DF4B58">
        <w:t>expenses</w:t>
      </w:r>
      <w:r w:rsidR="00DF4B58">
        <w:rPr>
          <w:spacing w:val="-3"/>
        </w:rPr>
        <w:t xml:space="preserve"> </w:t>
      </w:r>
      <w:r w:rsidR="00DF4B58">
        <w:t>for</w:t>
      </w:r>
      <w:r w:rsidR="00DF4B58">
        <w:rPr>
          <w:spacing w:val="-3"/>
        </w:rPr>
        <w:t xml:space="preserve"> </w:t>
      </w:r>
      <w:r w:rsidR="00DF4B58">
        <w:t>the</w:t>
      </w:r>
      <w:r w:rsidR="00DF4B58">
        <w:rPr>
          <w:spacing w:val="-3"/>
        </w:rPr>
        <w:t xml:space="preserve"> </w:t>
      </w:r>
      <w:r w:rsidR="005E37E5">
        <w:t>5</w:t>
      </w:r>
      <w:r w:rsidR="00DF4B58">
        <w:rPr>
          <w:spacing w:val="-7"/>
        </w:rPr>
        <w:t xml:space="preserve"> </w:t>
      </w:r>
      <w:r w:rsidR="00DF4B58">
        <w:rPr>
          <w:spacing w:val="-4"/>
        </w:rPr>
        <w:t>years</w:t>
      </w:r>
      <w:r w:rsidR="00DF4B58">
        <w:t xml:space="preserve"> </w:t>
      </w:r>
      <w:r w:rsidR="00DF4B58">
        <w:rPr>
          <w:spacing w:val="-2"/>
        </w:rPr>
        <w:t>to</w:t>
      </w:r>
      <w:r w:rsidR="00DF4B58">
        <w:rPr>
          <w:spacing w:val="-6"/>
        </w:rPr>
        <w:t xml:space="preserve"> </w:t>
      </w:r>
      <w:r w:rsidR="00DF4B58">
        <w:rPr>
          <w:spacing w:val="-2"/>
        </w:rPr>
        <w:t>2021</w:t>
      </w:r>
      <w:r w:rsidR="005E37E5">
        <w:rPr>
          <w:spacing w:val="-2"/>
        </w:rPr>
        <w:t>-22</w:t>
      </w:r>
      <w:r w:rsidR="00DF4B58">
        <w:rPr>
          <w:spacing w:val="-2"/>
        </w:rPr>
        <w:t>. Total expenditure in</w:t>
      </w:r>
      <w:r w:rsidR="00DF4B58">
        <w:rPr>
          <w:spacing w:val="-6"/>
        </w:rPr>
        <w:t xml:space="preserve"> </w:t>
      </w:r>
      <w:r w:rsidR="00481609">
        <w:rPr>
          <w:spacing w:val="-6"/>
        </w:rPr>
        <w:br/>
      </w:r>
      <w:r w:rsidR="00DF4B58">
        <w:rPr>
          <w:spacing w:val="-2"/>
        </w:rPr>
        <w:t>202</w:t>
      </w:r>
      <w:r w:rsidR="005E37E5">
        <w:rPr>
          <w:spacing w:val="-2"/>
        </w:rPr>
        <w:t>1</w:t>
      </w:r>
      <w:r w:rsidR="00DF4B58">
        <w:rPr>
          <w:spacing w:val="-2"/>
        </w:rPr>
        <w:t>–2</w:t>
      </w:r>
      <w:r w:rsidR="005E37E5">
        <w:rPr>
          <w:spacing w:val="-2"/>
        </w:rPr>
        <w:t>2</w:t>
      </w:r>
      <w:r w:rsidR="00DF4B58">
        <w:rPr>
          <w:spacing w:val="-2"/>
        </w:rPr>
        <w:t xml:space="preserve"> for residential </w:t>
      </w:r>
      <w:r w:rsidR="00DF4B58">
        <w:t>care providers was $2</w:t>
      </w:r>
      <w:r w:rsidR="00EB5840">
        <w:t>4.3</w:t>
      </w:r>
      <w:r w:rsidR="00D0681C">
        <w:t>4</w:t>
      </w:r>
      <w:r w:rsidR="00DF4B58">
        <w:t xml:space="preserve"> billion, up </w:t>
      </w:r>
      <w:r w:rsidR="00ED7964">
        <w:t>9</w:t>
      </w:r>
      <w:r w:rsidR="007B2AA8">
        <w:t xml:space="preserve"> </w:t>
      </w:r>
      <w:r w:rsidR="00DF4B58">
        <w:t>per cent from</w:t>
      </w:r>
      <w:r w:rsidR="00391214">
        <w:t xml:space="preserve"> </w:t>
      </w:r>
      <w:r w:rsidR="00E6095D">
        <w:br/>
      </w:r>
      <w:r w:rsidR="00DF4B58">
        <w:t>$2</w:t>
      </w:r>
      <w:r w:rsidR="008019A4">
        <w:t>2</w:t>
      </w:r>
      <w:r w:rsidR="00DF4B58">
        <w:t>.</w:t>
      </w:r>
      <w:r w:rsidR="00D0681C">
        <w:t>3</w:t>
      </w:r>
      <w:r w:rsidR="00DF4B58">
        <w:t>3</w:t>
      </w:r>
      <w:r w:rsidR="00DF4B58">
        <w:rPr>
          <w:spacing w:val="-13"/>
        </w:rPr>
        <w:t xml:space="preserve"> </w:t>
      </w:r>
      <w:r w:rsidR="00DF4B58">
        <w:t>billion</w:t>
      </w:r>
      <w:r w:rsidR="00DF4B58">
        <w:rPr>
          <w:spacing w:val="-11"/>
        </w:rPr>
        <w:t xml:space="preserve"> </w:t>
      </w:r>
      <w:r w:rsidR="00DF4B58">
        <w:t>in</w:t>
      </w:r>
      <w:r w:rsidR="00DF4B58">
        <w:rPr>
          <w:spacing w:val="-11"/>
        </w:rPr>
        <w:t xml:space="preserve"> </w:t>
      </w:r>
      <w:r w:rsidR="00DF4B58">
        <w:t>20</w:t>
      </w:r>
      <w:r w:rsidR="008019A4">
        <w:t>20-21</w:t>
      </w:r>
      <w:r w:rsidR="00DF4B58">
        <w:rPr>
          <w:spacing w:val="-7"/>
        </w:rPr>
        <w:t xml:space="preserve"> </w:t>
      </w:r>
      <w:r w:rsidR="00DF4B58">
        <w:t>and</w:t>
      </w:r>
      <w:r w:rsidR="00DF4B58">
        <w:rPr>
          <w:spacing w:val="-8"/>
        </w:rPr>
        <w:t xml:space="preserve"> </w:t>
      </w:r>
      <w:r w:rsidR="00DF4B58">
        <w:t>up</w:t>
      </w:r>
      <w:r w:rsidR="00DF4B58">
        <w:rPr>
          <w:spacing w:val="-7"/>
        </w:rPr>
        <w:t xml:space="preserve"> </w:t>
      </w:r>
      <w:r w:rsidR="0033122F">
        <w:rPr>
          <w:spacing w:val="-7"/>
        </w:rPr>
        <w:t>14.4</w:t>
      </w:r>
      <w:r w:rsidR="00DF4B58">
        <w:rPr>
          <w:spacing w:val="-11"/>
        </w:rPr>
        <w:t xml:space="preserve"> </w:t>
      </w:r>
      <w:r w:rsidR="00DF4B58">
        <w:t>per</w:t>
      </w:r>
      <w:r w:rsidR="00DF4B58">
        <w:rPr>
          <w:spacing w:val="-11"/>
        </w:rPr>
        <w:t xml:space="preserve"> </w:t>
      </w:r>
      <w:r w:rsidR="00DF4B58">
        <w:t>cent</w:t>
      </w:r>
      <w:r w:rsidR="00DF4B58">
        <w:rPr>
          <w:spacing w:val="-7"/>
        </w:rPr>
        <w:t xml:space="preserve"> </w:t>
      </w:r>
      <w:r w:rsidR="00DF4B58">
        <w:rPr>
          <w:spacing w:val="-4"/>
        </w:rPr>
        <w:t>from</w:t>
      </w:r>
      <w:r w:rsidR="00391214">
        <w:t xml:space="preserve"> </w:t>
      </w:r>
      <w:r w:rsidR="00DF4B58">
        <w:rPr>
          <w:spacing w:val="-2"/>
        </w:rPr>
        <w:t>$</w:t>
      </w:r>
      <w:r w:rsidR="008019A4">
        <w:rPr>
          <w:spacing w:val="-2"/>
        </w:rPr>
        <w:t>21.</w:t>
      </w:r>
      <w:r w:rsidR="0019192B">
        <w:rPr>
          <w:spacing w:val="-2"/>
        </w:rPr>
        <w:t>27</w:t>
      </w:r>
      <w:r w:rsidR="00DF4B58">
        <w:rPr>
          <w:spacing w:val="-5"/>
        </w:rPr>
        <w:t xml:space="preserve"> </w:t>
      </w:r>
      <w:r w:rsidR="00DF4B58">
        <w:rPr>
          <w:spacing w:val="-2"/>
        </w:rPr>
        <w:t>billion</w:t>
      </w:r>
      <w:r w:rsidR="00DF4B58">
        <w:t xml:space="preserve"> </w:t>
      </w:r>
      <w:r w:rsidR="00DF4B58">
        <w:rPr>
          <w:spacing w:val="-2"/>
        </w:rPr>
        <w:t>in</w:t>
      </w:r>
      <w:r w:rsidR="00DF4B58">
        <w:rPr>
          <w:spacing w:val="-5"/>
        </w:rPr>
        <w:t xml:space="preserve"> </w:t>
      </w:r>
      <w:r w:rsidR="00DF4B58">
        <w:rPr>
          <w:spacing w:val="-2"/>
        </w:rPr>
        <w:t>2019</w:t>
      </w:r>
      <w:r w:rsidR="008019A4">
        <w:rPr>
          <w:spacing w:val="-2"/>
        </w:rPr>
        <w:t>-20</w:t>
      </w:r>
      <w:r w:rsidR="00DF4B58">
        <w:rPr>
          <w:spacing w:val="-2"/>
        </w:rPr>
        <w:t>.</w:t>
      </w:r>
    </w:p>
    <w:p w14:paraId="7F88466E" w14:textId="00AEC66D" w:rsidR="001D22F7" w:rsidRPr="001D22F7" w:rsidRDefault="001D22F7" w:rsidP="001D22F7">
      <w:pPr>
        <w:pStyle w:val="Caption"/>
        <w:rPr>
          <w:lang w:val="en-GB"/>
        </w:rPr>
      </w:pPr>
      <w:bookmarkStart w:id="236" w:name="_Ref139553413"/>
      <w:bookmarkStart w:id="237" w:name="_Toc149245224"/>
      <w:r>
        <w:t xml:space="preserve">Chart </w:t>
      </w:r>
      <w:r>
        <w:fldChar w:fldCharType="begin"/>
      </w:r>
      <w:r>
        <w:instrText>STYLEREF 1 \s</w:instrText>
      </w:r>
      <w:r>
        <w:fldChar w:fldCharType="separate"/>
      </w:r>
      <w:r w:rsidR="00294B02">
        <w:rPr>
          <w:noProof/>
        </w:rPr>
        <w:t>3</w:t>
      </w:r>
      <w:r>
        <w:fldChar w:fldCharType="end"/>
      </w:r>
      <w:r w:rsidR="00434A28">
        <w:t>.</w:t>
      </w:r>
      <w:r>
        <w:fldChar w:fldCharType="begin"/>
      </w:r>
      <w:r>
        <w:instrText>SEQ Chart \* ARABIC \s 1</w:instrText>
      </w:r>
      <w:r>
        <w:fldChar w:fldCharType="separate"/>
      </w:r>
      <w:r w:rsidR="00294B02">
        <w:rPr>
          <w:noProof/>
        </w:rPr>
        <w:t>5</w:t>
      </w:r>
      <w:r>
        <w:fldChar w:fldCharType="end"/>
      </w:r>
      <w:bookmarkEnd w:id="236"/>
      <w:r>
        <w:t xml:space="preserve">: </w:t>
      </w:r>
      <w:r w:rsidRPr="00024CC6">
        <w:t>Total expenses, residential care providers, 2017-18 to 2021-22 ($b)</w:t>
      </w:r>
      <w:bookmarkEnd w:id="237"/>
    </w:p>
    <w:p w14:paraId="3CFECDB0" w14:textId="1D85B537" w:rsidR="00294B02" w:rsidRPr="00496209" w:rsidRDefault="00406D2A" w:rsidP="00E146A5">
      <w:r>
        <w:rPr>
          <w:b/>
          <w:bCs/>
          <w:noProof/>
          <w:sz w:val="28"/>
          <w:szCs w:val="28"/>
        </w:rPr>
        <w:drawing>
          <wp:inline distT="0" distB="0" distL="0" distR="0" wp14:anchorId="6CDBE1B6" wp14:editId="280463AA">
            <wp:extent cx="5450541" cy="3125365"/>
            <wp:effectExtent l="0" t="0" r="0" b="0"/>
            <wp:docPr id="5" name="Picture 5" descr="Chart 3.5 is a stacked column chart titled Total expenses, residential care providers, 2017-18 to 2021-22 ($b). Total expenditure in 2021-22 for residential care providers was $24.34 billion, up 9 per cent from $22.3 billion in 2020-21 and up 14.4 per cent from $21.27 billion in 2019-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3.5 is a stacked column chart titled Total expenses, residential care providers, 2017-18 to 2021-22 ($b). Total expenditure in 2021-22 for residential care providers was $24.34 billion, up 9 per cent from $22.3 billion in 2020-21 and up 14.4 per cent from $21.27 billion in 2019-20.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54645" cy="3127718"/>
                    </a:xfrm>
                    <a:prstGeom prst="rect">
                      <a:avLst/>
                    </a:prstGeom>
                    <a:noFill/>
                  </pic:spPr>
                </pic:pic>
              </a:graphicData>
            </a:graphic>
          </wp:inline>
        </w:drawing>
      </w:r>
      <w:r w:rsidR="0096606A">
        <w:rPr>
          <w:b/>
          <w:bCs/>
          <w:szCs w:val="18"/>
        </w:rPr>
        <w:fldChar w:fldCharType="begin"/>
      </w:r>
      <w:r w:rsidR="0096606A">
        <w:instrText xml:space="preserve"> REF _Ref139553490 \h </w:instrText>
      </w:r>
      <w:r w:rsidR="00496209">
        <w:rPr>
          <w:b/>
          <w:bCs/>
          <w:szCs w:val="18"/>
        </w:rPr>
        <w:instrText xml:space="preserve"> \* MERGEFORMAT </w:instrText>
      </w:r>
      <w:r w:rsidR="0096606A">
        <w:rPr>
          <w:b/>
          <w:bCs/>
          <w:szCs w:val="18"/>
        </w:rPr>
      </w:r>
      <w:r w:rsidR="0096606A">
        <w:rPr>
          <w:b/>
          <w:bCs/>
          <w:szCs w:val="18"/>
        </w:rPr>
        <w:fldChar w:fldCharType="separate"/>
      </w:r>
    </w:p>
    <w:p w14:paraId="6ECDFB56" w14:textId="3EBB744D" w:rsidR="001D7AFB" w:rsidRDefault="00294B02" w:rsidP="00BF094A">
      <w:r>
        <w:lastRenderedPageBreak/>
        <w:t xml:space="preserve">Table </w:t>
      </w:r>
      <w:r>
        <w:rPr>
          <w:noProof/>
        </w:rPr>
        <w:t>3</w:t>
      </w:r>
      <w:r>
        <w:t>.</w:t>
      </w:r>
      <w:r>
        <w:rPr>
          <w:noProof/>
        </w:rPr>
        <w:t>7</w:t>
      </w:r>
      <w:r w:rsidR="0096606A">
        <w:fldChar w:fldCharType="end"/>
      </w:r>
      <w:r w:rsidR="00BF094A">
        <w:t xml:space="preserve"> shows</w:t>
      </w:r>
      <w:r w:rsidR="00BF094A">
        <w:rPr>
          <w:spacing w:val="-11"/>
        </w:rPr>
        <w:t xml:space="preserve"> </w:t>
      </w:r>
      <w:r w:rsidR="00BF094A">
        <w:t>the</w:t>
      </w:r>
      <w:r w:rsidR="00BF094A">
        <w:rPr>
          <w:spacing w:val="-11"/>
        </w:rPr>
        <w:t xml:space="preserve"> </w:t>
      </w:r>
      <w:r w:rsidR="00BF094A">
        <w:t>expenses</w:t>
      </w:r>
      <w:r w:rsidR="00BF094A">
        <w:rPr>
          <w:spacing w:val="-11"/>
        </w:rPr>
        <w:t xml:space="preserve"> </w:t>
      </w:r>
      <w:r w:rsidR="00BF094A">
        <w:t>for</w:t>
      </w:r>
      <w:r w:rsidR="00BF094A">
        <w:rPr>
          <w:spacing w:val="-11"/>
        </w:rPr>
        <w:t xml:space="preserve"> </w:t>
      </w:r>
      <w:r w:rsidR="00BF094A">
        <w:t>residential</w:t>
      </w:r>
      <w:r w:rsidR="00BF094A">
        <w:rPr>
          <w:spacing w:val="-11"/>
        </w:rPr>
        <w:t xml:space="preserve"> </w:t>
      </w:r>
      <w:r w:rsidR="00BF094A">
        <w:t>care providers</w:t>
      </w:r>
      <w:r w:rsidR="00BF094A">
        <w:rPr>
          <w:spacing w:val="-7"/>
        </w:rPr>
        <w:t xml:space="preserve"> </w:t>
      </w:r>
      <w:r w:rsidR="00BF094A">
        <w:t>in</w:t>
      </w:r>
      <w:r w:rsidR="00BF094A">
        <w:rPr>
          <w:spacing w:val="-11"/>
        </w:rPr>
        <w:t xml:space="preserve"> </w:t>
      </w:r>
      <w:r w:rsidR="00BF094A">
        <w:t>2021</w:t>
      </w:r>
      <w:r w:rsidR="007D0E35">
        <w:t>-22</w:t>
      </w:r>
      <w:r w:rsidR="00BF094A">
        <w:rPr>
          <w:spacing w:val="-7"/>
        </w:rPr>
        <w:t xml:space="preserve"> </w:t>
      </w:r>
      <w:r w:rsidR="00BF094A">
        <w:t>compared</w:t>
      </w:r>
      <w:r w:rsidR="00BF094A">
        <w:rPr>
          <w:spacing w:val="-7"/>
        </w:rPr>
        <w:t xml:space="preserve"> </w:t>
      </w:r>
      <w:r w:rsidR="00BF094A">
        <w:t>with</w:t>
      </w:r>
      <w:r w:rsidR="00BF094A">
        <w:rPr>
          <w:spacing w:val="-7"/>
        </w:rPr>
        <w:t xml:space="preserve"> </w:t>
      </w:r>
      <w:r w:rsidR="00BF094A">
        <w:t>the</w:t>
      </w:r>
      <w:r w:rsidR="00BF094A">
        <w:rPr>
          <w:spacing w:val="-7"/>
        </w:rPr>
        <w:t xml:space="preserve"> </w:t>
      </w:r>
      <w:r w:rsidR="00BF094A">
        <w:t>previous two years. In 2021</w:t>
      </w:r>
      <w:r w:rsidR="007D0E35">
        <w:t>-22</w:t>
      </w:r>
      <w:r w:rsidR="00BF094A">
        <w:t>, employee expenses were</w:t>
      </w:r>
      <w:r w:rsidR="007D0E35">
        <w:t xml:space="preserve"> </w:t>
      </w:r>
      <w:r w:rsidR="00BF094A">
        <w:t>$1</w:t>
      </w:r>
      <w:r w:rsidR="00B6785E">
        <w:t>5.9</w:t>
      </w:r>
      <w:r w:rsidR="00BF094A">
        <w:rPr>
          <w:spacing w:val="-11"/>
        </w:rPr>
        <w:t xml:space="preserve"> </w:t>
      </w:r>
      <w:r w:rsidR="00BF094A">
        <w:t>billion,</w:t>
      </w:r>
      <w:r w:rsidR="00BF094A">
        <w:rPr>
          <w:spacing w:val="-11"/>
        </w:rPr>
        <w:t xml:space="preserve"> </w:t>
      </w:r>
      <w:r w:rsidR="00BF094A">
        <w:t>up</w:t>
      </w:r>
      <w:r w:rsidR="00BF094A">
        <w:rPr>
          <w:spacing w:val="-11"/>
        </w:rPr>
        <w:t xml:space="preserve"> </w:t>
      </w:r>
      <w:r w:rsidR="00BF094A">
        <w:t>from</w:t>
      </w:r>
      <w:r w:rsidR="00BF094A">
        <w:rPr>
          <w:spacing w:val="-9"/>
        </w:rPr>
        <w:t xml:space="preserve"> </w:t>
      </w:r>
      <w:r w:rsidR="00BF094A">
        <w:t>$1</w:t>
      </w:r>
      <w:r w:rsidR="00B6785E">
        <w:t>4.8</w:t>
      </w:r>
      <w:r w:rsidR="00BF094A">
        <w:rPr>
          <w:spacing w:val="-11"/>
        </w:rPr>
        <w:t xml:space="preserve"> </w:t>
      </w:r>
      <w:r w:rsidR="00BF094A">
        <w:t>billion</w:t>
      </w:r>
      <w:r w:rsidR="00BF094A">
        <w:rPr>
          <w:spacing w:val="-9"/>
        </w:rPr>
        <w:t xml:space="preserve"> </w:t>
      </w:r>
      <w:r w:rsidR="00BF094A">
        <w:t>in</w:t>
      </w:r>
      <w:r w:rsidR="00BF094A">
        <w:rPr>
          <w:spacing w:val="-11"/>
        </w:rPr>
        <w:t xml:space="preserve"> </w:t>
      </w:r>
      <w:r w:rsidR="00BF094A">
        <w:t>2020</w:t>
      </w:r>
      <w:r w:rsidR="00B6785E">
        <w:t>-21</w:t>
      </w:r>
      <w:r w:rsidR="00BF094A">
        <w:rPr>
          <w:spacing w:val="-8"/>
        </w:rPr>
        <w:t xml:space="preserve"> </w:t>
      </w:r>
      <w:r w:rsidR="00BF094A">
        <w:rPr>
          <w:spacing w:val="-5"/>
        </w:rPr>
        <w:t>and</w:t>
      </w:r>
      <w:r w:rsidR="00B6785E">
        <w:t xml:space="preserve"> </w:t>
      </w:r>
      <w:r w:rsidR="00BF094A">
        <w:t>$1</w:t>
      </w:r>
      <w:r w:rsidR="00835975">
        <w:t>4</w:t>
      </w:r>
      <w:r w:rsidR="00BF094A">
        <w:rPr>
          <w:spacing w:val="-13"/>
        </w:rPr>
        <w:t xml:space="preserve"> </w:t>
      </w:r>
      <w:r w:rsidR="00BF094A">
        <w:t>billion</w:t>
      </w:r>
      <w:r w:rsidR="00BF094A">
        <w:rPr>
          <w:spacing w:val="-9"/>
        </w:rPr>
        <w:t xml:space="preserve"> </w:t>
      </w:r>
      <w:r w:rsidR="00BF094A">
        <w:t>in</w:t>
      </w:r>
      <w:r w:rsidR="00BF094A">
        <w:rPr>
          <w:spacing w:val="-10"/>
        </w:rPr>
        <w:t xml:space="preserve"> </w:t>
      </w:r>
      <w:r w:rsidR="00BF094A">
        <w:rPr>
          <w:spacing w:val="-2"/>
        </w:rPr>
        <w:t>20</w:t>
      </w:r>
      <w:r w:rsidR="00835975">
        <w:rPr>
          <w:spacing w:val="-2"/>
        </w:rPr>
        <w:t>19-20</w:t>
      </w:r>
      <w:r w:rsidR="00D9423F">
        <w:rPr>
          <w:spacing w:val="-2"/>
        </w:rPr>
        <w:t>.</w:t>
      </w:r>
      <w:r w:rsidR="00EB60CB">
        <w:t xml:space="preserve"> </w:t>
      </w:r>
    </w:p>
    <w:p w14:paraId="6DD85ECF" w14:textId="2EF54B81" w:rsidR="00514D38" w:rsidRDefault="00111D0B" w:rsidP="00E146A5">
      <w:r w:rsidRPr="00111D0B">
        <w:t>The $813</w:t>
      </w:r>
      <w:r w:rsidR="004C0FBF">
        <w:t xml:space="preserve"> </w:t>
      </w:r>
      <w:r w:rsidRPr="00111D0B">
        <w:t>m</w:t>
      </w:r>
      <w:r w:rsidR="004C0FBF">
        <w:t>illion</w:t>
      </w:r>
      <w:r w:rsidRPr="00111D0B">
        <w:t xml:space="preserve"> bed license amortisation loss</w:t>
      </w:r>
      <w:r w:rsidR="6ECDA812" w:rsidRPr="00111D0B">
        <w:t>,</w:t>
      </w:r>
      <w:r w:rsidRPr="00111D0B">
        <w:t xml:space="preserve"> </w:t>
      </w:r>
      <w:r w:rsidR="30A87B93" w:rsidRPr="00111D0B">
        <w:t xml:space="preserve">which </w:t>
      </w:r>
      <w:r w:rsidRPr="00111D0B">
        <w:t xml:space="preserve">is </w:t>
      </w:r>
      <w:r w:rsidR="0060089F">
        <w:t>included in the “other expenses” category</w:t>
      </w:r>
      <w:r w:rsidR="786BD384">
        <w:t>,</w:t>
      </w:r>
      <w:r w:rsidRPr="00111D0B">
        <w:t xml:space="preserve"> is a result of the removal of the</w:t>
      </w:r>
      <w:r w:rsidR="00F47AE3">
        <w:t xml:space="preserve"> </w:t>
      </w:r>
      <w:r w:rsidRPr="00111D0B">
        <w:t>ACAR and the need for providers to readjust the treatment of bed licences as intangible assets. The impact of bed license amortisation will not be ongoing post 1 July 2024.</w:t>
      </w:r>
      <w:r w:rsidR="00EB60CB">
        <w:t xml:space="preserve"> </w:t>
      </w:r>
      <w:bookmarkStart w:id="238" w:name="_Ref139553490"/>
    </w:p>
    <w:p w14:paraId="606364BC" w14:textId="320627BF" w:rsidR="00C505C7" w:rsidRDefault="007C7F29" w:rsidP="008959E0">
      <w:pPr>
        <w:pStyle w:val="Caption"/>
      </w:pPr>
      <w:bookmarkStart w:id="239" w:name="_Toc149245281"/>
      <w:r>
        <w:t xml:space="preserve">Table </w:t>
      </w:r>
      <w:r>
        <w:fldChar w:fldCharType="begin"/>
      </w:r>
      <w:r>
        <w:instrText>STYLEREF 1 \s</w:instrText>
      </w:r>
      <w:r>
        <w:fldChar w:fldCharType="separate"/>
      </w:r>
      <w:r w:rsidR="00294B02">
        <w:rPr>
          <w:noProof/>
        </w:rPr>
        <w:t>3</w:t>
      </w:r>
      <w:r>
        <w:fldChar w:fldCharType="end"/>
      </w:r>
      <w:r w:rsidR="002E758C">
        <w:t>.</w:t>
      </w:r>
      <w:r>
        <w:fldChar w:fldCharType="begin"/>
      </w:r>
      <w:r>
        <w:instrText>SEQ Table \* ARABIC \s 1</w:instrText>
      </w:r>
      <w:r>
        <w:fldChar w:fldCharType="separate"/>
      </w:r>
      <w:r w:rsidR="00294B02">
        <w:rPr>
          <w:noProof/>
        </w:rPr>
        <w:t>7</w:t>
      </w:r>
      <w:r>
        <w:fldChar w:fldCharType="end"/>
      </w:r>
      <w:bookmarkEnd w:id="238"/>
      <w:r w:rsidR="0096606A">
        <w:t>:</w:t>
      </w:r>
      <w:r>
        <w:t xml:space="preserve"> Summary of expenses, residential care providers, 2019-2020 to</w:t>
      </w:r>
      <w:r w:rsidR="00404445">
        <w:t xml:space="preserve"> 2021-22</w:t>
      </w:r>
      <w:bookmarkEnd w:id="239"/>
    </w:p>
    <w:tbl>
      <w:tblPr>
        <w:tblStyle w:val="DepartmentofHealthtable"/>
        <w:tblW w:w="5000" w:type="pct"/>
        <w:tblLook w:val="04A0" w:firstRow="1" w:lastRow="0" w:firstColumn="1" w:lastColumn="0" w:noHBand="0" w:noVBand="1"/>
      </w:tblPr>
      <w:tblGrid>
        <w:gridCol w:w="3746"/>
        <w:gridCol w:w="1104"/>
        <w:gridCol w:w="1104"/>
        <w:gridCol w:w="1006"/>
        <w:gridCol w:w="1104"/>
        <w:gridCol w:w="1006"/>
      </w:tblGrid>
      <w:tr w:rsidR="00701AAB" w:rsidRPr="00C505C7" w14:paraId="6DD950EF" w14:textId="77777777" w:rsidTr="00701AAB">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2065" w:type="pct"/>
            <w:noWrap/>
            <w:hideMark/>
          </w:tcPr>
          <w:p w14:paraId="601C5F87" w14:textId="77777777" w:rsidR="00C505C7" w:rsidRPr="00C505C7" w:rsidRDefault="00C505C7" w:rsidP="00FB50F3">
            <w:pPr>
              <w:pStyle w:val="TableHeaderWhite"/>
            </w:pPr>
            <w:r w:rsidRPr="00C505C7">
              <w:t>Expenses</w:t>
            </w:r>
          </w:p>
        </w:tc>
        <w:tc>
          <w:tcPr>
            <w:tcW w:w="609" w:type="pct"/>
            <w:hideMark/>
          </w:tcPr>
          <w:p w14:paraId="3B89B913" w14:textId="66CB1178" w:rsidR="00C505C7" w:rsidRPr="00C505C7" w:rsidRDefault="00C505C7" w:rsidP="00FB50F3">
            <w:pPr>
              <w:pStyle w:val="TableHeaderWhite"/>
              <w:cnfStyle w:val="100000000000" w:firstRow="1" w:lastRow="0" w:firstColumn="0" w:lastColumn="0" w:oddVBand="0" w:evenVBand="0" w:oddHBand="0" w:evenHBand="0" w:firstRowFirstColumn="0" w:firstRowLastColumn="0" w:lastRowFirstColumn="0" w:lastRowLastColumn="0"/>
            </w:pPr>
            <w:r w:rsidRPr="00C505C7">
              <w:t>2019-20 ($m)</w:t>
            </w:r>
          </w:p>
        </w:tc>
        <w:tc>
          <w:tcPr>
            <w:tcW w:w="609" w:type="pct"/>
            <w:hideMark/>
          </w:tcPr>
          <w:p w14:paraId="2D8DF17C" w14:textId="5A7C0FFD" w:rsidR="00C505C7" w:rsidRPr="00C505C7" w:rsidRDefault="00C505C7" w:rsidP="00FB50F3">
            <w:pPr>
              <w:pStyle w:val="TableHeaderWhite"/>
              <w:cnfStyle w:val="100000000000" w:firstRow="1" w:lastRow="0" w:firstColumn="0" w:lastColumn="0" w:oddVBand="0" w:evenVBand="0" w:oddHBand="0" w:evenHBand="0" w:firstRowFirstColumn="0" w:firstRowLastColumn="0" w:lastRowFirstColumn="0" w:lastRowLastColumn="0"/>
            </w:pPr>
            <w:r w:rsidRPr="00C505C7">
              <w:t>2020-21 ($m)</w:t>
            </w:r>
          </w:p>
        </w:tc>
        <w:tc>
          <w:tcPr>
            <w:tcW w:w="555" w:type="pct"/>
            <w:hideMark/>
          </w:tcPr>
          <w:p w14:paraId="3975E4E2" w14:textId="5C28570B" w:rsidR="00C505C7" w:rsidRPr="00C505C7" w:rsidRDefault="0081152A" w:rsidP="00FB50F3">
            <w:pPr>
              <w:pStyle w:val="TableHeaderWhite"/>
              <w:cnfStyle w:val="100000000000" w:firstRow="1" w:lastRow="0" w:firstColumn="0" w:lastColumn="0" w:oddVBand="0" w:evenVBand="0" w:oddHBand="0" w:evenHBand="0" w:firstRowFirstColumn="0" w:firstRowLastColumn="0" w:lastRowFirstColumn="0" w:lastRowLastColumn="0"/>
            </w:pPr>
            <w:r w:rsidRPr="007A3C08">
              <w:t>Change</w:t>
            </w:r>
            <w:r>
              <w:t xml:space="preserve"> from 2019-20 to 2020-21</w:t>
            </w:r>
            <w:r w:rsidRPr="007A3C08">
              <w:t xml:space="preserve"> ($m)</w:t>
            </w:r>
          </w:p>
        </w:tc>
        <w:tc>
          <w:tcPr>
            <w:tcW w:w="609" w:type="pct"/>
            <w:hideMark/>
          </w:tcPr>
          <w:p w14:paraId="7ADA8CD6" w14:textId="6FC8AB5B" w:rsidR="00C505C7" w:rsidRPr="00C505C7" w:rsidRDefault="00C505C7" w:rsidP="00FB50F3">
            <w:pPr>
              <w:pStyle w:val="TableHeaderWhite"/>
              <w:cnfStyle w:val="100000000000" w:firstRow="1" w:lastRow="0" w:firstColumn="0" w:lastColumn="0" w:oddVBand="0" w:evenVBand="0" w:oddHBand="0" w:evenHBand="0" w:firstRowFirstColumn="0" w:firstRowLastColumn="0" w:lastRowFirstColumn="0" w:lastRowLastColumn="0"/>
            </w:pPr>
            <w:r w:rsidRPr="00C505C7">
              <w:t>2021-22 ($m)</w:t>
            </w:r>
          </w:p>
        </w:tc>
        <w:tc>
          <w:tcPr>
            <w:tcW w:w="555" w:type="pct"/>
            <w:hideMark/>
          </w:tcPr>
          <w:p w14:paraId="2D59ECAC" w14:textId="58E0167F" w:rsidR="00C505C7" w:rsidRPr="00C505C7" w:rsidRDefault="0081152A" w:rsidP="00FB50F3">
            <w:pPr>
              <w:pStyle w:val="TableHeaderWhite"/>
              <w:cnfStyle w:val="100000000000" w:firstRow="1" w:lastRow="0" w:firstColumn="0" w:lastColumn="0" w:oddVBand="0" w:evenVBand="0" w:oddHBand="0" w:evenHBand="0" w:firstRowFirstColumn="0" w:firstRowLastColumn="0" w:lastRowFirstColumn="0" w:lastRowLastColumn="0"/>
            </w:pPr>
            <w:r w:rsidRPr="007A3C08">
              <w:t>Change</w:t>
            </w:r>
            <w:r>
              <w:t xml:space="preserve"> from 2020-2</w:t>
            </w:r>
            <w:r w:rsidR="00E808C9">
              <w:t>1</w:t>
            </w:r>
            <w:r>
              <w:t xml:space="preserve"> to 202</w:t>
            </w:r>
            <w:r w:rsidR="00A953C9">
              <w:t>1</w:t>
            </w:r>
            <w:r>
              <w:t>-2</w:t>
            </w:r>
            <w:r w:rsidR="00A953C9">
              <w:t>2</w:t>
            </w:r>
            <w:r w:rsidRPr="007A3C08">
              <w:t xml:space="preserve"> ($m)</w:t>
            </w:r>
          </w:p>
        </w:tc>
      </w:tr>
      <w:tr w:rsidR="00546D30" w:rsidRPr="00C505C7" w14:paraId="644036B7" w14:textId="77777777" w:rsidTr="00701AAB">
        <w:trPr>
          <w:trHeight w:val="300"/>
        </w:trPr>
        <w:tc>
          <w:tcPr>
            <w:cnfStyle w:val="001000000000" w:firstRow="0" w:lastRow="0" w:firstColumn="1" w:lastColumn="0" w:oddVBand="0" w:evenVBand="0" w:oddHBand="0" w:evenHBand="0" w:firstRowFirstColumn="0" w:firstRowLastColumn="0" w:lastRowFirstColumn="0" w:lastRowLastColumn="0"/>
            <w:tcW w:w="2065" w:type="pct"/>
            <w:noWrap/>
            <w:hideMark/>
          </w:tcPr>
          <w:p w14:paraId="4502C17B" w14:textId="77777777" w:rsidR="00C505C7" w:rsidRPr="00C505C7" w:rsidRDefault="00C505C7" w:rsidP="00FB50F3">
            <w:pPr>
              <w:pStyle w:val="TableofAuthorities"/>
              <w:rPr>
                <w:lang w:eastAsia="en-AU"/>
              </w:rPr>
            </w:pPr>
            <w:r w:rsidRPr="00C505C7">
              <w:rPr>
                <w:lang w:eastAsia="en-AU"/>
              </w:rPr>
              <w:t>Employee</w:t>
            </w:r>
          </w:p>
        </w:tc>
        <w:tc>
          <w:tcPr>
            <w:tcW w:w="609" w:type="pct"/>
            <w:hideMark/>
          </w:tcPr>
          <w:p w14:paraId="15C571D0"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$13,965.10</w:t>
            </w:r>
          </w:p>
        </w:tc>
        <w:tc>
          <w:tcPr>
            <w:tcW w:w="609" w:type="pct"/>
            <w:hideMark/>
          </w:tcPr>
          <w:p w14:paraId="52AC0224"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$14,814.00</w:t>
            </w:r>
          </w:p>
        </w:tc>
        <w:tc>
          <w:tcPr>
            <w:tcW w:w="555" w:type="pct"/>
            <w:hideMark/>
          </w:tcPr>
          <w:p w14:paraId="2BDB0728"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$848.90</w:t>
            </w:r>
          </w:p>
        </w:tc>
        <w:tc>
          <w:tcPr>
            <w:tcW w:w="609" w:type="pct"/>
            <w:hideMark/>
          </w:tcPr>
          <w:p w14:paraId="0CAE4879"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$15,910.50</w:t>
            </w:r>
          </w:p>
        </w:tc>
        <w:tc>
          <w:tcPr>
            <w:tcW w:w="555" w:type="pct"/>
            <w:hideMark/>
          </w:tcPr>
          <w:p w14:paraId="151F139D"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$1,096.50</w:t>
            </w:r>
          </w:p>
        </w:tc>
      </w:tr>
      <w:tr w:rsidR="00546D30" w:rsidRPr="00C505C7" w14:paraId="145E8365" w14:textId="77777777" w:rsidTr="00701AAB">
        <w:trPr>
          <w:trHeight w:val="300"/>
        </w:trPr>
        <w:tc>
          <w:tcPr>
            <w:cnfStyle w:val="001000000000" w:firstRow="0" w:lastRow="0" w:firstColumn="1" w:lastColumn="0" w:oddVBand="0" w:evenVBand="0" w:oddHBand="0" w:evenHBand="0" w:firstRowFirstColumn="0" w:firstRowLastColumn="0" w:lastRowFirstColumn="0" w:lastRowLastColumn="0"/>
            <w:tcW w:w="2065" w:type="pct"/>
            <w:noWrap/>
            <w:hideMark/>
          </w:tcPr>
          <w:p w14:paraId="0E7FEBAA" w14:textId="77777777" w:rsidR="00C505C7" w:rsidRPr="00C505C7" w:rsidRDefault="00C505C7" w:rsidP="00FB50F3">
            <w:pPr>
              <w:pStyle w:val="TableofAuthorities"/>
              <w:rPr>
                <w:lang w:eastAsia="en-AU"/>
              </w:rPr>
            </w:pPr>
            <w:r w:rsidRPr="00C505C7">
              <w:rPr>
                <w:lang w:eastAsia="en-AU"/>
              </w:rPr>
              <w:t>Depreciation</w:t>
            </w:r>
          </w:p>
        </w:tc>
        <w:tc>
          <w:tcPr>
            <w:tcW w:w="609" w:type="pct"/>
            <w:hideMark/>
          </w:tcPr>
          <w:p w14:paraId="5C80A2C9"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$1,267.30</w:t>
            </w:r>
          </w:p>
        </w:tc>
        <w:tc>
          <w:tcPr>
            <w:tcW w:w="609" w:type="pct"/>
            <w:hideMark/>
          </w:tcPr>
          <w:p w14:paraId="4DF1E48B"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$1,137.40</w:t>
            </w:r>
          </w:p>
        </w:tc>
        <w:tc>
          <w:tcPr>
            <w:tcW w:w="555" w:type="pct"/>
            <w:hideMark/>
          </w:tcPr>
          <w:p w14:paraId="53D97512" w14:textId="56CF173B" w:rsidR="00C505C7" w:rsidRPr="00C505C7" w:rsidRDefault="0027021A"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860CB">
              <w:rPr>
                <w:lang w:eastAsia="en-AU"/>
              </w:rPr>
              <w:t>(</w:t>
            </w:r>
            <w:r w:rsidR="00C505C7" w:rsidRPr="00C505C7">
              <w:rPr>
                <w:lang w:eastAsia="en-AU"/>
              </w:rPr>
              <w:t>$129.90</w:t>
            </w:r>
            <w:r w:rsidRPr="00D860CB">
              <w:rPr>
                <w:lang w:eastAsia="en-AU"/>
              </w:rPr>
              <w:t>)</w:t>
            </w:r>
          </w:p>
        </w:tc>
        <w:tc>
          <w:tcPr>
            <w:tcW w:w="609" w:type="pct"/>
            <w:hideMark/>
          </w:tcPr>
          <w:p w14:paraId="586D25CE"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$1,245.00</w:t>
            </w:r>
          </w:p>
        </w:tc>
        <w:tc>
          <w:tcPr>
            <w:tcW w:w="555" w:type="pct"/>
            <w:hideMark/>
          </w:tcPr>
          <w:p w14:paraId="6E5029BF"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$107.60</w:t>
            </w:r>
          </w:p>
        </w:tc>
      </w:tr>
      <w:tr w:rsidR="00546D30" w:rsidRPr="00C505C7" w14:paraId="7535982D" w14:textId="77777777" w:rsidTr="00701AAB">
        <w:trPr>
          <w:trHeight w:val="300"/>
        </w:trPr>
        <w:tc>
          <w:tcPr>
            <w:cnfStyle w:val="001000000000" w:firstRow="0" w:lastRow="0" w:firstColumn="1" w:lastColumn="0" w:oddVBand="0" w:evenVBand="0" w:oddHBand="0" w:evenHBand="0" w:firstRowFirstColumn="0" w:firstRowLastColumn="0" w:lastRowFirstColumn="0" w:lastRowLastColumn="0"/>
            <w:tcW w:w="2065" w:type="pct"/>
            <w:noWrap/>
            <w:hideMark/>
          </w:tcPr>
          <w:p w14:paraId="08E368AD" w14:textId="77777777" w:rsidR="00C505C7" w:rsidRPr="00C505C7" w:rsidRDefault="00C505C7" w:rsidP="00FB50F3">
            <w:pPr>
              <w:pStyle w:val="TableofAuthorities"/>
              <w:rPr>
                <w:lang w:eastAsia="en-AU"/>
              </w:rPr>
            </w:pPr>
            <w:r w:rsidRPr="00C505C7">
              <w:rPr>
                <w:lang w:eastAsia="en-AU"/>
              </w:rPr>
              <w:t>Financing interest</w:t>
            </w:r>
          </w:p>
        </w:tc>
        <w:tc>
          <w:tcPr>
            <w:tcW w:w="609" w:type="pct"/>
            <w:hideMark/>
          </w:tcPr>
          <w:p w14:paraId="1733640E"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$323.60</w:t>
            </w:r>
          </w:p>
        </w:tc>
        <w:tc>
          <w:tcPr>
            <w:tcW w:w="609" w:type="pct"/>
            <w:hideMark/>
          </w:tcPr>
          <w:p w14:paraId="29923133"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$96.70</w:t>
            </w:r>
          </w:p>
        </w:tc>
        <w:tc>
          <w:tcPr>
            <w:tcW w:w="555" w:type="pct"/>
            <w:hideMark/>
          </w:tcPr>
          <w:p w14:paraId="68762946" w14:textId="1BFD0C58" w:rsidR="00C505C7" w:rsidRPr="00C505C7" w:rsidRDefault="0027021A"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860CB">
              <w:rPr>
                <w:lang w:eastAsia="en-AU"/>
              </w:rPr>
              <w:t>(</w:t>
            </w:r>
            <w:r w:rsidR="00C505C7" w:rsidRPr="00C505C7">
              <w:rPr>
                <w:lang w:eastAsia="en-AU"/>
              </w:rPr>
              <w:t>$226.90</w:t>
            </w:r>
            <w:r w:rsidRPr="00D860CB">
              <w:rPr>
                <w:lang w:eastAsia="en-AU"/>
              </w:rPr>
              <w:t>)</w:t>
            </w:r>
          </w:p>
        </w:tc>
        <w:tc>
          <w:tcPr>
            <w:tcW w:w="609" w:type="pct"/>
            <w:hideMark/>
          </w:tcPr>
          <w:p w14:paraId="181A41AB"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$89.30</w:t>
            </w:r>
          </w:p>
        </w:tc>
        <w:tc>
          <w:tcPr>
            <w:tcW w:w="555" w:type="pct"/>
            <w:hideMark/>
          </w:tcPr>
          <w:p w14:paraId="4255EB6D" w14:textId="12078AD8" w:rsidR="00C505C7" w:rsidRPr="00C505C7" w:rsidRDefault="0027021A"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860CB">
              <w:rPr>
                <w:lang w:eastAsia="en-AU"/>
              </w:rPr>
              <w:t>(</w:t>
            </w:r>
            <w:r w:rsidR="00C505C7" w:rsidRPr="00C505C7">
              <w:rPr>
                <w:lang w:eastAsia="en-AU"/>
              </w:rPr>
              <w:t>$7.40</w:t>
            </w:r>
            <w:r w:rsidRPr="00D860CB">
              <w:rPr>
                <w:lang w:eastAsia="en-AU"/>
              </w:rPr>
              <w:t>)</w:t>
            </w:r>
          </w:p>
        </w:tc>
      </w:tr>
      <w:tr w:rsidR="00546D30" w:rsidRPr="00C505C7" w14:paraId="443F3C99" w14:textId="77777777" w:rsidTr="00701AAB">
        <w:trPr>
          <w:trHeight w:val="300"/>
        </w:trPr>
        <w:tc>
          <w:tcPr>
            <w:cnfStyle w:val="001000000000" w:firstRow="0" w:lastRow="0" w:firstColumn="1" w:lastColumn="0" w:oddVBand="0" w:evenVBand="0" w:oddHBand="0" w:evenHBand="0" w:firstRowFirstColumn="0" w:firstRowLastColumn="0" w:lastRowFirstColumn="0" w:lastRowLastColumn="0"/>
            <w:tcW w:w="2065" w:type="pct"/>
            <w:noWrap/>
            <w:hideMark/>
          </w:tcPr>
          <w:p w14:paraId="241BDF8D" w14:textId="77777777" w:rsidR="00C505C7" w:rsidRPr="00C505C7" w:rsidRDefault="00C505C7" w:rsidP="00FB50F3">
            <w:pPr>
              <w:pStyle w:val="TableofAuthorities"/>
              <w:rPr>
                <w:lang w:eastAsia="en-AU"/>
              </w:rPr>
            </w:pPr>
            <w:r w:rsidRPr="00C505C7">
              <w:rPr>
                <w:lang w:eastAsia="en-AU"/>
              </w:rPr>
              <w:t>Revaluation of assets (decrease)/Impairment</w:t>
            </w:r>
          </w:p>
        </w:tc>
        <w:tc>
          <w:tcPr>
            <w:tcW w:w="609" w:type="pct"/>
            <w:hideMark/>
          </w:tcPr>
          <w:p w14:paraId="5C5BD899"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351.64</w:t>
            </w:r>
          </w:p>
        </w:tc>
        <w:tc>
          <w:tcPr>
            <w:tcW w:w="609" w:type="pct"/>
            <w:hideMark/>
          </w:tcPr>
          <w:p w14:paraId="4A913E26"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383.01</w:t>
            </w:r>
          </w:p>
        </w:tc>
        <w:tc>
          <w:tcPr>
            <w:tcW w:w="555" w:type="pct"/>
            <w:hideMark/>
          </w:tcPr>
          <w:p w14:paraId="410A061B"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$31.40</w:t>
            </w:r>
          </w:p>
        </w:tc>
        <w:tc>
          <w:tcPr>
            <w:tcW w:w="609" w:type="pct"/>
            <w:hideMark/>
          </w:tcPr>
          <w:p w14:paraId="38990C88"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$194.00</w:t>
            </w:r>
          </w:p>
        </w:tc>
        <w:tc>
          <w:tcPr>
            <w:tcW w:w="555" w:type="pct"/>
            <w:hideMark/>
          </w:tcPr>
          <w:p w14:paraId="62828543" w14:textId="2F6E2C1A" w:rsidR="00C505C7" w:rsidRPr="00C505C7" w:rsidRDefault="0027021A"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D860CB">
              <w:rPr>
                <w:lang w:eastAsia="en-AU"/>
              </w:rPr>
              <w:t>(</w:t>
            </w:r>
            <w:r w:rsidR="00C505C7" w:rsidRPr="00C505C7">
              <w:rPr>
                <w:lang w:eastAsia="en-AU"/>
              </w:rPr>
              <w:t>$189.00</w:t>
            </w:r>
            <w:r w:rsidRPr="00D860CB">
              <w:rPr>
                <w:lang w:eastAsia="en-AU"/>
              </w:rPr>
              <w:t>)</w:t>
            </w:r>
          </w:p>
        </w:tc>
      </w:tr>
      <w:tr w:rsidR="00546D30" w:rsidRPr="00C505C7" w14:paraId="70989B90" w14:textId="77777777" w:rsidTr="00701AAB">
        <w:trPr>
          <w:trHeight w:val="300"/>
        </w:trPr>
        <w:tc>
          <w:tcPr>
            <w:cnfStyle w:val="001000000000" w:firstRow="0" w:lastRow="0" w:firstColumn="1" w:lastColumn="0" w:oddVBand="0" w:evenVBand="0" w:oddHBand="0" w:evenHBand="0" w:firstRowFirstColumn="0" w:firstRowLastColumn="0" w:lastRowFirstColumn="0" w:lastRowLastColumn="0"/>
            <w:tcW w:w="2065" w:type="pct"/>
            <w:noWrap/>
            <w:hideMark/>
          </w:tcPr>
          <w:p w14:paraId="49048A94" w14:textId="77777777" w:rsidR="00C505C7" w:rsidRPr="00C505C7" w:rsidRDefault="00C505C7" w:rsidP="00FB50F3">
            <w:pPr>
              <w:pStyle w:val="TableofAuthorities"/>
              <w:rPr>
                <w:lang w:eastAsia="en-AU"/>
              </w:rPr>
            </w:pPr>
            <w:r w:rsidRPr="00C505C7">
              <w:rPr>
                <w:lang w:eastAsia="en-AU"/>
              </w:rPr>
              <w:t>Other expenses</w:t>
            </w:r>
          </w:p>
        </w:tc>
        <w:tc>
          <w:tcPr>
            <w:tcW w:w="609" w:type="pct"/>
            <w:hideMark/>
          </w:tcPr>
          <w:p w14:paraId="4E45372B"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$5,365.30</w:t>
            </w:r>
          </w:p>
        </w:tc>
        <w:tc>
          <w:tcPr>
            <w:tcW w:w="609" w:type="pct"/>
            <w:hideMark/>
          </w:tcPr>
          <w:p w14:paraId="50623992"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$5,900.90</w:t>
            </w:r>
          </w:p>
        </w:tc>
        <w:tc>
          <w:tcPr>
            <w:tcW w:w="555" w:type="pct"/>
            <w:hideMark/>
          </w:tcPr>
          <w:p w14:paraId="634784C8"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$535.60</w:t>
            </w:r>
          </w:p>
        </w:tc>
        <w:tc>
          <w:tcPr>
            <w:tcW w:w="609" w:type="pct"/>
            <w:hideMark/>
          </w:tcPr>
          <w:p w14:paraId="49BDD854"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$6,899.80</w:t>
            </w:r>
          </w:p>
        </w:tc>
        <w:tc>
          <w:tcPr>
            <w:tcW w:w="555" w:type="pct"/>
            <w:hideMark/>
          </w:tcPr>
          <w:p w14:paraId="1320E908" w14:textId="77777777" w:rsidR="00C505C7" w:rsidRPr="00C505C7" w:rsidRDefault="00C505C7" w:rsidP="00FB50F3">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$998.90</w:t>
            </w:r>
          </w:p>
        </w:tc>
      </w:tr>
      <w:tr w:rsidR="008867F7" w:rsidRPr="00C505C7" w14:paraId="60C3B189" w14:textId="77777777" w:rsidTr="00701AAB">
        <w:trPr>
          <w:trHeight w:val="300"/>
        </w:trPr>
        <w:tc>
          <w:tcPr>
            <w:cnfStyle w:val="001000000000" w:firstRow="0" w:lastRow="0" w:firstColumn="1" w:lastColumn="0" w:oddVBand="0" w:evenVBand="0" w:oddHBand="0" w:evenHBand="0" w:firstRowFirstColumn="0" w:firstRowLastColumn="0" w:lastRowFirstColumn="0" w:lastRowLastColumn="0"/>
            <w:tcW w:w="2065" w:type="pct"/>
            <w:shd w:val="clear" w:color="auto" w:fill="D8DBDB" w:themeFill="background2" w:themeFillShade="E6"/>
            <w:noWrap/>
            <w:hideMark/>
          </w:tcPr>
          <w:p w14:paraId="2994E457" w14:textId="77777777" w:rsidR="00C505C7" w:rsidRPr="00C505C7" w:rsidRDefault="00C505C7" w:rsidP="00FB50F3">
            <w:pPr>
              <w:pStyle w:val="TableParagraphbold"/>
              <w:rPr>
                <w:lang w:eastAsia="en-AU"/>
              </w:rPr>
            </w:pPr>
            <w:r w:rsidRPr="00C505C7">
              <w:rPr>
                <w:lang w:eastAsia="en-AU"/>
              </w:rPr>
              <w:t>Total expenses</w:t>
            </w:r>
          </w:p>
        </w:tc>
        <w:tc>
          <w:tcPr>
            <w:tcW w:w="609" w:type="pct"/>
            <w:shd w:val="clear" w:color="auto" w:fill="D8DBDB" w:themeFill="background2" w:themeFillShade="E6"/>
            <w:hideMark/>
          </w:tcPr>
          <w:p w14:paraId="5008AF5A" w14:textId="77777777" w:rsidR="00C505C7" w:rsidRPr="00C505C7" w:rsidRDefault="00C505C7" w:rsidP="00FB50F3">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$21,272.90</w:t>
            </w:r>
          </w:p>
        </w:tc>
        <w:tc>
          <w:tcPr>
            <w:tcW w:w="609" w:type="pct"/>
            <w:shd w:val="clear" w:color="auto" w:fill="D8DBDB" w:themeFill="background2" w:themeFillShade="E6"/>
            <w:hideMark/>
          </w:tcPr>
          <w:p w14:paraId="783BF00D" w14:textId="77777777" w:rsidR="00C505C7" w:rsidRPr="00C505C7" w:rsidRDefault="00C505C7" w:rsidP="00FB50F3">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$22,332.10</w:t>
            </w:r>
          </w:p>
        </w:tc>
        <w:tc>
          <w:tcPr>
            <w:tcW w:w="555" w:type="pct"/>
            <w:shd w:val="clear" w:color="auto" w:fill="D8DBDB" w:themeFill="background2" w:themeFillShade="E6"/>
            <w:hideMark/>
          </w:tcPr>
          <w:p w14:paraId="2E751331" w14:textId="77777777" w:rsidR="00C505C7" w:rsidRPr="00C505C7" w:rsidRDefault="00C505C7" w:rsidP="00FB50F3">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$1,059.20</w:t>
            </w:r>
          </w:p>
        </w:tc>
        <w:tc>
          <w:tcPr>
            <w:tcW w:w="609" w:type="pct"/>
            <w:shd w:val="clear" w:color="auto" w:fill="D8DBDB" w:themeFill="background2" w:themeFillShade="E6"/>
            <w:hideMark/>
          </w:tcPr>
          <w:p w14:paraId="5C6E0B00" w14:textId="77777777" w:rsidR="00C505C7" w:rsidRPr="00C505C7" w:rsidRDefault="00C505C7" w:rsidP="00FB50F3">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$24,338.60</w:t>
            </w:r>
          </w:p>
        </w:tc>
        <w:tc>
          <w:tcPr>
            <w:tcW w:w="555" w:type="pct"/>
            <w:shd w:val="clear" w:color="auto" w:fill="D8DBDB" w:themeFill="background2" w:themeFillShade="E6"/>
            <w:hideMark/>
          </w:tcPr>
          <w:p w14:paraId="04A8F4CB" w14:textId="77777777" w:rsidR="00C505C7" w:rsidRPr="00C505C7" w:rsidRDefault="00C505C7" w:rsidP="00FB50F3">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C505C7">
              <w:rPr>
                <w:lang w:eastAsia="en-AU"/>
              </w:rPr>
              <w:t>$2,006.50</w:t>
            </w:r>
          </w:p>
        </w:tc>
      </w:tr>
    </w:tbl>
    <w:p w14:paraId="3B851052" w14:textId="6B7D4ECC" w:rsidR="006E4876" w:rsidRPr="00221E44" w:rsidRDefault="00221E44" w:rsidP="00FB50F3">
      <w:pPr>
        <w:pStyle w:val="FootnoteText"/>
      </w:pPr>
      <w:r w:rsidRPr="00221E44">
        <w:t>Notes</w:t>
      </w:r>
      <w:r>
        <w:t>:</w:t>
      </w:r>
    </w:p>
    <w:p w14:paraId="2B083E3E" w14:textId="29B3F836" w:rsidR="00221E44" w:rsidRPr="005C6272" w:rsidRDefault="00221E44" w:rsidP="00143EBD">
      <w:pPr>
        <w:pStyle w:val="Footnotetextlist"/>
        <w:numPr>
          <w:ilvl w:val="0"/>
          <w:numId w:val="18"/>
        </w:numPr>
      </w:pPr>
      <w:r w:rsidRPr="005C6272">
        <w:t xml:space="preserve">The increase in </w:t>
      </w:r>
      <w:proofErr w:type="gramStart"/>
      <w:r w:rsidRPr="005C6272">
        <w:t>Other</w:t>
      </w:r>
      <w:proofErr w:type="gramEnd"/>
      <w:r w:rsidRPr="005C6272">
        <w:t xml:space="preserve"> expenses includes $</w:t>
      </w:r>
      <w:r w:rsidR="001E0550">
        <w:t>813</w:t>
      </w:r>
      <w:r w:rsidRPr="005C6272">
        <w:t xml:space="preserve"> million increase in </w:t>
      </w:r>
      <w:r w:rsidR="157B3C4F" w:rsidRPr="434396CD">
        <w:t xml:space="preserve">bed licence </w:t>
      </w:r>
      <w:r w:rsidRPr="005C6272">
        <w:t xml:space="preserve">amortisation </w:t>
      </w:r>
      <w:r w:rsidR="5101F058" w:rsidRPr="434396CD">
        <w:t>as a result of the removal of the ACAR.</w:t>
      </w:r>
    </w:p>
    <w:p w14:paraId="57FD70C9" w14:textId="5E56995D" w:rsidR="00887A94" w:rsidRDefault="0096606A" w:rsidP="00887A94">
      <w:r>
        <w:rPr>
          <w:color w:val="FF0000"/>
        </w:rPr>
        <w:fldChar w:fldCharType="begin"/>
      </w:r>
      <w:r>
        <w:rPr>
          <w:color w:val="FF0000"/>
        </w:rPr>
        <w:instrText xml:space="preserve"> REF _Ref139553525 \h </w:instrText>
      </w:r>
      <w:r>
        <w:rPr>
          <w:color w:val="FF0000"/>
        </w:rPr>
      </w:r>
      <w:r>
        <w:rPr>
          <w:color w:val="FF0000"/>
        </w:rPr>
        <w:fldChar w:fldCharType="separate"/>
      </w:r>
      <w:r w:rsidR="00294B02">
        <w:t xml:space="preserve">Chart </w:t>
      </w:r>
      <w:r w:rsidR="00294B02">
        <w:rPr>
          <w:noProof/>
        </w:rPr>
        <w:t>3</w:t>
      </w:r>
      <w:r w:rsidR="00294B02">
        <w:t>.</w:t>
      </w:r>
      <w:r w:rsidR="00294B02">
        <w:rPr>
          <w:noProof/>
        </w:rPr>
        <w:t>6</w:t>
      </w:r>
      <w:r>
        <w:rPr>
          <w:color w:val="FF0000"/>
        </w:rPr>
        <w:fldChar w:fldCharType="end"/>
      </w:r>
      <w:r w:rsidR="003446AD">
        <w:rPr>
          <w:color w:val="FF0000"/>
        </w:rPr>
        <w:t xml:space="preserve"> </w:t>
      </w:r>
      <w:r w:rsidR="00887A94">
        <w:t xml:space="preserve">presents the </w:t>
      </w:r>
      <w:r w:rsidR="0010340D">
        <w:t>key categories of</w:t>
      </w:r>
      <w:r w:rsidR="00887A94">
        <w:t xml:space="preserve"> expenses for </w:t>
      </w:r>
      <w:r w:rsidR="002357EA">
        <w:t>providers in</w:t>
      </w:r>
      <w:r w:rsidR="00887A94">
        <w:t xml:space="preserve"> 2021-22 as a proportion</w:t>
      </w:r>
      <w:r w:rsidR="00887A94">
        <w:rPr>
          <w:spacing w:val="-11"/>
        </w:rPr>
        <w:t xml:space="preserve"> </w:t>
      </w:r>
      <w:r w:rsidR="00887A94">
        <w:t>of</w:t>
      </w:r>
      <w:r w:rsidR="00887A94">
        <w:rPr>
          <w:spacing w:val="-11"/>
        </w:rPr>
        <w:t xml:space="preserve"> </w:t>
      </w:r>
      <w:r w:rsidR="00887A94">
        <w:t>total</w:t>
      </w:r>
      <w:r w:rsidR="00887A94">
        <w:rPr>
          <w:spacing w:val="-10"/>
        </w:rPr>
        <w:t xml:space="preserve"> </w:t>
      </w:r>
      <w:r w:rsidR="00887A94">
        <w:t>expenses.</w:t>
      </w:r>
      <w:r w:rsidR="00887A94">
        <w:rPr>
          <w:spacing w:val="-11"/>
        </w:rPr>
        <w:t xml:space="preserve"> </w:t>
      </w:r>
      <w:r w:rsidR="00887A94">
        <w:t>Employee</w:t>
      </w:r>
      <w:r w:rsidR="00887A94">
        <w:rPr>
          <w:spacing w:val="-11"/>
        </w:rPr>
        <w:t xml:space="preserve"> </w:t>
      </w:r>
      <w:r w:rsidR="00887A94">
        <w:t>expenses</w:t>
      </w:r>
      <w:r w:rsidR="00887A94">
        <w:rPr>
          <w:spacing w:val="-10"/>
        </w:rPr>
        <w:t xml:space="preserve"> </w:t>
      </w:r>
      <w:r w:rsidR="00887A94">
        <w:t>represent 6</w:t>
      </w:r>
      <w:r w:rsidR="00B20EA8">
        <w:t>5</w:t>
      </w:r>
      <w:r w:rsidR="00887A94">
        <w:rPr>
          <w:spacing w:val="-7"/>
        </w:rPr>
        <w:t xml:space="preserve"> </w:t>
      </w:r>
      <w:r w:rsidR="00887A94">
        <w:t>per</w:t>
      </w:r>
      <w:r w:rsidR="00887A94">
        <w:rPr>
          <w:spacing w:val="-7"/>
        </w:rPr>
        <w:t xml:space="preserve"> </w:t>
      </w:r>
      <w:r w:rsidR="00887A94">
        <w:t>cent</w:t>
      </w:r>
      <w:r w:rsidR="00887A94">
        <w:rPr>
          <w:spacing w:val="-2"/>
        </w:rPr>
        <w:t xml:space="preserve"> </w:t>
      </w:r>
      <w:r w:rsidR="00887A94">
        <w:t>of</w:t>
      </w:r>
      <w:r w:rsidR="00887A94">
        <w:rPr>
          <w:spacing w:val="-2"/>
        </w:rPr>
        <w:t xml:space="preserve"> </w:t>
      </w:r>
      <w:r w:rsidR="00887A94">
        <w:t>the</w:t>
      </w:r>
      <w:r w:rsidR="00887A94">
        <w:rPr>
          <w:spacing w:val="-2"/>
        </w:rPr>
        <w:t xml:space="preserve"> </w:t>
      </w:r>
      <w:r w:rsidR="00887A94">
        <w:t>total</w:t>
      </w:r>
      <w:r w:rsidR="00887A94">
        <w:rPr>
          <w:spacing w:val="-2"/>
        </w:rPr>
        <w:t xml:space="preserve"> </w:t>
      </w:r>
      <w:r w:rsidR="00887A94">
        <w:t>expenses</w:t>
      </w:r>
      <w:r w:rsidR="00887A94">
        <w:rPr>
          <w:spacing w:val="-2"/>
        </w:rPr>
        <w:t xml:space="preserve"> </w:t>
      </w:r>
      <w:r w:rsidR="00887A94">
        <w:t>incurred</w:t>
      </w:r>
      <w:r w:rsidR="00887A94">
        <w:rPr>
          <w:spacing w:val="-2"/>
        </w:rPr>
        <w:t xml:space="preserve"> </w:t>
      </w:r>
      <w:r w:rsidR="00887A94">
        <w:t>by</w:t>
      </w:r>
      <w:r w:rsidR="00887A94">
        <w:rPr>
          <w:spacing w:val="-2"/>
        </w:rPr>
        <w:t xml:space="preserve"> </w:t>
      </w:r>
      <w:r w:rsidR="00887A94">
        <w:t>providers, a similar proportion to 2020</w:t>
      </w:r>
      <w:r w:rsidR="00B20EA8">
        <w:t>-21</w:t>
      </w:r>
      <w:r w:rsidR="00887A94">
        <w:t>. Other expenses represent</w:t>
      </w:r>
      <w:r w:rsidR="00B20EA8">
        <w:t xml:space="preserve"> </w:t>
      </w:r>
      <w:r w:rsidR="009B1EEC">
        <w:t>the next largest category, at</w:t>
      </w:r>
      <w:r w:rsidR="00B20EA8">
        <w:t xml:space="preserve"> </w:t>
      </w:r>
      <w:r w:rsidR="00887A94">
        <w:t>2</w:t>
      </w:r>
      <w:r w:rsidR="00B20EA8">
        <w:t>8</w:t>
      </w:r>
      <w:r w:rsidR="00887A94">
        <w:t xml:space="preserve"> per cent of total costs. Other expenses include</w:t>
      </w:r>
      <w:r w:rsidR="00D35A21">
        <w:t xml:space="preserve"> amortisation</w:t>
      </w:r>
      <w:r w:rsidR="00316C22">
        <w:t>,</w:t>
      </w:r>
      <w:r w:rsidR="00887A94">
        <w:t xml:space="preserve"> building repairs and maintenance expenses, rent, utilities and costs associated with employment support activities, </w:t>
      </w:r>
      <w:proofErr w:type="gramStart"/>
      <w:r w:rsidR="00887A94">
        <w:t>cleaning</w:t>
      </w:r>
      <w:proofErr w:type="gramEnd"/>
      <w:r w:rsidR="00887A94">
        <w:t xml:space="preserve"> and administration.</w:t>
      </w:r>
    </w:p>
    <w:p w14:paraId="153B4AC0" w14:textId="53E42805" w:rsidR="006E4876" w:rsidRDefault="0096606A" w:rsidP="00966B51">
      <w:bookmarkStart w:id="240" w:name="_Ref139553525"/>
      <w:bookmarkStart w:id="241" w:name="_Toc149245225"/>
      <w:r>
        <w:lastRenderedPageBreak/>
        <w:t xml:space="preserve">Chart </w:t>
      </w:r>
      <w:r>
        <w:fldChar w:fldCharType="begin"/>
      </w:r>
      <w:r>
        <w:instrText>STYLEREF 1 \s</w:instrText>
      </w:r>
      <w:r>
        <w:fldChar w:fldCharType="separate"/>
      </w:r>
      <w:r w:rsidR="00294B02">
        <w:rPr>
          <w:noProof/>
        </w:rPr>
        <w:t>3</w:t>
      </w:r>
      <w:r>
        <w:fldChar w:fldCharType="end"/>
      </w:r>
      <w:r w:rsidR="00434A28">
        <w:t>.</w:t>
      </w:r>
      <w:r>
        <w:fldChar w:fldCharType="begin"/>
      </w:r>
      <w:r>
        <w:instrText>SEQ Chart \* ARABIC \s 1</w:instrText>
      </w:r>
      <w:r>
        <w:fldChar w:fldCharType="separate"/>
      </w:r>
      <w:r w:rsidR="00294B02">
        <w:rPr>
          <w:noProof/>
        </w:rPr>
        <w:t>6</w:t>
      </w:r>
      <w:r>
        <w:fldChar w:fldCharType="end"/>
      </w:r>
      <w:bookmarkEnd w:id="240"/>
      <w:r>
        <w:t xml:space="preserve">: </w:t>
      </w:r>
      <w:r w:rsidRPr="00D71B66">
        <w:t>Proportion of residential care provider total expenses, 2021-22 ($m)</w:t>
      </w:r>
      <w:r w:rsidR="00E4604D" w:rsidRPr="00966B51">
        <w:rPr>
          <w:noProof/>
        </w:rPr>
        <w:drawing>
          <wp:inline distT="0" distB="0" distL="0" distR="0" wp14:anchorId="2AA38634" wp14:editId="171F9729">
            <wp:extent cx="5834380" cy="3474720"/>
            <wp:effectExtent l="0" t="0" r="0" b="0"/>
            <wp:docPr id="554974755" name="Picture 554974755" descr="Chart 3.6 is a doughnut chart titled Proportion of residential care provider total expenses, 2021-22 ($m). Employee costs represent 65.4 per cent of the total expenses incurred by providers. Other expenses was the next largest expense and represented 28.3 per cent of total co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74755" name="Picture 554974755" descr="Chart 3.6 is a doughnut chart titled Proportion of residential care provider total expenses, 2021-22 ($m). Employee costs represent 65.4 per cent of the total expenses incurred by providers. Other expenses was the next largest expense and represented 28.3 per cent of total costs.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4380" cy="3474720"/>
                    </a:xfrm>
                    <a:prstGeom prst="rect">
                      <a:avLst/>
                    </a:prstGeom>
                    <a:noFill/>
                  </pic:spPr>
                </pic:pic>
              </a:graphicData>
            </a:graphic>
          </wp:inline>
        </w:drawing>
      </w:r>
      <w:bookmarkEnd w:id="241"/>
    </w:p>
    <w:p w14:paraId="24DD1757" w14:textId="3BAD09E3" w:rsidR="006E4876" w:rsidRPr="00966B51" w:rsidRDefault="0096606A" w:rsidP="00552402">
      <w:r>
        <w:rPr>
          <w:color w:val="FF0000"/>
        </w:rPr>
        <w:fldChar w:fldCharType="begin"/>
      </w:r>
      <w:r>
        <w:rPr>
          <w:color w:val="FF0000"/>
        </w:rPr>
        <w:instrText xml:space="preserve"> REF _Ref139553556 \h </w:instrText>
      </w:r>
      <w:r>
        <w:rPr>
          <w:color w:val="FF0000"/>
        </w:rPr>
      </w:r>
      <w:r>
        <w:rPr>
          <w:color w:val="FF0000"/>
        </w:rPr>
        <w:fldChar w:fldCharType="separate"/>
      </w:r>
      <w:r w:rsidR="00294B02">
        <w:t xml:space="preserve">Table </w:t>
      </w:r>
      <w:r w:rsidR="00294B02">
        <w:rPr>
          <w:noProof/>
        </w:rPr>
        <w:t>3</w:t>
      </w:r>
      <w:r w:rsidR="00294B02">
        <w:t>.</w:t>
      </w:r>
      <w:r w:rsidR="00294B02">
        <w:rPr>
          <w:noProof/>
        </w:rPr>
        <w:t>8</w:t>
      </w:r>
      <w:r>
        <w:rPr>
          <w:color w:val="FF0000"/>
        </w:rPr>
        <w:fldChar w:fldCharType="end"/>
      </w:r>
      <w:r w:rsidR="00B261D3">
        <w:rPr>
          <w:color w:val="FF0000"/>
        </w:rPr>
        <w:t xml:space="preserve"> </w:t>
      </w:r>
      <w:r w:rsidR="00552402">
        <w:t>shows</w:t>
      </w:r>
      <w:r w:rsidR="00552402">
        <w:rPr>
          <w:spacing w:val="-9"/>
        </w:rPr>
        <w:t xml:space="preserve"> </w:t>
      </w:r>
      <w:r w:rsidR="00552402">
        <w:t>the</w:t>
      </w:r>
      <w:r w:rsidR="00552402">
        <w:rPr>
          <w:spacing w:val="-9"/>
        </w:rPr>
        <w:t xml:space="preserve"> </w:t>
      </w:r>
      <w:r w:rsidR="00552402">
        <w:t>major</w:t>
      </w:r>
      <w:r w:rsidR="00552402">
        <w:rPr>
          <w:spacing w:val="-9"/>
        </w:rPr>
        <w:t xml:space="preserve"> </w:t>
      </w:r>
      <w:r w:rsidR="00552402">
        <w:t>expense</w:t>
      </w:r>
      <w:r w:rsidR="00552402">
        <w:rPr>
          <w:spacing w:val="-9"/>
        </w:rPr>
        <w:t xml:space="preserve"> </w:t>
      </w:r>
      <w:r w:rsidR="00552402">
        <w:t>types</w:t>
      </w:r>
      <w:r w:rsidR="00552402">
        <w:rPr>
          <w:spacing w:val="-9"/>
        </w:rPr>
        <w:t xml:space="preserve"> </w:t>
      </w:r>
      <w:r w:rsidR="00552402">
        <w:t>for</w:t>
      </w:r>
      <w:r w:rsidR="00552402">
        <w:rPr>
          <w:spacing w:val="-9"/>
        </w:rPr>
        <w:t xml:space="preserve"> </w:t>
      </w:r>
      <w:r w:rsidR="00552402">
        <w:t xml:space="preserve">providers, per resident per day, for the </w:t>
      </w:r>
      <w:r w:rsidR="008912AE">
        <w:t>5</w:t>
      </w:r>
      <w:r w:rsidR="00552402">
        <w:t xml:space="preserve"> years to 2021</w:t>
      </w:r>
      <w:r w:rsidR="008912AE">
        <w:t>-22</w:t>
      </w:r>
      <w:r w:rsidR="0044363D">
        <w:t>.</w:t>
      </w:r>
      <w:r w:rsidR="00E271D1" w:rsidRPr="00E271D1">
        <w:t xml:space="preserve"> Over the last five years, total expenses per resident per day have increased from $265.61 to $354.44 </w:t>
      </w:r>
      <w:r w:rsidR="00E271D1">
        <w:t xml:space="preserve">per resident per day </w:t>
      </w:r>
      <w:r w:rsidR="00E271D1" w:rsidRPr="00E271D1">
        <w:t>which represents a 5</w:t>
      </w:r>
      <w:r w:rsidR="00956DB8">
        <w:t xml:space="preserve"> per cent</w:t>
      </w:r>
      <w:r w:rsidR="00E271D1" w:rsidRPr="00E271D1">
        <w:t xml:space="preserve"> increase each year from 2017-18 to 2019-20, followed by a steeper increase of 9.5</w:t>
      </w:r>
      <w:r w:rsidR="43CF80BE" w:rsidRPr="00E271D1">
        <w:t xml:space="preserve"> </w:t>
      </w:r>
      <w:r w:rsidR="00956DB8">
        <w:t>per cent</w:t>
      </w:r>
      <w:r w:rsidR="00E271D1" w:rsidRPr="00E271D1">
        <w:t xml:space="preserve"> in 2020-21 and 2021-22. Other expenses have grown the most rapidly, from $61 to $100.48</w:t>
      </w:r>
      <w:r w:rsidR="00EE1387" w:rsidRPr="00966B51">
        <w:t xml:space="preserve">. </w:t>
      </w:r>
    </w:p>
    <w:p w14:paraId="7BC28A78" w14:textId="06DCE0E2" w:rsidR="0096606A" w:rsidRPr="0096606A" w:rsidRDefault="0096606A" w:rsidP="0096606A">
      <w:pPr>
        <w:pStyle w:val="Caption"/>
        <w:rPr>
          <w:lang w:val="en-GB"/>
        </w:rPr>
      </w:pPr>
      <w:bookmarkStart w:id="242" w:name="_Ref139553556"/>
      <w:bookmarkStart w:id="243" w:name="_Toc149245282"/>
      <w:r>
        <w:t xml:space="preserve">Table </w:t>
      </w:r>
      <w:r>
        <w:fldChar w:fldCharType="begin"/>
      </w:r>
      <w:r>
        <w:instrText>STYLEREF 1 \s</w:instrText>
      </w:r>
      <w:r>
        <w:fldChar w:fldCharType="separate"/>
      </w:r>
      <w:r w:rsidR="00294B02">
        <w:rPr>
          <w:noProof/>
        </w:rPr>
        <w:t>3</w:t>
      </w:r>
      <w:r>
        <w:fldChar w:fldCharType="end"/>
      </w:r>
      <w:r w:rsidR="002E758C">
        <w:t>.</w:t>
      </w:r>
      <w:r>
        <w:fldChar w:fldCharType="begin"/>
      </w:r>
      <w:r>
        <w:instrText>SEQ Table \* ARABIC \s 1</w:instrText>
      </w:r>
      <w:r>
        <w:fldChar w:fldCharType="separate"/>
      </w:r>
      <w:r w:rsidR="00294B02">
        <w:rPr>
          <w:noProof/>
        </w:rPr>
        <w:t>8</w:t>
      </w:r>
      <w:r>
        <w:fldChar w:fldCharType="end"/>
      </w:r>
      <w:bookmarkEnd w:id="242"/>
      <w:r>
        <w:t xml:space="preserve">: </w:t>
      </w:r>
      <w:r w:rsidRPr="00464EB6">
        <w:t>Summary of residential care provider expenses, per resident per day, 2017-18 to 2021-22</w:t>
      </w:r>
      <w:bookmarkEnd w:id="243"/>
    </w:p>
    <w:tbl>
      <w:tblPr>
        <w:tblW w:w="9220" w:type="dxa"/>
        <w:tblLook w:val="04A0" w:firstRow="1" w:lastRow="0" w:firstColumn="1" w:lastColumn="0" w:noHBand="0" w:noVBand="1"/>
      </w:tblPr>
      <w:tblGrid>
        <w:gridCol w:w="3828"/>
        <w:gridCol w:w="1379"/>
        <w:gridCol w:w="996"/>
        <w:gridCol w:w="1121"/>
        <w:gridCol w:w="939"/>
        <w:gridCol w:w="957"/>
      </w:tblGrid>
      <w:tr w:rsidR="001D3D90" w:rsidRPr="001D3D90" w14:paraId="7E7938F3" w14:textId="77777777" w:rsidTr="00032449">
        <w:trPr>
          <w:trHeight w:val="290"/>
        </w:trPr>
        <w:tc>
          <w:tcPr>
            <w:tcW w:w="3828" w:type="dxa"/>
            <w:tcBorders>
              <w:top w:val="nil"/>
              <w:left w:val="nil"/>
              <w:bottom w:val="nil"/>
              <w:right w:val="nil"/>
            </w:tcBorders>
            <w:shd w:val="clear" w:color="auto" w:fill="1E1545" w:themeFill="text2"/>
            <w:noWrap/>
            <w:vAlign w:val="center"/>
            <w:hideMark/>
          </w:tcPr>
          <w:p w14:paraId="201C4FAB" w14:textId="77777777" w:rsidR="001D3D90" w:rsidRPr="001D3D90" w:rsidRDefault="001D3D90" w:rsidP="00966B51">
            <w:pPr>
              <w:pStyle w:val="TableHeaderWhite"/>
            </w:pPr>
            <w:r w:rsidRPr="001D3D90">
              <w:t>Expenses</w:t>
            </w:r>
          </w:p>
        </w:tc>
        <w:tc>
          <w:tcPr>
            <w:tcW w:w="1409" w:type="dxa"/>
            <w:tcBorders>
              <w:top w:val="nil"/>
              <w:left w:val="nil"/>
              <w:bottom w:val="nil"/>
              <w:right w:val="nil"/>
            </w:tcBorders>
            <w:shd w:val="clear" w:color="auto" w:fill="1E1545" w:themeFill="text2"/>
            <w:vAlign w:val="center"/>
            <w:hideMark/>
          </w:tcPr>
          <w:p w14:paraId="7929228B" w14:textId="77777777" w:rsidR="001D3D90" w:rsidRPr="001D3D90" w:rsidRDefault="001D3D90" w:rsidP="00966B51">
            <w:pPr>
              <w:pStyle w:val="TableHeaderWhite"/>
            </w:pPr>
            <w:r w:rsidRPr="001D3D90">
              <w:t>2017-18</w:t>
            </w:r>
          </w:p>
        </w:tc>
        <w:tc>
          <w:tcPr>
            <w:tcW w:w="1000" w:type="dxa"/>
            <w:tcBorders>
              <w:top w:val="nil"/>
              <w:left w:val="nil"/>
              <w:bottom w:val="nil"/>
              <w:right w:val="nil"/>
            </w:tcBorders>
            <w:shd w:val="clear" w:color="auto" w:fill="1E1545" w:themeFill="text2"/>
            <w:vAlign w:val="center"/>
            <w:hideMark/>
          </w:tcPr>
          <w:p w14:paraId="3A1F1D04" w14:textId="77777777" w:rsidR="001D3D90" w:rsidRPr="001D3D90" w:rsidRDefault="001D3D90" w:rsidP="00966B51">
            <w:pPr>
              <w:pStyle w:val="TableHeaderWhite"/>
            </w:pPr>
            <w:r w:rsidRPr="001D3D90">
              <w:t>2018-19</w:t>
            </w:r>
          </w:p>
        </w:tc>
        <w:tc>
          <w:tcPr>
            <w:tcW w:w="1134" w:type="dxa"/>
            <w:tcBorders>
              <w:top w:val="nil"/>
              <w:left w:val="nil"/>
              <w:bottom w:val="nil"/>
              <w:right w:val="nil"/>
            </w:tcBorders>
            <w:shd w:val="clear" w:color="auto" w:fill="1E1545" w:themeFill="text2"/>
            <w:vAlign w:val="center"/>
            <w:hideMark/>
          </w:tcPr>
          <w:p w14:paraId="56A8F94B" w14:textId="77777777" w:rsidR="001D3D90" w:rsidRPr="001D3D90" w:rsidRDefault="001D3D90" w:rsidP="00966B51">
            <w:pPr>
              <w:pStyle w:val="TableHeaderWhite"/>
            </w:pPr>
            <w:r w:rsidRPr="001D3D90">
              <w:t>2019-20</w:t>
            </w:r>
          </w:p>
        </w:tc>
        <w:tc>
          <w:tcPr>
            <w:tcW w:w="892" w:type="dxa"/>
            <w:tcBorders>
              <w:top w:val="nil"/>
              <w:left w:val="nil"/>
              <w:bottom w:val="nil"/>
              <w:right w:val="nil"/>
            </w:tcBorders>
            <w:shd w:val="clear" w:color="auto" w:fill="1E1545" w:themeFill="text2"/>
            <w:vAlign w:val="center"/>
            <w:hideMark/>
          </w:tcPr>
          <w:p w14:paraId="2B70A018" w14:textId="77777777" w:rsidR="001D3D90" w:rsidRPr="001D3D90" w:rsidRDefault="001D3D90" w:rsidP="00966B51">
            <w:pPr>
              <w:pStyle w:val="TableHeaderWhite"/>
            </w:pPr>
            <w:r w:rsidRPr="001D3D90">
              <w:t>2020-21</w:t>
            </w:r>
          </w:p>
        </w:tc>
        <w:tc>
          <w:tcPr>
            <w:tcW w:w="957" w:type="dxa"/>
            <w:tcBorders>
              <w:top w:val="nil"/>
              <w:left w:val="nil"/>
              <w:bottom w:val="nil"/>
              <w:right w:val="nil"/>
            </w:tcBorders>
            <w:shd w:val="clear" w:color="auto" w:fill="1E1545" w:themeFill="text2"/>
            <w:vAlign w:val="center"/>
            <w:hideMark/>
          </w:tcPr>
          <w:p w14:paraId="1ABA7723" w14:textId="77777777" w:rsidR="001D3D90" w:rsidRPr="001D3D90" w:rsidRDefault="001D3D90" w:rsidP="00966B51">
            <w:pPr>
              <w:pStyle w:val="TableHeaderWhite"/>
            </w:pPr>
            <w:r w:rsidRPr="001D3D90">
              <w:t>2021-22</w:t>
            </w:r>
          </w:p>
        </w:tc>
      </w:tr>
      <w:tr w:rsidR="001D3D90" w:rsidRPr="001D3D90" w14:paraId="61565142" w14:textId="77777777" w:rsidTr="00032449">
        <w:trPr>
          <w:trHeight w:val="285"/>
        </w:trPr>
        <w:tc>
          <w:tcPr>
            <w:tcW w:w="3828" w:type="dxa"/>
            <w:tcBorders>
              <w:top w:val="nil"/>
              <w:left w:val="nil"/>
              <w:bottom w:val="single" w:sz="8" w:space="0" w:color="auto"/>
              <w:right w:val="nil"/>
            </w:tcBorders>
            <w:shd w:val="clear" w:color="auto" w:fill="auto"/>
            <w:noWrap/>
            <w:vAlign w:val="center"/>
            <w:hideMark/>
          </w:tcPr>
          <w:p w14:paraId="0B8ACE2C" w14:textId="77777777" w:rsidR="001D3D90" w:rsidRPr="001D3D90" w:rsidRDefault="001D3D90" w:rsidP="00966B51">
            <w:pPr>
              <w:pStyle w:val="TableofAuthorities"/>
              <w:rPr>
                <w:lang w:eastAsia="en-AU"/>
              </w:rPr>
            </w:pPr>
            <w:r w:rsidRPr="001D3D90">
              <w:rPr>
                <w:lang w:eastAsia="en-AU"/>
              </w:rPr>
              <w:t>Employee</w:t>
            </w:r>
          </w:p>
        </w:tc>
        <w:tc>
          <w:tcPr>
            <w:tcW w:w="1409" w:type="dxa"/>
            <w:tcBorders>
              <w:top w:val="nil"/>
              <w:left w:val="nil"/>
              <w:bottom w:val="single" w:sz="8" w:space="0" w:color="auto"/>
              <w:right w:val="nil"/>
            </w:tcBorders>
            <w:shd w:val="clear" w:color="auto" w:fill="auto"/>
            <w:vAlign w:val="center"/>
            <w:hideMark/>
          </w:tcPr>
          <w:p w14:paraId="67142641" w14:textId="77777777" w:rsidR="001D3D90" w:rsidRPr="001D3D90" w:rsidRDefault="001D3D90" w:rsidP="00966B51">
            <w:pPr>
              <w:pStyle w:val="TableofAuthorities"/>
              <w:rPr>
                <w:lang w:eastAsia="en-AU"/>
              </w:rPr>
            </w:pPr>
            <w:r w:rsidRPr="001D3D90">
              <w:rPr>
                <w:lang w:eastAsia="en-AU"/>
              </w:rPr>
              <w:t>$187.21</w:t>
            </w:r>
          </w:p>
        </w:tc>
        <w:tc>
          <w:tcPr>
            <w:tcW w:w="1000" w:type="dxa"/>
            <w:tcBorders>
              <w:top w:val="nil"/>
              <w:left w:val="nil"/>
              <w:bottom w:val="single" w:sz="8" w:space="0" w:color="auto"/>
              <w:right w:val="nil"/>
            </w:tcBorders>
            <w:shd w:val="clear" w:color="auto" w:fill="auto"/>
            <w:vAlign w:val="center"/>
            <w:hideMark/>
          </w:tcPr>
          <w:p w14:paraId="0B0C7544" w14:textId="77777777" w:rsidR="001D3D90" w:rsidRPr="001D3D90" w:rsidRDefault="001D3D90" w:rsidP="00966B51">
            <w:pPr>
              <w:pStyle w:val="TableofAuthorities"/>
              <w:rPr>
                <w:lang w:eastAsia="en-AU"/>
              </w:rPr>
            </w:pPr>
            <w:r w:rsidRPr="001D3D90">
              <w:rPr>
                <w:lang w:eastAsia="en-AU"/>
              </w:rPr>
              <w:t>$190.88</w:t>
            </w:r>
          </w:p>
        </w:tc>
        <w:tc>
          <w:tcPr>
            <w:tcW w:w="1134" w:type="dxa"/>
            <w:tcBorders>
              <w:top w:val="nil"/>
              <w:left w:val="nil"/>
              <w:bottom w:val="single" w:sz="8" w:space="0" w:color="auto"/>
              <w:right w:val="nil"/>
            </w:tcBorders>
            <w:shd w:val="clear" w:color="auto" w:fill="auto"/>
            <w:vAlign w:val="center"/>
            <w:hideMark/>
          </w:tcPr>
          <w:p w14:paraId="77FB6986" w14:textId="77777777" w:rsidR="001D3D90" w:rsidRPr="001D3D90" w:rsidRDefault="001D3D90" w:rsidP="00966B51">
            <w:pPr>
              <w:pStyle w:val="TableofAuthorities"/>
              <w:rPr>
                <w:lang w:eastAsia="en-AU"/>
              </w:rPr>
            </w:pPr>
            <w:r w:rsidRPr="001D3D90">
              <w:rPr>
                <w:lang w:eastAsia="en-AU"/>
              </w:rPr>
              <w:t>$201.72</w:t>
            </w:r>
          </w:p>
        </w:tc>
        <w:tc>
          <w:tcPr>
            <w:tcW w:w="892" w:type="dxa"/>
            <w:tcBorders>
              <w:top w:val="nil"/>
              <w:left w:val="nil"/>
              <w:bottom w:val="single" w:sz="8" w:space="0" w:color="auto"/>
              <w:right w:val="nil"/>
            </w:tcBorders>
            <w:shd w:val="clear" w:color="auto" w:fill="auto"/>
            <w:vAlign w:val="center"/>
            <w:hideMark/>
          </w:tcPr>
          <w:p w14:paraId="030C1FE3" w14:textId="77777777" w:rsidR="001D3D90" w:rsidRPr="001D3D90" w:rsidRDefault="001D3D90" w:rsidP="00966B51">
            <w:pPr>
              <w:pStyle w:val="TableofAuthorities"/>
              <w:rPr>
                <w:lang w:eastAsia="en-AU"/>
              </w:rPr>
            </w:pPr>
            <w:r w:rsidRPr="001D3D90">
              <w:rPr>
                <w:lang w:eastAsia="en-AU"/>
              </w:rPr>
              <w:t>$214.80</w:t>
            </w:r>
          </w:p>
        </w:tc>
        <w:tc>
          <w:tcPr>
            <w:tcW w:w="957" w:type="dxa"/>
            <w:tcBorders>
              <w:top w:val="nil"/>
              <w:left w:val="nil"/>
              <w:bottom w:val="single" w:sz="8" w:space="0" w:color="auto"/>
              <w:right w:val="nil"/>
            </w:tcBorders>
            <w:shd w:val="clear" w:color="auto" w:fill="auto"/>
            <w:vAlign w:val="center"/>
            <w:hideMark/>
          </w:tcPr>
          <w:p w14:paraId="032FF1A7" w14:textId="77777777" w:rsidR="001D3D90" w:rsidRPr="001D3D90" w:rsidRDefault="001D3D90" w:rsidP="00966B51">
            <w:pPr>
              <w:pStyle w:val="TableofAuthorities"/>
              <w:rPr>
                <w:lang w:eastAsia="en-AU"/>
              </w:rPr>
            </w:pPr>
            <w:r w:rsidRPr="001D3D90">
              <w:rPr>
                <w:lang w:eastAsia="en-AU"/>
              </w:rPr>
              <w:t>$231.70</w:t>
            </w:r>
          </w:p>
        </w:tc>
      </w:tr>
      <w:tr w:rsidR="001D3D90" w:rsidRPr="001D3D90" w14:paraId="6DA0FFD0" w14:textId="77777777" w:rsidTr="00032449">
        <w:trPr>
          <w:trHeight w:val="285"/>
        </w:trPr>
        <w:tc>
          <w:tcPr>
            <w:tcW w:w="3828" w:type="dxa"/>
            <w:tcBorders>
              <w:top w:val="nil"/>
              <w:left w:val="nil"/>
              <w:bottom w:val="single" w:sz="8" w:space="0" w:color="auto"/>
              <w:right w:val="nil"/>
            </w:tcBorders>
            <w:shd w:val="clear" w:color="auto" w:fill="auto"/>
            <w:noWrap/>
            <w:vAlign w:val="center"/>
            <w:hideMark/>
          </w:tcPr>
          <w:p w14:paraId="47784DA7" w14:textId="77777777" w:rsidR="001D3D90" w:rsidRPr="001D3D90" w:rsidRDefault="001D3D90" w:rsidP="00966B51">
            <w:pPr>
              <w:pStyle w:val="TableofAuthorities"/>
              <w:rPr>
                <w:lang w:eastAsia="en-AU"/>
              </w:rPr>
            </w:pPr>
            <w:r w:rsidRPr="001D3D90">
              <w:rPr>
                <w:lang w:eastAsia="en-AU"/>
              </w:rPr>
              <w:t>Depreciation</w:t>
            </w:r>
          </w:p>
        </w:tc>
        <w:tc>
          <w:tcPr>
            <w:tcW w:w="1409" w:type="dxa"/>
            <w:tcBorders>
              <w:top w:val="nil"/>
              <w:left w:val="nil"/>
              <w:bottom w:val="single" w:sz="8" w:space="0" w:color="auto"/>
              <w:right w:val="nil"/>
            </w:tcBorders>
            <w:shd w:val="clear" w:color="auto" w:fill="auto"/>
            <w:vAlign w:val="center"/>
            <w:hideMark/>
          </w:tcPr>
          <w:p w14:paraId="6D47DB74" w14:textId="77777777" w:rsidR="001D3D90" w:rsidRPr="001D3D90" w:rsidRDefault="001D3D90" w:rsidP="00966B51">
            <w:pPr>
              <w:pStyle w:val="TableofAuthorities"/>
              <w:rPr>
                <w:lang w:eastAsia="en-AU"/>
              </w:rPr>
            </w:pPr>
            <w:r w:rsidRPr="001D3D90">
              <w:rPr>
                <w:lang w:eastAsia="en-AU"/>
              </w:rPr>
              <w:t>$14.60</w:t>
            </w:r>
          </w:p>
        </w:tc>
        <w:tc>
          <w:tcPr>
            <w:tcW w:w="1000" w:type="dxa"/>
            <w:tcBorders>
              <w:top w:val="nil"/>
              <w:left w:val="nil"/>
              <w:bottom w:val="single" w:sz="8" w:space="0" w:color="auto"/>
              <w:right w:val="nil"/>
            </w:tcBorders>
            <w:shd w:val="clear" w:color="auto" w:fill="auto"/>
            <w:vAlign w:val="center"/>
            <w:hideMark/>
          </w:tcPr>
          <w:p w14:paraId="78BADE88" w14:textId="77777777" w:rsidR="001D3D90" w:rsidRPr="001D3D90" w:rsidRDefault="001D3D90" w:rsidP="00966B51">
            <w:pPr>
              <w:pStyle w:val="TableofAuthorities"/>
              <w:rPr>
                <w:lang w:eastAsia="en-AU"/>
              </w:rPr>
            </w:pPr>
            <w:r w:rsidRPr="001D3D90">
              <w:rPr>
                <w:lang w:eastAsia="en-AU"/>
              </w:rPr>
              <w:t>$15.67</w:t>
            </w:r>
          </w:p>
        </w:tc>
        <w:tc>
          <w:tcPr>
            <w:tcW w:w="1134" w:type="dxa"/>
            <w:tcBorders>
              <w:top w:val="nil"/>
              <w:left w:val="nil"/>
              <w:bottom w:val="single" w:sz="8" w:space="0" w:color="auto"/>
              <w:right w:val="nil"/>
            </w:tcBorders>
            <w:shd w:val="clear" w:color="auto" w:fill="auto"/>
            <w:vAlign w:val="center"/>
            <w:hideMark/>
          </w:tcPr>
          <w:p w14:paraId="33F80F1A" w14:textId="77777777" w:rsidR="001D3D90" w:rsidRPr="001D3D90" w:rsidRDefault="001D3D90" w:rsidP="00966B51">
            <w:pPr>
              <w:pStyle w:val="TableofAuthorities"/>
              <w:rPr>
                <w:lang w:eastAsia="en-AU"/>
              </w:rPr>
            </w:pPr>
            <w:r w:rsidRPr="001D3D90">
              <w:rPr>
                <w:lang w:eastAsia="en-AU"/>
              </w:rPr>
              <w:t>$18.31</w:t>
            </w:r>
          </w:p>
        </w:tc>
        <w:tc>
          <w:tcPr>
            <w:tcW w:w="892" w:type="dxa"/>
            <w:tcBorders>
              <w:top w:val="nil"/>
              <w:left w:val="nil"/>
              <w:bottom w:val="single" w:sz="8" w:space="0" w:color="auto"/>
              <w:right w:val="nil"/>
            </w:tcBorders>
            <w:shd w:val="clear" w:color="auto" w:fill="auto"/>
            <w:vAlign w:val="center"/>
            <w:hideMark/>
          </w:tcPr>
          <w:p w14:paraId="4E68307C" w14:textId="77777777" w:rsidR="001D3D90" w:rsidRPr="001D3D90" w:rsidRDefault="001D3D90" w:rsidP="00966B51">
            <w:pPr>
              <w:pStyle w:val="TableofAuthorities"/>
              <w:rPr>
                <w:lang w:eastAsia="en-AU"/>
              </w:rPr>
            </w:pPr>
            <w:r w:rsidRPr="001D3D90">
              <w:rPr>
                <w:lang w:eastAsia="en-AU"/>
              </w:rPr>
              <w:t>$16.49</w:t>
            </w:r>
          </w:p>
        </w:tc>
        <w:tc>
          <w:tcPr>
            <w:tcW w:w="957" w:type="dxa"/>
            <w:tcBorders>
              <w:top w:val="nil"/>
              <w:left w:val="nil"/>
              <w:bottom w:val="single" w:sz="8" w:space="0" w:color="auto"/>
              <w:right w:val="nil"/>
            </w:tcBorders>
            <w:shd w:val="clear" w:color="auto" w:fill="auto"/>
            <w:vAlign w:val="center"/>
            <w:hideMark/>
          </w:tcPr>
          <w:p w14:paraId="0E18EF4C" w14:textId="77777777" w:rsidR="001D3D90" w:rsidRPr="001D3D90" w:rsidRDefault="001D3D90" w:rsidP="00966B51">
            <w:pPr>
              <w:pStyle w:val="TableofAuthorities"/>
              <w:rPr>
                <w:lang w:eastAsia="en-AU"/>
              </w:rPr>
            </w:pPr>
            <w:r w:rsidRPr="001D3D90">
              <w:rPr>
                <w:lang w:eastAsia="en-AU"/>
              </w:rPr>
              <w:t>$18.13</w:t>
            </w:r>
          </w:p>
        </w:tc>
      </w:tr>
      <w:tr w:rsidR="001D3D90" w:rsidRPr="001D3D90" w14:paraId="19220EEA" w14:textId="77777777" w:rsidTr="00032449">
        <w:trPr>
          <w:trHeight w:val="285"/>
        </w:trPr>
        <w:tc>
          <w:tcPr>
            <w:tcW w:w="3828" w:type="dxa"/>
            <w:tcBorders>
              <w:top w:val="nil"/>
              <w:left w:val="nil"/>
              <w:bottom w:val="single" w:sz="8" w:space="0" w:color="auto"/>
              <w:right w:val="nil"/>
            </w:tcBorders>
            <w:shd w:val="clear" w:color="auto" w:fill="auto"/>
            <w:noWrap/>
            <w:vAlign w:val="center"/>
            <w:hideMark/>
          </w:tcPr>
          <w:p w14:paraId="5482BA29" w14:textId="51305E87" w:rsidR="001D3D90" w:rsidRPr="001D3D90" w:rsidRDefault="00106ADB" w:rsidP="00966B51">
            <w:pPr>
              <w:pStyle w:val="TableofAuthorities"/>
              <w:rPr>
                <w:lang w:eastAsia="en-AU"/>
              </w:rPr>
            </w:pPr>
            <w:r>
              <w:rPr>
                <w:lang w:eastAsia="en-AU"/>
              </w:rPr>
              <w:t>Financing i</w:t>
            </w:r>
            <w:r w:rsidR="001D3D90" w:rsidRPr="001D3D90">
              <w:rPr>
                <w:lang w:eastAsia="en-AU"/>
              </w:rPr>
              <w:t>nterest</w:t>
            </w:r>
          </w:p>
        </w:tc>
        <w:tc>
          <w:tcPr>
            <w:tcW w:w="1409" w:type="dxa"/>
            <w:tcBorders>
              <w:top w:val="nil"/>
              <w:left w:val="nil"/>
              <w:bottom w:val="single" w:sz="8" w:space="0" w:color="auto"/>
              <w:right w:val="nil"/>
            </w:tcBorders>
            <w:shd w:val="clear" w:color="auto" w:fill="auto"/>
            <w:vAlign w:val="center"/>
            <w:hideMark/>
          </w:tcPr>
          <w:p w14:paraId="362C8A71" w14:textId="77777777" w:rsidR="001D3D90" w:rsidRPr="001D3D90" w:rsidRDefault="001D3D90" w:rsidP="00966B51">
            <w:pPr>
              <w:pStyle w:val="TableofAuthorities"/>
              <w:rPr>
                <w:lang w:eastAsia="en-AU"/>
              </w:rPr>
            </w:pPr>
            <w:r w:rsidRPr="001D3D90">
              <w:rPr>
                <w:lang w:eastAsia="en-AU"/>
              </w:rPr>
              <w:t>$2.81</w:t>
            </w:r>
          </w:p>
        </w:tc>
        <w:tc>
          <w:tcPr>
            <w:tcW w:w="1000" w:type="dxa"/>
            <w:tcBorders>
              <w:top w:val="nil"/>
              <w:left w:val="nil"/>
              <w:bottom w:val="single" w:sz="8" w:space="0" w:color="auto"/>
              <w:right w:val="nil"/>
            </w:tcBorders>
            <w:shd w:val="clear" w:color="auto" w:fill="auto"/>
            <w:vAlign w:val="center"/>
            <w:hideMark/>
          </w:tcPr>
          <w:p w14:paraId="65C7D8D5" w14:textId="77777777" w:rsidR="001D3D90" w:rsidRPr="001D3D90" w:rsidRDefault="001D3D90" w:rsidP="00966B51">
            <w:pPr>
              <w:pStyle w:val="TableofAuthorities"/>
              <w:rPr>
                <w:lang w:eastAsia="en-AU"/>
              </w:rPr>
            </w:pPr>
            <w:r w:rsidRPr="001D3D90">
              <w:rPr>
                <w:lang w:eastAsia="en-AU"/>
              </w:rPr>
              <w:t>$3.02</w:t>
            </w:r>
          </w:p>
        </w:tc>
        <w:tc>
          <w:tcPr>
            <w:tcW w:w="1134" w:type="dxa"/>
            <w:tcBorders>
              <w:top w:val="nil"/>
              <w:left w:val="nil"/>
              <w:bottom w:val="single" w:sz="8" w:space="0" w:color="auto"/>
              <w:right w:val="nil"/>
            </w:tcBorders>
            <w:shd w:val="clear" w:color="auto" w:fill="auto"/>
            <w:vAlign w:val="center"/>
            <w:hideMark/>
          </w:tcPr>
          <w:p w14:paraId="3ED63DAB" w14:textId="77777777" w:rsidR="001D3D90" w:rsidRPr="001D3D90" w:rsidRDefault="001D3D90" w:rsidP="00966B51">
            <w:pPr>
              <w:pStyle w:val="TableofAuthorities"/>
              <w:rPr>
                <w:lang w:eastAsia="en-AU"/>
              </w:rPr>
            </w:pPr>
            <w:r w:rsidRPr="001D3D90">
              <w:rPr>
                <w:lang w:eastAsia="en-AU"/>
              </w:rPr>
              <w:t>$4.67</w:t>
            </w:r>
          </w:p>
        </w:tc>
        <w:tc>
          <w:tcPr>
            <w:tcW w:w="892" w:type="dxa"/>
            <w:tcBorders>
              <w:top w:val="nil"/>
              <w:left w:val="nil"/>
              <w:bottom w:val="single" w:sz="8" w:space="0" w:color="auto"/>
              <w:right w:val="nil"/>
            </w:tcBorders>
            <w:shd w:val="clear" w:color="auto" w:fill="auto"/>
            <w:vAlign w:val="center"/>
            <w:hideMark/>
          </w:tcPr>
          <w:p w14:paraId="3C089E3D" w14:textId="77777777" w:rsidR="001D3D90" w:rsidRPr="001D3D90" w:rsidRDefault="001D3D90" w:rsidP="00966B51">
            <w:pPr>
              <w:pStyle w:val="TableofAuthorities"/>
              <w:rPr>
                <w:lang w:eastAsia="en-AU"/>
              </w:rPr>
            </w:pPr>
            <w:r w:rsidRPr="001D3D90">
              <w:rPr>
                <w:lang w:eastAsia="en-AU"/>
              </w:rPr>
              <w:t>$1.40</w:t>
            </w:r>
          </w:p>
        </w:tc>
        <w:tc>
          <w:tcPr>
            <w:tcW w:w="957" w:type="dxa"/>
            <w:tcBorders>
              <w:top w:val="nil"/>
              <w:left w:val="nil"/>
              <w:bottom w:val="single" w:sz="8" w:space="0" w:color="auto"/>
              <w:right w:val="nil"/>
            </w:tcBorders>
            <w:shd w:val="clear" w:color="auto" w:fill="auto"/>
            <w:vAlign w:val="center"/>
            <w:hideMark/>
          </w:tcPr>
          <w:p w14:paraId="31AB7130" w14:textId="77777777" w:rsidR="001D3D90" w:rsidRPr="001D3D90" w:rsidRDefault="001D3D90" w:rsidP="00966B51">
            <w:pPr>
              <w:pStyle w:val="TableofAuthorities"/>
              <w:rPr>
                <w:lang w:eastAsia="en-AU"/>
              </w:rPr>
            </w:pPr>
            <w:r w:rsidRPr="001D3D90">
              <w:rPr>
                <w:lang w:eastAsia="en-AU"/>
              </w:rPr>
              <w:t>$1.30</w:t>
            </w:r>
          </w:p>
        </w:tc>
      </w:tr>
      <w:tr w:rsidR="001D3D90" w:rsidRPr="001D3D90" w14:paraId="4B1584B6" w14:textId="77777777" w:rsidTr="00032449">
        <w:trPr>
          <w:trHeight w:val="285"/>
        </w:trPr>
        <w:tc>
          <w:tcPr>
            <w:tcW w:w="3828" w:type="dxa"/>
            <w:tcBorders>
              <w:top w:val="nil"/>
              <w:left w:val="nil"/>
              <w:bottom w:val="single" w:sz="8" w:space="0" w:color="auto"/>
              <w:right w:val="nil"/>
            </w:tcBorders>
            <w:shd w:val="clear" w:color="auto" w:fill="auto"/>
            <w:noWrap/>
            <w:vAlign w:val="center"/>
            <w:hideMark/>
          </w:tcPr>
          <w:p w14:paraId="4AA2DDA1" w14:textId="77777777" w:rsidR="001D3D90" w:rsidRPr="001D3D90" w:rsidRDefault="001D3D90" w:rsidP="00966B51">
            <w:pPr>
              <w:pStyle w:val="TableofAuthorities"/>
              <w:rPr>
                <w:lang w:eastAsia="en-AU"/>
              </w:rPr>
            </w:pPr>
            <w:r w:rsidRPr="001D3D90">
              <w:rPr>
                <w:lang w:eastAsia="en-AU"/>
              </w:rPr>
              <w:t>Revaluation of assets (decrease)/Impairment</w:t>
            </w:r>
          </w:p>
        </w:tc>
        <w:tc>
          <w:tcPr>
            <w:tcW w:w="1409" w:type="dxa"/>
            <w:tcBorders>
              <w:top w:val="nil"/>
              <w:left w:val="nil"/>
              <w:bottom w:val="single" w:sz="8" w:space="0" w:color="auto"/>
              <w:right w:val="nil"/>
            </w:tcBorders>
            <w:shd w:val="clear" w:color="auto" w:fill="auto"/>
            <w:vAlign w:val="center"/>
            <w:hideMark/>
          </w:tcPr>
          <w:p w14:paraId="651D5349" w14:textId="59B0AF0E" w:rsidR="001D3D90" w:rsidRPr="001D3D90" w:rsidRDefault="001D3D90" w:rsidP="00966B51">
            <w:pPr>
              <w:pStyle w:val="TableofAuthorities"/>
              <w:rPr>
                <w:lang w:eastAsia="en-AU"/>
              </w:rPr>
            </w:pPr>
            <w:r w:rsidRPr="001D3D90">
              <w:rPr>
                <w:lang w:eastAsia="en-AU"/>
              </w:rPr>
              <w:t>-</w:t>
            </w:r>
          </w:p>
        </w:tc>
        <w:tc>
          <w:tcPr>
            <w:tcW w:w="1000" w:type="dxa"/>
            <w:tcBorders>
              <w:top w:val="nil"/>
              <w:left w:val="nil"/>
              <w:bottom w:val="single" w:sz="8" w:space="0" w:color="auto"/>
              <w:right w:val="nil"/>
            </w:tcBorders>
            <w:shd w:val="clear" w:color="auto" w:fill="auto"/>
            <w:vAlign w:val="center"/>
            <w:hideMark/>
          </w:tcPr>
          <w:p w14:paraId="311103A4" w14:textId="5B4FC552" w:rsidR="001D3D90" w:rsidRPr="001D3D90" w:rsidRDefault="001D3D90" w:rsidP="00966B51">
            <w:pPr>
              <w:pStyle w:val="TableofAuthorities"/>
              <w:rPr>
                <w:lang w:eastAsia="en-AU"/>
              </w:rPr>
            </w:pPr>
            <w:r w:rsidRPr="001D3D90">
              <w:rPr>
                <w:lang w:eastAsia="en-AU"/>
              </w:rPr>
              <w:t>-</w:t>
            </w:r>
          </w:p>
        </w:tc>
        <w:tc>
          <w:tcPr>
            <w:tcW w:w="1134" w:type="dxa"/>
            <w:tcBorders>
              <w:top w:val="nil"/>
              <w:left w:val="nil"/>
              <w:bottom w:val="single" w:sz="8" w:space="0" w:color="auto"/>
              <w:right w:val="nil"/>
            </w:tcBorders>
            <w:shd w:val="clear" w:color="auto" w:fill="auto"/>
            <w:vAlign w:val="center"/>
            <w:hideMark/>
          </w:tcPr>
          <w:p w14:paraId="74C58889" w14:textId="210FC3AD" w:rsidR="001D3D90" w:rsidRPr="001D3D90" w:rsidRDefault="00EF2FFC" w:rsidP="00966B51">
            <w:pPr>
              <w:pStyle w:val="TableofAuthorities"/>
              <w:rPr>
                <w:lang w:eastAsia="en-AU"/>
              </w:rPr>
            </w:pPr>
            <w:r>
              <w:rPr>
                <w:lang w:eastAsia="en-AU"/>
              </w:rPr>
              <w:t>$</w:t>
            </w:r>
            <w:r w:rsidR="001D3D90" w:rsidRPr="001D3D90">
              <w:rPr>
                <w:lang w:eastAsia="en-AU"/>
              </w:rPr>
              <w:t>5.08</w:t>
            </w:r>
          </w:p>
        </w:tc>
        <w:tc>
          <w:tcPr>
            <w:tcW w:w="892" w:type="dxa"/>
            <w:tcBorders>
              <w:top w:val="nil"/>
              <w:left w:val="nil"/>
              <w:bottom w:val="single" w:sz="8" w:space="0" w:color="auto"/>
              <w:right w:val="nil"/>
            </w:tcBorders>
            <w:shd w:val="clear" w:color="auto" w:fill="auto"/>
            <w:vAlign w:val="center"/>
            <w:hideMark/>
          </w:tcPr>
          <w:p w14:paraId="5913E76E" w14:textId="74D29358" w:rsidR="001D3D90" w:rsidRPr="001D3D90" w:rsidRDefault="00EF2FFC" w:rsidP="00966B51">
            <w:pPr>
              <w:pStyle w:val="TableofAuthorities"/>
              <w:rPr>
                <w:lang w:eastAsia="en-AU"/>
              </w:rPr>
            </w:pPr>
            <w:r>
              <w:rPr>
                <w:lang w:eastAsia="en-AU"/>
              </w:rPr>
              <w:t>$</w:t>
            </w:r>
            <w:r w:rsidR="001D3D90" w:rsidRPr="001D3D90">
              <w:rPr>
                <w:lang w:eastAsia="en-AU"/>
              </w:rPr>
              <w:t>5.55</w:t>
            </w:r>
          </w:p>
        </w:tc>
        <w:tc>
          <w:tcPr>
            <w:tcW w:w="957" w:type="dxa"/>
            <w:tcBorders>
              <w:top w:val="nil"/>
              <w:left w:val="nil"/>
              <w:bottom w:val="single" w:sz="8" w:space="0" w:color="auto"/>
              <w:right w:val="nil"/>
            </w:tcBorders>
            <w:shd w:val="clear" w:color="auto" w:fill="auto"/>
            <w:vAlign w:val="center"/>
            <w:hideMark/>
          </w:tcPr>
          <w:p w14:paraId="6BA243F2" w14:textId="77777777" w:rsidR="001D3D90" w:rsidRPr="001D3D90" w:rsidRDefault="001D3D90" w:rsidP="00966B51">
            <w:pPr>
              <w:pStyle w:val="TableofAuthorities"/>
              <w:rPr>
                <w:lang w:eastAsia="en-AU"/>
              </w:rPr>
            </w:pPr>
            <w:r w:rsidRPr="001D3D90">
              <w:rPr>
                <w:lang w:eastAsia="en-AU"/>
              </w:rPr>
              <w:t>$2.83</w:t>
            </w:r>
          </w:p>
        </w:tc>
      </w:tr>
      <w:tr w:rsidR="001D3D90" w:rsidRPr="001D3D90" w14:paraId="5F4530DB" w14:textId="77777777" w:rsidTr="00032449">
        <w:trPr>
          <w:trHeight w:val="285"/>
        </w:trPr>
        <w:tc>
          <w:tcPr>
            <w:tcW w:w="3828" w:type="dxa"/>
            <w:tcBorders>
              <w:top w:val="nil"/>
              <w:left w:val="nil"/>
              <w:bottom w:val="single" w:sz="8" w:space="0" w:color="auto"/>
              <w:right w:val="nil"/>
            </w:tcBorders>
            <w:shd w:val="clear" w:color="auto" w:fill="auto"/>
            <w:noWrap/>
            <w:vAlign w:val="center"/>
            <w:hideMark/>
          </w:tcPr>
          <w:p w14:paraId="1391263E" w14:textId="77777777" w:rsidR="001D3D90" w:rsidRPr="001D3D90" w:rsidRDefault="001D3D90" w:rsidP="00966B51">
            <w:pPr>
              <w:pStyle w:val="TableofAuthorities"/>
              <w:rPr>
                <w:lang w:eastAsia="en-AU"/>
              </w:rPr>
            </w:pPr>
            <w:r w:rsidRPr="001D3D90">
              <w:rPr>
                <w:lang w:eastAsia="en-AU"/>
              </w:rPr>
              <w:t>Other</w:t>
            </w:r>
          </w:p>
        </w:tc>
        <w:tc>
          <w:tcPr>
            <w:tcW w:w="1409" w:type="dxa"/>
            <w:tcBorders>
              <w:top w:val="nil"/>
              <w:left w:val="nil"/>
              <w:bottom w:val="single" w:sz="8" w:space="0" w:color="auto"/>
              <w:right w:val="nil"/>
            </w:tcBorders>
            <w:shd w:val="clear" w:color="auto" w:fill="auto"/>
            <w:vAlign w:val="center"/>
            <w:hideMark/>
          </w:tcPr>
          <w:p w14:paraId="4274D01F" w14:textId="77777777" w:rsidR="001D3D90" w:rsidRPr="001D3D90" w:rsidRDefault="001D3D90" w:rsidP="00966B51">
            <w:pPr>
              <w:pStyle w:val="TableofAuthorities"/>
              <w:rPr>
                <w:lang w:eastAsia="en-AU"/>
              </w:rPr>
            </w:pPr>
            <w:r w:rsidRPr="001D3D90">
              <w:rPr>
                <w:lang w:eastAsia="en-AU"/>
              </w:rPr>
              <w:t>$61.00</w:t>
            </w:r>
          </w:p>
        </w:tc>
        <w:tc>
          <w:tcPr>
            <w:tcW w:w="1000" w:type="dxa"/>
            <w:tcBorders>
              <w:top w:val="nil"/>
              <w:left w:val="nil"/>
              <w:bottom w:val="single" w:sz="8" w:space="0" w:color="auto"/>
              <w:right w:val="nil"/>
            </w:tcBorders>
            <w:shd w:val="clear" w:color="auto" w:fill="auto"/>
            <w:vAlign w:val="center"/>
            <w:hideMark/>
          </w:tcPr>
          <w:p w14:paraId="16610690" w14:textId="77777777" w:rsidR="001D3D90" w:rsidRPr="001D3D90" w:rsidRDefault="001D3D90" w:rsidP="00966B51">
            <w:pPr>
              <w:pStyle w:val="TableofAuthorities"/>
              <w:rPr>
                <w:lang w:eastAsia="en-AU"/>
              </w:rPr>
            </w:pPr>
            <w:r w:rsidRPr="001D3D90">
              <w:rPr>
                <w:lang w:eastAsia="en-AU"/>
              </w:rPr>
              <w:t>$70.08</w:t>
            </w:r>
          </w:p>
        </w:tc>
        <w:tc>
          <w:tcPr>
            <w:tcW w:w="1134" w:type="dxa"/>
            <w:tcBorders>
              <w:top w:val="nil"/>
              <w:left w:val="nil"/>
              <w:bottom w:val="single" w:sz="8" w:space="0" w:color="auto"/>
              <w:right w:val="nil"/>
            </w:tcBorders>
            <w:shd w:val="clear" w:color="auto" w:fill="auto"/>
            <w:vAlign w:val="center"/>
            <w:hideMark/>
          </w:tcPr>
          <w:p w14:paraId="234578DD" w14:textId="77777777" w:rsidR="001D3D90" w:rsidRPr="001D3D90" w:rsidRDefault="001D3D90" w:rsidP="00966B51">
            <w:pPr>
              <w:pStyle w:val="TableofAuthorities"/>
              <w:rPr>
                <w:lang w:eastAsia="en-AU"/>
              </w:rPr>
            </w:pPr>
            <w:r w:rsidRPr="001D3D90">
              <w:rPr>
                <w:lang w:eastAsia="en-AU"/>
              </w:rPr>
              <w:t>$77.50</w:t>
            </w:r>
          </w:p>
        </w:tc>
        <w:tc>
          <w:tcPr>
            <w:tcW w:w="892" w:type="dxa"/>
            <w:tcBorders>
              <w:top w:val="nil"/>
              <w:left w:val="nil"/>
              <w:bottom w:val="single" w:sz="8" w:space="0" w:color="auto"/>
              <w:right w:val="nil"/>
            </w:tcBorders>
            <w:shd w:val="clear" w:color="auto" w:fill="auto"/>
            <w:vAlign w:val="center"/>
            <w:hideMark/>
          </w:tcPr>
          <w:p w14:paraId="3B3A72C1" w14:textId="77777777" w:rsidR="001D3D90" w:rsidRPr="001D3D90" w:rsidRDefault="001D3D90" w:rsidP="00966B51">
            <w:pPr>
              <w:pStyle w:val="TableofAuthorities"/>
              <w:rPr>
                <w:lang w:eastAsia="en-AU"/>
              </w:rPr>
            </w:pPr>
            <w:r w:rsidRPr="001D3D90">
              <w:rPr>
                <w:lang w:eastAsia="en-AU"/>
              </w:rPr>
              <w:t>$85.56</w:t>
            </w:r>
          </w:p>
        </w:tc>
        <w:tc>
          <w:tcPr>
            <w:tcW w:w="957" w:type="dxa"/>
            <w:tcBorders>
              <w:top w:val="nil"/>
              <w:left w:val="nil"/>
              <w:bottom w:val="single" w:sz="8" w:space="0" w:color="auto"/>
              <w:right w:val="nil"/>
            </w:tcBorders>
            <w:shd w:val="clear" w:color="auto" w:fill="auto"/>
            <w:vAlign w:val="center"/>
            <w:hideMark/>
          </w:tcPr>
          <w:p w14:paraId="4C511FFE" w14:textId="77777777" w:rsidR="001D3D90" w:rsidRPr="001D3D90" w:rsidRDefault="001D3D90" w:rsidP="00966B51">
            <w:pPr>
              <w:pStyle w:val="TableofAuthorities"/>
              <w:rPr>
                <w:lang w:eastAsia="en-AU"/>
              </w:rPr>
            </w:pPr>
            <w:r w:rsidRPr="001D3D90">
              <w:rPr>
                <w:lang w:eastAsia="en-AU"/>
              </w:rPr>
              <w:t>$100.48</w:t>
            </w:r>
          </w:p>
        </w:tc>
      </w:tr>
      <w:tr w:rsidR="001D3D90" w:rsidRPr="001D3D90" w14:paraId="584F0B59" w14:textId="77777777" w:rsidTr="00701AAB">
        <w:trPr>
          <w:trHeight w:val="300"/>
        </w:trPr>
        <w:tc>
          <w:tcPr>
            <w:tcW w:w="3828" w:type="dxa"/>
            <w:tcBorders>
              <w:top w:val="nil"/>
              <w:left w:val="nil"/>
              <w:bottom w:val="single" w:sz="12" w:space="0" w:color="auto"/>
              <w:right w:val="nil"/>
            </w:tcBorders>
            <w:shd w:val="clear" w:color="auto" w:fill="D8DBDB" w:themeFill="background2" w:themeFillShade="E6"/>
            <w:noWrap/>
            <w:vAlign w:val="center"/>
            <w:hideMark/>
          </w:tcPr>
          <w:p w14:paraId="7C703CBD" w14:textId="77777777" w:rsidR="001D3D90" w:rsidRPr="001D3D90" w:rsidRDefault="001D3D90" w:rsidP="00966B51">
            <w:pPr>
              <w:pStyle w:val="TableParagraphbold"/>
              <w:rPr>
                <w:lang w:eastAsia="en-AU"/>
              </w:rPr>
            </w:pPr>
            <w:r w:rsidRPr="001D3D90">
              <w:rPr>
                <w:lang w:eastAsia="en-AU"/>
              </w:rPr>
              <w:t>Total expenses</w:t>
            </w:r>
          </w:p>
        </w:tc>
        <w:tc>
          <w:tcPr>
            <w:tcW w:w="1409" w:type="dxa"/>
            <w:tcBorders>
              <w:top w:val="nil"/>
              <w:left w:val="nil"/>
              <w:bottom w:val="single" w:sz="12" w:space="0" w:color="auto"/>
              <w:right w:val="nil"/>
            </w:tcBorders>
            <w:shd w:val="clear" w:color="auto" w:fill="D8DBDB" w:themeFill="background2" w:themeFillShade="E6"/>
            <w:vAlign w:val="center"/>
            <w:hideMark/>
          </w:tcPr>
          <w:p w14:paraId="78D7102C" w14:textId="77777777" w:rsidR="001D3D90" w:rsidRPr="001D3D90" w:rsidRDefault="001D3D90" w:rsidP="00966B51">
            <w:pPr>
              <w:pStyle w:val="TableParagraphbold"/>
              <w:rPr>
                <w:lang w:eastAsia="en-AU"/>
              </w:rPr>
            </w:pPr>
            <w:r w:rsidRPr="001D3D90">
              <w:rPr>
                <w:lang w:eastAsia="en-AU"/>
              </w:rPr>
              <w:t>$265.61</w:t>
            </w:r>
          </w:p>
        </w:tc>
        <w:tc>
          <w:tcPr>
            <w:tcW w:w="1000" w:type="dxa"/>
            <w:tcBorders>
              <w:top w:val="nil"/>
              <w:left w:val="nil"/>
              <w:bottom w:val="single" w:sz="12" w:space="0" w:color="auto"/>
              <w:right w:val="nil"/>
            </w:tcBorders>
            <w:shd w:val="clear" w:color="auto" w:fill="D8DBDB" w:themeFill="background2" w:themeFillShade="E6"/>
            <w:vAlign w:val="center"/>
            <w:hideMark/>
          </w:tcPr>
          <w:p w14:paraId="6D946F61" w14:textId="77777777" w:rsidR="001D3D90" w:rsidRPr="001D3D90" w:rsidRDefault="001D3D90" w:rsidP="00966B51">
            <w:pPr>
              <w:pStyle w:val="TableParagraphbold"/>
              <w:rPr>
                <w:lang w:eastAsia="en-AU"/>
              </w:rPr>
            </w:pPr>
            <w:r w:rsidRPr="001D3D90">
              <w:rPr>
                <w:lang w:eastAsia="en-AU"/>
              </w:rPr>
              <w:t>$279.65</w:t>
            </w:r>
          </w:p>
        </w:tc>
        <w:tc>
          <w:tcPr>
            <w:tcW w:w="1134" w:type="dxa"/>
            <w:tcBorders>
              <w:top w:val="nil"/>
              <w:left w:val="nil"/>
              <w:bottom w:val="single" w:sz="12" w:space="0" w:color="auto"/>
              <w:right w:val="nil"/>
            </w:tcBorders>
            <w:shd w:val="clear" w:color="auto" w:fill="D8DBDB" w:themeFill="background2" w:themeFillShade="E6"/>
            <w:vAlign w:val="center"/>
            <w:hideMark/>
          </w:tcPr>
          <w:p w14:paraId="7281BEC4" w14:textId="77777777" w:rsidR="001D3D90" w:rsidRPr="001D3D90" w:rsidRDefault="001D3D90" w:rsidP="00966B51">
            <w:pPr>
              <w:pStyle w:val="TableParagraphbold"/>
              <w:rPr>
                <w:lang w:eastAsia="en-AU"/>
              </w:rPr>
            </w:pPr>
            <w:r w:rsidRPr="001D3D90">
              <w:rPr>
                <w:lang w:eastAsia="en-AU"/>
              </w:rPr>
              <w:t>$307.27</w:t>
            </w:r>
          </w:p>
        </w:tc>
        <w:tc>
          <w:tcPr>
            <w:tcW w:w="892" w:type="dxa"/>
            <w:tcBorders>
              <w:top w:val="nil"/>
              <w:left w:val="nil"/>
              <w:bottom w:val="single" w:sz="12" w:space="0" w:color="auto"/>
              <w:right w:val="nil"/>
            </w:tcBorders>
            <w:shd w:val="clear" w:color="auto" w:fill="D8DBDB" w:themeFill="background2" w:themeFillShade="E6"/>
            <w:vAlign w:val="center"/>
            <w:hideMark/>
          </w:tcPr>
          <w:p w14:paraId="76806002" w14:textId="77777777" w:rsidR="001D3D90" w:rsidRPr="001D3D90" w:rsidRDefault="001D3D90" w:rsidP="00966B51">
            <w:pPr>
              <w:pStyle w:val="TableParagraphbold"/>
              <w:rPr>
                <w:lang w:eastAsia="en-AU"/>
              </w:rPr>
            </w:pPr>
            <w:r w:rsidRPr="001D3D90">
              <w:rPr>
                <w:lang w:eastAsia="en-AU"/>
              </w:rPr>
              <w:t>$323.81</w:t>
            </w:r>
          </w:p>
        </w:tc>
        <w:tc>
          <w:tcPr>
            <w:tcW w:w="957" w:type="dxa"/>
            <w:tcBorders>
              <w:top w:val="nil"/>
              <w:left w:val="nil"/>
              <w:bottom w:val="single" w:sz="12" w:space="0" w:color="auto"/>
              <w:right w:val="nil"/>
            </w:tcBorders>
            <w:shd w:val="clear" w:color="auto" w:fill="D8DBDB" w:themeFill="background2" w:themeFillShade="E6"/>
            <w:noWrap/>
            <w:vAlign w:val="center"/>
            <w:hideMark/>
          </w:tcPr>
          <w:p w14:paraId="35F021D7" w14:textId="77777777" w:rsidR="001D3D90" w:rsidRPr="001D3D90" w:rsidRDefault="001D3D90" w:rsidP="00966B51">
            <w:pPr>
              <w:pStyle w:val="TableParagraphbold"/>
              <w:rPr>
                <w:lang w:eastAsia="en-AU"/>
              </w:rPr>
            </w:pPr>
            <w:r w:rsidRPr="001D3D90">
              <w:rPr>
                <w:lang w:eastAsia="en-AU"/>
              </w:rPr>
              <w:t>$354.44</w:t>
            </w:r>
          </w:p>
        </w:tc>
      </w:tr>
    </w:tbl>
    <w:p w14:paraId="08488E20" w14:textId="1EC54A2E" w:rsidR="0013287C" w:rsidRDefault="0096606A" w:rsidP="00992774">
      <w:r>
        <w:fldChar w:fldCharType="begin"/>
      </w:r>
      <w:r>
        <w:instrText xml:space="preserve"> REF _Ref139553581 \h </w:instrText>
      </w:r>
      <w:r>
        <w:fldChar w:fldCharType="separate"/>
      </w:r>
      <w:r w:rsidR="00294B02">
        <w:t xml:space="preserve">Table </w:t>
      </w:r>
      <w:r w:rsidR="00294B02">
        <w:rPr>
          <w:noProof/>
        </w:rPr>
        <w:t>3</w:t>
      </w:r>
      <w:r w:rsidR="00294B02">
        <w:t>.</w:t>
      </w:r>
      <w:r w:rsidR="00294B02">
        <w:rPr>
          <w:noProof/>
        </w:rPr>
        <w:t>9</w:t>
      </w:r>
      <w:r>
        <w:fldChar w:fldCharType="end"/>
      </w:r>
      <w:r w:rsidR="00C47D99">
        <w:t xml:space="preserve"> </w:t>
      </w:r>
      <w:r w:rsidR="00B57249">
        <w:t>shows provider expenditure in 2021-22, compared with the previous two years</w:t>
      </w:r>
      <w:r w:rsidR="00992774">
        <w:t xml:space="preserve">. </w:t>
      </w:r>
    </w:p>
    <w:p w14:paraId="775E45A3" w14:textId="15FFD3B1" w:rsidR="00B57249" w:rsidRDefault="00B57249" w:rsidP="00992774">
      <w:r>
        <w:rPr>
          <w:spacing w:val="-4"/>
        </w:rPr>
        <w:t>Care expenditure relates to the direct costs incurred</w:t>
      </w:r>
      <w:r>
        <w:t xml:space="preserve"> </w:t>
      </w:r>
      <w:r>
        <w:rPr>
          <w:spacing w:val="-4"/>
        </w:rPr>
        <w:t>in providing care for residents within residential care</w:t>
      </w:r>
      <w:r>
        <w:t xml:space="preserve"> facilities. Care related employee expenses make</w:t>
      </w:r>
      <w:r w:rsidR="00921A88">
        <w:t xml:space="preserve"> </w:t>
      </w:r>
      <w:r w:rsidR="001578FF">
        <w:t>50</w:t>
      </w:r>
      <w:r>
        <w:rPr>
          <w:spacing w:val="-6"/>
        </w:rPr>
        <w:t xml:space="preserve"> </w:t>
      </w:r>
      <w:r>
        <w:t>per</w:t>
      </w:r>
      <w:r>
        <w:rPr>
          <w:spacing w:val="-6"/>
        </w:rPr>
        <w:t xml:space="preserve"> </w:t>
      </w:r>
      <w:r>
        <w:t>cent</w:t>
      </w:r>
      <w:r>
        <w:rPr>
          <w:spacing w:val="-2"/>
        </w:rPr>
        <w:t xml:space="preserve"> </w:t>
      </w:r>
      <w:r>
        <w:t>of</w:t>
      </w:r>
      <w:r>
        <w:rPr>
          <w:spacing w:val="-2"/>
        </w:rPr>
        <w:t xml:space="preserve"> </w:t>
      </w:r>
      <w:r>
        <w:t>total</w:t>
      </w:r>
      <w:r>
        <w:rPr>
          <w:spacing w:val="-2"/>
        </w:rPr>
        <w:t xml:space="preserve"> </w:t>
      </w:r>
      <w:r>
        <w:t>expenditure,</w:t>
      </w:r>
      <w:r>
        <w:rPr>
          <w:spacing w:val="-2"/>
        </w:rPr>
        <w:t xml:space="preserve"> </w:t>
      </w:r>
      <w:r>
        <w:t>making</w:t>
      </w:r>
      <w:r>
        <w:rPr>
          <w:spacing w:val="-2"/>
        </w:rPr>
        <w:t xml:space="preserve"> </w:t>
      </w:r>
      <w:r>
        <w:t>it</w:t>
      </w:r>
      <w:r>
        <w:rPr>
          <w:spacing w:val="-2"/>
        </w:rPr>
        <w:t xml:space="preserve"> </w:t>
      </w:r>
      <w:r>
        <w:t>the</w:t>
      </w:r>
      <w:r>
        <w:rPr>
          <w:spacing w:val="-2"/>
        </w:rPr>
        <w:t xml:space="preserve"> </w:t>
      </w:r>
      <w:r>
        <w:t xml:space="preserve">largest </w:t>
      </w:r>
      <w:r>
        <w:rPr>
          <w:spacing w:val="-2"/>
        </w:rPr>
        <w:t>single</w:t>
      </w:r>
      <w:r>
        <w:rPr>
          <w:spacing w:val="-9"/>
        </w:rPr>
        <w:t xml:space="preserve"> </w:t>
      </w:r>
      <w:r>
        <w:rPr>
          <w:spacing w:val="-2"/>
        </w:rPr>
        <w:t>expense</w:t>
      </w:r>
      <w:r>
        <w:rPr>
          <w:spacing w:val="-9"/>
        </w:rPr>
        <w:t xml:space="preserve"> </w:t>
      </w:r>
      <w:r>
        <w:rPr>
          <w:spacing w:val="-2"/>
        </w:rPr>
        <w:t>for</w:t>
      </w:r>
      <w:r>
        <w:rPr>
          <w:spacing w:val="-9"/>
        </w:rPr>
        <w:t xml:space="preserve"> </w:t>
      </w:r>
      <w:r>
        <w:rPr>
          <w:spacing w:val="-2"/>
        </w:rPr>
        <w:t>providers.</w:t>
      </w:r>
      <w:r>
        <w:rPr>
          <w:spacing w:val="-9"/>
        </w:rPr>
        <w:t xml:space="preserve"> </w:t>
      </w:r>
      <w:r>
        <w:rPr>
          <w:spacing w:val="-2"/>
        </w:rPr>
        <w:t>Th</w:t>
      </w:r>
      <w:r w:rsidR="00811045">
        <w:rPr>
          <w:spacing w:val="-2"/>
        </w:rPr>
        <w:t>is</w:t>
      </w:r>
      <w:r>
        <w:rPr>
          <w:spacing w:val="-9"/>
        </w:rPr>
        <w:t xml:space="preserve"> </w:t>
      </w:r>
      <w:r>
        <w:rPr>
          <w:spacing w:val="-2"/>
        </w:rPr>
        <w:t>proportion</w:t>
      </w:r>
      <w:r>
        <w:rPr>
          <w:spacing w:val="-9"/>
        </w:rPr>
        <w:t xml:space="preserve"> </w:t>
      </w:r>
      <w:r>
        <w:rPr>
          <w:spacing w:val="-2"/>
        </w:rPr>
        <w:t>is</w:t>
      </w:r>
      <w:r>
        <w:rPr>
          <w:spacing w:val="-9"/>
        </w:rPr>
        <w:t xml:space="preserve"> </w:t>
      </w:r>
      <w:r>
        <w:rPr>
          <w:spacing w:val="-2"/>
        </w:rPr>
        <w:lastRenderedPageBreak/>
        <w:t>consistent with</w:t>
      </w:r>
      <w:r>
        <w:rPr>
          <w:spacing w:val="-9"/>
        </w:rPr>
        <w:t xml:space="preserve"> </w:t>
      </w:r>
      <w:r>
        <w:rPr>
          <w:spacing w:val="-2"/>
        </w:rPr>
        <w:t>recent</w:t>
      </w:r>
      <w:r>
        <w:rPr>
          <w:spacing w:val="-9"/>
        </w:rPr>
        <w:t xml:space="preserve"> </w:t>
      </w:r>
      <w:r>
        <w:rPr>
          <w:spacing w:val="-2"/>
        </w:rPr>
        <w:t>years.</w:t>
      </w:r>
      <w:r>
        <w:rPr>
          <w:spacing w:val="-9"/>
        </w:rPr>
        <w:t xml:space="preserve"> </w:t>
      </w:r>
      <w:r>
        <w:rPr>
          <w:spacing w:val="-2"/>
        </w:rPr>
        <w:t>Employee</w:t>
      </w:r>
      <w:r>
        <w:rPr>
          <w:spacing w:val="-9"/>
        </w:rPr>
        <w:t xml:space="preserve"> </w:t>
      </w:r>
      <w:r>
        <w:rPr>
          <w:spacing w:val="-2"/>
        </w:rPr>
        <w:t>expenses</w:t>
      </w:r>
      <w:r>
        <w:rPr>
          <w:spacing w:val="-9"/>
        </w:rPr>
        <w:t xml:space="preserve"> </w:t>
      </w:r>
      <w:r>
        <w:rPr>
          <w:spacing w:val="-2"/>
        </w:rPr>
        <w:t>include</w:t>
      </w:r>
      <w:r>
        <w:rPr>
          <w:spacing w:val="-9"/>
        </w:rPr>
        <w:t xml:space="preserve"> </w:t>
      </w:r>
      <w:r>
        <w:rPr>
          <w:spacing w:val="-2"/>
        </w:rPr>
        <w:t xml:space="preserve">payments </w:t>
      </w:r>
      <w:r>
        <w:t>made</w:t>
      </w:r>
      <w:r>
        <w:rPr>
          <w:spacing w:val="-2"/>
        </w:rPr>
        <w:t xml:space="preserve"> </w:t>
      </w:r>
      <w:r>
        <w:t>to</w:t>
      </w:r>
      <w:r>
        <w:rPr>
          <w:spacing w:val="-2"/>
        </w:rPr>
        <w:t xml:space="preserve"> n</w:t>
      </w:r>
      <w:r>
        <w:t>urses,</w:t>
      </w:r>
      <w:r>
        <w:rPr>
          <w:spacing w:val="-2"/>
        </w:rPr>
        <w:t xml:space="preserve"> </w:t>
      </w:r>
      <w:r>
        <w:t>therapists,</w:t>
      </w:r>
      <w:r>
        <w:rPr>
          <w:spacing w:val="-2"/>
        </w:rPr>
        <w:t xml:space="preserve"> </w:t>
      </w:r>
      <w:r>
        <w:t>nutritionists,</w:t>
      </w:r>
      <w:r>
        <w:rPr>
          <w:spacing w:val="-2"/>
        </w:rPr>
        <w:t xml:space="preserve"> </w:t>
      </w:r>
      <w:r>
        <w:t>ca</w:t>
      </w:r>
      <w:r w:rsidR="55F784AD">
        <w:t>r</w:t>
      </w:r>
      <w:r>
        <w:t>e managers, health assistants and support staff.</w:t>
      </w:r>
    </w:p>
    <w:p w14:paraId="76A28190" w14:textId="77777777" w:rsidR="00B57249" w:rsidRDefault="00B57249" w:rsidP="00B57249">
      <w:r>
        <w:t>Other care expenses include items such as resident medication,</w:t>
      </w:r>
      <w:r>
        <w:rPr>
          <w:spacing w:val="-11"/>
        </w:rPr>
        <w:t xml:space="preserve"> </w:t>
      </w:r>
      <w:r>
        <w:t>oxygen</w:t>
      </w:r>
      <w:r>
        <w:rPr>
          <w:spacing w:val="-11"/>
        </w:rPr>
        <w:t xml:space="preserve"> </w:t>
      </w:r>
      <w:r>
        <w:t>and</w:t>
      </w:r>
      <w:r>
        <w:rPr>
          <w:spacing w:val="-11"/>
        </w:rPr>
        <w:t xml:space="preserve"> </w:t>
      </w:r>
      <w:r>
        <w:t>related</w:t>
      </w:r>
      <w:r>
        <w:rPr>
          <w:spacing w:val="-11"/>
        </w:rPr>
        <w:t xml:space="preserve"> </w:t>
      </w:r>
      <w:r>
        <w:t>equipment,</w:t>
      </w:r>
      <w:r>
        <w:rPr>
          <w:spacing w:val="-11"/>
        </w:rPr>
        <w:t xml:space="preserve"> </w:t>
      </w:r>
      <w:r>
        <w:t xml:space="preserve">treatments and procedures, incontinence aids, items that assist mobility, recreation and social activities, rehabilitation support, personal </w:t>
      </w:r>
      <w:proofErr w:type="gramStart"/>
      <w:r>
        <w:t>grooming</w:t>
      </w:r>
      <w:proofErr w:type="gramEnd"/>
      <w:r>
        <w:t xml:space="preserve"> and specific cultural and social events.</w:t>
      </w:r>
    </w:p>
    <w:p w14:paraId="7384D281" w14:textId="4A18D87B" w:rsidR="000A442D" w:rsidRDefault="000A442D" w:rsidP="000A442D">
      <w:r>
        <w:t xml:space="preserve">Accommodation </w:t>
      </w:r>
      <w:r w:rsidR="00B61E2B">
        <w:t>and finance</w:t>
      </w:r>
      <w:r>
        <w:t xml:space="preserve"> expenditure, which represents </w:t>
      </w:r>
      <w:r w:rsidR="003D0619">
        <w:t>14.4</w:t>
      </w:r>
      <w:r>
        <w:rPr>
          <w:spacing w:val="-11"/>
        </w:rPr>
        <w:t xml:space="preserve"> </w:t>
      </w:r>
      <w:r>
        <w:t>per</w:t>
      </w:r>
      <w:r>
        <w:rPr>
          <w:spacing w:val="-9"/>
        </w:rPr>
        <w:t xml:space="preserve"> </w:t>
      </w:r>
      <w:r>
        <w:t>cent</w:t>
      </w:r>
      <w:r>
        <w:rPr>
          <w:spacing w:val="-4"/>
        </w:rPr>
        <w:t xml:space="preserve"> </w:t>
      </w:r>
      <w:r>
        <w:t>of</w:t>
      </w:r>
      <w:r>
        <w:rPr>
          <w:spacing w:val="-4"/>
        </w:rPr>
        <w:t xml:space="preserve"> </w:t>
      </w:r>
      <w:r>
        <w:t>total</w:t>
      </w:r>
      <w:r>
        <w:rPr>
          <w:spacing w:val="-4"/>
        </w:rPr>
        <w:t xml:space="preserve"> </w:t>
      </w:r>
      <w:r>
        <w:t>expenses,</w:t>
      </w:r>
      <w:r>
        <w:rPr>
          <w:spacing w:val="-4"/>
        </w:rPr>
        <w:t xml:space="preserve"> </w:t>
      </w:r>
      <w:r>
        <w:t>relates</w:t>
      </w:r>
      <w:r>
        <w:rPr>
          <w:spacing w:val="-4"/>
        </w:rPr>
        <w:t xml:space="preserve"> </w:t>
      </w:r>
      <w:r>
        <w:t>to</w:t>
      </w:r>
      <w:r>
        <w:rPr>
          <w:spacing w:val="-3"/>
        </w:rPr>
        <w:t xml:space="preserve"> </w:t>
      </w:r>
      <w:r>
        <w:t>the</w:t>
      </w:r>
      <w:r>
        <w:rPr>
          <w:spacing w:val="-4"/>
        </w:rPr>
        <w:t xml:space="preserve"> </w:t>
      </w:r>
      <w:r>
        <w:rPr>
          <w:spacing w:val="-2"/>
        </w:rPr>
        <w:t>costs</w:t>
      </w:r>
      <w:r>
        <w:t xml:space="preserve"> incurred</w:t>
      </w:r>
      <w:r>
        <w:rPr>
          <w:spacing w:val="-11"/>
        </w:rPr>
        <w:t xml:space="preserve"> </w:t>
      </w:r>
      <w:r>
        <w:t>in</w:t>
      </w:r>
      <w:r>
        <w:rPr>
          <w:spacing w:val="-11"/>
        </w:rPr>
        <w:t xml:space="preserve"> </w:t>
      </w:r>
      <w:r>
        <w:t>providing</w:t>
      </w:r>
      <w:r>
        <w:rPr>
          <w:spacing w:val="-11"/>
        </w:rPr>
        <w:t xml:space="preserve"> </w:t>
      </w:r>
      <w:r>
        <w:t>accommodation</w:t>
      </w:r>
      <w:r>
        <w:rPr>
          <w:spacing w:val="-11"/>
        </w:rPr>
        <w:t xml:space="preserve"> </w:t>
      </w:r>
      <w:r>
        <w:t>to</w:t>
      </w:r>
      <w:r>
        <w:rPr>
          <w:spacing w:val="-11"/>
        </w:rPr>
        <w:t xml:space="preserve"> </w:t>
      </w:r>
      <w:r>
        <w:t>residents.</w:t>
      </w:r>
      <w:r>
        <w:rPr>
          <w:spacing w:val="-11"/>
        </w:rPr>
        <w:t xml:space="preserve"> </w:t>
      </w:r>
      <w:r>
        <w:t xml:space="preserve">This includes accommodation, employee expenses, </w:t>
      </w:r>
      <w:proofErr w:type="gramStart"/>
      <w:r>
        <w:t>repairs</w:t>
      </w:r>
      <w:proofErr w:type="gramEnd"/>
      <w:r>
        <w:t xml:space="preserve"> and maintenance, and rent.</w:t>
      </w:r>
    </w:p>
    <w:p w14:paraId="498C8836" w14:textId="10323142" w:rsidR="000A442D" w:rsidRDefault="000A442D" w:rsidP="000A442D">
      <w:r>
        <w:t>Hotel</w:t>
      </w:r>
      <w:r>
        <w:rPr>
          <w:spacing w:val="-11"/>
        </w:rPr>
        <w:t xml:space="preserve"> </w:t>
      </w:r>
      <w:r>
        <w:t>expenditure</w:t>
      </w:r>
      <w:r>
        <w:rPr>
          <w:spacing w:val="-11"/>
        </w:rPr>
        <w:t xml:space="preserve"> </w:t>
      </w:r>
      <w:r>
        <w:t>(which</w:t>
      </w:r>
      <w:r>
        <w:rPr>
          <w:spacing w:val="-11"/>
        </w:rPr>
        <w:t xml:space="preserve"> </w:t>
      </w:r>
      <w:r>
        <w:t>represents</w:t>
      </w:r>
      <w:r>
        <w:rPr>
          <w:spacing w:val="-11"/>
        </w:rPr>
        <w:t xml:space="preserve"> </w:t>
      </w:r>
      <w:r>
        <w:t>1</w:t>
      </w:r>
      <w:r w:rsidR="009978C4">
        <w:t>6</w:t>
      </w:r>
      <w:r>
        <w:rPr>
          <w:spacing w:val="-11"/>
        </w:rPr>
        <w:t xml:space="preserve"> </w:t>
      </w:r>
      <w:r>
        <w:t>per</w:t>
      </w:r>
      <w:r>
        <w:rPr>
          <w:spacing w:val="-11"/>
        </w:rPr>
        <w:t xml:space="preserve"> </w:t>
      </w:r>
      <w:r>
        <w:t>cent</w:t>
      </w:r>
      <w:r>
        <w:rPr>
          <w:spacing w:val="-11"/>
        </w:rPr>
        <w:t xml:space="preserve"> </w:t>
      </w:r>
      <w:r>
        <w:t>of</w:t>
      </w:r>
      <w:r>
        <w:rPr>
          <w:spacing w:val="-11"/>
        </w:rPr>
        <w:t xml:space="preserve"> </w:t>
      </w:r>
      <w:r>
        <w:t xml:space="preserve">total expenses) relates to the costs incurred in the provision of everyday living </w:t>
      </w:r>
      <w:r w:rsidR="00984DA1">
        <w:t xml:space="preserve">services </w:t>
      </w:r>
      <w:r>
        <w:t xml:space="preserve">to residents, including employees </w:t>
      </w:r>
      <w:r w:rsidR="00F454B0">
        <w:t>an</w:t>
      </w:r>
      <w:r w:rsidR="009966E5">
        <w:t>d</w:t>
      </w:r>
      <w:r>
        <w:t xml:space="preserve"> contracted services.</w:t>
      </w:r>
    </w:p>
    <w:p w14:paraId="2F526871" w14:textId="25399213" w:rsidR="000A442D" w:rsidRDefault="000A442D" w:rsidP="000A442D">
      <w:r>
        <w:t xml:space="preserve">Contracted services are payments made to external providers or internal divisions for the provision of catering, </w:t>
      </w:r>
      <w:proofErr w:type="gramStart"/>
      <w:r>
        <w:t>cleaning</w:t>
      </w:r>
      <w:proofErr w:type="gramEnd"/>
      <w:r>
        <w:t xml:space="preserve"> or laundry. Other expenses consist of</w:t>
      </w:r>
      <w:r>
        <w:rPr>
          <w:spacing w:val="-4"/>
        </w:rPr>
        <w:t xml:space="preserve"> </w:t>
      </w:r>
      <w:r>
        <w:t>expenses</w:t>
      </w:r>
      <w:r>
        <w:rPr>
          <w:spacing w:val="-4"/>
        </w:rPr>
        <w:t xml:space="preserve"> </w:t>
      </w:r>
      <w:r>
        <w:t>such</w:t>
      </w:r>
      <w:r>
        <w:rPr>
          <w:spacing w:val="-4"/>
        </w:rPr>
        <w:t xml:space="preserve"> </w:t>
      </w:r>
      <w:r>
        <w:t>as</w:t>
      </w:r>
      <w:r>
        <w:rPr>
          <w:spacing w:val="-4"/>
        </w:rPr>
        <w:t xml:space="preserve"> </w:t>
      </w:r>
      <w:r>
        <w:t>meals,</w:t>
      </w:r>
      <w:r>
        <w:rPr>
          <w:spacing w:val="-4"/>
        </w:rPr>
        <w:t xml:space="preserve"> </w:t>
      </w:r>
      <w:r>
        <w:t>refreshments,</w:t>
      </w:r>
      <w:r>
        <w:rPr>
          <w:spacing w:val="-4"/>
        </w:rPr>
        <w:t xml:space="preserve"> </w:t>
      </w:r>
      <w:r>
        <w:t>other</w:t>
      </w:r>
      <w:r>
        <w:rPr>
          <w:spacing w:val="-4"/>
        </w:rPr>
        <w:t xml:space="preserve"> </w:t>
      </w:r>
      <w:r>
        <w:t>food consumables,</w:t>
      </w:r>
      <w:r>
        <w:rPr>
          <w:spacing w:val="-11"/>
        </w:rPr>
        <w:t xml:space="preserve"> </w:t>
      </w:r>
      <w:r>
        <w:t>bedding</w:t>
      </w:r>
      <w:r>
        <w:rPr>
          <w:spacing w:val="-11"/>
        </w:rPr>
        <w:t xml:space="preserve"> </w:t>
      </w:r>
      <w:r>
        <w:t>materials,</w:t>
      </w:r>
      <w:r>
        <w:rPr>
          <w:spacing w:val="-11"/>
        </w:rPr>
        <w:t xml:space="preserve"> </w:t>
      </w:r>
      <w:r>
        <w:t>toiletry</w:t>
      </w:r>
      <w:r>
        <w:rPr>
          <w:spacing w:val="-11"/>
        </w:rPr>
        <w:t xml:space="preserve"> </w:t>
      </w:r>
      <w:r>
        <w:t>and</w:t>
      </w:r>
      <w:r>
        <w:rPr>
          <w:spacing w:val="-11"/>
        </w:rPr>
        <w:t xml:space="preserve"> </w:t>
      </w:r>
      <w:r>
        <w:t xml:space="preserve">sanitary goods, </w:t>
      </w:r>
      <w:proofErr w:type="gramStart"/>
      <w:r>
        <w:t>cleaning</w:t>
      </w:r>
      <w:proofErr w:type="gramEnd"/>
      <w:r>
        <w:t xml:space="preserve"> and laundry items.</w:t>
      </w:r>
    </w:p>
    <w:p w14:paraId="3AE9E17C" w14:textId="142687EF" w:rsidR="00A32ECA" w:rsidRPr="00F43115" w:rsidRDefault="00A32ECA" w:rsidP="00B57249">
      <w:r w:rsidRPr="00F43115">
        <w:t>For</w:t>
      </w:r>
      <w:r w:rsidRPr="00F43115">
        <w:rPr>
          <w:spacing w:val="-1"/>
        </w:rPr>
        <w:t xml:space="preserve"> </w:t>
      </w:r>
      <w:r w:rsidRPr="00F43115">
        <w:t>leased</w:t>
      </w:r>
      <w:r w:rsidRPr="00F43115">
        <w:rPr>
          <w:spacing w:val="-1"/>
        </w:rPr>
        <w:t xml:space="preserve"> </w:t>
      </w:r>
      <w:r w:rsidRPr="00F43115">
        <w:t>assets</w:t>
      </w:r>
      <w:r w:rsidRPr="00F43115">
        <w:rPr>
          <w:spacing w:val="-1"/>
        </w:rPr>
        <w:t xml:space="preserve"> </w:t>
      </w:r>
      <w:r w:rsidR="00884990" w:rsidRPr="00F43115">
        <w:t>reported</w:t>
      </w:r>
      <w:r w:rsidR="00884990" w:rsidRPr="00F43115">
        <w:rPr>
          <w:spacing w:val="-1"/>
        </w:rPr>
        <w:t xml:space="preserve"> </w:t>
      </w:r>
      <w:r w:rsidRPr="00F43115">
        <w:t>in</w:t>
      </w:r>
      <w:r w:rsidRPr="00F43115">
        <w:rPr>
          <w:spacing w:val="-1"/>
        </w:rPr>
        <w:t xml:space="preserve"> </w:t>
      </w:r>
      <w:r w:rsidRPr="00F43115">
        <w:t>the</w:t>
      </w:r>
      <w:r w:rsidRPr="00F43115">
        <w:rPr>
          <w:spacing w:val="-1"/>
        </w:rPr>
        <w:t xml:space="preserve"> </w:t>
      </w:r>
      <w:r w:rsidRPr="00F43115">
        <w:t>balance</w:t>
      </w:r>
      <w:r w:rsidRPr="00F43115">
        <w:rPr>
          <w:spacing w:val="-1"/>
        </w:rPr>
        <w:t xml:space="preserve"> </w:t>
      </w:r>
      <w:r w:rsidRPr="00F43115">
        <w:t>sheet,</w:t>
      </w:r>
      <w:r w:rsidRPr="00F43115">
        <w:rPr>
          <w:spacing w:val="-1"/>
        </w:rPr>
        <w:t xml:space="preserve"> </w:t>
      </w:r>
      <w:r w:rsidRPr="00F43115">
        <w:t xml:space="preserve">rent </w:t>
      </w:r>
      <w:r w:rsidRPr="00F43115">
        <w:rPr>
          <w:spacing w:val="-4"/>
        </w:rPr>
        <w:t>expense</w:t>
      </w:r>
      <w:r w:rsidR="00C258C5" w:rsidRPr="00F43115">
        <w:rPr>
          <w:spacing w:val="-4"/>
        </w:rPr>
        <w:t>s are</w:t>
      </w:r>
      <w:r w:rsidRPr="00F43115">
        <w:rPr>
          <w:spacing w:val="-4"/>
        </w:rPr>
        <w:t xml:space="preserve"> replaced by depreciation and interest expense</w:t>
      </w:r>
      <w:r w:rsidR="00783B86" w:rsidRPr="00F43115">
        <w:rPr>
          <w:spacing w:val="-4"/>
        </w:rPr>
        <w:t>s,</w:t>
      </w:r>
      <w:r w:rsidRPr="00F43115">
        <w:t xml:space="preserve"> calculated</w:t>
      </w:r>
      <w:r w:rsidRPr="00F43115">
        <w:rPr>
          <w:spacing w:val="-1"/>
        </w:rPr>
        <w:t xml:space="preserve"> </w:t>
      </w:r>
      <w:r w:rsidRPr="00F43115">
        <w:t>on</w:t>
      </w:r>
      <w:r w:rsidRPr="00F43115">
        <w:rPr>
          <w:spacing w:val="-1"/>
        </w:rPr>
        <w:t xml:space="preserve"> </w:t>
      </w:r>
      <w:r w:rsidRPr="00F43115">
        <w:t>the</w:t>
      </w:r>
      <w:r w:rsidRPr="00F43115">
        <w:rPr>
          <w:spacing w:val="-1"/>
        </w:rPr>
        <w:t xml:space="preserve"> </w:t>
      </w:r>
      <w:r w:rsidRPr="00F43115">
        <w:t>value</w:t>
      </w:r>
      <w:r w:rsidRPr="00F43115">
        <w:rPr>
          <w:spacing w:val="-1"/>
        </w:rPr>
        <w:t xml:space="preserve"> </w:t>
      </w:r>
      <w:r w:rsidRPr="00F43115">
        <w:t>of</w:t>
      </w:r>
      <w:r w:rsidRPr="00F43115">
        <w:rPr>
          <w:spacing w:val="-1"/>
        </w:rPr>
        <w:t xml:space="preserve"> </w:t>
      </w:r>
      <w:r w:rsidRPr="00F43115">
        <w:t>the</w:t>
      </w:r>
      <w:r w:rsidRPr="00F43115">
        <w:rPr>
          <w:spacing w:val="-1"/>
        </w:rPr>
        <w:t xml:space="preserve"> </w:t>
      </w:r>
      <w:r w:rsidRPr="00F43115">
        <w:t>leased</w:t>
      </w:r>
      <w:r w:rsidRPr="00F43115">
        <w:rPr>
          <w:spacing w:val="-1"/>
        </w:rPr>
        <w:t xml:space="preserve"> </w:t>
      </w:r>
      <w:r w:rsidRPr="00F43115">
        <w:t xml:space="preserve">asset. </w:t>
      </w:r>
      <w:r w:rsidR="009966E5" w:rsidRPr="00F43115">
        <w:br/>
      </w:r>
      <w:r w:rsidRPr="00F43115">
        <w:t>Short</w:t>
      </w:r>
      <w:r w:rsidR="009966E5" w:rsidRPr="00F43115">
        <w:t>-</w:t>
      </w:r>
      <w:r w:rsidRPr="00F43115">
        <w:t xml:space="preserve">term leases and low value leases are exempt and </w:t>
      </w:r>
      <w:r w:rsidRPr="00F43115">
        <w:rPr>
          <w:spacing w:val="-2"/>
        </w:rPr>
        <w:t>can</w:t>
      </w:r>
      <w:r w:rsidRPr="00F43115">
        <w:rPr>
          <w:spacing w:val="-9"/>
        </w:rPr>
        <w:t xml:space="preserve"> </w:t>
      </w:r>
      <w:r w:rsidRPr="00F43115">
        <w:rPr>
          <w:spacing w:val="-2"/>
        </w:rPr>
        <w:t>still</w:t>
      </w:r>
      <w:r w:rsidRPr="00F43115">
        <w:rPr>
          <w:spacing w:val="-7"/>
        </w:rPr>
        <w:t xml:space="preserve"> </w:t>
      </w:r>
      <w:r w:rsidRPr="00F43115">
        <w:rPr>
          <w:spacing w:val="-2"/>
        </w:rPr>
        <w:t>be</w:t>
      </w:r>
      <w:r w:rsidRPr="00F43115">
        <w:rPr>
          <w:spacing w:val="-8"/>
        </w:rPr>
        <w:t xml:space="preserve"> </w:t>
      </w:r>
      <w:r w:rsidRPr="00F43115">
        <w:rPr>
          <w:spacing w:val="-2"/>
        </w:rPr>
        <w:t>shown</w:t>
      </w:r>
      <w:r w:rsidRPr="00F43115">
        <w:rPr>
          <w:spacing w:val="-8"/>
        </w:rPr>
        <w:t xml:space="preserve"> </w:t>
      </w:r>
      <w:r w:rsidRPr="00F43115">
        <w:rPr>
          <w:spacing w:val="-2"/>
        </w:rPr>
        <w:t>as</w:t>
      </w:r>
      <w:r w:rsidRPr="00F43115">
        <w:rPr>
          <w:spacing w:val="-8"/>
        </w:rPr>
        <w:t xml:space="preserve"> </w:t>
      </w:r>
      <w:r w:rsidRPr="00F43115">
        <w:rPr>
          <w:spacing w:val="-2"/>
        </w:rPr>
        <w:t>rent</w:t>
      </w:r>
      <w:r w:rsidR="0044056A" w:rsidRPr="00F43115">
        <w:rPr>
          <w:spacing w:val="-2"/>
        </w:rPr>
        <w:t xml:space="preserve"> </w:t>
      </w:r>
      <w:r w:rsidRPr="00F43115">
        <w:rPr>
          <w:spacing w:val="-2"/>
        </w:rPr>
        <w:t>expense</w:t>
      </w:r>
      <w:r w:rsidR="007A56C1" w:rsidRPr="00F43115">
        <w:rPr>
          <w:spacing w:val="-2"/>
        </w:rPr>
        <w:t>s</w:t>
      </w:r>
      <w:r w:rsidRPr="00F43115">
        <w:rPr>
          <w:spacing w:val="-8"/>
        </w:rPr>
        <w:t xml:space="preserve"> </w:t>
      </w:r>
      <w:r w:rsidRPr="00F43115">
        <w:rPr>
          <w:spacing w:val="-2"/>
        </w:rPr>
        <w:t>(</w:t>
      </w:r>
      <w:proofErr w:type="gramStart"/>
      <w:r w:rsidRPr="00F43115">
        <w:rPr>
          <w:spacing w:val="-2"/>
        </w:rPr>
        <w:t>similar</w:t>
      </w:r>
      <w:r w:rsidRPr="00F43115">
        <w:rPr>
          <w:spacing w:val="-8"/>
        </w:rPr>
        <w:t xml:space="preserve"> </w:t>
      </w:r>
      <w:r w:rsidRPr="00F43115">
        <w:rPr>
          <w:spacing w:val="-2"/>
        </w:rPr>
        <w:t>to</w:t>
      </w:r>
      <w:proofErr w:type="gramEnd"/>
      <w:r w:rsidRPr="00F43115">
        <w:rPr>
          <w:spacing w:val="-8"/>
        </w:rPr>
        <w:t xml:space="preserve"> </w:t>
      </w:r>
      <w:r w:rsidRPr="00F43115">
        <w:rPr>
          <w:spacing w:val="-2"/>
        </w:rPr>
        <w:t>prior</w:t>
      </w:r>
      <w:r w:rsidRPr="00F43115">
        <w:rPr>
          <w:spacing w:val="-9"/>
        </w:rPr>
        <w:t xml:space="preserve"> </w:t>
      </w:r>
      <w:r w:rsidRPr="00F43115">
        <w:rPr>
          <w:spacing w:val="-2"/>
        </w:rPr>
        <w:t>years).</w:t>
      </w:r>
    </w:p>
    <w:p w14:paraId="62E6F4D3" w14:textId="24CC2AB5" w:rsidR="0096606A" w:rsidRPr="0096606A" w:rsidRDefault="0096606A" w:rsidP="0096606A">
      <w:pPr>
        <w:pStyle w:val="Caption"/>
        <w:rPr>
          <w:lang w:val="en-GB"/>
        </w:rPr>
      </w:pPr>
      <w:bookmarkStart w:id="244" w:name="_Ref139553581"/>
      <w:bookmarkStart w:id="245" w:name="_Toc149245283"/>
      <w:r>
        <w:t xml:space="preserve">Table </w:t>
      </w:r>
      <w:r>
        <w:fldChar w:fldCharType="begin"/>
      </w:r>
      <w:r>
        <w:instrText>STYLEREF 1 \s</w:instrText>
      </w:r>
      <w:r>
        <w:fldChar w:fldCharType="separate"/>
      </w:r>
      <w:r w:rsidR="00294B02">
        <w:rPr>
          <w:noProof/>
        </w:rPr>
        <w:t>3</w:t>
      </w:r>
      <w:r>
        <w:fldChar w:fldCharType="end"/>
      </w:r>
      <w:r w:rsidR="002E758C">
        <w:t>.</w:t>
      </w:r>
      <w:r>
        <w:fldChar w:fldCharType="begin"/>
      </w:r>
      <w:r>
        <w:instrText>SEQ Table \* ARABIC \s 1</w:instrText>
      </w:r>
      <w:r>
        <w:fldChar w:fldCharType="separate"/>
      </w:r>
      <w:r w:rsidR="00294B02">
        <w:rPr>
          <w:noProof/>
        </w:rPr>
        <w:t>9</w:t>
      </w:r>
      <w:r>
        <w:fldChar w:fldCharType="end"/>
      </w:r>
      <w:bookmarkEnd w:id="244"/>
      <w:r>
        <w:t xml:space="preserve">: </w:t>
      </w:r>
      <w:r w:rsidRPr="004A4998">
        <w:t>Breakdown of residential care provider expenses, 2019-20 to 2021-22 ($m)</w:t>
      </w:r>
      <w:bookmarkEnd w:id="245"/>
    </w:p>
    <w:tbl>
      <w:tblPr>
        <w:tblStyle w:val="DepartmentofHealthtable"/>
        <w:tblW w:w="9214" w:type="dxa"/>
        <w:tblLook w:val="04A0" w:firstRow="1" w:lastRow="0" w:firstColumn="1" w:lastColumn="0" w:noHBand="0" w:noVBand="1"/>
      </w:tblPr>
      <w:tblGrid>
        <w:gridCol w:w="2658"/>
        <w:gridCol w:w="1217"/>
        <w:gridCol w:w="1217"/>
        <w:gridCol w:w="1106"/>
        <w:gridCol w:w="1217"/>
        <w:gridCol w:w="1106"/>
        <w:gridCol w:w="1128"/>
      </w:tblGrid>
      <w:tr w:rsidR="00BE08F8" w:rsidRPr="00BE08F8" w14:paraId="310B0A36" w14:textId="77777777" w:rsidTr="00701AAB">
        <w:trPr>
          <w:cnfStyle w:val="100000000000" w:firstRow="1" w:lastRow="0" w:firstColumn="0" w:lastColumn="0" w:oddVBand="0" w:evenVBand="0" w:oddHBand="0" w:evenHBand="0" w:firstRowFirstColumn="0" w:firstRowLastColumn="0" w:lastRowFirstColumn="0" w:lastRowLastColumn="0"/>
          <w:trHeight w:val="1057"/>
        </w:trPr>
        <w:tc>
          <w:tcPr>
            <w:cnfStyle w:val="001000000000" w:firstRow="0" w:lastRow="0" w:firstColumn="1" w:lastColumn="0" w:oddVBand="0" w:evenVBand="0" w:oddHBand="0" w:evenHBand="0" w:firstRowFirstColumn="0" w:firstRowLastColumn="0" w:lastRowFirstColumn="0" w:lastRowLastColumn="0"/>
            <w:tcW w:w="2658" w:type="dxa"/>
            <w:hideMark/>
          </w:tcPr>
          <w:p w14:paraId="15153292" w14:textId="77777777" w:rsidR="00BE08F8" w:rsidRPr="000C54F8" w:rsidRDefault="00BE08F8" w:rsidP="00C6103A">
            <w:pPr>
              <w:pStyle w:val="TableHeaderWhite"/>
              <w:rPr>
                <w:lang w:eastAsia="en-AU"/>
              </w:rPr>
            </w:pPr>
            <w:r w:rsidRPr="000C54F8">
              <w:rPr>
                <w:lang w:eastAsia="en-AU"/>
              </w:rPr>
              <w:t> </w:t>
            </w:r>
          </w:p>
        </w:tc>
        <w:tc>
          <w:tcPr>
            <w:tcW w:w="1127" w:type="dxa"/>
            <w:hideMark/>
          </w:tcPr>
          <w:p w14:paraId="6941D165" w14:textId="4D01A989" w:rsidR="00BE08F8" w:rsidRPr="007A3C08" w:rsidRDefault="00BE08F8" w:rsidP="00C6103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7A3C08">
              <w:rPr>
                <w:szCs w:val="20"/>
              </w:rPr>
              <w:t>2019-20 ($m)</w:t>
            </w:r>
          </w:p>
        </w:tc>
        <w:tc>
          <w:tcPr>
            <w:tcW w:w="1127" w:type="dxa"/>
            <w:hideMark/>
          </w:tcPr>
          <w:p w14:paraId="1D0AFF0A" w14:textId="76A24FBF" w:rsidR="00BE08F8" w:rsidRPr="007A3C08" w:rsidRDefault="00BE08F8" w:rsidP="00C6103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7A3C08">
              <w:rPr>
                <w:szCs w:val="20"/>
              </w:rPr>
              <w:t>2020-21 ($m)</w:t>
            </w:r>
          </w:p>
        </w:tc>
        <w:tc>
          <w:tcPr>
            <w:tcW w:w="1026" w:type="dxa"/>
            <w:hideMark/>
          </w:tcPr>
          <w:p w14:paraId="49E6D2F6" w14:textId="18E29AD2" w:rsidR="00BE08F8" w:rsidRPr="007A3C08" w:rsidRDefault="00BE08F8" w:rsidP="00C6103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7A3C08">
              <w:rPr>
                <w:szCs w:val="20"/>
              </w:rPr>
              <w:t>Change</w:t>
            </w:r>
            <w:r w:rsidR="004A2DD8">
              <w:rPr>
                <w:szCs w:val="20"/>
              </w:rPr>
              <w:t xml:space="preserve"> from 2019-20 to 2020-21</w:t>
            </w:r>
            <w:r w:rsidRPr="007A3C08">
              <w:rPr>
                <w:szCs w:val="20"/>
              </w:rPr>
              <w:t xml:space="preserve"> ($m)</w:t>
            </w:r>
          </w:p>
        </w:tc>
        <w:tc>
          <w:tcPr>
            <w:tcW w:w="1127" w:type="dxa"/>
            <w:hideMark/>
          </w:tcPr>
          <w:p w14:paraId="37380747" w14:textId="73A4E335" w:rsidR="00BE08F8" w:rsidRPr="007A3C08" w:rsidRDefault="00BE08F8" w:rsidP="00C6103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7A3C08">
              <w:rPr>
                <w:szCs w:val="20"/>
              </w:rPr>
              <w:t>2021-22 ($m)</w:t>
            </w:r>
          </w:p>
        </w:tc>
        <w:tc>
          <w:tcPr>
            <w:tcW w:w="1026" w:type="dxa"/>
            <w:hideMark/>
          </w:tcPr>
          <w:p w14:paraId="7B7BF572" w14:textId="22BA04E8" w:rsidR="00BE08F8" w:rsidRPr="007A3C08" w:rsidRDefault="00BE08F8" w:rsidP="00C6103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7A3C08">
              <w:rPr>
                <w:szCs w:val="20"/>
              </w:rPr>
              <w:t>Change</w:t>
            </w:r>
            <w:r w:rsidR="004A2DD8">
              <w:rPr>
                <w:szCs w:val="20"/>
              </w:rPr>
              <w:t xml:space="preserve"> from 2020</w:t>
            </w:r>
            <w:r w:rsidR="00B16558">
              <w:rPr>
                <w:szCs w:val="20"/>
              </w:rPr>
              <w:t>-21</w:t>
            </w:r>
            <w:r w:rsidR="004A2DD8">
              <w:rPr>
                <w:szCs w:val="20"/>
              </w:rPr>
              <w:t xml:space="preserve"> to 20</w:t>
            </w:r>
            <w:r w:rsidR="00B16558">
              <w:rPr>
                <w:szCs w:val="20"/>
              </w:rPr>
              <w:t>21-22</w:t>
            </w:r>
            <w:r w:rsidR="004A2DD8">
              <w:rPr>
                <w:szCs w:val="20"/>
              </w:rPr>
              <w:t xml:space="preserve"> </w:t>
            </w:r>
            <w:r w:rsidRPr="007A3C08">
              <w:rPr>
                <w:szCs w:val="20"/>
              </w:rPr>
              <w:t>($m)</w:t>
            </w:r>
          </w:p>
        </w:tc>
        <w:tc>
          <w:tcPr>
            <w:tcW w:w="1123" w:type="dxa"/>
            <w:hideMark/>
          </w:tcPr>
          <w:p w14:paraId="5D8421A1" w14:textId="77777777" w:rsidR="00BE08F8" w:rsidRPr="007A3C08" w:rsidRDefault="00BE08F8" w:rsidP="00C6103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7A3C08">
              <w:rPr>
                <w:szCs w:val="20"/>
              </w:rPr>
              <w:t>% of total expenses</w:t>
            </w:r>
          </w:p>
        </w:tc>
      </w:tr>
      <w:tr w:rsidR="00BE08F8" w:rsidRPr="00BE08F8" w14:paraId="2A45654F"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0F93829A" w14:textId="77777777" w:rsidR="00BE08F8" w:rsidRPr="000C54F8" w:rsidRDefault="00BE08F8" w:rsidP="00C6103A">
            <w:pPr>
              <w:pStyle w:val="TableParagraphbold"/>
              <w:rPr>
                <w:lang w:eastAsia="en-AU"/>
              </w:rPr>
            </w:pPr>
            <w:r w:rsidRPr="000C54F8">
              <w:rPr>
                <w:lang w:eastAsia="en-AU"/>
              </w:rPr>
              <w:t>Care</w:t>
            </w:r>
          </w:p>
        </w:tc>
        <w:tc>
          <w:tcPr>
            <w:tcW w:w="1127" w:type="dxa"/>
            <w:shd w:val="clear" w:color="auto" w:fill="D8DBDB" w:themeFill="background2" w:themeFillShade="E6"/>
            <w:noWrap/>
            <w:hideMark/>
          </w:tcPr>
          <w:p w14:paraId="2905FE47"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65F8A35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hideMark/>
          </w:tcPr>
          <w:p w14:paraId="0E9F0744"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05E67A32"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noWrap/>
            <w:hideMark/>
          </w:tcPr>
          <w:p w14:paraId="75EA965E"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3" w:type="dxa"/>
            <w:shd w:val="clear" w:color="auto" w:fill="D8DBDB" w:themeFill="background2" w:themeFillShade="E6"/>
            <w:noWrap/>
            <w:hideMark/>
          </w:tcPr>
          <w:p w14:paraId="43979BEB"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r>
      <w:tr w:rsidR="00BE08F8" w:rsidRPr="00BE08F8" w14:paraId="0404ACDB" w14:textId="77777777" w:rsidTr="00701AAB">
        <w:trPr>
          <w:trHeight w:val="451"/>
        </w:trPr>
        <w:tc>
          <w:tcPr>
            <w:cnfStyle w:val="001000000000" w:firstRow="0" w:lastRow="0" w:firstColumn="1" w:lastColumn="0" w:oddVBand="0" w:evenVBand="0" w:oddHBand="0" w:evenHBand="0" w:firstRowFirstColumn="0" w:firstRowLastColumn="0" w:lastRowFirstColumn="0" w:lastRowLastColumn="0"/>
            <w:tcW w:w="2658" w:type="dxa"/>
            <w:noWrap/>
            <w:hideMark/>
          </w:tcPr>
          <w:p w14:paraId="434C407F" w14:textId="32ABAD01" w:rsidR="00BE08F8" w:rsidRPr="000C54F8" w:rsidRDefault="00BE08F8" w:rsidP="00C6103A">
            <w:pPr>
              <w:pStyle w:val="TableofAuthorities"/>
              <w:rPr>
                <w:lang w:eastAsia="en-AU"/>
              </w:rPr>
            </w:pPr>
            <w:r w:rsidRPr="000C54F8">
              <w:rPr>
                <w:lang w:eastAsia="en-AU"/>
              </w:rPr>
              <w:t>Employee expenses</w:t>
            </w:r>
          </w:p>
        </w:tc>
        <w:tc>
          <w:tcPr>
            <w:tcW w:w="1127" w:type="dxa"/>
            <w:noWrap/>
            <w:hideMark/>
          </w:tcPr>
          <w:p w14:paraId="5F5315D6"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$10,162.40</w:t>
            </w:r>
          </w:p>
        </w:tc>
        <w:tc>
          <w:tcPr>
            <w:tcW w:w="1127" w:type="dxa"/>
            <w:noWrap/>
            <w:hideMark/>
          </w:tcPr>
          <w:p w14:paraId="11799A7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$10,892.50</w:t>
            </w:r>
          </w:p>
        </w:tc>
        <w:tc>
          <w:tcPr>
            <w:tcW w:w="1026" w:type="dxa"/>
            <w:hideMark/>
          </w:tcPr>
          <w:p w14:paraId="0126C9E1"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$730.10</w:t>
            </w:r>
          </w:p>
        </w:tc>
        <w:tc>
          <w:tcPr>
            <w:tcW w:w="1127" w:type="dxa"/>
            <w:noWrap/>
            <w:hideMark/>
          </w:tcPr>
          <w:p w14:paraId="481B74A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$10,875.60</w:t>
            </w:r>
          </w:p>
        </w:tc>
        <w:tc>
          <w:tcPr>
            <w:tcW w:w="1026" w:type="dxa"/>
            <w:noWrap/>
            <w:hideMark/>
          </w:tcPr>
          <w:p w14:paraId="60565806" w14:textId="0BE6A375"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$16.90</w:t>
            </w:r>
            <w:r w:rsidRPr="000C54F8">
              <w:rPr>
                <w:lang w:eastAsia="en-AU"/>
              </w:rPr>
              <w:t>)</w:t>
            </w:r>
          </w:p>
        </w:tc>
        <w:tc>
          <w:tcPr>
            <w:tcW w:w="1123" w:type="dxa"/>
            <w:noWrap/>
            <w:hideMark/>
          </w:tcPr>
          <w:p w14:paraId="6B7BB611"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44.70%</w:t>
            </w:r>
          </w:p>
        </w:tc>
      </w:tr>
      <w:tr w:rsidR="00BE08F8" w:rsidRPr="00BE08F8" w14:paraId="036E62C3" w14:textId="77777777" w:rsidTr="00701AAB">
        <w:trPr>
          <w:trHeight w:val="451"/>
        </w:trPr>
        <w:tc>
          <w:tcPr>
            <w:cnfStyle w:val="001000000000" w:firstRow="0" w:lastRow="0" w:firstColumn="1" w:lastColumn="0" w:oddVBand="0" w:evenVBand="0" w:oddHBand="0" w:evenHBand="0" w:firstRowFirstColumn="0" w:firstRowLastColumn="0" w:lastRowFirstColumn="0" w:lastRowLastColumn="0"/>
            <w:tcW w:w="2658" w:type="dxa"/>
            <w:noWrap/>
            <w:hideMark/>
          </w:tcPr>
          <w:p w14:paraId="4267F8A4" w14:textId="7F18D501" w:rsidR="00BE08F8" w:rsidRPr="000C54F8" w:rsidRDefault="00BE08F8" w:rsidP="00C6103A">
            <w:pPr>
              <w:pStyle w:val="TableofAuthorities"/>
              <w:rPr>
                <w:lang w:eastAsia="en-AU"/>
              </w:rPr>
            </w:pPr>
            <w:r w:rsidRPr="000C54F8">
              <w:rPr>
                <w:lang w:eastAsia="en-AU"/>
              </w:rPr>
              <w:t>Contracted services</w:t>
            </w:r>
          </w:p>
        </w:tc>
        <w:tc>
          <w:tcPr>
            <w:tcW w:w="1127" w:type="dxa"/>
            <w:noWrap/>
            <w:hideMark/>
          </w:tcPr>
          <w:p w14:paraId="29BA966D"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$296.30</w:t>
            </w:r>
          </w:p>
        </w:tc>
        <w:tc>
          <w:tcPr>
            <w:tcW w:w="1127" w:type="dxa"/>
            <w:noWrap/>
            <w:hideMark/>
          </w:tcPr>
          <w:p w14:paraId="7629AE2F"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N/A</w:t>
            </w:r>
          </w:p>
        </w:tc>
        <w:tc>
          <w:tcPr>
            <w:tcW w:w="1026" w:type="dxa"/>
            <w:hideMark/>
          </w:tcPr>
          <w:p w14:paraId="380C3211"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N/A</w:t>
            </w:r>
          </w:p>
        </w:tc>
        <w:tc>
          <w:tcPr>
            <w:tcW w:w="1127" w:type="dxa"/>
            <w:noWrap/>
            <w:hideMark/>
          </w:tcPr>
          <w:p w14:paraId="46E98CB8"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$791.20</w:t>
            </w:r>
          </w:p>
        </w:tc>
        <w:tc>
          <w:tcPr>
            <w:tcW w:w="1026" w:type="dxa"/>
            <w:noWrap/>
            <w:hideMark/>
          </w:tcPr>
          <w:p w14:paraId="08C840D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$791.20</w:t>
            </w:r>
          </w:p>
        </w:tc>
        <w:tc>
          <w:tcPr>
            <w:tcW w:w="1123" w:type="dxa"/>
            <w:noWrap/>
            <w:hideMark/>
          </w:tcPr>
          <w:p w14:paraId="056B60D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3.30%</w:t>
            </w:r>
          </w:p>
        </w:tc>
      </w:tr>
      <w:tr w:rsidR="00BE08F8" w:rsidRPr="00BE08F8" w14:paraId="47436D35"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3CCF79BA" w14:textId="77777777" w:rsidR="00BE08F8" w:rsidRPr="000C54F8" w:rsidRDefault="00BE08F8" w:rsidP="00C6103A">
            <w:pPr>
              <w:pStyle w:val="TableofAuthorities"/>
              <w:rPr>
                <w:lang w:eastAsia="en-AU"/>
              </w:rPr>
            </w:pPr>
            <w:r w:rsidRPr="000C54F8">
              <w:rPr>
                <w:lang w:eastAsia="en-AU"/>
              </w:rPr>
              <w:t>Other</w:t>
            </w:r>
          </w:p>
        </w:tc>
        <w:tc>
          <w:tcPr>
            <w:tcW w:w="1127" w:type="dxa"/>
            <w:noWrap/>
            <w:hideMark/>
          </w:tcPr>
          <w:p w14:paraId="7E7DB8D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$644.80</w:t>
            </w:r>
          </w:p>
        </w:tc>
        <w:tc>
          <w:tcPr>
            <w:tcW w:w="1127" w:type="dxa"/>
            <w:noWrap/>
            <w:hideMark/>
          </w:tcPr>
          <w:p w14:paraId="382851D7"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$774.60</w:t>
            </w:r>
          </w:p>
        </w:tc>
        <w:tc>
          <w:tcPr>
            <w:tcW w:w="1026" w:type="dxa"/>
            <w:hideMark/>
          </w:tcPr>
          <w:p w14:paraId="7DD88130"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$129.80</w:t>
            </w:r>
          </w:p>
        </w:tc>
        <w:tc>
          <w:tcPr>
            <w:tcW w:w="1127" w:type="dxa"/>
            <w:noWrap/>
            <w:hideMark/>
          </w:tcPr>
          <w:p w14:paraId="75E117B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$586.80</w:t>
            </w:r>
          </w:p>
        </w:tc>
        <w:tc>
          <w:tcPr>
            <w:tcW w:w="1026" w:type="dxa"/>
            <w:noWrap/>
            <w:hideMark/>
          </w:tcPr>
          <w:p w14:paraId="57574B9A" w14:textId="53FE7361"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187.80</w:t>
            </w:r>
            <w:r w:rsidRPr="000C54F8">
              <w:rPr>
                <w:lang w:eastAsia="en-AU"/>
              </w:rPr>
              <w:t>)</w:t>
            </w:r>
          </w:p>
        </w:tc>
        <w:tc>
          <w:tcPr>
            <w:tcW w:w="1123" w:type="dxa"/>
            <w:noWrap/>
            <w:hideMark/>
          </w:tcPr>
          <w:p w14:paraId="4AFC2C7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2.40%</w:t>
            </w:r>
          </w:p>
        </w:tc>
      </w:tr>
      <w:tr w:rsidR="00BE08F8" w:rsidRPr="00BE08F8" w14:paraId="6B5FB101"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00C17422" w14:textId="77777777" w:rsidR="00BE08F8" w:rsidRPr="000C54F8" w:rsidRDefault="00BE08F8" w:rsidP="00C6103A">
            <w:pPr>
              <w:pStyle w:val="TableParagraphbold"/>
              <w:rPr>
                <w:lang w:eastAsia="en-AU"/>
              </w:rPr>
            </w:pPr>
            <w:r w:rsidRPr="000C54F8">
              <w:rPr>
                <w:lang w:eastAsia="en-AU"/>
              </w:rPr>
              <w:t>Total care expenses</w:t>
            </w:r>
          </w:p>
        </w:tc>
        <w:tc>
          <w:tcPr>
            <w:tcW w:w="1127" w:type="dxa"/>
            <w:shd w:val="clear" w:color="auto" w:fill="D8DBDB" w:themeFill="background2" w:themeFillShade="E6"/>
            <w:noWrap/>
            <w:hideMark/>
          </w:tcPr>
          <w:p w14:paraId="1890E2B8"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$11,103.50</w:t>
            </w:r>
          </w:p>
        </w:tc>
        <w:tc>
          <w:tcPr>
            <w:tcW w:w="1127" w:type="dxa"/>
            <w:shd w:val="clear" w:color="auto" w:fill="D8DBDB" w:themeFill="background2" w:themeFillShade="E6"/>
            <w:noWrap/>
            <w:hideMark/>
          </w:tcPr>
          <w:p w14:paraId="09566053"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$11,667.10</w:t>
            </w:r>
          </w:p>
        </w:tc>
        <w:tc>
          <w:tcPr>
            <w:tcW w:w="1026" w:type="dxa"/>
            <w:shd w:val="clear" w:color="auto" w:fill="D8DBDB" w:themeFill="background2" w:themeFillShade="E6"/>
            <w:hideMark/>
          </w:tcPr>
          <w:p w14:paraId="51BA06F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$563.60</w:t>
            </w:r>
          </w:p>
        </w:tc>
        <w:tc>
          <w:tcPr>
            <w:tcW w:w="1127" w:type="dxa"/>
            <w:shd w:val="clear" w:color="auto" w:fill="D8DBDB" w:themeFill="background2" w:themeFillShade="E6"/>
            <w:noWrap/>
            <w:hideMark/>
          </w:tcPr>
          <w:p w14:paraId="68A9F367"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$12,253.60</w:t>
            </w:r>
          </w:p>
        </w:tc>
        <w:tc>
          <w:tcPr>
            <w:tcW w:w="1026" w:type="dxa"/>
            <w:shd w:val="clear" w:color="auto" w:fill="D8DBDB" w:themeFill="background2" w:themeFillShade="E6"/>
            <w:noWrap/>
            <w:hideMark/>
          </w:tcPr>
          <w:p w14:paraId="5AEBAB74"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$586.50</w:t>
            </w:r>
          </w:p>
        </w:tc>
        <w:tc>
          <w:tcPr>
            <w:tcW w:w="1123" w:type="dxa"/>
            <w:shd w:val="clear" w:color="auto" w:fill="D8DBDB" w:themeFill="background2" w:themeFillShade="E6"/>
            <w:noWrap/>
            <w:hideMark/>
          </w:tcPr>
          <w:p w14:paraId="1E1D76B5"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50.30%</w:t>
            </w:r>
          </w:p>
        </w:tc>
      </w:tr>
      <w:tr w:rsidR="00BE08F8" w:rsidRPr="00BE08F8" w14:paraId="18D6CB63"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5116567E" w14:textId="6D7EEC3F" w:rsidR="00BE08F8" w:rsidRPr="000C54F8" w:rsidRDefault="00BE08F8" w:rsidP="00C6103A">
            <w:pPr>
              <w:pStyle w:val="TableParagraphbold"/>
              <w:rPr>
                <w:lang w:eastAsia="en-AU"/>
              </w:rPr>
            </w:pPr>
            <w:r w:rsidRPr="000C54F8">
              <w:rPr>
                <w:lang w:eastAsia="en-AU"/>
              </w:rPr>
              <w:t xml:space="preserve">Accommodation and </w:t>
            </w:r>
            <w:r w:rsidR="003E4717">
              <w:rPr>
                <w:lang w:eastAsia="en-AU"/>
              </w:rPr>
              <w:t>f</w:t>
            </w:r>
            <w:r w:rsidRPr="000C54F8">
              <w:rPr>
                <w:lang w:eastAsia="en-AU"/>
              </w:rPr>
              <w:t>inance</w:t>
            </w:r>
          </w:p>
        </w:tc>
        <w:tc>
          <w:tcPr>
            <w:tcW w:w="1127" w:type="dxa"/>
            <w:shd w:val="clear" w:color="auto" w:fill="D8DBDB" w:themeFill="background2" w:themeFillShade="E6"/>
            <w:noWrap/>
            <w:hideMark/>
          </w:tcPr>
          <w:p w14:paraId="61010599"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7F40B903"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hideMark/>
          </w:tcPr>
          <w:p w14:paraId="7106A0A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264DE430"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noWrap/>
            <w:hideMark/>
          </w:tcPr>
          <w:p w14:paraId="1537BDDD"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3" w:type="dxa"/>
            <w:shd w:val="clear" w:color="auto" w:fill="D8DBDB" w:themeFill="background2" w:themeFillShade="E6"/>
            <w:noWrap/>
            <w:hideMark/>
          </w:tcPr>
          <w:p w14:paraId="167B722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r>
      <w:tr w:rsidR="00BE08F8" w:rsidRPr="00BE08F8" w14:paraId="14137994"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0345558F" w14:textId="77777777" w:rsidR="00BE08F8" w:rsidRPr="000C54F8" w:rsidRDefault="00BE08F8" w:rsidP="00C6103A">
            <w:pPr>
              <w:pStyle w:val="TableofAuthorities"/>
              <w:rPr>
                <w:lang w:eastAsia="en-AU"/>
              </w:rPr>
            </w:pPr>
            <w:r w:rsidRPr="000C54F8">
              <w:rPr>
                <w:lang w:eastAsia="en-AU"/>
              </w:rPr>
              <w:t>Employee expenses</w:t>
            </w:r>
          </w:p>
        </w:tc>
        <w:tc>
          <w:tcPr>
            <w:tcW w:w="1127" w:type="dxa"/>
            <w:noWrap/>
            <w:hideMark/>
          </w:tcPr>
          <w:p w14:paraId="15EFF218"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$320.50</w:t>
            </w:r>
          </w:p>
        </w:tc>
        <w:tc>
          <w:tcPr>
            <w:tcW w:w="1127" w:type="dxa"/>
            <w:noWrap/>
            <w:hideMark/>
          </w:tcPr>
          <w:p w14:paraId="31273D77"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$291.50</w:t>
            </w:r>
          </w:p>
        </w:tc>
        <w:tc>
          <w:tcPr>
            <w:tcW w:w="1026" w:type="dxa"/>
            <w:hideMark/>
          </w:tcPr>
          <w:p w14:paraId="496DD84B" w14:textId="0A7E68A3"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$29.00</w:t>
            </w:r>
            <w:r w:rsidRPr="000C54F8">
              <w:rPr>
                <w:lang w:eastAsia="en-AU"/>
              </w:rPr>
              <w:t>)</w:t>
            </w:r>
          </w:p>
        </w:tc>
        <w:tc>
          <w:tcPr>
            <w:tcW w:w="1127" w:type="dxa"/>
            <w:noWrap/>
            <w:hideMark/>
          </w:tcPr>
          <w:p w14:paraId="160F9BD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$306.50</w:t>
            </w:r>
          </w:p>
        </w:tc>
        <w:tc>
          <w:tcPr>
            <w:tcW w:w="1026" w:type="dxa"/>
            <w:noWrap/>
            <w:hideMark/>
          </w:tcPr>
          <w:p w14:paraId="6FD9BAAD"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$15.00</w:t>
            </w:r>
          </w:p>
        </w:tc>
        <w:tc>
          <w:tcPr>
            <w:tcW w:w="1123" w:type="dxa"/>
            <w:noWrap/>
            <w:hideMark/>
          </w:tcPr>
          <w:p w14:paraId="0EDB7490"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1.30%</w:t>
            </w:r>
          </w:p>
        </w:tc>
      </w:tr>
      <w:tr w:rsidR="00BE08F8" w:rsidRPr="00BE08F8" w14:paraId="63332943"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4A2BDE42" w14:textId="2EAB53EE" w:rsidR="00BE08F8" w:rsidRPr="000C54F8" w:rsidRDefault="00BE08F8" w:rsidP="00C6103A">
            <w:pPr>
              <w:pStyle w:val="TableofAuthorities"/>
              <w:rPr>
                <w:lang w:eastAsia="en-AU"/>
              </w:rPr>
            </w:pPr>
            <w:r w:rsidRPr="000C54F8">
              <w:rPr>
                <w:lang w:eastAsia="en-AU"/>
              </w:rPr>
              <w:t xml:space="preserve">Repairs </w:t>
            </w:r>
            <w:r w:rsidR="003E4717">
              <w:rPr>
                <w:lang w:eastAsia="en-AU"/>
              </w:rPr>
              <w:t>and</w:t>
            </w:r>
            <w:r w:rsidRPr="000C54F8">
              <w:rPr>
                <w:lang w:eastAsia="en-AU"/>
              </w:rPr>
              <w:t xml:space="preserve"> maintenance</w:t>
            </w:r>
          </w:p>
        </w:tc>
        <w:tc>
          <w:tcPr>
            <w:tcW w:w="1127" w:type="dxa"/>
            <w:noWrap/>
            <w:hideMark/>
          </w:tcPr>
          <w:p w14:paraId="0FFA6C5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$472.60</w:t>
            </w:r>
          </w:p>
        </w:tc>
        <w:tc>
          <w:tcPr>
            <w:tcW w:w="1127" w:type="dxa"/>
            <w:noWrap/>
            <w:hideMark/>
          </w:tcPr>
          <w:p w14:paraId="151BCBDB"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$515.10</w:t>
            </w:r>
          </w:p>
        </w:tc>
        <w:tc>
          <w:tcPr>
            <w:tcW w:w="1026" w:type="dxa"/>
            <w:hideMark/>
          </w:tcPr>
          <w:p w14:paraId="66686081"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$42.50</w:t>
            </w:r>
          </w:p>
        </w:tc>
        <w:tc>
          <w:tcPr>
            <w:tcW w:w="1127" w:type="dxa"/>
            <w:noWrap/>
            <w:hideMark/>
          </w:tcPr>
          <w:p w14:paraId="4D4B2DC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$474.30</w:t>
            </w:r>
          </w:p>
        </w:tc>
        <w:tc>
          <w:tcPr>
            <w:tcW w:w="1026" w:type="dxa"/>
            <w:noWrap/>
            <w:hideMark/>
          </w:tcPr>
          <w:p w14:paraId="5828CB64" w14:textId="54BB4354"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$40.90</w:t>
            </w:r>
            <w:r w:rsidRPr="000C54F8">
              <w:rPr>
                <w:lang w:eastAsia="en-AU"/>
              </w:rPr>
              <w:t>)</w:t>
            </w:r>
          </w:p>
        </w:tc>
        <w:tc>
          <w:tcPr>
            <w:tcW w:w="1123" w:type="dxa"/>
            <w:noWrap/>
            <w:hideMark/>
          </w:tcPr>
          <w:p w14:paraId="300FA4D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1.90%</w:t>
            </w:r>
          </w:p>
        </w:tc>
      </w:tr>
      <w:tr w:rsidR="00BE08F8" w:rsidRPr="00BE08F8" w14:paraId="08D6A209" w14:textId="77777777" w:rsidTr="00701AAB">
        <w:trPr>
          <w:trHeight w:val="451"/>
        </w:trPr>
        <w:tc>
          <w:tcPr>
            <w:cnfStyle w:val="001000000000" w:firstRow="0" w:lastRow="0" w:firstColumn="1" w:lastColumn="0" w:oddVBand="0" w:evenVBand="0" w:oddHBand="0" w:evenHBand="0" w:firstRowFirstColumn="0" w:firstRowLastColumn="0" w:lastRowFirstColumn="0" w:lastRowLastColumn="0"/>
            <w:tcW w:w="2658" w:type="dxa"/>
            <w:noWrap/>
            <w:hideMark/>
          </w:tcPr>
          <w:p w14:paraId="3CC2DDC9" w14:textId="063A26A5" w:rsidR="00BE08F8" w:rsidRPr="000C54F8" w:rsidRDefault="004449A3" w:rsidP="00C6103A">
            <w:pPr>
              <w:pStyle w:val="TableofAuthorities"/>
              <w:rPr>
                <w:lang w:eastAsia="en-AU"/>
              </w:rPr>
            </w:pPr>
            <w:r w:rsidRPr="000C54F8">
              <w:rPr>
                <w:lang w:eastAsia="en-AU"/>
              </w:rPr>
              <w:t>Depreciatio</w:t>
            </w:r>
            <w:r w:rsidR="00406095">
              <w:rPr>
                <w:lang w:eastAsia="en-AU"/>
              </w:rPr>
              <w:t>n (</w:t>
            </w:r>
            <w:proofErr w:type="spellStart"/>
            <w:r w:rsidR="00406095">
              <w:rPr>
                <w:lang w:eastAsia="en-AU"/>
              </w:rPr>
              <w:t>i</w:t>
            </w:r>
            <w:proofErr w:type="spellEnd"/>
            <w:r w:rsidR="00406095">
              <w:rPr>
                <w:lang w:eastAsia="en-AU"/>
              </w:rPr>
              <w:t>)</w:t>
            </w:r>
          </w:p>
        </w:tc>
        <w:tc>
          <w:tcPr>
            <w:tcW w:w="1127" w:type="dxa"/>
            <w:noWrap/>
            <w:hideMark/>
          </w:tcPr>
          <w:p w14:paraId="1AC337D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$1,267.30</w:t>
            </w:r>
          </w:p>
        </w:tc>
        <w:tc>
          <w:tcPr>
            <w:tcW w:w="1127" w:type="dxa"/>
            <w:noWrap/>
            <w:hideMark/>
          </w:tcPr>
          <w:p w14:paraId="4E4137E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$1,137.40</w:t>
            </w:r>
          </w:p>
        </w:tc>
        <w:tc>
          <w:tcPr>
            <w:tcW w:w="1026" w:type="dxa"/>
            <w:hideMark/>
          </w:tcPr>
          <w:p w14:paraId="370B4143" w14:textId="3EA24450"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$129.90</w:t>
            </w:r>
            <w:r w:rsidRPr="000C54F8">
              <w:rPr>
                <w:lang w:eastAsia="en-AU"/>
              </w:rPr>
              <w:t>)</w:t>
            </w:r>
          </w:p>
        </w:tc>
        <w:tc>
          <w:tcPr>
            <w:tcW w:w="1127" w:type="dxa"/>
            <w:noWrap/>
            <w:hideMark/>
          </w:tcPr>
          <w:p w14:paraId="45D369BA"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$1,245.00</w:t>
            </w:r>
          </w:p>
        </w:tc>
        <w:tc>
          <w:tcPr>
            <w:tcW w:w="1026" w:type="dxa"/>
            <w:noWrap/>
            <w:hideMark/>
          </w:tcPr>
          <w:p w14:paraId="5A8BDBD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$107.60</w:t>
            </w:r>
          </w:p>
        </w:tc>
        <w:tc>
          <w:tcPr>
            <w:tcW w:w="1123" w:type="dxa"/>
            <w:noWrap/>
            <w:hideMark/>
          </w:tcPr>
          <w:p w14:paraId="427E7837"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5.10%</w:t>
            </w:r>
          </w:p>
        </w:tc>
      </w:tr>
      <w:tr w:rsidR="00BE08F8" w:rsidRPr="00BE08F8" w14:paraId="2CA83C91"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2D12F4C2" w14:textId="77777777" w:rsidR="00BE08F8" w:rsidRPr="000C54F8" w:rsidRDefault="00BE08F8" w:rsidP="00C6103A">
            <w:pPr>
              <w:pStyle w:val="TableofAuthorities"/>
              <w:rPr>
                <w:rFonts w:cs="Arial"/>
                <w:szCs w:val="16"/>
                <w:lang w:eastAsia="en-AU"/>
              </w:rPr>
            </w:pPr>
            <w:r w:rsidRPr="000C54F8">
              <w:rPr>
                <w:rFonts w:cs="Arial"/>
                <w:szCs w:val="16"/>
                <w:lang w:eastAsia="en-AU"/>
              </w:rPr>
              <w:t>Amortisation</w:t>
            </w:r>
          </w:p>
        </w:tc>
        <w:tc>
          <w:tcPr>
            <w:tcW w:w="1127" w:type="dxa"/>
            <w:noWrap/>
            <w:hideMark/>
          </w:tcPr>
          <w:p w14:paraId="4B4486E0"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$58.40</w:t>
            </w:r>
          </w:p>
        </w:tc>
        <w:tc>
          <w:tcPr>
            <w:tcW w:w="1127" w:type="dxa"/>
            <w:noWrap/>
            <w:hideMark/>
          </w:tcPr>
          <w:p w14:paraId="1EF71565"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$34.20</w:t>
            </w:r>
          </w:p>
        </w:tc>
        <w:tc>
          <w:tcPr>
            <w:tcW w:w="1026" w:type="dxa"/>
            <w:hideMark/>
          </w:tcPr>
          <w:p w14:paraId="07FC8B40" w14:textId="23FCD82B"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w:t>
            </w:r>
            <w:r w:rsidR="00BE08F8" w:rsidRPr="000C54F8">
              <w:rPr>
                <w:rFonts w:cs="Arial"/>
                <w:szCs w:val="16"/>
                <w:lang w:eastAsia="en-AU"/>
              </w:rPr>
              <w:t>$24.20</w:t>
            </w:r>
            <w:r w:rsidRPr="000C54F8">
              <w:rPr>
                <w:rFonts w:cs="Arial"/>
                <w:szCs w:val="16"/>
                <w:lang w:eastAsia="en-AU"/>
              </w:rPr>
              <w:t>)</w:t>
            </w:r>
          </w:p>
        </w:tc>
        <w:tc>
          <w:tcPr>
            <w:tcW w:w="1127" w:type="dxa"/>
            <w:noWrap/>
            <w:hideMark/>
          </w:tcPr>
          <w:p w14:paraId="7E76DBA1"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$812.90</w:t>
            </w:r>
          </w:p>
        </w:tc>
        <w:tc>
          <w:tcPr>
            <w:tcW w:w="1026" w:type="dxa"/>
            <w:noWrap/>
            <w:hideMark/>
          </w:tcPr>
          <w:p w14:paraId="30D4B756"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$778.80</w:t>
            </w:r>
          </w:p>
        </w:tc>
        <w:tc>
          <w:tcPr>
            <w:tcW w:w="1123" w:type="dxa"/>
            <w:noWrap/>
            <w:hideMark/>
          </w:tcPr>
          <w:p w14:paraId="6B8A1DDB"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3.30%</w:t>
            </w:r>
          </w:p>
        </w:tc>
      </w:tr>
      <w:tr w:rsidR="00BE08F8" w:rsidRPr="00BE08F8" w14:paraId="610DA089" w14:textId="77777777" w:rsidTr="00701AAB">
        <w:trPr>
          <w:trHeight w:val="451"/>
        </w:trPr>
        <w:tc>
          <w:tcPr>
            <w:cnfStyle w:val="001000000000" w:firstRow="0" w:lastRow="0" w:firstColumn="1" w:lastColumn="0" w:oddVBand="0" w:evenVBand="0" w:oddHBand="0" w:evenHBand="0" w:firstRowFirstColumn="0" w:firstRowLastColumn="0" w:lastRowFirstColumn="0" w:lastRowLastColumn="0"/>
            <w:tcW w:w="2658" w:type="dxa"/>
            <w:noWrap/>
            <w:hideMark/>
          </w:tcPr>
          <w:p w14:paraId="4D2850A1" w14:textId="43B1C56F" w:rsidR="00BE08F8" w:rsidRPr="000C54F8" w:rsidRDefault="004449A3" w:rsidP="00C6103A">
            <w:pPr>
              <w:pStyle w:val="TableofAuthorities"/>
              <w:rPr>
                <w:rFonts w:cs="Arial"/>
                <w:szCs w:val="16"/>
                <w:lang w:eastAsia="en-AU"/>
              </w:rPr>
            </w:pPr>
            <w:r>
              <w:rPr>
                <w:rFonts w:cs="Arial"/>
                <w:szCs w:val="16"/>
                <w:lang w:eastAsia="en-AU"/>
              </w:rPr>
              <w:lastRenderedPageBreak/>
              <w:t>Rent</w:t>
            </w:r>
            <w:r w:rsidR="00406095">
              <w:rPr>
                <w:rFonts w:cs="Arial"/>
                <w:szCs w:val="16"/>
                <w:lang w:eastAsia="en-AU"/>
              </w:rPr>
              <w:t xml:space="preserve"> (</w:t>
            </w:r>
            <w:proofErr w:type="spellStart"/>
            <w:r w:rsidR="00406095">
              <w:rPr>
                <w:rFonts w:cs="Arial"/>
                <w:szCs w:val="16"/>
                <w:lang w:eastAsia="en-AU"/>
              </w:rPr>
              <w:t>i</w:t>
            </w:r>
            <w:proofErr w:type="spellEnd"/>
            <w:r w:rsidR="00406095">
              <w:rPr>
                <w:rFonts w:cs="Arial"/>
                <w:szCs w:val="16"/>
                <w:lang w:eastAsia="en-AU"/>
              </w:rPr>
              <w:t>)</w:t>
            </w:r>
          </w:p>
        </w:tc>
        <w:tc>
          <w:tcPr>
            <w:tcW w:w="1127" w:type="dxa"/>
            <w:noWrap/>
            <w:hideMark/>
          </w:tcPr>
          <w:p w14:paraId="1EAA150B"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$247.00</w:t>
            </w:r>
          </w:p>
        </w:tc>
        <w:tc>
          <w:tcPr>
            <w:tcW w:w="1127" w:type="dxa"/>
            <w:noWrap/>
            <w:hideMark/>
          </w:tcPr>
          <w:p w14:paraId="7DF617B1"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$411.60</w:t>
            </w:r>
          </w:p>
        </w:tc>
        <w:tc>
          <w:tcPr>
            <w:tcW w:w="1026" w:type="dxa"/>
            <w:hideMark/>
          </w:tcPr>
          <w:p w14:paraId="64F7D331"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$164.60</w:t>
            </w:r>
          </w:p>
        </w:tc>
        <w:tc>
          <w:tcPr>
            <w:tcW w:w="1127" w:type="dxa"/>
            <w:noWrap/>
            <w:hideMark/>
          </w:tcPr>
          <w:p w14:paraId="126DDC3D"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$407.20</w:t>
            </w:r>
          </w:p>
        </w:tc>
        <w:tc>
          <w:tcPr>
            <w:tcW w:w="1026" w:type="dxa"/>
            <w:noWrap/>
            <w:hideMark/>
          </w:tcPr>
          <w:p w14:paraId="1BA6D70B" w14:textId="11734A4E"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w:t>
            </w:r>
            <w:r w:rsidR="00BE08F8" w:rsidRPr="000C54F8">
              <w:rPr>
                <w:rFonts w:cs="Arial"/>
                <w:szCs w:val="16"/>
                <w:lang w:eastAsia="en-AU"/>
              </w:rPr>
              <w:t>$4.40</w:t>
            </w:r>
            <w:r w:rsidRPr="000C54F8">
              <w:rPr>
                <w:rFonts w:cs="Arial"/>
                <w:szCs w:val="16"/>
                <w:lang w:eastAsia="en-AU"/>
              </w:rPr>
              <w:t>)</w:t>
            </w:r>
          </w:p>
        </w:tc>
        <w:tc>
          <w:tcPr>
            <w:tcW w:w="1123" w:type="dxa"/>
            <w:noWrap/>
            <w:hideMark/>
          </w:tcPr>
          <w:p w14:paraId="6A94946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1.70%</w:t>
            </w:r>
          </w:p>
        </w:tc>
      </w:tr>
      <w:tr w:rsidR="00BE08F8" w:rsidRPr="00BE08F8" w14:paraId="44C1981E" w14:textId="77777777" w:rsidTr="00701AAB">
        <w:trPr>
          <w:trHeight w:val="451"/>
        </w:trPr>
        <w:tc>
          <w:tcPr>
            <w:cnfStyle w:val="001000000000" w:firstRow="0" w:lastRow="0" w:firstColumn="1" w:lastColumn="0" w:oddVBand="0" w:evenVBand="0" w:oddHBand="0" w:evenHBand="0" w:firstRowFirstColumn="0" w:firstRowLastColumn="0" w:lastRowFirstColumn="0" w:lastRowLastColumn="0"/>
            <w:tcW w:w="2658" w:type="dxa"/>
            <w:noWrap/>
            <w:hideMark/>
          </w:tcPr>
          <w:p w14:paraId="62D48A4C" w14:textId="617236DA" w:rsidR="00BE08F8" w:rsidRPr="000C54F8" w:rsidRDefault="00BE08F8" w:rsidP="00C6103A">
            <w:pPr>
              <w:pStyle w:val="TableofAuthorities"/>
              <w:rPr>
                <w:rFonts w:cs="Arial"/>
                <w:szCs w:val="16"/>
                <w:lang w:eastAsia="en-AU"/>
              </w:rPr>
            </w:pPr>
            <w:r w:rsidRPr="000C54F8">
              <w:rPr>
                <w:rFonts w:cs="Arial"/>
                <w:szCs w:val="16"/>
                <w:lang w:eastAsia="en-AU"/>
              </w:rPr>
              <w:t>Financing interest</w:t>
            </w:r>
            <w:r w:rsidR="00406095">
              <w:rPr>
                <w:rFonts w:cs="Arial"/>
                <w:szCs w:val="16"/>
                <w:lang w:eastAsia="en-AU"/>
              </w:rPr>
              <w:t xml:space="preserve"> (ii)</w:t>
            </w:r>
          </w:p>
        </w:tc>
        <w:tc>
          <w:tcPr>
            <w:tcW w:w="1127" w:type="dxa"/>
            <w:noWrap/>
            <w:hideMark/>
          </w:tcPr>
          <w:p w14:paraId="0ECA8058"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$323.60</w:t>
            </w:r>
          </w:p>
        </w:tc>
        <w:tc>
          <w:tcPr>
            <w:tcW w:w="1127" w:type="dxa"/>
            <w:noWrap/>
            <w:hideMark/>
          </w:tcPr>
          <w:p w14:paraId="09AA77AE"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$96.70</w:t>
            </w:r>
          </w:p>
        </w:tc>
        <w:tc>
          <w:tcPr>
            <w:tcW w:w="1026" w:type="dxa"/>
            <w:hideMark/>
          </w:tcPr>
          <w:p w14:paraId="6BBDFB2A" w14:textId="529F296A"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w:t>
            </w:r>
            <w:r w:rsidR="00BE08F8" w:rsidRPr="000C54F8">
              <w:rPr>
                <w:rFonts w:cs="Arial"/>
                <w:szCs w:val="16"/>
                <w:lang w:eastAsia="en-AU"/>
              </w:rPr>
              <w:t>$226.90</w:t>
            </w:r>
            <w:r w:rsidRPr="000C54F8">
              <w:rPr>
                <w:rFonts w:cs="Arial"/>
                <w:szCs w:val="16"/>
                <w:lang w:eastAsia="en-AU"/>
              </w:rPr>
              <w:t>)</w:t>
            </w:r>
          </w:p>
        </w:tc>
        <w:tc>
          <w:tcPr>
            <w:tcW w:w="1127" w:type="dxa"/>
            <w:noWrap/>
            <w:hideMark/>
          </w:tcPr>
          <w:p w14:paraId="725979D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$89.30</w:t>
            </w:r>
          </w:p>
        </w:tc>
        <w:tc>
          <w:tcPr>
            <w:tcW w:w="1026" w:type="dxa"/>
            <w:noWrap/>
            <w:hideMark/>
          </w:tcPr>
          <w:p w14:paraId="6DA4D3A5" w14:textId="6D44E0D0"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w:t>
            </w:r>
            <w:r w:rsidR="00BE08F8" w:rsidRPr="000C54F8">
              <w:rPr>
                <w:rFonts w:cs="Arial"/>
                <w:szCs w:val="16"/>
                <w:lang w:eastAsia="en-AU"/>
              </w:rPr>
              <w:t>$7.40</w:t>
            </w:r>
            <w:r w:rsidRPr="000C54F8">
              <w:rPr>
                <w:rFonts w:cs="Arial"/>
                <w:szCs w:val="16"/>
                <w:lang w:eastAsia="en-AU"/>
              </w:rPr>
              <w:t>)</w:t>
            </w:r>
          </w:p>
        </w:tc>
        <w:tc>
          <w:tcPr>
            <w:tcW w:w="1123" w:type="dxa"/>
            <w:noWrap/>
            <w:hideMark/>
          </w:tcPr>
          <w:p w14:paraId="67586257"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0.40%</w:t>
            </w:r>
          </w:p>
        </w:tc>
      </w:tr>
      <w:tr w:rsidR="00BE08F8" w:rsidRPr="00BE08F8" w14:paraId="39647789"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51F5A20C" w14:textId="77777777" w:rsidR="00BE08F8" w:rsidRPr="000C54F8" w:rsidRDefault="00BE08F8" w:rsidP="00C6103A">
            <w:pPr>
              <w:pStyle w:val="TableofAuthorities"/>
              <w:rPr>
                <w:rFonts w:cs="Arial"/>
                <w:szCs w:val="16"/>
                <w:lang w:eastAsia="en-AU"/>
              </w:rPr>
            </w:pPr>
            <w:r w:rsidRPr="000C54F8">
              <w:rPr>
                <w:rFonts w:cs="Arial"/>
                <w:szCs w:val="16"/>
                <w:lang w:eastAsia="en-AU"/>
              </w:rPr>
              <w:t>Other</w:t>
            </w:r>
          </w:p>
        </w:tc>
        <w:tc>
          <w:tcPr>
            <w:tcW w:w="1127" w:type="dxa"/>
            <w:noWrap/>
            <w:hideMark/>
          </w:tcPr>
          <w:p w14:paraId="57567675"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$541.30</w:t>
            </w:r>
          </w:p>
        </w:tc>
        <w:tc>
          <w:tcPr>
            <w:tcW w:w="1127" w:type="dxa"/>
            <w:noWrap/>
            <w:hideMark/>
          </w:tcPr>
          <w:p w14:paraId="2B0B470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$134.30</w:t>
            </w:r>
          </w:p>
        </w:tc>
        <w:tc>
          <w:tcPr>
            <w:tcW w:w="1026" w:type="dxa"/>
            <w:hideMark/>
          </w:tcPr>
          <w:p w14:paraId="6AB01621" w14:textId="337FF909"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w:t>
            </w:r>
            <w:r w:rsidR="00BE08F8" w:rsidRPr="000C54F8">
              <w:rPr>
                <w:rFonts w:cs="Arial"/>
                <w:szCs w:val="16"/>
                <w:lang w:eastAsia="en-AU"/>
              </w:rPr>
              <w:t>$407.00</w:t>
            </w:r>
            <w:r w:rsidRPr="000C54F8">
              <w:rPr>
                <w:rFonts w:cs="Arial"/>
                <w:szCs w:val="16"/>
                <w:lang w:eastAsia="en-AU"/>
              </w:rPr>
              <w:t>)</w:t>
            </w:r>
          </w:p>
        </w:tc>
        <w:tc>
          <w:tcPr>
            <w:tcW w:w="1127" w:type="dxa"/>
            <w:noWrap/>
            <w:hideMark/>
          </w:tcPr>
          <w:p w14:paraId="004DDA3E"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$179.80</w:t>
            </w:r>
          </w:p>
        </w:tc>
        <w:tc>
          <w:tcPr>
            <w:tcW w:w="1026" w:type="dxa"/>
            <w:noWrap/>
            <w:hideMark/>
          </w:tcPr>
          <w:p w14:paraId="45BA1F5D"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$45.50</w:t>
            </w:r>
          </w:p>
        </w:tc>
        <w:tc>
          <w:tcPr>
            <w:tcW w:w="1123" w:type="dxa"/>
            <w:noWrap/>
            <w:hideMark/>
          </w:tcPr>
          <w:p w14:paraId="10521E6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C54F8">
              <w:rPr>
                <w:rFonts w:cs="Arial"/>
                <w:szCs w:val="16"/>
                <w:lang w:eastAsia="en-AU"/>
              </w:rPr>
              <w:t>0.70%</w:t>
            </w:r>
          </w:p>
        </w:tc>
      </w:tr>
      <w:tr w:rsidR="00BE08F8" w:rsidRPr="00BE08F8" w14:paraId="6A48DEBF"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5E4A85C1" w14:textId="769F0FEA" w:rsidR="00BE08F8" w:rsidRPr="000C54F8" w:rsidRDefault="00BE08F8" w:rsidP="00C6103A">
            <w:pPr>
              <w:pStyle w:val="TableParagraphbold"/>
              <w:rPr>
                <w:lang w:eastAsia="en-AU"/>
              </w:rPr>
            </w:pPr>
            <w:r w:rsidRPr="000C54F8">
              <w:rPr>
                <w:lang w:eastAsia="en-AU"/>
              </w:rPr>
              <w:t xml:space="preserve">Total accommodation </w:t>
            </w:r>
            <w:r w:rsidR="00B61E2B">
              <w:rPr>
                <w:lang w:eastAsia="en-AU"/>
              </w:rPr>
              <w:t>and finance</w:t>
            </w:r>
            <w:r w:rsidRPr="000C54F8">
              <w:rPr>
                <w:lang w:eastAsia="en-AU"/>
              </w:rPr>
              <w:t xml:space="preserve"> expenses</w:t>
            </w:r>
          </w:p>
        </w:tc>
        <w:tc>
          <w:tcPr>
            <w:tcW w:w="1127" w:type="dxa"/>
            <w:shd w:val="clear" w:color="auto" w:fill="D8DBDB" w:themeFill="background2" w:themeFillShade="E6"/>
            <w:hideMark/>
          </w:tcPr>
          <w:p w14:paraId="6BFA25C9"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$3,230.70</w:t>
            </w:r>
          </w:p>
        </w:tc>
        <w:tc>
          <w:tcPr>
            <w:tcW w:w="1127" w:type="dxa"/>
            <w:shd w:val="clear" w:color="auto" w:fill="D8DBDB" w:themeFill="background2" w:themeFillShade="E6"/>
            <w:hideMark/>
          </w:tcPr>
          <w:p w14:paraId="768886B4"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$2,620.80</w:t>
            </w:r>
          </w:p>
        </w:tc>
        <w:tc>
          <w:tcPr>
            <w:tcW w:w="1026" w:type="dxa"/>
            <w:shd w:val="clear" w:color="auto" w:fill="D8DBDB" w:themeFill="background2" w:themeFillShade="E6"/>
            <w:hideMark/>
          </w:tcPr>
          <w:p w14:paraId="6EA49CCD" w14:textId="1A36AAC8" w:rsidR="00BE08F8" w:rsidRPr="000C54F8" w:rsidRDefault="00010E61"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bCs/>
                <w:lang w:eastAsia="en-AU"/>
              </w:rPr>
              <w:t>(</w:t>
            </w:r>
            <w:r w:rsidR="00BE08F8" w:rsidRPr="000C54F8">
              <w:rPr>
                <w:bCs/>
                <w:lang w:eastAsia="en-AU"/>
              </w:rPr>
              <w:t>$</w:t>
            </w:r>
            <w:r w:rsidR="00BE08F8" w:rsidRPr="000C54F8">
              <w:rPr>
                <w:lang w:eastAsia="en-AU"/>
              </w:rPr>
              <w:t>609.90</w:t>
            </w:r>
            <w:r w:rsidRPr="000C54F8">
              <w:rPr>
                <w:bCs/>
                <w:lang w:eastAsia="en-AU"/>
              </w:rPr>
              <w:t>)</w:t>
            </w:r>
          </w:p>
        </w:tc>
        <w:tc>
          <w:tcPr>
            <w:tcW w:w="1127" w:type="dxa"/>
            <w:shd w:val="clear" w:color="auto" w:fill="D8DBDB" w:themeFill="background2" w:themeFillShade="E6"/>
            <w:hideMark/>
          </w:tcPr>
          <w:p w14:paraId="3C205697"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$3,514.90</w:t>
            </w:r>
          </w:p>
        </w:tc>
        <w:tc>
          <w:tcPr>
            <w:tcW w:w="1026" w:type="dxa"/>
            <w:shd w:val="clear" w:color="auto" w:fill="D8DBDB" w:themeFill="background2" w:themeFillShade="E6"/>
            <w:hideMark/>
          </w:tcPr>
          <w:p w14:paraId="3FA6AAE8"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$894.10</w:t>
            </w:r>
          </w:p>
        </w:tc>
        <w:tc>
          <w:tcPr>
            <w:tcW w:w="1123" w:type="dxa"/>
            <w:shd w:val="clear" w:color="auto" w:fill="D8DBDB" w:themeFill="background2" w:themeFillShade="E6"/>
            <w:noWrap/>
            <w:hideMark/>
          </w:tcPr>
          <w:p w14:paraId="77F76E21"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14.40%</w:t>
            </w:r>
          </w:p>
        </w:tc>
      </w:tr>
      <w:tr w:rsidR="00BE08F8" w:rsidRPr="00BE08F8" w14:paraId="3F2DB5A3"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089641D9" w14:textId="77777777" w:rsidR="00BE08F8" w:rsidRPr="000C54F8" w:rsidRDefault="00BE08F8" w:rsidP="00C6103A">
            <w:pPr>
              <w:pStyle w:val="TableParagraphbold"/>
              <w:rPr>
                <w:lang w:eastAsia="en-AU"/>
              </w:rPr>
            </w:pPr>
            <w:r w:rsidRPr="000C54F8">
              <w:rPr>
                <w:lang w:eastAsia="en-AU"/>
              </w:rPr>
              <w:t>Hotel</w:t>
            </w:r>
          </w:p>
        </w:tc>
        <w:tc>
          <w:tcPr>
            <w:tcW w:w="1127" w:type="dxa"/>
            <w:shd w:val="clear" w:color="auto" w:fill="D8DBDB" w:themeFill="background2" w:themeFillShade="E6"/>
            <w:noWrap/>
            <w:hideMark/>
          </w:tcPr>
          <w:p w14:paraId="0768C9FF"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5A19FCE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hideMark/>
          </w:tcPr>
          <w:p w14:paraId="3207E56A"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73F8CF8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noWrap/>
            <w:hideMark/>
          </w:tcPr>
          <w:p w14:paraId="2B3E347A"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3" w:type="dxa"/>
            <w:shd w:val="clear" w:color="auto" w:fill="D8DBDB" w:themeFill="background2" w:themeFillShade="E6"/>
            <w:noWrap/>
            <w:hideMark/>
          </w:tcPr>
          <w:p w14:paraId="0C6FFC4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r>
      <w:tr w:rsidR="00BE08F8" w:rsidRPr="00BE08F8" w14:paraId="4AA73FF1"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579E0E7F" w14:textId="77777777" w:rsidR="00BE08F8" w:rsidRPr="000C54F8" w:rsidRDefault="00BE08F8" w:rsidP="00C6103A">
            <w:pPr>
              <w:pStyle w:val="TableofAuthorities"/>
              <w:rPr>
                <w:lang w:eastAsia="en-AU"/>
              </w:rPr>
            </w:pPr>
            <w:r w:rsidRPr="000C54F8">
              <w:rPr>
                <w:lang w:eastAsia="en-AU"/>
              </w:rPr>
              <w:t>Employee expenses</w:t>
            </w:r>
          </w:p>
        </w:tc>
        <w:tc>
          <w:tcPr>
            <w:tcW w:w="1127" w:type="dxa"/>
            <w:noWrap/>
            <w:hideMark/>
          </w:tcPr>
          <w:p w14:paraId="659F07A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$1,784.70</w:t>
            </w:r>
          </w:p>
        </w:tc>
        <w:tc>
          <w:tcPr>
            <w:tcW w:w="1127" w:type="dxa"/>
            <w:noWrap/>
            <w:hideMark/>
          </w:tcPr>
          <w:p w14:paraId="20F4C877"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$1,899.80</w:t>
            </w:r>
          </w:p>
        </w:tc>
        <w:tc>
          <w:tcPr>
            <w:tcW w:w="1026" w:type="dxa"/>
            <w:hideMark/>
          </w:tcPr>
          <w:p w14:paraId="69BB454F"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$115.10</w:t>
            </w:r>
          </w:p>
        </w:tc>
        <w:tc>
          <w:tcPr>
            <w:tcW w:w="1127" w:type="dxa"/>
            <w:noWrap/>
            <w:hideMark/>
          </w:tcPr>
          <w:p w14:paraId="505EDDD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$1,966.90</w:t>
            </w:r>
          </w:p>
        </w:tc>
        <w:tc>
          <w:tcPr>
            <w:tcW w:w="1026" w:type="dxa"/>
            <w:noWrap/>
            <w:hideMark/>
          </w:tcPr>
          <w:p w14:paraId="62722BEB"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$67.20</w:t>
            </w:r>
          </w:p>
        </w:tc>
        <w:tc>
          <w:tcPr>
            <w:tcW w:w="1123" w:type="dxa"/>
            <w:noWrap/>
            <w:hideMark/>
          </w:tcPr>
          <w:p w14:paraId="510BBEE5"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8.10%</w:t>
            </w:r>
          </w:p>
        </w:tc>
      </w:tr>
      <w:tr w:rsidR="00BE08F8" w:rsidRPr="00BE08F8" w14:paraId="668DFC39"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0D4CD7D8" w14:textId="77777777" w:rsidR="00BE08F8" w:rsidRPr="000C54F8" w:rsidRDefault="00BE08F8" w:rsidP="00C6103A">
            <w:pPr>
              <w:pStyle w:val="TableofAuthorities"/>
              <w:rPr>
                <w:lang w:eastAsia="en-AU"/>
              </w:rPr>
            </w:pPr>
            <w:r w:rsidRPr="000C54F8">
              <w:rPr>
                <w:lang w:eastAsia="en-AU"/>
              </w:rPr>
              <w:t>Contracted services</w:t>
            </w:r>
          </w:p>
        </w:tc>
        <w:tc>
          <w:tcPr>
            <w:tcW w:w="1127" w:type="dxa"/>
            <w:noWrap/>
            <w:hideMark/>
          </w:tcPr>
          <w:p w14:paraId="58014465"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$561.80</w:t>
            </w:r>
          </w:p>
        </w:tc>
        <w:tc>
          <w:tcPr>
            <w:tcW w:w="1127" w:type="dxa"/>
            <w:noWrap/>
            <w:hideMark/>
          </w:tcPr>
          <w:p w14:paraId="43A9C91B"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$651.00</w:t>
            </w:r>
          </w:p>
        </w:tc>
        <w:tc>
          <w:tcPr>
            <w:tcW w:w="1026" w:type="dxa"/>
            <w:hideMark/>
          </w:tcPr>
          <w:p w14:paraId="6394F8A8"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$89.20</w:t>
            </w:r>
          </w:p>
        </w:tc>
        <w:tc>
          <w:tcPr>
            <w:tcW w:w="1127" w:type="dxa"/>
            <w:noWrap/>
            <w:hideMark/>
          </w:tcPr>
          <w:p w14:paraId="65143BCA"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$678.10</w:t>
            </w:r>
          </w:p>
        </w:tc>
        <w:tc>
          <w:tcPr>
            <w:tcW w:w="1026" w:type="dxa"/>
            <w:noWrap/>
            <w:hideMark/>
          </w:tcPr>
          <w:p w14:paraId="5446B0C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$27.10</w:t>
            </w:r>
          </w:p>
        </w:tc>
        <w:tc>
          <w:tcPr>
            <w:tcW w:w="1123" w:type="dxa"/>
            <w:noWrap/>
            <w:hideMark/>
          </w:tcPr>
          <w:p w14:paraId="36F816C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2.80%</w:t>
            </w:r>
          </w:p>
        </w:tc>
      </w:tr>
      <w:tr w:rsidR="00BE08F8" w:rsidRPr="00BE08F8" w14:paraId="3586BA4A" w14:textId="77777777" w:rsidTr="00701AAB">
        <w:trPr>
          <w:trHeight w:val="451"/>
        </w:trPr>
        <w:tc>
          <w:tcPr>
            <w:cnfStyle w:val="001000000000" w:firstRow="0" w:lastRow="0" w:firstColumn="1" w:lastColumn="0" w:oddVBand="0" w:evenVBand="0" w:oddHBand="0" w:evenHBand="0" w:firstRowFirstColumn="0" w:firstRowLastColumn="0" w:lastRowFirstColumn="0" w:lastRowLastColumn="0"/>
            <w:tcW w:w="2658" w:type="dxa"/>
            <w:noWrap/>
            <w:hideMark/>
          </w:tcPr>
          <w:p w14:paraId="7011F830" w14:textId="08557790" w:rsidR="00BE08F8" w:rsidRPr="000C54F8" w:rsidRDefault="00BE08F8" w:rsidP="00C6103A">
            <w:pPr>
              <w:pStyle w:val="TableofAuthorities"/>
              <w:rPr>
                <w:lang w:eastAsia="en-AU"/>
              </w:rPr>
            </w:pPr>
            <w:r w:rsidRPr="000C54F8">
              <w:rPr>
                <w:lang w:eastAsia="en-AU"/>
              </w:rPr>
              <w:t>Utilities</w:t>
            </w:r>
            <w:r w:rsidR="00406095">
              <w:rPr>
                <w:lang w:eastAsia="en-AU"/>
              </w:rPr>
              <w:t xml:space="preserve"> (iii)</w:t>
            </w:r>
          </w:p>
        </w:tc>
        <w:tc>
          <w:tcPr>
            <w:tcW w:w="1127" w:type="dxa"/>
            <w:noWrap/>
            <w:hideMark/>
          </w:tcPr>
          <w:p w14:paraId="7C6B2F56"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N/A</w:t>
            </w:r>
          </w:p>
        </w:tc>
        <w:tc>
          <w:tcPr>
            <w:tcW w:w="1127" w:type="dxa"/>
            <w:noWrap/>
            <w:hideMark/>
          </w:tcPr>
          <w:p w14:paraId="3703F7A5"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$459.30</w:t>
            </w:r>
          </w:p>
        </w:tc>
        <w:tc>
          <w:tcPr>
            <w:tcW w:w="1026" w:type="dxa"/>
            <w:noWrap/>
            <w:hideMark/>
          </w:tcPr>
          <w:p w14:paraId="2E404318"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N/A</w:t>
            </w:r>
          </w:p>
        </w:tc>
        <w:tc>
          <w:tcPr>
            <w:tcW w:w="1127" w:type="dxa"/>
            <w:noWrap/>
            <w:hideMark/>
          </w:tcPr>
          <w:p w14:paraId="725AB480"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$474.60</w:t>
            </w:r>
          </w:p>
        </w:tc>
        <w:tc>
          <w:tcPr>
            <w:tcW w:w="1026" w:type="dxa"/>
            <w:noWrap/>
            <w:hideMark/>
          </w:tcPr>
          <w:p w14:paraId="1CCB88F7"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$15.30</w:t>
            </w:r>
          </w:p>
        </w:tc>
        <w:tc>
          <w:tcPr>
            <w:tcW w:w="1123" w:type="dxa"/>
            <w:noWrap/>
            <w:hideMark/>
          </w:tcPr>
          <w:p w14:paraId="475225F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2.00%</w:t>
            </w:r>
          </w:p>
        </w:tc>
      </w:tr>
      <w:tr w:rsidR="00BE08F8" w:rsidRPr="00BE08F8" w14:paraId="6B0BEC57"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0CA568A6" w14:textId="77777777" w:rsidR="00BE08F8" w:rsidRPr="000C54F8" w:rsidRDefault="00BE08F8" w:rsidP="00C6103A">
            <w:pPr>
              <w:pStyle w:val="TableofAuthorities"/>
              <w:rPr>
                <w:lang w:eastAsia="en-AU"/>
              </w:rPr>
            </w:pPr>
            <w:r w:rsidRPr="000C54F8">
              <w:rPr>
                <w:lang w:eastAsia="en-AU"/>
              </w:rPr>
              <w:t>Other</w:t>
            </w:r>
          </w:p>
        </w:tc>
        <w:tc>
          <w:tcPr>
            <w:tcW w:w="1127" w:type="dxa"/>
            <w:noWrap/>
            <w:hideMark/>
          </w:tcPr>
          <w:p w14:paraId="40AC71E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$791.90</w:t>
            </w:r>
          </w:p>
        </w:tc>
        <w:tc>
          <w:tcPr>
            <w:tcW w:w="1127" w:type="dxa"/>
            <w:noWrap/>
            <w:hideMark/>
          </w:tcPr>
          <w:p w14:paraId="3299D32E"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$833.00</w:t>
            </w:r>
          </w:p>
        </w:tc>
        <w:tc>
          <w:tcPr>
            <w:tcW w:w="1026" w:type="dxa"/>
            <w:hideMark/>
          </w:tcPr>
          <w:p w14:paraId="52474AA6"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$41.10</w:t>
            </w:r>
          </w:p>
        </w:tc>
        <w:tc>
          <w:tcPr>
            <w:tcW w:w="1127" w:type="dxa"/>
            <w:noWrap/>
            <w:hideMark/>
          </w:tcPr>
          <w:p w14:paraId="1407B25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$877.00</w:t>
            </w:r>
          </w:p>
        </w:tc>
        <w:tc>
          <w:tcPr>
            <w:tcW w:w="1026" w:type="dxa"/>
            <w:noWrap/>
            <w:hideMark/>
          </w:tcPr>
          <w:p w14:paraId="0650E2D6"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$44.00</w:t>
            </w:r>
          </w:p>
        </w:tc>
        <w:tc>
          <w:tcPr>
            <w:tcW w:w="1123" w:type="dxa"/>
            <w:noWrap/>
            <w:hideMark/>
          </w:tcPr>
          <w:p w14:paraId="681AE68F"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3.60%</w:t>
            </w:r>
          </w:p>
        </w:tc>
      </w:tr>
      <w:tr w:rsidR="00BE08F8" w:rsidRPr="00BE08F8" w14:paraId="266799C4"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4376B121" w14:textId="77777777" w:rsidR="00BE08F8" w:rsidRPr="000C54F8" w:rsidRDefault="00BE08F8" w:rsidP="00C6103A">
            <w:pPr>
              <w:pStyle w:val="TableParagraphbold"/>
              <w:rPr>
                <w:lang w:eastAsia="en-AU"/>
              </w:rPr>
            </w:pPr>
            <w:r w:rsidRPr="000C54F8">
              <w:rPr>
                <w:lang w:eastAsia="en-AU"/>
              </w:rPr>
              <w:t>Total hotel expenses</w:t>
            </w:r>
          </w:p>
        </w:tc>
        <w:tc>
          <w:tcPr>
            <w:tcW w:w="1127" w:type="dxa"/>
            <w:shd w:val="clear" w:color="auto" w:fill="D8DBDB" w:themeFill="background2" w:themeFillShade="E6"/>
            <w:noWrap/>
            <w:hideMark/>
          </w:tcPr>
          <w:p w14:paraId="3B760BA4"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$3,138.40</w:t>
            </w:r>
          </w:p>
        </w:tc>
        <w:tc>
          <w:tcPr>
            <w:tcW w:w="1127" w:type="dxa"/>
            <w:shd w:val="clear" w:color="auto" w:fill="D8DBDB" w:themeFill="background2" w:themeFillShade="E6"/>
            <w:noWrap/>
            <w:hideMark/>
          </w:tcPr>
          <w:p w14:paraId="3AA96573"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$3,843.10</w:t>
            </w:r>
          </w:p>
        </w:tc>
        <w:tc>
          <w:tcPr>
            <w:tcW w:w="1026" w:type="dxa"/>
            <w:shd w:val="clear" w:color="auto" w:fill="D8DBDB" w:themeFill="background2" w:themeFillShade="E6"/>
            <w:hideMark/>
          </w:tcPr>
          <w:p w14:paraId="0FA5C293"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$704.70</w:t>
            </w:r>
          </w:p>
        </w:tc>
        <w:tc>
          <w:tcPr>
            <w:tcW w:w="1127" w:type="dxa"/>
            <w:shd w:val="clear" w:color="auto" w:fill="D8DBDB" w:themeFill="background2" w:themeFillShade="E6"/>
            <w:noWrap/>
            <w:hideMark/>
          </w:tcPr>
          <w:p w14:paraId="6526340D"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$3,996.70</w:t>
            </w:r>
          </w:p>
        </w:tc>
        <w:tc>
          <w:tcPr>
            <w:tcW w:w="1026" w:type="dxa"/>
            <w:shd w:val="clear" w:color="auto" w:fill="D8DBDB" w:themeFill="background2" w:themeFillShade="E6"/>
            <w:noWrap/>
            <w:hideMark/>
          </w:tcPr>
          <w:p w14:paraId="05A7CED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$153.60</w:t>
            </w:r>
          </w:p>
        </w:tc>
        <w:tc>
          <w:tcPr>
            <w:tcW w:w="1123" w:type="dxa"/>
            <w:shd w:val="clear" w:color="auto" w:fill="D8DBDB" w:themeFill="background2" w:themeFillShade="E6"/>
            <w:noWrap/>
            <w:hideMark/>
          </w:tcPr>
          <w:p w14:paraId="11B6A1BD"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16.40%</w:t>
            </w:r>
          </w:p>
        </w:tc>
      </w:tr>
      <w:tr w:rsidR="00BE08F8" w:rsidRPr="00BE08F8" w14:paraId="45F21F49"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6F82C054" w14:textId="77777777" w:rsidR="00BE08F8" w:rsidRPr="000C54F8" w:rsidRDefault="00BE08F8" w:rsidP="00C6103A">
            <w:pPr>
              <w:pStyle w:val="TableParagraphbold"/>
              <w:rPr>
                <w:lang w:eastAsia="en-AU"/>
              </w:rPr>
            </w:pPr>
            <w:r w:rsidRPr="000C54F8">
              <w:rPr>
                <w:lang w:eastAsia="en-AU"/>
              </w:rPr>
              <w:t>Administration</w:t>
            </w:r>
          </w:p>
        </w:tc>
        <w:tc>
          <w:tcPr>
            <w:tcW w:w="1127" w:type="dxa"/>
            <w:shd w:val="clear" w:color="auto" w:fill="D8DBDB" w:themeFill="background2" w:themeFillShade="E6"/>
            <w:noWrap/>
            <w:hideMark/>
          </w:tcPr>
          <w:p w14:paraId="06194557"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1285C099"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hideMark/>
          </w:tcPr>
          <w:p w14:paraId="303A6495"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4B31680B"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noWrap/>
            <w:hideMark/>
          </w:tcPr>
          <w:p w14:paraId="41714583"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3" w:type="dxa"/>
            <w:shd w:val="clear" w:color="auto" w:fill="D8DBDB" w:themeFill="background2" w:themeFillShade="E6"/>
            <w:noWrap/>
            <w:hideMark/>
          </w:tcPr>
          <w:p w14:paraId="3184926D"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r>
      <w:tr w:rsidR="00BE08F8" w:rsidRPr="00BE08F8" w14:paraId="1D221C6C"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74A71C7E" w14:textId="77777777" w:rsidR="00BE08F8" w:rsidRPr="000C54F8" w:rsidRDefault="00BE08F8" w:rsidP="00C6103A">
            <w:pPr>
              <w:pStyle w:val="TableofAuthorities"/>
              <w:rPr>
                <w:lang w:eastAsia="en-AU"/>
              </w:rPr>
            </w:pPr>
            <w:r w:rsidRPr="000C54F8">
              <w:rPr>
                <w:lang w:eastAsia="en-AU"/>
              </w:rPr>
              <w:t>Employee expenses</w:t>
            </w:r>
          </w:p>
        </w:tc>
        <w:tc>
          <w:tcPr>
            <w:tcW w:w="1127" w:type="dxa"/>
            <w:noWrap/>
            <w:hideMark/>
          </w:tcPr>
          <w:p w14:paraId="49FCF9F8"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$1,091.50</w:t>
            </w:r>
          </w:p>
        </w:tc>
        <w:tc>
          <w:tcPr>
            <w:tcW w:w="1127" w:type="dxa"/>
            <w:noWrap/>
            <w:hideMark/>
          </w:tcPr>
          <w:p w14:paraId="090E8407"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$711.40</w:t>
            </w:r>
          </w:p>
        </w:tc>
        <w:tc>
          <w:tcPr>
            <w:tcW w:w="1026" w:type="dxa"/>
            <w:hideMark/>
          </w:tcPr>
          <w:p w14:paraId="0CEBA75C" w14:textId="0CF3680A" w:rsidR="00BE08F8" w:rsidRPr="000C54F8" w:rsidRDefault="00097CDF"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BE08F8" w:rsidRPr="000C54F8">
              <w:rPr>
                <w:lang w:eastAsia="en-AU"/>
              </w:rPr>
              <w:t>$380.10</w:t>
            </w:r>
            <w:r>
              <w:rPr>
                <w:lang w:eastAsia="en-AU"/>
              </w:rPr>
              <w:t>)</w:t>
            </w:r>
          </w:p>
        </w:tc>
        <w:tc>
          <w:tcPr>
            <w:tcW w:w="1127" w:type="dxa"/>
            <w:noWrap/>
            <w:hideMark/>
          </w:tcPr>
          <w:p w14:paraId="47802B58"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$811.40</w:t>
            </w:r>
          </w:p>
        </w:tc>
        <w:tc>
          <w:tcPr>
            <w:tcW w:w="1026" w:type="dxa"/>
            <w:noWrap/>
            <w:hideMark/>
          </w:tcPr>
          <w:p w14:paraId="1B0BAE48"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$100.00</w:t>
            </w:r>
          </w:p>
        </w:tc>
        <w:tc>
          <w:tcPr>
            <w:tcW w:w="1123" w:type="dxa"/>
            <w:noWrap/>
            <w:hideMark/>
          </w:tcPr>
          <w:p w14:paraId="2A29B56F"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3.30%</w:t>
            </w:r>
          </w:p>
        </w:tc>
      </w:tr>
      <w:tr w:rsidR="00BE08F8" w:rsidRPr="00BE08F8" w14:paraId="67346643" w14:textId="77777777" w:rsidTr="00701AAB">
        <w:trPr>
          <w:trHeight w:val="451"/>
        </w:trPr>
        <w:tc>
          <w:tcPr>
            <w:cnfStyle w:val="001000000000" w:firstRow="0" w:lastRow="0" w:firstColumn="1" w:lastColumn="0" w:oddVBand="0" w:evenVBand="0" w:oddHBand="0" w:evenHBand="0" w:firstRowFirstColumn="0" w:firstRowLastColumn="0" w:lastRowFirstColumn="0" w:lastRowLastColumn="0"/>
            <w:tcW w:w="2658" w:type="dxa"/>
            <w:noWrap/>
            <w:hideMark/>
          </w:tcPr>
          <w:p w14:paraId="40A91E72" w14:textId="15D0710E" w:rsidR="00BE08F8" w:rsidRPr="000C54F8" w:rsidRDefault="00BE08F8" w:rsidP="00C6103A">
            <w:pPr>
              <w:pStyle w:val="TableofAuthorities"/>
              <w:rPr>
                <w:lang w:eastAsia="en-AU"/>
              </w:rPr>
            </w:pPr>
            <w:r w:rsidRPr="000C54F8">
              <w:rPr>
                <w:lang w:eastAsia="en-AU"/>
              </w:rPr>
              <w:t>Management fees</w:t>
            </w:r>
            <w:r w:rsidR="00406095">
              <w:rPr>
                <w:lang w:eastAsia="en-AU"/>
              </w:rPr>
              <w:t xml:space="preserve"> (iv)</w:t>
            </w:r>
          </w:p>
        </w:tc>
        <w:tc>
          <w:tcPr>
            <w:tcW w:w="1127" w:type="dxa"/>
            <w:noWrap/>
            <w:hideMark/>
          </w:tcPr>
          <w:p w14:paraId="3301D2A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$606.00</w:t>
            </w:r>
          </w:p>
        </w:tc>
        <w:tc>
          <w:tcPr>
            <w:tcW w:w="1127" w:type="dxa"/>
            <w:noWrap/>
            <w:hideMark/>
          </w:tcPr>
          <w:p w14:paraId="67FA54CF"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$1,325.50</w:t>
            </w:r>
          </w:p>
        </w:tc>
        <w:tc>
          <w:tcPr>
            <w:tcW w:w="1026" w:type="dxa"/>
            <w:hideMark/>
          </w:tcPr>
          <w:p w14:paraId="09947FBD"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$719.50</w:t>
            </w:r>
          </w:p>
        </w:tc>
        <w:tc>
          <w:tcPr>
            <w:tcW w:w="1127" w:type="dxa"/>
            <w:noWrap/>
            <w:hideMark/>
          </w:tcPr>
          <w:p w14:paraId="20F536C6"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$1,529.60</w:t>
            </w:r>
          </w:p>
        </w:tc>
        <w:tc>
          <w:tcPr>
            <w:tcW w:w="1026" w:type="dxa"/>
            <w:noWrap/>
            <w:hideMark/>
          </w:tcPr>
          <w:p w14:paraId="7A431DD9"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$204.10</w:t>
            </w:r>
          </w:p>
        </w:tc>
        <w:tc>
          <w:tcPr>
            <w:tcW w:w="1123" w:type="dxa"/>
            <w:noWrap/>
            <w:hideMark/>
          </w:tcPr>
          <w:p w14:paraId="7BDCF87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6.30%</w:t>
            </w:r>
          </w:p>
        </w:tc>
      </w:tr>
      <w:tr w:rsidR="00BE08F8" w:rsidRPr="00BE08F8" w14:paraId="17AD10E1"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6043F660" w14:textId="77777777" w:rsidR="00BE08F8" w:rsidRPr="000C54F8" w:rsidRDefault="00BE08F8" w:rsidP="00C6103A">
            <w:pPr>
              <w:pStyle w:val="TableofAuthorities"/>
              <w:rPr>
                <w:lang w:eastAsia="en-AU"/>
              </w:rPr>
            </w:pPr>
            <w:r w:rsidRPr="000C54F8">
              <w:rPr>
                <w:lang w:eastAsia="en-AU"/>
              </w:rPr>
              <w:t>Other</w:t>
            </w:r>
          </w:p>
        </w:tc>
        <w:tc>
          <w:tcPr>
            <w:tcW w:w="1127" w:type="dxa"/>
            <w:noWrap/>
            <w:hideMark/>
          </w:tcPr>
          <w:p w14:paraId="2A4F992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$751.30</w:t>
            </w:r>
          </w:p>
        </w:tc>
        <w:tc>
          <w:tcPr>
            <w:tcW w:w="1127" w:type="dxa"/>
            <w:noWrap/>
            <w:hideMark/>
          </w:tcPr>
          <w:p w14:paraId="4AB2D2DE"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$600.40</w:t>
            </w:r>
          </w:p>
        </w:tc>
        <w:tc>
          <w:tcPr>
            <w:tcW w:w="1026" w:type="dxa"/>
            <w:hideMark/>
          </w:tcPr>
          <w:p w14:paraId="495071DA" w14:textId="6C167E2A" w:rsidR="00BE08F8" w:rsidRPr="000C54F8" w:rsidRDefault="00097CDF"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BE08F8" w:rsidRPr="000C54F8">
              <w:rPr>
                <w:lang w:eastAsia="en-AU"/>
              </w:rPr>
              <w:t>$150.90</w:t>
            </w:r>
            <w:r>
              <w:rPr>
                <w:lang w:eastAsia="en-AU"/>
              </w:rPr>
              <w:t>)</w:t>
            </w:r>
          </w:p>
        </w:tc>
        <w:tc>
          <w:tcPr>
            <w:tcW w:w="1127" w:type="dxa"/>
            <w:noWrap/>
            <w:hideMark/>
          </w:tcPr>
          <w:p w14:paraId="2E2CA4EB"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$613.20</w:t>
            </w:r>
          </w:p>
        </w:tc>
        <w:tc>
          <w:tcPr>
            <w:tcW w:w="1026" w:type="dxa"/>
            <w:noWrap/>
            <w:hideMark/>
          </w:tcPr>
          <w:p w14:paraId="01BF945B"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$12.80</w:t>
            </w:r>
          </w:p>
        </w:tc>
        <w:tc>
          <w:tcPr>
            <w:tcW w:w="1123" w:type="dxa"/>
            <w:noWrap/>
            <w:hideMark/>
          </w:tcPr>
          <w:p w14:paraId="2DAB176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2.50%</w:t>
            </w:r>
          </w:p>
        </w:tc>
      </w:tr>
      <w:tr w:rsidR="00BE08F8" w:rsidRPr="00BE08F8" w14:paraId="3FCB74FF"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656D3F09" w14:textId="77777777" w:rsidR="00BE08F8" w:rsidRPr="000C54F8" w:rsidRDefault="00BE08F8" w:rsidP="00C6103A">
            <w:pPr>
              <w:pStyle w:val="TableParagraphbold"/>
              <w:rPr>
                <w:lang w:eastAsia="en-AU"/>
              </w:rPr>
            </w:pPr>
            <w:r w:rsidRPr="000C54F8">
              <w:rPr>
                <w:lang w:eastAsia="en-AU"/>
              </w:rPr>
              <w:t>Total administration expenses</w:t>
            </w:r>
          </w:p>
        </w:tc>
        <w:tc>
          <w:tcPr>
            <w:tcW w:w="1127" w:type="dxa"/>
            <w:shd w:val="clear" w:color="auto" w:fill="D8DBDB" w:themeFill="background2" w:themeFillShade="E6"/>
            <w:noWrap/>
            <w:hideMark/>
          </w:tcPr>
          <w:p w14:paraId="2B18180F"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$2,448.70</w:t>
            </w:r>
          </w:p>
        </w:tc>
        <w:tc>
          <w:tcPr>
            <w:tcW w:w="1127" w:type="dxa"/>
            <w:shd w:val="clear" w:color="auto" w:fill="D8DBDB" w:themeFill="background2" w:themeFillShade="E6"/>
            <w:noWrap/>
            <w:hideMark/>
          </w:tcPr>
          <w:p w14:paraId="565FBE7B"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$2,637.20</w:t>
            </w:r>
          </w:p>
        </w:tc>
        <w:tc>
          <w:tcPr>
            <w:tcW w:w="1026" w:type="dxa"/>
            <w:shd w:val="clear" w:color="auto" w:fill="D8DBDB" w:themeFill="background2" w:themeFillShade="E6"/>
            <w:hideMark/>
          </w:tcPr>
          <w:p w14:paraId="321B5604"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$188.50</w:t>
            </w:r>
          </w:p>
        </w:tc>
        <w:tc>
          <w:tcPr>
            <w:tcW w:w="1127" w:type="dxa"/>
            <w:shd w:val="clear" w:color="auto" w:fill="D8DBDB" w:themeFill="background2" w:themeFillShade="E6"/>
            <w:noWrap/>
            <w:hideMark/>
          </w:tcPr>
          <w:p w14:paraId="5DBFAF6B"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$2,954.20</w:t>
            </w:r>
          </w:p>
        </w:tc>
        <w:tc>
          <w:tcPr>
            <w:tcW w:w="1026" w:type="dxa"/>
            <w:shd w:val="clear" w:color="auto" w:fill="D8DBDB" w:themeFill="background2" w:themeFillShade="E6"/>
            <w:noWrap/>
            <w:hideMark/>
          </w:tcPr>
          <w:p w14:paraId="1DB97F27"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$316.90</w:t>
            </w:r>
          </w:p>
        </w:tc>
        <w:tc>
          <w:tcPr>
            <w:tcW w:w="1123" w:type="dxa"/>
            <w:shd w:val="clear" w:color="auto" w:fill="D8DBDB" w:themeFill="background2" w:themeFillShade="E6"/>
            <w:noWrap/>
            <w:hideMark/>
          </w:tcPr>
          <w:p w14:paraId="704FC87E"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12.10%</w:t>
            </w:r>
          </w:p>
        </w:tc>
      </w:tr>
      <w:tr w:rsidR="00BE08F8" w:rsidRPr="00BE08F8" w14:paraId="3DA255FF"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7B5431C6" w14:textId="77777777" w:rsidR="00BE08F8" w:rsidRPr="000C54F8" w:rsidRDefault="00BE08F8" w:rsidP="00C6103A">
            <w:pPr>
              <w:pStyle w:val="TableParagraphbold"/>
              <w:rPr>
                <w:lang w:eastAsia="en-AU"/>
              </w:rPr>
            </w:pPr>
            <w:r w:rsidRPr="000C54F8">
              <w:rPr>
                <w:lang w:eastAsia="en-AU"/>
              </w:rPr>
              <w:t>COVID-19</w:t>
            </w:r>
          </w:p>
        </w:tc>
        <w:tc>
          <w:tcPr>
            <w:tcW w:w="1127" w:type="dxa"/>
            <w:shd w:val="clear" w:color="auto" w:fill="D8DBDB" w:themeFill="background2" w:themeFillShade="E6"/>
            <w:noWrap/>
            <w:hideMark/>
          </w:tcPr>
          <w:p w14:paraId="680682A5"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5CCEEEBF"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hideMark/>
          </w:tcPr>
          <w:p w14:paraId="09AA0A6E"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5B5EC6CC"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noWrap/>
            <w:hideMark/>
          </w:tcPr>
          <w:p w14:paraId="5DFD59B9"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3" w:type="dxa"/>
            <w:shd w:val="clear" w:color="auto" w:fill="D8DBDB" w:themeFill="background2" w:themeFillShade="E6"/>
            <w:noWrap/>
            <w:hideMark/>
          </w:tcPr>
          <w:p w14:paraId="5B67F15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r>
      <w:tr w:rsidR="00BE08F8" w:rsidRPr="00BE08F8" w14:paraId="14356DE5"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17C9E4BE" w14:textId="77777777" w:rsidR="00BE08F8" w:rsidRPr="000C54F8" w:rsidRDefault="00BE08F8" w:rsidP="00C6103A">
            <w:pPr>
              <w:pStyle w:val="TableofAuthorities"/>
              <w:rPr>
                <w:lang w:eastAsia="en-AU"/>
              </w:rPr>
            </w:pPr>
            <w:r w:rsidRPr="000C54F8">
              <w:rPr>
                <w:lang w:eastAsia="en-AU"/>
              </w:rPr>
              <w:t>Labour costs</w:t>
            </w:r>
          </w:p>
        </w:tc>
        <w:tc>
          <w:tcPr>
            <w:tcW w:w="1127" w:type="dxa"/>
            <w:noWrap/>
            <w:hideMark/>
          </w:tcPr>
          <w:p w14:paraId="3758FCFA" w14:textId="3E40F151" w:rsidR="00BE08F8" w:rsidRPr="000C54F8" w:rsidRDefault="00A812EB"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BE08F8" w:rsidRPr="000C54F8">
              <w:rPr>
                <w:lang w:eastAsia="en-AU"/>
              </w:rPr>
              <w:t>120</w:t>
            </w:r>
            <w:r>
              <w:rPr>
                <w:lang w:eastAsia="en-AU"/>
              </w:rPr>
              <w:t>.00</w:t>
            </w:r>
          </w:p>
        </w:tc>
        <w:tc>
          <w:tcPr>
            <w:tcW w:w="1127" w:type="dxa"/>
            <w:noWrap/>
            <w:hideMark/>
          </w:tcPr>
          <w:p w14:paraId="6BEDE63F"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$367.80</w:t>
            </w:r>
          </w:p>
        </w:tc>
        <w:tc>
          <w:tcPr>
            <w:tcW w:w="1026" w:type="dxa"/>
            <w:noWrap/>
            <w:hideMark/>
          </w:tcPr>
          <w:p w14:paraId="20A7008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$247.40</w:t>
            </w:r>
          </w:p>
        </w:tc>
        <w:tc>
          <w:tcPr>
            <w:tcW w:w="1127" w:type="dxa"/>
            <w:noWrap/>
            <w:hideMark/>
          </w:tcPr>
          <w:p w14:paraId="41CB84B8"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$480.80</w:t>
            </w:r>
          </w:p>
        </w:tc>
        <w:tc>
          <w:tcPr>
            <w:tcW w:w="1026" w:type="dxa"/>
            <w:noWrap/>
            <w:hideMark/>
          </w:tcPr>
          <w:p w14:paraId="37AF6C99"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$113.00</w:t>
            </w:r>
          </w:p>
        </w:tc>
        <w:tc>
          <w:tcPr>
            <w:tcW w:w="1123" w:type="dxa"/>
            <w:noWrap/>
            <w:hideMark/>
          </w:tcPr>
          <w:p w14:paraId="5FE5F6AE"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2.00%</w:t>
            </w:r>
          </w:p>
        </w:tc>
      </w:tr>
      <w:tr w:rsidR="00BE08F8" w:rsidRPr="00BE08F8" w14:paraId="06245798"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60C5A742" w14:textId="77777777" w:rsidR="00BE08F8" w:rsidRPr="000C54F8" w:rsidRDefault="00BE08F8" w:rsidP="00C6103A">
            <w:pPr>
              <w:pStyle w:val="TableofAuthorities"/>
              <w:rPr>
                <w:lang w:eastAsia="en-AU"/>
              </w:rPr>
            </w:pPr>
            <w:r w:rsidRPr="000C54F8">
              <w:rPr>
                <w:lang w:eastAsia="en-AU"/>
              </w:rPr>
              <w:t>Resident support</w:t>
            </w:r>
          </w:p>
        </w:tc>
        <w:tc>
          <w:tcPr>
            <w:tcW w:w="1127" w:type="dxa"/>
            <w:noWrap/>
            <w:hideMark/>
          </w:tcPr>
          <w:p w14:paraId="19AE6A3E" w14:textId="76FA3DD7" w:rsidR="00BE08F8" w:rsidRPr="000C54F8" w:rsidRDefault="00A812EB"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BE08F8" w:rsidRPr="000C54F8">
              <w:rPr>
                <w:lang w:eastAsia="en-AU"/>
              </w:rPr>
              <w:t>20</w:t>
            </w:r>
            <w:r>
              <w:rPr>
                <w:lang w:eastAsia="en-AU"/>
              </w:rPr>
              <w:t>.00</w:t>
            </w:r>
          </w:p>
        </w:tc>
        <w:tc>
          <w:tcPr>
            <w:tcW w:w="1127" w:type="dxa"/>
            <w:noWrap/>
            <w:hideMark/>
          </w:tcPr>
          <w:p w14:paraId="532E892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$34.90</w:t>
            </w:r>
          </w:p>
        </w:tc>
        <w:tc>
          <w:tcPr>
            <w:tcW w:w="1026" w:type="dxa"/>
            <w:noWrap/>
            <w:hideMark/>
          </w:tcPr>
          <w:p w14:paraId="3B5001E5"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$14.70</w:t>
            </w:r>
          </w:p>
        </w:tc>
        <w:tc>
          <w:tcPr>
            <w:tcW w:w="1127" w:type="dxa"/>
            <w:noWrap/>
            <w:hideMark/>
          </w:tcPr>
          <w:p w14:paraId="0765838A"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$36.20</w:t>
            </w:r>
          </w:p>
        </w:tc>
        <w:tc>
          <w:tcPr>
            <w:tcW w:w="1026" w:type="dxa"/>
            <w:noWrap/>
            <w:hideMark/>
          </w:tcPr>
          <w:p w14:paraId="5C73F456"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$1.40</w:t>
            </w:r>
          </w:p>
        </w:tc>
        <w:tc>
          <w:tcPr>
            <w:tcW w:w="1123" w:type="dxa"/>
            <w:noWrap/>
            <w:hideMark/>
          </w:tcPr>
          <w:p w14:paraId="677171B7"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0.10%</w:t>
            </w:r>
          </w:p>
        </w:tc>
      </w:tr>
      <w:tr w:rsidR="00BE08F8" w:rsidRPr="00BE08F8" w14:paraId="31A7EF5D"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3B411B17" w14:textId="77777777" w:rsidR="00BE08F8" w:rsidRPr="000C54F8" w:rsidRDefault="00BE08F8" w:rsidP="00C6103A">
            <w:pPr>
              <w:pStyle w:val="TableofAuthorities"/>
              <w:rPr>
                <w:lang w:eastAsia="en-AU"/>
              </w:rPr>
            </w:pPr>
            <w:r w:rsidRPr="000C54F8">
              <w:rPr>
                <w:lang w:eastAsia="en-AU"/>
              </w:rPr>
              <w:t>Preventative measures</w:t>
            </w:r>
          </w:p>
        </w:tc>
        <w:tc>
          <w:tcPr>
            <w:tcW w:w="1127" w:type="dxa"/>
            <w:noWrap/>
            <w:hideMark/>
          </w:tcPr>
          <w:p w14:paraId="4BB91606" w14:textId="7186364A" w:rsidR="00BE08F8" w:rsidRPr="000C54F8" w:rsidRDefault="00A812EB"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BE08F8" w:rsidRPr="000C54F8">
              <w:rPr>
                <w:lang w:eastAsia="en-AU"/>
              </w:rPr>
              <w:t>53</w:t>
            </w:r>
            <w:r>
              <w:rPr>
                <w:lang w:eastAsia="en-AU"/>
              </w:rPr>
              <w:t>.00</w:t>
            </w:r>
          </w:p>
        </w:tc>
        <w:tc>
          <w:tcPr>
            <w:tcW w:w="1127" w:type="dxa"/>
            <w:noWrap/>
            <w:hideMark/>
          </w:tcPr>
          <w:p w14:paraId="168EC7C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$164.80</w:t>
            </w:r>
          </w:p>
        </w:tc>
        <w:tc>
          <w:tcPr>
            <w:tcW w:w="1026" w:type="dxa"/>
            <w:noWrap/>
            <w:hideMark/>
          </w:tcPr>
          <w:p w14:paraId="7E9246A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$111.60</w:t>
            </w:r>
          </w:p>
        </w:tc>
        <w:tc>
          <w:tcPr>
            <w:tcW w:w="1127" w:type="dxa"/>
            <w:noWrap/>
            <w:hideMark/>
          </w:tcPr>
          <w:p w14:paraId="4CAE3596"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$208.90</w:t>
            </w:r>
          </w:p>
        </w:tc>
        <w:tc>
          <w:tcPr>
            <w:tcW w:w="1026" w:type="dxa"/>
            <w:noWrap/>
            <w:hideMark/>
          </w:tcPr>
          <w:p w14:paraId="524A942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$44.10</w:t>
            </w:r>
          </w:p>
        </w:tc>
        <w:tc>
          <w:tcPr>
            <w:tcW w:w="1123" w:type="dxa"/>
            <w:noWrap/>
            <w:hideMark/>
          </w:tcPr>
          <w:p w14:paraId="1221B1A0"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0.90%</w:t>
            </w:r>
          </w:p>
        </w:tc>
      </w:tr>
      <w:tr w:rsidR="00BE08F8" w:rsidRPr="00BE08F8" w14:paraId="633CA99A"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12968B05" w14:textId="77777777" w:rsidR="00BE08F8" w:rsidRPr="000C54F8" w:rsidRDefault="00BE08F8" w:rsidP="00C6103A">
            <w:pPr>
              <w:pStyle w:val="TableofAuthorities"/>
              <w:rPr>
                <w:lang w:eastAsia="en-AU"/>
              </w:rPr>
            </w:pPr>
            <w:r w:rsidRPr="000C54F8">
              <w:rPr>
                <w:lang w:eastAsia="en-AU"/>
              </w:rPr>
              <w:t>Other expenses</w:t>
            </w:r>
          </w:p>
        </w:tc>
        <w:tc>
          <w:tcPr>
            <w:tcW w:w="1127" w:type="dxa"/>
            <w:noWrap/>
            <w:hideMark/>
          </w:tcPr>
          <w:p w14:paraId="345FF631" w14:textId="25F172C6" w:rsidR="00BE08F8" w:rsidRPr="000C54F8" w:rsidRDefault="00A812EB"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BE08F8" w:rsidRPr="000C54F8">
              <w:rPr>
                <w:lang w:eastAsia="en-AU"/>
              </w:rPr>
              <w:t>13</w:t>
            </w:r>
            <w:r>
              <w:rPr>
                <w:lang w:eastAsia="en-AU"/>
              </w:rPr>
              <w:t>.00</w:t>
            </w:r>
          </w:p>
        </w:tc>
        <w:tc>
          <w:tcPr>
            <w:tcW w:w="1127" w:type="dxa"/>
            <w:noWrap/>
            <w:hideMark/>
          </w:tcPr>
          <w:p w14:paraId="60747231"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$13.30</w:t>
            </w:r>
          </w:p>
        </w:tc>
        <w:tc>
          <w:tcPr>
            <w:tcW w:w="1026" w:type="dxa"/>
            <w:noWrap/>
            <w:hideMark/>
          </w:tcPr>
          <w:p w14:paraId="6E4DAB13" w14:textId="62FC91D9"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$0.10</w:t>
            </w:r>
            <w:r w:rsidRPr="000C54F8">
              <w:rPr>
                <w:lang w:eastAsia="en-AU"/>
              </w:rPr>
              <w:t>)</w:t>
            </w:r>
          </w:p>
        </w:tc>
        <w:tc>
          <w:tcPr>
            <w:tcW w:w="1127" w:type="dxa"/>
            <w:noWrap/>
            <w:hideMark/>
          </w:tcPr>
          <w:p w14:paraId="34A8D99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$17.50</w:t>
            </w:r>
          </w:p>
        </w:tc>
        <w:tc>
          <w:tcPr>
            <w:tcW w:w="1026" w:type="dxa"/>
            <w:noWrap/>
            <w:hideMark/>
          </w:tcPr>
          <w:p w14:paraId="4CB10A1E"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$4.20</w:t>
            </w:r>
          </w:p>
        </w:tc>
        <w:tc>
          <w:tcPr>
            <w:tcW w:w="1123" w:type="dxa"/>
            <w:noWrap/>
            <w:hideMark/>
          </w:tcPr>
          <w:p w14:paraId="3EDDEF9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0.10%</w:t>
            </w:r>
          </w:p>
        </w:tc>
      </w:tr>
      <w:tr w:rsidR="00BE08F8" w:rsidRPr="00BE08F8" w14:paraId="3752F847"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29435290" w14:textId="77777777" w:rsidR="00BE08F8" w:rsidRPr="000C54F8" w:rsidRDefault="00BE08F8" w:rsidP="00C6103A">
            <w:pPr>
              <w:pStyle w:val="TableParagraphbold"/>
              <w:rPr>
                <w:lang w:eastAsia="en-AU"/>
              </w:rPr>
            </w:pPr>
            <w:r w:rsidRPr="000C54F8">
              <w:rPr>
                <w:lang w:eastAsia="en-AU"/>
              </w:rPr>
              <w:t>Total COVID-19 expenses</w:t>
            </w:r>
          </w:p>
        </w:tc>
        <w:tc>
          <w:tcPr>
            <w:tcW w:w="1127" w:type="dxa"/>
            <w:shd w:val="clear" w:color="auto" w:fill="D8DBDB" w:themeFill="background2" w:themeFillShade="E6"/>
            <w:noWrap/>
            <w:hideMark/>
          </w:tcPr>
          <w:p w14:paraId="16C31B15" w14:textId="492215B0" w:rsidR="00BE08F8" w:rsidRPr="000C54F8" w:rsidRDefault="00A812EB"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BE08F8" w:rsidRPr="000C54F8">
              <w:rPr>
                <w:lang w:eastAsia="en-AU"/>
              </w:rPr>
              <w:t>207</w:t>
            </w:r>
          </w:p>
        </w:tc>
        <w:tc>
          <w:tcPr>
            <w:tcW w:w="1127" w:type="dxa"/>
            <w:shd w:val="clear" w:color="auto" w:fill="D8DBDB" w:themeFill="background2" w:themeFillShade="E6"/>
            <w:noWrap/>
            <w:hideMark/>
          </w:tcPr>
          <w:p w14:paraId="55F2B404"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$580.80</w:t>
            </w:r>
          </w:p>
        </w:tc>
        <w:tc>
          <w:tcPr>
            <w:tcW w:w="1026" w:type="dxa"/>
            <w:shd w:val="clear" w:color="auto" w:fill="D8DBDB" w:themeFill="background2" w:themeFillShade="E6"/>
            <w:noWrap/>
            <w:hideMark/>
          </w:tcPr>
          <w:p w14:paraId="5AF0F0EB"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$373.60</w:t>
            </w:r>
          </w:p>
        </w:tc>
        <w:tc>
          <w:tcPr>
            <w:tcW w:w="1127" w:type="dxa"/>
            <w:shd w:val="clear" w:color="auto" w:fill="D8DBDB" w:themeFill="background2" w:themeFillShade="E6"/>
            <w:noWrap/>
            <w:hideMark/>
          </w:tcPr>
          <w:p w14:paraId="68573DB0"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$743.50</w:t>
            </w:r>
          </w:p>
        </w:tc>
        <w:tc>
          <w:tcPr>
            <w:tcW w:w="1026" w:type="dxa"/>
            <w:shd w:val="clear" w:color="auto" w:fill="D8DBDB" w:themeFill="background2" w:themeFillShade="E6"/>
            <w:noWrap/>
            <w:hideMark/>
          </w:tcPr>
          <w:p w14:paraId="75E66C5D"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$162.60</w:t>
            </w:r>
          </w:p>
        </w:tc>
        <w:tc>
          <w:tcPr>
            <w:tcW w:w="1123" w:type="dxa"/>
            <w:shd w:val="clear" w:color="auto" w:fill="D8DBDB" w:themeFill="background2" w:themeFillShade="E6"/>
            <w:noWrap/>
            <w:hideMark/>
          </w:tcPr>
          <w:p w14:paraId="23D82D6A"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3.10%</w:t>
            </w:r>
          </w:p>
        </w:tc>
      </w:tr>
      <w:tr w:rsidR="00BE08F8" w:rsidRPr="00BE08F8" w14:paraId="1975DFB6"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050B7B30" w14:textId="77777777" w:rsidR="00BE08F8" w:rsidRPr="000C54F8" w:rsidRDefault="00BE08F8" w:rsidP="00C6103A">
            <w:pPr>
              <w:pStyle w:val="TableParagraphbold"/>
              <w:rPr>
                <w:lang w:eastAsia="en-AU"/>
              </w:rPr>
            </w:pPr>
            <w:r w:rsidRPr="000C54F8">
              <w:rPr>
                <w:lang w:eastAsia="en-AU"/>
              </w:rPr>
              <w:t>Other</w:t>
            </w:r>
          </w:p>
        </w:tc>
        <w:tc>
          <w:tcPr>
            <w:tcW w:w="1127" w:type="dxa"/>
            <w:shd w:val="clear" w:color="auto" w:fill="D8DBDB" w:themeFill="background2" w:themeFillShade="E6"/>
            <w:noWrap/>
            <w:hideMark/>
          </w:tcPr>
          <w:p w14:paraId="2481872D"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182B9FAB"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hideMark/>
          </w:tcPr>
          <w:p w14:paraId="5C992030"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7" w:type="dxa"/>
            <w:shd w:val="clear" w:color="auto" w:fill="D8DBDB" w:themeFill="background2" w:themeFillShade="E6"/>
            <w:noWrap/>
            <w:hideMark/>
          </w:tcPr>
          <w:p w14:paraId="7974ACB2"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026" w:type="dxa"/>
            <w:shd w:val="clear" w:color="auto" w:fill="D8DBDB" w:themeFill="background2" w:themeFillShade="E6"/>
            <w:noWrap/>
            <w:hideMark/>
          </w:tcPr>
          <w:p w14:paraId="0C123203"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c>
          <w:tcPr>
            <w:tcW w:w="1123" w:type="dxa"/>
            <w:shd w:val="clear" w:color="auto" w:fill="D8DBDB" w:themeFill="background2" w:themeFillShade="E6"/>
            <w:noWrap/>
            <w:hideMark/>
          </w:tcPr>
          <w:p w14:paraId="31154E9E"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 </w:t>
            </w:r>
          </w:p>
        </w:tc>
      </w:tr>
      <w:tr w:rsidR="00BE08F8" w:rsidRPr="00BE08F8" w14:paraId="5504FF1D"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5A141A90" w14:textId="77777777" w:rsidR="00BE08F8" w:rsidRPr="000C54F8" w:rsidRDefault="00BE08F8" w:rsidP="00C6103A">
            <w:pPr>
              <w:pStyle w:val="TableofAuthorities"/>
              <w:rPr>
                <w:lang w:eastAsia="en-AU"/>
              </w:rPr>
            </w:pPr>
            <w:r w:rsidRPr="000C54F8">
              <w:rPr>
                <w:lang w:eastAsia="en-AU"/>
              </w:rPr>
              <w:t>Revaluation of assets (decrease)/Impairment</w:t>
            </w:r>
          </w:p>
        </w:tc>
        <w:tc>
          <w:tcPr>
            <w:tcW w:w="1127" w:type="dxa"/>
            <w:noWrap/>
            <w:hideMark/>
          </w:tcPr>
          <w:p w14:paraId="504BF129"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$351.60</w:t>
            </w:r>
          </w:p>
        </w:tc>
        <w:tc>
          <w:tcPr>
            <w:tcW w:w="1127" w:type="dxa"/>
            <w:noWrap/>
            <w:hideMark/>
          </w:tcPr>
          <w:p w14:paraId="0C6F8C7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$383.00</w:t>
            </w:r>
          </w:p>
        </w:tc>
        <w:tc>
          <w:tcPr>
            <w:tcW w:w="1026" w:type="dxa"/>
            <w:hideMark/>
          </w:tcPr>
          <w:p w14:paraId="2E6D3BAD"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$31.40</w:t>
            </w:r>
          </w:p>
        </w:tc>
        <w:tc>
          <w:tcPr>
            <w:tcW w:w="1127" w:type="dxa"/>
            <w:noWrap/>
            <w:hideMark/>
          </w:tcPr>
          <w:p w14:paraId="2F973264"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$194.00</w:t>
            </w:r>
          </w:p>
        </w:tc>
        <w:tc>
          <w:tcPr>
            <w:tcW w:w="1026" w:type="dxa"/>
            <w:noWrap/>
            <w:hideMark/>
          </w:tcPr>
          <w:p w14:paraId="5674F84C" w14:textId="281F43AE"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$189.00</w:t>
            </w:r>
            <w:r w:rsidRPr="000C54F8">
              <w:rPr>
                <w:lang w:eastAsia="en-AU"/>
              </w:rPr>
              <w:t>)</w:t>
            </w:r>
          </w:p>
        </w:tc>
        <w:tc>
          <w:tcPr>
            <w:tcW w:w="1123" w:type="dxa"/>
            <w:noWrap/>
            <w:hideMark/>
          </w:tcPr>
          <w:p w14:paraId="606670DF"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0.80%</w:t>
            </w:r>
          </w:p>
        </w:tc>
      </w:tr>
      <w:tr w:rsidR="00BE08F8" w:rsidRPr="00BE08F8" w14:paraId="2441ABD5"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3BBBEF26" w14:textId="77777777" w:rsidR="00BE08F8" w:rsidRPr="000C54F8" w:rsidRDefault="00BE08F8" w:rsidP="00C6103A">
            <w:pPr>
              <w:pStyle w:val="TableofAuthorities"/>
              <w:rPr>
                <w:lang w:eastAsia="en-AU"/>
              </w:rPr>
            </w:pPr>
            <w:r w:rsidRPr="000C54F8">
              <w:rPr>
                <w:lang w:eastAsia="en-AU"/>
              </w:rPr>
              <w:t>Loss on sale of assets</w:t>
            </w:r>
          </w:p>
        </w:tc>
        <w:tc>
          <w:tcPr>
            <w:tcW w:w="1127" w:type="dxa"/>
            <w:noWrap/>
            <w:hideMark/>
          </w:tcPr>
          <w:p w14:paraId="33D2690F"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$17.50</w:t>
            </w:r>
          </w:p>
        </w:tc>
        <w:tc>
          <w:tcPr>
            <w:tcW w:w="1127" w:type="dxa"/>
            <w:noWrap/>
            <w:hideMark/>
          </w:tcPr>
          <w:p w14:paraId="2A153FA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$25.50</w:t>
            </w:r>
          </w:p>
        </w:tc>
        <w:tc>
          <w:tcPr>
            <w:tcW w:w="1026" w:type="dxa"/>
            <w:hideMark/>
          </w:tcPr>
          <w:p w14:paraId="0C372C3B"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$8.00</w:t>
            </w:r>
          </w:p>
        </w:tc>
        <w:tc>
          <w:tcPr>
            <w:tcW w:w="1127" w:type="dxa"/>
            <w:noWrap/>
            <w:hideMark/>
          </w:tcPr>
          <w:p w14:paraId="3BA8890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$17.20</w:t>
            </w:r>
          </w:p>
        </w:tc>
        <w:tc>
          <w:tcPr>
            <w:tcW w:w="1026" w:type="dxa"/>
            <w:noWrap/>
            <w:hideMark/>
          </w:tcPr>
          <w:p w14:paraId="4B9CE6B2" w14:textId="5DDFA252"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$8.30</w:t>
            </w:r>
            <w:r w:rsidRPr="000C54F8">
              <w:rPr>
                <w:lang w:eastAsia="en-AU"/>
              </w:rPr>
              <w:t>)</w:t>
            </w:r>
          </w:p>
        </w:tc>
        <w:tc>
          <w:tcPr>
            <w:tcW w:w="1123" w:type="dxa"/>
            <w:noWrap/>
            <w:hideMark/>
          </w:tcPr>
          <w:p w14:paraId="5D4B13C1"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0.10%</w:t>
            </w:r>
          </w:p>
        </w:tc>
      </w:tr>
      <w:tr w:rsidR="00BE08F8" w:rsidRPr="00BE08F8" w14:paraId="64AEB2A6"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0669C042" w14:textId="3B10A8E3" w:rsidR="00BE08F8" w:rsidRPr="000C54F8" w:rsidRDefault="00BE08F8" w:rsidP="00C6103A">
            <w:pPr>
              <w:pStyle w:val="TableofAuthorities"/>
              <w:rPr>
                <w:lang w:eastAsia="en-AU"/>
              </w:rPr>
            </w:pPr>
            <w:r w:rsidRPr="000C54F8">
              <w:rPr>
                <w:lang w:eastAsia="en-AU"/>
              </w:rPr>
              <w:t xml:space="preserve">Imputed </w:t>
            </w:r>
            <w:r w:rsidR="003E4717">
              <w:rPr>
                <w:lang w:eastAsia="en-AU"/>
              </w:rPr>
              <w:t>i</w:t>
            </w:r>
            <w:r w:rsidRPr="000C54F8">
              <w:rPr>
                <w:lang w:eastAsia="en-AU"/>
              </w:rPr>
              <w:t xml:space="preserve">nterest </w:t>
            </w:r>
            <w:r w:rsidR="003E4717">
              <w:rPr>
                <w:lang w:eastAsia="en-AU"/>
              </w:rPr>
              <w:t>e</w:t>
            </w:r>
            <w:r w:rsidRPr="000C54F8">
              <w:rPr>
                <w:lang w:eastAsia="en-AU"/>
              </w:rPr>
              <w:t xml:space="preserve">xpenses on RADs - AASB 16 </w:t>
            </w:r>
            <w:r w:rsidR="003E4717">
              <w:rPr>
                <w:lang w:eastAsia="en-AU"/>
              </w:rPr>
              <w:t>l</w:t>
            </w:r>
            <w:r w:rsidRPr="000C54F8">
              <w:rPr>
                <w:lang w:eastAsia="en-AU"/>
              </w:rPr>
              <w:t xml:space="preserve">eases </w:t>
            </w:r>
            <w:r w:rsidR="009373A6">
              <w:rPr>
                <w:lang w:eastAsia="en-AU"/>
              </w:rPr>
              <w:t>(v)</w:t>
            </w:r>
          </w:p>
        </w:tc>
        <w:tc>
          <w:tcPr>
            <w:tcW w:w="1127" w:type="dxa"/>
            <w:noWrap/>
            <w:hideMark/>
          </w:tcPr>
          <w:p w14:paraId="22014818" w14:textId="18012BAA" w:rsidR="00BE08F8" w:rsidRPr="000C54F8" w:rsidRDefault="00A812EB"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Pr>
                <w:lang w:eastAsia="en-AU"/>
              </w:rPr>
              <w:t>$</w:t>
            </w:r>
            <w:r w:rsidR="00BE08F8" w:rsidRPr="000C54F8">
              <w:rPr>
                <w:lang w:eastAsia="en-AU"/>
              </w:rPr>
              <w:t>561</w:t>
            </w:r>
            <w:r>
              <w:rPr>
                <w:lang w:eastAsia="en-AU"/>
              </w:rPr>
              <w:t>.00</w:t>
            </w:r>
          </w:p>
        </w:tc>
        <w:tc>
          <w:tcPr>
            <w:tcW w:w="1127" w:type="dxa"/>
            <w:noWrap/>
            <w:hideMark/>
          </w:tcPr>
          <w:p w14:paraId="2637895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$483.80</w:t>
            </w:r>
          </w:p>
        </w:tc>
        <w:tc>
          <w:tcPr>
            <w:tcW w:w="1026" w:type="dxa"/>
            <w:noWrap/>
            <w:hideMark/>
          </w:tcPr>
          <w:p w14:paraId="3B9C0F5E" w14:textId="754AFA93"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$77.20</w:t>
            </w:r>
            <w:r w:rsidRPr="000C54F8">
              <w:rPr>
                <w:lang w:eastAsia="en-AU"/>
              </w:rPr>
              <w:t>)</w:t>
            </w:r>
          </w:p>
        </w:tc>
        <w:tc>
          <w:tcPr>
            <w:tcW w:w="1127" w:type="dxa"/>
            <w:noWrap/>
            <w:hideMark/>
          </w:tcPr>
          <w:p w14:paraId="6D06574C"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$550.10</w:t>
            </w:r>
          </w:p>
        </w:tc>
        <w:tc>
          <w:tcPr>
            <w:tcW w:w="1026" w:type="dxa"/>
            <w:noWrap/>
            <w:hideMark/>
          </w:tcPr>
          <w:p w14:paraId="274FE9C2"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$66.30</w:t>
            </w:r>
          </w:p>
        </w:tc>
        <w:tc>
          <w:tcPr>
            <w:tcW w:w="1123" w:type="dxa"/>
            <w:noWrap/>
            <w:hideMark/>
          </w:tcPr>
          <w:p w14:paraId="3FC787BA"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2.30%</w:t>
            </w:r>
          </w:p>
        </w:tc>
      </w:tr>
      <w:tr w:rsidR="00BE08F8" w:rsidRPr="00BE08F8" w14:paraId="272D2460"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noWrap/>
            <w:hideMark/>
          </w:tcPr>
          <w:p w14:paraId="1D088078" w14:textId="7A84C9CB" w:rsidR="00BE08F8" w:rsidRPr="000C54F8" w:rsidRDefault="00BE08F8" w:rsidP="00C6103A">
            <w:pPr>
              <w:pStyle w:val="TableofAuthorities"/>
              <w:rPr>
                <w:lang w:eastAsia="en-AU"/>
              </w:rPr>
            </w:pPr>
            <w:r w:rsidRPr="000C54F8">
              <w:rPr>
                <w:lang w:eastAsia="en-AU"/>
              </w:rPr>
              <w:t>Other</w:t>
            </w:r>
          </w:p>
        </w:tc>
        <w:tc>
          <w:tcPr>
            <w:tcW w:w="1127" w:type="dxa"/>
            <w:noWrap/>
            <w:hideMark/>
          </w:tcPr>
          <w:p w14:paraId="6A35403A"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$214.20</w:t>
            </w:r>
          </w:p>
        </w:tc>
        <w:tc>
          <w:tcPr>
            <w:tcW w:w="1127" w:type="dxa"/>
            <w:noWrap/>
            <w:hideMark/>
          </w:tcPr>
          <w:p w14:paraId="17EDD999"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$90.70</w:t>
            </w:r>
          </w:p>
        </w:tc>
        <w:tc>
          <w:tcPr>
            <w:tcW w:w="1026" w:type="dxa"/>
            <w:hideMark/>
          </w:tcPr>
          <w:p w14:paraId="1AC184F9" w14:textId="15749FCB" w:rsidR="00BE08F8" w:rsidRPr="000C54F8" w:rsidRDefault="00010E61"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w:t>
            </w:r>
            <w:r w:rsidR="00BE08F8" w:rsidRPr="000C54F8">
              <w:rPr>
                <w:lang w:eastAsia="en-AU"/>
              </w:rPr>
              <w:t>$123.50</w:t>
            </w:r>
            <w:r w:rsidRPr="000C54F8">
              <w:rPr>
                <w:lang w:eastAsia="en-AU"/>
              </w:rPr>
              <w:t>)</w:t>
            </w:r>
          </w:p>
        </w:tc>
        <w:tc>
          <w:tcPr>
            <w:tcW w:w="1127" w:type="dxa"/>
            <w:noWrap/>
            <w:hideMark/>
          </w:tcPr>
          <w:p w14:paraId="0D16F563"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$114.50</w:t>
            </w:r>
          </w:p>
        </w:tc>
        <w:tc>
          <w:tcPr>
            <w:tcW w:w="1026" w:type="dxa"/>
            <w:noWrap/>
            <w:hideMark/>
          </w:tcPr>
          <w:p w14:paraId="44D0A1E5"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$23.80</w:t>
            </w:r>
          </w:p>
        </w:tc>
        <w:tc>
          <w:tcPr>
            <w:tcW w:w="1123" w:type="dxa"/>
            <w:noWrap/>
            <w:hideMark/>
          </w:tcPr>
          <w:p w14:paraId="12DF9A3F" w14:textId="77777777" w:rsidR="00BE08F8" w:rsidRPr="000C54F8" w:rsidRDefault="00BE08F8" w:rsidP="00C6103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0.50%</w:t>
            </w:r>
          </w:p>
        </w:tc>
      </w:tr>
      <w:tr w:rsidR="00BE08F8" w:rsidRPr="00BE08F8" w14:paraId="7818E058"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09D94747" w14:textId="77777777" w:rsidR="00BE08F8" w:rsidRPr="000C54F8" w:rsidRDefault="00BE08F8" w:rsidP="00C6103A">
            <w:pPr>
              <w:pStyle w:val="TableParagraphbold"/>
              <w:rPr>
                <w:lang w:eastAsia="en-AU"/>
              </w:rPr>
            </w:pPr>
            <w:r w:rsidRPr="000C54F8">
              <w:rPr>
                <w:lang w:eastAsia="en-AU"/>
              </w:rPr>
              <w:t>Total other expenses</w:t>
            </w:r>
          </w:p>
        </w:tc>
        <w:tc>
          <w:tcPr>
            <w:tcW w:w="1127" w:type="dxa"/>
            <w:shd w:val="clear" w:color="auto" w:fill="D8DBDB" w:themeFill="background2" w:themeFillShade="E6"/>
            <w:noWrap/>
            <w:hideMark/>
          </w:tcPr>
          <w:p w14:paraId="6F901E72"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$1,144.30</w:t>
            </w:r>
          </w:p>
        </w:tc>
        <w:tc>
          <w:tcPr>
            <w:tcW w:w="1127" w:type="dxa"/>
            <w:shd w:val="clear" w:color="auto" w:fill="D8DBDB" w:themeFill="background2" w:themeFillShade="E6"/>
            <w:noWrap/>
            <w:hideMark/>
          </w:tcPr>
          <w:p w14:paraId="06ECE956"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$983.00</w:t>
            </w:r>
          </w:p>
        </w:tc>
        <w:tc>
          <w:tcPr>
            <w:tcW w:w="1026" w:type="dxa"/>
            <w:shd w:val="clear" w:color="auto" w:fill="D8DBDB" w:themeFill="background2" w:themeFillShade="E6"/>
            <w:hideMark/>
          </w:tcPr>
          <w:p w14:paraId="49C04DB3" w14:textId="7B53B27E" w:rsidR="00BE08F8" w:rsidRPr="000C54F8" w:rsidRDefault="00E944F1"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bCs/>
                <w:lang w:eastAsia="en-AU"/>
              </w:rPr>
              <w:t>(</w:t>
            </w:r>
            <w:r w:rsidR="00BE08F8" w:rsidRPr="000C54F8">
              <w:rPr>
                <w:bCs/>
                <w:lang w:eastAsia="en-AU"/>
              </w:rPr>
              <w:t>$</w:t>
            </w:r>
            <w:r w:rsidR="00BE08F8" w:rsidRPr="000C54F8">
              <w:rPr>
                <w:lang w:eastAsia="en-AU"/>
              </w:rPr>
              <w:t>161.30</w:t>
            </w:r>
            <w:r w:rsidRPr="000C54F8">
              <w:rPr>
                <w:bCs/>
                <w:lang w:eastAsia="en-AU"/>
              </w:rPr>
              <w:t>)</w:t>
            </w:r>
          </w:p>
        </w:tc>
        <w:tc>
          <w:tcPr>
            <w:tcW w:w="1127" w:type="dxa"/>
            <w:shd w:val="clear" w:color="auto" w:fill="D8DBDB" w:themeFill="background2" w:themeFillShade="E6"/>
            <w:noWrap/>
            <w:hideMark/>
          </w:tcPr>
          <w:p w14:paraId="7171B47A"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$875.80</w:t>
            </w:r>
          </w:p>
        </w:tc>
        <w:tc>
          <w:tcPr>
            <w:tcW w:w="1026" w:type="dxa"/>
            <w:shd w:val="clear" w:color="auto" w:fill="D8DBDB" w:themeFill="background2" w:themeFillShade="E6"/>
            <w:noWrap/>
            <w:hideMark/>
          </w:tcPr>
          <w:p w14:paraId="32258E1A" w14:textId="59B2551C" w:rsidR="00BE08F8" w:rsidRPr="000C54F8" w:rsidRDefault="00E944F1"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bCs/>
                <w:lang w:eastAsia="en-AU"/>
              </w:rPr>
              <w:t>(</w:t>
            </w:r>
            <w:r w:rsidR="00BE08F8" w:rsidRPr="000C54F8">
              <w:rPr>
                <w:bCs/>
                <w:lang w:eastAsia="en-AU"/>
              </w:rPr>
              <w:t>$</w:t>
            </w:r>
            <w:r w:rsidR="00BE08F8" w:rsidRPr="000C54F8">
              <w:rPr>
                <w:lang w:eastAsia="en-AU"/>
              </w:rPr>
              <w:t>107.20</w:t>
            </w:r>
            <w:r w:rsidR="00010E61" w:rsidRPr="000C54F8">
              <w:rPr>
                <w:bCs/>
                <w:lang w:eastAsia="en-AU"/>
              </w:rPr>
              <w:t>)</w:t>
            </w:r>
          </w:p>
        </w:tc>
        <w:tc>
          <w:tcPr>
            <w:tcW w:w="1123" w:type="dxa"/>
            <w:shd w:val="clear" w:color="auto" w:fill="D8DBDB" w:themeFill="background2" w:themeFillShade="E6"/>
            <w:noWrap/>
            <w:hideMark/>
          </w:tcPr>
          <w:p w14:paraId="65C956EE"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3.60%</w:t>
            </w:r>
          </w:p>
        </w:tc>
      </w:tr>
      <w:tr w:rsidR="00BE08F8" w:rsidRPr="00BE08F8" w14:paraId="2CEA873F" w14:textId="77777777" w:rsidTr="00701AAB">
        <w:trPr>
          <w:trHeight w:val="399"/>
        </w:trPr>
        <w:tc>
          <w:tcPr>
            <w:cnfStyle w:val="001000000000" w:firstRow="0" w:lastRow="0" w:firstColumn="1" w:lastColumn="0" w:oddVBand="0" w:evenVBand="0" w:oddHBand="0" w:evenHBand="0" w:firstRowFirstColumn="0" w:firstRowLastColumn="0" w:lastRowFirstColumn="0" w:lastRowLastColumn="0"/>
            <w:tcW w:w="2658" w:type="dxa"/>
            <w:shd w:val="clear" w:color="auto" w:fill="D8DBDB" w:themeFill="background2" w:themeFillShade="E6"/>
            <w:noWrap/>
            <w:hideMark/>
          </w:tcPr>
          <w:p w14:paraId="6D6381C8" w14:textId="77777777" w:rsidR="00BE08F8" w:rsidRPr="000C54F8" w:rsidRDefault="00BE08F8" w:rsidP="00C6103A">
            <w:pPr>
              <w:pStyle w:val="TableParagraphbold"/>
              <w:rPr>
                <w:lang w:eastAsia="en-AU"/>
              </w:rPr>
            </w:pPr>
            <w:r w:rsidRPr="000C54F8">
              <w:rPr>
                <w:lang w:eastAsia="en-AU"/>
              </w:rPr>
              <w:t>Total expenses</w:t>
            </w:r>
          </w:p>
        </w:tc>
        <w:tc>
          <w:tcPr>
            <w:tcW w:w="1127" w:type="dxa"/>
            <w:shd w:val="clear" w:color="auto" w:fill="D8DBDB" w:themeFill="background2" w:themeFillShade="E6"/>
            <w:noWrap/>
            <w:hideMark/>
          </w:tcPr>
          <w:p w14:paraId="1D76D290"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$21,272.90</w:t>
            </w:r>
          </w:p>
        </w:tc>
        <w:tc>
          <w:tcPr>
            <w:tcW w:w="1127" w:type="dxa"/>
            <w:shd w:val="clear" w:color="auto" w:fill="D8DBDB" w:themeFill="background2" w:themeFillShade="E6"/>
            <w:noWrap/>
            <w:hideMark/>
          </w:tcPr>
          <w:p w14:paraId="7278B05B"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$22,332.10</w:t>
            </w:r>
          </w:p>
        </w:tc>
        <w:tc>
          <w:tcPr>
            <w:tcW w:w="1026" w:type="dxa"/>
            <w:shd w:val="clear" w:color="auto" w:fill="D8DBDB" w:themeFill="background2" w:themeFillShade="E6"/>
            <w:noWrap/>
            <w:hideMark/>
          </w:tcPr>
          <w:p w14:paraId="1B128F4B"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$1,059.20</w:t>
            </w:r>
          </w:p>
        </w:tc>
        <w:tc>
          <w:tcPr>
            <w:tcW w:w="1127" w:type="dxa"/>
            <w:shd w:val="clear" w:color="auto" w:fill="D8DBDB" w:themeFill="background2" w:themeFillShade="E6"/>
            <w:noWrap/>
            <w:hideMark/>
          </w:tcPr>
          <w:p w14:paraId="320FEA04"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$24,338.60</w:t>
            </w:r>
          </w:p>
        </w:tc>
        <w:tc>
          <w:tcPr>
            <w:tcW w:w="1026" w:type="dxa"/>
            <w:shd w:val="clear" w:color="auto" w:fill="D8DBDB" w:themeFill="background2" w:themeFillShade="E6"/>
            <w:noWrap/>
            <w:hideMark/>
          </w:tcPr>
          <w:p w14:paraId="27917704" w14:textId="77777777"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$2,006.50</w:t>
            </w:r>
          </w:p>
        </w:tc>
        <w:tc>
          <w:tcPr>
            <w:tcW w:w="1123" w:type="dxa"/>
            <w:shd w:val="clear" w:color="auto" w:fill="D8DBDB" w:themeFill="background2" w:themeFillShade="E6"/>
            <w:noWrap/>
            <w:hideMark/>
          </w:tcPr>
          <w:p w14:paraId="128FACF2" w14:textId="39876976" w:rsidR="00BE08F8" w:rsidRPr="000C54F8" w:rsidRDefault="00BE08F8" w:rsidP="00C6103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C54F8">
              <w:rPr>
                <w:lang w:eastAsia="en-AU"/>
              </w:rPr>
              <w:t>100.00%</w:t>
            </w:r>
          </w:p>
        </w:tc>
      </w:tr>
    </w:tbl>
    <w:p w14:paraId="0A7B52C1" w14:textId="36CF5BAF" w:rsidR="00A131EE" w:rsidRPr="00C53C58" w:rsidRDefault="00A131EE" w:rsidP="00FB50F3">
      <w:pPr>
        <w:pStyle w:val="FootnoteText"/>
      </w:pPr>
      <w:r w:rsidRPr="00C53C58">
        <w:lastRenderedPageBreak/>
        <w:t>Notes</w:t>
      </w:r>
      <w:r w:rsidR="00C53C58">
        <w:t>:</w:t>
      </w:r>
    </w:p>
    <w:p w14:paraId="07EC2B4B" w14:textId="11E74936" w:rsidR="00A131EE" w:rsidRPr="00C53C58" w:rsidRDefault="00A131EE" w:rsidP="00143EBD">
      <w:pPr>
        <w:pStyle w:val="Footnotetextlist"/>
        <w:numPr>
          <w:ilvl w:val="0"/>
          <w:numId w:val="17"/>
        </w:numPr>
      </w:pPr>
      <w:r w:rsidRPr="00C53C58">
        <w:t xml:space="preserve">Depreciation of right-of-use assets </w:t>
      </w:r>
      <w:r w:rsidR="00A83071">
        <w:t>was</w:t>
      </w:r>
      <w:r w:rsidRPr="00C53C58">
        <w:t xml:space="preserve"> reclassified to Rent in </w:t>
      </w:r>
      <w:r w:rsidR="005049D6">
        <w:t>2020-21 FY</w:t>
      </w:r>
      <w:r w:rsidRPr="00C53C58">
        <w:t>.</w:t>
      </w:r>
    </w:p>
    <w:p w14:paraId="5F1B2630" w14:textId="70F06020" w:rsidR="00A131EE" w:rsidRPr="00C53C58" w:rsidRDefault="00C53C58" w:rsidP="00FB50F3">
      <w:pPr>
        <w:pStyle w:val="Footnotetextlist"/>
      </w:pPr>
      <w:r w:rsidRPr="00C53C58">
        <w:t xml:space="preserve">Financing interest </w:t>
      </w:r>
      <w:r w:rsidR="00A83071">
        <w:t>was</w:t>
      </w:r>
      <w:r w:rsidR="00A83071" w:rsidRPr="00C53C58">
        <w:t xml:space="preserve"> </w:t>
      </w:r>
      <w:r w:rsidRPr="00C53C58">
        <w:t xml:space="preserve">reclassified to Accommodation &amp; Finance expense in </w:t>
      </w:r>
      <w:r w:rsidR="005049D6">
        <w:t>2021-22 FY</w:t>
      </w:r>
      <w:r w:rsidRPr="00C53C58">
        <w:t>.</w:t>
      </w:r>
    </w:p>
    <w:p w14:paraId="21BFAF9D" w14:textId="73FA2F23" w:rsidR="00C53C58" w:rsidRPr="00C53C58" w:rsidRDefault="00C53C58" w:rsidP="00FB50F3">
      <w:pPr>
        <w:pStyle w:val="Footnotetextlist"/>
      </w:pPr>
      <w:r w:rsidRPr="00C53C58">
        <w:t xml:space="preserve">Utilities expense </w:t>
      </w:r>
      <w:r w:rsidR="00A83071">
        <w:t xml:space="preserve">was </w:t>
      </w:r>
      <w:r w:rsidRPr="00C53C58">
        <w:t xml:space="preserve">separately collected &amp; reclassified from Accommodation expense to </w:t>
      </w:r>
      <w:proofErr w:type="gramStart"/>
      <w:r w:rsidRPr="00C53C58">
        <w:t>Hotel</w:t>
      </w:r>
      <w:proofErr w:type="gramEnd"/>
      <w:r w:rsidRPr="00C53C58">
        <w:t xml:space="preserve"> expense in </w:t>
      </w:r>
      <w:r w:rsidR="00EC1200">
        <w:t>2020-21</w:t>
      </w:r>
      <w:r w:rsidR="00B2299D">
        <w:t xml:space="preserve"> FY</w:t>
      </w:r>
      <w:r w:rsidRPr="00C53C58">
        <w:t>.</w:t>
      </w:r>
    </w:p>
    <w:p w14:paraId="607C3B5C" w14:textId="61B652B3" w:rsidR="00C53C58" w:rsidRPr="00C53C58" w:rsidRDefault="00C53C58" w:rsidP="00FB50F3">
      <w:pPr>
        <w:pStyle w:val="Footnotetextlist"/>
      </w:pPr>
      <w:r w:rsidRPr="00C53C58">
        <w:t>Management Fees include</w:t>
      </w:r>
      <w:r w:rsidR="00A83071">
        <w:t>d</w:t>
      </w:r>
      <w:r w:rsidRPr="00C53C58">
        <w:t xml:space="preserve"> head office </w:t>
      </w:r>
      <w:proofErr w:type="gramStart"/>
      <w:r w:rsidR="00A10659">
        <w:t>C</w:t>
      </w:r>
      <w:r w:rsidR="00D6009E" w:rsidRPr="00C53C58">
        <w:t>orporate</w:t>
      </w:r>
      <w:proofErr w:type="gramEnd"/>
      <w:r w:rsidRPr="00C53C58">
        <w:t xml:space="preserve"> recharge in FY20</w:t>
      </w:r>
      <w:r w:rsidR="003B5CDF">
        <w:t>20-21</w:t>
      </w:r>
      <w:r w:rsidRPr="00C53C58">
        <w:t xml:space="preserve"> and FY2021</w:t>
      </w:r>
      <w:r w:rsidR="003B5CDF">
        <w:t>-22</w:t>
      </w:r>
    </w:p>
    <w:p w14:paraId="2494F468" w14:textId="058FB673" w:rsidR="0009467A" w:rsidRPr="00C53C58" w:rsidRDefault="00CB4164" w:rsidP="00FB50F3">
      <w:pPr>
        <w:pStyle w:val="Footnotetextlist"/>
      </w:pPr>
      <w:r>
        <w:t>AASB 16 Leases, an accounting standard, requires leases to recognise most rental contracts on their balance sheets as right of use assets and corresponding lease liabilities.</w:t>
      </w:r>
    </w:p>
    <w:p w14:paraId="1A13394B" w14:textId="509690E5" w:rsidR="00523F4F" w:rsidRDefault="001536AE" w:rsidP="00523F4F">
      <w:bookmarkStart w:id="246" w:name="_Toc149245324"/>
      <w:r w:rsidRPr="00BA74DD">
        <w:rPr>
          <w:sz w:val="32"/>
          <w:szCs w:val="32"/>
        </w:rPr>
        <w:t>Operating performance</w:t>
      </w:r>
      <w:bookmarkEnd w:id="246"/>
    </w:p>
    <w:p w14:paraId="67A885C8" w14:textId="640263DD" w:rsidR="00B075B5" w:rsidRDefault="00523F4F" w:rsidP="00B075B5">
      <w:r>
        <w:t xml:space="preserve">Chart 3.7 </w:t>
      </w:r>
      <w:r w:rsidR="00B075B5">
        <w:t>shows</w:t>
      </w:r>
      <w:r w:rsidR="00B075B5">
        <w:rPr>
          <w:spacing w:val="-11"/>
        </w:rPr>
        <w:t xml:space="preserve"> </w:t>
      </w:r>
      <w:r w:rsidR="00B075B5">
        <w:t>the</w:t>
      </w:r>
      <w:r w:rsidR="00B075B5">
        <w:rPr>
          <w:spacing w:val="-11"/>
        </w:rPr>
        <w:t xml:space="preserve"> </w:t>
      </w:r>
      <w:r w:rsidR="00B075B5">
        <w:t>average</w:t>
      </w:r>
      <w:r w:rsidR="00B075B5">
        <w:rPr>
          <w:spacing w:val="-11"/>
        </w:rPr>
        <w:t xml:space="preserve"> </w:t>
      </w:r>
      <w:r w:rsidR="00B075B5">
        <w:t xml:space="preserve">EBITDA per resident per </w:t>
      </w:r>
      <w:r w:rsidR="00BF1A01">
        <w:t>year</w:t>
      </w:r>
      <w:r w:rsidR="00B075B5">
        <w:t xml:space="preserve"> for all residential care providers since 201</w:t>
      </w:r>
      <w:r w:rsidR="00180FB6">
        <w:t>2-13</w:t>
      </w:r>
      <w:r w:rsidR="00B075B5">
        <w:t xml:space="preserve">. EBITDA per resident per </w:t>
      </w:r>
      <w:r w:rsidR="00264642">
        <w:t>year</w:t>
      </w:r>
      <w:r w:rsidR="00B075B5">
        <w:t xml:space="preserve"> has</w:t>
      </w:r>
      <w:r w:rsidR="007378D7">
        <w:t xml:space="preserve"> </w:t>
      </w:r>
      <w:r w:rsidR="00B075B5">
        <w:t>declined for a f</w:t>
      </w:r>
      <w:r w:rsidR="007532DD">
        <w:t>if</w:t>
      </w:r>
      <w:r w:rsidR="00B075B5">
        <w:t>th year in a row, decreasing from $</w:t>
      </w:r>
      <w:r w:rsidR="004E58FD">
        <w:t>3,771</w:t>
      </w:r>
      <w:r w:rsidR="00B075B5">
        <w:t xml:space="preserve"> in 20</w:t>
      </w:r>
      <w:r w:rsidR="004E58FD">
        <w:t>20-21</w:t>
      </w:r>
      <w:r w:rsidR="00B075B5">
        <w:t xml:space="preserve"> to </w:t>
      </w:r>
      <w:r w:rsidR="007378D7">
        <w:t>negative $46</w:t>
      </w:r>
      <w:r w:rsidR="00B075B5">
        <w:t xml:space="preserve"> in 2021</w:t>
      </w:r>
      <w:r w:rsidR="007378D7">
        <w:t>-22</w:t>
      </w:r>
      <w:r w:rsidR="00B075B5">
        <w:t>.</w:t>
      </w:r>
      <w:r w:rsidR="00C224F5">
        <w:t xml:space="preserve"> This is the first negative </w:t>
      </w:r>
      <w:r w:rsidR="00CB1A42">
        <w:t xml:space="preserve">EBITDA per resident per year </w:t>
      </w:r>
      <w:r w:rsidR="00C224F5">
        <w:t xml:space="preserve">result </w:t>
      </w:r>
      <w:r w:rsidR="00EF0EAA">
        <w:t>recorded in</w:t>
      </w:r>
      <w:r w:rsidR="00042EDB">
        <w:t xml:space="preserve"> </w:t>
      </w:r>
      <w:r w:rsidR="0003123C">
        <w:t>the</w:t>
      </w:r>
      <w:r w:rsidR="00042EDB">
        <w:t xml:space="preserve"> past 10 years.</w:t>
      </w:r>
    </w:p>
    <w:p w14:paraId="1DAB4DF2" w14:textId="7993AB8D" w:rsidR="00BA74DD" w:rsidRDefault="00B60EFE" w:rsidP="00CB73B9">
      <w:pPr>
        <w:rPr>
          <w:b/>
          <w:bCs/>
          <w:szCs w:val="18"/>
        </w:rPr>
      </w:pPr>
      <w:r>
        <w:t xml:space="preserve">While this decrease followed the trend demonstrated, this decrease was greater than all previous </w:t>
      </w:r>
      <w:r w:rsidRPr="004D035D">
        <w:t>years. This decrease can</w:t>
      </w:r>
      <w:r w:rsidRPr="004D035D" w:rsidDel="00E41781">
        <w:t xml:space="preserve"> </w:t>
      </w:r>
      <w:r w:rsidRPr="004D035D">
        <w:t xml:space="preserve">likely </w:t>
      </w:r>
      <w:r w:rsidR="00DE43A3">
        <w:t xml:space="preserve">be </w:t>
      </w:r>
      <w:r w:rsidRPr="004D035D">
        <w:t xml:space="preserve">attributed to a large increase in COVID-19 expenses and increasing labour costs across all expense categories. Total expenses for COVID-19 increased by 27.9 per cent from 2020-21, with providers spending 46.0 per cent more on prevention from $113 million in 2020-21 to $165 million in 2021-22. Across all categories labour costs have increased. Accommodation labour costs increased by 15.4 per cent from $39 million </w:t>
      </w:r>
      <w:r w:rsidR="004F134E">
        <w:t xml:space="preserve">in </w:t>
      </w:r>
      <w:r w:rsidRPr="004D035D">
        <w:t xml:space="preserve">2020-21 to $45 million in 2021-22. COVID-19 labour costs increased by 30.7 per cent, from $368 million in 2020-21 to $481 million in 2021-22. </w:t>
      </w:r>
      <w:r w:rsidRPr="004264AD">
        <w:t>The increase in expenses</w:t>
      </w:r>
      <w:r w:rsidRPr="004264AD" w:rsidDel="00CA3C6E">
        <w:t xml:space="preserve"> </w:t>
      </w:r>
      <w:r w:rsidR="00CA3C6E">
        <w:t>was</w:t>
      </w:r>
      <w:r w:rsidR="00CA3C6E" w:rsidRPr="004264AD">
        <w:t xml:space="preserve"> </w:t>
      </w:r>
      <w:r w:rsidRPr="004264AD">
        <w:t>proportionately greater than the increase in revenue, resulting in the negative EBITDA result for 2021-22</w:t>
      </w:r>
      <w:r w:rsidRPr="004264AD">
        <w:rPr>
          <w:color w:val="auto"/>
        </w:rPr>
        <w:t>.</w:t>
      </w:r>
      <w:r>
        <w:rPr>
          <w:color w:val="FF0000"/>
        </w:rPr>
        <w:t xml:space="preserve"> </w:t>
      </w:r>
      <w:bookmarkStart w:id="247" w:name="_Ref139553618"/>
    </w:p>
    <w:p w14:paraId="37951105" w14:textId="0926D18C" w:rsidR="0096606A" w:rsidRPr="0096606A" w:rsidRDefault="0096606A" w:rsidP="0096606A">
      <w:pPr>
        <w:pStyle w:val="Caption"/>
        <w:rPr>
          <w:lang w:val="en-GB"/>
        </w:rPr>
      </w:pPr>
      <w:bookmarkStart w:id="248" w:name="_Toc149245226"/>
      <w:r>
        <w:t xml:space="preserve">Chart </w:t>
      </w:r>
      <w:r>
        <w:fldChar w:fldCharType="begin"/>
      </w:r>
      <w:r>
        <w:instrText>STYLEREF 1 \s</w:instrText>
      </w:r>
      <w:r>
        <w:fldChar w:fldCharType="separate"/>
      </w:r>
      <w:r w:rsidR="00294B02">
        <w:rPr>
          <w:noProof/>
        </w:rPr>
        <w:t>3</w:t>
      </w:r>
      <w:r>
        <w:fldChar w:fldCharType="end"/>
      </w:r>
      <w:r w:rsidR="00434A28">
        <w:t>.</w:t>
      </w:r>
      <w:r>
        <w:fldChar w:fldCharType="begin"/>
      </w:r>
      <w:r>
        <w:instrText>SEQ Chart \* ARABIC \s 1</w:instrText>
      </w:r>
      <w:r>
        <w:fldChar w:fldCharType="separate"/>
      </w:r>
      <w:r w:rsidR="00294B02">
        <w:rPr>
          <w:noProof/>
        </w:rPr>
        <w:t>7</w:t>
      </w:r>
      <w:r>
        <w:fldChar w:fldCharType="end"/>
      </w:r>
      <w:bookmarkEnd w:id="247"/>
      <w:r>
        <w:t xml:space="preserve">: </w:t>
      </w:r>
      <w:r w:rsidRPr="00B95255">
        <w:t>Residential care provider average EBITDA per resident per year, 2012-13 to 2021-22</w:t>
      </w:r>
      <w:bookmarkEnd w:id="248"/>
    </w:p>
    <w:p w14:paraId="6E8FAC20" w14:textId="77777777" w:rsidR="00294B02" w:rsidRDefault="00EC2D2A" w:rsidP="00BA74DD">
      <w:r>
        <w:rPr>
          <w:noProof/>
          <w:color w:val="FF0000"/>
        </w:rPr>
        <w:drawing>
          <wp:inline distT="0" distB="0" distL="0" distR="0" wp14:anchorId="21E9AA7E" wp14:editId="75938023">
            <wp:extent cx="5791200" cy="3353830"/>
            <wp:effectExtent l="0" t="0" r="0" b="0"/>
            <wp:docPr id="554974756" name="Picture 554974756" descr="Chart 3.7 is a line chart titled Residential care provider average EBITDA per resident per year, 2012-13 to 2021-22. EBITDA per resident per year has declined for a fifth year in a row, decreasing from $3,7771 in 2020-21 to negative $46 in 2021-22. This is a 100 per cent decrease on $11,481 EBITDA per resident per year in 2016-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74756" name="Picture 554974756" descr="Chart 3.7 is a line chart titled Residential care provider average EBITDA per resident per year, 2012-13 to 2021-22. EBITDA per resident per year has declined for a fifth year in a row, decreasing from $3,7771 in 2020-21 to negative $46 in 2021-22. This is a 100 per cent decrease on $11,481 EBITDA per resident per year in 2016-17.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93849" cy="3355364"/>
                    </a:xfrm>
                    <a:prstGeom prst="rect">
                      <a:avLst/>
                    </a:prstGeom>
                    <a:noFill/>
                  </pic:spPr>
                </pic:pic>
              </a:graphicData>
            </a:graphic>
          </wp:inline>
        </w:drawing>
      </w:r>
      <w:r w:rsidR="0096606A">
        <w:rPr>
          <w:b/>
          <w:bCs/>
          <w:color w:val="FF0000"/>
          <w:szCs w:val="18"/>
        </w:rPr>
        <w:fldChar w:fldCharType="begin"/>
      </w:r>
      <w:r w:rsidR="0096606A">
        <w:rPr>
          <w:color w:val="FF0000"/>
        </w:rPr>
        <w:instrText xml:space="preserve"> REF _Ref139553655 \h </w:instrText>
      </w:r>
      <w:r w:rsidR="0096606A">
        <w:rPr>
          <w:b/>
          <w:bCs/>
          <w:color w:val="FF0000"/>
          <w:szCs w:val="18"/>
        </w:rPr>
      </w:r>
      <w:r w:rsidR="0096606A">
        <w:rPr>
          <w:b/>
          <w:bCs/>
          <w:color w:val="FF0000"/>
          <w:szCs w:val="18"/>
        </w:rPr>
        <w:fldChar w:fldCharType="separate"/>
      </w:r>
    </w:p>
    <w:p w14:paraId="427F2EC0" w14:textId="49E87DD4" w:rsidR="00B759B3" w:rsidRDefault="00294B02" w:rsidP="00B759B3">
      <w:r>
        <w:lastRenderedPageBreak/>
        <w:t xml:space="preserve">Chart </w:t>
      </w:r>
      <w:r>
        <w:rPr>
          <w:noProof/>
        </w:rPr>
        <w:t>3</w:t>
      </w:r>
      <w:r>
        <w:t>.</w:t>
      </w:r>
      <w:r>
        <w:rPr>
          <w:noProof/>
        </w:rPr>
        <w:t>8</w:t>
      </w:r>
      <w:r w:rsidR="0096606A">
        <w:rPr>
          <w:color w:val="FF0000"/>
        </w:rPr>
        <w:fldChar w:fldCharType="end"/>
      </w:r>
      <w:r w:rsidR="00042EDB">
        <w:rPr>
          <w:color w:val="FF0000"/>
        </w:rPr>
        <w:t xml:space="preserve"> </w:t>
      </w:r>
      <w:r w:rsidR="00B759B3">
        <w:t>presents</w:t>
      </w:r>
      <w:r w:rsidR="00B759B3">
        <w:rPr>
          <w:spacing w:val="-11"/>
        </w:rPr>
        <w:t xml:space="preserve"> </w:t>
      </w:r>
      <w:r w:rsidR="00B759B3">
        <w:t>the</w:t>
      </w:r>
      <w:r w:rsidR="00B759B3">
        <w:rPr>
          <w:spacing w:val="-11"/>
        </w:rPr>
        <w:t xml:space="preserve"> </w:t>
      </w:r>
      <w:r w:rsidR="00B759B3">
        <w:t>EBITDA</w:t>
      </w:r>
      <w:r w:rsidR="00B759B3">
        <w:rPr>
          <w:spacing w:val="-11"/>
        </w:rPr>
        <w:t xml:space="preserve"> </w:t>
      </w:r>
      <w:r w:rsidR="00B759B3">
        <w:t>per</w:t>
      </w:r>
      <w:r w:rsidR="00B759B3">
        <w:rPr>
          <w:spacing w:val="-11"/>
        </w:rPr>
        <w:t xml:space="preserve"> </w:t>
      </w:r>
      <w:r w:rsidR="00B759B3">
        <w:t>resident</w:t>
      </w:r>
      <w:r w:rsidR="00B759B3">
        <w:rPr>
          <w:spacing w:val="-11"/>
        </w:rPr>
        <w:t xml:space="preserve"> </w:t>
      </w:r>
      <w:r w:rsidR="00B759B3">
        <w:t>for</w:t>
      </w:r>
      <w:r w:rsidR="00B759B3">
        <w:rPr>
          <w:spacing w:val="-11"/>
        </w:rPr>
        <w:t xml:space="preserve"> </w:t>
      </w:r>
      <w:r w:rsidR="00B759B3">
        <w:t>20</w:t>
      </w:r>
      <w:r w:rsidR="00522011">
        <w:t>18-19</w:t>
      </w:r>
      <w:r w:rsidR="00B759B3">
        <w:t xml:space="preserve"> to 2021</w:t>
      </w:r>
      <w:r w:rsidR="00522011">
        <w:t>-22</w:t>
      </w:r>
      <w:r w:rsidR="00B759B3">
        <w:t xml:space="preserve"> by provider performance quartiles. The average EBITDA per resident </w:t>
      </w:r>
      <w:r w:rsidR="00525256">
        <w:t xml:space="preserve">per year </w:t>
      </w:r>
      <w:r w:rsidR="00B759B3">
        <w:t>declined in all quartiles.</w:t>
      </w:r>
    </w:p>
    <w:p w14:paraId="7636DB6A" w14:textId="042255B0" w:rsidR="00514D38" w:rsidRDefault="00B759B3" w:rsidP="00BA74DD">
      <w:r>
        <w:t>The decline since 20</w:t>
      </w:r>
      <w:r w:rsidR="00D90D1D">
        <w:t>18-19</w:t>
      </w:r>
      <w:r>
        <w:t xml:space="preserve"> has been far greater for providers</w:t>
      </w:r>
      <w:r>
        <w:rPr>
          <w:spacing w:val="-6"/>
        </w:rPr>
        <w:t xml:space="preserve"> </w:t>
      </w:r>
      <w:r>
        <w:t>in</w:t>
      </w:r>
      <w:r>
        <w:rPr>
          <w:spacing w:val="-6"/>
        </w:rPr>
        <w:t xml:space="preserve"> </w:t>
      </w:r>
      <w:r>
        <w:t>the</w:t>
      </w:r>
      <w:r>
        <w:rPr>
          <w:spacing w:val="-6"/>
        </w:rPr>
        <w:t xml:space="preserve"> </w:t>
      </w:r>
      <w:r>
        <w:t>bottom</w:t>
      </w:r>
      <w:r>
        <w:rPr>
          <w:spacing w:val="-6"/>
        </w:rPr>
        <w:t xml:space="preserve"> </w:t>
      </w:r>
      <w:r>
        <w:t>two</w:t>
      </w:r>
      <w:r>
        <w:rPr>
          <w:spacing w:val="-6"/>
        </w:rPr>
        <w:t xml:space="preserve"> </w:t>
      </w:r>
      <w:r w:rsidRPr="00503776">
        <w:t>quartiles</w:t>
      </w:r>
      <w:r w:rsidRPr="00503776">
        <w:rPr>
          <w:spacing w:val="-6"/>
        </w:rPr>
        <w:t xml:space="preserve"> </w:t>
      </w:r>
      <w:r w:rsidRPr="00503776">
        <w:t>(</w:t>
      </w:r>
      <w:r w:rsidR="0029395E">
        <w:t>173</w:t>
      </w:r>
      <w:r w:rsidR="0029395E" w:rsidRPr="00503776">
        <w:rPr>
          <w:spacing w:val="-11"/>
        </w:rPr>
        <w:t xml:space="preserve"> </w:t>
      </w:r>
      <w:r w:rsidRPr="00503776">
        <w:t>per</w:t>
      </w:r>
      <w:r w:rsidRPr="00503776">
        <w:rPr>
          <w:spacing w:val="-11"/>
        </w:rPr>
        <w:t xml:space="preserve"> </w:t>
      </w:r>
      <w:r w:rsidRPr="00503776">
        <w:t>cent</w:t>
      </w:r>
      <w:r w:rsidRPr="00503776">
        <w:rPr>
          <w:spacing w:val="-6"/>
        </w:rPr>
        <w:t xml:space="preserve"> </w:t>
      </w:r>
      <w:r w:rsidRPr="00503776">
        <w:t>and</w:t>
      </w:r>
      <w:r>
        <w:t xml:space="preserve"> </w:t>
      </w:r>
      <w:r w:rsidR="0029395E">
        <w:t>88</w:t>
      </w:r>
      <w:r w:rsidR="00AE4B5E">
        <w:t xml:space="preserve"> </w:t>
      </w:r>
      <w:r>
        <w:t xml:space="preserve">per cent </w:t>
      </w:r>
      <w:r w:rsidR="7580D8B5">
        <w:t xml:space="preserve">decrease </w:t>
      </w:r>
      <w:r>
        <w:t>respectively) than the top two quartiles (</w:t>
      </w:r>
      <w:r w:rsidR="0029395E">
        <w:t xml:space="preserve">27 </w:t>
      </w:r>
      <w:r>
        <w:t xml:space="preserve">per cent and </w:t>
      </w:r>
      <w:r w:rsidR="0029395E">
        <w:t xml:space="preserve">65 </w:t>
      </w:r>
      <w:r>
        <w:t>per cent decrease respectively).</w:t>
      </w:r>
      <w:bookmarkStart w:id="249" w:name="_Ref139553655"/>
    </w:p>
    <w:p w14:paraId="0EF0BED9" w14:textId="66516B74" w:rsidR="00B56168" w:rsidRPr="00953021" w:rsidRDefault="0096606A" w:rsidP="00BA74DD">
      <w:pPr>
        <w:pStyle w:val="Caption"/>
        <w:rPr>
          <w:rFonts w:ascii="Times New Roman" w:hAnsi="Times New Roman"/>
          <w:color w:val="auto"/>
          <w:lang w:eastAsia="en-AU"/>
        </w:rPr>
      </w:pPr>
      <w:bookmarkStart w:id="250" w:name="_Toc149245227"/>
      <w:r>
        <w:t xml:space="preserve">Chart </w:t>
      </w:r>
      <w:r>
        <w:fldChar w:fldCharType="begin"/>
      </w:r>
      <w:r>
        <w:instrText>STYLEREF 1 \s</w:instrText>
      </w:r>
      <w:r>
        <w:fldChar w:fldCharType="separate"/>
      </w:r>
      <w:r w:rsidR="00294B02">
        <w:rPr>
          <w:noProof/>
        </w:rPr>
        <w:t>3</w:t>
      </w:r>
      <w:r>
        <w:fldChar w:fldCharType="end"/>
      </w:r>
      <w:r w:rsidR="00434A28">
        <w:t>.</w:t>
      </w:r>
      <w:r>
        <w:fldChar w:fldCharType="begin"/>
      </w:r>
      <w:r>
        <w:instrText>SEQ Chart \* ARABIC \s 1</w:instrText>
      </w:r>
      <w:r>
        <w:fldChar w:fldCharType="separate"/>
      </w:r>
      <w:r w:rsidR="00294B02">
        <w:rPr>
          <w:noProof/>
        </w:rPr>
        <w:t>8</w:t>
      </w:r>
      <w:r>
        <w:fldChar w:fldCharType="end"/>
      </w:r>
      <w:bookmarkEnd w:id="249"/>
      <w:r>
        <w:t xml:space="preserve">: </w:t>
      </w:r>
      <w:r w:rsidRPr="006328EA">
        <w:t>Residential care provider comparative EBITDA per resident per year, 2018-19 to 2021-22, by quartile</w:t>
      </w:r>
      <w:r w:rsidR="00F21CEB">
        <w:rPr>
          <w:rFonts w:ascii="Times New Roman" w:hAnsi="Times New Roman"/>
          <w:noProof/>
          <w:color w:val="auto"/>
          <w:lang w:eastAsia="en-AU"/>
        </w:rPr>
        <w:drawing>
          <wp:inline distT="0" distB="0" distL="0" distR="0" wp14:anchorId="0BCFDDB9" wp14:editId="6788EFBC">
            <wp:extent cx="5991225" cy="3008429"/>
            <wp:effectExtent l="0" t="0" r="0" b="1905"/>
            <wp:docPr id="14" name="Picture 14" descr="Chart 3.8 is a clustered column chart titled Residential care provider comparative EBITDA per resident per year, 2018-19 to 2021-22, by quartile. The average EBITDA per resident declined in all quartiles. The decline since 2018-19 has been far greater for providers in the bottom two quartiles (173 per cent and 88 per cent respectively) than the top two quartiles (27 per cent and 65 per cent decre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3.8 is a clustered column chart titled Residential care provider comparative EBITDA per resident per year, 2018-19 to 2021-22, by quartile. The average EBITDA per resident declined in all quartiles. The decline since 2018-19 has been far greater for providers in the bottom two quartiles (173 per cent and 88 per cent respectively) than the top two quartiles (27 per cent and 65 per cent decrease).  "/>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11752" cy="3018736"/>
                    </a:xfrm>
                    <a:prstGeom prst="rect">
                      <a:avLst/>
                    </a:prstGeom>
                    <a:noFill/>
                  </pic:spPr>
                </pic:pic>
              </a:graphicData>
            </a:graphic>
          </wp:inline>
        </w:drawing>
      </w:r>
      <w:bookmarkEnd w:id="250"/>
    </w:p>
    <w:p w14:paraId="44DD9117" w14:textId="435AD44F" w:rsidR="00B56168" w:rsidRPr="00AD7E5B" w:rsidRDefault="005E0E59" w:rsidP="00B56168">
      <w:r>
        <w:t xml:space="preserve">Chart 3.9 </w:t>
      </w:r>
      <w:r w:rsidR="00AD7E5B">
        <w:t>shows</w:t>
      </w:r>
      <w:r w:rsidR="00AD7E5B">
        <w:rPr>
          <w:spacing w:val="-7"/>
        </w:rPr>
        <w:t xml:space="preserve"> </w:t>
      </w:r>
      <w:r w:rsidR="00AD7E5B">
        <w:t>the</w:t>
      </w:r>
      <w:r w:rsidR="00AD7E5B">
        <w:rPr>
          <w:spacing w:val="-7"/>
        </w:rPr>
        <w:t xml:space="preserve"> </w:t>
      </w:r>
      <w:r w:rsidR="00AD7E5B">
        <w:t>performance</w:t>
      </w:r>
      <w:r w:rsidR="00AD7E5B">
        <w:rPr>
          <w:spacing w:val="-7"/>
        </w:rPr>
        <w:t xml:space="preserve"> </w:t>
      </w:r>
      <w:r w:rsidR="00AD7E5B">
        <w:t>ratios</w:t>
      </w:r>
      <w:r w:rsidR="00AD7E5B">
        <w:rPr>
          <w:spacing w:val="-7"/>
        </w:rPr>
        <w:t xml:space="preserve"> </w:t>
      </w:r>
      <w:r w:rsidR="00AD7E5B">
        <w:t>for</w:t>
      </w:r>
      <w:r w:rsidR="00AD7E5B">
        <w:rPr>
          <w:spacing w:val="-7"/>
        </w:rPr>
        <w:t xml:space="preserve"> </w:t>
      </w:r>
      <w:r w:rsidR="00AD7E5B">
        <w:t>the</w:t>
      </w:r>
      <w:r w:rsidR="00AD7E5B">
        <w:rPr>
          <w:spacing w:val="-7"/>
        </w:rPr>
        <w:t xml:space="preserve"> </w:t>
      </w:r>
      <w:r w:rsidR="00AD7E5B">
        <w:t xml:space="preserve">last 3 years by </w:t>
      </w:r>
      <w:r w:rsidR="007D3275">
        <w:t xml:space="preserve">provider </w:t>
      </w:r>
      <w:r w:rsidR="00AD7E5B">
        <w:t>ownership type</w:t>
      </w:r>
      <w:r w:rsidR="00040F44">
        <w:t xml:space="preserve">, for both EBITDA and </w:t>
      </w:r>
      <w:r w:rsidR="00DA601F">
        <w:t>NPBT</w:t>
      </w:r>
      <w:r w:rsidR="00AD7E5B">
        <w:t>. In 2021</w:t>
      </w:r>
      <w:r w:rsidR="001451E3">
        <w:t>-22</w:t>
      </w:r>
      <w:r w:rsidR="00AD7E5B">
        <w:t>, the EBITDA margin for not-for-profit providers was</w:t>
      </w:r>
      <w:r w:rsidR="00D00045">
        <w:t xml:space="preserve"> negative</w:t>
      </w:r>
      <w:r w:rsidR="005D5559">
        <w:t xml:space="preserve"> </w:t>
      </w:r>
      <w:r w:rsidR="00A84FD7">
        <w:t>1.2</w:t>
      </w:r>
      <w:r w:rsidR="00AD7E5B">
        <w:rPr>
          <w:spacing w:val="-5"/>
        </w:rPr>
        <w:t xml:space="preserve"> </w:t>
      </w:r>
      <w:r w:rsidR="00AD7E5B">
        <w:t>per</w:t>
      </w:r>
      <w:r w:rsidR="00AD7E5B">
        <w:rPr>
          <w:spacing w:val="-5"/>
        </w:rPr>
        <w:t xml:space="preserve"> </w:t>
      </w:r>
      <w:r w:rsidR="00AD7E5B">
        <w:t>cent, down</w:t>
      </w:r>
      <w:r w:rsidR="00AD7E5B">
        <w:rPr>
          <w:spacing w:val="-2"/>
        </w:rPr>
        <w:t xml:space="preserve"> </w:t>
      </w:r>
      <w:r w:rsidR="00AD7E5B">
        <w:t>from</w:t>
      </w:r>
      <w:r w:rsidR="00AD7E5B">
        <w:rPr>
          <w:spacing w:val="-2"/>
        </w:rPr>
        <w:t xml:space="preserve"> </w:t>
      </w:r>
      <w:r w:rsidR="000851E6">
        <w:t>3.5</w:t>
      </w:r>
      <w:r w:rsidR="00AD7E5B">
        <w:rPr>
          <w:spacing w:val="-6"/>
        </w:rPr>
        <w:t xml:space="preserve"> </w:t>
      </w:r>
      <w:r w:rsidR="00AD7E5B">
        <w:t>per</w:t>
      </w:r>
      <w:r w:rsidR="00AD7E5B">
        <w:rPr>
          <w:spacing w:val="-6"/>
        </w:rPr>
        <w:t xml:space="preserve"> </w:t>
      </w:r>
      <w:r w:rsidR="00AD7E5B">
        <w:t>cent</w:t>
      </w:r>
      <w:r w:rsidR="00AD7E5B">
        <w:rPr>
          <w:spacing w:val="-2"/>
        </w:rPr>
        <w:t xml:space="preserve"> </w:t>
      </w:r>
      <w:r w:rsidR="00AD7E5B">
        <w:t>in</w:t>
      </w:r>
      <w:r w:rsidR="00AD7E5B">
        <w:rPr>
          <w:spacing w:val="-6"/>
        </w:rPr>
        <w:t xml:space="preserve"> </w:t>
      </w:r>
      <w:r w:rsidR="00AD7E5B">
        <w:t>2020</w:t>
      </w:r>
      <w:r w:rsidR="00964FB8">
        <w:t>-21</w:t>
      </w:r>
      <w:r w:rsidR="00AD7E5B">
        <w:rPr>
          <w:spacing w:val="-2"/>
        </w:rPr>
        <w:t xml:space="preserve"> </w:t>
      </w:r>
      <w:r w:rsidR="00AD7E5B">
        <w:t>and</w:t>
      </w:r>
      <w:r w:rsidR="00AD7E5B">
        <w:rPr>
          <w:spacing w:val="-2"/>
        </w:rPr>
        <w:t xml:space="preserve"> </w:t>
      </w:r>
      <w:r w:rsidR="000851E6">
        <w:t>5.4</w:t>
      </w:r>
      <w:r w:rsidR="00AD7E5B">
        <w:rPr>
          <w:spacing w:val="-6"/>
        </w:rPr>
        <w:t xml:space="preserve"> </w:t>
      </w:r>
      <w:r w:rsidR="00AD7E5B">
        <w:t>per</w:t>
      </w:r>
      <w:r w:rsidR="00AD7E5B">
        <w:rPr>
          <w:spacing w:val="-6"/>
        </w:rPr>
        <w:t xml:space="preserve"> </w:t>
      </w:r>
      <w:r w:rsidR="00AD7E5B">
        <w:t>cent in</w:t>
      </w:r>
      <w:r w:rsidR="00AD7E5B">
        <w:rPr>
          <w:spacing w:val="-3"/>
        </w:rPr>
        <w:t xml:space="preserve"> </w:t>
      </w:r>
      <w:r w:rsidR="00AD7E5B">
        <w:t>201</w:t>
      </w:r>
      <w:r w:rsidR="00127876">
        <w:t>9-20</w:t>
      </w:r>
      <w:r w:rsidR="00AD7E5B">
        <w:t>. For-profit providers also had a declining</w:t>
      </w:r>
      <w:r w:rsidR="009B4B3C">
        <w:t xml:space="preserve"> </w:t>
      </w:r>
      <w:r w:rsidR="00AD7E5B">
        <w:t>EBITDA</w:t>
      </w:r>
      <w:r w:rsidR="00AD7E5B">
        <w:rPr>
          <w:spacing w:val="-5"/>
        </w:rPr>
        <w:t xml:space="preserve"> </w:t>
      </w:r>
      <w:r w:rsidR="00AD7E5B">
        <w:t>margin</w:t>
      </w:r>
      <w:r w:rsidR="00AD7E5B">
        <w:rPr>
          <w:spacing w:val="-5"/>
        </w:rPr>
        <w:t xml:space="preserve"> </w:t>
      </w:r>
      <w:r w:rsidR="00AD7E5B">
        <w:t>of</w:t>
      </w:r>
      <w:r w:rsidR="00AD7E5B">
        <w:rPr>
          <w:spacing w:val="-5"/>
        </w:rPr>
        <w:t xml:space="preserve"> </w:t>
      </w:r>
      <w:r w:rsidR="00975F7B">
        <w:t>2.4</w:t>
      </w:r>
      <w:r w:rsidR="00AD7E5B">
        <w:rPr>
          <w:spacing w:val="-9"/>
        </w:rPr>
        <w:t xml:space="preserve"> </w:t>
      </w:r>
      <w:r w:rsidR="00AD7E5B">
        <w:t>per</w:t>
      </w:r>
      <w:r w:rsidR="00AD7E5B">
        <w:rPr>
          <w:spacing w:val="-9"/>
        </w:rPr>
        <w:t xml:space="preserve"> </w:t>
      </w:r>
      <w:r w:rsidR="00AD7E5B">
        <w:t>cent,</w:t>
      </w:r>
      <w:r w:rsidR="00AD7E5B">
        <w:rPr>
          <w:spacing w:val="-5"/>
        </w:rPr>
        <w:t xml:space="preserve"> </w:t>
      </w:r>
      <w:r w:rsidR="00AD7E5B">
        <w:t>down</w:t>
      </w:r>
      <w:r w:rsidR="00AD7E5B">
        <w:rPr>
          <w:spacing w:val="-5"/>
        </w:rPr>
        <w:t xml:space="preserve"> </w:t>
      </w:r>
      <w:r w:rsidR="00AD7E5B">
        <w:t>from</w:t>
      </w:r>
      <w:r w:rsidR="00AD7E5B">
        <w:rPr>
          <w:spacing w:val="-5"/>
        </w:rPr>
        <w:t xml:space="preserve"> </w:t>
      </w:r>
      <w:r w:rsidR="00975F7B">
        <w:t>4.4</w:t>
      </w:r>
      <w:r w:rsidR="00AD7E5B">
        <w:rPr>
          <w:spacing w:val="-9"/>
        </w:rPr>
        <w:t xml:space="preserve"> </w:t>
      </w:r>
      <w:r w:rsidR="00AD7E5B">
        <w:t>per</w:t>
      </w:r>
      <w:r w:rsidR="00AD7E5B">
        <w:rPr>
          <w:spacing w:val="-9"/>
        </w:rPr>
        <w:t xml:space="preserve"> </w:t>
      </w:r>
      <w:r w:rsidR="00AD7E5B">
        <w:t>cent in</w:t>
      </w:r>
      <w:r w:rsidR="00AD7E5B">
        <w:rPr>
          <w:spacing w:val="-11"/>
        </w:rPr>
        <w:t xml:space="preserve"> </w:t>
      </w:r>
      <w:r w:rsidR="00AD7E5B">
        <w:t>20</w:t>
      </w:r>
      <w:r w:rsidR="00975F7B">
        <w:t>20</w:t>
      </w:r>
      <w:r w:rsidR="00AD7E5B">
        <w:t>–2</w:t>
      </w:r>
      <w:r w:rsidR="00975F7B">
        <w:t>1</w:t>
      </w:r>
      <w:r w:rsidR="00206B28">
        <w:t xml:space="preserve">, and down from 8.5 per cent in </w:t>
      </w:r>
      <w:r w:rsidR="00D33FF6">
        <w:br/>
      </w:r>
      <w:r w:rsidR="00206B28">
        <w:t xml:space="preserve">2019-20. </w:t>
      </w:r>
    </w:p>
    <w:p w14:paraId="14B67D13" w14:textId="77777777" w:rsidR="00CB73B9" w:rsidRPr="008E2604" w:rsidRDefault="00CB73B9" w:rsidP="008E2604">
      <w:bookmarkStart w:id="251" w:name="_Ref139553677"/>
      <w:bookmarkStart w:id="252" w:name="_Toc149245228"/>
      <w:r w:rsidRPr="008E2604">
        <w:br w:type="page"/>
      </w:r>
    </w:p>
    <w:p w14:paraId="69B6A90D" w14:textId="00CD78D5" w:rsidR="0096606A" w:rsidRPr="0096606A" w:rsidRDefault="0096606A" w:rsidP="0096606A">
      <w:pPr>
        <w:pStyle w:val="Caption"/>
        <w:rPr>
          <w:lang w:val="en-GB"/>
        </w:rPr>
      </w:pPr>
      <w:r>
        <w:lastRenderedPageBreak/>
        <w:t xml:space="preserve">Chart </w:t>
      </w:r>
      <w:r>
        <w:fldChar w:fldCharType="begin"/>
      </w:r>
      <w:r>
        <w:instrText>STYLEREF 1 \s</w:instrText>
      </w:r>
      <w:r>
        <w:fldChar w:fldCharType="separate"/>
      </w:r>
      <w:r w:rsidR="00294B02">
        <w:rPr>
          <w:noProof/>
        </w:rPr>
        <w:t>3</w:t>
      </w:r>
      <w:r>
        <w:fldChar w:fldCharType="end"/>
      </w:r>
      <w:r w:rsidR="00434A28">
        <w:t>.</w:t>
      </w:r>
      <w:r>
        <w:fldChar w:fldCharType="begin"/>
      </w:r>
      <w:r>
        <w:instrText>SEQ Chart \* ARABIC \s 1</w:instrText>
      </w:r>
      <w:r>
        <w:fldChar w:fldCharType="separate"/>
      </w:r>
      <w:r w:rsidR="00294B02">
        <w:rPr>
          <w:noProof/>
        </w:rPr>
        <w:t>9</w:t>
      </w:r>
      <w:r>
        <w:fldChar w:fldCharType="end"/>
      </w:r>
      <w:bookmarkEnd w:id="251"/>
      <w:r>
        <w:t xml:space="preserve">: </w:t>
      </w:r>
      <w:r w:rsidRPr="008016FF">
        <w:t>Residential care provider operating performance ratios, by ownership type, 2019-20 to 2021-22</w:t>
      </w:r>
      <w:bookmarkEnd w:id="252"/>
    </w:p>
    <w:p w14:paraId="06C46454" w14:textId="3F47BFB7" w:rsidR="00B56168" w:rsidRPr="008E2604" w:rsidRDefault="00100B47" w:rsidP="008E2604">
      <w:r w:rsidRPr="008E2604">
        <w:rPr>
          <w:noProof/>
        </w:rPr>
        <w:drawing>
          <wp:inline distT="0" distB="0" distL="0" distR="0" wp14:anchorId="05EBAFE3" wp14:editId="51F2D91E">
            <wp:extent cx="5428962" cy="2148840"/>
            <wp:effectExtent l="0" t="0" r="635" b="3810"/>
            <wp:docPr id="554974761" name="Picture 554974761" descr="Chart 3.9 is a clustered column chart titled Residential care provider operating performance ratios, by ownership type, 2019-20 to 2021-22. In 2021-22, the EBITDA margin for not-for-profit providers was negative 1.2 per cent, down from 3.5 per cent in 2020-21 and 5.4 per cent in 2019-20. For-profit providers also had a declining EBITDA margin of 2.4 per cent, down from 4.4 per cent in 2020-21, and 8.5 per cent in 2019-20. The net profit (before tax) margin also decreased for not-for-profit and for-profit providers. Not-for-profit providers was negative 10.6 per cent in 2021-22, down from 4.7 per cent in 2020-21. And for-profit providers was negative 9.1 per cent in 2021-22, down from negative 1.7 per cent the prior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74761" name="Picture 554974761" descr="Chart 3.9 is a clustered column chart titled Residential care provider operating performance ratios, by ownership type, 2019-20 to 2021-22. In 2021-22, the EBITDA margin for not-for-profit providers was negative 1.2 per cent, down from 3.5 per cent in 2020-21 and 5.4 per cent in 2019-20. For-profit providers also had a declining EBITDA margin of 2.4 per cent, down from 4.4 per cent in 2020-21, and 8.5 per cent in 2019-20. The net profit (before tax) margin also decreased for not-for-profit and for-profit providers. Not-for-profit providers was negative 10.6 per cent in 2021-22, down from 4.7 per cent in 2020-21. And for-profit providers was negative 9.1 per cent in 2021-22, down from negative 1.7 per cent the prior year.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68671" cy="2164557"/>
                    </a:xfrm>
                    <a:prstGeom prst="rect">
                      <a:avLst/>
                    </a:prstGeom>
                    <a:noFill/>
                    <a:ln>
                      <a:noFill/>
                    </a:ln>
                  </pic:spPr>
                </pic:pic>
              </a:graphicData>
            </a:graphic>
          </wp:inline>
        </w:drawing>
      </w:r>
    </w:p>
    <w:p w14:paraId="28796613" w14:textId="77777777" w:rsidR="00BA74DD" w:rsidRDefault="00F22370" w:rsidP="00B56168">
      <w:pPr>
        <w:rPr>
          <w:b/>
          <w:bCs/>
          <w:sz w:val="28"/>
          <w:szCs w:val="28"/>
        </w:rPr>
      </w:pPr>
      <w:r>
        <w:rPr>
          <w:b/>
          <w:bCs/>
          <w:sz w:val="28"/>
          <w:szCs w:val="28"/>
        </w:rPr>
        <w:t>Ownership type</w:t>
      </w:r>
    </w:p>
    <w:p w14:paraId="6AE93E27" w14:textId="0D8FE95C" w:rsidR="002D50D6" w:rsidRPr="008E2604" w:rsidRDefault="00434A28" w:rsidP="008E2604">
      <w:r w:rsidRPr="008E2604">
        <w:fldChar w:fldCharType="begin"/>
      </w:r>
      <w:r w:rsidRPr="008E2604">
        <w:instrText xml:space="preserve"> REF _Ref139553715 \h </w:instrText>
      </w:r>
      <w:r w:rsidR="00AE51C6" w:rsidRPr="008E2604">
        <w:instrText xml:space="preserve"> \* MERGEFORMAT </w:instrText>
      </w:r>
      <w:r w:rsidRPr="008E2604">
        <w:fldChar w:fldCharType="separate"/>
      </w:r>
      <w:r w:rsidR="00294B02" w:rsidRPr="008E2604">
        <w:t>Chart 3.10</w:t>
      </w:r>
      <w:r w:rsidRPr="008E2604">
        <w:fldChar w:fldCharType="end"/>
      </w:r>
      <w:r w:rsidR="00FC4D5E" w:rsidRPr="008E2604">
        <w:t xml:space="preserve"> 3.10</w:t>
      </w:r>
      <w:r w:rsidR="002E1EA0" w:rsidRPr="008E2604">
        <w:t xml:space="preserve"> shows the average EBITDA per resident per </w:t>
      </w:r>
      <w:r w:rsidR="004A04ED" w:rsidRPr="008E2604">
        <w:t>year</w:t>
      </w:r>
      <w:r w:rsidR="002E1EA0" w:rsidRPr="008E2604">
        <w:t xml:space="preserve"> for the last 4 years, by </w:t>
      </w:r>
      <w:r w:rsidR="007D3275" w:rsidRPr="008E2604">
        <w:t xml:space="preserve">provider </w:t>
      </w:r>
      <w:r w:rsidR="002E1EA0" w:rsidRPr="008E2604">
        <w:t>ownership type. The EBITDA per resident decreased for not-for-profit and for-profit providers. In 2021</w:t>
      </w:r>
      <w:r w:rsidR="004A04ED" w:rsidRPr="008E2604">
        <w:t>-22</w:t>
      </w:r>
      <w:r w:rsidR="002E1EA0" w:rsidRPr="008E2604">
        <w:t>, for-profit providers reported an EBITDA per resident of</w:t>
      </w:r>
      <w:r w:rsidR="004A04ED" w:rsidRPr="008E2604">
        <w:t xml:space="preserve"> </w:t>
      </w:r>
      <w:r w:rsidR="002E1EA0" w:rsidRPr="008E2604">
        <w:t>$</w:t>
      </w:r>
      <w:r w:rsidR="004A04ED" w:rsidRPr="008E2604">
        <w:t>2,920</w:t>
      </w:r>
      <w:r w:rsidR="002E1EA0" w:rsidRPr="008E2604">
        <w:t>, down from $</w:t>
      </w:r>
      <w:r w:rsidR="004A04ED" w:rsidRPr="008E2604">
        <w:t>5,162</w:t>
      </w:r>
      <w:r w:rsidR="002E1EA0" w:rsidRPr="008E2604">
        <w:t xml:space="preserve"> in 2020</w:t>
      </w:r>
      <w:r w:rsidR="004A04ED" w:rsidRPr="008E2604">
        <w:t>-21</w:t>
      </w:r>
      <w:r w:rsidR="002E1EA0" w:rsidRPr="008E2604">
        <w:t xml:space="preserve"> (4</w:t>
      </w:r>
      <w:r w:rsidR="0047569E" w:rsidRPr="008E2604">
        <w:t>3</w:t>
      </w:r>
      <w:r w:rsidR="002E1EA0" w:rsidRPr="008E2604">
        <w:t xml:space="preserve"> per cent decrease).</w:t>
      </w:r>
      <w:r w:rsidR="0047569E" w:rsidRPr="008E2604">
        <w:t xml:space="preserve"> </w:t>
      </w:r>
      <w:r w:rsidR="002E1EA0" w:rsidRPr="008E2604">
        <w:t xml:space="preserve">Not-for-profit providers </w:t>
      </w:r>
      <w:r w:rsidR="00480B27" w:rsidRPr="008E2604">
        <w:t xml:space="preserve">significantly </w:t>
      </w:r>
      <w:r w:rsidR="002E1EA0" w:rsidRPr="008E2604">
        <w:t xml:space="preserve">decreased </w:t>
      </w:r>
      <w:r w:rsidR="00A6583C" w:rsidRPr="008E2604">
        <w:t>their EBITDA result,</w:t>
      </w:r>
      <w:r w:rsidR="002E1EA0" w:rsidRPr="008E2604">
        <w:t xml:space="preserve"> from</w:t>
      </w:r>
      <w:r w:rsidR="0047569E" w:rsidRPr="008E2604">
        <w:t xml:space="preserve"> </w:t>
      </w:r>
      <w:r w:rsidR="002E1EA0" w:rsidRPr="008E2604">
        <w:t>$3,848</w:t>
      </w:r>
      <w:r w:rsidR="0047569E" w:rsidRPr="008E2604">
        <w:t xml:space="preserve"> </w:t>
      </w:r>
      <w:r w:rsidR="00574AC4" w:rsidRPr="008E2604">
        <w:t>in 2020-2</w:t>
      </w:r>
      <w:r w:rsidR="00E8510E" w:rsidRPr="008E2604">
        <w:t xml:space="preserve">1 </w:t>
      </w:r>
      <w:r w:rsidR="00803A8D" w:rsidRPr="008E2604">
        <w:t>to a negative result of $1,294</w:t>
      </w:r>
      <w:r w:rsidR="002E1EA0" w:rsidRPr="008E2604">
        <w:t xml:space="preserve"> (</w:t>
      </w:r>
      <w:r w:rsidR="00480B27" w:rsidRPr="008E2604">
        <w:t>13</w:t>
      </w:r>
      <w:r w:rsidR="00F40F21" w:rsidRPr="008E2604">
        <w:t>4</w:t>
      </w:r>
      <w:r w:rsidR="00320D7F" w:rsidRPr="008E2604">
        <w:t xml:space="preserve"> </w:t>
      </w:r>
      <w:r w:rsidR="002E1EA0" w:rsidRPr="008E2604">
        <w:t>per cent decrease) in 2021</w:t>
      </w:r>
      <w:r w:rsidR="00480B27" w:rsidRPr="008E2604">
        <w:t>-22</w:t>
      </w:r>
      <w:r w:rsidR="002E1EA0" w:rsidRPr="008E2604">
        <w:t>.</w:t>
      </w:r>
      <w:r w:rsidR="0045063A" w:rsidRPr="008E2604">
        <w:t xml:space="preserve"> </w:t>
      </w:r>
    </w:p>
    <w:p w14:paraId="2E23DDAB" w14:textId="1102450C" w:rsidR="00B56168" w:rsidRPr="004A04ED" w:rsidRDefault="0045063A" w:rsidP="00B56168">
      <w:r>
        <w:rPr>
          <w:spacing w:val="-2"/>
        </w:rPr>
        <w:t xml:space="preserve">The most significant deterioration in EBITDA result was seen in local, state and territory government providers, which declined from </w:t>
      </w:r>
      <w:r w:rsidR="00B252F5">
        <w:rPr>
          <w:rFonts w:cs="Arial"/>
          <w:spacing w:val="-2"/>
        </w:rPr>
        <w:t xml:space="preserve">negative </w:t>
      </w:r>
      <w:r w:rsidR="00FF0DB7">
        <w:rPr>
          <w:spacing w:val="-2"/>
        </w:rPr>
        <w:t>$1,036</w:t>
      </w:r>
      <w:r w:rsidR="0059427C">
        <w:rPr>
          <w:spacing w:val="-2"/>
        </w:rPr>
        <w:t xml:space="preserve"> in 2018-19 to </w:t>
      </w:r>
      <w:r w:rsidR="00B252F5">
        <w:rPr>
          <w:rFonts w:cs="Arial"/>
          <w:spacing w:val="-2"/>
        </w:rPr>
        <w:t>negative</w:t>
      </w:r>
      <w:r w:rsidR="002D50D6">
        <w:rPr>
          <w:rFonts w:cs="Arial"/>
          <w:spacing w:val="-2"/>
        </w:rPr>
        <w:t xml:space="preserve"> </w:t>
      </w:r>
      <w:r w:rsidR="00FF0DB7">
        <w:rPr>
          <w:spacing w:val="-2"/>
        </w:rPr>
        <w:t>$</w:t>
      </w:r>
      <w:r w:rsidR="00B70277">
        <w:rPr>
          <w:spacing w:val="-2"/>
        </w:rPr>
        <w:t>13,660</w:t>
      </w:r>
      <w:r w:rsidR="0059427C">
        <w:rPr>
          <w:spacing w:val="-2"/>
        </w:rPr>
        <w:t xml:space="preserve"> in 20</w:t>
      </w:r>
      <w:r w:rsidR="00620D73">
        <w:rPr>
          <w:spacing w:val="-2"/>
        </w:rPr>
        <w:t xml:space="preserve">21-22. </w:t>
      </w:r>
      <w:r w:rsidR="00856B28">
        <w:rPr>
          <w:spacing w:val="-2"/>
        </w:rPr>
        <w:t xml:space="preserve">Local, state and territory government providers </w:t>
      </w:r>
      <w:r w:rsidR="00BE2E58">
        <w:rPr>
          <w:spacing w:val="-2"/>
        </w:rPr>
        <w:t xml:space="preserve">reported </w:t>
      </w:r>
      <w:r w:rsidR="002F30ED">
        <w:rPr>
          <w:spacing w:val="-2"/>
        </w:rPr>
        <w:t xml:space="preserve">high expenditure </w:t>
      </w:r>
      <w:r w:rsidR="00B60EFE">
        <w:rPr>
          <w:spacing w:val="-2"/>
        </w:rPr>
        <w:t>proportion</w:t>
      </w:r>
      <w:r w:rsidR="004D035D">
        <w:rPr>
          <w:spacing w:val="-2"/>
        </w:rPr>
        <w:t>ate</w:t>
      </w:r>
      <w:r w:rsidR="00B60EFE">
        <w:rPr>
          <w:spacing w:val="-2"/>
        </w:rPr>
        <w:t xml:space="preserve"> to revenue </w:t>
      </w:r>
      <w:r w:rsidR="00DA4F04">
        <w:rPr>
          <w:spacing w:val="-2"/>
        </w:rPr>
        <w:t xml:space="preserve">in comparison </w:t>
      </w:r>
      <w:r w:rsidR="004D035D">
        <w:rPr>
          <w:spacing w:val="-2"/>
        </w:rPr>
        <w:t>with</w:t>
      </w:r>
      <w:r w:rsidR="00B545D3">
        <w:rPr>
          <w:spacing w:val="-2"/>
        </w:rPr>
        <w:t xml:space="preserve"> </w:t>
      </w:r>
      <w:r w:rsidR="00D84123">
        <w:rPr>
          <w:spacing w:val="-2"/>
        </w:rPr>
        <w:t>for-profit and not-for-profit providers</w:t>
      </w:r>
      <w:r w:rsidR="004D035D">
        <w:rPr>
          <w:spacing w:val="-2"/>
        </w:rPr>
        <w:t>,</w:t>
      </w:r>
      <w:r w:rsidR="00D84123">
        <w:rPr>
          <w:spacing w:val="-2"/>
        </w:rPr>
        <w:t xml:space="preserve"> which contributed to </w:t>
      </w:r>
      <w:r w:rsidR="00894580">
        <w:rPr>
          <w:spacing w:val="-2"/>
        </w:rPr>
        <w:t xml:space="preserve">the average EBITDA per resident </w:t>
      </w:r>
      <w:r w:rsidR="003408FC">
        <w:rPr>
          <w:spacing w:val="-2"/>
        </w:rPr>
        <w:t>per year result.</w:t>
      </w:r>
    </w:p>
    <w:p w14:paraId="30140E28" w14:textId="24F79C30" w:rsidR="00B56168" w:rsidRPr="00176E1F" w:rsidRDefault="00434A28" w:rsidP="00176E1F">
      <w:pPr>
        <w:pStyle w:val="Caption"/>
        <w:rPr>
          <w:lang w:val="en-GB"/>
        </w:rPr>
      </w:pPr>
      <w:bookmarkStart w:id="253" w:name="_Ref139553715"/>
      <w:bookmarkStart w:id="254" w:name="_Toc149245229"/>
      <w:r>
        <w:lastRenderedPageBreak/>
        <w:t xml:space="preserve">Chart </w:t>
      </w:r>
      <w:r>
        <w:fldChar w:fldCharType="begin"/>
      </w:r>
      <w:r>
        <w:instrText>STYLEREF 1 \s</w:instrText>
      </w:r>
      <w:r>
        <w:fldChar w:fldCharType="separate"/>
      </w:r>
      <w:r w:rsidR="00294B02">
        <w:rPr>
          <w:noProof/>
        </w:rPr>
        <w:t>3</w:t>
      </w:r>
      <w:r>
        <w:fldChar w:fldCharType="end"/>
      </w:r>
      <w:r>
        <w:t>.</w:t>
      </w:r>
      <w:r>
        <w:fldChar w:fldCharType="begin"/>
      </w:r>
      <w:r>
        <w:instrText>SEQ Chart \* ARABIC \s 1</w:instrText>
      </w:r>
      <w:r>
        <w:fldChar w:fldCharType="separate"/>
      </w:r>
      <w:r w:rsidR="00294B02">
        <w:rPr>
          <w:noProof/>
        </w:rPr>
        <w:t>10</w:t>
      </w:r>
      <w:r>
        <w:fldChar w:fldCharType="end"/>
      </w:r>
      <w:bookmarkEnd w:id="253"/>
      <w:r>
        <w:t xml:space="preserve">: </w:t>
      </w:r>
      <w:r w:rsidRPr="00341C21">
        <w:t>EBITDA per resident per year, by ownership type, 2018-19 to 2021-22</w:t>
      </w:r>
      <w:bookmarkEnd w:id="254"/>
    </w:p>
    <w:p w14:paraId="7270B182" w14:textId="487C1F01" w:rsidR="00F50FED" w:rsidRPr="008E2604" w:rsidRDefault="00F50FED" w:rsidP="008E2604">
      <w:r w:rsidRPr="008E2604">
        <w:rPr>
          <w:noProof/>
        </w:rPr>
        <w:drawing>
          <wp:inline distT="0" distB="0" distL="0" distR="0" wp14:anchorId="26003EA9" wp14:editId="5905C839">
            <wp:extent cx="4785360" cy="2834812"/>
            <wp:effectExtent l="0" t="0" r="0" b="3810"/>
            <wp:docPr id="554974764" name="Picture 554974764" descr="Chart 3.10 is a clustered column chart titled EBITDA per resident per year, by ownership type, 2018-19 to 2021-22. In 2021-22, for-profit providers reported an EBITDA per resident of $2,920, down from $5,162 in 2020-21 (43 per cent decrease). Not-for-profit providers decreased from $3,848 to negative $1,294 (134 per cent decrease)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74764" name="Picture 554974764" descr="Chart 3.10 is a clustered column chart titled EBITDA per resident per year, by ownership type, 2018-19 to 2021-22. In 2021-22, for-profit providers reported an EBITDA per resident of $2,920, down from $5,162 in 2020-21 (43 per cent decrease). Not-for-profit providers decreased from $3,848 to negative $1,294 (134 per cent decrease) in 2021-22.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85360" cy="2834812"/>
                    </a:xfrm>
                    <a:prstGeom prst="rect">
                      <a:avLst/>
                    </a:prstGeom>
                    <a:noFill/>
                    <a:ln>
                      <a:noFill/>
                    </a:ln>
                  </pic:spPr>
                </pic:pic>
              </a:graphicData>
            </a:graphic>
          </wp:inline>
        </w:drawing>
      </w:r>
    </w:p>
    <w:p w14:paraId="41D09C71" w14:textId="0ED19DDC" w:rsidR="009F28BE" w:rsidRPr="008E2604" w:rsidRDefault="00CB73B9" w:rsidP="008E2604">
      <w:r w:rsidRPr="008E2604">
        <w:t xml:space="preserve">Chart 3.11 </w:t>
      </w:r>
      <w:r w:rsidR="009031BD" w:rsidRPr="008E2604">
        <w:t xml:space="preserve">shows the average EBITDA per resident per </w:t>
      </w:r>
      <w:r w:rsidR="004073FC" w:rsidRPr="008E2604">
        <w:t>year</w:t>
      </w:r>
      <w:r w:rsidR="009031BD" w:rsidRPr="008E2604">
        <w:t xml:space="preserve"> for residential care providers by quartile and ownership type. The average EBITDA per resident per year in the top quartile was $</w:t>
      </w:r>
      <w:r w:rsidR="285F3935" w:rsidRPr="008E2604">
        <w:t>16</w:t>
      </w:r>
      <w:r w:rsidR="0F98573B" w:rsidRPr="008E2604">
        <w:t>,</w:t>
      </w:r>
      <w:r w:rsidR="285F3935" w:rsidRPr="008E2604">
        <w:t>199</w:t>
      </w:r>
      <w:r w:rsidR="009031BD" w:rsidRPr="008E2604">
        <w:t xml:space="preserve"> while the</w:t>
      </w:r>
      <w:r w:rsidR="004073FC" w:rsidRPr="008E2604">
        <w:t xml:space="preserve"> </w:t>
      </w:r>
      <w:r w:rsidR="009031BD" w:rsidRPr="008E2604">
        <w:t xml:space="preserve">average in the bottom was negative </w:t>
      </w:r>
      <w:r w:rsidR="00F50082" w:rsidRPr="008E2604">
        <w:t>$19,533.</w:t>
      </w:r>
      <w:r w:rsidR="009031BD" w:rsidRPr="008E2604">
        <w:t xml:space="preserve"> For-profit providers outperformed not-for-profit providers in the top quartile</w:t>
      </w:r>
      <w:r w:rsidR="00AB2735" w:rsidRPr="008E2604">
        <w:t xml:space="preserve"> and in the </w:t>
      </w:r>
      <w:r w:rsidR="009031BD" w:rsidRPr="008E2604">
        <w:t>bottom quartile.</w:t>
      </w:r>
      <w:r w:rsidR="00C2672E" w:rsidRPr="008E2604">
        <w:t xml:space="preserve"> Not-for-profit </w:t>
      </w:r>
      <w:r w:rsidR="00A76938" w:rsidRPr="008E2604">
        <w:t xml:space="preserve">providers slightly </w:t>
      </w:r>
      <w:r w:rsidR="004B6BD3" w:rsidRPr="008E2604">
        <w:t>outperformed</w:t>
      </w:r>
      <w:r w:rsidR="00A76938" w:rsidRPr="008E2604">
        <w:t xml:space="preserve"> for-profit providers in the middle two quartiles.</w:t>
      </w:r>
    </w:p>
    <w:p w14:paraId="52C54D17" w14:textId="139CDF65" w:rsidR="007D3363" w:rsidRDefault="007D3363" w:rsidP="009F28BE">
      <w:r>
        <w:t xml:space="preserve">Not-for-profit providers had a relatively even </w:t>
      </w:r>
      <w:r w:rsidR="001A37A2">
        <w:t>proportion</w:t>
      </w:r>
      <w:r>
        <w:t xml:space="preserve"> of providers in each quartile range </w:t>
      </w:r>
      <w:r w:rsidR="001A37A2">
        <w:t xml:space="preserve">with the highest proportion being in the next bottom quartile. For-profit providers’ proportions were skewed more towards the top two quartiles with </w:t>
      </w:r>
      <w:r w:rsidR="00CE19A4">
        <w:t xml:space="preserve">35 per cent being in the top quartile. Finally, </w:t>
      </w:r>
      <w:r w:rsidR="00777DEC">
        <w:t>local, state or territory government</w:t>
      </w:r>
      <w:r w:rsidR="00CE19A4">
        <w:t xml:space="preserve"> providers were </w:t>
      </w:r>
      <w:r w:rsidR="00A82A83">
        <w:t>overwhelming</w:t>
      </w:r>
      <w:r w:rsidR="00A907DB">
        <w:t>ly</w:t>
      </w:r>
      <w:r w:rsidR="00CE19A4">
        <w:t xml:space="preserve"> in the bottom quartile with approximately 6</w:t>
      </w:r>
      <w:r w:rsidR="00CA53D4">
        <w:t>5</w:t>
      </w:r>
      <w:r w:rsidR="00CE19A4">
        <w:t xml:space="preserve"> per cent </w:t>
      </w:r>
      <w:r w:rsidR="00A82A83">
        <w:t xml:space="preserve">of all </w:t>
      </w:r>
      <w:r w:rsidR="00CA53D4">
        <w:t xml:space="preserve">local, state or territory government </w:t>
      </w:r>
      <w:r w:rsidR="00A82A83">
        <w:t>providers</w:t>
      </w:r>
      <w:r w:rsidR="00BA4FDD">
        <w:t xml:space="preserve"> </w:t>
      </w:r>
      <w:r w:rsidR="00E568EF">
        <w:t>in this quartile</w:t>
      </w:r>
      <w:r w:rsidR="00A82A83">
        <w:t xml:space="preserve">. </w:t>
      </w:r>
    </w:p>
    <w:p w14:paraId="5FDB6C6F" w14:textId="11445A7B" w:rsidR="00B56168" w:rsidRPr="00176E1F" w:rsidRDefault="00434A28" w:rsidP="00176E1F">
      <w:pPr>
        <w:pStyle w:val="Caption"/>
      </w:pPr>
      <w:bookmarkStart w:id="255" w:name="_Ref139553745"/>
      <w:bookmarkStart w:id="256" w:name="_Toc149245230"/>
      <w:r>
        <w:lastRenderedPageBreak/>
        <w:t xml:space="preserve">Chart </w:t>
      </w:r>
      <w:r>
        <w:fldChar w:fldCharType="begin"/>
      </w:r>
      <w:r>
        <w:instrText>STYLEREF 1 \s</w:instrText>
      </w:r>
      <w:r>
        <w:fldChar w:fldCharType="separate"/>
      </w:r>
      <w:r w:rsidR="00294B02">
        <w:rPr>
          <w:noProof/>
        </w:rPr>
        <w:t>3</w:t>
      </w:r>
      <w:r>
        <w:fldChar w:fldCharType="end"/>
      </w:r>
      <w:r>
        <w:t>.</w:t>
      </w:r>
      <w:r>
        <w:fldChar w:fldCharType="begin"/>
      </w:r>
      <w:r>
        <w:instrText>SEQ Chart \* ARABIC \s 1</w:instrText>
      </w:r>
      <w:r>
        <w:fldChar w:fldCharType="separate"/>
      </w:r>
      <w:r w:rsidR="00294B02">
        <w:rPr>
          <w:noProof/>
        </w:rPr>
        <w:t>11</w:t>
      </w:r>
      <w:r>
        <w:fldChar w:fldCharType="end"/>
      </w:r>
      <w:bookmarkEnd w:id="255"/>
      <w:r>
        <w:t xml:space="preserve">: </w:t>
      </w:r>
      <w:r w:rsidRPr="00234908">
        <w:t>Residential care provider average EBITDA per resident per year, by quartile (number of providers in parentheses), by ownership type, 2021-22</w:t>
      </w:r>
      <w:bookmarkEnd w:id="256"/>
    </w:p>
    <w:p w14:paraId="7F95BBCF" w14:textId="1CF9488D" w:rsidR="00176E1F" w:rsidRDefault="00F62D00" w:rsidP="00C01536">
      <w:r w:rsidRPr="00F62D00">
        <w:rPr>
          <w:noProof/>
          <w:color w:val="FF0000"/>
        </w:rPr>
        <w:drawing>
          <wp:inline distT="0" distB="0" distL="0" distR="0" wp14:anchorId="03E8E351" wp14:editId="21FB41EF">
            <wp:extent cx="6058609" cy="2882348"/>
            <wp:effectExtent l="0" t="0" r="0" b="0"/>
            <wp:docPr id="554974765" name="Picture 554974765" descr="Chart 3.11 is a clustered column chart titled Residential care provider average EBITDA per resident per year, by quartile (number of providers in parentheses), by ownership type, 2021-22. The average EBITDA per resident per year in the top quartile was $16,199, while the average in the bottom was negative $19,533. For-profit providers outperformed not-for-profit providers in both top quartile and bottom quart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74765" name="Picture 554974765" descr="Chart 3.11 is a clustered column chart titled Residential care provider average EBITDA per resident per year, by quartile (number of providers in parentheses), by ownership type, 2021-22. The average EBITDA per resident per year in the top quartile was $16,199, while the average in the bottom was negative $19,533. For-profit providers outperformed not-for-profit providers in both top quartile and bottom quartile.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64831" cy="2885308"/>
                    </a:xfrm>
                    <a:prstGeom prst="rect">
                      <a:avLst/>
                    </a:prstGeom>
                    <a:noFill/>
                    <a:ln>
                      <a:noFill/>
                    </a:ln>
                  </pic:spPr>
                </pic:pic>
              </a:graphicData>
            </a:graphic>
          </wp:inline>
        </w:drawing>
      </w:r>
      <w:r w:rsidR="002D1211">
        <w:rPr>
          <w:color w:val="FF0000"/>
        </w:rPr>
        <w:t xml:space="preserve"> </w:t>
      </w:r>
      <w:r w:rsidR="00063186" w:rsidRPr="00063186">
        <w:t xml:space="preserve">Chart 3.12 </w:t>
      </w:r>
      <w:r w:rsidR="00052851">
        <w:t>shows residential care provider EBITDA per</w:t>
      </w:r>
      <w:r w:rsidR="00052851">
        <w:rPr>
          <w:spacing w:val="-7"/>
        </w:rPr>
        <w:t xml:space="preserve"> </w:t>
      </w:r>
      <w:r w:rsidR="00052851">
        <w:t>resident</w:t>
      </w:r>
      <w:r w:rsidR="00052851">
        <w:rPr>
          <w:spacing w:val="-7"/>
        </w:rPr>
        <w:t xml:space="preserve"> </w:t>
      </w:r>
      <w:r w:rsidR="00052851">
        <w:t>by</w:t>
      </w:r>
      <w:r w:rsidR="00052851">
        <w:rPr>
          <w:spacing w:val="-7"/>
        </w:rPr>
        <w:t xml:space="preserve"> </w:t>
      </w:r>
      <w:r w:rsidR="00052851">
        <w:t>provider</w:t>
      </w:r>
      <w:r w:rsidR="00052851">
        <w:rPr>
          <w:spacing w:val="-7"/>
        </w:rPr>
        <w:t xml:space="preserve"> </w:t>
      </w:r>
      <w:r w:rsidR="00052851">
        <w:t>location</w:t>
      </w:r>
      <w:r w:rsidR="00052851">
        <w:rPr>
          <w:spacing w:val="-7"/>
        </w:rPr>
        <w:t xml:space="preserve"> </w:t>
      </w:r>
      <w:r w:rsidR="00052851">
        <w:t>for</w:t>
      </w:r>
      <w:r w:rsidR="00052851">
        <w:rPr>
          <w:spacing w:val="-7"/>
        </w:rPr>
        <w:t xml:space="preserve"> </w:t>
      </w:r>
      <w:r w:rsidR="00052851">
        <w:t>the</w:t>
      </w:r>
      <w:r w:rsidR="00052851">
        <w:rPr>
          <w:spacing w:val="-7"/>
        </w:rPr>
        <w:t xml:space="preserve"> </w:t>
      </w:r>
      <w:r w:rsidR="00052851">
        <w:t>last</w:t>
      </w:r>
      <w:r w:rsidR="00052851">
        <w:rPr>
          <w:spacing w:val="-7"/>
        </w:rPr>
        <w:t xml:space="preserve"> </w:t>
      </w:r>
      <w:r w:rsidR="00052851">
        <w:t>5</w:t>
      </w:r>
      <w:r w:rsidR="00052851">
        <w:rPr>
          <w:spacing w:val="-11"/>
        </w:rPr>
        <w:t xml:space="preserve"> </w:t>
      </w:r>
      <w:r w:rsidR="00052851">
        <w:t>years. Metropolitan providers once again significantly outperformed regional providers with an EBITDA</w:t>
      </w:r>
      <w:r w:rsidR="00052851">
        <w:rPr>
          <w:spacing w:val="40"/>
        </w:rPr>
        <w:t xml:space="preserve"> </w:t>
      </w:r>
      <w:r w:rsidR="00052851">
        <w:t>per resident of $</w:t>
      </w:r>
      <w:r w:rsidR="003B2AA8">
        <w:t>1,703</w:t>
      </w:r>
      <w:r w:rsidR="00052851">
        <w:t xml:space="preserve"> in 20</w:t>
      </w:r>
      <w:r w:rsidR="0021226A">
        <w:t>21-22</w:t>
      </w:r>
      <w:r w:rsidR="00052851">
        <w:t xml:space="preserve">, compared with </w:t>
      </w:r>
      <w:r w:rsidR="00052851">
        <w:rPr>
          <w:spacing w:val="-2"/>
        </w:rPr>
        <w:t>negative $</w:t>
      </w:r>
      <w:r w:rsidR="003B2AA8">
        <w:rPr>
          <w:spacing w:val="-2"/>
        </w:rPr>
        <w:t>5,325</w:t>
      </w:r>
      <w:r w:rsidR="00052851">
        <w:rPr>
          <w:spacing w:val="-2"/>
        </w:rPr>
        <w:t xml:space="preserve"> for regional providers. Since</w:t>
      </w:r>
      <w:r w:rsidR="00052851">
        <w:rPr>
          <w:spacing w:val="-6"/>
        </w:rPr>
        <w:t xml:space="preserve"> </w:t>
      </w:r>
      <w:r w:rsidR="00052851">
        <w:rPr>
          <w:spacing w:val="-2"/>
        </w:rPr>
        <w:t>201</w:t>
      </w:r>
      <w:r w:rsidR="003B2AA8">
        <w:rPr>
          <w:spacing w:val="-2"/>
        </w:rPr>
        <w:t>7-18</w:t>
      </w:r>
      <w:r w:rsidR="00052851">
        <w:rPr>
          <w:spacing w:val="-2"/>
        </w:rPr>
        <w:t xml:space="preserve">, </w:t>
      </w:r>
      <w:r w:rsidR="00052851">
        <w:t>the</w:t>
      </w:r>
      <w:r w:rsidR="00052851">
        <w:rPr>
          <w:spacing w:val="-5"/>
        </w:rPr>
        <w:t xml:space="preserve"> </w:t>
      </w:r>
      <w:r w:rsidR="00052851">
        <w:t>EBITDA</w:t>
      </w:r>
      <w:r w:rsidR="00052851">
        <w:rPr>
          <w:spacing w:val="-5"/>
        </w:rPr>
        <w:t xml:space="preserve"> </w:t>
      </w:r>
      <w:r w:rsidR="00052851">
        <w:t>per</w:t>
      </w:r>
      <w:r w:rsidR="00052851">
        <w:rPr>
          <w:spacing w:val="-5"/>
        </w:rPr>
        <w:t xml:space="preserve"> </w:t>
      </w:r>
      <w:r w:rsidR="00052851">
        <w:t>resident</w:t>
      </w:r>
      <w:r w:rsidR="00052851">
        <w:rPr>
          <w:spacing w:val="-5"/>
        </w:rPr>
        <w:t xml:space="preserve"> </w:t>
      </w:r>
      <w:r w:rsidR="00052851">
        <w:t>has</w:t>
      </w:r>
      <w:r w:rsidR="00052851">
        <w:rPr>
          <w:spacing w:val="-5"/>
        </w:rPr>
        <w:t xml:space="preserve"> </w:t>
      </w:r>
      <w:r w:rsidR="00052851">
        <w:t>declined</w:t>
      </w:r>
      <w:r w:rsidR="00052851">
        <w:rPr>
          <w:spacing w:val="-5"/>
        </w:rPr>
        <w:t xml:space="preserve"> </w:t>
      </w:r>
      <w:r w:rsidR="00052851">
        <w:t>by</w:t>
      </w:r>
      <w:r w:rsidR="00052851">
        <w:rPr>
          <w:spacing w:val="-5"/>
        </w:rPr>
        <w:t xml:space="preserve"> </w:t>
      </w:r>
      <w:r w:rsidR="00126E50">
        <w:t>83</w:t>
      </w:r>
      <w:r w:rsidR="00052851">
        <w:rPr>
          <w:spacing w:val="-9"/>
        </w:rPr>
        <w:t xml:space="preserve"> </w:t>
      </w:r>
      <w:r w:rsidR="00052851">
        <w:t>per</w:t>
      </w:r>
      <w:r w:rsidR="00052851">
        <w:rPr>
          <w:spacing w:val="-9"/>
        </w:rPr>
        <w:t xml:space="preserve"> </w:t>
      </w:r>
      <w:r w:rsidR="00052851">
        <w:t xml:space="preserve">cent for metropolitan providers and </w:t>
      </w:r>
      <w:r w:rsidR="00D75588">
        <w:t>297</w:t>
      </w:r>
      <w:r w:rsidR="00052851">
        <w:t xml:space="preserve"> per cent for regional providers.</w:t>
      </w:r>
      <w:bookmarkStart w:id="257" w:name="_Ref139553772"/>
    </w:p>
    <w:p w14:paraId="61ACCDFF" w14:textId="77777777" w:rsidR="00D00455" w:rsidRPr="008E2604" w:rsidRDefault="00D00455" w:rsidP="008E2604">
      <w:bookmarkStart w:id="258" w:name="_Toc149245231"/>
      <w:r w:rsidRPr="008E2604">
        <w:br w:type="page"/>
      </w:r>
    </w:p>
    <w:p w14:paraId="43A762C9" w14:textId="648FD559" w:rsidR="00B56168" w:rsidRPr="00176E1F" w:rsidRDefault="00434A28" w:rsidP="00176E1F">
      <w:pPr>
        <w:pStyle w:val="Caption"/>
        <w:rPr>
          <w:lang w:val="en-GB"/>
        </w:rPr>
      </w:pPr>
      <w:r>
        <w:lastRenderedPageBreak/>
        <w:t xml:space="preserve">Chart </w:t>
      </w:r>
      <w:r>
        <w:fldChar w:fldCharType="begin"/>
      </w:r>
      <w:r>
        <w:instrText>STYLEREF 1 \s</w:instrText>
      </w:r>
      <w:r>
        <w:fldChar w:fldCharType="separate"/>
      </w:r>
      <w:r w:rsidR="00294B02">
        <w:rPr>
          <w:noProof/>
        </w:rPr>
        <w:t>3</w:t>
      </w:r>
      <w:r>
        <w:fldChar w:fldCharType="end"/>
      </w:r>
      <w:r>
        <w:t>.</w:t>
      </w:r>
      <w:r>
        <w:fldChar w:fldCharType="begin"/>
      </w:r>
      <w:r>
        <w:instrText>SEQ Chart \* ARABIC \s 1</w:instrText>
      </w:r>
      <w:r>
        <w:fldChar w:fldCharType="separate"/>
      </w:r>
      <w:r w:rsidR="00294B02">
        <w:rPr>
          <w:noProof/>
        </w:rPr>
        <w:t>12</w:t>
      </w:r>
      <w:r>
        <w:fldChar w:fldCharType="end"/>
      </w:r>
      <w:bookmarkEnd w:id="257"/>
      <w:r>
        <w:t xml:space="preserve">: </w:t>
      </w:r>
      <w:r w:rsidRPr="009030FA">
        <w:t>Residential care provider EBITDA per resident, by provider location, 2017-18 to 2021-22</w:t>
      </w:r>
      <w:bookmarkEnd w:id="258"/>
    </w:p>
    <w:p w14:paraId="4D76EE00" w14:textId="01DCB44A" w:rsidR="00063186" w:rsidRPr="008E2604" w:rsidRDefault="008111BA" w:rsidP="008E2604">
      <w:r w:rsidRPr="008E2604">
        <w:rPr>
          <w:noProof/>
        </w:rPr>
        <w:drawing>
          <wp:inline distT="0" distB="0" distL="0" distR="0" wp14:anchorId="41DA815B" wp14:editId="362676A1">
            <wp:extent cx="5181600" cy="2456547"/>
            <wp:effectExtent l="0" t="0" r="0" b="1270"/>
            <wp:docPr id="554974767" name="Picture 554974767" descr="Chart 3.12 is a clustered column chart titled Residential care provider EBITDA per resident, by provider location, 2017-18 to 2021-22. Metropolitan providers significantly outperformed regional providers with an EBITDA per resident of $1,703 in 2021-22, compared with negative $5,325 for regional provid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74767" name="Picture 554974767" descr="Chart 3.12 is a clustered column chart titled Residential care provider EBITDA per resident, by provider location, 2017-18 to 2021-22. Metropolitan providers significantly outperformed regional providers with an EBITDA per resident of $1,703 in 2021-22, compared with negative $5,325 for regional providers.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99426" cy="2464998"/>
                    </a:xfrm>
                    <a:prstGeom prst="rect">
                      <a:avLst/>
                    </a:prstGeom>
                    <a:noFill/>
                    <a:ln>
                      <a:noFill/>
                    </a:ln>
                  </pic:spPr>
                </pic:pic>
              </a:graphicData>
            </a:graphic>
          </wp:inline>
        </w:drawing>
      </w:r>
    </w:p>
    <w:p w14:paraId="7C83C63A" w14:textId="19F05CF4" w:rsidR="00B56168" w:rsidRPr="00514D38" w:rsidRDefault="00063186" w:rsidP="00514D38">
      <w:pPr>
        <w:pStyle w:val="Caption"/>
        <w:rPr>
          <w:b w:val="0"/>
          <w:bCs w:val="0"/>
          <w:szCs w:val="24"/>
        </w:rPr>
      </w:pPr>
      <w:r>
        <w:rPr>
          <w:b w:val="0"/>
          <w:bCs w:val="0"/>
          <w:szCs w:val="24"/>
        </w:rPr>
        <w:t>Chart 3.13</w:t>
      </w:r>
      <w:r w:rsidR="00F456D7" w:rsidRPr="00514D38">
        <w:rPr>
          <w:b w:val="0"/>
          <w:bCs w:val="0"/>
          <w:szCs w:val="24"/>
        </w:rPr>
        <w:t xml:space="preserve"> </w:t>
      </w:r>
      <w:r w:rsidR="009740B0" w:rsidRPr="00514D38">
        <w:rPr>
          <w:b w:val="0"/>
          <w:bCs w:val="0"/>
          <w:szCs w:val="24"/>
        </w:rPr>
        <w:t xml:space="preserve">residential </w:t>
      </w:r>
      <w:r w:rsidR="00A730B9" w:rsidRPr="00514D38">
        <w:rPr>
          <w:b w:val="0"/>
          <w:bCs w:val="0"/>
          <w:szCs w:val="24"/>
        </w:rPr>
        <w:t xml:space="preserve">care provider </w:t>
      </w:r>
      <w:r w:rsidR="00471C9C" w:rsidRPr="00514D38">
        <w:rPr>
          <w:b w:val="0"/>
          <w:bCs w:val="0"/>
          <w:szCs w:val="24"/>
        </w:rPr>
        <w:t>EBITDA per resident per</w:t>
      </w:r>
      <w:r w:rsidR="00A730B9" w:rsidRPr="00514D38">
        <w:rPr>
          <w:b w:val="0"/>
          <w:bCs w:val="0"/>
          <w:szCs w:val="24"/>
        </w:rPr>
        <w:t xml:space="preserve"> year</w:t>
      </w:r>
      <w:r w:rsidR="00471C9C" w:rsidRPr="00514D38">
        <w:rPr>
          <w:b w:val="0"/>
          <w:bCs w:val="0"/>
          <w:szCs w:val="24"/>
        </w:rPr>
        <w:t xml:space="preserve"> by quartile and location. Regional providers in the top quartile reported </w:t>
      </w:r>
      <w:r w:rsidR="008D0D9E" w:rsidRPr="00514D38">
        <w:rPr>
          <w:b w:val="0"/>
          <w:bCs w:val="0"/>
          <w:szCs w:val="24"/>
        </w:rPr>
        <w:t>an average</w:t>
      </w:r>
      <w:r w:rsidR="00471C9C" w:rsidRPr="00514D38">
        <w:rPr>
          <w:b w:val="0"/>
          <w:bCs w:val="0"/>
          <w:szCs w:val="24"/>
        </w:rPr>
        <w:t xml:space="preserve"> EBITDA</w:t>
      </w:r>
      <w:r w:rsidR="008D0D9E" w:rsidRPr="00514D38">
        <w:rPr>
          <w:b w:val="0"/>
          <w:bCs w:val="0"/>
          <w:szCs w:val="24"/>
        </w:rPr>
        <w:t xml:space="preserve"> per resident of</w:t>
      </w:r>
      <w:r w:rsidR="00F50082" w:rsidRPr="00514D38">
        <w:rPr>
          <w:b w:val="0"/>
          <w:bCs w:val="0"/>
          <w:szCs w:val="24"/>
        </w:rPr>
        <w:t xml:space="preserve"> </w:t>
      </w:r>
      <w:r w:rsidR="00471C9C" w:rsidRPr="00514D38">
        <w:rPr>
          <w:b w:val="0"/>
          <w:bCs w:val="0"/>
          <w:szCs w:val="24"/>
        </w:rPr>
        <w:t>$</w:t>
      </w:r>
      <w:r w:rsidR="00F7011E" w:rsidRPr="00514D38">
        <w:rPr>
          <w:b w:val="0"/>
          <w:bCs w:val="0"/>
          <w:szCs w:val="24"/>
        </w:rPr>
        <w:t>19</w:t>
      </w:r>
      <w:r w:rsidR="00624C86" w:rsidRPr="00514D38">
        <w:rPr>
          <w:b w:val="0"/>
          <w:bCs w:val="0"/>
          <w:szCs w:val="24"/>
        </w:rPr>
        <w:t>,</w:t>
      </w:r>
      <w:r w:rsidR="00F7011E" w:rsidRPr="00514D38">
        <w:rPr>
          <w:b w:val="0"/>
          <w:bCs w:val="0"/>
          <w:szCs w:val="24"/>
        </w:rPr>
        <w:t>166</w:t>
      </w:r>
      <w:r w:rsidR="00DA3BB8" w:rsidRPr="00514D38">
        <w:rPr>
          <w:b w:val="0"/>
          <w:bCs w:val="0"/>
          <w:szCs w:val="24"/>
        </w:rPr>
        <w:t xml:space="preserve"> which was higher </w:t>
      </w:r>
      <w:r w:rsidR="00471C9C" w:rsidRPr="00514D38">
        <w:rPr>
          <w:b w:val="0"/>
          <w:bCs w:val="0"/>
          <w:szCs w:val="24"/>
        </w:rPr>
        <w:t xml:space="preserve">than metropolitan providers who </w:t>
      </w:r>
      <w:r w:rsidR="00DA3BB8" w:rsidRPr="00514D38">
        <w:rPr>
          <w:b w:val="0"/>
          <w:bCs w:val="0"/>
          <w:szCs w:val="24"/>
        </w:rPr>
        <w:t>reported $15,624</w:t>
      </w:r>
      <w:r w:rsidR="00471C9C" w:rsidRPr="00514D38">
        <w:rPr>
          <w:b w:val="0"/>
          <w:bCs w:val="0"/>
          <w:szCs w:val="24"/>
        </w:rPr>
        <w:t>. Regional providers</w:t>
      </w:r>
      <w:r w:rsidR="00A730B9" w:rsidRPr="00514D38">
        <w:rPr>
          <w:b w:val="0"/>
          <w:bCs w:val="0"/>
          <w:szCs w:val="24"/>
        </w:rPr>
        <w:t xml:space="preserve"> </w:t>
      </w:r>
      <w:r w:rsidR="00471C9C" w:rsidRPr="00514D38">
        <w:rPr>
          <w:b w:val="0"/>
          <w:bCs w:val="0"/>
          <w:szCs w:val="24"/>
        </w:rPr>
        <w:t>in the bottom quartile reported an average EBITDA of negative $2</w:t>
      </w:r>
      <w:r w:rsidR="00624C86" w:rsidRPr="00514D38">
        <w:rPr>
          <w:b w:val="0"/>
          <w:bCs w:val="0"/>
          <w:szCs w:val="24"/>
        </w:rPr>
        <w:t>9</w:t>
      </w:r>
      <w:r w:rsidR="00471C9C" w:rsidRPr="00514D38">
        <w:rPr>
          <w:b w:val="0"/>
          <w:bCs w:val="0"/>
          <w:szCs w:val="24"/>
        </w:rPr>
        <w:t>,</w:t>
      </w:r>
      <w:r w:rsidR="00624C86" w:rsidRPr="00514D38">
        <w:rPr>
          <w:b w:val="0"/>
          <w:bCs w:val="0"/>
          <w:szCs w:val="24"/>
        </w:rPr>
        <w:t>516</w:t>
      </w:r>
      <w:r w:rsidR="00471C9C" w:rsidRPr="00514D38">
        <w:rPr>
          <w:b w:val="0"/>
          <w:bCs w:val="0"/>
          <w:szCs w:val="24"/>
        </w:rPr>
        <w:t xml:space="preserve"> and metropolitan providers reported an average EBITDA of negative $1</w:t>
      </w:r>
      <w:r w:rsidR="00624C86" w:rsidRPr="00514D38">
        <w:rPr>
          <w:b w:val="0"/>
          <w:bCs w:val="0"/>
          <w:szCs w:val="24"/>
        </w:rPr>
        <w:t>9,259</w:t>
      </w:r>
      <w:r w:rsidR="00471C9C" w:rsidRPr="00514D38">
        <w:rPr>
          <w:b w:val="0"/>
          <w:bCs w:val="0"/>
          <w:szCs w:val="24"/>
        </w:rPr>
        <w:t xml:space="preserve"> per resident per </w:t>
      </w:r>
      <w:r w:rsidR="00624C86" w:rsidRPr="00514D38">
        <w:rPr>
          <w:b w:val="0"/>
          <w:bCs w:val="0"/>
          <w:szCs w:val="24"/>
        </w:rPr>
        <w:t>year</w:t>
      </w:r>
      <w:r w:rsidR="00471C9C" w:rsidRPr="00514D38">
        <w:rPr>
          <w:b w:val="0"/>
          <w:bCs w:val="0"/>
          <w:szCs w:val="24"/>
        </w:rPr>
        <w:t>.</w:t>
      </w:r>
    </w:p>
    <w:p w14:paraId="668C7990" w14:textId="6701081C" w:rsidR="00176E1F" w:rsidRDefault="00FC28BB" w:rsidP="00514D38">
      <w:r>
        <w:t xml:space="preserve">Metropolitan providers had a relatively consistent split between the quartiles, ranging from 20.6 per cent in the bottom quartile to </w:t>
      </w:r>
      <w:r w:rsidR="00ED5032">
        <w:t xml:space="preserve">27.8 per cent in the top quartile. However, regional providers had a much larger proportion of providers in the bottom quartile with </w:t>
      </w:r>
      <w:r w:rsidR="00B34B0B">
        <w:t xml:space="preserve">32.3 per cent. </w:t>
      </w:r>
      <w:r w:rsidR="00AF08B8">
        <w:t>Of the p</w:t>
      </w:r>
      <w:r w:rsidR="00B34B0B">
        <w:t>roviders who operated across metropolitan and regional</w:t>
      </w:r>
      <w:r w:rsidR="00EA51A2">
        <w:t xml:space="preserve"> areas</w:t>
      </w:r>
      <w:r w:rsidR="00AF08B8">
        <w:t>, 45 per cent of them were in the second highest quartile</w:t>
      </w:r>
      <w:r w:rsidR="001C544F">
        <w:t>,</w:t>
      </w:r>
      <w:r w:rsidR="00C179F9">
        <w:t xml:space="preserve"> while 24.2 per cent </w:t>
      </w:r>
      <w:r w:rsidR="00EA51A2">
        <w:t xml:space="preserve">were </w:t>
      </w:r>
      <w:r w:rsidR="00C179F9">
        <w:t xml:space="preserve">in the second lowest quartile. </w:t>
      </w:r>
      <w:bookmarkStart w:id="259" w:name="_Ref139553814"/>
    </w:p>
    <w:p w14:paraId="028A6D7B" w14:textId="094E63A8" w:rsidR="00D856F9" w:rsidRDefault="00434A28" w:rsidP="00434A28">
      <w:pPr>
        <w:pStyle w:val="Caption"/>
      </w:pPr>
      <w:bookmarkStart w:id="260" w:name="_Toc149245232"/>
      <w:r>
        <w:lastRenderedPageBreak/>
        <w:t xml:space="preserve">Chart </w:t>
      </w:r>
      <w:r>
        <w:fldChar w:fldCharType="begin"/>
      </w:r>
      <w:r>
        <w:instrText>STYLEREF 1 \s</w:instrText>
      </w:r>
      <w:r>
        <w:fldChar w:fldCharType="separate"/>
      </w:r>
      <w:r w:rsidR="00294B02">
        <w:rPr>
          <w:noProof/>
        </w:rPr>
        <w:t>3</w:t>
      </w:r>
      <w:r>
        <w:fldChar w:fldCharType="end"/>
      </w:r>
      <w:r>
        <w:t>.</w:t>
      </w:r>
      <w:r>
        <w:fldChar w:fldCharType="begin"/>
      </w:r>
      <w:r>
        <w:instrText>SEQ Chart \* ARABIC \s 1</w:instrText>
      </w:r>
      <w:r>
        <w:fldChar w:fldCharType="separate"/>
      </w:r>
      <w:r w:rsidR="00294B02">
        <w:rPr>
          <w:noProof/>
        </w:rPr>
        <w:t>13</w:t>
      </w:r>
      <w:r>
        <w:fldChar w:fldCharType="end"/>
      </w:r>
      <w:bookmarkEnd w:id="259"/>
      <w:r>
        <w:t xml:space="preserve">: </w:t>
      </w:r>
      <w:r w:rsidRPr="00EB7E73">
        <w:t>Residential care provider average EBITDA per resident per year, by quartile (number of providers in parentheses), by location, 2021-22</w:t>
      </w:r>
      <w:bookmarkEnd w:id="260"/>
    </w:p>
    <w:p w14:paraId="242C29FF" w14:textId="0427D291" w:rsidR="00B56168" w:rsidRPr="008E2604" w:rsidRDefault="00C81D5A" w:rsidP="008E2604">
      <w:r w:rsidRPr="008E2604">
        <w:rPr>
          <w:noProof/>
        </w:rPr>
        <w:drawing>
          <wp:inline distT="0" distB="0" distL="0" distR="0" wp14:anchorId="1A9D6B5A" wp14:editId="2CC7D168">
            <wp:extent cx="6023806" cy="2862470"/>
            <wp:effectExtent l="0" t="0" r="0" b="0"/>
            <wp:docPr id="554974768" name="Picture 554974768" descr="Chart 3.13 is a clustered column chart titled Residential care provider average EBITDA per resident per year, by quartile (number of providers in parentheses), by location, 2021-22. Regional providers in the top quartile reported a higher EBITDA ($19,166) than metropolitan providers who were in the top quartile ($15,624). Regional providers in the bottom quartile reported an average EBITDA of negative $29,516 and metropolitan providers reported an average EBITDA of negative $19,259 per resident per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74768" name="Picture 554974768" descr="Chart 3.13 is a clustered column chart titled Residential care provider average EBITDA per resident per year, by quartile (number of providers in parentheses), by location, 2021-22. Regional providers in the top quartile reported a higher EBITDA ($19,166) than metropolitan providers who were in the top quartile ($15,624). Regional providers in the bottom quartile reported an average EBITDA of negative $29,516 and metropolitan providers reported an average EBITDA of negative $19,259 per resident per year. "/>
                    <pic:cNvPicPr/>
                  </pic:nvPicPr>
                  <pic:blipFill>
                    <a:blip r:embed="rId82">
                      <a:extLst>
                        <a:ext uri="{28A0092B-C50C-407E-A947-70E740481C1C}">
                          <a14:useLocalDpi xmlns:a14="http://schemas.microsoft.com/office/drawing/2010/main" val="0"/>
                        </a:ext>
                      </a:extLst>
                    </a:blip>
                    <a:stretch>
                      <a:fillRect/>
                    </a:stretch>
                  </pic:blipFill>
                  <pic:spPr>
                    <a:xfrm>
                      <a:off x="0" y="0"/>
                      <a:ext cx="6023806" cy="2862470"/>
                    </a:xfrm>
                    <a:prstGeom prst="rect">
                      <a:avLst/>
                    </a:prstGeom>
                  </pic:spPr>
                </pic:pic>
              </a:graphicData>
            </a:graphic>
          </wp:inline>
        </w:drawing>
      </w:r>
    </w:p>
    <w:p w14:paraId="3AFAF511" w14:textId="3286B0F4" w:rsidR="00B56168" w:rsidRPr="00514D38" w:rsidRDefault="00063186" w:rsidP="00514D38">
      <w:pPr>
        <w:pStyle w:val="Caption"/>
        <w:rPr>
          <w:b w:val="0"/>
          <w:bCs w:val="0"/>
          <w:szCs w:val="24"/>
        </w:rPr>
      </w:pPr>
      <w:r>
        <w:rPr>
          <w:b w:val="0"/>
          <w:bCs w:val="0"/>
          <w:szCs w:val="24"/>
        </w:rPr>
        <w:t>Chart 3.14</w:t>
      </w:r>
      <w:r w:rsidR="00E92F3C" w:rsidRPr="00514D38">
        <w:rPr>
          <w:b w:val="0"/>
          <w:bCs w:val="0"/>
          <w:szCs w:val="24"/>
        </w:rPr>
        <w:t xml:space="preserve"> residential care provider average EBITDA per resident per </w:t>
      </w:r>
      <w:r w:rsidR="00185431" w:rsidRPr="00514D38">
        <w:rPr>
          <w:b w:val="0"/>
          <w:bCs w:val="0"/>
          <w:szCs w:val="24"/>
        </w:rPr>
        <w:t>year</w:t>
      </w:r>
      <w:r w:rsidR="00E92F3C" w:rsidRPr="00514D38">
        <w:rPr>
          <w:b w:val="0"/>
          <w:bCs w:val="0"/>
          <w:szCs w:val="24"/>
        </w:rPr>
        <w:t xml:space="preserve"> by quartile and scale.</w:t>
      </w:r>
      <w:r w:rsidR="00185431" w:rsidRPr="00514D38">
        <w:rPr>
          <w:b w:val="0"/>
          <w:bCs w:val="0"/>
          <w:szCs w:val="24"/>
        </w:rPr>
        <w:t xml:space="preserve"> </w:t>
      </w:r>
      <w:r w:rsidR="009175FB" w:rsidRPr="00514D38">
        <w:rPr>
          <w:b w:val="0"/>
          <w:bCs w:val="0"/>
          <w:szCs w:val="24"/>
        </w:rPr>
        <w:t>P</w:t>
      </w:r>
      <w:r w:rsidR="00E92F3C" w:rsidRPr="00514D38">
        <w:rPr>
          <w:b w:val="0"/>
          <w:bCs w:val="0"/>
          <w:szCs w:val="24"/>
        </w:rPr>
        <w:t>roviders</w:t>
      </w:r>
      <w:r w:rsidR="009175FB" w:rsidRPr="00514D38">
        <w:rPr>
          <w:b w:val="0"/>
          <w:bCs w:val="0"/>
          <w:szCs w:val="24"/>
        </w:rPr>
        <w:t xml:space="preserve"> with 2 to 6 </w:t>
      </w:r>
      <w:r w:rsidR="00850F3C" w:rsidRPr="00514D38">
        <w:rPr>
          <w:b w:val="0"/>
          <w:bCs w:val="0"/>
          <w:szCs w:val="24"/>
        </w:rPr>
        <w:t>facilities</w:t>
      </w:r>
      <w:r w:rsidR="00E92F3C" w:rsidRPr="00514D38">
        <w:rPr>
          <w:b w:val="0"/>
          <w:bCs w:val="0"/>
          <w:szCs w:val="24"/>
        </w:rPr>
        <w:t xml:space="preserve"> in the top quartile reported </w:t>
      </w:r>
      <w:r w:rsidR="009175FB" w:rsidRPr="00514D38">
        <w:rPr>
          <w:b w:val="0"/>
          <w:bCs w:val="0"/>
          <w:szCs w:val="24"/>
        </w:rPr>
        <w:t>$19,584</w:t>
      </w:r>
      <w:r w:rsidR="00E92F3C" w:rsidRPr="00514D38">
        <w:rPr>
          <w:b w:val="0"/>
          <w:bCs w:val="0"/>
          <w:szCs w:val="24"/>
        </w:rPr>
        <w:t xml:space="preserve"> EBITDA per resident</w:t>
      </w:r>
      <w:r w:rsidR="009175FB" w:rsidRPr="00514D38">
        <w:rPr>
          <w:b w:val="0"/>
          <w:bCs w:val="0"/>
          <w:szCs w:val="24"/>
        </w:rPr>
        <w:t>,</w:t>
      </w:r>
      <w:r w:rsidR="00E92F3C" w:rsidRPr="00514D38" w:rsidDel="009175FB">
        <w:rPr>
          <w:b w:val="0"/>
          <w:bCs w:val="0"/>
          <w:szCs w:val="24"/>
        </w:rPr>
        <w:t xml:space="preserve"> </w:t>
      </w:r>
      <w:r w:rsidR="009175FB" w:rsidRPr="00514D38">
        <w:rPr>
          <w:b w:val="0"/>
          <w:bCs w:val="0"/>
          <w:szCs w:val="24"/>
        </w:rPr>
        <w:t>which was higher</w:t>
      </w:r>
      <w:r w:rsidR="00850F3C" w:rsidRPr="00514D38">
        <w:rPr>
          <w:b w:val="0"/>
          <w:bCs w:val="0"/>
          <w:szCs w:val="24"/>
        </w:rPr>
        <w:t xml:space="preserve"> </w:t>
      </w:r>
      <w:r w:rsidR="00E92F3C" w:rsidRPr="00514D38">
        <w:rPr>
          <w:b w:val="0"/>
          <w:bCs w:val="0"/>
          <w:szCs w:val="24"/>
        </w:rPr>
        <w:t>than the</w:t>
      </w:r>
      <w:r w:rsidR="00185431" w:rsidRPr="00514D38">
        <w:rPr>
          <w:b w:val="0"/>
          <w:bCs w:val="0"/>
          <w:szCs w:val="24"/>
        </w:rPr>
        <w:t xml:space="preserve"> </w:t>
      </w:r>
      <w:r w:rsidR="00B90F4C" w:rsidRPr="00514D38">
        <w:rPr>
          <w:b w:val="0"/>
          <w:bCs w:val="0"/>
          <w:szCs w:val="24"/>
        </w:rPr>
        <w:t>other</w:t>
      </w:r>
      <w:r w:rsidR="00E92F3C" w:rsidRPr="00514D38">
        <w:rPr>
          <w:b w:val="0"/>
          <w:bCs w:val="0"/>
          <w:szCs w:val="24"/>
        </w:rPr>
        <w:t xml:space="preserve"> providers who were also in the top quartile. Providers with 20 or more facilities in the top quartile reported an average EBITDA per resident of $</w:t>
      </w:r>
      <w:r w:rsidR="00A43EC3" w:rsidRPr="00514D38">
        <w:rPr>
          <w:b w:val="0"/>
          <w:bCs w:val="0"/>
          <w:szCs w:val="24"/>
        </w:rPr>
        <w:t>9,928</w:t>
      </w:r>
      <w:r w:rsidR="00E92F3C" w:rsidRPr="00514D38">
        <w:rPr>
          <w:b w:val="0"/>
          <w:bCs w:val="0"/>
          <w:szCs w:val="24"/>
        </w:rPr>
        <w:t>.</w:t>
      </w:r>
    </w:p>
    <w:p w14:paraId="590AE602" w14:textId="65D75872" w:rsidR="001C2815" w:rsidRPr="00185431" w:rsidRDefault="00515839" w:rsidP="00B56168">
      <w:r>
        <w:t xml:space="preserve">Single facility providers had relatively consistent proportions in each quartile, with a range from </w:t>
      </w:r>
      <w:r w:rsidR="00AF5256">
        <w:t xml:space="preserve">22.5 per cent in the bottom quartile to 26.3 per cent in the top quartile. </w:t>
      </w:r>
      <w:r w:rsidR="00432818">
        <w:t xml:space="preserve">Providers operating 2 to 6 facilities </w:t>
      </w:r>
      <w:r w:rsidR="00E51C57">
        <w:t xml:space="preserve">had the largest proportion in the bottom quartile with </w:t>
      </w:r>
      <w:r w:rsidR="009141FE">
        <w:t xml:space="preserve">29.4 per cent of providers. However, there was also a relatively consistent split </w:t>
      </w:r>
      <w:r w:rsidR="009652C6">
        <w:t xml:space="preserve">across the other quartiles with </w:t>
      </w:r>
      <w:r w:rsidR="00E501CA">
        <w:t>24.9 per cent operating in the top quartile</w:t>
      </w:r>
      <w:r w:rsidR="004446A9">
        <w:t xml:space="preserve">, </w:t>
      </w:r>
      <w:r w:rsidR="008E0547">
        <w:t>21.7 per</w:t>
      </w:r>
      <w:r w:rsidR="00EB5E8F">
        <w:t xml:space="preserve"> </w:t>
      </w:r>
      <w:r w:rsidR="008E0547">
        <w:t xml:space="preserve">cent in the next top and 24 per cent in the </w:t>
      </w:r>
      <w:r w:rsidR="003D77C4">
        <w:t xml:space="preserve">third quartile. </w:t>
      </w:r>
      <w:r w:rsidR="00295A66">
        <w:t xml:space="preserve">Providers who operate between </w:t>
      </w:r>
      <w:r w:rsidR="00397AD2">
        <w:t>7 and 19 facilities had the highest proportion</w:t>
      </w:r>
      <w:r w:rsidR="00013F50">
        <w:t>s</w:t>
      </w:r>
      <w:r w:rsidR="00397AD2">
        <w:t xml:space="preserve"> in </w:t>
      </w:r>
      <w:r w:rsidR="00013F50">
        <w:t xml:space="preserve">the bottom with 32.7 per cent and the second quartile with 30.9 per cent. Finally, providers with 20 or more facilities </w:t>
      </w:r>
      <w:r w:rsidR="001849EF">
        <w:t xml:space="preserve">had the highest proportions in the middle two quartiles, with </w:t>
      </w:r>
      <w:r w:rsidR="00B204AA">
        <w:t xml:space="preserve">39.1 per cent being in the second highest quartile and 30.4 per cent in the </w:t>
      </w:r>
      <w:r w:rsidR="001A6332">
        <w:t xml:space="preserve">second lowest quartile. </w:t>
      </w:r>
    </w:p>
    <w:p w14:paraId="1A6BD860" w14:textId="52EA96B9" w:rsidR="00434A28" w:rsidRPr="00185431" w:rsidRDefault="00434A28" w:rsidP="00434A28">
      <w:pPr>
        <w:pStyle w:val="Caption"/>
      </w:pPr>
      <w:bookmarkStart w:id="261" w:name="_Ref139553845"/>
      <w:bookmarkStart w:id="262" w:name="_Toc149245233"/>
      <w:r>
        <w:lastRenderedPageBreak/>
        <w:t xml:space="preserve">Chart </w:t>
      </w:r>
      <w:r>
        <w:fldChar w:fldCharType="begin"/>
      </w:r>
      <w:r>
        <w:instrText>STYLEREF 1 \s</w:instrText>
      </w:r>
      <w:r>
        <w:fldChar w:fldCharType="separate"/>
      </w:r>
      <w:r w:rsidR="00294B02">
        <w:rPr>
          <w:noProof/>
        </w:rPr>
        <w:t>3</w:t>
      </w:r>
      <w:r>
        <w:fldChar w:fldCharType="end"/>
      </w:r>
      <w:r>
        <w:t>.</w:t>
      </w:r>
      <w:r>
        <w:fldChar w:fldCharType="begin"/>
      </w:r>
      <w:r>
        <w:instrText>SEQ Chart \* ARABIC \s 1</w:instrText>
      </w:r>
      <w:r>
        <w:fldChar w:fldCharType="separate"/>
      </w:r>
      <w:r w:rsidR="00294B02">
        <w:rPr>
          <w:noProof/>
        </w:rPr>
        <w:t>14</w:t>
      </w:r>
      <w:r>
        <w:fldChar w:fldCharType="end"/>
      </w:r>
      <w:bookmarkEnd w:id="261"/>
      <w:r>
        <w:t xml:space="preserve">: </w:t>
      </w:r>
      <w:r w:rsidRPr="00580211">
        <w:t>Residential care provider average EBITDA per resident per year, by quartile (number of providers in parentheses), by provider scale, 2021-22</w:t>
      </w:r>
      <w:bookmarkEnd w:id="262"/>
    </w:p>
    <w:p w14:paraId="7E673FE6" w14:textId="29856CD4" w:rsidR="00B56168" w:rsidRPr="008E2604" w:rsidRDefault="003C2D4C" w:rsidP="008E2604">
      <w:r w:rsidRPr="008E2604">
        <w:rPr>
          <w:noProof/>
        </w:rPr>
        <w:drawing>
          <wp:inline distT="0" distB="0" distL="0" distR="0" wp14:anchorId="4D642ECA" wp14:editId="6B4F6411">
            <wp:extent cx="6370982" cy="3045006"/>
            <wp:effectExtent l="0" t="0" r="0" b="3175"/>
            <wp:docPr id="554974769" name="Picture 554974769" descr="Chart 3.14 is a clustered column chart titled Residential care provider average EBITDA per resident per year, by quartile (number of providers in parentheses), by provider scale, 2021-22. Two to six facility providers in the top quartile reported a higher EBITDA per resident ($19,584) than other scale providers. Providers with 20 or more facilities in the top quartile reported the lowest average EBITDA per resident of $9,928. Conversely, two to six facility providers in the bottom quartile reported the worst EBITDA per resident (negative $25,3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74769" name="Picture 554974769" descr="Chart 3.14 is a clustered column chart titled Residential care provider average EBITDA per resident per year, by quartile (number of providers in parentheses), by provider scale, 2021-22. Two to six facility providers in the top quartile reported a higher EBITDA per resident ($19,584) than other scale providers. Providers with 20 or more facilities in the top quartile reported the lowest average EBITDA per resident of $9,928. Conversely, two to six facility providers in the bottom quartile reported the worst EBITDA per resident (negative $25,387).&#10;"/>
                    <pic:cNvPicPr/>
                  </pic:nvPicPr>
                  <pic:blipFill>
                    <a:blip r:embed="rId83">
                      <a:extLst>
                        <a:ext uri="{28A0092B-C50C-407E-A947-70E740481C1C}">
                          <a14:useLocalDpi xmlns:a14="http://schemas.microsoft.com/office/drawing/2010/main" val="0"/>
                        </a:ext>
                      </a:extLst>
                    </a:blip>
                    <a:stretch>
                      <a:fillRect/>
                    </a:stretch>
                  </pic:blipFill>
                  <pic:spPr>
                    <a:xfrm>
                      <a:off x="0" y="0"/>
                      <a:ext cx="6370982" cy="3045006"/>
                    </a:xfrm>
                    <a:prstGeom prst="rect">
                      <a:avLst/>
                    </a:prstGeom>
                  </pic:spPr>
                </pic:pic>
              </a:graphicData>
            </a:graphic>
          </wp:inline>
        </w:drawing>
      </w:r>
    </w:p>
    <w:p w14:paraId="49BEAD39" w14:textId="3B61E1FA" w:rsidR="00B56168" w:rsidRPr="00F21703" w:rsidRDefault="00434A28" w:rsidP="00B56168">
      <w:r>
        <w:rPr>
          <w:color w:val="FF0000"/>
        </w:rPr>
        <w:fldChar w:fldCharType="begin"/>
      </w:r>
      <w:r>
        <w:instrText xml:space="preserve"> REF _Ref139553876 \h </w:instrText>
      </w:r>
      <w:r>
        <w:rPr>
          <w:color w:val="FF0000"/>
        </w:rPr>
      </w:r>
      <w:r>
        <w:rPr>
          <w:color w:val="FF0000"/>
        </w:rPr>
        <w:fldChar w:fldCharType="separate"/>
      </w:r>
      <w:r w:rsidR="00294B02">
        <w:t xml:space="preserve">Chart </w:t>
      </w:r>
      <w:r w:rsidR="00294B02">
        <w:rPr>
          <w:noProof/>
        </w:rPr>
        <w:t>3</w:t>
      </w:r>
      <w:r w:rsidR="00294B02">
        <w:t>.</w:t>
      </w:r>
      <w:r w:rsidR="00294B02">
        <w:rPr>
          <w:noProof/>
        </w:rPr>
        <w:t>15</w:t>
      </w:r>
      <w:r>
        <w:rPr>
          <w:color w:val="FF0000"/>
        </w:rPr>
        <w:fldChar w:fldCharType="end"/>
      </w:r>
      <w:r w:rsidR="00C63673">
        <w:rPr>
          <w:color w:val="FF0000"/>
        </w:rPr>
        <w:t xml:space="preserve"> </w:t>
      </w:r>
      <w:r w:rsidR="000201DC" w:rsidRPr="00D52334">
        <w:t xml:space="preserve">shows </w:t>
      </w:r>
      <w:r w:rsidR="00330849" w:rsidRPr="00D52334">
        <w:t xml:space="preserve">residential </w:t>
      </w:r>
      <w:r w:rsidR="00C470EE" w:rsidRPr="00D52334">
        <w:t xml:space="preserve">care provider </w:t>
      </w:r>
      <w:r w:rsidR="00257A5B">
        <w:t>EBITDA per resident per year by provider scale for the last 4 years. In 2021</w:t>
      </w:r>
      <w:r w:rsidR="00D52334">
        <w:t>-22</w:t>
      </w:r>
      <w:r w:rsidR="00257A5B">
        <w:t xml:space="preserve">, providers with </w:t>
      </w:r>
      <w:r w:rsidR="00B53FE2">
        <w:t>single</w:t>
      </w:r>
      <w:r w:rsidR="00257A5B">
        <w:rPr>
          <w:spacing w:val="-7"/>
        </w:rPr>
        <w:t xml:space="preserve"> </w:t>
      </w:r>
      <w:r w:rsidR="00257A5B">
        <w:t>facilities</w:t>
      </w:r>
      <w:r w:rsidR="00257A5B">
        <w:rPr>
          <w:spacing w:val="-7"/>
        </w:rPr>
        <w:t xml:space="preserve"> </w:t>
      </w:r>
      <w:r w:rsidR="00257A5B">
        <w:t>were</w:t>
      </w:r>
      <w:r w:rsidR="00257A5B">
        <w:rPr>
          <w:spacing w:val="-7"/>
        </w:rPr>
        <w:t xml:space="preserve"> </w:t>
      </w:r>
      <w:r w:rsidR="00257A5B">
        <w:t>the</w:t>
      </w:r>
      <w:r w:rsidR="00257A5B">
        <w:rPr>
          <w:spacing w:val="-7"/>
        </w:rPr>
        <w:t xml:space="preserve"> </w:t>
      </w:r>
      <w:r w:rsidR="00257A5B">
        <w:t>best</w:t>
      </w:r>
      <w:r w:rsidR="00257A5B">
        <w:rPr>
          <w:spacing w:val="-7"/>
        </w:rPr>
        <w:t xml:space="preserve"> </w:t>
      </w:r>
      <w:r w:rsidR="00257A5B">
        <w:t>performing,</w:t>
      </w:r>
      <w:r w:rsidR="00257A5B">
        <w:rPr>
          <w:spacing w:val="-7"/>
        </w:rPr>
        <w:t xml:space="preserve"> </w:t>
      </w:r>
      <w:r w:rsidR="00257A5B">
        <w:t>reporting an</w:t>
      </w:r>
      <w:r w:rsidR="00257A5B">
        <w:rPr>
          <w:spacing w:val="-3"/>
        </w:rPr>
        <w:t xml:space="preserve"> </w:t>
      </w:r>
      <w:r w:rsidR="00257A5B">
        <w:t>average</w:t>
      </w:r>
      <w:r w:rsidR="00257A5B">
        <w:rPr>
          <w:spacing w:val="-3"/>
        </w:rPr>
        <w:t xml:space="preserve"> </w:t>
      </w:r>
      <w:r w:rsidR="00257A5B">
        <w:t>EBITDA</w:t>
      </w:r>
      <w:r w:rsidR="00257A5B">
        <w:rPr>
          <w:spacing w:val="-3"/>
        </w:rPr>
        <w:t xml:space="preserve"> </w:t>
      </w:r>
      <w:r w:rsidR="00257A5B">
        <w:t>of</w:t>
      </w:r>
      <w:r w:rsidR="00257A5B">
        <w:rPr>
          <w:spacing w:val="-3"/>
        </w:rPr>
        <w:t xml:space="preserve"> </w:t>
      </w:r>
      <w:r w:rsidR="00257A5B">
        <w:t>$</w:t>
      </w:r>
      <w:r w:rsidR="0002250A">
        <w:t>731</w:t>
      </w:r>
      <w:r w:rsidR="00477F79">
        <w:t xml:space="preserve"> per resident per year</w:t>
      </w:r>
      <w:r w:rsidR="00257A5B">
        <w:t>.</w:t>
      </w:r>
      <w:r w:rsidR="00257A5B">
        <w:rPr>
          <w:spacing w:val="-3"/>
        </w:rPr>
        <w:t xml:space="preserve"> </w:t>
      </w:r>
      <w:r w:rsidR="0002250A">
        <w:rPr>
          <w:spacing w:val="-3"/>
        </w:rPr>
        <w:t xml:space="preserve">Providers </w:t>
      </w:r>
      <w:r w:rsidR="00B10994">
        <w:rPr>
          <w:spacing w:val="-3"/>
        </w:rPr>
        <w:t xml:space="preserve">with 7 to 19 facilities </w:t>
      </w:r>
      <w:r w:rsidR="00257A5B">
        <w:t>were</w:t>
      </w:r>
      <w:r w:rsidR="00257A5B">
        <w:rPr>
          <w:spacing w:val="-8"/>
        </w:rPr>
        <w:t xml:space="preserve"> </w:t>
      </w:r>
      <w:r w:rsidR="00257A5B">
        <w:t>the</w:t>
      </w:r>
      <w:r w:rsidR="00257A5B">
        <w:rPr>
          <w:spacing w:val="-8"/>
        </w:rPr>
        <w:t xml:space="preserve"> </w:t>
      </w:r>
      <w:r w:rsidR="00257A5B">
        <w:t>next</w:t>
      </w:r>
      <w:r w:rsidR="00257A5B">
        <w:rPr>
          <w:spacing w:val="-8"/>
        </w:rPr>
        <w:t xml:space="preserve"> </w:t>
      </w:r>
      <w:r w:rsidR="00257A5B">
        <w:t>best</w:t>
      </w:r>
      <w:r w:rsidR="00257A5B">
        <w:rPr>
          <w:spacing w:val="-8"/>
        </w:rPr>
        <w:t xml:space="preserve"> </w:t>
      </w:r>
      <w:r w:rsidR="00257A5B">
        <w:t>with</w:t>
      </w:r>
      <w:r w:rsidR="00257A5B">
        <w:rPr>
          <w:spacing w:val="-8"/>
        </w:rPr>
        <w:t xml:space="preserve"> </w:t>
      </w:r>
      <w:r w:rsidR="00257A5B">
        <w:t>EBITDA</w:t>
      </w:r>
      <w:r w:rsidR="00257A5B">
        <w:rPr>
          <w:spacing w:val="-8"/>
        </w:rPr>
        <w:t xml:space="preserve"> </w:t>
      </w:r>
      <w:r w:rsidR="00257A5B">
        <w:t>per</w:t>
      </w:r>
      <w:r w:rsidR="00257A5B">
        <w:rPr>
          <w:spacing w:val="-8"/>
        </w:rPr>
        <w:t xml:space="preserve"> </w:t>
      </w:r>
      <w:r w:rsidR="00257A5B">
        <w:t>resident</w:t>
      </w:r>
      <w:r w:rsidR="00257A5B">
        <w:rPr>
          <w:spacing w:val="-8"/>
        </w:rPr>
        <w:t xml:space="preserve"> </w:t>
      </w:r>
      <w:r w:rsidR="00257A5B">
        <w:t>of</w:t>
      </w:r>
      <w:r w:rsidR="00257A5B">
        <w:rPr>
          <w:spacing w:val="-8"/>
        </w:rPr>
        <w:t xml:space="preserve"> </w:t>
      </w:r>
      <w:r w:rsidR="00257A5B">
        <w:t>$</w:t>
      </w:r>
      <w:r w:rsidR="00B10994">
        <w:t>503</w:t>
      </w:r>
      <w:r w:rsidR="00257A5B">
        <w:t>. Providers with 2</w:t>
      </w:r>
      <w:r w:rsidR="00B10994">
        <w:t xml:space="preserve">0 or more </w:t>
      </w:r>
      <w:r w:rsidR="00257A5B">
        <w:t xml:space="preserve">facilities reported the lowest EBITDA </w:t>
      </w:r>
      <w:r w:rsidR="00F21703">
        <w:t>for 2021-22 (negative $622)</w:t>
      </w:r>
      <w:r w:rsidR="00257A5B">
        <w:t>.</w:t>
      </w:r>
    </w:p>
    <w:p w14:paraId="722A879D" w14:textId="4DF2D135" w:rsidR="000927DC" w:rsidRDefault="00434A28" w:rsidP="00B40A84">
      <w:pPr>
        <w:pStyle w:val="Caption"/>
        <w:rPr>
          <w:lang w:val="en-GB"/>
        </w:rPr>
      </w:pPr>
      <w:bookmarkStart w:id="263" w:name="_Ref139553876"/>
      <w:bookmarkStart w:id="264" w:name="_Toc149245234"/>
      <w:r>
        <w:t xml:space="preserve">Chart </w:t>
      </w:r>
      <w:r>
        <w:fldChar w:fldCharType="begin"/>
      </w:r>
      <w:r>
        <w:instrText>STYLEREF 1 \s</w:instrText>
      </w:r>
      <w:r>
        <w:fldChar w:fldCharType="separate"/>
      </w:r>
      <w:r w:rsidR="00294B02">
        <w:rPr>
          <w:noProof/>
        </w:rPr>
        <w:t>3</w:t>
      </w:r>
      <w:r>
        <w:fldChar w:fldCharType="end"/>
      </w:r>
      <w:r>
        <w:t>.</w:t>
      </w:r>
      <w:r>
        <w:fldChar w:fldCharType="begin"/>
      </w:r>
      <w:r>
        <w:instrText>SEQ Chart \* ARABIC \s 1</w:instrText>
      </w:r>
      <w:r>
        <w:fldChar w:fldCharType="separate"/>
      </w:r>
      <w:r w:rsidR="00294B02">
        <w:rPr>
          <w:noProof/>
        </w:rPr>
        <w:t>15</w:t>
      </w:r>
      <w:r>
        <w:fldChar w:fldCharType="end"/>
      </w:r>
      <w:bookmarkEnd w:id="263"/>
      <w:r>
        <w:t xml:space="preserve">: </w:t>
      </w:r>
      <w:r w:rsidRPr="00E957D5">
        <w:t>Residential care provider EBITDA per resident per year, by provider scale</w:t>
      </w:r>
      <w:r w:rsidR="00735256">
        <w:t xml:space="preserve"> </w:t>
      </w:r>
      <w:r w:rsidR="00536A89">
        <w:t>(</w:t>
      </w:r>
      <w:r w:rsidR="00735256">
        <w:t>number of providers in parentheses)</w:t>
      </w:r>
      <w:r w:rsidRPr="00E957D5">
        <w:t>, 2018-19 to 2021-22</w:t>
      </w:r>
      <w:bookmarkEnd w:id="264"/>
    </w:p>
    <w:p w14:paraId="54E1D189" w14:textId="77777777" w:rsidR="00B13D8E" w:rsidRPr="008E2604" w:rsidRDefault="005824AE" w:rsidP="008E2604">
      <w:pPr>
        <w:sectPr w:rsidR="00B13D8E" w:rsidRPr="008E2604" w:rsidSect="000D706A">
          <w:headerReference w:type="even" r:id="rId84"/>
          <w:headerReference w:type="default" r:id="rId85"/>
          <w:footerReference w:type="even" r:id="rId86"/>
          <w:headerReference w:type="first" r:id="rId87"/>
          <w:pgSz w:w="11906" w:h="16838"/>
          <w:pgMar w:top="1701" w:right="1418" w:bottom="1418" w:left="1418" w:header="709" w:footer="709" w:gutter="0"/>
          <w:cols w:space="708"/>
          <w:docGrid w:linePitch="360"/>
        </w:sectPr>
      </w:pPr>
      <w:r w:rsidRPr="008E2604">
        <w:rPr>
          <w:noProof/>
        </w:rPr>
        <w:drawing>
          <wp:inline distT="0" distB="0" distL="0" distR="0" wp14:anchorId="19AA0E52" wp14:editId="6B02FA23">
            <wp:extent cx="4751294" cy="3061921"/>
            <wp:effectExtent l="0" t="0" r="0" b="5715"/>
            <wp:docPr id="15" name="Picture 15" descr="Chart 3.15 is a clustered column chart titled Residential care provider EBITDA per resident per year, by provider scale, (number of providers in parentheses), 2018-19 to 2021-22. In 2021-22, providers with single facilities were the best performing, reporting an average EBITDA of $731. 7 to 19 facility providers were the next best with an EBITDA per resident of $503. Providers with 2 to 6 facilities reported average EBITDA per resident of negative $349. Providers with 20 or more facilities reported the lowest EBITDA per year of negative $622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3.15 is a clustered column chart titled Residential care provider EBITDA per resident per year, by provider scale, (number of providers in parentheses), 2018-19 to 2021-22. In 2021-22, providers with single facilities were the best performing, reporting an average EBITDA of $731. 7 to 19 facility providers were the next best with an EBITDA per resident of $503. Providers with 2 to 6 facilities reported average EBITDA per resident of negative $349. Providers with 20 or more facilities reported the lowest EBITDA per year of negative $622 in 2021-22.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76024" cy="3077858"/>
                    </a:xfrm>
                    <a:prstGeom prst="rect">
                      <a:avLst/>
                    </a:prstGeom>
                    <a:noFill/>
                  </pic:spPr>
                </pic:pic>
              </a:graphicData>
            </a:graphic>
          </wp:inline>
        </w:drawing>
      </w:r>
    </w:p>
    <w:p w14:paraId="7095C88A" w14:textId="6CE911C4" w:rsidR="00664AED" w:rsidRPr="008E2604" w:rsidRDefault="00B13D8E" w:rsidP="008E2604">
      <w:r w:rsidRPr="008E2604">
        <w:rPr>
          <w:noProof/>
        </w:rPr>
        <w:lastRenderedPageBreak/>
        <w:drawing>
          <wp:anchor distT="0" distB="0" distL="114300" distR="114300" simplePos="0" relativeHeight="251658240" behindDoc="0" locked="0" layoutInCell="1" allowOverlap="1" wp14:anchorId="51DCC3D5" wp14:editId="445B7F85">
            <wp:simplePos x="0" y="0"/>
            <wp:positionH relativeFrom="page">
              <wp:align>left</wp:align>
            </wp:positionH>
            <wp:positionV relativeFrom="paragraph">
              <wp:posOffset>-1183341</wp:posOffset>
            </wp:positionV>
            <wp:extent cx="7628021" cy="9886991"/>
            <wp:effectExtent l="0" t="0" r="0" b="0"/>
            <wp:wrapNone/>
            <wp:docPr id="29" name="Picture 29" descr="The infographic at the beginning of Chapter 4 titled Residential care: balance sheet, shows a summary of the balance sheet in residential care for 2021-22.  The residential care provider net worth/equity was $8.29 billion, a reduction on 2020-21 by 20 per cent. The average value of RADs was $350,000, an increase of $6,000 on 2020-21. There was a total pool of accommodation deposits held totalling $35 billion, an increase of 4.3 per cent on 2020-21. The current ration was 0.40, a decrease of 0.12. The average debt ratio 0.85, a decrease of 0.03. The net worth percentage of total assets was 14.6%, 3.5 percentage points down on 2020-21. The EBITDA to total assets was 0.00 per cent, a decrease of 1.2 percentage points on the previous year. There was 2.7% of providers planning upgrades and 0.5% of providers planning re-builds in 2021-2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he infographic at the beginning of Chapter 4 titled Residential care: balance sheet, shows a summary of the balance sheet in residential care for 2021-22.  The residential care provider net worth/equity was $8.29 billion, a reduction on 2020-21 by 20 per cent. The average value of RADs was $350,000, an increase of $6,000 on 2020-21. There was a total pool of accommodation deposits held totalling $35 billion, an increase of 4.3 per cent on 2020-21. The current ration was 0.40, a decrease of 0.12. The average debt ratio 0.85, a decrease of 0.03. The net worth percentage of total assets was 14.6%, 3.5 percentage points down on 2020-21. The EBITDA to total assets was 0.00 per cent, a decrease of 1.2 percentage points on the previous year. There was 2.7% of providers planning upgrades and 0.5% of providers planning re-builds in 2021-22.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8021" cy="98869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4AED" w:rsidRPr="008E2604">
        <w:br w:type="page"/>
      </w:r>
    </w:p>
    <w:p w14:paraId="7D4A3BE5" w14:textId="026EC51D" w:rsidR="008A2CC7" w:rsidRPr="00754912" w:rsidRDefault="008A2CC7" w:rsidP="00A20D31">
      <w:pPr>
        <w:pStyle w:val="Heading1"/>
      </w:pPr>
      <w:bookmarkStart w:id="265" w:name="_Toc149245325"/>
      <w:r>
        <w:lastRenderedPageBreak/>
        <w:t>Residential care</w:t>
      </w:r>
      <w:r w:rsidR="004D6D3C">
        <w:t>:</w:t>
      </w:r>
      <w:r w:rsidR="008B63CB">
        <w:t xml:space="preserve"> balance sheet</w:t>
      </w:r>
      <w:bookmarkEnd w:id="265"/>
    </w:p>
    <w:p w14:paraId="5DDF698D" w14:textId="77777777" w:rsidR="006B6A17" w:rsidRPr="006B6A17" w:rsidRDefault="006B6A17" w:rsidP="006B6A17">
      <w:r w:rsidRPr="006B6A17">
        <w:t>Capital for residential care providers is comprised of:</w:t>
      </w:r>
    </w:p>
    <w:p w14:paraId="5EE1338B" w14:textId="1CD5C063" w:rsidR="006B6A17" w:rsidRPr="006B6A17" w:rsidRDefault="006B6A17" w:rsidP="00D90089">
      <w:pPr>
        <w:pStyle w:val="ListBullet"/>
      </w:pPr>
      <w:r w:rsidRPr="006B6A17">
        <w:t xml:space="preserve">equity, including retained </w:t>
      </w:r>
      <w:proofErr w:type="gramStart"/>
      <w:r w:rsidRPr="006B6A17">
        <w:t>earnings</w:t>
      </w:r>
      <w:proofErr w:type="gramEnd"/>
    </w:p>
    <w:p w14:paraId="008335DD" w14:textId="3D27E44D" w:rsidR="006B6A17" w:rsidRPr="006B6A17" w:rsidRDefault="006B6A17" w:rsidP="00D90089">
      <w:pPr>
        <w:pStyle w:val="ListBullet"/>
      </w:pPr>
      <w:r w:rsidRPr="006B6A17">
        <w:t>loans from financial or other institutions</w:t>
      </w:r>
    </w:p>
    <w:p w14:paraId="44B61502" w14:textId="028D08CE" w:rsidR="006B6A17" w:rsidRPr="006B6A17" w:rsidRDefault="006B6A17" w:rsidP="00D90089">
      <w:pPr>
        <w:pStyle w:val="ListBullet"/>
      </w:pPr>
      <w:r w:rsidRPr="006B6A17">
        <w:t xml:space="preserve">interest free loans from residents in the form of lump sum </w:t>
      </w:r>
      <w:r w:rsidR="006F43F8">
        <w:t>Refundable Accommodation Deposits (</w:t>
      </w:r>
      <w:r w:rsidRPr="006B6A17">
        <w:t>RADs</w:t>
      </w:r>
      <w:r w:rsidR="006F43F8">
        <w:t>)</w:t>
      </w:r>
      <w:r w:rsidRPr="006B6A17">
        <w:t xml:space="preserve"> (bonds </w:t>
      </w:r>
      <w:proofErr w:type="gramStart"/>
      <w:r w:rsidRPr="006B6A17">
        <w:t>pre 1 July 2014</w:t>
      </w:r>
      <w:proofErr w:type="gramEnd"/>
      <w:r w:rsidRPr="006B6A17">
        <w:t>)</w:t>
      </w:r>
    </w:p>
    <w:p w14:paraId="1850D0A3" w14:textId="57D7D964" w:rsidR="006B6A17" w:rsidRPr="006B6A17" w:rsidRDefault="006B6A17" w:rsidP="00D90089">
      <w:pPr>
        <w:pStyle w:val="ListBullet"/>
      </w:pPr>
      <w:r w:rsidRPr="006B6A17">
        <w:t>capital investment support from the Australian Government by way of capital grants for eligible projects and</w:t>
      </w:r>
    </w:p>
    <w:p w14:paraId="6F60B329" w14:textId="2EF829AE" w:rsidR="006B6A17" w:rsidRDefault="006B6A17" w:rsidP="00D90089">
      <w:pPr>
        <w:pStyle w:val="ListBullet"/>
      </w:pPr>
      <w:r w:rsidRPr="006B6A17">
        <w:t>capital endowments.</w:t>
      </w:r>
    </w:p>
    <w:p w14:paraId="151257D1" w14:textId="77777777" w:rsidR="00764547" w:rsidRPr="006B6A17" w:rsidRDefault="00764547" w:rsidP="00764547">
      <w:r w:rsidRPr="006B6A17">
        <w:t>Lump sum RADs paid by residents, which act as interest free loans to providers, were a significant source of funding for capital investment in residential care.</w:t>
      </w:r>
    </w:p>
    <w:p w14:paraId="7BBF9C5A" w14:textId="1CAF5F54" w:rsidR="00764547" w:rsidRPr="006B6A17" w:rsidRDefault="00764547" w:rsidP="00764547">
      <w:r w:rsidRPr="006B6A17">
        <w:t>The investment of accommodation deposits held by providers was a source of interest income</w:t>
      </w:r>
      <w:r w:rsidR="00063389">
        <w:t xml:space="preserve">, </w:t>
      </w:r>
      <w:r w:rsidRPr="006B6A17">
        <w:t xml:space="preserve">included in the </w:t>
      </w:r>
      <w:r w:rsidR="00581060">
        <w:t>accommodation and finance</w:t>
      </w:r>
      <w:r w:rsidRPr="006B6A17">
        <w:t xml:space="preserve"> income reported by providers in their operating statement.</w:t>
      </w:r>
    </w:p>
    <w:p w14:paraId="00DE2814" w14:textId="285401BB" w:rsidR="00764547" w:rsidRPr="00CA7FEF" w:rsidRDefault="00764547" w:rsidP="00764547">
      <w:r w:rsidRPr="006B6A17">
        <w:t xml:space="preserve">As an alternative to RADs, residents can choose to pay a Daily Accommodation Payment (DAP) or a combination of a RAD and DAP. </w:t>
      </w:r>
      <w:r w:rsidR="002A288D" w:rsidRPr="002A288D">
        <w:t xml:space="preserve">Partially supported residents contribute towards </w:t>
      </w:r>
      <w:r w:rsidR="00063389">
        <w:t xml:space="preserve">their </w:t>
      </w:r>
      <w:r w:rsidR="002A288D" w:rsidRPr="002A288D">
        <w:t>accommodation</w:t>
      </w:r>
      <w:r w:rsidR="00063389">
        <w:t xml:space="preserve"> costs through</w:t>
      </w:r>
      <w:r w:rsidR="002A288D" w:rsidRPr="002A288D">
        <w:t xml:space="preserve"> a Refundable Accommodation Contribution (RAC) or Daily Accommodation Contribution (DAC). </w:t>
      </w:r>
      <w:r w:rsidR="00CA6BB9" w:rsidRPr="00CA6BB9">
        <w:t>Fully supported residents cannot be asked to contribute towards their accommodation costs</w:t>
      </w:r>
      <w:r w:rsidR="002A288D" w:rsidRPr="002A288D">
        <w:t>.</w:t>
      </w:r>
      <w:r w:rsidR="002A288D">
        <w:t xml:space="preserve"> </w:t>
      </w:r>
      <w:r w:rsidRPr="006B6A17">
        <w:t>In this report, references to RADs also include RACs and references to DAPs include DACs.</w:t>
      </w:r>
    </w:p>
    <w:p w14:paraId="72FD3D8A" w14:textId="0E985AA4" w:rsidR="00EE32D3" w:rsidRDefault="007C2BFB" w:rsidP="008A35F3">
      <w:pPr>
        <w:pStyle w:val="Heading2"/>
      </w:pPr>
      <w:bookmarkStart w:id="266" w:name="_Toc149245326"/>
      <w:r>
        <w:t>Balance sheet</w:t>
      </w:r>
      <w:bookmarkEnd w:id="266"/>
    </w:p>
    <w:p w14:paraId="052461C9" w14:textId="3B598B55" w:rsidR="00D365F9" w:rsidRDefault="00C13901" w:rsidP="00042015">
      <w:r>
        <w:fldChar w:fldCharType="begin"/>
      </w:r>
      <w:r>
        <w:instrText xml:space="preserve"> REF _Ref139548511 \h </w:instrText>
      </w:r>
      <w:r>
        <w:fldChar w:fldCharType="separate"/>
      </w:r>
      <w:r w:rsidR="00294B02">
        <w:t xml:space="preserve">Table </w:t>
      </w:r>
      <w:r w:rsidR="00294B02">
        <w:rPr>
          <w:noProof/>
        </w:rPr>
        <w:t>4</w:t>
      </w:r>
      <w:r w:rsidR="00294B02">
        <w:t>.</w:t>
      </w:r>
      <w:r w:rsidR="00294B02">
        <w:rPr>
          <w:noProof/>
        </w:rPr>
        <w:t>1</w:t>
      </w:r>
      <w:r>
        <w:fldChar w:fldCharType="end"/>
      </w:r>
      <w:r w:rsidR="00293027">
        <w:t xml:space="preserve"> </w:t>
      </w:r>
      <w:r w:rsidR="007B78DB">
        <w:t>shows</w:t>
      </w:r>
      <w:r w:rsidR="007B78DB">
        <w:rPr>
          <w:spacing w:val="-11"/>
        </w:rPr>
        <w:t xml:space="preserve"> </w:t>
      </w:r>
      <w:r w:rsidR="007B78DB">
        <w:t>a</w:t>
      </w:r>
      <w:r w:rsidR="007B78DB">
        <w:rPr>
          <w:spacing w:val="-11"/>
        </w:rPr>
        <w:t xml:space="preserve"> </w:t>
      </w:r>
      <w:r w:rsidR="007B78DB">
        <w:t>high</w:t>
      </w:r>
      <w:r w:rsidR="006F43F8">
        <w:rPr>
          <w:spacing w:val="-11"/>
        </w:rPr>
        <w:t>-</w:t>
      </w:r>
      <w:r w:rsidR="007B78DB">
        <w:rPr>
          <w:spacing w:val="-11"/>
        </w:rPr>
        <w:t xml:space="preserve">level </w:t>
      </w:r>
      <w:r w:rsidR="007B78DB">
        <w:t>balance</w:t>
      </w:r>
      <w:r w:rsidR="007B78DB">
        <w:rPr>
          <w:spacing w:val="-11"/>
        </w:rPr>
        <w:t xml:space="preserve"> </w:t>
      </w:r>
      <w:r w:rsidR="007B78DB">
        <w:t>sheet</w:t>
      </w:r>
      <w:r w:rsidR="007B78DB">
        <w:rPr>
          <w:spacing w:val="-10"/>
        </w:rPr>
        <w:t xml:space="preserve"> </w:t>
      </w:r>
      <w:r w:rsidR="007B78DB">
        <w:t>summary for residential care providers for the last 5</w:t>
      </w:r>
      <w:r w:rsidR="007B78DB">
        <w:rPr>
          <w:spacing w:val="-2"/>
        </w:rPr>
        <w:t xml:space="preserve"> </w:t>
      </w:r>
      <w:r w:rsidR="007B78DB">
        <w:t xml:space="preserve">years. </w:t>
      </w:r>
      <w:proofErr w:type="gramStart"/>
      <w:r w:rsidR="007B78DB">
        <w:t>At</w:t>
      </w:r>
      <w:proofErr w:type="gramEnd"/>
      <w:r w:rsidR="00D45F7B">
        <w:t xml:space="preserve"> </w:t>
      </w:r>
      <w:r w:rsidR="007B78DB">
        <w:t>30</w:t>
      </w:r>
      <w:r w:rsidR="007B78DB">
        <w:rPr>
          <w:spacing w:val="-8"/>
        </w:rPr>
        <w:t xml:space="preserve"> </w:t>
      </w:r>
      <w:r w:rsidR="007B78DB">
        <w:t>June</w:t>
      </w:r>
      <w:r w:rsidR="007B78DB">
        <w:rPr>
          <w:spacing w:val="-8"/>
        </w:rPr>
        <w:t xml:space="preserve"> </w:t>
      </w:r>
      <w:r w:rsidR="007B78DB">
        <w:t>202</w:t>
      </w:r>
      <w:r w:rsidR="00D45F7B">
        <w:t>2</w:t>
      </w:r>
      <w:r w:rsidR="007B78DB">
        <w:t>,</w:t>
      </w:r>
      <w:r w:rsidR="007B78DB">
        <w:rPr>
          <w:spacing w:val="-3"/>
        </w:rPr>
        <w:t xml:space="preserve"> </w:t>
      </w:r>
      <w:r w:rsidR="007B78DB">
        <w:t>the</w:t>
      </w:r>
      <w:r w:rsidR="007B78DB">
        <w:rPr>
          <w:spacing w:val="-3"/>
        </w:rPr>
        <w:t xml:space="preserve"> </w:t>
      </w:r>
      <w:r w:rsidR="007B78DB">
        <w:t>sector</w:t>
      </w:r>
      <w:r w:rsidR="007B78DB">
        <w:rPr>
          <w:spacing w:val="-4"/>
        </w:rPr>
        <w:t xml:space="preserve"> </w:t>
      </w:r>
      <w:r w:rsidR="007B78DB">
        <w:t>had</w:t>
      </w:r>
      <w:r w:rsidR="007B78DB">
        <w:rPr>
          <w:spacing w:val="-3"/>
        </w:rPr>
        <w:t xml:space="preserve"> </w:t>
      </w:r>
      <w:r w:rsidR="007B78DB">
        <w:t>total</w:t>
      </w:r>
      <w:r w:rsidR="007B78DB">
        <w:rPr>
          <w:spacing w:val="-3"/>
        </w:rPr>
        <w:t xml:space="preserve"> </w:t>
      </w:r>
      <w:r w:rsidR="007B78DB">
        <w:t>assets</w:t>
      </w:r>
      <w:r w:rsidR="007B78DB">
        <w:rPr>
          <w:spacing w:val="-3"/>
        </w:rPr>
        <w:t xml:space="preserve"> </w:t>
      </w:r>
      <w:r w:rsidR="007B78DB">
        <w:rPr>
          <w:spacing w:val="-7"/>
        </w:rPr>
        <w:t>of</w:t>
      </w:r>
      <w:r w:rsidR="00D45F7B">
        <w:t xml:space="preserve"> </w:t>
      </w:r>
      <w:r w:rsidR="007B78DB">
        <w:t>$5</w:t>
      </w:r>
      <w:r w:rsidR="00D45F7B">
        <w:t>6</w:t>
      </w:r>
      <w:r w:rsidR="0019588A">
        <w:t>.6</w:t>
      </w:r>
      <w:r w:rsidR="007B78DB">
        <w:rPr>
          <w:spacing w:val="-11"/>
        </w:rPr>
        <w:t xml:space="preserve"> </w:t>
      </w:r>
      <w:r w:rsidR="007B78DB">
        <w:t>billion</w:t>
      </w:r>
      <w:r w:rsidR="0019588A">
        <w:t>, the first decrease</w:t>
      </w:r>
      <w:r w:rsidR="000B28BA">
        <w:t xml:space="preserve"> in the past 5 years</w:t>
      </w:r>
      <w:r w:rsidR="007B78DB">
        <w:t>.</w:t>
      </w:r>
      <w:r w:rsidR="007B78DB">
        <w:rPr>
          <w:spacing w:val="-11"/>
        </w:rPr>
        <w:t xml:space="preserve"> </w:t>
      </w:r>
      <w:r w:rsidR="007B78DB">
        <w:t>Financial</w:t>
      </w:r>
      <w:r w:rsidR="007B78DB">
        <w:rPr>
          <w:spacing w:val="-11"/>
        </w:rPr>
        <w:t xml:space="preserve"> </w:t>
      </w:r>
      <w:r w:rsidR="007B78DB">
        <w:t>assets</w:t>
      </w:r>
      <w:r w:rsidR="007B78DB">
        <w:rPr>
          <w:spacing w:val="-11"/>
        </w:rPr>
        <w:t xml:space="preserve"> </w:t>
      </w:r>
      <w:r w:rsidR="007B78DB">
        <w:t>were</w:t>
      </w:r>
      <w:r w:rsidR="007B78DB">
        <w:rPr>
          <w:spacing w:val="-11"/>
        </w:rPr>
        <w:t xml:space="preserve"> </w:t>
      </w:r>
      <w:r w:rsidR="007B78DB">
        <w:t>$</w:t>
      </w:r>
      <w:r w:rsidR="000B28BA">
        <w:t>7</w:t>
      </w:r>
      <w:r w:rsidR="007B78DB">
        <w:rPr>
          <w:spacing w:val="-11"/>
        </w:rPr>
        <w:t xml:space="preserve"> </w:t>
      </w:r>
      <w:r w:rsidR="007B78DB">
        <w:t>billion,</w:t>
      </w:r>
      <w:r w:rsidR="007B78DB">
        <w:rPr>
          <w:spacing w:val="-11"/>
        </w:rPr>
        <w:t xml:space="preserve"> </w:t>
      </w:r>
      <w:r w:rsidR="007B78DB">
        <w:t>down from $8.</w:t>
      </w:r>
      <w:r w:rsidR="000B28BA">
        <w:t>3</w:t>
      </w:r>
      <w:r w:rsidR="007B78DB">
        <w:t xml:space="preserve"> billion in 2020</w:t>
      </w:r>
      <w:r w:rsidR="000B28BA">
        <w:t>-21</w:t>
      </w:r>
      <w:r w:rsidR="007B78DB">
        <w:t>.</w:t>
      </w:r>
    </w:p>
    <w:p w14:paraId="443AF7E6" w14:textId="3822B37C" w:rsidR="007B78DB" w:rsidRDefault="007B78DB" w:rsidP="00042015">
      <w:r>
        <w:t xml:space="preserve">RADs </w:t>
      </w:r>
      <w:r w:rsidR="00EF7D03">
        <w:t>held in the sector</w:t>
      </w:r>
      <w:r>
        <w:rPr>
          <w:spacing w:val="-1"/>
        </w:rPr>
        <w:t xml:space="preserve"> </w:t>
      </w:r>
      <w:r>
        <w:t>increased</w:t>
      </w:r>
      <w:r>
        <w:rPr>
          <w:spacing w:val="-5"/>
        </w:rPr>
        <w:t xml:space="preserve"> </w:t>
      </w:r>
      <w:r>
        <w:t>to $3</w:t>
      </w:r>
      <w:r w:rsidR="00D365F9">
        <w:t>5.5</w:t>
      </w:r>
      <w:r>
        <w:rPr>
          <w:spacing w:val="-5"/>
        </w:rPr>
        <w:t xml:space="preserve"> </w:t>
      </w:r>
      <w:r>
        <w:rPr>
          <w:spacing w:val="-2"/>
        </w:rPr>
        <w:t>billion.</w:t>
      </w:r>
      <w:r w:rsidR="00D365F9">
        <w:t xml:space="preserve"> </w:t>
      </w:r>
      <w:r>
        <w:t>In</w:t>
      </w:r>
      <w:r>
        <w:rPr>
          <w:spacing w:val="-2"/>
        </w:rPr>
        <w:t xml:space="preserve"> </w:t>
      </w:r>
      <w:r>
        <w:t>2021</w:t>
      </w:r>
      <w:r w:rsidR="00E646F8">
        <w:t>-22</w:t>
      </w:r>
      <w:r>
        <w:t>, the $3</w:t>
      </w:r>
      <w:r w:rsidR="00E646F8">
        <w:t>5</w:t>
      </w:r>
      <w:r>
        <w:t>.</w:t>
      </w:r>
      <w:r w:rsidR="00E646F8">
        <w:t>5</w:t>
      </w:r>
      <w:r>
        <w:rPr>
          <w:spacing w:val="-2"/>
        </w:rPr>
        <w:t xml:space="preserve"> </w:t>
      </w:r>
      <w:r>
        <w:t xml:space="preserve">billion </w:t>
      </w:r>
      <w:r w:rsidR="00644FD5">
        <w:t xml:space="preserve">in total </w:t>
      </w:r>
      <w:r>
        <w:t xml:space="preserve">RADs includes RAD receivables of </w:t>
      </w:r>
      <w:r w:rsidRPr="00005316">
        <w:t>$9</w:t>
      </w:r>
      <w:r w:rsidR="00005316" w:rsidRPr="00005316">
        <w:t>65</w:t>
      </w:r>
      <w:r w:rsidRPr="00005316">
        <w:t xml:space="preserve"> million</w:t>
      </w:r>
      <w:r w:rsidR="005613B9">
        <w:t>, RADs which were expected in 2021-22 but were not received</w:t>
      </w:r>
      <w:r>
        <w:t>. Excluding RAD receivables</w:t>
      </w:r>
      <w:r>
        <w:rPr>
          <w:spacing w:val="-7"/>
        </w:rPr>
        <w:t xml:space="preserve"> </w:t>
      </w:r>
      <w:r>
        <w:t>would</w:t>
      </w:r>
      <w:r>
        <w:rPr>
          <w:spacing w:val="-7"/>
        </w:rPr>
        <w:t xml:space="preserve"> </w:t>
      </w:r>
      <w:r>
        <w:t>result</w:t>
      </w:r>
      <w:r>
        <w:rPr>
          <w:spacing w:val="-7"/>
        </w:rPr>
        <w:t xml:space="preserve"> </w:t>
      </w:r>
      <w:r>
        <w:t>in</w:t>
      </w:r>
      <w:r>
        <w:rPr>
          <w:spacing w:val="-7"/>
        </w:rPr>
        <w:t xml:space="preserve"> </w:t>
      </w:r>
      <w:r>
        <w:t>a</w:t>
      </w:r>
      <w:r>
        <w:rPr>
          <w:spacing w:val="-7"/>
        </w:rPr>
        <w:t xml:space="preserve"> </w:t>
      </w:r>
      <w:r>
        <w:t>net</w:t>
      </w:r>
      <w:r>
        <w:rPr>
          <w:spacing w:val="-7"/>
        </w:rPr>
        <w:t xml:space="preserve"> </w:t>
      </w:r>
      <w:r>
        <w:t>balance</w:t>
      </w:r>
      <w:r>
        <w:rPr>
          <w:spacing w:val="-7"/>
        </w:rPr>
        <w:t xml:space="preserve"> </w:t>
      </w:r>
      <w:r>
        <w:t>sheet</w:t>
      </w:r>
      <w:r>
        <w:rPr>
          <w:spacing w:val="-7"/>
        </w:rPr>
        <w:t xml:space="preserve"> </w:t>
      </w:r>
      <w:r>
        <w:t xml:space="preserve">RAD liability of </w:t>
      </w:r>
      <w:r w:rsidRPr="00B66279">
        <w:t>$</w:t>
      </w:r>
      <w:r w:rsidR="005950AD">
        <w:t>34.</w:t>
      </w:r>
      <w:r w:rsidR="0095746E">
        <w:t>5</w:t>
      </w:r>
      <w:r w:rsidR="00D62DAA">
        <w:t>4</w:t>
      </w:r>
      <w:r w:rsidRPr="00B66279">
        <w:t xml:space="preserve"> billion</w:t>
      </w:r>
      <w:r>
        <w:t>, which is comparable</w:t>
      </w:r>
      <w:r w:rsidR="00042015">
        <w:t xml:space="preserve"> </w:t>
      </w:r>
      <w:r>
        <w:t>to</w:t>
      </w:r>
      <w:r>
        <w:rPr>
          <w:spacing w:val="-4"/>
        </w:rPr>
        <w:t xml:space="preserve"> </w:t>
      </w:r>
      <w:r>
        <w:t>the</w:t>
      </w:r>
      <w:r>
        <w:rPr>
          <w:spacing w:val="-3"/>
        </w:rPr>
        <w:t xml:space="preserve"> </w:t>
      </w:r>
      <w:r w:rsidRPr="00E91047">
        <w:t>reported</w:t>
      </w:r>
      <w:r w:rsidRPr="00E91047">
        <w:rPr>
          <w:spacing w:val="-4"/>
        </w:rPr>
        <w:t xml:space="preserve"> </w:t>
      </w:r>
      <w:r w:rsidRPr="00B66279">
        <w:t>$3</w:t>
      </w:r>
      <w:r w:rsidR="00AD1BBC" w:rsidRPr="00B66279">
        <w:t>3.</w:t>
      </w:r>
      <w:r w:rsidR="00E91047">
        <w:t>3</w:t>
      </w:r>
      <w:r w:rsidRPr="00D519B9">
        <w:rPr>
          <w:spacing w:val="-8"/>
        </w:rPr>
        <w:t xml:space="preserve"> </w:t>
      </w:r>
      <w:r w:rsidRPr="00D519B9">
        <w:t>billion</w:t>
      </w:r>
      <w:r w:rsidRPr="00D519B9">
        <w:rPr>
          <w:spacing w:val="-3"/>
        </w:rPr>
        <w:t xml:space="preserve"> </w:t>
      </w:r>
      <w:r w:rsidRPr="00D519B9">
        <w:t>in</w:t>
      </w:r>
      <w:r w:rsidRPr="00D519B9">
        <w:rPr>
          <w:spacing w:val="-8"/>
        </w:rPr>
        <w:t xml:space="preserve"> </w:t>
      </w:r>
      <w:r w:rsidRPr="00D519B9">
        <w:rPr>
          <w:spacing w:val="-2"/>
        </w:rPr>
        <w:t>20</w:t>
      </w:r>
      <w:r w:rsidR="00AD1BBC" w:rsidRPr="00D519B9">
        <w:rPr>
          <w:spacing w:val="-2"/>
        </w:rPr>
        <w:t>20-21</w:t>
      </w:r>
      <w:r w:rsidRPr="00E91047">
        <w:rPr>
          <w:spacing w:val="-2"/>
        </w:rPr>
        <w:t>.</w:t>
      </w:r>
    </w:p>
    <w:p w14:paraId="64BFD2F3" w14:textId="59AD60E2" w:rsidR="007B78DB" w:rsidRDefault="007B78DB" w:rsidP="00CA3FB9">
      <w:r w:rsidRPr="008E2604">
        <w:t xml:space="preserve">This net balance of RADs varies from the amount reported in </w:t>
      </w:r>
      <w:r w:rsidR="0029488D" w:rsidRPr="008E2604">
        <w:fldChar w:fldCharType="begin"/>
      </w:r>
      <w:r w:rsidR="0029488D" w:rsidRPr="00CA3FB9">
        <w:instrText xml:space="preserve"> REF _Ref139548922 \h </w:instrText>
      </w:r>
      <w:r w:rsidR="00CA3FB9">
        <w:instrText xml:space="preserve"> \* MERGEFORMAT </w:instrText>
      </w:r>
      <w:r w:rsidR="0029488D" w:rsidRPr="008E2604">
        <w:fldChar w:fldCharType="separate"/>
      </w:r>
      <w:r w:rsidR="00294B02" w:rsidRPr="00CA3FB9">
        <w:t>Chart</w:t>
      </w:r>
      <w:r w:rsidR="00294B02" w:rsidRPr="008E2604">
        <w:t xml:space="preserve"> 4.3</w:t>
      </w:r>
      <w:r w:rsidR="0029488D" w:rsidRPr="008E2604">
        <w:fldChar w:fldCharType="end"/>
      </w:r>
      <w:r w:rsidR="00AD1BBC" w:rsidRPr="00A84204">
        <w:rPr>
          <w:spacing w:val="-11"/>
        </w:rPr>
        <w:t xml:space="preserve"> </w:t>
      </w:r>
      <w:r w:rsidRPr="00141D79">
        <w:t>($</w:t>
      </w:r>
      <w:r w:rsidR="00A84204" w:rsidRPr="00141D79">
        <w:rPr>
          <w:spacing w:val="-11"/>
        </w:rPr>
        <w:t>35</w:t>
      </w:r>
      <w:r w:rsidRPr="00141D79" w:rsidDel="00A84204">
        <w:rPr>
          <w:spacing w:val="-11"/>
        </w:rPr>
        <w:t xml:space="preserve"> </w:t>
      </w:r>
      <w:r w:rsidRPr="00141D79">
        <w:t>billion)</w:t>
      </w:r>
      <w:r w:rsidRPr="00DD3CEC">
        <w:t>,</w:t>
      </w:r>
      <w:r w:rsidRPr="00DD3CEC">
        <w:rPr>
          <w:spacing w:val="-9"/>
        </w:rPr>
        <w:t xml:space="preserve"> </w:t>
      </w:r>
      <w:r w:rsidRPr="00141D79">
        <w:t>as</w:t>
      </w:r>
      <w:r w:rsidRPr="00141D79">
        <w:rPr>
          <w:spacing w:val="-9"/>
        </w:rPr>
        <w:t xml:space="preserve"> </w:t>
      </w:r>
      <w:r w:rsidRPr="00141D79">
        <w:t>$</w:t>
      </w:r>
      <w:r w:rsidR="00B87FA1" w:rsidRPr="00141D79">
        <w:t>35.5</w:t>
      </w:r>
      <w:r w:rsidRPr="00141D79">
        <w:t xml:space="preserve"> billion</w:t>
      </w:r>
      <w:r>
        <w:rPr>
          <w:spacing w:val="-9"/>
        </w:rPr>
        <w:t xml:space="preserve"> </w:t>
      </w:r>
      <w:r>
        <w:t>is the</w:t>
      </w:r>
      <w:r>
        <w:rPr>
          <w:spacing w:val="-7"/>
        </w:rPr>
        <w:t xml:space="preserve"> </w:t>
      </w:r>
      <w:r>
        <w:t>amount</w:t>
      </w:r>
      <w:r>
        <w:rPr>
          <w:spacing w:val="-7"/>
        </w:rPr>
        <w:t xml:space="preserve"> </w:t>
      </w:r>
      <w:r>
        <w:t>reported</w:t>
      </w:r>
      <w:r>
        <w:rPr>
          <w:spacing w:val="-7"/>
        </w:rPr>
        <w:t xml:space="preserve"> </w:t>
      </w:r>
      <w:r>
        <w:t>in</w:t>
      </w:r>
      <w:r>
        <w:rPr>
          <w:spacing w:val="-7"/>
        </w:rPr>
        <w:t xml:space="preserve"> </w:t>
      </w:r>
      <w:r>
        <w:t>providers’</w:t>
      </w:r>
      <w:r>
        <w:rPr>
          <w:spacing w:val="-7"/>
        </w:rPr>
        <w:t xml:space="preserve"> </w:t>
      </w:r>
      <w:r>
        <w:t>balance</w:t>
      </w:r>
      <w:r>
        <w:rPr>
          <w:spacing w:val="-7"/>
        </w:rPr>
        <w:t xml:space="preserve"> </w:t>
      </w:r>
      <w:r>
        <w:t>sheets</w:t>
      </w:r>
      <w:r>
        <w:rPr>
          <w:spacing w:val="-7"/>
        </w:rPr>
        <w:t xml:space="preserve"> </w:t>
      </w:r>
      <w:r>
        <w:t>and includes accounting adjustments and accruals.</w:t>
      </w:r>
    </w:p>
    <w:p w14:paraId="337E1D85" w14:textId="50785FFB" w:rsidR="007B78DB" w:rsidRDefault="007B78DB" w:rsidP="00042015">
      <w:r>
        <w:lastRenderedPageBreak/>
        <w:t>Net</w:t>
      </w:r>
      <w:r>
        <w:rPr>
          <w:spacing w:val="-13"/>
        </w:rPr>
        <w:t xml:space="preserve"> </w:t>
      </w:r>
      <w:r>
        <w:t>worth/equity</w:t>
      </w:r>
      <w:r>
        <w:rPr>
          <w:spacing w:val="-9"/>
        </w:rPr>
        <w:t xml:space="preserve"> </w:t>
      </w:r>
      <w:r>
        <w:t>was</w:t>
      </w:r>
      <w:r>
        <w:rPr>
          <w:spacing w:val="-8"/>
        </w:rPr>
        <w:t xml:space="preserve"> </w:t>
      </w:r>
      <w:r>
        <w:t>$</w:t>
      </w:r>
      <w:r w:rsidR="00BF52CD">
        <w:t>8.3</w:t>
      </w:r>
      <w:r>
        <w:rPr>
          <w:spacing w:val="-11"/>
        </w:rPr>
        <w:t xml:space="preserve"> </w:t>
      </w:r>
      <w:r>
        <w:t>billion,</w:t>
      </w:r>
      <w:r>
        <w:rPr>
          <w:spacing w:val="-9"/>
        </w:rPr>
        <w:t xml:space="preserve"> </w:t>
      </w:r>
      <w:r>
        <w:t>down</w:t>
      </w:r>
      <w:r>
        <w:rPr>
          <w:spacing w:val="-8"/>
        </w:rPr>
        <w:t xml:space="preserve"> </w:t>
      </w:r>
      <w:r>
        <w:rPr>
          <w:spacing w:val="-4"/>
        </w:rPr>
        <w:t>from</w:t>
      </w:r>
      <w:r w:rsidR="00BF52CD">
        <w:t xml:space="preserve"> </w:t>
      </w:r>
      <w:r>
        <w:t>$1</w:t>
      </w:r>
      <w:r w:rsidR="00BF52CD">
        <w:t>0.4</w:t>
      </w:r>
      <w:r>
        <w:rPr>
          <w:spacing w:val="-11"/>
        </w:rPr>
        <w:t xml:space="preserve"> </w:t>
      </w:r>
      <w:r>
        <w:t>billion</w:t>
      </w:r>
      <w:r>
        <w:rPr>
          <w:spacing w:val="-11"/>
        </w:rPr>
        <w:t xml:space="preserve"> </w:t>
      </w:r>
      <w:r>
        <w:t>in</w:t>
      </w:r>
      <w:r>
        <w:rPr>
          <w:spacing w:val="-11"/>
        </w:rPr>
        <w:t xml:space="preserve"> </w:t>
      </w:r>
      <w:r>
        <w:t>2020</w:t>
      </w:r>
      <w:r w:rsidR="00BF52CD">
        <w:t>-21</w:t>
      </w:r>
      <w:r w:rsidR="00C0611D">
        <w:rPr>
          <w:spacing w:val="-11"/>
        </w:rPr>
        <w:t>,</w:t>
      </w:r>
      <w:r>
        <w:rPr>
          <w:spacing w:val="-11"/>
        </w:rPr>
        <w:t xml:space="preserve"> </w:t>
      </w:r>
      <w:r>
        <w:t>which</w:t>
      </w:r>
      <w:r>
        <w:rPr>
          <w:spacing w:val="-11"/>
        </w:rPr>
        <w:t xml:space="preserve"> </w:t>
      </w:r>
      <w:r>
        <w:t>is</w:t>
      </w:r>
      <w:r>
        <w:rPr>
          <w:spacing w:val="-11"/>
        </w:rPr>
        <w:t xml:space="preserve"> </w:t>
      </w:r>
      <w:r>
        <w:t>primarily</w:t>
      </w:r>
      <w:r>
        <w:rPr>
          <w:spacing w:val="-11"/>
        </w:rPr>
        <w:t xml:space="preserve"> </w:t>
      </w:r>
      <w:r>
        <w:t xml:space="preserve">because of current year losses </w:t>
      </w:r>
      <w:r w:rsidRPr="00F64B6C">
        <w:t>of $</w:t>
      </w:r>
      <w:r w:rsidR="00F64B6C" w:rsidRPr="00F64B6C">
        <w:t>2</w:t>
      </w:r>
      <w:r w:rsidR="00F64B6C">
        <w:t>.3 billion</w:t>
      </w:r>
      <w:r>
        <w:t>.</w:t>
      </w:r>
    </w:p>
    <w:p w14:paraId="6A7283E1" w14:textId="5BECDB77" w:rsidR="00C13901" w:rsidRPr="00C13901" w:rsidRDefault="00C13901" w:rsidP="00C13901">
      <w:pPr>
        <w:pStyle w:val="Caption"/>
      </w:pPr>
      <w:bookmarkStart w:id="267" w:name="_Ref139548511"/>
      <w:bookmarkStart w:id="268" w:name="_Toc149245284"/>
      <w:r>
        <w:t xml:space="preserve">Table </w:t>
      </w:r>
      <w:r>
        <w:fldChar w:fldCharType="begin"/>
      </w:r>
      <w:r>
        <w:instrText>STYLEREF 1 \s</w:instrText>
      </w:r>
      <w:r>
        <w:fldChar w:fldCharType="separate"/>
      </w:r>
      <w:r w:rsidR="00294B02">
        <w:rPr>
          <w:noProof/>
        </w:rPr>
        <w:t>4</w:t>
      </w:r>
      <w:r>
        <w:fldChar w:fldCharType="end"/>
      </w:r>
      <w:r w:rsidR="002E758C">
        <w:t>.</w:t>
      </w:r>
      <w:r>
        <w:fldChar w:fldCharType="begin"/>
      </w:r>
      <w:r>
        <w:instrText>SEQ Table \* ARABIC \s 1</w:instrText>
      </w:r>
      <w:r>
        <w:fldChar w:fldCharType="separate"/>
      </w:r>
      <w:r w:rsidR="00294B02">
        <w:rPr>
          <w:noProof/>
        </w:rPr>
        <w:t>1</w:t>
      </w:r>
      <w:r>
        <w:fldChar w:fldCharType="end"/>
      </w:r>
      <w:bookmarkEnd w:id="267"/>
      <w:r>
        <w:t xml:space="preserve">: </w:t>
      </w:r>
      <w:r w:rsidRPr="0009381E">
        <w:t>Balance sheet of residential care providers, 2017-18 to 2021-22</w:t>
      </w:r>
      <w:bookmarkEnd w:id="268"/>
    </w:p>
    <w:tbl>
      <w:tblPr>
        <w:tblW w:w="9665" w:type="dxa"/>
        <w:tblLook w:val="04A0" w:firstRow="1" w:lastRow="0" w:firstColumn="1" w:lastColumn="0" w:noHBand="0" w:noVBand="1"/>
      </w:tblPr>
      <w:tblGrid>
        <w:gridCol w:w="3167"/>
        <w:gridCol w:w="1253"/>
        <w:gridCol w:w="1372"/>
        <w:gridCol w:w="1344"/>
        <w:gridCol w:w="1228"/>
        <w:gridCol w:w="1301"/>
      </w:tblGrid>
      <w:tr w:rsidR="008A0A1D" w:rsidRPr="008A0A1D" w14:paraId="1A93501D" w14:textId="77777777" w:rsidTr="008A0A1D">
        <w:trPr>
          <w:trHeight w:val="314"/>
        </w:trPr>
        <w:tc>
          <w:tcPr>
            <w:tcW w:w="3167" w:type="dxa"/>
            <w:tcBorders>
              <w:top w:val="nil"/>
              <w:left w:val="nil"/>
              <w:bottom w:val="nil"/>
              <w:right w:val="nil"/>
            </w:tcBorders>
            <w:shd w:val="clear" w:color="000000" w:fill="1E1545"/>
            <w:noWrap/>
            <w:vAlign w:val="center"/>
            <w:hideMark/>
          </w:tcPr>
          <w:p w14:paraId="57FFC3E3" w14:textId="77777777" w:rsidR="008A0A1D" w:rsidRPr="008A0A1D" w:rsidRDefault="008A0A1D" w:rsidP="007A3C08">
            <w:pPr>
              <w:rPr>
                <w:b/>
                <w:color w:val="F1F2F2" w:themeColor="background1"/>
                <w:sz w:val="20"/>
                <w:szCs w:val="20"/>
              </w:rPr>
            </w:pPr>
            <w:r w:rsidRPr="008A0A1D">
              <w:rPr>
                <w:b/>
                <w:color w:val="F1F2F2" w:themeColor="background1"/>
                <w:sz w:val="20"/>
                <w:szCs w:val="20"/>
              </w:rPr>
              <w:t>Assets/liabilities</w:t>
            </w:r>
          </w:p>
        </w:tc>
        <w:tc>
          <w:tcPr>
            <w:tcW w:w="1253" w:type="dxa"/>
            <w:tcBorders>
              <w:top w:val="nil"/>
              <w:left w:val="nil"/>
              <w:bottom w:val="nil"/>
              <w:right w:val="nil"/>
            </w:tcBorders>
            <w:shd w:val="clear" w:color="000000" w:fill="1E1545"/>
            <w:noWrap/>
            <w:vAlign w:val="center"/>
            <w:hideMark/>
          </w:tcPr>
          <w:p w14:paraId="0A0ABD66" w14:textId="77777777" w:rsidR="008A0A1D" w:rsidRPr="008A0A1D" w:rsidRDefault="008A0A1D" w:rsidP="00370D9A">
            <w:pPr>
              <w:pStyle w:val="TableHeaderWhite"/>
            </w:pPr>
            <w:r w:rsidRPr="008A0A1D">
              <w:t>2017-18 ($m)</w:t>
            </w:r>
          </w:p>
        </w:tc>
        <w:tc>
          <w:tcPr>
            <w:tcW w:w="1372" w:type="dxa"/>
            <w:tcBorders>
              <w:top w:val="nil"/>
              <w:left w:val="nil"/>
              <w:bottom w:val="nil"/>
              <w:right w:val="nil"/>
            </w:tcBorders>
            <w:shd w:val="clear" w:color="000000" w:fill="1E1545"/>
            <w:noWrap/>
            <w:vAlign w:val="center"/>
            <w:hideMark/>
          </w:tcPr>
          <w:p w14:paraId="5910B50A" w14:textId="77777777" w:rsidR="008A0A1D" w:rsidRPr="008A0A1D" w:rsidRDefault="008A0A1D" w:rsidP="00370D9A">
            <w:pPr>
              <w:pStyle w:val="TableHeaderWhite"/>
            </w:pPr>
            <w:r w:rsidRPr="008A0A1D">
              <w:t>2018-19 ($m)</w:t>
            </w:r>
          </w:p>
        </w:tc>
        <w:tc>
          <w:tcPr>
            <w:tcW w:w="1344" w:type="dxa"/>
            <w:tcBorders>
              <w:top w:val="nil"/>
              <w:left w:val="nil"/>
              <w:bottom w:val="nil"/>
              <w:right w:val="nil"/>
            </w:tcBorders>
            <w:shd w:val="clear" w:color="000000" w:fill="1E1545"/>
            <w:noWrap/>
            <w:vAlign w:val="center"/>
            <w:hideMark/>
          </w:tcPr>
          <w:p w14:paraId="70FE294E" w14:textId="77777777" w:rsidR="008A0A1D" w:rsidRPr="008A0A1D" w:rsidRDefault="008A0A1D" w:rsidP="00370D9A">
            <w:pPr>
              <w:pStyle w:val="TableHeaderWhite"/>
            </w:pPr>
            <w:r w:rsidRPr="008A0A1D">
              <w:t>2019-20 ($m)</w:t>
            </w:r>
          </w:p>
        </w:tc>
        <w:tc>
          <w:tcPr>
            <w:tcW w:w="1228" w:type="dxa"/>
            <w:tcBorders>
              <w:top w:val="nil"/>
              <w:left w:val="nil"/>
              <w:bottom w:val="nil"/>
              <w:right w:val="nil"/>
            </w:tcBorders>
            <w:shd w:val="clear" w:color="000000" w:fill="1E1545"/>
            <w:noWrap/>
            <w:vAlign w:val="center"/>
            <w:hideMark/>
          </w:tcPr>
          <w:p w14:paraId="61838C05" w14:textId="77777777" w:rsidR="008A0A1D" w:rsidRPr="008A0A1D" w:rsidRDefault="008A0A1D" w:rsidP="00370D9A">
            <w:pPr>
              <w:pStyle w:val="TableHeaderWhite"/>
            </w:pPr>
            <w:r w:rsidRPr="008A0A1D">
              <w:t>2020-21 ($m)</w:t>
            </w:r>
          </w:p>
        </w:tc>
        <w:tc>
          <w:tcPr>
            <w:tcW w:w="1301" w:type="dxa"/>
            <w:tcBorders>
              <w:top w:val="nil"/>
              <w:left w:val="nil"/>
              <w:bottom w:val="nil"/>
              <w:right w:val="nil"/>
            </w:tcBorders>
            <w:shd w:val="clear" w:color="000000" w:fill="1E1545"/>
            <w:noWrap/>
            <w:vAlign w:val="center"/>
            <w:hideMark/>
          </w:tcPr>
          <w:p w14:paraId="0E9F913B" w14:textId="77777777" w:rsidR="008A0A1D" w:rsidRPr="008A0A1D" w:rsidRDefault="008A0A1D" w:rsidP="00370D9A">
            <w:pPr>
              <w:pStyle w:val="TableHeaderWhite"/>
            </w:pPr>
            <w:r w:rsidRPr="008A0A1D">
              <w:t>2021-22 ($m)</w:t>
            </w:r>
          </w:p>
        </w:tc>
      </w:tr>
      <w:tr w:rsidR="008A0A1D" w:rsidRPr="008A0A1D" w14:paraId="708BD8AE" w14:textId="77777777" w:rsidTr="008A0A1D">
        <w:trPr>
          <w:trHeight w:val="294"/>
        </w:trPr>
        <w:tc>
          <w:tcPr>
            <w:tcW w:w="3167" w:type="dxa"/>
            <w:tcBorders>
              <w:top w:val="nil"/>
              <w:left w:val="nil"/>
              <w:bottom w:val="single" w:sz="8" w:space="0" w:color="auto"/>
              <w:right w:val="nil"/>
            </w:tcBorders>
            <w:shd w:val="clear" w:color="auto" w:fill="auto"/>
            <w:noWrap/>
            <w:vAlign w:val="center"/>
            <w:hideMark/>
          </w:tcPr>
          <w:p w14:paraId="20752D8C" w14:textId="77777777" w:rsidR="008A0A1D" w:rsidRPr="000F66FB" w:rsidRDefault="008A0A1D" w:rsidP="00370D9A">
            <w:pPr>
              <w:pStyle w:val="TableofAuthorities"/>
              <w:rPr>
                <w:lang w:eastAsia="en-AU"/>
              </w:rPr>
            </w:pPr>
            <w:r w:rsidRPr="000F66FB">
              <w:rPr>
                <w:lang w:eastAsia="en-AU"/>
              </w:rPr>
              <w:t>Financial assets</w:t>
            </w:r>
          </w:p>
        </w:tc>
        <w:tc>
          <w:tcPr>
            <w:tcW w:w="1253" w:type="dxa"/>
            <w:tcBorders>
              <w:top w:val="nil"/>
              <w:left w:val="nil"/>
              <w:bottom w:val="single" w:sz="8" w:space="0" w:color="auto"/>
              <w:right w:val="nil"/>
            </w:tcBorders>
            <w:shd w:val="clear" w:color="auto" w:fill="auto"/>
            <w:noWrap/>
            <w:vAlign w:val="center"/>
            <w:hideMark/>
          </w:tcPr>
          <w:p w14:paraId="4A611280" w14:textId="77777777" w:rsidR="008A0A1D" w:rsidRPr="000F66FB" w:rsidRDefault="008A0A1D" w:rsidP="00370D9A">
            <w:pPr>
              <w:pStyle w:val="TableofAuthorities"/>
              <w:rPr>
                <w:lang w:eastAsia="en-AU"/>
              </w:rPr>
            </w:pPr>
            <w:r w:rsidRPr="000F66FB">
              <w:rPr>
                <w:lang w:eastAsia="en-AU"/>
              </w:rPr>
              <w:t xml:space="preserve">$9,047 </w:t>
            </w:r>
          </w:p>
        </w:tc>
        <w:tc>
          <w:tcPr>
            <w:tcW w:w="1372" w:type="dxa"/>
            <w:tcBorders>
              <w:top w:val="nil"/>
              <w:left w:val="nil"/>
              <w:bottom w:val="single" w:sz="8" w:space="0" w:color="auto"/>
              <w:right w:val="nil"/>
            </w:tcBorders>
            <w:shd w:val="clear" w:color="auto" w:fill="auto"/>
            <w:noWrap/>
            <w:vAlign w:val="center"/>
            <w:hideMark/>
          </w:tcPr>
          <w:p w14:paraId="090F8CA6" w14:textId="77777777" w:rsidR="008A0A1D" w:rsidRPr="000F66FB" w:rsidRDefault="008A0A1D" w:rsidP="00370D9A">
            <w:pPr>
              <w:pStyle w:val="TableofAuthorities"/>
              <w:rPr>
                <w:lang w:eastAsia="en-AU"/>
              </w:rPr>
            </w:pPr>
            <w:r w:rsidRPr="000F66FB">
              <w:rPr>
                <w:lang w:eastAsia="en-AU"/>
              </w:rPr>
              <w:t xml:space="preserve">$9,248 </w:t>
            </w:r>
          </w:p>
        </w:tc>
        <w:tc>
          <w:tcPr>
            <w:tcW w:w="1344" w:type="dxa"/>
            <w:tcBorders>
              <w:top w:val="nil"/>
              <w:left w:val="nil"/>
              <w:bottom w:val="single" w:sz="8" w:space="0" w:color="auto"/>
              <w:right w:val="nil"/>
            </w:tcBorders>
            <w:shd w:val="clear" w:color="auto" w:fill="auto"/>
            <w:noWrap/>
            <w:vAlign w:val="center"/>
            <w:hideMark/>
          </w:tcPr>
          <w:p w14:paraId="34936F1B" w14:textId="77777777" w:rsidR="008A0A1D" w:rsidRPr="000F66FB" w:rsidRDefault="008A0A1D" w:rsidP="00370D9A">
            <w:pPr>
              <w:pStyle w:val="TableofAuthorities"/>
              <w:rPr>
                <w:lang w:eastAsia="en-AU"/>
              </w:rPr>
            </w:pPr>
            <w:r w:rsidRPr="000F66FB">
              <w:rPr>
                <w:lang w:eastAsia="en-AU"/>
              </w:rPr>
              <w:t xml:space="preserve">$8,931 </w:t>
            </w:r>
          </w:p>
        </w:tc>
        <w:tc>
          <w:tcPr>
            <w:tcW w:w="1228" w:type="dxa"/>
            <w:tcBorders>
              <w:top w:val="nil"/>
              <w:left w:val="nil"/>
              <w:bottom w:val="single" w:sz="8" w:space="0" w:color="auto"/>
              <w:right w:val="nil"/>
            </w:tcBorders>
            <w:shd w:val="clear" w:color="auto" w:fill="auto"/>
            <w:noWrap/>
            <w:vAlign w:val="center"/>
            <w:hideMark/>
          </w:tcPr>
          <w:p w14:paraId="171A3E7F" w14:textId="77777777" w:rsidR="008A0A1D" w:rsidRPr="000F66FB" w:rsidRDefault="008A0A1D" w:rsidP="00370D9A">
            <w:pPr>
              <w:pStyle w:val="TableofAuthorities"/>
              <w:rPr>
                <w:lang w:eastAsia="en-AU"/>
              </w:rPr>
            </w:pPr>
            <w:r w:rsidRPr="000F66FB">
              <w:rPr>
                <w:lang w:eastAsia="en-AU"/>
              </w:rPr>
              <w:t>$8,274</w:t>
            </w:r>
          </w:p>
        </w:tc>
        <w:tc>
          <w:tcPr>
            <w:tcW w:w="1301" w:type="dxa"/>
            <w:tcBorders>
              <w:top w:val="nil"/>
              <w:left w:val="nil"/>
              <w:bottom w:val="single" w:sz="8" w:space="0" w:color="auto"/>
              <w:right w:val="nil"/>
            </w:tcBorders>
            <w:shd w:val="clear" w:color="auto" w:fill="auto"/>
            <w:noWrap/>
            <w:vAlign w:val="center"/>
            <w:hideMark/>
          </w:tcPr>
          <w:p w14:paraId="64DC3FE3" w14:textId="77777777" w:rsidR="008A0A1D" w:rsidRPr="000F66FB" w:rsidRDefault="008A0A1D" w:rsidP="00370D9A">
            <w:pPr>
              <w:pStyle w:val="TableofAuthorities"/>
              <w:rPr>
                <w:lang w:eastAsia="en-AU"/>
              </w:rPr>
            </w:pPr>
            <w:r w:rsidRPr="000F66FB">
              <w:rPr>
                <w:lang w:eastAsia="en-AU"/>
              </w:rPr>
              <w:t>$7,012</w:t>
            </w:r>
          </w:p>
        </w:tc>
      </w:tr>
      <w:tr w:rsidR="008A0A1D" w:rsidRPr="008A0A1D" w14:paraId="66F560A0" w14:textId="77777777" w:rsidTr="008A0A1D">
        <w:trPr>
          <w:trHeight w:val="294"/>
        </w:trPr>
        <w:tc>
          <w:tcPr>
            <w:tcW w:w="3167" w:type="dxa"/>
            <w:tcBorders>
              <w:top w:val="nil"/>
              <w:left w:val="nil"/>
              <w:bottom w:val="single" w:sz="8" w:space="0" w:color="auto"/>
              <w:right w:val="nil"/>
            </w:tcBorders>
            <w:shd w:val="clear" w:color="auto" w:fill="auto"/>
            <w:noWrap/>
            <w:vAlign w:val="center"/>
            <w:hideMark/>
          </w:tcPr>
          <w:p w14:paraId="400476A9" w14:textId="77777777" w:rsidR="008A0A1D" w:rsidRPr="000F66FB" w:rsidRDefault="008A0A1D" w:rsidP="00370D9A">
            <w:pPr>
              <w:pStyle w:val="TableofAuthorities"/>
              <w:rPr>
                <w:lang w:eastAsia="en-AU"/>
              </w:rPr>
            </w:pPr>
            <w:r w:rsidRPr="000F66FB">
              <w:rPr>
                <w:lang w:eastAsia="en-AU"/>
              </w:rPr>
              <w:t>Fixed assets</w:t>
            </w:r>
          </w:p>
        </w:tc>
        <w:tc>
          <w:tcPr>
            <w:tcW w:w="1253" w:type="dxa"/>
            <w:tcBorders>
              <w:top w:val="nil"/>
              <w:left w:val="nil"/>
              <w:bottom w:val="single" w:sz="8" w:space="0" w:color="auto"/>
              <w:right w:val="nil"/>
            </w:tcBorders>
            <w:shd w:val="clear" w:color="auto" w:fill="auto"/>
            <w:noWrap/>
            <w:vAlign w:val="center"/>
            <w:hideMark/>
          </w:tcPr>
          <w:p w14:paraId="0648F728" w14:textId="77777777" w:rsidR="008A0A1D" w:rsidRPr="000F66FB" w:rsidRDefault="008A0A1D" w:rsidP="00370D9A">
            <w:pPr>
              <w:pStyle w:val="TableofAuthorities"/>
              <w:rPr>
                <w:lang w:eastAsia="en-AU"/>
              </w:rPr>
            </w:pPr>
            <w:r w:rsidRPr="000F66FB">
              <w:rPr>
                <w:lang w:eastAsia="en-AU"/>
              </w:rPr>
              <w:t xml:space="preserve">$24,061 </w:t>
            </w:r>
          </w:p>
        </w:tc>
        <w:tc>
          <w:tcPr>
            <w:tcW w:w="1372" w:type="dxa"/>
            <w:tcBorders>
              <w:top w:val="nil"/>
              <w:left w:val="nil"/>
              <w:bottom w:val="single" w:sz="8" w:space="0" w:color="auto"/>
              <w:right w:val="nil"/>
            </w:tcBorders>
            <w:shd w:val="clear" w:color="auto" w:fill="auto"/>
            <w:noWrap/>
            <w:vAlign w:val="center"/>
            <w:hideMark/>
          </w:tcPr>
          <w:p w14:paraId="383E7121" w14:textId="77777777" w:rsidR="008A0A1D" w:rsidRPr="000F66FB" w:rsidRDefault="008A0A1D" w:rsidP="00370D9A">
            <w:pPr>
              <w:pStyle w:val="TableofAuthorities"/>
              <w:rPr>
                <w:lang w:eastAsia="en-AU"/>
              </w:rPr>
            </w:pPr>
            <w:r w:rsidRPr="000F66FB">
              <w:rPr>
                <w:lang w:eastAsia="en-AU"/>
              </w:rPr>
              <w:t xml:space="preserve">$27,997 </w:t>
            </w:r>
          </w:p>
        </w:tc>
        <w:tc>
          <w:tcPr>
            <w:tcW w:w="1344" w:type="dxa"/>
            <w:tcBorders>
              <w:top w:val="nil"/>
              <w:left w:val="nil"/>
              <w:bottom w:val="single" w:sz="8" w:space="0" w:color="auto"/>
              <w:right w:val="nil"/>
            </w:tcBorders>
            <w:shd w:val="clear" w:color="auto" w:fill="auto"/>
            <w:noWrap/>
            <w:vAlign w:val="center"/>
            <w:hideMark/>
          </w:tcPr>
          <w:p w14:paraId="4E86D049" w14:textId="77777777" w:rsidR="008A0A1D" w:rsidRPr="000F66FB" w:rsidRDefault="008A0A1D" w:rsidP="00370D9A">
            <w:pPr>
              <w:pStyle w:val="TableofAuthorities"/>
              <w:rPr>
                <w:lang w:eastAsia="en-AU"/>
              </w:rPr>
            </w:pPr>
            <w:r w:rsidRPr="000F66FB">
              <w:rPr>
                <w:lang w:eastAsia="en-AU"/>
              </w:rPr>
              <w:t xml:space="preserve">$27,675 </w:t>
            </w:r>
          </w:p>
        </w:tc>
        <w:tc>
          <w:tcPr>
            <w:tcW w:w="1228" w:type="dxa"/>
            <w:tcBorders>
              <w:top w:val="nil"/>
              <w:left w:val="nil"/>
              <w:bottom w:val="single" w:sz="8" w:space="0" w:color="auto"/>
              <w:right w:val="nil"/>
            </w:tcBorders>
            <w:shd w:val="clear" w:color="auto" w:fill="auto"/>
            <w:noWrap/>
            <w:vAlign w:val="center"/>
            <w:hideMark/>
          </w:tcPr>
          <w:p w14:paraId="24F15D6F" w14:textId="77777777" w:rsidR="008A0A1D" w:rsidRPr="000F66FB" w:rsidRDefault="008A0A1D" w:rsidP="00370D9A">
            <w:pPr>
              <w:pStyle w:val="TableofAuthorities"/>
              <w:rPr>
                <w:lang w:eastAsia="en-AU"/>
              </w:rPr>
            </w:pPr>
            <w:r w:rsidRPr="000F66FB">
              <w:rPr>
                <w:lang w:eastAsia="en-AU"/>
              </w:rPr>
              <w:t>$28,241</w:t>
            </w:r>
          </w:p>
        </w:tc>
        <w:tc>
          <w:tcPr>
            <w:tcW w:w="1301" w:type="dxa"/>
            <w:tcBorders>
              <w:top w:val="nil"/>
              <w:left w:val="nil"/>
              <w:bottom w:val="single" w:sz="8" w:space="0" w:color="auto"/>
              <w:right w:val="nil"/>
            </w:tcBorders>
            <w:shd w:val="clear" w:color="auto" w:fill="auto"/>
            <w:noWrap/>
            <w:vAlign w:val="center"/>
            <w:hideMark/>
          </w:tcPr>
          <w:p w14:paraId="5A9A27CA" w14:textId="77777777" w:rsidR="008A0A1D" w:rsidRPr="000F66FB" w:rsidRDefault="008A0A1D" w:rsidP="00370D9A">
            <w:pPr>
              <w:pStyle w:val="TableofAuthorities"/>
              <w:rPr>
                <w:lang w:eastAsia="en-AU"/>
              </w:rPr>
            </w:pPr>
            <w:r w:rsidRPr="000F66FB">
              <w:rPr>
                <w:lang w:eastAsia="en-AU"/>
              </w:rPr>
              <w:t>$29,995</w:t>
            </w:r>
          </w:p>
        </w:tc>
      </w:tr>
      <w:tr w:rsidR="008A0A1D" w:rsidRPr="008A0A1D" w14:paraId="66C5D316" w14:textId="77777777" w:rsidTr="008A0A1D">
        <w:trPr>
          <w:trHeight w:val="294"/>
        </w:trPr>
        <w:tc>
          <w:tcPr>
            <w:tcW w:w="3167" w:type="dxa"/>
            <w:tcBorders>
              <w:top w:val="nil"/>
              <w:left w:val="nil"/>
              <w:bottom w:val="single" w:sz="8" w:space="0" w:color="auto"/>
              <w:right w:val="nil"/>
            </w:tcBorders>
            <w:shd w:val="clear" w:color="auto" w:fill="auto"/>
            <w:noWrap/>
            <w:vAlign w:val="center"/>
            <w:hideMark/>
          </w:tcPr>
          <w:p w14:paraId="6E88B7B5" w14:textId="77777777" w:rsidR="008A0A1D" w:rsidRPr="000F66FB" w:rsidRDefault="008A0A1D" w:rsidP="00370D9A">
            <w:pPr>
              <w:pStyle w:val="TableofAuthorities"/>
              <w:rPr>
                <w:lang w:eastAsia="en-AU"/>
              </w:rPr>
            </w:pPr>
            <w:r w:rsidRPr="000F66FB">
              <w:rPr>
                <w:lang w:eastAsia="en-AU"/>
              </w:rPr>
              <w:t>Right of use assets</w:t>
            </w:r>
          </w:p>
        </w:tc>
        <w:tc>
          <w:tcPr>
            <w:tcW w:w="1253" w:type="dxa"/>
            <w:tcBorders>
              <w:top w:val="nil"/>
              <w:left w:val="nil"/>
              <w:bottom w:val="single" w:sz="8" w:space="0" w:color="auto"/>
              <w:right w:val="nil"/>
            </w:tcBorders>
            <w:shd w:val="clear" w:color="auto" w:fill="auto"/>
            <w:noWrap/>
            <w:vAlign w:val="center"/>
            <w:hideMark/>
          </w:tcPr>
          <w:p w14:paraId="0DFC95F0" w14:textId="79934760" w:rsidR="008A0A1D" w:rsidRPr="000F66FB" w:rsidRDefault="008A0A1D" w:rsidP="00370D9A">
            <w:pPr>
              <w:pStyle w:val="TableofAuthorities"/>
              <w:rPr>
                <w:lang w:eastAsia="en-AU"/>
              </w:rPr>
            </w:pPr>
            <w:r w:rsidRPr="000F66FB">
              <w:rPr>
                <w:lang w:eastAsia="en-AU"/>
              </w:rPr>
              <w:t>-</w:t>
            </w:r>
          </w:p>
        </w:tc>
        <w:tc>
          <w:tcPr>
            <w:tcW w:w="1372" w:type="dxa"/>
            <w:tcBorders>
              <w:top w:val="nil"/>
              <w:left w:val="nil"/>
              <w:bottom w:val="single" w:sz="8" w:space="0" w:color="auto"/>
              <w:right w:val="nil"/>
            </w:tcBorders>
            <w:shd w:val="clear" w:color="auto" w:fill="auto"/>
            <w:noWrap/>
            <w:vAlign w:val="center"/>
            <w:hideMark/>
          </w:tcPr>
          <w:p w14:paraId="2E10E358" w14:textId="1F46C8D5" w:rsidR="008A0A1D" w:rsidRPr="000F66FB" w:rsidRDefault="008A0A1D" w:rsidP="00370D9A">
            <w:pPr>
              <w:pStyle w:val="TableofAuthorities"/>
              <w:rPr>
                <w:lang w:eastAsia="en-AU"/>
              </w:rPr>
            </w:pPr>
            <w:r w:rsidRPr="000F66FB">
              <w:rPr>
                <w:lang w:eastAsia="en-AU"/>
              </w:rPr>
              <w:t>-</w:t>
            </w:r>
          </w:p>
        </w:tc>
        <w:tc>
          <w:tcPr>
            <w:tcW w:w="1344" w:type="dxa"/>
            <w:tcBorders>
              <w:top w:val="nil"/>
              <w:left w:val="nil"/>
              <w:bottom w:val="single" w:sz="8" w:space="0" w:color="auto"/>
              <w:right w:val="nil"/>
            </w:tcBorders>
            <w:shd w:val="clear" w:color="auto" w:fill="auto"/>
            <w:noWrap/>
            <w:vAlign w:val="center"/>
            <w:hideMark/>
          </w:tcPr>
          <w:p w14:paraId="58EE6190" w14:textId="77777777" w:rsidR="008A0A1D" w:rsidRPr="000F66FB" w:rsidRDefault="008A0A1D" w:rsidP="00370D9A">
            <w:pPr>
              <w:pStyle w:val="TableofAuthorities"/>
              <w:rPr>
                <w:lang w:eastAsia="en-AU"/>
              </w:rPr>
            </w:pPr>
            <w:r w:rsidRPr="000F66FB">
              <w:rPr>
                <w:lang w:eastAsia="en-AU"/>
              </w:rPr>
              <w:t xml:space="preserve">$2,933 </w:t>
            </w:r>
          </w:p>
        </w:tc>
        <w:tc>
          <w:tcPr>
            <w:tcW w:w="1228" w:type="dxa"/>
            <w:tcBorders>
              <w:top w:val="nil"/>
              <w:left w:val="nil"/>
              <w:bottom w:val="single" w:sz="8" w:space="0" w:color="auto"/>
              <w:right w:val="nil"/>
            </w:tcBorders>
            <w:shd w:val="clear" w:color="auto" w:fill="auto"/>
            <w:noWrap/>
            <w:vAlign w:val="center"/>
            <w:hideMark/>
          </w:tcPr>
          <w:p w14:paraId="4C21ACCD" w14:textId="77777777" w:rsidR="008A0A1D" w:rsidRPr="000F66FB" w:rsidRDefault="008A0A1D" w:rsidP="00370D9A">
            <w:pPr>
              <w:pStyle w:val="TableofAuthorities"/>
              <w:rPr>
                <w:lang w:eastAsia="en-AU"/>
              </w:rPr>
            </w:pPr>
            <w:r w:rsidRPr="000F66FB">
              <w:rPr>
                <w:lang w:eastAsia="en-AU"/>
              </w:rPr>
              <w:t>$2,694</w:t>
            </w:r>
          </w:p>
        </w:tc>
        <w:tc>
          <w:tcPr>
            <w:tcW w:w="1301" w:type="dxa"/>
            <w:tcBorders>
              <w:top w:val="nil"/>
              <w:left w:val="nil"/>
              <w:bottom w:val="single" w:sz="8" w:space="0" w:color="auto"/>
              <w:right w:val="nil"/>
            </w:tcBorders>
            <w:shd w:val="clear" w:color="auto" w:fill="auto"/>
            <w:noWrap/>
            <w:vAlign w:val="center"/>
            <w:hideMark/>
          </w:tcPr>
          <w:p w14:paraId="42EF05FF" w14:textId="77777777" w:rsidR="008A0A1D" w:rsidRPr="000F66FB" w:rsidRDefault="008A0A1D" w:rsidP="00370D9A">
            <w:pPr>
              <w:pStyle w:val="TableofAuthorities"/>
              <w:rPr>
                <w:lang w:eastAsia="en-AU"/>
              </w:rPr>
            </w:pPr>
            <w:r w:rsidRPr="000F66FB">
              <w:rPr>
                <w:lang w:eastAsia="en-AU"/>
              </w:rPr>
              <w:t>$2,757</w:t>
            </w:r>
          </w:p>
        </w:tc>
      </w:tr>
      <w:tr w:rsidR="008A0A1D" w:rsidRPr="008A0A1D" w14:paraId="53FEA12D" w14:textId="77777777" w:rsidTr="008A0A1D">
        <w:trPr>
          <w:trHeight w:val="294"/>
        </w:trPr>
        <w:tc>
          <w:tcPr>
            <w:tcW w:w="3167" w:type="dxa"/>
            <w:tcBorders>
              <w:top w:val="nil"/>
              <w:left w:val="nil"/>
              <w:bottom w:val="single" w:sz="8" w:space="0" w:color="auto"/>
              <w:right w:val="nil"/>
            </w:tcBorders>
            <w:shd w:val="clear" w:color="auto" w:fill="auto"/>
            <w:noWrap/>
            <w:vAlign w:val="center"/>
            <w:hideMark/>
          </w:tcPr>
          <w:p w14:paraId="4E3FEFD2" w14:textId="77777777" w:rsidR="008A0A1D" w:rsidRPr="000F66FB" w:rsidRDefault="008A0A1D" w:rsidP="00370D9A">
            <w:pPr>
              <w:pStyle w:val="TableofAuthorities"/>
              <w:rPr>
                <w:lang w:eastAsia="en-AU"/>
              </w:rPr>
            </w:pPr>
            <w:r w:rsidRPr="000F66FB">
              <w:rPr>
                <w:lang w:eastAsia="en-AU"/>
              </w:rPr>
              <w:t>Other assets</w:t>
            </w:r>
          </w:p>
        </w:tc>
        <w:tc>
          <w:tcPr>
            <w:tcW w:w="1253" w:type="dxa"/>
            <w:tcBorders>
              <w:top w:val="nil"/>
              <w:left w:val="nil"/>
              <w:bottom w:val="single" w:sz="8" w:space="0" w:color="auto"/>
              <w:right w:val="nil"/>
            </w:tcBorders>
            <w:shd w:val="clear" w:color="auto" w:fill="auto"/>
            <w:noWrap/>
            <w:vAlign w:val="center"/>
            <w:hideMark/>
          </w:tcPr>
          <w:p w14:paraId="05E03CA9" w14:textId="77777777" w:rsidR="008A0A1D" w:rsidRPr="000F66FB" w:rsidRDefault="008A0A1D" w:rsidP="00370D9A">
            <w:pPr>
              <w:pStyle w:val="TableofAuthorities"/>
              <w:rPr>
                <w:lang w:eastAsia="en-AU"/>
              </w:rPr>
            </w:pPr>
            <w:r w:rsidRPr="000F66FB">
              <w:rPr>
                <w:lang w:eastAsia="en-AU"/>
              </w:rPr>
              <w:t xml:space="preserve">$15,292 </w:t>
            </w:r>
          </w:p>
        </w:tc>
        <w:tc>
          <w:tcPr>
            <w:tcW w:w="1372" w:type="dxa"/>
            <w:tcBorders>
              <w:top w:val="nil"/>
              <w:left w:val="nil"/>
              <w:bottom w:val="single" w:sz="8" w:space="0" w:color="auto"/>
              <w:right w:val="nil"/>
            </w:tcBorders>
            <w:shd w:val="clear" w:color="auto" w:fill="auto"/>
            <w:noWrap/>
            <w:vAlign w:val="center"/>
            <w:hideMark/>
          </w:tcPr>
          <w:p w14:paraId="0683CC0E" w14:textId="77777777" w:rsidR="008A0A1D" w:rsidRPr="000F66FB" w:rsidRDefault="008A0A1D" w:rsidP="00370D9A">
            <w:pPr>
              <w:pStyle w:val="TableofAuthorities"/>
              <w:rPr>
                <w:lang w:eastAsia="en-AU"/>
              </w:rPr>
            </w:pPr>
            <w:r w:rsidRPr="000F66FB">
              <w:rPr>
                <w:lang w:eastAsia="en-AU"/>
              </w:rPr>
              <w:t xml:space="preserve">$15,323 </w:t>
            </w:r>
          </w:p>
        </w:tc>
        <w:tc>
          <w:tcPr>
            <w:tcW w:w="1344" w:type="dxa"/>
            <w:tcBorders>
              <w:top w:val="nil"/>
              <w:left w:val="nil"/>
              <w:bottom w:val="single" w:sz="8" w:space="0" w:color="auto"/>
              <w:right w:val="nil"/>
            </w:tcBorders>
            <w:shd w:val="clear" w:color="auto" w:fill="auto"/>
            <w:noWrap/>
            <w:vAlign w:val="center"/>
            <w:hideMark/>
          </w:tcPr>
          <w:p w14:paraId="0937F275" w14:textId="77777777" w:rsidR="008A0A1D" w:rsidRPr="000F66FB" w:rsidRDefault="008A0A1D" w:rsidP="00370D9A">
            <w:pPr>
              <w:pStyle w:val="TableofAuthorities"/>
              <w:rPr>
                <w:lang w:eastAsia="en-AU"/>
              </w:rPr>
            </w:pPr>
            <w:r w:rsidRPr="000F66FB">
              <w:rPr>
                <w:lang w:eastAsia="en-AU"/>
              </w:rPr>
              <w:t xml:space="preserve">$16,862 </w:t>
            </w:r>
          </w:p>
        </w:tc>
        <w:tc>
          <w:tcPr>
            <w:tcW w:w="1228" w:type="dxa"/>
            <w:tcBorders>
              <w:top w:val="nil"/>
              <w:left w:val="nil"/>
              <w:bottom w:val="single" w:sz="8" w:space="0" w:color="auto"/>
              <w:right w:val="nil"/>
            </w:tcBorders>
            <w:shd w:val="clear" w:color="auto" w:fill="auto"/>
            <w:noWrap/>
            <w:vAlign w:val="center"/>
            <w:hideMark/>
          </w:tcPr>
          <w:p w14:paraId="425D1CEA" w14:textId="77777777" w:rsidR="008A0A1D" w:rsidRPr="000F66FB" w:rsidRDefault="008A0A1D" w:rsidP="00370D9A">
            <w:pPr>
              <w:pStyle w:val="TableofAuthorities"/>
              <w:rPr>
                <w:lang w:eastAsia="en-AU"/>
              </w:rPr>
            </w:pPr>
            <w:r w:rsidRPr="000F66FB">
              <w:rPr>
                <w:lang w:eastAsia="en-AU"/>
              </w:rPr>
              <w:t>$18,114</w:t>
            </w:r>
          </w:p>
        </w:tc>
        <w:tc>
          <w:tcPr>
            <w:tcW w:w="1301" w:type="dxa"/>
            <w:tcBorders>
              <w:top w:val="nil"/>
              <w:left w:val="nil"/>
              <w:bottom w:val="single" w:sz="8" w:space="0" w:color="auto"/>
              <w:right w:val="nil"/>
            </w:tcBorders>
            <w:shd w:val="clear" w:color="auto" w:fill="auto"/>
            <w:noWrap/>
            <w:vAlign w:val="center"/>
            <w:hideMark/>
          </w:tcPr>
          <w:p w14:paraId="092B0F82" w14:textId="77777777" w:rsidR="008A0A1D" w:rsidRPr="000F66FB" w:rsidRDefault="008A0A1D" w:rsidP="00370D9A">
            <w:pPr>
              <w:pStyle w:val="TableofAuthorities"/>
              <w:rPr>
                <w:lang w:eastAsia="en-AU"/>
              </w:rPr>
            </w:pPr>
            <w:r w:rsidRPr="000F66FB">
              <w:rPr>
                <w:lang w:eastAsia="en-AU"/>
              </w:rPr>
              <w:t>$16,867</w:t>
            </w:r>
          </w:p>
        </w:tc>
      </w:tr>
      <w:tr w:rsidR="008A0A1D" w:rsidRPr="008A0A1D" w14:paraId="759892E9" w14:textId="77777777" w:rsidTr="002F0421">
        <w:trPr>
          <w:trHeight w:val="294"/>
        </w:trPr>
        <w:tc>
          <w:tcPr>
            <w:tcW w:w="3167" w:type="dxa"/>
            <w:tcBorders>
              <w:top w:val="nil"/>
              <w:left w:val="nil"/>
              <w:bottom w:val="single" w:sz="8" w:space="0" w:color="auto"/>
              <w:right w:val="nil"/>
            </w:tcBorders>
            <w:shd w:val="clear" w:color="auto" w:fill="F1F2F2" w:themeFill="background2"/>
            <w:noWrap/>
            <w:vAlign w:val="center"/>
            <w:hideMark/>
          </w:tcPr>
          <w:p w14:paraId="6A7A28F7" w14:textId="77777777" w:rsidR="008A0A1D" w:rsidRPr="000F66FB" w:rsidRDefault="008A0A1D" w:rsidP="00370D9A">
            <w:pPr>
              <w:pStyle w:val="TableParagraphbold"/>
              <w:rPr>
                <w:lang w:eastAsia="en-AU"/>
              </w:rPr>
            </w:pPr>
            <w:r w:rsidRPr="000F66FB">
              <w:rPr>
                <w:lang w:eastAsia="en-AU"/>
              </w:rPr>
              <w:t>Total assets</w:t>
            </w:r>
          </w:p>
        </w:tc>
        <w:tc>
          <w:tcPr>
            <w:tcW w:w="1253" w:type="dxa"/>
            <w:tcBorders>
              <w:top w:val="nil"/>
              <w:left w:val="nil"/>
              <w:bottom w:val="single" w:sz="8" w:space="0" w:color="auto"/>
              <w:right w:val="nil"/>
            </w:tcBorders>
            <w:shd w:val="clear" w:color="auto" w:fill="F1F2F2" w:themeFill="background2"/>
            <w:noWrap/>
            <w:vAlign w:val="center"/>
            <w:hideMark/>
          </w:tcPr>
          <w:p w14:paraId="6B8281F7" w14:textId="77777777" w:rsidR="008A0A1D" w:rsidRPr="000F66FB" w:rsidRDefault="008A0A1D" w:rsidP="00370D9A">
            <w:pPr>
              <w:pStyle w:val="TableParagraphbold"/>
              <w:rPr>
                <w:lang w:eastAsia="en-AU"/>
              </w:rPr>
            </w:pPr>
            <w:r w:rsidRPr="000F66FB">
              <w:rPr>
                <w:lang w:eastAsia="en-AU"/>
              </w:rPr>
              <w:t xml:space="preserve">$48,400 </w:t>
            </w:r>
          </w:p>
        </w:tc>
        <w:tc>
          <w:tcPr>
            <w:tcW w:w="1372" w:type="dxa"/>
            <w:tcBorders>
              <w:top w:val="nil"/>
              <w:left w:val="nil"/>
              <w:bottom w:val="single" w:sz="8" w:space="0" w:color="auto"/>
              <w:right w:val="nil"/>
            </w:tcBorders>
            <w:shd w:val="clear" w:color="auto" w:fill="F1F2F2" w:themeFill="background2"/>
            <w:noWrap/>
            <w:vAlign w:val="center"/>
            <w:hideMark/>
          </w:tcPr>
          <w:p w14:paraId="08C0D2B3" w14:textId="77777777" w:rsidR="008A0A1D" w:rsidRPr="000F66FB" w:rsidRDefault="008A0A1D" w:rsidP="00370D9A">
            <w:pPr>
              <w:pStyle w:val="TableParagraphbold"/>
              <w:rPr>
                <w:lang w:eastAsia="en-AU"/>
              </w:rPr>
            </w:pPr>
            <w:r w:rsidRPr="000F66FB">
              <w:rPr>
                <w:lang w:eastAsia="en-AU"/>
              </w:rPr>
              <w:t xml:space="preserve">$52,568 </w:t>
            </w:r>
          </w:p>
        </w:tc>
        <w:tc>
          <w:tcPr>
            <w:tcW w:w="1344" w:type="dxa"/>
            <w:tcBorders>
              <w:top w:val="nil"/>
              <w:left w:val="nil"/>
              <w:bottom w:val="single" w:sz="8" w:space="0" w:color="auto"/>
              <w:right w:val="nil"/>
            </w:tcBorders>
            <w:shd w:val="clear" w:color="auto" w:fill="F1F2F2" w:themeFill="background2"/>
            <w:noWrap/>
            <w:vAlign w:val="center"/>
            <w:hideMark/>
          </w:tcPr>
          <w:p w14:paraId="685FDB24" w14:textId="77777777" w:rsidR="008A0A1D" w:rsidRPr="000F66FB" w:rsidRDefault="008A0A1D" w:rsidP="00370D9A">
            <w:pPr>
              <w:pStyle w:val="TableParagraphbold"/>
              <w:rPr>
                <w:lang w:eastAsia="en-AU"/>
              </w:rPr>
            </w:pPr>
            <w:r w:rsidRPr="000F66FB">
              <w:rPr>
                <w:lang w:eastAsia="en-AU"/>
              </w:rPr>
              <w:t xml:space="preserve">$56,401 </w:t>
            </w:r>
          </w:p>
        </w:tc>
        <w:tc>
          <w:tcPr>
            <w:tcW w:w="1228" w:type="dxa"/>
            <w:tcBorders>
              <w:top w:val="nil"/>
              <w:left w:val="nil"/>
              <w:bottom w:val="single" w:sz="8" w:space="0" w:color="auto"/>
              <w:right w:val="nil"/>
            </w:tcBorders>
            <w:shd w:val="clear" w:color="auto" w:fill="F1F2F2" w:themeFill="background2"/>
            <w:noWrap/>
            <w:vAlign w:val="center"/>
            <w:hideMark/>
          </w:tcPr>
          <w:p w14:paraId="4066E42C" w14:textId="77777777" w:rsidR="008A0A1D" w:rsidRPr="000F66FB" w:rsidRDefault="008A0A1D" w:rsidP="00370D9A">
            <w:pPr>
              <w:pStyle w:val="TableParagraphbold"/>
              <w:rPr>
                <w:lang w:eastAsia="en-AU"/>
              </w:rPr>
            </w:pPr>
            <w:r w:rsidRPr="000F66FB">
              <w:rPr>
                <w:lang w:eastAsia="en-AU"/>
              </w:rPr>
              <w:t>$57,323</w:t>
            </w:r>
          </w:p>
        </w:tc>
        <w:tc>
          <w:tcPr>
            <w:tcW w:w="1301" w:type="dxa"/>
            <w:tcBorders>
              <w:top w:val="nil"/>
              <w:left w:val="nil"/>
              <w:bottom w:val="single" w:sz="8" w:space="0" w:color="auto"/>
              <w:right w:val="nil"/>
            </w:tcBorders>
            <w:shd w:val="clear" w:color="auto" w:fill="F1F2F2" w:themeFill="background2"/>
            <w:noWrap/>
            <w:vAlign w:val="center"/>
            <w:hideMark/>
          </w:tcPr>
          <w:p w14:paraId="464C3BA2" w14:textId="77777777" w:rsidR="008A0A1D" w:rsidRPr="000F66FB" w:rsidRDefault="008A0A1D" w:rsidP="00370D9A">
            <w:pPr>
              <w:pStyle w:val="TableParagraphbold"/>
              <w:rPr>
                <w:lang w:eastAsia="en-AU"/>
              </w:rPr>
            </w:pPr>
            <w:r w:rsidRPr="000F66FB">
              <w:rPr>
                <w:lang w:eastAsia="en-AU"/>
              </w:rPr>
              <w:t>$56,631</w:t>
            </w:r>
          </w:p>
        </w:tc>
      </w:tr>
      <w:tr w:rsidR="008A0A1D" w:rsidRPr="008A0A1D" w14:paraId="33410C2C" w14:textId="77777777" w:rsidTr="008A0A1D">
        <w:trPr>
          <w:trHeight w:val="294"/>
        </w:trPr>
        <w:tc>
          <w:tcPr>
            <w:tcW w:w="3167" w:type="dxa"/>
            <w:tcBorders>
              <w:top w:val="nil"/>
              <w:left w:val="nil"/>
              <w:bottom w:val="single" w:sz="8" w:space="0" w:color="auto"/>
              <w:right w:val="nil"/>
            </w:tcBorders>
            <w:shd w:val="clear" w:color="auto" w:fill="auto"/>
            <w:noWrap/>
            <w:vAlign w:val="center"/>
            <w:hideMark/>
          </w:tcPr>
          <w:p w14:paraId="7948E569" w14:textId="77777777" w:rsidR="008A0A1D" w:rsidRPr="000F66FB" w:rsidRDefault="008A0A1D" w:rsidP="00370D9A">
            <w:pPr>
              <w:pStyle w:val="TableofAuthorities"/>
              <w:rPr>
                <w:lang w:eastAsia="en-AU"/>
              </w:rPr>
            </w:pPr>
            <w:r w:rsidRPr="000F66FB">
              <w:rPr>
                <w:lang w:eastAsia="en-AU"/>
              </w:rPr>
              <w:t>Refundable accommodation deposits</w:t>
            </w:r>
          </w:p>
        </w:tc>
        <w:tc>
          <w:tcPr>
            <w:tcW w:w="1253" w:type="dxa"/>
            <w:tcBorders>
              <w:top w:val="nil"/>
              <w:left w:val="nil"/>
              <w:bottom w:val="single" w:sz="8" w:space="0" w:color="auto"/>
              <w:right w:val="nil"/>
            </w:tcBorders>
            <w:shd w:val="clear" w:color="auto" w:fill="auto"/>
            <w:noWrap/>
            <w:vAlign w:val="center"/>
            <w:hideMark/>
          </w:tcPr>
          <w:p w14:paraId="7C95D537" w14:textId="77777777" w:rsidR="008A0A1D" w:rsidRPr="000F66FB" w:rsidRDefault="008A0A1D" w:rsidP="00370D9A">
            <w:pPr>
              <w:pStyle w:val="TableofAuthorities"/>
              <w:rPr>
                <w:lang w:eastAsia="en-AU"/>
              </w:rPr>
            </w:pPr>
            <w:r w:rsidRPr="000F66FB">
              <w:rPr>
                <w:lang w:eastAsia="en-AU"/>
              </w:rPr>
              <w:t xml:space="preserve">$27,523 </w:t>
            </w:r>
          </w:p>
        </w:tc>
        <w:tc>
          <w:tcPr>
            <w:tcW w:w="1372" w:type="dxa"/>
            <w:tcBorders>
              <w:top w:val="nil"/>
              <w:left w:val="nil"/>
              <w:bottom w:val="single" w:sz="8" w:space="0" w:color="auto"/>
              <w:right w:val="nil"/>
            </w:tcBorders>
            <w:shd w:val="clear" w:color="auto" w:fill="auto"/>
            <w:noWrap/>
            <w:vAlign w:val="center"/>
            <w:hideMark/>
          </w:tcPr>
          <w:p w14:paraId="1B21AAB9" w14:textId="77777777" w:rsidR="008A0A1D" w:rsidRPr="000F66FB" w:rsidRDefault="008A0A1D" w:rsidP="00370D9A">
            <w:pPr>
              <w:pStyle w:val="TableofAuthorities"/>
              <w:rPr>
                <w:lang w:eastAsia="en-AU"/>
              </w:rPr>
            </w:pPr>
            <w:r w:rsidRPr="000F66FB">
              <w:rPr>
                <w:lang w:eastAsia="en-AU"/>
              </w:rPr>
              <w:t xml:space="preserve">$30,183 </w:t>
            </w:r>
          </w:p>
        </w:tc>
        <w:tc>
          <w:tcPr>
            <w:tcW w:w="1344" w:type="dxa"/>
            <w:tcBorders>
              <w:top w:val="nil"/>
              <w:left w:val="nil"/>
              <w:bottom w:val="single" w:sz="8" w:space="0" w:color="auto"/>
              <w:right w:val="nil"/>
            </w:tcBorders>
            <w:shd w:val="clear" w:color="auto" w:fill="auto"/>
            <w:noWrap/>
            <w:vAlign w:val="center"/>
            <w:hideMark/>
          </w:tcPr>
          <w:p w14:paraId="759F4BE7" w14:textId="77777777" w:rsidR="008A0A1D" w:rsidRPr="000F66FB" w:rsidRDefault="008A0A1D" w:rsidP="00370D9A">
            <w:pPr>
              <w:pStyle w:val="TableofAuthorities"/>
              <w:rPr>
                <w:lang w:eastAsia="en-AU"/>
              </w:rPr>
            </w:pPr>
            <w:r w:rsidRPr="000F66FB">
              <w:rPr>
                <w:lang w:eastAsia="en-AU"/>
              </w:rPr>
              <w:t xml:space="preserve">$32,205 </w:t>
            </w:r>
          </w:p>
        </w:tc>
        <w:tc>
          <w:tcPr>
            <w:tcW w:w="1228" w:type="dxa"/>
            <w:tcBorders>
              <w:top w:val="nil"/>
              <w:left w:val="nil"/>
              <w:bottom w:val="single" w:sz="8" w:space="0" w:color="auto"/>
              <w:right w:val="nil"/>
            </w:tcBorders>
            <w:shd w:val="clear" w:color="auto" w:fill="auto"/>
            <w:noWrap/>
            <w:vAlign w:val="center"/>
            <w:hideMark/>
          </w:tcPr>
          <w:p w14:paraId="7B2FCECE" w14:textId="77777777" w:rsidR="008A0A1D" w:rsidRPr="000F66FB" w:rsidRDefault="008A0A1D" w:rsidP="00370D9A">
            <w:pPr>
              <w:pStyle w:val="TableofAuthorities"/>
              <w:rPr>
                <w:lang w:eastAsia="en-AU"/>
              </w:rPr>
            </w:pPr>
            <w:r w:rsidRPr="000F66FB">
              <w:rPr>
                <w:lang w:eastAsia="en-AU"/>
              </w:rPr>
              <w:t>$34,231</w:t>
            </w:r>
          </w:p>
        </w:tc>
        <w:tc>
          <w:tcPr>
            <w:tcW w:w="1301" w:type="dxa"/>
            <w:tcBorders>
              <w:top w:val="nil"/>
              <w:left w:val="nil"/>
              <w:bottom w:val="single" w:sz="8" w:space="0" w:color="auto"/>
              <w:right w:val="nil"/>
            </w:tcBorders>
            <w:shd w:val="clear" w:color="auto" w:fill="auto"/>
            <w:noWrap/>
            <w:vAlign w:val="center"/>
            <w:hideMark/>
          </w:tcPr>
          <w:p w14:paraId="741DB8A2" w14:textId="77777777" w:rsidR="008A0A1D" w:rsidRPr="000F66FB" w:rsidRDefault="008A0A1D" w:rsidP="00370D9A">
            <w:pPr>
              <w:pStyle w:val="TableofAuthorities"/>
              <w:rPr>
                <w:lang w:eastAsia="en-AU"/>
              </w:rPr>
            </w:pPr>
            <w:r w:rsidRPr="000F66FB">
              <w:rPr>
                <w:lang w:eastAsia="en-AU"/>
              </w:rPr>
              <w:t>$35,507</w:t>
            </w:r>
          </w:p>
        </w:tc>
      </w:tr>
      <w:tr w:rsidR="008A0A1D" w:rsidRPr="008A0A1D" w14:paraId="03839317" w14:textId="77777777" w:rsidTr="008A0A1D">
        <w:trPr>
          <w:trHeight w:val="294"/>
        </w:trPr>
        <w:tc>
          <w:tcPr>
            <w:tcW w:w="3167" w:type="dxa"/>
            <w:tcBorders>
              <w:top w:val="nil"/>
              <w:left w:val="nil"/>
              <w:bottom w:val="single" w:sz="8" w:space="0" w:color="auto"/>
              <w:right w:val="nil"/>
            </w:tcBorders>
            <w:shd w:val="clear" w:color="auto" w:fill="auto"/>
            <w:noWrap/>
            <w:vAlign w:val="center"/>
            <w:hideMark/>
          </w:tcPr>
          <w:p w14:paraId="617CCE6C" w14:textId="77777777" w:rsidR="008A0A1D" w:rsidRPr="000F66FB" w:rsidRDefault="008A0A1D" w:rsidP="00370D9A">
            <w:pPr>
              <w:pStyle w:val="TableofAuthorities"/>
              <w:rPr>
                <w:lang w:eastAsia="en-AU"/>
              </w:rPr>
            </w:pPr>
            <w:r w:rsidRPr="000F66FB">
              <w:rPr>
                <w:lang w:eastAsia="en-AU"/>
              </w:rPr>
              <w:t>Lease liabilities</w:t>
            </w:r>
          </w:p>
        </w:tc>
        <w:tc>
          <w:tcPr>
            <w:tcW w:w="1253" w:type="dxa"/>
            <w:tcBorders>
              <w:top w:val="nil"/>
              <w:left w:val="nil"/>
              <w:bottom w:val="single" w:sz="8" w:space="0" w:color="auto"/>
              <w:right w:val="nil"/>
            </w:tcBorders>
            <w:shd w:val="clear" w:color="auto" w:fill="auto"/>
            <w:noWrap/>
            <w:vAlign w:val="center"/>
            <w:hideMark/>
          </w:tcPr>
          <w:p w14:paraId="0C07E84B" w14:textId="2394FCC4" w:rsidR="008A0A1D" w:rsidRPr="000F66FB" w:rsidRDefault="008A0A1D" w:rsidP="00370D9A">
            <w:pPr>
              <w:pStyle w:val="TableofAuthorities"/>
              <w:rPr>
                <w:lang w:eastAsia="en-AU"/>
              </w:rPr>
            </w:pPr>
            <w:r w:rsidRPr="000F66FB">
              <w:rPr>
                <w:lang w:eastAsia="en-AU"/>
              </w:rPr>
              <w:t>-</w:t>
            </w:r>
          </w:p>
        </w:tc>
        <w:tc>
          <w:tcPr>
            <w:tcW w:w="1372" w:type="dxa"/>
            <w:tcBorders>
              <w:top w:val="nil"/>
              <w:left w:val="nil"/>
              <w:bottom w:val="single" w:sz="8" w:space="0" w:color="auto"/>
              <w:right w:val="nil"/>
            </w:tcBorders>
            <w:shd w:val="clear" w:color="auto" w:fill="auto"/>
            <w:noWrap/>
            <w:vAlign w:val="center"/>
            <w:hideMark/>
          </w:tcPr>
          <w:p w14:paraId="26673DAB" w14:textId="21DFD903" w:rsidR="008A0A1D" w:rsidRPr="000F66FB" w:rsidRDefault="008A0A1D" w:rsidP="00370D9A">
            <w:pPr>
              <w:pStyle w:val="TableofAuthorities"/>
              <w:rPr>
                <w:lang w:eastAsia="en-AU"/>
              </w:rPr>
            </w:pPr>
            <w:r w:rsidRPr="000F66FB">
              <w:rPr>
                <w:lang w:eastAsia="en-AU"/>
              </w:rPr>
              <w:t>-</w:t>
            </w:r>
          </w:p>
        </w:tc>
        <w:tc>
          <w:tcPr>
            <w:tcW w:w="1344" w:type="dxa"/>
            <w:tcBorders>
              <w:top w:val="nil"/>
              <w:left w:val="nil"/>
              <w:bottom w:val="single" w:sz="8" w:space="0" w:color="auto"/>
              <w:right w:val="nil"/>
            </w:tcBorders>
            <w:shd w:val="clear" w:color="auto" w:fill="auto"/>
            <w:noWrap/>
            <w:vAlign w:val="center"/>
            <w:hideMark/>
          </w:tcPr>
          <w:p w14:paraId="61B59A57" w14:textId="77777777" w:rsidR="008A0A1D" w:rsidRPr="000F66FB" w:rsidRDefault="008A0A1D" w:rsidP="00370D9A">
            <w:pPr>
              <w:pStyle w:val="TableofAuthorities"/>
              <w:rPr>
                <w:lang w:eastAsia="en-AU"/>
              </w:rPr>
            </w:pPr>
            <w:r w:rsidRPr="000F66FB">
              <w:rPr>
                <w:lang w:eastAsia="en-AU"/>
              </w:rPr>
              <w:t xml:space="preserve">$2,976 </w:t>
            </w:r>
          </w:p>
        </w:tc>
        <w:tc>
          <w:tcPr>
            <w:tcW w:w="1228" w:type="dxa"/>
            <w:tcBorders>
              <w:top w:val="nil"/>
              <w:left w:val="nil"/>
              <w:bottom w:val="single" w:sz="8" w:space="0" w:color="auto"/>
              <w:right w:val="nil"/>
            </w:tcBorders>
            <w:shd w:val="clear" w:color="auto" w:fill="auto"/>
            <w:noWrap/>
            <w:vAlign w:val="center"/>
            <w:hideMark/>
          </w:tcPr>
          <w:p w14:paraId="0EEEF7EA" w14:textId="77777777" w:rsidR="008A0A1D" w:rsidRPr="000F66FB" w:rsidRDefault="008A0A1D" w:rsidP="00370D9A">
            <w:pPr>
              <w:pStyle w:val="TableofAuthorities"/>
              <w:rPr>
                <w:lang w:eastAsia="en-AU"/>
              </w:rPr>
            </w:pPr>
            <w:r w:rsidRPr="000F66FB">
              <w:rPr>
                <w:lang w:eastAsia="en-AU"/>
              </w:rPr>
              <w:t>$2,790</w:t>
            </w:r>
          </w:p>
        </w:tc>
        <w:tc>
          <w:tcPr>
            <w:tcW w:w="1301" w:type="dxa"/>
            <w:tcBorders>
              <w:top w:val="nil"/>
              <w:left w:val="nil"/>
              <w:bottom w:val="single" w:sz="8" w:space="0" w:color="auto"/>
              <w:right w:val="nil"/>
            </w:tcBorders>
            <w:shd w:val="clear" w:color="auto" w:fill="auto"/>
            <w:noWrap/>
            <w:vAlign w:val="center"/>
            <w:hideMark/>
          </w:tcPr>
          <w:p w14:paraId="00A98C9A" w14:textId="77777777" w:rsidR="008A0A1D" w:rsidRPr="000F66FB" w:rsidRDefault="008A0A1D" w:rsidP="00370D9A">
            <w:pPr>
              <w:pStyle w:val="TableofAuthorities"/>
              <w:rPr>
                <w:lang w:eastAsia="en-AU"/>
              </w:rPr>
            </w:pPr>
            <w:r w:rsidRPr="000F66FB">
              <w:rPr>
                <w:lang w:eastAsia="en-AU"/>
              </w:rPr>
              <w:t>$2,768</w:t>
            </w:r>
          </w:p>
        </w:tc>
      </w:tr>
      <w:tr w:rsidR="008A0A1D" w:rsidRPr="008A0A1D" w14:paraId="60AEA549" w14:textId="77777777" w:rsidTr="008A0A1D">
        <w:trPr>
          <w:trHeight w:val="294"/>
        </w:trPr>
        <w:tc>
          <w:tcPr>
            <w:tcW w:w="3167" w:type="dxa"/>
            <w:tcBorders>
              <w:top w:val="nil"/>
              <w:left w:val="nil"/>
              <w:bottom w:val="single" w:sz="8" w:space="0" w:color="auto"/>
              <w:right w:val="nil"/>
            </w:tcBorders>
            <w:shd w:val="clear" w:color="auto" w:fill="auto"/>
            <w:noWrap/>
            <w:vAlign w:val="center"/>
            <w:hideMark/>
          </w:tcPr>
          <w:p w14:paraId="69AE9419" w14:textId="77777777" w:rsidR="008A0A1D" w:rsidRPr="000F66FB" w:rsidRDefault="008A0A1D" w:rsidP="00370D9A">
            <w:pPr>
              <w:pStyle w:val="TableofAuthorities"/>
              <w:rPr>
                <w:lang w:eastAsia="en-AU"/>
              </w:rPr>
            </w:pPr>
            <w:r w:rsidRPr="000F66FB">
              <w:rPr>
                <w:lang w:eastAsia="en-AU"/>
              </w:rPr>
              <w:t>Other liabilities</w:t>
            </w:r>
          </w:p>
        </w:tc>
        <w:tc>
          <w:tcPr>
            <w:tcW w:w="1253" w:type="dxa"/>
            <w:tcBorders>
              <w:top w:val="nil"/>
              <w:left w:val="nil"/>
              <w:bottom w:val="single" w:sz="8" w:space="0" w:color="auto"/>
              <w:right w:val="nil"/>
            </w:tcBorders>
            <w:shd w:val="clear" w:color="auto" w:fill="auto"/>
            <w:noWrap/>
            <w:vAlign w:val="center"/>
            <w:hideMark/>
          </w:tcPr>
          <w:p w14:paraId="69747800" w14:textId="77777777" w:rsidR="008A0A1D" w:rsidRPr="000F66FB" w:rsidRDefault="008A0A1D" w:rsidP="00370D9A">
            <w:pPr>
              <w:pStyle w:val="TableofAuthorities"/>
              <w:rPr>
                <w:lang w:eastAsia="en-AU"/>
              </w:rPr>
            </w:pPr>
            <w:r w:rsidRPr="000F66FB">
              <w:rPr>
                <w:lang w:eastAsia="en-AU"/>
              </w:rPr>
              <w:t xml:space="preserve">$9,050 </w:t>
            </w:r>
          </w:p>
        </w:tc>
        <w:tc>
          <w:tcPr>
            <w:tcW w:w="1372" w:type="dxa"/>
            <w:tcBorders>
              <w:top w:val="nil"/>
              <w:left w:val="nil"/>
              <w:bottom w:val="single" w:sz="8" w:space="0" w:color="auto"/>
              <w:right w:val="nil"/>
            </w:tcBorders>
            <w:shd w:val="clear" w:color="auto" w:fill="auto"/>
            <w:noWrap/>
            <w:vAlign w:val="center"/>
            <w:hideMark/>
          </w:tcPr>
          <w:p w14:paraId="342C8EB0" w14:textId="77777777" w:rsidR="008A0A1D" w:rsidRPr="000F66FB" w:rsidRDefault="008A0A1D" w:rsidP="00370D9A">
            <w:pPr>
              <w:pStyle w:val="TableofAuthorities"/>
              <w:rPr>
                <w:lang w:eastAsia="en-AU"/>
              </w:rPr>
            </w:pPr>
            <w:r w:rsidRPr="000F66FB">
              <w:rPr>
                <w:lang w:eastAsia="en-AU"/>
              </w:rPr>
              <w:t xml:space="preserve">$9,703 </w:t>
            </w:r>
          </w:p>
        </w:tc>
        <w:tc>
          <w:tcPr>
            <w:tcW w:w="1344" w:type="dxa"/>
            <w:tcBorders>
              <w:top w:val="nil"/>
              <w:left w:val="nil"/>
              <w:bottom w:val="single" w:sz="8" w:space="0" w:color="auto"/>
              <w:right w:val="nil"/>
            </w:tcBorders>
            <w:shd w:val="clear" w:color="auto" w:fill="auto"/>
            <w:noWrap/>
            <w:vAlign w:val="center"/>
            <w:hideMark/>
          </w:tcPr>
          <w:p w14:paraId="2C6AC4FD" w14:textId="77777777" w:rsidR="008A0A1D" w:rsidRPr="000F66FB" w:rsidRDefault="008A0A1D" w:rsidP="00370D9A">
            <w:pPr>
              <w:pStyle w:val="TableofAuthorities"/>
              <w:rPr>
                <w:lang w:eastAsia="en-AU"/>
              </w:rPr>
            </w:pPr>
            <w:r w:rsidRPr="000F66FB">
              <w:rPr>
                <w:lang w:eastAsia="en-AU"/>
              </w:rPr>
              <w:t xml:space="preserve">$9,663 </w:t>
            </w:r>
          </w:p>
        </w:tc>
        <w:tc>
          <w:tcPr>
            <w:tcW w:w="1228" w:type="dxa"/>
            <w:tcBorders>
              <w:top w:val="nil"/>
              <w:left w:val="nil"/>
              <w:bottom w:val="single" w:sz="8" w:space="0" w:color="auto"/>
              <w:right w:val="nil"/>
            </w:tcBorders>
            <w:shd w:val="clear" w:color="auto" w:fill="auto"/>
            <w:noWrap/>
            <w:vAlign w:val="center"/>
            <w:hideMark/>
          </w:tcPr>
          <w:p w14:paraId="1713E997" w14:textId="77777777" w:rsidR="008A0A1D" w:rsidRPr="000F66FB" w:rsidRDefault="008A0A1D" w:rsidP="00370D9A">
            <w:pPr>
              <w:pStyle w:val="TableofAuthorities"/>
              <w:rPr>
                <w:lang w:eastAsia="en-AU"/>
              </w:rPr>
            </w:pPr>
            <w:r w:rsidRPr="000F66FB">
              <w:rPr>
                <w:lang w:eastAsia="en-AU"/>
              </w:rPr>
              <w:t>$9,941</w:t>
            </w:r>
          </w:p>
        </w:tc>
        <w:tc>
          <w:tcPr>
            <w:tcW w:w="1301" w:type="dxa"/>
            <w:tcBorders>
              <w:top w:val="nil"/>
              <w:left w:val="nil"/>
              <w:bottom w:val="single" w:sz="8" w:space="0" w:color="auto"/>
              <w:right w:val="nil"/>
            </w:tcBorders>
            <w:shd w:val="clear" w:color="auto" w:fill="auto"/>
            <w:noWrap/>
            <w:vAlign w:val="center"/>
            <w:hideMark/>
          </w:tcPr>
          <w:p w14:paraId="71F50ADD" w14:textId="77777777" w:rsidR="008A0A1D" w:rsidRPr="000F66FB" w:rsidRDefault="008A0A1D" w:rsidP="00370D9A">
            <w:pPr>
              <w:pStyle w:val="TableofAuthorities"/>
              <w:rPr>
                <w:lang w:eastAsia="en-AU"/>
              </w:rPr>
            </w:pPr>
            <w:r w:rsidRPr="000F66FB">
              <w:rPr>
                <w:lang w:eastAsia="en-AU"/>
              </w:rPr>
              <w:t>$10,063</w:t>
            </w:r>
          </w:p>
        </w:tc>
      </w:tr>
      <w:tr w:rsidR="008A0A1D" w:rsidRPr="008A0A1D" w14:paraId="0D3EA7C8" w14:textId="77777777" w:rsidTr="002F0421">
        <w:trPr>
          <w:trHeight w:val="294"/>
        </w:trPr>
        <w:tc>
          <w:tcPr>
            <w:tcW w:w="3167" w:type="dxa"/>
            <w:tcBorders>
              <w:top w:val="nil"/>
              <w:left w:val="nil"/>
              <w:bottom w:val="single" w:sz="8" w:space="0" w:color="auto"/>
              <w:right w:val="nil"/>
            </w:tcBorders>
            <w:shd w:val="clear" w:color="auto" w:fill="F1F2F2" w:themeFill="background2"/>
            <w:noWrap/>
            <w:vAlign w:val="center"/>
            <w:hideMark/>
          </w:tcPr>
          <w:p w14:paraId="2707DC07" w14:textId="77777777" w:rsidR="008A0A1D" w:rsidRPr="000F66FB" w:rsidRDefault="008A0A1D" w:rsidP="00370D9A">
            <w:pPr>
              <w:pStyle w:val="TableParagraphbold"/>
              <w:rPr>
                <w:lang w:eastAsia="en-AU"/>
              </w:rPr>
            </w:pPr>
            <w:r w:rsidRPr="000F66FB">
              <w:rPr>
                <w:lang w:eastAsia="en-AU"/>
              </w:rPr>
              <w:t>Total liabilities</w:t>
            </w:r>
          </w:p>
        </w:tc>
        <w:tc>
          <w:tcPr>
            <w:tcW w:w="1253" w:type="dxa"/>
            <w:tcBorders>
              <w:top w:val="nil"/>
              <w:left w:val="nil"/>
              <w:bottom w:val="single" w:sz="8" w:space="0" w:color="auto"/>
              <w:right w:val="nil"/>
            </w:tcBorders>
            <w:shd w:val="clear" w:color="auto" w:fill="F1F2F2" w:themeFill="background2"/>
            <w:noWrap/>
            <w:vAlign w:val="center"/>
            <w:hideMark/>
          </w:tcPr>
          <w:p w14:paraId="7390D1B4" w14:textId="77777777" w:rsidR="008A0A1D" w:rsidRPr="000F66FB" w:rsidRDefault="008A0A1D" w:rsidP="00370D9A">
            <w:pPr>
              <w:pStyle w:val="TableParagraphbold"/>
              <w:rPr>
                <w:lang w:eastAsia="en-AU"/>
              </w:rPr>
            </w:pPr>
            <w:r w:rsidRPr="000F66FB">
              <w:rPr>
                <w:lang w:eastAsia="en-AU"/>
              </w:rPr>
              <w:t xml:space="preserve">$36,573 </w:t>
            </w:r>
          </w:p>
        </w:tc>
        <w:tc>
          <w:tcPr>
            <w:tcW w:w="1372" w:type="dxa"/>
            <w:tcBorders>
              <w:top w:val="nil"/>
              <w:left w:val="nil"/>
              <w:bottom w:val="single" w:sz="8" w:space="0" w:color="auto"/>
              <w:right w:val="nil"/>
            </w:tcBorders>
            <w:shd w:val="clear" w:color="auto" w:fill="F1F2F2" w:themeFill="background2"/>
            <w:noWrap/>
            <w:vAlign w:val="center"/>
            <w:hideMark/>
          </w:tcPr>
          <w:p w14:paraId="15C9EC71" w14:textId="77777777" w:rsidR="008A0A1D" w:rsidRPr="000F66FB" w:rsidRDefault="008A0A1D" w:rsidP="00370D9A">
            <w:pPr>
              <w:pStyle w:val="TableParagraphbold"/>
              <w:rPr>
                <w:lang w:eastAsia="en-AU"/>
              </w:rPr>
            </w:pPr>
            <w:r w:rsidRPr="000F66FB">
              <w:rPr>
                <w:lang w:eastAsia="en-AU"/>
              </w:rPr>
              <w:t xml:space="preserve">$39,886 </w:t>
            </w:r>
          </w:p>
        </w:tc>
        <w:tc>
          <w:tcPr>
            <w:tcW w:w="1344" w:type="dxa"/>
            <w:tcBorders>
              <w:top w:val="nil"/>
              <w:left w:val="nil"/>
              <w:bottom w:val="single" w:sz="8" w:space="0" w:color="auto"/>
              <w:right w:val="nil"/>
            </w:tcBorders>
            <w:shd w:val="clear" w:color="auto" w:fill="F1F2F2" w:themeFill="background2"/>
            <w:noWrap/>
            <w:vAlign w:val="center"/>
            <w:hideMark/>
          </w:tcPr>
          <w:p w14:paraId="7E805CE0" w14:textId="77777777" w:rsidR="008A0A1D" w:rsidRPr="000F66FB" w:rsidRDefault="008A0A1D" w:rsidP="00370D9A">
            <w:pPr>
              <w:pStyle w:val="TableParagraphbold"/>
              <w:rPr>
                <w:lang w:eastAsia="en-AU"/>
              </w:rPr>
            </w:pPr>
            <w:r w:rsidRPr="000F66FB">
              <w:rPr>
                <w:lang w:eastAsia="en-AU"/>
              </w:rPr>
              <w:t xml:space="preserve">$44,844 </w:t>
            </w:r>
          </w:p>
        </w:tc>
        <w:tc>
          <w:tcPr>
            <w:tcW w:w="1228" w:type="dxa"/>
            <w:tcBorders>
              <w:top w:val="nil"/>
              <w:left w:val="nil"/>
              <w:bottom w:val="single" w:sz="8" w:space="0" w:color="auto"/>
              <w:right w:val="nil"/>
            </w:tcBorders>
            <w:shd w:val="clear" w:color="auto" w:fill="F1F2F2" w:themeFill="background2"/>
            <w:noWrap/>
            <w:vAlign w:val="center"/>
            <w:hideMark/>
          </w:tcPr>
          <w:p w14:paraId="1D77F590" w14:textId="77777777" w:rsidR="008A0A1D" w:rsidRPr="000F66FB" w:rsidRDefault="008A0A1D" w:rsidP="00370D9A">
            <w:pPr>
              <w:pStyle w:val="TableParagraphbold"/>
              <w:rPr>
                <w:lang w:eastAsia="en-AU"/>
              </w:rPr>
            </w:pPr>
            <w:r w:rsidRPr="000F66FB">
              <w:rPr>
                <w:lang w:eastAsia="en-AU"/>
              </w:rPr>
              <w:t>$46,962</w:t>
            </w:r>
          </w:p>
        </w:tc>
        <w:tc>
          <w:tcPr>
            <w:tcW w:w="1301" w:type="dxa"/>
            <w:tcBorders>
              <w:top w:val="nil"/>
              <w:left w:val="nil"/>
              <w:bottom w:val="single" w:sz="8" w:space="0" w:color="auto"/>
              <w:right w:val="nil"/>
            </w:tcBorders>
            <w:shd w:val="clear" w:color="auto" w:fill="F1F2F2" w:themeFill="background2"/>
            <w:noWrap/>
            <w:vAlign w:val="center"/>
            <w:hideMark/>
          </w:tcPr>
          <w:p w14:paraId="1E145647" w14:textId="77777777" w:rsidR="008A0A1D" w:rsidRPr="000F66FB" w:rsidRDefault="008A0A1D" w:rsidP="00370D9A">
            <w:pPr>
              <w:pStyle w:val="TableParagraphbold"/>
              <w:rPr>
                <w:lang w:eastAsia="en-AU"/>
              </w:rPr>
            </w:pPr>
            <w:r w:rsidRPr="000F66FB">
              <w:rPr>
                <w:lang w:eastAsia="en-AU"/>
              </w:rPr>
              <w:t>$48,338</w:t>
            </w:r>
          </w:p>
        </w:tc>
      </w:tr>
      <w:tr w:rsidR="008A0A1D" w:rsidRPr="008A0A1D" w14:paraId="384F62DB" w14:textId="77777777" w:rsidTr="00AE7D46">
        <w:trPr>
          <w:trHeight w:val="294"/>
        </w:trPr>
        <w:tc>
          <w:tcPr>
            <w:tcW w:w="3167" w:type="dxa"/>
            <w:tcBorders>
              <w:top w:val="nil"/>
              <w:left w:val="nil"/>
              <w:bottom w:val="single" w:sz="12" w:space="0" w:color="auto"/>
              <w:right w:val="nil"/>
            </w:tcBorders>
            <w:shd w:val="clear" w:color="auto" w:fill="F1F2F2" w:themeFill="background2"/>
            <w:noWrap/>
            <w:vAlign w:val="center"/>
            <w:hideMark/>
          </w:tcPr>
          <w:p w14:paraId="37B749CC" w14:textId="77777777" w:rsidR="008A0A1D" w:rsidRPr="000F66FB" w:rsidRDefault="008A0A1D" w:rsidP="00370D9A">
            <w:pPr>
              <w:pStyle w:val="TableParagraphbold"/>
              <w:rPr>
                <w:lang w:eastAsia="en-AU"/>
              </w:rPr>
            </w:pPr>
            <w:r w:rsidRPr="000F66FB">
              <w:rPr>
                <w:lang w:eastAsia="en-AU"/>
              </w:rPr>
              <w:t>Net worth/equity</w:t>
            </w:r>
          </w:p>
        </w:tc>
        <w:tc>
          <w:tcPr>
            <w:tcW w:w="1253" w:type="dxa"/>
            <w:tcBorders>
              <w:top w:val="nil"/>
              <w:left w:val="nil"/>
              <w:bottom w:val="single" w:sz="12" w:space="0" w:color="auto"/>
              <w:right w:val="nil"/>
            </w:tcBorders>
            <w:shd w:val="clear" w:color="auto" w:fill="F1F2F2" w:themeFill="background2"/>
            <w:noWrap/>
            <w:vAlign w:val="center"/>
            <w:hideMark/>
          </w:tcPr>
          <w:p w14:paraId="0D96DC0C" w14:textId="77777777" w:rsidR="008A0A1D" w:rsidRPr="000F66FB" w:rsidRDefault="008A0A1D" w:rsidP="00370D9A">
            <w:pPr>
              <w:pStyle w:val="TableParagraphbold"/>
              <w:rPr>
                <w:lang w:eastAsia="en-AU"/>
              </w:rPr>
            </w:pPr>
            <w:r w:rsidRPr="000F66FB">
              <w:rPr>
                <w:lang w:eastAsia="en-AU"/>
              </w:rPr>
              <w:t xml:space="preserve">$11,827 </w:t>
            </w:r>
          </w:p>
        </w:tc>
        <w:tc>
          <w:tcPr>
            <w:tcW w:w="1372" w:type="dxa"/>
            <w:tcBorders>
              <w:top w:val="nil"/>
              <w:left w:val="nil"/>
              <w:bottom w:val="single" w:sz="12" w:space="0" w:color="auto"/>
              <w:right w:val="nil"/>
            </w:tcBorders>
            <w:shd w:val="clear" w:color="auto" w:fill="F1F2F2" w:themeFill="background2"/>
            <w:noWrap/>
            <w:vAlign w:val="center"/>
            <w:hideMark/>
          </w:tcPr>
          <w:p w14:paraId="6F847007" w14:textId="77777777" w:rsidR="008A0A1D" w:rsidRPr="000F66FB" w:rsidRDefault="008A0A1D" w:rsidP="00370D9A">
            <w:pPr>
              <w:pStyle w:val="TableParagraphbold"/>
              <w:rPr>
                <w:lang w:eastAsia="en-AU"/>
              </w:rPr>
            </w:pPr>
            <w:r w:rsidRPr="000F66FB">
              <w:rPr>
                <w:lang w:eastAsia="en-AU"/>
              </w:rPr>
              <w:t xml:space="preserve">$12,682 </w:t>
            </w:r>
          </w:p>
        </w:tc>
        <w:tc>
          <w:tcPr>
            <w:tcW w:w="1344" w:type="dxa"/>
            <w:tcBorders>
              <w:top w:val="nil"/>
              <w:left w:val="nil"/>
              <w:bottom w:val="single" w:sz="12" w:space="0" w:color="auto"/>
              <w:right w:val="nil"/>
            </w:tcBorders>
            <w:shd w:val="clear" w:color="auto" w:fill="F1F2F2" w:themeFill="background2"/>
            <w:noWrap/>
            <w:vAlign w:val="center"/>
            <w:hideMark/>
          </w:tcPr>
          <w:p w14:paraId="46CABB2C" w14:textId="77777777" w:rsidR="008A0A1D" w:rsidRPr="000F66FB" w:rsidRDefault="008A0A1D" w:rsidP="00370D9A">
            <w:pPr>
              <w:pStyle w:val="TableParagraphbold"/>
              <w:rPr>
                <w:lang w:eastAsia="en-AU"/>
              </w:rPr>
            </w:pPr>
            <w:r w:rsidRPr="000F66FB">
              <w:rPr>
                <w:lang w:eastAsia="en-AU"/>
              </w:rPr>
              <w:t xml:space="preserve">$11,557 </w:t>
            </w:r>
          </w:p>
        </w:tc>
        <w:tc>
          <w:tcPr>
            <w:tcW w:w="1228" w:type="dxa"/>
            <w:tcBorders>
              <w:top w:val="nil"/>
              <w:left w:val="nil"/>
              <w:bottom w:val="single" w:sz="12" w:space="0" w:color="auto"/>
              <w:right w:val="nil"/>
            </w:tcBorders>
            <w:shd w:val="clear" w:color="auto" w:fill="F1F2F2" w:themeFill="background2"/>
            <w:noWrap/>
            <w:vAlign w:val="center"/>
            <w:hideMark/>
          </w:tcPr>
          <w:p w14:paraId="6A7B5FEC" w14:textId="77777777" w:rsidR="008A0A1D" w:rsidRPr="000F66FB" w:rsidRDefault="008A0A1D" w:rsidP="00370D9A">
            <w:pPr>
              <w:pStyle w:val="TableParagraphbold"/>
              <w:rPr>
                <w:lang w:eastAsia="en-AU"/>
              </w:rPr>
            </w:pPr>
            <w:r w:rsidRPr="000F66FB">
              <w:rPr>
                <w:lang w:eastAsia="en-AU"/>
              </w:rPr>
              <w:t>$10,361</w:t>
            </w:r>
          </w:p>
        </w:tc>
        <w:tc>
          <w:tcPr>
            <w:tcW w:w="1301" w:type="dxa"/>
            <w:tcBorders>
              <w:top w:val="nil"/>
              <w:left w:val="nil"/>
              <w:bottom w:val="single" w:sz="12" w:space="0" w:color="auto"/>
              <w:right w:val="nil"/>
            </w:tcBorders>
            <w:shd w:val="clear" w:color="auto" w:fill="F1F2F2" w:themeFill="background2"/>
            <w:noWrap/>
            <w:vAlign w:val="center"/>
            <w:hideMark/>
          </w:tcPr>
          <w:p w14:paraId="1A1BD1E1" w14:textId="77777777" w:rsidR="008A0A1D" w:rsidRPr="000F66FB" w:rsidRDefault="008A0A1D" w:rsidP="00370D9A">
            <w:pPr>
              <w:pStyle w:val="TableParagraphbold"/>
              <w:rPr>
                <w:lang w:eastAsia="en-AU"/>
              </w:rPr>
            </w:pPr>
            <w:r w:rsidRPr="000F66FB">
              <w:rPr>
                <w:lang w:eastAsia="en-AU"/>
              </w:rPr>
              <w:t>$8,292</w:t>
            </w:r>
          </w:p>
        </w:tc>
      </w:tr>
    </w:tbl>
    <w:p w14:paraId="2CCD2CCE" w14:textId="77777777" w:rsidR="009760BD" w:rsidRPr="009760BD" w:rsidRDefault="009760BD" w:rsidP="0070227F">
      <w:pPr>
        <w:pStyle w:val="FootnoteText"/>
      </w:pPr>
      <w:r w:rsidRPr="009760BD">
        <w:t xml:space="preserve">Note: </w:t>
      </w:r>
    </w:p>
    <w:p w14:paraId="3A6FE8A8" w14:textId="77777777" w:rsidR="009760BD" w:rsidRPr="009760BD" w:rsidRDefault="009760BD" w:rsidP="00143EBD">
      <w:pPr>
        <w:pStyle w:val="Footnotetextlist"/>
        <w:numPr>
          <w:ilvl w:val="0"/>
          <w:numId w:val="16"/>
        </w:numPr>
      </w:pPr>
      <w:r w:rsidRPr="009760BD">
        <w:t>AASB 16 Leases, a new accounting standard now requires providers to recognise most rental contracts on their balance sheets as right of use assets and corresponding lease liabilities.</w:t>
      </w:r>
    </w:p>
    <w:p w14:paraId="596AE46E" w14:textId="22087B53" w:rsidR="009760BD" w:rsidRPr="009760BD" w:rsidRDefault="009760BD" w:rsidP="0070227F">
      <w:pPr>
        <w:pStyle w:val="Footnotetextlist"/>
      </w:pPr>
      <w:r w:rsidRPr="009760BD">
        <w:t>Short-term leases and low value leases are exempt and can still be shown as rent expense (</w:t>
      </w:r>
      <w:proofErr w:type="gramStart"/>
      <w:r w:rsidRPr="009760BD">
        <w:t>similar to</w:t>
      </w:r>
      <w:proofErr w:type="gramEnd"/>
      <w:r w:rsidRPr="009760BD">
        <w:t xml:space="preserve"> previous years).</w:t>
      </w:r>
    </w:p>
    <w:p w14:paraId="0F9DEB28" w14:textId="10BD259B" w:rsidR="005613B9" w:rsidRPr="009760BD" w:rsidRDefault="005613B9" w:rsidP="0070227F">
      <w:pPr>
        <w:pStyle w:val="Footnotetextlist"/>
      </w:pPr>
      <w:r w:rsidRPr="005613B9">
        <w:t>The $35.5 billion in RADs held at the sector level in 2021-22 does not include $53 million of RADs held by Multi-Purpose Services.</w:t>
      </w:r>
    </w:p>
    <w:p w14:paraId="7060917C" w14:textId="576FE34D" w:rsidR="008E2DD2" w:rsidRDefault="008E2DD2" w:rsidP="007C2BFB">
      <w:pPr>
        <w:rPr>
          <w:b/>
          <w:bCs/>
          <w:sz w:val="28"/>
          <w:szCs w:val="28"/>
        </w:rPr>
      </w:pPr>
      <w:r w:rsidRPr="008E2DD2">
        <w:rPr>
          <w:b/>
          <w:bCs/>
          <w:sz w:val="28"/>
          <w:szCs w:val="28"/>
        </w:rPr>
        <w:t>Ownership type</w:t>
      </w:r>
    </w:p>
    <w:p w14:paraId="3852CF05" w14:textId="60422D4C" w:rsidR="00D95DE2" w:rsidRPr="00D95DE2" w:rsidRDefault="00C13901" w:rsidP="00D95DE2">
      <w:r>
        <w:fldChar w:fldCharType="begin"/>
      </w:r>
      <w:r>
        <w:instrText xml:space="preserve"> REF _Ref139548542 \h </w:instrText>
      </w:r>
      <w:r>
        <w:fldChar w:fldCharType="separate"/>
      </w:r>
      <w:r w:rsidR="00294B02">
        <w:t xml:space="preserve">Table </w:t>
      </w:r>
      <w:r w:rsidR="00294B02">
        <w:rPr>
          <w:noProof/>
        </w:rPr>
        <w:t>4</w:t>
      </w:r>
      <w:r w:rsidR="00294B02">
        <w:t>.</w:t>
      </w:r>
      <w:r w:rsidR="00294B02">
        <w:rPr>
          <w:noProof/>
        </w:rPr>
        <w:t>2</w:t>
      </w:r>
      <w:r>
        <w:fldChar w:fldCharType="end"/>
      </w:r>
      <w:r w:rsidR="00C31797" w:rsidRPr="00D95DE2">
        <w:t xml:space="preserve"> </w:t>
      </w:r>
      <w:r w:rsidR="00D95DE2" w:rsidRPr="00D95DE2">
        <w:t xml:space="preserve">shows liabilities and net worth/equity as a proportion of total assets by ownership type. </w:t>
      </w:r>
      <w:proofErr w:type="gramStart"/>
      <w:r w:rsidR="00D95DE2" w:rsidRPr="00D95DE2">
        <w:t>At</w:t>
      </w:r>
      <w:proofErr w:type="gramEnd"/>
      <w:r w:rsidR="00D95DE2" w:rsidRPr="00D95DE2">
        <w:t xml:space="preserve"> 30 June 202</w:t>
      </w:r>
      <w:r w:rsidR="00D95DE2">
        <w:t>2</w:t>
      </w:r>
      <w:r w:rsidR="00D95DE2" w:rsidRPr="00D95DE2">
        <w:t xml:space="preserve">, RADs </w:t>
      </w:r>
      <w:r w:rsidR="006B7F82">
        <w:t>accounted for</w:t>
      </w:r>
      <w:r w:rsidR="00D95DE2" w:rsidRPr="00D95DE2">
        <w:t xml:space="preserve"> </w:t>
      </w:r>
      <w:r w:rsidR="00EB4C86">
        <w:t>approximately 65</w:t>
      </w:r>
      <w:r w:rsidR="00D95DE2" w:rsidRPr="00D95DE2">
        <w:t xml:space="preserve"> per cent of </w:t>
      </w:r>
      <w:r w:rsidR="00D723FD">
        <w:t>both for-profit</w:t>
      </w:r>
      <w:r w:rsidR="00D723FD" w:rsidDel="00034951">
        <w:t xml:space="preserve"> </w:t>
      </w:r>
      <w:r w:rsidR="00D723FD">
        <w:t>and not-for-profit</w:t>
      </w:r>
      <w:r w:rsidR="00D95DE2" w:rsidRPr="00D95DE2">
        <w:t xml:space="preserve"> total asset</w:t>
      </w:r>
      <w:r w:rsidR="0063695B">
        <w:t>s.</w:t>
      </w:r>
    </w:p>
    <w:p w14:paraId="7C3F76EF" w14:textId="6F3B0923" w:rsidR="001D31D0" w:rsidRPr="00D95DE2" w:rsidRDefault="00D95DE2" w:rsidP="00D95DE2">
      <w:r w:rsidRPr="00D95DE2">
        <w:t>For-profit providers had a higher proportion of liabilities, with their total liabilities being 9</w:t>
      </w:r>
      <w:r w:rsidR="00E1515E">
        <w:t>8</w:t>
      </w:r>
      <w:r w:rsidRPr="00D95DE2">
        <w:t xml:space="preserve"> per cent of total assets, compared with not-for-profit providers with 7</w:t>
      </w:r>
      <w:r w:rsidR="00863B8C">
        <w:t>8</w:t>
      </w:r>
      <w:r w:rsidRPr="00D95DE2">
        <w:t xml:space="preserve"> per cent.</w:t>
      </w:r>
    </w:p>
    <w:p w14:paraId="29C2B9AB" w14:textId="370D74B2" w:rsidR="001D31D0" w:rsidRPr="0070227F" w:rsidRDefault="001D31D0" w:rsidP="001D31D0">
      <w:pPr>
        <w:pStyle w:val="Caption"/>
      </w:pPr>
      <w:bookmarkStart w:id="269" w:name="_Ref139548542"/>
      <w:bookmarkStart w:id="270" w:name="_Toc149245285"/>
      <w:r>
        <w:t xml:space="preserve">Table </w:t>
      </w:r>
      <w:r>
        <w:fldChar w:fldCharType="begin"/>
      </w:r>
      <w:r>
        <w:instrText>STYLEREF 1 \s</w:instrText>
      </w:r>
      <w:r>
        <w:fldChar w:fldCharType="separate"/>
      </w:r>
      <w:r w:rsidR="00294B02">
        <w:rPr>
          <w:noProof/>
        </w:rPr>
        <w:t>4</w:t>
      </w:r>
      <w:r>
        <w:fldChar w:fldCharType="end"/>
      </w:r>
      <w:r w:rsidR="002E758C">
        <w:t>.</w:t>
      </w:r>
      <w:r>
        <w:fldChar w:fldCharType="begin"/>
      </w:r>
      <w:r>
        <w:instrText>SEQ Table \* ARABIC \s 1</w:instrText>
      </w:r>
      <w:r>
        <w:fldChar w:fldCharType="separate"/>
      </w:r>
      <w:r w:rsidR="00294B02">
        <w:rPr>
          <w:noProof/>
        </w:rPr>
        <w:t>2</w:t>
      </w:r>
      <w:r>
        <w:fldChar w:fldCharType="end"/>
      </w:r>
      <w:bookmarkEnd w:id="269"/>
      <w:r>
        <w:t xml:space="preserve">: </w:t>
      </w:r>
      <w:r w:rsidRPr="002E0F79">
        <w:t>Balance sheet, by</w:t>
      </w:r>
      <w:r>
        <w:t xml:space="preserve"> </w:t>
      </w:r>
      <w:r w:rsidRPr="002E0F79">
        <w:t xml:space="preserve">ownership type, </w:t>
      </w:r>
      <w:proofErr w:type="gramStart"/>
      <w:r w:rsidRPr="002E0F79">
        <w:t>at</w:t>
      </w:r>
      <w:proofErr w:type="gramEnd"/>
      <w:r w:rsidRPr="002E0F79">
        <w:t xml:space="preserve"> 30 June 202</w:t>
      </w:r>
      <w:r>
        <w:t xml:space="preserve">2 </w:t>
      </w:r>
      <w:r w:rsidRPr="002E0F79">
        <w:t>($m)</w:t>
      </w:r>
      <w:bookmarkEnd w:id="270"/>
    </w:p>
    <w:tbl>
      <w:tblPr>
        <w:tblStyle w:val="DepartmentofHealthtable"/>
        <w:tblW w:w="8720" w:type="dxa"/>
        <w:tblLook w:val="04A0" w:firstRow="1" w:lastRow="0" w:firstColumn="1" w:lastColumn="0" w:noHBand="0" w:noVBand="1"/>
      </w:tblPr>
      <w:tblGrid>
        <w:gridCol w:w="3579"/>
        <w:gridCol w:w="1220"/>
        <w:gridCol w:w="1300"/>
        <w:gridCol w:w="1361"/>
        <w:gridCol w:w="1260"/>
      </w:tblGrid>
      <w:tr w:rsidR="00833C66" w:rsidRPr="00833C66" w14:paraId="5EBD3534" w14:textId="77777777" w:rsidTr="00370D9A">
        <w:trPr>
          <w:cnfStyle w:val="100000000000" w:firstRow="1" w:lastRow="0" w:firstColumn="0" w:lastColumn="0" w:oddVBand="0" w:evenVBand="0" w:oddHBand="0"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3640" w:type="dxa"/>
            <w:hideMark/>
          </w:tcPr>
          <w:p w14:paraId="534FD956" w14:textId="77777777" w:rsidR="00833C66" w:rsidRPr="00833C66" w:rsidRDefault="00833C66" w:rsidP="00370D9A">
            <w:pPr>
              <w:pStyle w:val="TableHeaderWhite"/>
              <w:rPr>
                <w:lang w:eastAsia="en-AU"/>
              </w:rPr>
            </w:pPr>
            <w:r w:rsidRPr="00833C66">
              <w:rPr>
                <w:lang w:eastAsia="en-AU"/>
              </w:rPr>
              <w:t> </w:t>
            </w:r>
          </w:p>
        </w:tc>
        <w:tc>
          <w:tcPr>
            <w:tcW w:w="1220" w:type="dxa"/>
            <w:hideMark/>
          </w:tcPr>
          <w:p w14:paraId="39518A70" w14:textId="77777777" w:rsidR="00833C66" w:rsidRPr="00833C66" w:rsidRDefault="00833C66" w:rsidP="00370D9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833C66">
              <w:rPr>
                <w:szCs w:val="20"/>
              </w:rPr>
              <w:t>For-profit ($m)</w:t>
            </w:r>
          </w:p>
        </w:tc>
        <w:tc>
          <w:tcPr>
            <w:tcW w:w="1300" w:type="dxa"/>
            <w:hideMark/>
          </w:tcPr>
          <w:p w14:paraId="0838CE7F" w14:textId="77777777" w:rsidR="00833C66" w:rsidRPr="00833C66" w:rsidRDefault="00833C66" w:rsidP="00370D9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833C66">
              <w:rPr>
                <w:szCs w:val="20"/>
              </w:rPr>
              <w:t>Not-for-profit ($m)</w:t>
            </w:r>
          </w:p>
        </w:tc>
        <w:tc>
          <w:tcPr>
            <w:tcW w:w="1300" w:type="dxa"/>
            <w:hideMark/>
          </w:tcPr>
          <w:p w14:paraId="06568F85" w14:textId="77777777" w:rsidR="00833C66" w:rsidRPr="00833C66" w:rsidRDefault="00833C66" w:rsidP="00370D9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833C66">
              <w:rPr>
                <w:szCs w:val="20"/>
              </w:rPr>
              <w:t>LST government ($m)</w:t>
            </w:r>
          </w:p>
        </w:tc>
        <w:tc>
          <w:tcPr>
            <w:tcW w:w="1260" w:type="dxa"/>
            <w:hideMark/>
          </w:tcPr>
          <w:p w14:paraId="41CC8954" w14:textId="77777777" w:rsidR="00833C66" w:rsidRPr="00833C66" w:rsidRDefault="00833C66" w:rsidP="00370D9A">
            <w:pPr>
              <w:pStyle w:val="TableHeaderWhite"/>
              <w:cnfStyle w:val="100000000000" w:firstRow="1" w:lastRow="0" w:firstColumn="0" w:lastColumn="0" w:oddVBand="0" w:evenVBand="0" w:oddHBand="0" w:evenHBand="0" w:firstRowFirstColumn="0" w:firstRowLastColumn="0" w:lastRowFirstColumn="0" w:lastRowLastColumn="0"/>
              <w:rPr>
                <w:szCs w:val="20"/>
              </w:rPr>
            </w:pPr>
            <w:r w:rsidRPr="00833C66">
              <w:rPr>
                <w:szCs w:val="20"/>
              </w:rPr>
              <w:t>Total sector ($m)</w:t>
            </w:r>
          </w:p>
        </w:tc>
      </w:tr>
      <w:tr w:rsidR="00833C66" w:rsidRPr="00833C66" w14:paraId="6DC4ADD2"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40" w:type="dxa"/>
            <w:shd w:val="clear" w:color="auto" w:fill="D8DBDB" w:themeFill="background2" w:themeFillShade="E6"/>
            <w:hideMark/>
          </w:tcPr>
          <w:p w14:paraId="1BAEF5FE" w14:textId="77777777" w:rsidR="00833C66" w:rsidRPr="000F66FB" w:rsidRDefault="00833C66" w:rsidP="00370D9A">
            <w:pPr>
              <w:pStyle w:val="TableParagraphbold"/>
              <w:rPr>
                <w:lang w:eastAsia="en-AU"/>
              </w:rPr>
            </w:pPr>
            <w:r w:rsidRPr="000F66FB">
              <w:rPr>
                <w:lang w:eastAsia="en-AU"/>
              </w:rPr>
              <w:t>Total assets funded by:</w:t>
            </w:r>
          </w:p>
        </w:tc>
        <w:tc>
          <w:tcPr>
            <w:tcW w:w="1220" w:type="dxa"/>
            <w:shd w:val="clear" w:color="auto" w:fill="D8DBDB" w:themeFill="background2" w:themeFillShade="E6"/>
            <w:noWrap/>
            <w:hideMark/>
          </w:tcPr>
          <w:p w14:paraId="221FCC8B"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$26,319</w:t>
            </w:r>
          </w:p>
        </w:tc>
        <w:tc>
          <w:tcPr>
            <w:tcW w:w="1300" w:type="dxa"/>
            <w:shd w:val="clear" w:color="auto" w:fill="D8DBDB" w:themeFill="background2" w:themeFillShade="E6"/>
            <w:noWrap/>
            <w:hideMark/>
          </w:tcPr>
          <w:p w14:paraId="38F6BDF9"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$27,649</w:t>
            </w:r>
          </w:p>
        </w:tc>
        <w:tc>
          <w:tcPr>
            <w:tcW w:w="1300" w:type="dxa"/>
            <w:shd w:val="clear" w:color="auto" w:fill="D8DBDB" w:themeFill="background2" w:themeFillShade="E6"/>
            <w:noWrap/>
            <w:hideMark/>
          </w:tcPr>
          <w:p w14:paraId="6CE2CC40"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$2,663</w:t>
            </w:r>
          </w:p>
        </w:tc>
        <w:tc>
          <w:tcPr>
            <w:tcW w:w="1260" w:type="dxa"/>
            <w:shd w:val="clear" w:color="auto" w:fill="D8DBDB" w:themeFill="background2" w:themeFillShade="E6"/>
            <w:noWrap/>
            <w:hideMark/>
          </w:tcPr>
          <w:p w14:paraId="53C2A870"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$56,631</w:t>
            </w:r>
          </w:p>
        </w:tc>
      </w:tr>
      <w:tr w:rsidR="00833C66" w:rsidRPr="00833C66" w14:paraId="0F8B14F7"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40" w:type="dxa"/>
            <w:hideMark/>
          </w:tcPr>
          <w:p w14:paraId="2D4D4907" w14:textId="77777777" w:rsidR="00833C66" w:rsidRPr="000F66FB" w:rsidRDefault="00833C66" w:rsidP="00370D9A">
            <w:pPr>
              <w:pStyle w:val="TableofAuthorities"/>
              <w:rPr>
                <w:lang w:eastAsia="en-AU"/>
              </w:rPr>
            </w:pPr>
            <w:r w:rsidRPr="000F66FB">
              <w:rPr>
                <w:lang w:eastAsia="en-AU"/>
              </w:rPr>
              <w:t>Refundable accommodation deposits</w:t>
            </w:r>
          </w:p>
        </w:tc>
        <w:tc>
          <w:tcPr>
            <w:tcW w:w="1220" w:type="dxa"/>
            <w:noWrap/>
            <w:hideMark/>
          </w:tcPr>
          <w:p w14:paraId="08F74F36"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$16,978</w:t>
            </w:r>
          </w:p>
        </w:tc>
        <w:tc>
          <w:tcPr>
            <w:tcW w:w="1300" w:type="dxa"/>
            <w:noWrap/>
            <w:hideMark/>
          </w:tcPr>
          <w:p w14:paraId="12A690E7"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$17,853</w:t>
            </w:r>
          </w:p>
        </w:tc>
        <w:tc>
          <w:tcPr>
            <w:tcW w:w="1300" w:type="dxa"/>
            <w:noWrap/>
            <w:hideMark/>
          </w:tcPr>
          <w:p w14:paraId="1B11AFEF"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$676</w:t>
            </w:r>
          </w:p>
        </w:tc>
        <w:tc>
          <w:tcPr>
            <w:tcW w:w="1260" w:type="dxa"/>
            <w:noWrap/>
            <w:hideMark/>
          </w:tcPr>
          <w:p w14:paraId="10971847"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$35,507</w:t>
            </w:r>
          </w:p>
        </w:tc>
      </w:tr>
      <w:tr w:rsidR="00833C66" w:rsidRPr="00833C66" w14:paraId="21D1A1BA"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40" w:type="dxa"/>
            <w:hideMark/>
          </w:tcPr>
          <w:p w14:paraId="65B011E8" w14:textId="73B232BF" w:rsidR="00833C66" w:rsidRPr="000F66FB" w:rsidRDefault="00833C66" w:rsidP="00370D9A">
            <w:pPr>
              <w:pStyle w:val="TableofAuthorities"/>
              <w:rPr>
                <w:lang w:eastAsia="en-AU"/>
              </w:rPr>
            </w:pPr>
            <w:r w:rsidRPr="000F66FB">
              <w:rPr>
                <w:lang w:eastAsia="en-AU"/>
              </w:rPr>
              <w:t>Other liabilities</w:t>
            </w:r>
            <w:r w:rsidR="006B1220" w:rsidRPr="000F66FB">
              <w:rPr>
                <w:lang w:eastAsia="en-AU"/>
              </w:rPr>
              <w:t xml:space="preserve"> (</w:t>
            </w:r>
            <w:proofErr w:type="spellStart"/>
            <w:r w:rsidR="006B1220" w:rsidRPr="000F66FB">
              <w:rPr>
                <w:lang w:eastAsia="en-AU"/>
              </w:rPr>
              <w:t>i</w:t>
            </w:r>
            <w:proofErr w:type="spellEnd"/>
            <w:r w:rsidR="006B1220" w:rsidRPr="000F66FB">
              <w:rPr>
                <w:lang w:eastAsia="en-AU"/>
              </w:rPr>
              <w:t>)</w:t>
            </w:r>
          </w:p>
        </w:tc>
        <w:tc>
          <w:tcPr>
            <w:tcW w:w="1220" w:type="dxa"/>
            <w:noWrap/>
            <w:hideMark/>
          </w:tcPr>
          <w:p w14:paraId="2EABEABE"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$8,773</w:t>
            </w:r>
          </w:p>
        </w:tc>
        <w:tc>
          <w:tcPr>
            <w:tcW w:w="1300" w:type="dxa"/>
            <w:noWrap/>
            <w:hideMark/>
          </w:tcPr>
          <w:p w14:paraId="14593F5C"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$3,638</w:t>
            </w:r>
          </w:p>
        </w:tc>
        <w:tc>
          <w:tcPr>
            <w:tcW w:w="1300" w:type="dxa"/>
            <w:noWrap/>
            <w:hideMark/>
          </w:tcPr>
          <w:p w14:paraId="3EE07913"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$420</w:t>
            </w:r>
          </w:p>
        </w:tc>
        <w:tc>
          <w:tcPr>
            <w:tcW w:w="1260" w:type="dxa"/>
            <w:noWrap/>
            <w:hideMark/>
          </w:tcPr>
          <w:p w14:paraId="4491A0C6" w14:textId="284B5402"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$12,831</w:t>
            </w:r>
          </w:p>
        </w:tc>
      </w:tr>
      <w:tr w:rsidR="00833C66" w:rsidRPr="00833C66" w14:paraId="21AF0657"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40" w:type="dxa"/>
            <w:hideMark/>
          </w:tcPr>
          <w:p w14:paraId="02360F3A" w14:textId="77777777" w:rsidR="00833C66" w:rsidRPr="000F66FB" w:rsidRDefault="00833C66" w:rsidP="00370D9A">
            <w:pPr>
              <w:pStyle w:val="TableofAuthorities"/>
              <w:rPr>
                <w:lang w:eastAsia="en-AU"/>
              </w:rPr>
            </w:pPr>
            <w:r w:rsidRPr="000F66FB">
              <w:rPr>
                <w:lang w:eastAsia="en-AU"/>
              </w:rPr>
              <w:t>Total liabilities</w:t>
            </w:r>
          </w:p>
        </w:tc>
        <w:tc>
          <w:tcPr>
            <w:tcW w:w="1220" w:type="dxa"/>
            <w:noWrap/>
            <w:hideMark/>
          </w:tcPr>
          <w:p w14:paraId="6EF2CF74"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$25,751</w:t>
            </w:r>
          </w:p>
        </w:tc>
        <w:tc>
          <w:tcPr>
            <w:tcW w:w="1300" w:type="dxa"/>
            <w:noWrap/>
            <w:hideMark/>
          </w:tcPr>
          <w:p w14:paraId="740D757F"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$21,492</w:t>
            </w:r>
          </w:p>
        </w:tc>
        <w:tc>
          <w:tcPr>
            <w:tcW w:w="1300" w:type="dxa"/>
            <w:noWrap/>
            <w:hideMark/>
          </w:tcPr>
          <w:p w14:paraId="436190AF"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$1,096</w:t>
            </w:r>
          </w:p>
        </w:tc>
        <w:tc>
          <w:tcPr>
            <w:tcW w:w="1260" w:type="dxa"/>
            <w:noWrap/>
            <w:hideMark/>
          </w:tcPr>
          <w:p w14:paraId="10F853AE"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$48,338</w:t>
            </w:r>
          </w:p>
        </w:tc>
      </w:tr>
      <w:tr w:rsidR="00833C66" w:rsidRPr="00833C66" w14:paraId="6F689B23"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40" w:type="dxa"/>
            <w:hideMark/>
          </w:tcPr>
          <w:p w14:paraId="5293000F" w14:textId="77777777" w:rsidR="00833C66" w:rsidRPr="000F66FB" w:rsidRDefault="00833C66" w:rsidP="00370D9A">
            <w:pPr>
              <w:pStyle w:val="TableofAuthorities"/>
              <w:rPr>
                <w:lang w:eastAsia="en-AU"/>
              </w:rPr>
            </w:pPr>
            <w:r w:rsidRPr="000F66FB">
              <w:rPr>
                <w:lang w:eastAsia="en-AU"/>
              </w:rPr>
              <w:t>Net worth/equity</w:t>
            </w:r>
          </w:p>
        </w:tc>
        <w:tc>
          <w:tcPr>
            <w:tcW w:w="1220" w:type="dxa"/>
            <w:noWrap/>
            <w:hideMark/>
          </w:tcPr>
          <w:p w14:paraId="6C763216"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$567</w:t>
            </w:r>
          </w:p>
        </w:tc>
        <w:tc>
          <w:tcPr>
            <w:tcW w:w="1300" w:type="dxa"/>
            <w:noWrap/>
            <w:hideMark/>
          </w:tcPr>
          <w:p w14:paraId="0D6C72C0"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$6,158</w:t>
            </w:r>
          </w:p>
        </w:tc>
        <w:tc>
          <w:tcPr>
            <w:tcW w:w="1300" w:type="dxa"/>
            <w:noWrap/>
            <w:hideMark/>
          </w:tcPr>
          <w:p w14:paraId="147AF3DD"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$1,567</w:t>
            </w:r>
          </w:p>
        </w:tc>
        <w:tc>
          <w:tcPr>
            <w:tcW w:w="1260" w:type="dxa"/>
            <w:noWrap/>
            <w:hideMark/>
          </w:tcPr>
          <w:p w14:paraId="4BEA1D08" w14:textId="7609C429"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$8,292</w:t>
            </w:r>
          </w:p>
        </w:tc>
      </w:tr>
      <w:tr w:rsidR="00833C66" w:rsidRPr="00833C66" w14:paraId="0E94658B"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40" w:type="dxa"/>
            <w:shd w:val="clear" w:color="auto" w:fill="D8DBDB" w:themeFill="background2" w:themeFillShade="E6"/>
            <w:hideMark/>
          </w:tcPr>
          <w:p w14:paraId="1B1488C0" w14:textId="77777777" w:rsidR="00833C66" w:rsidRPr="000F66FB" w:rsidRDefault="00833C66" w:rsidP="00370D9A">
            <w:pPr>
              <w:pStyle w:val="TableParagraphbold"/>
              <w:rPr>
                <w:lang w:eastAsia="en-AU"/>
              </w:rPr>
            </w:pPr>
            <w:r w:rsidRPr="000F66FB">
              <w:rPr>
                <w:lang w:eastAsia="en-AU"/>
              </w:rPr>
              <w:t>As a % of total assets</w:t>
            </w:r>
          </w:p>
        </w:tc>
        <w:tc>
          <w:tcPr>
            <w:tcW w:w="1220" w:type="dxa"/>
            <w:shd w:val="clear" w:color="auto" w:fill="D8DBDB" w:themeFill="background2" w:themeFillShade="E6"/>
            <w:noWrap/>
            <w:hideMark/>
          </w:tcPr>
          <w:p w14:paraId="7DCEEB1D"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300" w:type="dxa"/>
            <w:shd w:val="clear" w:color="auto" w:fill="D8DBDB" w:themeFill="background2" w:themeFillShade="E6"/>
            <w:noWrap/>
            <w:hideMark/>
          </w:tcPr>
          <w:p w14:paraId="061EAEAD"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300" w:type="dxa"/>
            <w:shd w:val="clear" w:color="auto" w:fill="D8DBDB" w:themeFill="background2" w:themeFillShade="E6"/>
            <w:noWrap/>
            <w:hideMark/>
          </w:tcPr>
          <w:p w14:paraId="621FCF21"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260" w:type="dxa"/>
            <w:shd w:val="clear" w:color="auto" w:fill="D8DBDB" w:themeFill="background2" w:themeFillShade="E6"/>
            <w:noWrap/>
            <w:hideMark/>
          </w:tcPr>
          <w:p w14:paraId="795A0C3C"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r>
      <w:tr w:rsidR="00833C66" w:rsidRPr="00833C66" w14:paraId="3651AD04"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40" w:type="dxa"/>
            <w:hideMark/>
          </w:tcPr>
          <w:p w14:paraId="6E082FD4" w14:textId="77777777" w:rsidR="00833C66" w:rsidRPr="000F66FB" w:rsidRDefault="00833C66" w:rsidP="00370D9A">
            <w:pPr>
              <w:pStyle w:val="TableofAuthorities"/>
              <w:rPr>
                <w:lang w:eastAsia="en-AU"/>
              </w:rPr>
            </w:pPr>
            <w:r w:rsidRPr="000F66FB">
              <w:rPr>
                <w:lang w:eastAsia="en-AU"/>
              </w:rPr>
              <w:t>Refundable accommodation deposits</w:t>
            </w:r>
          </w:p>
        </w:tc>
        <w:tc>
          <w:tcPr>
            <w:tcW w:w="1220" w:type="dxa"/>
            <w:noWrap/>
            <w:hideMark/>
          </w:tcPr>
          <w:p w14:paraId="4B1FC9E8"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64.51%</w:t>
            </w:r>
          </w:p>
        </w:tc>
        <w:tc>
          <w:tcPr>
            <w:tcW w:w="1300" w:type="dxa"/>
            <w:noWrap/>
            <w:hideMark/>
          </w:tcPr>
          <w:p w14:paraId="1D91A6B8"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64.57%</w:t>
            </w:r>
          </w:p>
        </w:tc>
        <w:tc>
          <w:tcPr>
            <w:tcW w:w="1300" w:type="dxa"/>
            <w:noWrap/>
            <w:hideMark/>
          </w:tcPr>
          <w:p w14:paraId="77B5A7B9"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25.39%</w:t>
            </w:r>
          </w:p>
        </w:tc>
        <w:tc>
          <w:tcPr>
            <w:tcW w:w="1260" w:type="dxa"/>
            <w:noWrap/>
            <w:hideMark/>
          </w:tcPr>
          <w:p w14:paraId="0EF05DF8"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62.70%</w:t>
            </w:r>
          </w:p>
        </w:tc>
      </w:tr>
      <w:tr w:rsidR="00833C66" w:rsidRPr="00833C66" w14:paraId="7D8B13BF"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40" w:type="dxa"/>
            <w:hideMark/>
          </w:tcPr>
          <w:p w14:paraId="76673596" w14:textId="77777777" w:rsidR="00833C66" w:rsidRPr="000F66FB" w:rsidRDefault="00833C66" w:rsidP="00370D9A">
            <w:pPr>
              <w:pStyle w:val="TableofAuthorities"/>
              <w:rPr>
                <w:lang w:eastAsia="en-AU"/>
              </w:rPr>
            </w:pPr>
            <w:r w:rsidRPr="000F66FB">
              <w:rPr>
                <w:lang w:eastAsia="en-AU"/>
              </w:rPr>
              <w:t>Other liabilities</w:t>
            </w:r>
          </w:p>
        </w:tc>
        <w:tc>
          <w:tcPr>
            <w:tcW w:w="1220" w:type="dxa"/>
            <w:noWrap/>
            <w:hideMark/>
          </w:tcPr>
          <w:p w14:paraId="707FB21A"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33.33%</w:t>
            </w:r>
          </w:p>
        </w:tc>
        <w:tc>
          <w:tcPr>
            <w:tcW w:w="1300" w:type="dxa"/>
            <w:noWrap/>
            <w:hideMark/>
          </w:tcPr>
          <w:p w14:paraId="6DE07DF6"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13.16%</w:t>
            </w:r>
          </w:p>
        </w:tc>
        <w:tc>
          <w:tcPr>
            <w:tcW w:w="1300" w:type="dxa"/>
            <w:noWrap/>
            <w:hideMark/>
          </w:tcPr>
          <w:p w14:paraId="584D4392"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15.75%</w:t>
            </w:r>
          </w:p>
        </w:tc>
        <w:tc>
          <w:tcPr>
            <w:tcW w:w="1260" w:type="dxa"/>
            <w:noWrap/>
            <w:hideMark/>
          </w:tcPr>
          <w:p w14:paraId="272625F6" w14:textId="77777777" w:rsidR="00833C66" w:rsidRPr="000F66FB" w:rsidRDefault="00833C66" w:rsidP="00370D9A">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22.66%</w:t>
            </w:r>
          </w:p>
        </w:tc>
      </w:tr>
      <w:tr w:rsidR="00833C66" w:rsidRPr="00833C66" w14:paraId="641DF29F"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40" w:type="dxa"/>
            <w:shd w:val="clear" w:color="auto" w:fill="D8DBDB" w:themeFill="background2" w:themeFillShade="E6"/>
            <w:hideMark/>
          </w:tcPr>
          <w:p w14:paraId="5B818E3B" w14:textId="77777777" w:rsidR="00833C66" w:rsidRPr="000F66FB" w:rsidRDefault="00833C66" w:rsidP="00370D9A">
            <w:pPr>
              <w:pStyle w:val="TableParagraphbold"/>
              <w:rPr>
                <w:lang w:eastAsia="en-AU"/>
              </w:rPr>
            </w:pPr>
            <w:r w:rsidRPr="000F66FB">
              <w:rPr>
                <w:lang w:eastAsia="en-AU"/>
              </w:rPr>
              <w:t>Total liabilities</w:t>
            </w:r>
          </w:p>
        </w:tc>
        <w:tc>
          <w:tcPr>
            <w:tcW w:w="1220" w:type="dxa"/>
            <w:shd w:val="clear" w:color="auto" w:fill="D8DBDB" w:themeFill="background2" w:themeFillShade="E6"/>
            <w:noWrap/>
            <w:hideMark/>
          </w:tcPr>
          <w:p w14:paraId="143A536A"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97.85%</w:t>
            </w:r>
          </w:p>
        </w:tc>
        <w:tc>
          <w:tcPr>
            <w:tcW w:w="1300" w:type="dxa"/>
            <w:shd w:val="clear" w:color="auto" w:fill="D8DBDB" w:themeFill="background2" w:themeFillShade="E6"/>
            <w:noWrap/>
            <w:hideMark/>
          </w:tcPr>
          <w:p w14:paraId="1C9EC527"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77.73%</w:t>
            </w:r>
          </w:p>
        </w:tc>
        <w:tc>
          <w:tcPr>
            <w:tcW w:w="1300" w:type="dxa"/>
            <w:shd w:val="clear" w:color="auto" w:fill="D8DBDB" w:themeFill="background2" w:themeFillShade="E6"/>
            <w:noWrap/>
            <w:hideMark/>
          </w:tcPr>
          <w:p w14:paraId="11FE3320"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41.14%</w:t>
            </w:r>
          </w:p>
        </w:tc>
        <w:tc>
          <w:tcPr>
            <w:tcW w:w="1260" w:type="dxa"/>
            <w:shd w:val="clear" w:color="auto" w:fill="D8DBDB" w:themeFill="background2" w:themeFillShade="E6"/>
            <w:noWrap/>
            <w:hideMark/>
          </w:tcPr>
          <w:p w14:paraId="5FFC10D0"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85.36%</w:t>
            </w:r>
          </w:p>
        </w:tc>
      </w:tr>
      <w:tr w:rsidR="00833C66" w:rsidRPr="00833C66" w14:paraId="278C9BD2"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40" w:type="dxa"/>
            <w:shd w:val="clear" w:color="auto" w:fill="D8DBDB" w:themeFill="background2" w:themeFillShade="E6"/>
            <w:hideMark/>
          </w:tcPr>
          <w:p w14:paraId="6BF1AFA6" w14:textId="77777777" w:rsidR="00833C66" w:rsidRPr="000F66FB" w:rsidRDefault="00833C66" w:rsidP="00370D9A">
            <w:pPr>
              <w:pStyle w:val="TableParagraphbold"/>
              <w:rPr>
                <w:lang w:eastAsia="en-AU"/>
              </w:rPr>
            </w:pPr>
            <w:r w:rsidRPr="000F66FB">
              <w:rPr>
                <w:lang w:eastAsia="en-AU"/>
              </w:rPr>
              <w:lastRenderedPageBreak/>
              <w:t>Net worth/equity</w:t>
            </w:r>
          </w:p>
        </w:tc>
        <w:tc>
          <w:tcPr>
            <w:tcW w:w="1220" w:type="dxa"/>
            <w:shd w:val="clear" w:color="auto" w:fill="D8DBDB" w:themeFill="background2" w:themeFillShade="E6"/>
            <w:noWrap/>
            <w:hideMark/>
          </w:tcPr>
          <w:p w14:paraId="31EC771B"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2.15%</w:t>
            </w:r>
          </w:p>
        </w:tc>
        <w:tc>
          <w:tcPr>
            <w:tcW w:w="1300" w:type="dxa"/>
            <w:shd w:val="clear" w:color="auto" w:fill="D8DBDB" w:themeFill="background2" w:themeFillShade="E6"/>
            <w:noWrap/>
            <w:hideMark/>
          </w:tcPr>
          <w:p w14:paraId="57A20DC4"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22.27%</w:t>
            </w:r>
          </w:p>
        </w:tc>
        <w:tc>
          <w:tcPr>
            <w:tcW w:w="1300" w:type="dxa"/>
            <w:shd w:val="clear" w:color="auto" w:fill="D8DBDB" w:themeFill="background2" w:themeFillShade="E6"/>
            <w:noWrap/>
            <w:hideMark/>
          </w:tcPr>
          <w:p w14:paraId="7EF6F290"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58.86%</w:t>
            </w:r>
          </w:p>
        </w:tc>
        <w:tc>
          <w:tcPr>
            <w:tcW w:w="1260" w:type="dxa"/>
            <w:shd w:val="clear" w:color="auto" w:fill="D8DBDB" w:themeFill="background2" w:themeFillShade="E6"/>
            <w:noWrap/>
            <w:hideMark/>
          </w:tcPr>
          <w:p w14:paraId="62C480C3" w14:textId="77777777" w:rsidR="00833C66" w:rsidRPr="000F66FB" w:rsidRDefault="00833C66"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14.64%</w:t>
            </w:r>
          </w:p>
        </w:tc>
      </w:tr>
    </w:tbl>
    <w:p w14:paraId="3F32C0B7" w14:textId="0397F17F" w:rsidR="001D31D0" w:rsidRPr="004264AD" w:rsidRDefault="006B1220" w:rsidP="00301FC5">
      <w:pPr>
        <w:pStyle w:val="FootnoteText"/>
      </w:pPr>
      <w:r w:rsidRPr="004264AD">
        <w:t>Note:</w:t>
      </w:r>
    </w:p>
    <w:p w14:paraId="6635CED3" w14:textId="3AE3DF9C" w:rsidR="0020711C" w:rsidRPr="00301FC5" w:rsidRDefault="0020711C" w:rsidP="00580ED8">
      <w:pPr>
        <w:pStyle w:val="Footnotetextlist"/>
        <w:numPr>
          <w:ilvl w:val="0"/>
          <w:numId w:val="22"/>
        </w:numPr>
      </w:pPr>
      <w:r w:rsidRPr="00301FC5">
        <w:t xml:space="preserve">Other liabilities </w:t>
      </w:r>
      <w:proofErr w:type="gramStart"/>
      <w:r w:rsidR="00EA7195" w:rsidRPr="00301FC5">
        <w:t>refers</w:t>
      </w:r>
      <w:proofErr w:type="gramEnd"/>
      <w:r w:rsidRPr="00301FC5">
        <w:t xml:space="preserve"> to </w:t>
      </w:r>
      <w:r w:rsidR="00F26B2B" w:rsidRPr="00301FC5">
        <w:t xml:space="preserve">the </w:t>
      </w:r>
      <w:r w:rsidR="00D13283" w:rsidRPr="00301FC5">
        <w:t xml:space="preserve">current and non-current liabilities </w:t>
      </w:r>
      <w:r w:rsidR="00F26B2B" w:rsidRPr="00301FC5">
        <w:t xml:space="preserve">listed in </w:t>
      </w:r>
      <w:r w:rsidR="00186B7F" w:rsidRPr="00301FC5">
        <w:fldChar w:fldCharType="begin"/>
      </w:r>
      <w:r w:rsidR="00186B7F" w:rsidRPr="00301FC5">
        <w:instrText xml:space="preserve"> REF _Ref139548577 \h  \* MERGEFORMAT </w:instrText>
      </w:r>
      <w:r w:rsidR="00186B7F" w:rsidRPr="00301FC5">
        <w:fldChar w:fldCharType="separate"/>
      </w:r>
      <w:r w:rsidR="00294B02" w:rsidRPr="00301FC5">
        <w:t>Table 4.3</w:t>
      </w:r>
      <w:r w:rsidR="00186B7F" w:rsidRPr="00301FC5">
        <w:fldChar w:fldCharType="end"/>
      </w:r>
      <w:r w:rsidR="00186B7F" w:rsidRPr="00301FC5">
        <w:t xml:space="preserve"> </w:t>
      </w:r>
      <w:r w:rsidR="00EA7195" w:rsidRPr="00301FC5">
        <w:t>including, accommodation deposits, bank borrowings, related party loans, employee provisions, lease liabilities and other liabilities</w:t>
      </w:r>
    </w:p>
    <w:p w14:paraId="385B8A1F" w14:textId="336BA89C" w:rsidR="00C42B8D" w:rsidRDefault="00C13901" w:rsidP="00C42B8D">
      <w:r>
        <w:fldChar w:fldCharType="begin"/>
      </w:r>
      <w:r>
        <w:instrText xml:space="preserve"> REF _Ref139548577 \h </w:instrText>
      </w:r>
      <w:r>
        <w:fldChar w:fldCharType="separate"/>
      </w:r>
      <w:r w:rsidR="00294B02">
        <w:t xml:space="preserve">Table </w:t>
      </w:r>
      <w:r w:rsidR="00294B02">
        <w:rPr>
          <w:noProof/>
        </w:rPr>
        <w:t>4</w:t>
      </w:r>
      <w:r w:rsidR="00294B02">
        <w:t>.</w:t>
      </w:r>
      <w:r w:rsidR="00294B02">
        <w:rPr>
          <w:noProof/>
        </w:rPr>
        <w:t>3</w:t>
      </w:r>
      <w:r>
        <w:fldChar w:fldCharType="end"/>
      </w:r>
      <w:r w:rsidR="004606D2">
        <w:t xml:space="preserve"> </w:t>
      </w:r>
      <w:r w:rsidR="00C42B8D">
        <w:t>presents</w:t>
      </w:r>
      <w:r w:rsidR="00C42B8D">
        <w:rPr>
          <w:spacing w:val="-11"/>
        </w:rPr>
        <w:t xml:space="preserve"> </w:t>
      </w:r>
      <w:r w:rsidR="00C42B8D">
        <w:t>the</w:t>
      </w:r>
      <w:r w:rsidR="00C42B8D">
        <w:rPr>
          <w:spacing w:val="-11"/>
        </w:rPr>
        <w:t xml:space="preserve"> </w:t>
      </w:r>
      <w:r w:rsidR="00C42B8D">
        <w:t>consolidated</w:t>
      </w:r>
      <w:r w:rsidR="00C42B8D">
        <w:rPr>
          <w:spacing w:val="-11"/>
        </w:rPr>
        <w:t xml:space="preserve"> </w:t>
      </w:r>
      <w:r w:rsidR="00C42B8D">
        <w:t>balance</w:t>
      </w:r>
      <w:r w:rsidR="00C42B8D">
        <w:rPr>
          <w:spacing w:val="-11"/>
        </w:rPr>
        <w:t xml:space="preserve"> </w:t>
      </w:r>
      <w:r w:rsidR="00C42B8D">
        <w:t>sheet at segment and organisation level for 2021</w:t>
      </w:r>
      <w:r w:rsidR="0090606C">
        <w:t>-22</w:t>
      </w:r>
      <w:r w:rsidR="00C42B8D">
        <w:t>.</w:t>
      </w:r>
    </w:p>
    <w:p w14:paraId="5426D2B2" w14:textId="56B77FDF" w:rsidR="00C42B8D" w:rsidRDefault="00C42B8D" w:rsidP="00C42B8D">
      <w:r>
        <w:t xml:space="preserve">Fixed assets </w:t>
      </w:r>
      <w:r w:rsidR="00835606">
        <w:t>(</w:t>
      </w:r>
      <w:r>
        <w:t>predominantly residential aged care facilities</w:t>
      </w:r>
      <w:r w:rsidR="00835606">
        <w:t>)</w:t>
      </w:r>
      <w:r>
        <w:t xml:space="preserve"> were the single largest asset category held</w:t>
      </w:r>
      <w:r>
        <w:rPr>
          <w:spacing w:val="-6"/>
        </w:rPr>
        <w:t xml:space="preserve"> </w:t>
      </w:r>
      <w:r>
        <w:t>by</w:t>
      </w:r>
      <w:r>
        <w:rPr>
          <w:spacing w:val="-6"/>
        </w:rPr>
        <w:t xml:space="preserve"> </w:t>
      </w:r>
      <w:r>
        <w:t>providers</w:t>
      </w:r>
      <w:r>
        <w:rPr>
          <w:spacing w:val="-6"/>
        </w:rPr>
        <w:t xml:space="preserve"> </w:t>
      </w:r>
      <w:r>
        <w:t>($</w:t>
      </w:r>
      <w:r w:rsidR="004154C2">
        <w:t>30</w:t>
      </w:r>
      <w:r>
        <w:rPr>
          <w:spacing w:val="-11"/>
        </w:rPr>
        <w:t xml:space="preserve"> </w:t>
      </w:r>
      <w:r>
        <w:t>billion</w:t>
      </w:r>
      <w:r>
        <w:rPr>
          <w:spacing w:val="-6"/>
        </w:rPr>
        <w:t xml:space="preserve"> </w:t>
      </w:r>
      <w:r>
        <w:t>or</w:t>
      </w:r>
      <w:r>
        <w:rPr>
          <w:spacing w:val="-6"/>
        </w:rPr>
        <w:t xml:space="preserve"> </w:t>
      </w:r>
      <w:r w:rsidR="008D4FAD">
        <w:t>53</w:t>
      </w:r>
      <w:r>
        <w:rPr>
          <w:spacing w:val="-11"/>
        </w:rPr>
        <w:t xml:space="preserve"> </w:t>
      </w:r>
      <w:r>
        <w:t>per</w:t>
      </w:r>
      <w:r>
        <w:rPr>
          <w:spacing w:val="-11"/>
        </w:rPr>
        <w:t xml:space="preserve"> </w:t>
      </w:r>
      <w:r>
        <w:t>cent</w:t>
      </w:r>
      <w:r>
        <w:rPr>
          <w:spacing w:val="-6"/>
        </w:rPr>
        <w:t xml:space="preserve"> </w:t>
      </w:r>
      <w:r>
        <w:t>of</w:t>
      </w:r>
      <w:r>
        <w:rPr>
          <w:spacing w:val="-6"/>
        </w:rPr>
        <w:t xml:space="preserve"> </w:t>
      </w:r>
      <w:r>
        <w:t>total assets).</w:t>
      </w:r>
      <w:r>
        <w:rPr>
          <w:spacing w:val="-7"/>
        </w:rPr>
        <w:t xml:space="preserve"> </w:t>
      </w:r>
      <w:r w:rsidR="0017169B">
        <w:t>Fixed assets represented 68 per cent of total assets for not-for-profit providers and 35 per cent for for-profit providers.</w:t>
      </w:r>
    </w:p>
    <w:p w14:paraId="6DFBD2D6" w14:textId="475E6172" w:rsidR="00CD73F9" w:rsidRPr="00E365D8" w:rsidRDefault="00C42B8D" w:rsidP="00C00387">
      <w:r w:rsidRPr="00E365D8">
        <w:t>For</w:t>
      </w:r>
      <w:r w:rsidRPr="00E365D8">
        <w:rPr>
          <w:spacing w:val="-11"/>
        </w:rPr>
        <w:t xml:space="preserve"> </w:t>
      </w:r>
      <w:r w:rsidRPr="00E365D8">
        <w:t>the</w:t>
      </w:r>
      <w:r w:rsidRPr="00E365D8">
        <w:rPr>
          <w:spacing w:val="-11"/>
        </w:rPr>
        <w:t xml:space="preserve"> </w:t>
      </w:r>
      <w:r w:rsidRPr="00E365D8">
        <w:t>sector,</w:t>
      </w:r>
      <w:r w:rsidRPr="00E365D8">
        <w:rPr>
          <w:spacing w:val="-11"/>
        </w:rPr>
        <w:t xml:space="preserve"> </w:t>
      </w:r>
      <w:r w:rsidRPr="00E365D8">
        <w:t>cash</w:t>
      </w:r>
      <w:r w:rsidRPr="00E365D8">
        <w:rPr>
          <w:spacing w:val="-11"/>
        </w:rPr>
        <w:t xml:space="preserve"> </w:t>
      </w:r>
      <w:r w:rsidRPr="00E365D8">
        <w:t>($</w:t>
      </w:r>
      <w:r w:rsidR="00D00ED7" w:rsidRPr="00E365D8">
        <w:t>4</w:t>
      </w:r>
      <w:r w:rsidRPr="00E365D8">
        <w:rPr>
          <w:spacing w:val="-11"/>
        </w:rPr>
        <w:t xml:space="preserve"> </w:t>
      </w:r>
      <w:r w:rsidRPr="00E365D8">
        <w:t>billion)</w:t>
      </w:r>
      <w:r w:rsidRPr="00E365D8">
        <w:rPr>
          <w:spacing w:val="-11"/>
        </w:rPr>
        <w:t xml:space="preserve"> </w:t>
      </w:r>
      <w:r w:rsidRPr="00E365D8">
        <w:t>and</w:t>
      </w:r>
      <w:r w:rsidRPr="00E365D8">
        <w:rPr>
          <w:spacing w:val="-11"/>
        </w:rPr>
        <w:t xml:space="preserve"> </w:t>
      </w:r>
      <w:r w:rsidR="123D5135">
        <w:t xml:space="preserve">current </w:t>
      </w:r>
      <w:r w:rsidRPr="00E365D8">
        <w:t>financial</w:t>
      </w:r>
      <w:r w:rsidRPr="00E365D8">
        <w:rPr>
          <w:spacing w:val="-11"/>
        </w:rPr>
        <w:t xml:space="preserve"> </w:t>
      </w:r>
      <w:r w:rsidRPr="00E365D8">
        <w:t>assets (</w:t>
      </w:r>
      <w:r w:rsidR="000D344E" w:rsidRPr="00E365D8">
        <w:t>$2</w:t>
      </w:r>
      <w:r w:rsidR="00F97BDA">
        <w:t>.1</w:t>
      </w:r>
      <w:r w:rsidR="000D344E" w:rsidRPr="00E365D8">
        <w:t xml:space="preserve"> billion</w:t>
      </w:r>
      <w:r w:rsidRPr="00E365D8">
        <w:t>) represent 1</w:t>
      </w:r>
      <w:r w:rsidR="009A18D4" w:rsidRPr="00E365D8">
        <w:t>1</w:t>
      </w:r>
      <w:r w:rsidRPr="00E365D8">
        <w:t xml:space="preserve"> per cent </w:t>
      </w:r>
      <w:r w:rsidR="0022258C" w:rsidRPr="00E365D8">
        <w:t xml:space="preserve">of total assets </w:t>
      </w:r>
      <w:r w:rsidRPr="00E365D8">
        <w:t>(1</w:t>
      </w:r>
      <w:r w:rsidR="009A18D4" w:rsidRPr="00E365D8">
        <w:t>3</w:t>
      </w:r>
      <w:r w:rsidRPr="00E365D8">
        <w:t xml:space="preserve"> per cent</w:t>
      </w:r>
      <w:r w:rsidR="00CD73F9" w:rsidRPr="00E365D8">
        <w:t xml:space="preserve"> </w:t>
      </w:r>
      <w:r w:rsidRPr="00E365D8">
        <w:t>in 2020</w:t>
      </w:r>
      <w:r w:rsidR="009A18D4" w:rsidRPr="00E365D8">
        <w:t>-21</w:t>
      </w:r>
      <w:r w:rsidRPr="00E365D8">
        <w:t>) and 5</w:t>
      </w:r>
      <w:r w:rsidR="00C87081" w:rsidRPr="00E365D8">
        <w:t>5</w:t>
      </w:r>
      <w:r w:rsidRPr="00E365D8">
        <w:t xml:space="preserve"> per cent of current assets.</w:t>
      </w:r>
      <w:r w:rsidRPr="00E365D8">
        <w:rPr>
          <w:spacing w:val="-8"/>
        </w:rPr>
        <w:t xml:space="preserve"> </w:t>
      </w:r>
      <w:r w:rsidRPr="00E365D8">
        <w:t>Again,</w:t>
      </w:r>
      <w:r w:rsidRPr="00E365D8">
        <w:rPr>
          <w:spacing w:val="-8"/>
        </w:rPr>
        <w:t xml:space="preserve"> </w:t>
      </w:r>
      <w:r w:rsidRPr="00E365D8">
        <w:t>there</w:t>
      </w:r>
      <w:r w:rsidRPr="00E365D8">
        <w:rPr>
          <w:spacing w:val="-8"/>
        </w:rPr>
        <w:t xml:space="preserve"> </w:t>
      </w:r>
      <w:r w:rsidRPr="00E365D8">
        <w:t>are</w:t>
      </w:r>
      <w:r w:rsidRPr="00E365D8">
        <w:rPr>
          <w:spacing w:val="-8"/>
        </w:rPr>
        <w:t xml:space="preserve"> </w:t>
      </w:r>
      <w:r w:rsidRPr="00E365D8">
        <w:t>differences</w:t>
      </w:r>
      <w:r w:rsidRPr="00E365D8">
        <w:rPr>
          <w:spacing w:val="-8"/>
        </w:rPr>
        <w:t xml:space="preserve"> </w:t>
      </w:r>
      <w:r w:rsidRPr="00E365D8">
        <w:t>between</w:t>
      </w:r>
      <w:r w:rsidRPr="00E365D8">
        <w:rPr>
          <w:spacing w:val="-8"/>
        </w:rPr>
        <w:t xml:space="preserve"> </w:t>
      </w:r>
      <w:r w:rsidRPr="00E365D8">
        <w:t>ownership types</w:t>
      </w:r>
      <w:r w:rsidR="00407BA7">
        <w:t>,</w:t>
      </w:r>
      <w:r w:rsidRPr="00E365D8">
        <w:t xml:space="preserve"> with not-for-profit providers holding</w:t>
      </w:r>
      <w:r w:rsidR="00CD73F9" w:rsidRPr="00E365D8">
        <w:t xml:space="preserve"> </w:t>
      </w:r>
      <w:r w:rsidR="00E866D6" w:rsidRPr="00E365D8">
        <w:t>71</w:t>
      </w:r>
      <w:r w:rsidRPr="00E365D8">
        <w:rPr>
          <w:spacing w:val="-8"/>
        </w:rPr>
        <w:t xml:space="preserve"> </w:t>
      </w:r>
      <w:r w:rsidRPr="00E365D8">
        <w:t>per</w:t>
      </w:r>
      <w:r w:rsidRPr="00E365D8">
        <w:rPr>
          <w:spacing w:val="-8"/>
        </w:rPr>
        <w:t xml:space="preserve"> </w:t>
      </w:r>
      <w:r w:rsidRPr="00E365D8">
        <w:t>cent</w:t>
      </w:r>
      <w:r w:rsidRPr="00E365D8">
        <w:rPr>
          <w:spacing w:val="-3"/>
        </w:rPr>
        <w:t xml:space="preserve"> </w:t>
      </w:r>
      <w:r w:rsidRPr="00E365D8">
        <w:t>of</w:t>
      </w:r>
      <w:r w:rsidRPr="00E365D8">
        <w:rPr>
          <w:spacing w:val="-3"/>
        </w:rPr>
        <w:t xml:space="preserve"> </w:t>
      </w:r>
      <w:r w:rsidRPr="00E365D8">
        <w:t>current</w:t>
      </w:r>
      <w:r w:rsidRPr="00E365D8">
        <w:rPr>
          <w:spacing w:val="-3"/>
        </w:rPr>
        <w:t xml:space="preserve"> </w:t>
      </w:r>
      <w:r w:rsidRPr="00E365D8">
        <w:t>assets</w:t>
      </w:r>
      <w:r w:rsidRPr="00E365D8">
        <w:rPr>
          <w:spacing w:val="-3"/>
        </w:rPr>
        <w:t xml:space="preserve"> </w:t>
      </w:r>
      <w:r w:rsidRPr="00E365D8">
        <w:t>in</w:t>
      </w:r>
      <w:r w:rsidRPr="00E365D8">
        <w:rPr>
          <w:spacing w:val="-3"/>
        </w:rPr>
        <w:t xml:space="preserve"> </w:t>
      </w:r>
      <w:r w:rsidRPr="00E365D8">
        <w:t>cash</w:t>
      </w:r>
      <w:r w:rsidRPr="00E365D8">
        <w:rPr>
          <w:spacing w:val="-3"/>
        </w:rPr>
        <w:t xml:space="preserve"> </w:t>
      </w:r>
      <w:r w:rsidRPr="00E365D8">
        <w:t>and</w:t>
      </w:r>
      <w:r w:rsidRPr="00E365D8">
        <w:rPr>
          <w:spacing w:val="-3"/>
        </w:rPr>
        <w:t xml:space="preserve"> </w:t>
      </w:r>
      <w:r w:rsidRPr="00E365D8">
        <w:rPr>
          <w:spacing w:val="-2"/>
        </w:rPr>
        <w:t xml:space="preserve">financial </w:t>
      </w:r>
      <w:r w:rsidRPr="00E365D8">
        <w:t>assets,</w:t>
      </w:r>
      <w:r w:rsidRPr="00E365D8">
        <w:rPr>
          <w:spacing w:val="-10"/>
        </w:rPr>
        <w:t xml:space="preserve"> </w:t>
      </w:r>
      <w:r w:rsidRPr="00E365D8">
        <w:t>while</w:t>
      </w:r>
      <w:r w:rsidRPr="00E365D8">
        <w:rPr>
          <w:spacing w:val="-8"/>
        </w:rPr>
        <w:t xml:space="preserve"> </w:t>
      </w:r>
      <w:r w:rsidRPr="00E365D8">
        <w:t>for-profit</w:t>
      </w:r>
      <w:r w:rsidRPr="00E365D8">
        <w:rPr>
          <w:spacing w:val="-8"/>
        </w:rPr>
        <w:t xml:space="preserve"> </w:t>
      </w:r>
      <w:r w:rsidRPr="00E365D8">
        <w:t>providers</w:t>
      </w:r>
      <w:r w:rsidRPr="00E365D8">
        <w:rPr>
          <w:spacing w:val="-8"/>
        </w:rPr>
        <w:t xml:space="preserve"> </w:t>
      </w:r>
      <w:r w:rsidRPr="00E365D8">
        <w:t>hold</w:t>
      </w:r>
      <w:r w:rsidRPr="00E365D8">
        <w:rPr>
          <w:spacing w:val="-8"/>
        </w:rPr>
        <w:t xml:space="preserve"> </w:t>
      </w:r>
      <w:r w:rsidRPr="00E365D8">
        <w:t>only</w:t>
      </w:r>
      <w:r w:rsidRPr="00E365D8">
        <w:rPr>
          <w:spacing w:val="-8"/>
        </w:rPr>
        <w:t xml:space="preserve"> </w:t>
      </w:r>
      <w:r w:rsidR="00BF4503" w:rsidRPr="00E365D8">
        <w:t>32</w:t>
      </w:r>
      <w:r w:rsidRPr="00E365D8">
        <w:rPr>
          <w:spacing w:val="-11"/>
        </w:rPr>
        <w:t xml:space="preserve"> </w:t>
      </w:r>
      <w:r w:rsidRPr="00E365D8">
        <w:t>per</w:t>
      </w:r>
      <w:r w:rsidRPr="00E365D8">
        <w:rPr>
          <w:spacing w:val="-11"/>
        </w:rPr>
        <w:t xml:space="preserve"> </w:t>
      </w:r>
      <w:r w:rsidRPr="00E365D8">
        <w:t xml:space="preserve">cent. For-profit providers are more active in placing their funds in other categories of assets, including </w:t>
      </w:r>
      <w:r w:rsidR="00516957">
        <w:t xml:space="preserve">loans </w:t>
      </w:r>
      <w:r w:rsidR="00EC7609">
        <w:t>to</w:t>
      </w:r>
      <w:r w:rsidR="00516957">
        <w:t xml:space="preserve"> </w:t>
      </w:r>
      <w:r w:rsidRPr="00E365D8">
        <w:t xml:space="preserve">related party </w:t>
      </w:r>
      <w:r w:rsidR="001033FF" w:rsidRPr="00E365D8">
        <w:t>entities</w:t>
      </w:r>
      <w:r w:rsidRPr="00E365D8">
        <w:t>.</w:t>
      </w:r>
    </w:p>
    <w:p w14:paraId="5E0339EE" w14:textId="6403FC3E" w:rsidR="001D31D0" w:rsidRPr="00CD73F9" w:rsidRDefault="00C42B8D" w:rsidP="001D31D0">
      <w:r w:rsidRPr="00E365D8">
        <w:t>Intangible</w:t>
      </w:r>
      <w:r w:rsidRPr="00E365D8">
        <w:rPr>
          <w:spacing w:val="-7"/>
        </w:rPr>
        <w:t xml:space="preserve"> </w:t>
      </w:r>
      <w:r w:rsidRPr="00E365D8">
        <w:t>assets</w:t>
      </w:r>
      <w:r w:rsidRPr="00E365D8">
        <w:rPr>
          <w:spacing w:val="-7"/>
        </w:rPr>
        <w:t xml:space="preserve"> </w:t>
      </w:r>
      <w:r w:rsidRPr="00E365D8">
        <w:t>make</w:t>
      </w:r>
      <w:r w:rsidRPr="00E365D8">
        <w:rPr>
          <w:spacing w:val="-7"/>
        </w:rPr>
        <w:t xml:space="preserve"> </w:t>
      </w:r>
      <w:r w:rsidRPr="00E365D8">
        <w:t>up</w:t>
      </w:r>
      <w:r w:rsidRPr="00E365D8">
        <w:rPr>
          <w:spacing w:val="-7"/>
        </w:rPr>
        <w:t xml:space="preserve"> </w:t>
      </w:r>
      <w:r w:rsidR="001F3EB7" w:rsidRPr="00E365D8">
        <w:t>8</w:t>
      </w:r>
      <w:r w:rsidRPr="00E365D8">
        <w:rPr>
          <w:spacing w:val="-11"/>
        </w:rPr>
        <w:t xml:space="preserve"> </w:t>
      </w:r>
      <w:r w:rsidRPr="00E365D8">
        <w:t>per</w:t>
      </w:r>
      <w:r w:rsidRPr="00E365D8">
        <w:rPr>
          <w:spacing w:val="-11"/>
        </w:rPr>
        <w:t xml:space="preserve"> </w:t>
      </w:r>
      <w:r w:rsidRPr="00E365D8">
        <w:t>cent,</w:t>
      </w:r>
      <w:r w:rsidRPr="00E365D8">
        <w:rPr>
          <w:spacing w:val="-7"/>
        </w:rPr>
        <w:t xml:space="preserve"> </w:t>
      </w:r>
      <w:r w:rsidRPr="00E365D8">
        <w:t>or</w:t>
      </w:r>
      <w:r w:rsidRPr="00E365D8">
        <w:rPr>
          <w:spacing w:val="-7"/>
        </w:rPr>
        <w:t xml:space="preserve"> </w:t>
      </w:r>
      <w:r w:rsidRPr="00E365D8">
        <w:t>$</w:t>
      </w:r>
      <w:r w:rsidR="000918B6" w:rsidRPr="00E365D8">
        <w:t>4.3</w:t>
      </w:r>
      <w:r w:rsidRPr="00E365D8">
        <w:rPr>
          <w:spacing w:val="-11"/>
        </w:rPr>
        <w:t xml:space="preserve"> </w:t>
      </w:r>
      <w:r w:rsidRPr="00E365D8">
        <w:t>billion</w:t>
      </w:r>
      <w:r w:rsidR="001555EA">
        <w:t>,</w:t>
      </w:r>
      <w:r w:rsidRPr="00E365D8">
        <w:t xml:space="preserve"> of total sector assets. Of this, bed licences make</w:t>
      </w:r>
      <w:r w:rsidR="00CD73F9" w:rsidRPr="00E365D8">
        <w:t xml:space="preserve"> </w:t>
      </w:r>
      <w:r w:rsidR="00A4772F">
        <w:t>up</w:t>
      </w:r>
      <w:r w:rsidR="00CD73F9" w:rsidRPr="00E365D8">
        <w:t xml:space="preserve"> </w:t>
      </w:r>
      <w:r w:rsidRPr="00E365D8">
        <w:t>$</w:t>
      </w:r>
      <w:r w:rsidR="001F3EB7" w:rsidRPr="00E365D8">
        <w:t>2</w:t>
      </w:r>
      <w:r w:rsidRPr="00E365D8">
        <w:t xml:space="preserve"> billion. From 1 July 2024, residential care places will be assigned directly to </w:t>
      </w:r>
      <w:r w:rsidR="002B3641">
        <w:t>people</w:t>
      </w:r>
      <w:r w:rsidRPr="00E365D8">
        <w:t xml:space="preserve"> rather than to providers. </w:t>
      </w:r>
      <w:r w:rsidR="00163E2D" w:rsidRPr="00E365D8">
        <w:t>Th</w:t>
      </w:r>
      <w:r w:rsidR="00163E2D">
        <w:t>is</w:t>
      </w:r>
      <w:r w:rsidR="00163E2D" w:rsidRPr="00E365D8">
        <w:t xml:space="preserve"> </w:t>
      </w:r>
      <w:r w:rsidR="00163E2D">
        <w:t>reform</w:t>
      </w:r>
      <w:r w:rsidR="001768AC">
        <w:t>,</w:t>
      </w:r>
      <w:r w:rsidRPr="00E365D8">
        <w:t xml:space="preserve"> to remove the allocation of places</w:t>
      </w:r>
      <w:r w:rsidRPr="00E365D8">
        <w:rPr>
          <w:spacing w:val="-8"/>
        </w:rPr>
        <w:t xml:space="preserve"> </w:t>
      </w:r>
      <w:r w:rsidRPr="00E365D8">
        <w:t>to</w:t>
      </w:r>
      <w:r w:rsidRPr="00E365D8">
        <w:rPr>
          <w:spacing w:val="-8"/>
        </w:rPr>
        <w:t xml:space="preserve"> </w:t>
      </w:r>
      <w:r w:rsidRPr="00E365D8">
        <w:t>providers</w:t>
      </w:r>
      <w:r w:rsidR="001768AC">
        <w:t>,</w:t>
      </w:r>
      <w:r w:rsidRPr="00E365D8">
        <w:rPr>
          <w:spacing w:val="-8"/>
        </w:rPr>
        <w:t xml:space="preserve"> </w:t>
      </w:r>
      <w:r w:rsidRPr="00E365D8">
        <w:t>will</w:t>
      </w:r>
      <w:r w:rsidRPr="00E365D8">
        <w:rPr>
          <w:spacing w:val="-8"/>
        </w:rPr>
        <w:t xml:space="preserve"> </w:t>
      </w:r>
      <w:r w:rsidRPr="00E365D8">
        <w:t>affect</w:t>
      </w:r>
      <w:r w:rsidRPr="00E365D8">
        <w:rPr>
          <w:spacing w:val="-8"/>
        </w:rPr>
        <w:t xml:space="preserve"> </w:t>
      </w:r>
      <w:r w:rsidRPr="00E365D8">
        <w:t>the</w:t>
      </w:r>
      <w:r w:rsidRPr="00E365D8">
        <w:rPr>
          <w:spacing w:val="-8"/>
        </w:rPr>
        <w:t xml:space="preserve"> </w:t>
      </w:r>
      <w:r w:rsidRPr="00E365D8">
        <w:t>intangible</w:t>
      </w:r>
      <w:r w:rsidRPr="00E365D8">
        <w:rPr>
          <w:spacing w:val="-8"/>
        </w:rPr>
        <w:t xml:space="preserve"> </w:t>
      </w:r>
      <w:r w:rsidRPr="00E365D8">
        <w:t>assets</w:t>
      </w:r>
      <w:r w:rsidRPr="00E365D8">
        <w:rPr>
          <w:spacing w:val="-8"/>
        </w:rPr>
        <w:t xml:space="preserve"> </w:t>
      </w:r>
      <w:r w:rsidRPr="00E365D8">
        <w:t>of those providers who currently recognise the value of their bed licences.</w:t>
      </w:r>
      <w:r w:rsidR="000752E8">
        <w:t xml:space="preserve"> </w:t>
      </w:r>
      <w:r w:rsidR="00761077">
        <w:t xml:space="preserve">Bed licences decreased </w:t>
      </w:r>
      <w:r w:rsidR="00FB40D4">
        <w:t xml:space="preserve">from $3.2 billion </w:t>
      </w:r>
      <w:proofErr w:type="gramStart"/>
      <w:r w:rsidR="00FB40D4">
        <w:t>at</w:t>
      </w:r>
      <w:proofErr w:type="gramEnd"/>
      <w:r w:rsidR="00FB40D4">
        <w:t xml:space="preserve"> 30 June 2021</w:t>
      </w:r>
      <w:r w:rsidR="00624E3D">
        <w:t xml:space="preserve"> to $2 billion at 30 June 2022</w:t>
      </w:r>
      <w:r w:rsidR="006B1220">
        <w:t>,</w:t>
      </w:r>
      <w:r w:rsidR="00FB40D4">
        <w:t xml:space="preserve"> as providers commenced the process of </w:t>
      </w:r>
      <w:r w:rsidR="009527A0">
        <w:t>accounting for this change.</w:t>
      </w:r>
      <w:r w:rsidR="00903160" w:rsidRPr="00903160" w:rsidDel="001F2A11">
        <w:t xml:space="preserve"> </w:t>
      </w:r>
      <w:r w:rsidR="009527A0">
        <w:t>P</w:t>
      </w:r>
      <w:r w:rsidR="00903160">
        <w:t xml:space="preserve">roviders </w:t>
      </w:r>
      <w:r w:rsidR="009527A0">
        <w:t>will</w:t>
      </w:r>
      <w:r w:rsidR="00903160">
        <w:t xml:space="preserve"> write off </w:t>
      </w:r>
      <w:r w:rsidR="009527A0">
        <w:t xml:space="preserve">the remaining </w:t>
      </w:r>
      <w:r w:rsidR="00903160">
        <w:t xml:space="preserve">$2 billion </w:t>
      </w:r>
      <w:r w:rsidR="00B44F87">
        <w:t>in bed licences</w:t>
      </w:r>
      <w:r w:rsidR="00903160">
        <w:t xml:space="preserve"> through their operating statement over the next two years</w:t>
      </w:r>
      <w:r w:rsidR="009527A0">
        <w:t>. T</w:t>
      </w:r>
      <w:r w:rsidR="00903160">
        <w:t xml:space="preserve">his will continue to impact </w:t>
      </w:r>
      <w:r w:rsidR="0099568B">
        <w:t xml:space="preserve">the sector’s </w:t>
      </w:r>
      <w:r w:rsidR="00EF47D0">
        <w:t xml:space="preserve">total expenses </w:t>
      </w:r>
      <w:r w:rsidR="00903160">
        <w:t>until 30 June 2024.</w:t>
      </w:r>
      <w:r w:rsidR="002E7511">
        <w:t xml:space="preserve"> </w:t>
      </w:r>
      <w:r w:rsidR="00A11A0B">
        <w:t>However, t</w:t>
      </w:r>
      <w:r w:rsidR="002D66F2">
        <w:t xml:space="preserve">his $2 billion write </w:t>
      </w:r>
      <w:proofErr w:type="gramStart"/>
      <w:r w:rsidR="002D66F2">
        <w:t>of</w:t>
      </w:r>
      <w:r w:rsidR="00EB4341">
        <w:t>f of</w:t>
      </w:r>
      <w:proofErr w:type="gramEnd"/>
      <w:r w:rsidR="002D66F2">
        <w:t xml:space="preserve"> bed licences </w:t>
      </w:r>
      <w:r w:rsidR="00EB4341">
        <w:t>will</w:t>
      </w:r>
      <w:r w:rsidR="00A11A0B">
        <w:t xml:space="preserve"> not impact </w:t>
      </w:r>
      <w:r w:rsidR="0099568B">
        <w:t xml:space="preserve">the sector’s </w:t>
      </w:r>
      <w:r w:rsidR="00AF05DD">
        <w:t>cash balance as there is no cash outflow</w:t>
      </w:r>
      <w:r w:rsidR="00EB4341">
        <w:t>.</w:t>
      </w:r>
    </w:p>
    <w:p w14:paraId="47C2008E" w14:textId="39E55D02" w:rsidR="00264752" w:rsidRDefault="004606D2" w:rsidP="00C13901">
      <w:pPr>
        <w:pStyle w:val="Caption"/>
      </w:pPr>
      <w:bookmarkStart w:id="271" w:name="_Ref139548577"/>
      <w:bookmarkStart w:id="272" w:name="_Toc149245286"/>
      <w:r>
        <w:t xml:space="preserve">Table </w:t>
      </w:r>
      <w:r>
        <w:fldChar w:fldCharType="begin"/>
      </w:r>
      <w:r>
        <w:instrText>STYLEREF 1 \s</w:instrText>
      </w:r>
      <w:r>
        <w:fldChar w:fldCharType="separate"/>
      </w:r>
      <w:r w:rsidR="00294B02">
        <w:rPr>
          <w:noProof/>
        </w:rPr>
        <w:t>4</w:t>
      </w:r>
      <w:r>
        <w:fldChar w:fldCharType="end"/>
      </w:r>
      <w:r w:rsidR="002E758C">
        <w:t>.</w:t>
      </w:r>
      <w:r>
        <w:fldChar w:fldCharType="begin"/>
      </w:r>
      <w:r>
        <w:instrText>SEQ Table \* ARABIC \s 1</w:instrText>
      </w:r>
      <w:r>
        <w:fldChar w:fldCharType="separate"/>
      </w:r>
      <w:r w:rsidR="00294B02">
        <w:rPr>
          <w:noProof/>
        </w:rPr>
        <w:t>3</w:t>
      </w:r>
      <w:r>
        <w:fldChar w:fldCharType="end"/>
      </w:r>
      <w:bookmarkEnd w:id="271"/>
      <w:r>
        <w:t xml:space="preserve">: </w:t>
      </w:r>
      <w:r w:rsidRPr="00761E71">
        <w:t xml:space="preserve">Disaggregated balance sheet by provider ownership type, </w:t>
      </w:r>
      <w:proofErr w:type="gramStart"/>
      <w:r w:rsidRPr="00761E71">
        <w:t>at</w:t>
      </w:r>
      <w:proofErr w:type="gramEnd"/>
      <w:r w:rsidRPr="00761E71">
        <w:t xml:space="preserve"> 30 June 2022 ($m)</w:t>
      </w:r>
      <w:bookmarkEnd w:id="272"/>
    </w:p>
    <w:tbl>
      <w:tblPr>
        <w:tblStyle w:val="DepartmentofHealthtable"/>
        <w:tblW w:w="9070" w:type="dxa"/>
        <w:tblLook w:val="04A0" w:firstRow="1" w:lastRow="0" w:firstColumn="1" w:lastColumn="0" w:noHBand="0" w:noVBand="1"/>
      </w:tblPr>
      <w:tblGrid>
        <w:gridCol w:w="3621"/>
        <w:gridCol w:w="1466"/>
        <w:gridCol w:w="1367"/>
        <w:gridCol w:w="1484"/>
        <w:gridCol w:w="1132"/>
      </w:tblGrid>
      <w:tr w:rsidR="00264752" w:rsidRPr="00264752" w14:paraId="45F44418" w14:textId="77777777" w:rsidTr="00370D9A">
        <w:trPr>
          <w:cnfStyle w:val="100000000000" w:firstRow="1" w:lastRow="0" w:firstColumn="0" w:lastColumn="0" w:oddVBand="0" w:evenVBand="0" w:oddHBand="0"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3621" w:type="dxa"/>
            <w:hideMark/>
          </w:tcPr>
          <w:p w14:paraId="789C21DF" w14:textId="77777777" w:rsidR="00264752" w:rsidRPr="00264752" w:rsidRDefault="00264752" w:rsidP="0070227F">
            <w:pPr>
              <w:pStyle w:val="TableHeaderWhite"/>
            </w:pPr>
            <w:r w:rsidRPr="00264752">
              <w:t> </w:t>
            </w:r>
          </w:p>
        </w:tc>
        <w:tc>
          <w:tcPr>
            <w:tcW w:w="1466" w:type="dxa"/>
            <w:hideMark/>
          </w:tcPr>
          <w:p w14:paraId="18CC637F" w14:textId="77777777" w:rsidR="00264752" w:rsidRPr="00264752" w:rsidRDefault="00264752" w:rsidP="0070227F">
            <w:pPr>
              <w:pStyle w:val="TableHeaderWhite"/>
              <w:cnfStyle w:val="100000000000" w:firstRow="1" w:lastRow="0" w:firstColumn="0" w:lastColumn="0" w:oddVBand="0" w:evenVBand="0" w:oddHBand="0" w:evenHBand="0" w:firstRowFirstColumn="0" w:firstRowLastColumn="0" w:lastRowFirstColumn="0" w:lastRowLastColumn="0"/>
            </w:pPr>
            <w:r w:rsidRPr="00264752">
              <w:t>For-profit ($m)</w:t>
            </w:r>
          </w:p>
        </w:tc>
        <w:tc>
          <w:tcPr>
            <w:tcW w:w="1367" w:type="dxa"/>
            <w:hideMark/>
          </w:tcPr>
          <w:p w14:paraId="7411BFCC" w14:textId="77777777" w:rsidR="00264752" w:rsidRPr="00264752" w:rsidRDefault="00264752" w:rsidP="0070227F">
            <w:pPr>
              <w:pStyle w:val="TableHeaderWhite"/>
              <w:cnfStyle w:val="100000000000" w:firstRow="1" w:lastRow="0" w:firstColumn="0" w:lastColumn="0" w:oddVBand="0" w:evenVBand="0" w:oddHBand="0" w:evenHBand="0" w:firstRowFirstColumn="0" w:firstRowLastColumn="0" w:lastRowFirstColumn="0" w:lastRowLastColumn="0"/>
            </w:pPr>
            <w:r w:rsidRPr="00264752">
              <w:t>Not-for-profit ($m)</w:t>
            </w:r>
          </w:p>
        </w:tc>
        <w:tc>
          <w:tcPr>
            <w:tcW w:w="1484" w:type="dxa"/>
            <w:hideMark/>
          </w:tcPr>
          <w:p w14:paraId="67F7EBF2" w14:textId="77777777" w:rsidR="00264752" w:rsidRPr="00264752" w:rsidRDefault="00264752" w:rsidP="0070227F">
            <w:pPr>
              <w:pStyle w:val="TableHeaderWhite"/>
              <w:cnfStyle w:val="100000000000" w:firstRow="1" w:lastRow="0" w:firstColumn="0" w:lastColumn="0" w:oddVBand="0" w:evenVBand="0" w:oddHBand="0" w:evenHBand="0" w:firstRowFirstColumn="0" w:firstRowLastColumn="0" w:lastRowFirstColumn="0" w:lastRowLastColumn="0"/>
            </w:pPr>
            <w:r w:rsidRPr="00264752">
              <w:t>LST government ($m)</w:t>
            </w:r>
          </w:p>
        </w:tc>
        <w:tc>
          <w:tcPr>
            <w:tcW w:w="1132" w:type="dxa"/>
            <w:hideMark/>
          </w:tcPr>
          <w:p w14:paraId="2D23800D" w14:textId="77777777" w:rsidR="00264752" w:rsidRPr="00264752" w:rsidRDefault="00264752" w:rsidP="0070227F">
            <w:pPr>
              <w:pStyle w:val="TableHeaderWhite"/>
              <w:cnfStyle w:val="100000000000" w:firstRow="1" w:lastRow="0" w:firstColumn="0" w:lastColumn="0" w:oddVBand="0" w:evenVBand="0" w:oddHBand="0" w:evenHBand="0" w:firstRowFirstColumn="0" w:firstRowLastColumn="0" w:lastRowFirstColumn="0" w:lastRowLastColumn="0"/>
            </w:pPr>
            <w:r w:rsidRPr="00264752">
              <w:t>All providers ($m)</w:t>
            </w:r>
          </w:p>
        </w:tc>
      </w:tr>
      <w:tr w:rsidR="00264752" w:rsidRPr="00370D9A" w14:paraId="319070AC"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hideMark/>
          </w:tcPr>
          <w:p w14:paraId="46E53099" w14:textId="77777777" w:rsidR="00264752" w:rsidRPr="00370D9A" w:rsidRDefault="00264752" w:rsidP="00370D9A">
            <w:pPr>
              <w:pStyle w:val="TableParagraphbold"/>
            </w:pPr>
            <w:r w:rsidRPr="00370D9A">
              <w:t>Assets</w:t>
            </w:r>
          </w:p>
        </w:tc>
        <w:tc>
          <w:tcPr>
            <w:tcW w:w="1466" w:type="dxa"/>
            <w:shd w:val="clear" w:color="auto" w:fill="D8DBDB" w:themeFill="background2" w:themeFillShade="E6"/>
            <w:noWrap/>
            <w:hideMark/>
          </w:tcPr>
          <w:p w14:paraId="61863C4A"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c>
          <w:tcPr>
            <w:tcW w:w="1367" w:type="dxa"/>
            <w:shd w:val="clear" w:color="auto" w:fill="D8DBDB" w:themeFill="background2" w:themeFillShade="E6"/>
            <w:noWrap/>
            <w:hideMark/>
          </w:tcPr>
          <w:p w14:paraId="75C3D37F"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c>
          <w:tcPr>
            <w:tcW w:w="1484" w:type="dxa"/>
            <w:shd w:val="clear" w:color="auto" w:fill="D8DBDB" w:themeFill="background2" w:themeFillShade="E6"/>
            <w:noWrap/>
            <w:hideMark/>
          </w:tcPr>
          <w:p w14:paraId="7495AF90"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c>
          <w:tcPr>
            <w:tcW w:w="1132" w:type="dxa"/>
            <w:shd w:val="clear" w:color="auto" w:fill="D8DBDB" w:themeFill="background2" w:themeFillShade="E6"/>
            <w:noWrap/>
            <w:hideMark/>
          </w:tcPr>
          <w:p w14:paraId="2D7D0E0A"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r>
      <w:tr w:rsidR="00264752" w:rsidRPr="00370D9A" w14:paraId="64A93D88"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0D3F4490" w14:textId="77777777" w:rsidR="00264752" w:rsidRPr="00370D9A" w:rsidRDefault="00264752" w:rsidP="00370D9A">
            <w:pPr>
              <w:pStyle w:val="TableParagraphbold"/>
            </w:pPr>
            <w:r w:rsidRPr="00370D9A">
              <w:t>Current assets</w:t>
            </w:r>
          </w:p>
        </w:tc>
        <w:tc>
          <w:tcPr>
            <w:tcW w:w="1466" w:type="dxa"/>
            <w:shd w:val="clear" w:color="auto" w:fill="D8DBDB" w:themeFill="background2" w:themeFillShade="E6"/>
            <w:noWrap/>
            <w:hideMark/>
          </w:tcPr>
          <w:p w14:paraId="4F360621"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c>
          <w:tcPr>
            <w:tcW w:w="1367" w:type="dxa"/>
            <w:shd w:val="clear" w:color="auto" w:fill="D8DBDB" w:themeFill="background2" w:themeFillShade="E6"/>
            <w:noWrap/>
            <w:hideMark/>
          </w:tcPr>
          <w:p w14:paraId="6695F435"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c>
          <w:tcPr>
            <w:tcW w:w="1484" w:type="dxa"/>
            <w:shd w:val="clear" w:color="auto" w:fill="D8DBDB" w:themeFill="background2" w:themeFillShade="E6"/>
            <w:noWrap/>
            <w:hideMark/>
          </w:tcPr>
          <w:p w14:paraId="21C67564"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c>
          <w:tcPr>
            <w:tcW w:w="1132" w:type="dxa"/>
            <w:shd w:val="clear" w:color="auto" w:fill="D8DBDB" w:themeFill="background2" w:themeFillShade="E6"/>
            <w:noWrap/>
            <w:hideMark/>
          </w:tcPr>
          <w:p w14:paraId="55923287"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r>
      <w:tr w:rsidR="00264752" w:rsidRPr="00264752" w14:paraId="1F66498A"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4BAA781A" w14:textId="77777777" w:rsidR="00264752" w:rsidRPr="000F66FB" w:rsidRDefault="00264752" w:rsidP="0070227F">
            <w:pPr>
              <w:pStyle w:val="TableofAuthorities"/>
              <w:rPr>
                <w:lang w:eastAsia="en-AU"/>
              </w:rPr>
            </w:pPr>
            <w:r w:rsidRPr="000F66FB">
              <w:rPr>
                <w:lang w:eastAsia="en-AU"/>
              </w:rPr>
              <w:t>Cash</w:t>
            </w:r>
          </w:p>
        </w:tc>
        <w:tc>
          <w:tcPr>
            <w:tcW w:w="1466" w:type="dxa"/>
            <w:noWrap/>
            <w:hideMark/>
          </w:tcPr>
          <w:p w14:paraId="65CE5449"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$1,208</w:t>
            </w:r>
          </w:p>
        </w:tc>
        <w:tc>
          <w:tcPr>
            <w:tcW w:w="1367" w:type="dxa"/>
            <w:noWrap/>
            <w:hideMark/>
          </w:tcPr>
          <w:p w14:paraId="3784625E"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$2,517</w:t>
            </w:r>
          </w:p>
        </w:tc>
        <w:tc>
          <w:tcPr>
            <w:tcW w:w="1484" w:type="dxa"/>
            <w:noWrap/>
            <w:hideMark/>
          </w:tcPr>
          <w:p w14:paraId="6CBE6E90"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$226</w:t>
            </w:r>
          </w:p>
        </w:tc>
        <w:tc>
          <w:tcPr>
            <w:tcW w:w="1132" w:type="dxa"/>
            <w:noWrap/>
            <w:hideMark/>
          </w:tcPr>
          <w:p w14:paraId="60A46FEA"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$3,951</w:t>
            </w:r>
          </w:p>
        </w:tc>
      </w:tr>
      <w:tr w:rsidR="00264752" w:rsidRPr="00264752" w14:paraId="5D745A7A"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321FEB55" w14:textId="77777777" w:rsidR="00264752" w:rsidRPr="000F66FB" w:rsidRDefault="00264752" w:rsidP="0070227F">
            <w:pPr>
              <w:pStyle w:val="TableofAuthorities"/>
              <w:rPr>
                <w:lang w:eastAsia="en-AU"/>
              </w:rPr>
            </w:pPr>
            <w:r w:rsidRPr="000F66FB">
              <w:rPr>
                <w:lang w:eastAsia="en-AU"/>
              </w:rPr>
              <w:t>Financial assets</w:t>
            </w:r>
          </w:p>
        </w:tc>
        <w:tc>
          <w:tcPr>
            <w:tcW w:w="1466" w:type="dxa"/>
            <w:noWrap/>
            <w:hideMark/>
          </w:tcPr>
          <w:p w14:paraId="0D93D833"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$216</w:t>
            </w:r>
          </w:p>
        </w:tc>
        <w:tc>
          <w:tcPr>
            <w:tcW w:w="1367" w:type="dxa"/>
            <w:noWrap/>
            <w:hideMark/>
          </w:tcPr>
          <w:p w14:paraId="7BD9D877"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$1,691</w:t>
            </w:r>
          </w:p>
        </w:tc>
        <w:tc>
          <w:tcPr>
            <w:tcW w:w="1484" w:type="dxa"/>
            <w:noWrap/>
            <w:hideMark/>
          </w:tcPr>
          <w:p w14:paraId="6F52596B"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$163</w:t>
            </w:r>
          </w:p>
        </w:tc>
        <w:tc>
          <w:tcPr>
            <w:tcW w:w="1132" w:type="dxa"/>
            <w:noWrap/>
            <w:hideMark/>
          </w:tcPr>
          <w:p w14:paraId="453D5861"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$2,070</w:t>
            </w:r>
          </w:p>
        </w:tc>
      </w:tr>
      <w:tr w:rsidR="00264752" w:rsidRPr="00264752" w14:paraId="4260A443"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53BFE0F9" w14:textId="77777777" w:rsidR="00264752" w:rsidRPr="000F66FB" w:rsidRDefault="00264752" w:rsidP="0070227F">
            <w:pPr>
              <w:pStyle w:val="TableofAuthorities"/>
              <w:rPr>
                <w:lang w:eastAsia="en-AU"/>
              </w:rPr>
            </w:pPr>
            <w:r w:rsidRPr="000F66FB">
              <w:rPr>
                <w:lang w:eastAsia="en-AU"/>
              </w:rPr>
              <w:t>Trade receivables</w:t>
            </w:r>
          </w:p>
        </w:tc>
        <w:tc>
          <w:tcPr>
            <w:tcW w:w="1466" w:type="dxa"/>
            <w:noWrap/>
            <w:hideMark/>
          </w:tcPr>
          <w:p w14:paraId="03268475"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$157</w:t>
            </w:r>
          </w:p>
        </w:tc>
        <w:tc>
          <w:tcPr>
            <w:tcW w:w="1367" w:type="dxa"/>
            <w:noWrap/>
            <w:hideMark/>
          </w:tcPr>
          <w:p w14:paraId="77B4215E"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$325</w:t>
            </w:r>
          </w:p>
        </w:tc>
        <w:tc>
          <w:tcPr>
            <w:tcW w:w="1484" w:type="dxa"/>
            <w:noWrap/>
            <w:hideMark/>
          </w:tcPr>
          <w:p w14:paraId="5470FB13"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$43</w:t>
            </w:r>
          </w:p>
        </w:tc>
        <w:tc>
          <w:tcPr>
            <w:tcW w:w="1132" w:type="dxa"/>
            <w:noWrap/>
            <w:hideMark/>
          </w:tcPr>
          <w:p w14:paraId="0D5CF646"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$525</w:t>
            </w:r>
          </w:p>
        </w:tc>
      </w:tr>
      <w:tr w:rsidR="00264752" w:rsidRPr="00264752" w14:paraId="3FFF68EC"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108A6719" w14:textId="77777777" w:rsidR="00264752" w:rsidRPr="000F66FB" w:rsidRDefault="00264752" w:rsidP="0070227F">
            <w:pPr>
              <w:pStyle w:val="TableofAuthorities"/>
              <w:rPr>
                <w:lang w:eastAsia="en-AU"/>
              </w:rPr>
            </w:pPr>
            <w:r w:rsidRPr="000F66FB">
              <w:rPr>
                <w:lang w:eastAsia="en-AU"/>
              </w:rPr>
              <w:t>RADs &amp; RACs receivable</w:t>
            </w:r>
          </w:p>
        </w:tc>
        <w:tc>
          <w:tcPr>
            <w:tcW w:w="1466" w:type="dxa"/>
            <w:noWrap/>
            <w:hideMark/>
          </w:tcPr>
          <w:p w14:paraId="28A1EBDF"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$551</w:t>
            </w:r>
          </w:p>
        </w:tc>
        <w:tc>
          <w:tcPr>
            <w:tcW w:w="1367" w:type="dxa"/>
            <w:noWrap/>
            <w:hideMark/>
          </w:tcPr>
          <w:p w14:paraId="66E28FEB"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$311</w:t>
            </w:r>
          </w:p>
        </w:tc>
        <w:tc>
          <w:tcPr>
            <w:tcW w:w="1484" w:type="dxa"/>
            <w:noWrap/>
            <w:hideMark/>
          </w:tcPr>
          <w:p w14:paraId="1CB81645"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$102</w:t>
            </w:r>
          </w:p>
        </w:tc>
        <w:tc>
          <w:tcPr>
            <w:tcW w:w="1132" w:type="dxa"/>
            <w:noWrap/>
            <w:hideMark/>
          </w:tcPr>
          <w:p w14:paraId="5D3B1E1F"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$965</w:t>
            </w:r>
          </w:p>
        </w:tc>
      </w:tr>
      <w:tr w:rsidR="00264752" w:rsidRPr="00264752" w14:paraId="318D4FAA"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44690186" w14:textId="77777777" w:rsidR="00264752" w:rsidRPr="000F66FB" w:rsidRDefault="00264752" w:rsidP="0070227F">
            <w:pPr>
              <w:pStyle w:val="TableofAuthorities"/>
              <w:rPr>
                <w:lang w:eastAsia="en-AU"/>
              </w:rPr>
            </w:pPr>
            <w:r w:rsidRPr="000F66FB">
              <w:rPr>
                <w:lang w:eastAsia="en-AU"/>
              </w:rPr>
              <w:lastRenderedPageBreak/>
              <w:t>Related party loans</w:t>
            </w:r>
          </w:p>
        </w:tc>
        <w:tc>
          <w:tcPr>
            <w:tcW w:w="1466" w:type="dxa"/>
            <w:noWrap/>
            <w:hideMark/>
          </w:tcPr>
          <w:p w14:paraId="0B6C38B7"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$2,003</w:t>
            </w:r>
          </w:p>
        </w:tc>
        <w:tc>
          <w:tcPr>
            <w:tcW w:w="1367" w:type="dxa"/>
            <w:noWrap/>
            <w:hideMark/>
          </w:tcPr>
          <w:p w14:paraId="51C87F73"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$648</w:t>
            </w:r>
          </w:p>
        </w:tc>
        <w:tc>
          <w:tcPr>
            <w:tcW w:w="1484" w:type="dxa"/>
            <w:noWrap/>
            <w:hideMark/>
          </w:tcPr>
          <w:p w14:paraId="13CE36BF"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$0</w:t>
            </w:r>
          </w:p>
        </w:tc>
        <w:tc>
          <w:tcPr>
            <w:tcW w:w="1132" w:type="dxa"/>
            <w:noWrap/>
            <w:hideMark/>
          </w:tcPr>
          <w:p w14:paraId="6916FA4D"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$2,651</w:t>
            </w:r>
          </w:p>
        </w:tc>
      </w:tr>
      <w:tr w:rsidR="00264752" w:rsidRPr="00264752" w14:paraId="525D3EEB"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1535F19F" w14:textId="77777777" w:rsidR="00264752" w:rsidRPr="000F66FB" w:rsidRDefault="00264752" w:rsidP="0070227F">
            <w:pPr>
              <w:pStyle w:val="TableofAuthorities"/>
              <w:rPr>
                <w:lang w:eastAsia="en-AU"/>
              </w:rPr>
            </w:pPr>
            <w:r w:rsidRPr="000F66FB">
              <w:rPr>
                <w:lang w:eastAsia="en-AU"/>
              </w:rPr>
              <w:t>Other current assets</w:t>
            </w:r>
          </w:p>
        </w:tc>
        <w:tc>
          <w:tcPr>
            <w:tcW w:w="1466" w:type="dxa"/>
            <w:noWrap/>
            <w:hideMark/>
          </w:tcPr>
          <w:p w14:paraId="51831177"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$301</w:t>
            </w:r>
          </w:p>
        </w:tc>
        <w:tc>
          <w:tcPr>
            <w:tcW w:w="1367" w:type="dxa"/>
            <w:noWrap/>
            <w:hideMark/>
          </w:tcPr>
          <w:p w14:paraId="2C41DE9E"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$408</w:t>
            </w:r>
          </w:p>
        </w:tc>
        <w:tc>
          <w:tcPr>
            <w:tcW w:w="1484" w:type="dxa"/>
            <w:noWrap/>
            <w:hideMark/>
          </w:tcPr>
          <w:p w14:paraId="76062BD0"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$19</w:t>
            </w:r>
          </w:p>
        </w:tc>
        <w:tc>
          <w:tcPr>
            <w:tcW w:w="1132" w:type="dxa"/>
            <w:noWrap/>
            <w:hideMark/>
          </w:tcPr>
          <w:p w14:paraId="65CBB14A" w14:textId="77777777" w:rsidR="00264752" w:rsidRPr="000F66FB" w:rsidRDefault="00264752" w:rsidP="0070227F">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$728</w:t>
            </w:r>
          </w:p>
        </w:tc>
      </w:tr>
      <w:tr w:rsidR="00264752" w:rsidRPr="00264752" w14:paraId="277D61C9"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5E43B1CF" w14:textId="77777777" w:rsidR="00264752" w:rsidRPr="000F66FB" w:rsidRDefault="00264752" w:rsidP="00370D9A">
            <w:pPr>
              <w:pStyle w:val="TableParagraphbold"/>
              <w:rPr>
                <w:lang w:eastAsia="en-AU"/>
              </w:rPr>
            </w:pPr>
            <w:r w:rsidRPr="000F66FB">
              <w:rPr>
                <w:lang w:eastAsia="en-AU"/>
              </w:rPr>
              <w:t>Total current assets</w:t>
            </w:r>
          </w:p>
        </w:tc>
        <w:tc>
          <w:tcPr>
            <w:tcW w:w="1466" w:type="dxa"/>
            <w:shd w:val="clear" w:color="auto" w:fill="D8DBDB" w:themeFill="background2" w:themeFillShade="E6"/>
            <w:noWrap/>
            <w:hideMark/>
          </w:tcPr>
          <w:p w14:paraId="66093660"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$4,437</w:t>
            </w:r>
          </w:p>
        </w:tc>
        <w:tc>
          <w:tcPr>
            <w:tcW w:w="1367" w:type="dxa"/>
            <w:shd w:val="clear" w:color="auto" w:fill="D8DBDB" w:themeFill="background2" w:themeFillShade="E6"/>
            <w:noWrap/>
            <w:hideMark/>
          </w:tcPr>
          <w:p w14:paraId="0A77FB76"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$5,900</w:t>
            </w:r>
          </w:p>
        </w:tc>
        <w:tc>
          <w:tcPr>
            <w:tcW w:w="1484" w:type="dxa"/>
            <w:shd w:val="clear" w:color="auto" w:fill="D8DBDB" w:themeFill="background2" w:themeFillShade="E6"/>
            <w:noWrap/>
            <w:hideMark/>
          </w:tcPr>
          <w:p w14:paraId="37F697A3"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$553</w:t>
            </w:r>
          </w:p>
        </w:tc>
        <w:tc>
          <w:tcPr>
            <w:tcW w:w="1132" w:type="dxa"/>
            <w:shd w:val="clear" w:color="auto" w:fill="D8DBDB" w:themeFill="background2" w:themeFillShade="E6"/>
            <w:noWrap/>
            <w:hideMark/>
          </w:tcPr>
          <w:p w14:paraId="0A2423C8"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$10,890</w:t>
            </w:r>
          </w:p>
        </w:tc>
      </w:tr>
      <w:tr w:rsidR="00264752" w:rsidRPr="00264752" w14:paraId="58D1D3C9"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101D235B" w14:textId="77777777" w:rsidR="00264752" w:rsidRPr="000F66FB" w:rsidRDefault="00264752" w:rsidP="00370D9A">
            <w:pPr>
              <w:pStyle w:val="TableParagraphbold"/>
              <w:rPr>
                <w:lang w:eastAsia="en-AU"/>
              </w:rPr>
            </w:pPr>
            <w:r w:rsidRPr="000F66FB">
              <w:rPr>
                <w:lang w:eastAsia="en-AU"/>
              </w:rPr>
              <w:t>Non-current assets</w:t>
            </w:r>
          </w:p>
        </w:tc>
        <w:tc>
          <w:tcPr>
            <w:tcW w:w="1466" w:type="dxa"/>
            <w:shd w:val="clear" w:color="auto" w:fill="D8DBDB" w:themeFill="background2" w:themeFillShade="E6"/>
            <w:noWrap/>
            <w:hideMark/>
          </w:tcPr>
          <w:p w14:paraId="48E20A89"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367" w:type="dxa"/>
            <w:shd w:val="clear" w:color="auto" w:fill="D8DBDB" w:themeFill="background2" w:themeFillShade="E6"/>
            <w:noWrap/>
            <w:hideMark/>
          </w:tcPr>
          <w:p w14:paraId="22BB179E"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484" w:type="dxa"/>
            <w:shd w:val="clear" w:color="auto" w:fill="D8DBDB" w:themeFill="background2" w:themeFillShade="E6"/>
            <w:noWrap/>
            <w:hideMark/>
          </w:tcPr>
          <w:p w14:paraId="7E85C6CF"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132" w:type="dxa"/>
            <w:shd w:val="clear" w:color="auto" w:fill="D8DBDB" w:themeFill="background2" w:themeFillShade="E6"/>
            <w:noWrap/>
            <w:hideMark/>
          </w:tcPr>
          <w:p w14:paraId="6D28FF2A"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r>
      <w:tr w:rsidR="00264752" w:rsidRPr="00264752" w14:paraId="63358773"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04B6A4A8" w14:textId="77777777" w:rsidR="00264752" w:rsidRPr="000F66FB" w:rsidRDefault="00264752" w:rsidP="00CE58B5">
            <w:pPr>
              <w:pStyle w:val="TableofAuthorities"/>
              <w:rPr>
                <w:lang w:eastAsia="en-AU"/>
              </w:rPr>
            </w:pPr>
            <w:r w:rsidRPr="000F66FB">
              <w:rPr>
                <w:lang w:eastAsia="en-AU"/>
              </w:rPr>
              <w:t>Financial assets</w:t>
            </w:r>
          </w:p>
        </w:tc>
        <w:tc>
          <w:tcPr>
            <w:tcW w:w="1466" w:type="dxa"/>
            <w:noWrap/>
            <w:hideMark/>
          </w:tcPr>
          <w:p w14:paraId="6DD78450"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$489</w:t>
            </w:r>
          </w:p>
        </w:tc>
        <w:tc>
          <w:tcPr>
            <w:tcW w:w="1367" w:type="dxa"/>
            <w:noWrap/>
            <w:hideMark/>
          </w:tcPr>
          <w:p w14:paraId="7FFBF59B"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$414</w:t>
            </w:r>
          </w:p>
        </w:tc>
        <w:tc>
          <w:tcPr>
            <w:tcW w:w="1484" w:type="dxa"/>
            <w:noWrap/>
            <w:hideMark/>
          </w:tcPr>
          <w:p w14:paraId="000A47F4"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$88</w:t>
            </w:r>
          </w:p>
        </w:tc>
        <w:tc>
          <w:tcPr>
            <w:tcW w:w="1132" w:type="dxa"/>
            <w:noWrap/>
            <w:hideMark/>
          </w:tcPr>
          <w:p w14:paraId="25770CDF"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$991</w:t>
            </w:r>
          </w:p>
        </w:tc>
      </w:tr>
      <w:tr w:rsidR="00264752" w:rsidRPr="00264752" w14:paraId="3441B9E3"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179A3659" w14:textId="77777777" w:rsidR="00264752" w:rsidRPr="000F66FB" w:rsidRDefault="00264752" w:rsidP="00CE58B5">
            <w:pPr>
              <w:pStyle w:val="TableofAuthorities"/>
              <w:rPr>
                <w:lang w:eastAsia="en-AU"/>
              </w:rPr>
            </w:pPr>
            <w:r w:rsidRPr="000F66FB">
              <w:rPr>
                <w:lang w:eastAsia="en-AU"/>
              </w:rPr>
              <w:t>Related party loans</w:t>
            </w:r>
          </w:p>
        </w:tc>
        <w:tc>
          <w:tcPr>
            <w:tcW w:w="1466" w:type="dxa"/>
            <w:noWrap/>
            <w:hideMark/>
          </w:tcPr>
          <w:p w14:paraId="1223B992"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$5,374</w:t>
            </w:r>
          </w:p>
        </w:tc>
        <w:tc>
          <w:tcPr>
            <w:tcW w:w="1367" w:type="dxa"/>
            <w:noWrap/>
            <w:hideMark/>
          </w:tcPr>
          <w:p w14:paraId="7F92C338"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$140</w:t>
            </w:r>
          </w:p>
        </w:tc>
        <w:tc>
          <w:tcPr>
            <w:tcW w:w="1484" w:type="dxa"/>
            <w:noWrap/>
            <w:hideMark/>
          </w:tcPr>
          <w:p w14:paraId="3C58297D"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w:t>
            </w:r>
          </w:p>
        </w:tc>
        <w:tc>
          <w:tcPr>
            <w:tcW w:w="1132" w:type="dxa"/>
            <w:noWrap/>
            <w:hideMark/>
          </w:tcPr>
          <w:p w14:paraId="1D3C7ADA"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$5,516</w:t>
            </w:r>
          </w:p>
        </w:tc>
      </w:tr>
      <w:tr w:rsidR="00264752" w:rsidRPr="00264752" w14:paraId="22231BDC"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5885183F" w14:textId="77777777" w:rsidR="00264752" w:rsidRPr="000F66FB" w:rsidRDefault="00264752" w:rsidP="00CE58B5">
            <w:pPr>
              <w:pStyle w:val="TableofAuthorities"/>
              <w:rPr>
                <w:lang w:eastAsia="en-AU"/>
              </w:rPr>
            </w:pPr>
            <w:r w:rsidRPr="000F66FB">
              <w:rPr>
                <w:lang w:eastAsia="en-AU"/>
              </w:rPr>
              <w:t>Work in progress</w:t>
            </w:r>
          </w:p>
        </w:tc>
        <w:tc>
          <w:tcPr>
            <w:tcW w:w="1466" w:type="dxa"/>
            <w:noWrap/>
            <w:hideMark/>
          </w:tcPr>
          <w:p w14:paraId="0500207A"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$406</w:t>
            </w:r>
          </w:p>
        </w:tc>
        <w:tc>
          <w:tcPr>
            <w:tcW w:w="1367" w:type="dxa"/>
            <w:noWrap/>
            <w:hideMark/>
          </w:tcPr>
          <w:p w14:paraId="70EA97E6"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$760</w:t>
            </w:r>
          </w:p>
        </w:tc>
        <w:tc>
          <w:tcPr>
            <w:tcW w:w="1484" w:type="dxa"/>
            <w:noWrap/>
            <w:hideMark/>
          </w:tcPr>
          <w:p w14:paraId="72D23981"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$90</w:t>
            </w:r>
          </w:p>
        </w:tc>
        <w:tc>
          <w:tcPr>
            <w:tcW w:w="1132" w:type="dxa"/>
            <w:noWrap/>
            <w:hideMark/>
          </w:tcPr>
          <w:p w14:paraId="05F4F9E3"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$1,257</w:t>
            </w:r>
          </w:p>
        </w:tc>
      </w:tr>
      <w:tr w:rsidR="00264752" w:rsidRPr="00264752" w14:paraId="5C8018B7"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37F088B6" w14:textId="77777777" w:rsidR="00264752" w:rsidRPr="000F66FB" w:rsidRDefault="00264752" w:rsidP="00CE58B5">
            <w:pPr>
              <w:pStyle w:val="TableofAuthorities"/>
              <w:rPr>
                <w:lang w:eastAsia="en-AU"/>
              </w:rPr>
            </w:pPr>
            <w:r w:rsidRPr="000F66FB">
              <w:rPr>
                <w:lang w:eastAsia="en-AU"/>
              </w:rPr>
              <w:t>Intangibles - bed licences</w:t>
            </w:r>
          </w:p>
        </w:tc>
        <w:tc>
          <w:tcPr>
            <w:tcW w:w="1466" w:type="dxa"/>
            <w:noWrap/>
            <w:hideMark/>
          </w:tcPr>
          <w:p w14:paraId="21B97407"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$1,593</w:t>
            </w:r>
          </w:p>
        </w:tc>
        <w:tc>
          <w:tcPr>
            <w:tcW w:w="1367" w:type="dxa"/>
            <w:noWrap/>
            <w:hideMark/>
          </w:tcPr>
          <w:p w14:paraId="62A4F613"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$438</w:t>
            </w:r>
          </w:p>
        </w:tc>
        <w:tc>
          <w:tcPr>
            <w:tcW w:w="1484" w:type="dxa"/>
            <w:noWrap/>
            <w:hideMark/>
          </w:tcPr>
          <w:p w14:paraId="6D812651"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$0</w:t>
            </w:r>
          </w:p>
        </w:tc>
        <w:tc>
          <w:tcPr>
            <w:tcW w:w="1132" w:type="dxa"/>
            <w:noWrap/>
            <w:hideMark/>
          </w:tcPr>
          <w:p w14:paraId="0EA7F574"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$2,031</w:t>
            </w:r>
          </w:p>
        </w:tc>
      </w:tr>
      <w:tr w:rsidR="00264752" w:rsidRPr="00264752" w14:paraId="6510A200"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3940F973" w14:textId="77777777" w:rsidR="00264752" w:rsidRPr="000F66FB" w:rsidRDefault="00264752" w:rsidP="00CE58B5">
            <w:pPr>
              <w:pStyle w:val="TableofAuthorities"/>
              <w:rPr>
                <w:lang w:eastAsia="en-AU"/>
              </w:rPr>
            </w:pPr>
            <w:r w:rsidRPr="000F66FB">
              <w:rPr>
                <w:lang w:eastAsia="en-AU"/>
              </w:rPr>
              <w:t>Intangibles - other</w:t>
            </w:r>
          </w:p>
        </w:tc>
        <w:tc>
          <w:tcPr>
            <w:tcW w:w="1466" w:type="dxa"/>
            <w:noWrap/>
            <w:hideMark/>
          </w:tcPr>
          <w:p w14:paraId="0CAE89DF"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$1,828</w:t>
            </w:r>
          </w:p>
        </w:tc>
        <w:tc>
          <w:tcPr>
            <w:tcW w:w="1367" w:type="dxa"/>
            <w:noWrap/>
            <w:hideMark/>
          </w:tcPr>
          <w:p w14:paraId="1EEBE25E"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$418</w:t>
            </w:r>
          </w:p>
        </w:tc>
        <w:tc>
          <w:tcPr>
            <w:tcW w:w="1484" w:type="dxa"/>
            <w:noWrap/>
            <w:hideMark/>
          </w:tcPr>
          <w:p w14:paraId="5A57E605"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w:t>
            </w:r>
          </w:p>
        </w:tc>
        <w:tc>
          <w:tcPr>
            <w:tcW w:w="1132" w:type="dxa"/>
            <w:noWrap/>
            <w:hideMark/>
          </w:tcPr>
          <w:p w14:paraId="79203EA8"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$2,247</w:t>
            </w:r>
          </w:p>
        </w:tc>
      </w:tr>
      <w:tr w:rsidR="00264752" w:rsidRPr="00264752" w14:paraId="3E02E87D"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4A23B44A" w14:textId="77777777" w:rsidR="00264752" w:rsidRPr="000F66FB" w:rsidRDefault="00264752" w:rsidP="00CE58B5">
            <w:pPr>
              <w:pStyle w:val="TableofAuthorities"/>
              <w:rPr>
                <w:lang w:eastAsia="en-AU"/>
              </w:rPr>
            </w:pPr>
            <w:r w:rsidRPr="000F66FB">
              <w:rPr>
                <w:lang w:eastAsia="en-AU"/>
              </w:rPr>
              <w:t>Fixed assets</w:t>
            </w:r>
          </w:p>
        </w:tc>
        <w:tc>
          <w:tcPr>
            <w:tcW w:w="1466" w:type="dxa"/>
            <w:noWrap/>
            <w:hideMark/>
          </w:tcPr>
          <w:p w14:paraId="56C85000"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$9,314</w:t>
            </w:r>
          </w:p>
        </w:tc>
        <w:tc>
          <w:tcPr>
            <w:tcW w:w="1367" w:type="dxa"/>
            <w:noWrap/>
            <w:hideMark/>
          </w:tcPr>
          <w:p w14:paraId="5DB1F706"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$18,765</w:t>
            </w:r>
          </w:p>
        </w:tc>
        <w:tc>
          <w:tcPr>
            <w:tcW w:w="1484" w:type="dxa"/>
            <w:noWrap/>
            <w:hideMark/>
          </w:tcPr>
          <w:p w14:paraId="0F5E9805"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$1,917</w:t>
            </w:r>
          </w:p>
        </w:tc>
        <w:tc>
          <w:tcPr>
            <w:tcW w:w="1132" w:type="dxa"/>
            <w:noWrap/>
            <w:hideMark/>
          </w:tcPr>
          <w:p w14:paraId="3AFAAE71"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$29,995</w:t>
            </w:r>
          </w:p>
        </w:tc>
      </w:tr>
      <w:tr w:rsidR="00264752" w:rsidRPr="00264752" w14:paraId="046EBE55"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109DC92C" w14:textId="77777777" w:rsidR="00264752" w:rsidRPr="000F66FB" w:rsidRDefault="00264752" w:rsidP="00CE58B5">
            <w:pPr>
              <w:pStyle w:val="TableofAuthorities"/>
              <w:rPr>
                <w:lang w:eastAsia="en-AU"/>
              </w:rPr>
            </w:pPr>
            <w:r w:rsidRPr="000F66FB">
              <w:rPr>
                <w:lang w:eastAsia="en-AU"/>
              </w:rPr>
              <w:t>Right of use assets</w:t>
            </w:r>
          </w:p>
        </w:tc>
        <w:tc>
          <w:tcPr>
            <w:tcW w:w="1466" w:type="dxa"/>
            <w:noWrap/>
            <w:hideMark/>
          </w:tcPr>
          <w:p w14:paraId="103B5496"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$2,249</w:t>
            </w:r>
          </w:p>
        </w:tc>
        <w:tc>
          <w:tcPr>
            <w:tcW w:w="1367" w:type="dxa"/>
            <w:noWrap/>
            <w:hideMark/>
          </w:tcPr>
          <w:p w14:paraId="4F28A96D"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$504</w:t>
            </w:r>
          </w:p>
        </w:tc>
        <w:tc>
          <w:tcPr>
            <w:tcW w:w="1484" w:type="dxa"/>
            <w:noWrap/>
            <w:hideMark/>
          </w:tcPr>
          <w:p w14:paraId="65F89782"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w:t>
            </w:r>
          </w:p>
        </w:tc>
        <w:tc>
          <w:tcPr>
            <w:tcW w:w="1132" w:type="dxa"/>
            <w:noWrap/>
            <w:hideMark/>
          </w:tcPr>
          <w:p w14:paraId="0CD9390F"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$2,757</w:t>
            </w:r>
          </w:p>
        </w:tc>
      </w:tr>
      <w:tr w:rsidR="00264752" w:rsidRPr="00264752" w14:paraId="5E6F6C92"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27887A1A" w14:textId="77777777" w:rsidR="00264752" w:rsidRPr="000F66FB" w:rsidRDefault="00264752" w:rsidP="00CE58B5">
            <w:pPr>
              <w:pStyle w:val="TableofAuthorities"/>
              <w:rPr>
                <w:lang w:eastAsia="en-AU"/>
              </w:rPr>
            </w:pPr>
            <w:r w:rsidRPr="000F66FB">
              <w:rPr>
                <w:lang w:eastAsia="en-AU"/>
              </w:rPr>
              <w:t>Other non-current assets</w:t>
            </w:r>
          </w:p>
        </w:tc>
        <w:tc>
          <w:tcPr>
            <w:tcW w:w="1466" w:type="dxa"/>
            <w:noWrap/>
            <w:hideMark/>
          </w:tcPr>
          <w:p w14:paraId="39C10C44"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$629</w:t>
            </w:r>
          </w:p>
        </w:tc>
        <w:tc>
          <w:tcPr>
            <w:tcW w:w="1367" w:type="dxa"/>
            <w:noWrap/>
            <w:hideMark/>
          </w:tcPr>
          <w:p w14:paraId="3E0057DB"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$310</w:t>
            </w:r>
          </w:p>
        </w:tc>
        <w:tc>
          <w:tcPr>
            <w:tcW w:w="1484" w:type="dxa"/>
            <w:noWrap/>
            <w:hideMark/>
          </w:tcPr>
          <w:p w14:paraId="2E374D84"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$10</w:t>
            </w:r>
          </w:p>
        </w:tc>
        <w:tc>
          <w:tcPr>
            <w:tcW w:w="1132" w:type="dxa"/>
            <w:noWrap/>
            <w:hideMark/>
          </w:tcPr>
          <w:p w14:paraId="1AA59C71"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$949</w:t>
            </w:r>
          </w:p>
        </w:tc>
      </w:tr>
      <w:tr w:rsidR="00264752" w:rsidRPr="00264752" w14:paraId="06BC01C7"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73A50EDA" w14:textId="77777777" w:rsidR="00264752" w:rsidRPr="000F66FB" w:rsidRDefault="00264752" w:rsidP="00370D9A">
            <w:pPr>
              <w:pStyle w:val="TableParagraphbold"/>
              <w:rPr>
                <w:lang w:eastAsia="en-AU"/>
              </w:rPr>
            </w:pPr>
            <w:r w:rsidRPr="000F66FB">
              <w:rPr>
                <w:lang w:eastAsia="en-AU"/>
              </w:rPr>
              <w:t>Total non-current assets</w:t>
            </w:r>
          </w:p>
        </w:tc>
        <w:tc>
          <w:tcPr>
            <w:tcW w:w="1466" w:type="dxa"/>
            <w:shd w:val="clear" w:color="auto" w:fill="D8DBDB" w:themeFill="background2" w:themeFillShade="E6"/>
            <w:noWrap/>
            <w:hideMark/>
          </w:tcPr>
          <w:p w14:paraId="1E37BE07"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$21,881</w:t>
            </w:r>
          </w:p>
        </w:tc>
        <w:tc>
          <w:tcPr>
            <w:tcW w:w="1367" w:type="dxa"/>
            <w:shd w:val="clear" w:color="auto" w:fill="D8DBDB" w:themeFill="background2" w:themeFillShade="E6"/>
            <w:noWrap/>
            <w:hideMark/>
          </w:tcPr>
          <w:p w14:paraId="5B81DDB2"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$21,750</w:t>
            </w:r>
          </w:p>
        </w:tc>
        <w:tc>
          <w:tcPr>
            <w:tcW w:w="1484" w:type="dxa"/>
            <w:shd w:val="clear" w:color="auto" w:fill="D8DBDB" w:themeFill="background2" w:themeFillShade="E6"/>
            <w:noWrap/>
            <w:hideMark/>
          </w:tcPr>
          <w:p w14:paraId="2022D6A0"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$2,110</w:t>
            </w:r>
          </w:p>
        </w:tc>
        <w:tc>
          <w:tcPr>
            <w:tcW w:w="1132" w:type="dxa"/>
            <w:shd w:val="clear" w:color="auto" w:fill="D8DBDB" w:themeFill="background2" w:themeFillShade="E6"/>
            <w:noWrap/>
            <w:hideMark/>
          </w:tcPr>
          <w:p w14:paraId="73906D3F"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$45,741</w:t>
            </w:r>
          </w:p>
        </w:tc>
      </w:tr>
      <w:tr w:rsidR="00264752" w:rsidRPr="00264752" w14:paraId="56EF03C0"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759CD461" w14:textId="77777777" w:rsidR="00264752" w:rsidRPr="000F66FB" w:rsidRDefault="00264752" w:rsidP="00370D9A">
            <w:pPr>
              <w:pStyle w:val="TableParagraphbold"/>
              <w:rPr>
                <w:lang w:eastAsia="en-AU"/>
              </w:rPr>
            </w:pPr>
            <w:r w:rsidRPr="000F66FB">
              <w:rPr>
                <w:lang w:eastAsia="en-AU"/>
              </w:rPr>
              <w:t>Total assets</w:t>
            </w:r>
          </w:p>
        </w:tc>
        <w:tc>
          <w:tcPr>
            <w:tcW w:w="1466" w:type="dxa"/>
            <w:shd w:val="clear" w:color="auto" w:fill="D8DBDB" w:themeFill="background2" w:themeFillShade="E6"/>
            <w:noWrap/>
            <w:hideMark/>
          </w:tcPr>
          <w:p w14:paraId="1C8C8A12"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$26,319</w:t>
            </w:r>
          </w:p>
        </w:tc>
        <w:tc>
          <w:tcPr>
            <w:tcW w:w="1367" w:type="dxa"/>
            <w:shd w:val="clear" w:color="auto" w:fill="D8DBDB" w:themeFill="background2" w:themeFillShade="E6"/>
            <w:noWrap/>
            <w:hideMark/>
          </w:tcPr>
          <w:p w14:paraId="56999FB1"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$27,649</w:t>
            </w:r>
          </w:p>
        </w:tc>
        <w:tc>
          <w:tcPr>
            <w:tcW w:w="1484" w:type="dxa"/>
            <w:shd w:val="clear" w:color="auto" w:fill="D8DBDB" w:themeFill="background2" w:themeFillShade="E6"/>
            <w:noWrap/>
            <w:hideMark/>
          </w:tcPr>
          <w:p w14:paraId="5E902A42"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$2,663</w:t>
            </w:r>
          </w:p>
        </w:tc>
        <w:tc>
          <w:tcPr>
            <w:tcW w:w="1132" w:type="dxa"/>
            <w:shd w:val="clear" w:color="auto" w:fill="D8DBDB" w:themeFill="background2" w:themeFillShade="E6"/>
            <w:noWrap/>
            <w:hideMark/>
          </w:tcPr>
          <w:p w14:paraId="5BB20176" w14:textId="6FB740BE"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$56,631</w:t>
            </w:r>
          </w:p>
        </w:tc>
      </w:tr>
      <w:tr w:rsidR="00264752" w:rsidRPr="00264752" w14:paraId="225484DC"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hideMark/>
          </w:tcPr>
          <w:p w14:paraId="2A6FCE91" w14:textId="77777777" w:rsidR="00264752" w:rsidRPr="000F66FB" w:rsidRDefault="00264752" w:rsidP="00370D9A">
            <w:pPr>
              <w:pStyle w:val="TableParagraphbold"/>
              <w:rPr>
                <w:lang w:eastAsia="en-AU"/>
              </w:rPr>
            </w:pPr>
            <w:r w:rsidRPr="000F66FB">
              <w:rPr>
                <w:lang w:eastAsia="en-AU"/>
              </w:rPr>
              <w:t>Liabilities</w:t>
            </w:r>
          </w:p>
        </w:tc>
        <w:tc>
          <w:tcPr>
            <w:tcW w:w="1466" w:type="dxa"/>
            <w:shd w:val="clear" w:color="auto" w:fill="D8DBDB" w:themeFill="background2" w:themeFillShade="E6"/>
            <w:noWrap/>
            <w:hideMark/>
          </w:tcPr>
          <w:p w14:paraId="1E546725"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367" w:type="dxa"/>
            <w:shd w:val="clear" w:color="auto" w:fill="D8DBDB" w:themeFill="background2" w:themeFillShade="E6"/>
            <w:noWrap/>
            <w:hideMark/>
          </w:tcPr>
          <w:p w14:paraId="2705C172"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484" w:type="dxa"/>
            <w:shd w:val="clear" w:color="auto" w:fill="D8DBDB" w:themeFill="background2" w:themeFillShade="E6"/>
            <w:noWrap/>
            <w:hideMark/>
          </w:tcPr>
          <w:p w14:paraId="22DB0570"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132" w:type="dxa"/>
            <w:shd w:val="clear" w:color="auto" w:fill="D8DBDB" w:themeFill="background2" w:themeFillShade="E6"/>
            <w:noWrap/>
            <w:hideMark/>
          </w:tcPr>
          <w:p w14:paraId="476C570E"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r>
      <w:tr w:rsidR="00264752" w:rsidRPr="00264752" w14:paraId="24B7A1C7" w14:textId="77777777" w:rsidTr="00AF0B29">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1F79BE6C" w14:textId="77777777" w:rsidR="00264752" w:rsidRPr="000F66FB" w:rsidRDefault="00264752" w:rsidP="00370D9A">
            <w:pPr>
              <w:pStyle w:val="TableParagraphbold"/>
              <w:rPr>
                <w:rFonts w:cs="Arial"/>
                <w:bCs/>
                <w:szCs w:val="16"/>
                <w:lang w:eastAsia="en-AU"/>
              </w:rPr>
            </w:pPr>
            <w:r w:rsidRPr="000F66FB">
              <w:rPr>
                <w:rFonts w:cs="Arial"/>
                <w:bCs/>
                <w:szCs w:val="16"/>
                <w:lang w:eastAsia="en-AU"/>
              </w:rPr>
              <w:t>Current liabilities</w:t>
            </w:r>
          </w:p>
        </w:tc>
        <w:tc>
          <w:tcPr>
            <w:tcW w:w="1466" w:type="dxa"/>
            <w:noWrap/>
            <w:hideMark/>
          </w:tcPr>
          <w:p w14:paraId="1C8AE830"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F66FB">
              <w:rPr>
                <w:rFonts w:cs="Arial"/>
                <w:szCs w:val="16"/>
                <w:lang w:eastAsia="en-AU"/>
              </w:rPr>
              <w:t> </w:t>
            </w:r>
          </w:p>
        </w:tc>
        <w:tc>
          <w:tcPr>
            <w:tcW w:w="1367" w:type="dxa"/>
            <w:noWrap/>
            <w:hideMark/>
          </w:tcPr>
          <w:p w14:paraId="17FA40B2"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F66FB">
              <w:rPr>
                <w:rFonts w:cs="Arial"/>
                <w:szCs w:val="16"/>
                <w:lang w:eastAsia="en-AU"/>
              </w:rPr>
              <w:t> </w:t>
            </w:r>
          </w:p>
        </w:tc>
        <w:tc>
          <w:tcPr>
            <w:tcW w:w="1484" w:type="dxa"/>
            <w:noWrap/>
            <w:hideMark/>
          </w:tcPr>
          <w:p w14:paraId="7690BC89"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F66FB">
              <w:rPr>
                <w:rFonts w:cs="Arial"/>
                <w:szCs w:val="16"/>
                <w:lang w:eastAsia="en-AU"/>
              </w:rPr>
              <w:t> </w:t>
            </w:r>
          </w:p>
        </w:tc>
        <w:tc>
          <w:tcPr>
            <w:tcW w:w="1132" w:type="dxa"/>
            <w:noWrap/>
            <w:hideMark/>
          </w:tcPr>
          <w:p w14:paraId="299DC5BD" w14:textId="77777777" w:rsidR="00264752" w:rsidRPr="000F66FB"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rPr>
                <w:rFonts w:cs="Arial"/>
                <w:szCs w:val="16"/>
                <w:lang w:eastAsia="en-AU"/>
              </w:rPr>
            </w:pPr>
            <w:r w:rsidRPr="000F66FB">
              <w:rPr>
                <w:rFonts w:cs="Arial"/>
                <w:szCs w:val="16"/>
                <w:lang w:eastAsia="en-AU"/>
              </w:rPr>
              <w:t> </w:t>
            </w:r>
          </w:p>
        </w:tc>
      </w:tr>
      <w:tr w:rsidR="00264752" w:rsidRPr="00264752" w14:paraId="1B3ED099"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33C61906" w14:textId="77777777" w:rsidR="00264752" w:rsidRPr="000F66FB" w:rsidRDefault="00264752" w:rsidP="00CE58B5">
            <w:pPr>
              <w:pStyle w:val="TableofAuthorities"/>
              <w:rPr>
                <w:lang w:eastAsia="en-AU"/>
              </w:rPr>
            </w:pPr>
            <w:r w:rsidRPr="000F66FB">
              <w:rPr>
                <w:lang w:eastAsia="en-AU"/>
              </w:rPr>
              <w:t>Accommodation deposits (incl. bonds)</w:t>
            </w:r>
          </w:p>
        </w:tc>
        <w:tc>
          <w:tcPr>
            <w:tcW w:w="1466" w:type="dxa"/>
            <w:noWrap/>
            <w:hideMark/>
          </w:tcPr>
          <w:p w14:paraId="51BACAD4"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$10,587</w:t>
            </w:r>
          </w:p>
        </w:tc>
        <w:tc>
          <w:tcPr>
            <w:tcW w:w="1367" w:type="dxa"/>
            <w:noWrap/>
            <w:hideMark/>
          </w:tcPr>
          <w:p w14:paraId="06040415"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$10,218</w:t>
            </w:r>
          </w:p>
        </w:tc>
        <w:tc>
          <w:tcPr>
            <w:tcW w:w="1484" w:type="dxa"/>
            <w:noWrap/>
            <w:hideMark/>
          </w:tcPr>
          <w:p w14:paraId="631D3DAB"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$365</w:t>
            </w:r>
          </w:p>
        </w:tc>
        <w:tc>
          <w:tcPr>
            <w:tcW w:w="1132" w:type="dxa"/>
            <w:noWrap/>
            <w:hideMark/>
          </w:tcPr>
          <w:p w14:paraId="73D3B11E"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$21,170</w:t>
            </w:r>
          </w:p>
        </w:tc>
      </w:tr>
      <w:tr w:rsidR="00264752" w:rsidRPr="00264752" w14:paraId="3D8F62F5"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53D54B6F" w14:textId="77777777" w:rsidR="00264752" w:rsidRPr="000F66FB" w:rsidRDefault="00264752" w:rsidP="00CE58B5">
            <w:pPr>
              <w:pStyle w:val="TableofAuthorities"/>
              <w:rPr>
                <w:lang w:eastAsia="en-AU"/>
              </w:rPr>
            </w:pPr>
            <w:r w:rsidRPr="000F66FB">
              <w:rPr>
                <w:lang w:eastAsia="en-AU"/>
              </w:rPr>
              <w:t>Bank borrowings</w:t>
            </w:r>
          </w:p>
        </w:tc>
        <w:tc>
          <w:tcPr>
            <w:tcW w:w="1466" w:type="dxa"/>
            <w:noWrap/>
            <w:hideMark/>
          </w:tcPr>
          <w:p w14:paraId="38BBB099"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$636</w:t>
            </w:r>
          </w:p>
        </w:tc>
        <w:tc>
          <w:tcPr>
            <w:tcW w:w="1367" w:type="dxa"/>
            <w:noWrap/>
            <w:hideMark/>
          </w:tcPr>
          <w:p w14:paraId="1372BE2B"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$203</w:t>
            </w:r>
          </w:p>
        </w:tc>
        <w:tc>
          <w:tcPr>
            <w:tcW w:w="1484" w:type="dxa"/>
            <w:noWrap/>
            <w:hideMark/>
          </w:tcPr>
          <w:p w14:paraId="33F63045"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w:t>
            </w:r>
          </w:p>
        </w:tc>
        <w:tc>
          <w:tcPr>
            <w:tcW w:w="1132" w:type="dxa"/>
            <w:noWrap/>
            <w:hideMark/>
          </w:tcPr>
          <w:p w14:paraId="06A686D6"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$841</w:t>
            </w:r>
          </w:p>
        </w:tc>
      </w:tr>
      <w:tr w:rsidR="00264752" w:rsidRPr="00264752" w14:paraId="63F3E732"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40D43914" w14:textId="77777777" w:rsidR="00264752" w:rsidRPr="000F66FB" w:rsidRDefault="00264752" w:rsidP="00CE58B5">
            <w:pPr>
              <w:pStyle w:val="TableofAuthorities"/>
              <w:rPr>
                <w:lang w:eastAsia="en-AU"/>
              </w:rPr>
            </w:pPr>
            <w:r w:rsidRPr="000F66FB">
              <w:rPr>
                <w:lang w:eastAsia="en-AU"/>
              </w:rPr>
              <w:t>Related party loans</w:t>
            </w:r>
          </w:p>
        </w:tc>
        <w:tc>
          <w:tcPr>
            <w:tcW w:w="1466" w:type="dxa"/>
            <w:noWrap/>
            <w:hideMark/>
          </w:tcPr>
          <w:p w14:paraId="289E9992"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$1,060</w:t>
            </w:r>
          </w:p>
        </w:tc>
        <w:tc>
          <w:tcPr>
            <w:tcW w:w="1367" w:type="dxa"/>
            <w:noWrap/>
            <w:hideMark/>
          </w:tcPr>
          <w:p w14:paraId="67763FB1"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$24</w:t>
            </w:r>
          </w:p>
        </w:tc>
        <w:tc>
          <w:tcPr>
            <w:tcW w:w="1484" w:type="dxa"/>
            <w:noWrap/>
            <w:hideMark/>
          </w:tcPr>
          <w:p w14:paraId="3E765858"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w:t>
            </w:r>
          </w:p>
        </w:tc>
        <w:tc>
          <w:tcPr>
            <w:tcW w:w="1132" w:type="dxa"/>
            <w:noWrap/>
            <w:hideMark/>
          </w:tcPr>
          <w:p w14:paraId="5D280926"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$1,085</w:t>
            </w:r>
          </w:p>
        </w:tc>
      </w:tr>
      <w:tr w:rsidR="00264752" w:rsidRPr="00264752" w14:paraId="214766ED"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1EF954B0" w14:textId="77777777" w:rsidR="00264752" w:rsidRPr="000F66FB" w:rsidRDefault="00264752" w:rsidP="00CE58B5">
            <w:pPr>
              <w:pStyle w:val="TableofAuthorities"/>
              <w:rPr>
                <w:lang w:eastAsia="en-AU"/>
              </w:rPr>
            </w:pPr>
            <w:r w:rsidRPr="000F66FB">
              <w:rPr>
                <w:lang w:eastAsia="en-AU"/>
              </w:rPr>
              <w:t>Employee provisions</w:t>
            </w:r>
          </w:p>
        </w:tc>
        <w:tc>
          <w:tcPr>
            <w:tcW w:w="1466" w:type="dxa"/>
            <w:noWrap/>
            <w:hideMark/>
          </w:tcPr>
          <w:p w14:paraId="5E32B083"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$699</w:t>
            </w:r>
          </w:p>
        </w:tc>
        <w:tc>
          <w:tcPr>
            <w:tcW w:w="1367" w:type="dxa"/>
            <w:noWrap/>
            <w:hideMark/>
          </w:tcPr>
          <w:p w14:paraId="59AA83DB"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$1,109</w:t>
            </w:r>
          </w:p>
        </w:tc>
        <w:tc>
          <w:tcPr>
            <w:tcW w:w="1484" w:type="dxa"/>
            <w:noWrap/>
            <w:hideMark/>
          </w:tcPr>
          <w:p w14:paraId="7D914278"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$122</w:t>
            </w:r>
          </w:p>
        </w:tc>
        <w:tc>
          <w:tcPr>
            <w:tcW w:w="1132" w:type="dxa"/>
            <w:noWrap/>
            <w:hideMark/>
          </w:tcPr>
          <w:p w14:paraId="48AFF499"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$1,930</w:t>
            </w:r>
          </w:p>
        </w:tc>
      </w:tr>
      <w:tr w:rsidR="00264752" w:rsidRPr="00264752" w14:paraId="79533C86"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4B4467AA" w14:textId="77777777" w:rsidR="00264752" w:rsidRPr="000F66FB" w:rsidRDefault="00264752" w:rsidP="00CE58B5">
            <w:pPr>
              <w:pStyle w:val="TableofAuthorities"/>
              <w:rPr>
                <w:lang w:eastAsia="en-AU"/>
              </w:rPr>
            </w:pPr>
            <w:r w:rsidRPr="000F66FB">
              <w:rPr>
                <w:lang w:eastAsia="en-AU"/>
              </w:rPr>
              <w:t>Lease liabilities</w:t>
            </w:r>
          </w:p>
        </w:tc>
        <w:tc>
          <w:tcPr>
            <w:tcW w:w="1466" w:type="dxa"/>
            <w:noWrap/>
            <w:hideMark/>
          </w:tcPr>
          <w:p w14:paraId="1A49CF3C"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$174</w:t>
            </w:r>
          </w:p>
        </w:tc>
        <w:tc>
          <w:tcPr>
            <w:tcW w:w="1367" w:type="dxa"/>
            <w:noWrap/>
            <w:hideMark/>
          </w:tcPr>
          <w:p w14:paraId="1C9FE88C"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$37</w:t>
            </w:r>
          </w:p>
        </w:tc>
        <w:tc>
          <w:tcPr>
            <w:tcW w:w="1484" w:type="dxa"/>
            <w:noWrap/>
            <w:hideMark/>
          </w:tcPr>
          <w:p w14:paraId="3DA8FBBB"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w:t>
            </w:r>
          </w:p>
        </w:tc>
        <w:tc>
          <w:tcPr>
            <w:tcW w:w="1132" w:type="dxa"/>
            <w:noWrap/>
            <w:hideMark/>
          </w:tcPr>
          <w:p w14:paraId="16CE099B"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$213</w:t>
            </w:r>
          </w:p>
        </w:tc>
      </w:tr>
      <w:tr w:rsidR="00264752" w:rsidRPr="00264752" w14:paraId="2D2CE1F5"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0945C9E2" w14:textId="77777777" w:rsidR="00264752" w:rsidRPr="000F66FB" w:rsidRDefault="00264752" w:rsidP="00CE58B5">
            <w:pPr>
              <w:pStyle w:val="TableofAuthorities"/>
              <w:rPr>
                <w:lang w:eastAsia="en-AU"/>
              </w:rPr>
            </w:pPr>
            <w:r w:rsidRPr="000F66FB">
              <w:rPr>
                <w:lang w:eastAsia="en-AU"/>
              </w:rPr>
              <w:t>Other current liabilities</w:t>
            </w:r>
          </w:p>
        </w:tc>
        <w:tc>
          <w:tcPr>
            <w:tcW w:w="1466" w:type="dxa"/>
            <w:noWrap/>
            <w:hideMark/>
          </w:tcPr>
          <w:p w14:paraId="555E977A"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$1,125</w:t>
            </w:r>
          </w:p>
        </w:tc>
        <w:tc>
          <w:tcPr>
            <w:tcW w:w="1367" w:type="dxa"/>
            <w:noWrap/>
            <w:hideMark/>
          </w:tcPr>
          <w:p w14:paraId="28E5FBE3"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$781</w:t>
            </w:r>
          </w:p>
        </w:tc>
        <w:tc>
          <w:tcPr>
            <w:tcW w:w="1484" w:type="dxa"/>
            <w:noWrap/>
            <w:hideMark/>
          </w:tcPr>
          <w:p w14:paraId="19FD01C4"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$170</w:t>
            </w:r>
          </w:p>
        </w:tc>
        <w:tc>
          <w:tcPr>
            <w:tcW w:w="1132" w:type="dxa"/>
            <w:noWrap/>
            <w:hideMark/>
          </w:tcPr>
          <w:p w14:paraId="1A398EED"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$2,076</w:t>
            </w:r>
          </w:p>
        </w:tc>
      </w:tr>
      <w:tr w:rsidR="00264752" w:rsidRPr="00370D9A" w14:paraId="33A5B59D"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2DE52EE6" w14:textId="77777777" w:rsidR="00264752" w:rsidRPr="00370D9A" w:rsidRDefault="00264752" w:rsidP="00370D9A">
            <w:pPr>
              <w:pStyle w:val="TableParagraphbold"/>
            </w:pPr>
            <w:r w:rsidRPr="00370D9A">
              <w:t>Total current liabilities</w:t>
            </w:r>
          </w:p>
        </w:tc>
        <w:tc>
          <w:tcPr>
            <w:tcW w:w="1466" w:type="dxa"/>
            <w:shd w:val="clear" w:color="auto" w:fill="D8DBDB" w:themeFill="background2" w:themeFillShade="E6"/>
            <w:noWrap/>
            <w:hideMark/>
          </w:tcPr>
          <w:p w14:paraId="4C44FE8D"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$14,282</w:t>
            </w:r>
          </w:p>
        </w:tc>
        <w:tc>
          <w:tcPr>
            <w:tcW w:w="1367" w:type="dxa"/>
            <w:shd w:val="clear" w:color="auto" w:fill="D8DBDB" w:themeFill="background2" w:themeFillShade="E6"/>
            <w:noWrap/>
            <w:hideMark/>
          </w:tcPr>
          <w:p w14:paraId="0DE64EA1"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$12,372</w:t>
            </w:r>
          </w:p>
        </w:tc>
        <w:tc>
          <w:tcPr>
            <w:tcW w:w="1484" w:type="dxa"/>
            <w:shd w:val="clear" w:color="auto" w:fill="D8DBDB" w:themeFill="background2" w:themeFillShade="E6"/>
            <w:noWrap/>
            <w:hideMark/>
          </w:tcPr>
          <w:p w14:paraId="57631D13"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$662</w:t>
            </w:r>
          </w:p>
        </w:tc>
        <w:tc>
          <w:tcPr>
            <w:tcW w:w="1132" w:type="dxa"/>
            <w:shd w:val="clear" w:color="auto" w:fill="D8DBDB" w:themeFill="background2" w:themeFillShade="E6"/>
            <w:noWrap/>
            <w:hideMark/>
          </w:tcPr>
          <w:p w14:paraId="105F50A6"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$27,315</w:t>
            </w:r>
          </w:p>
        </w:tc>
      </w:tr>
      <w:tr w:rsidR="00264752" w:rsidRPr="00370D9A" w14:paraId="33917BBE"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7735228C" w14:textId="77777777" w:rsidR="00264752" w:rsidRPr="00370D9A" w:rsidRDefault="00264752" w:rsidP="00370D9A">
            <w:pPr>
              <w:pStyle w:val="TableParagraphbold"/>
            </w:pPr>
            <w:r w:rsidRPr="00370D9A">
              <w:t>Non-current liabilities</w:t>
            </w:r>
          </w:p>
        </w:tc>
        <w:tc>
          <w:tcPr>
            <w:tcW w:w="1466" w:type="dxa"/>
            <w:shd w:val="clear" w:color="auto" w:fill="D8DBDB" w:themeFill="background2" w:themeFillShade="E6"/>
            <w:noWrap/>
            <w:hideMark/>
          </w:tcPr>
          <w:p w14:paraId="4C7B3EE2"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c>
          <w:tcPr>
            <w:tcW w:w="1367" w:type="dxa"/>
            <w:shd w:val="clear" w:color="auto" w:fill="D8DBDB" w:themeFill="background2" w:themeFillShade="E6"/>
            <w:noWrap/>
            <w:hideMark/>
          </w:tcPr>
          <w:p w14:paraId="2F283ED7"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c>
          <w:tcPr>
            <w:tcW w:w="1484" w:type="dxa"/>
            <w:shd w:val="clear" w:color="auto" w:fill="D8DBDB" w:themeFill="background2" w:themeFillShade="E6"/>
            <w:noWrap/>
            <w:hideMark/>
          </w:tcPr>
          <w:p w14:paraId="35FF96AC"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c>
          <w:tcPr>
            <w:tcW w:w="1132" w:type="dxa"/>
            <w:shd w:val="clear" w:color="auto" w:fill="D8DBDB" w:themeFill="background2" w:themeFillShade="E6"/>
            <w:noWrap/>
            <w:hideMark/>
          </w:tcPr>
          <w:p w14:paraId="294412C9"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 </w:t>
            </w:r>
          </w:p>
        </w:tc>
      </w:tr>
      <w:tr w:rsidR="00264752" w:rsidRPr="00264752" w14:paraId="1592A135"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6F44EFE1" w14:textId="77777777" w:rsidR="00264752" w:rsidRPr="000F66FB" w:rsidRDefault="00264752" w:rsidP="00CE58B5">
            <w:pPr>
              <w:pStyle w:val="TableofAuthorities"/>
              <w:rPr>
                <w:lang w:eastAsia="en-AU"/>
              </w:rPr>
            </w:pPr>
            <w:r w:rsidRPr="000F66FB">
              <w:rPr>
                <w:lang w:eastAsia="en-AU"/>
              </w:rPr>
              <w:t>Accommodation deposits (incl. bonds)</w:t>
            </w:r>
          </w:p>
        </w:tc>
        <w:tc>
          <w:tcPr>
            <w:tcW w:w="1466" w:type="dxa"/>
            <w:noWrap/>
            <w:hideMark/>
          </w:tcPr>
          <w:p w14:paraId="42B36BFF"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$6,391</w:t>
            </w:r>
          </w:p>
        </w:tc>
        <w:tc>
          <w:tcPr>
            <w:tcW w:w="1367" w:type="dxa"/>
            <w:noWrap/>
            <w:hideMark/>
          </w:tcPr>
          <w:p w14:paraId="7842E6C8"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$7,636</w:t>
            </w:r>
          </w:p>
        </w:tc>
        <w:tc>
          <w:tcPr>
            <w:tcW w:w="1484" w:type="dxa"/>
            <w:noWrap/>
            <w:hideMark/>
          </w:tcPr>
          <w:p w14:paraId="399C7BFF"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$311</w:t>
            </w:r>
          </w:p>
        </w:tc>
        <w:tc>
          <w:tcPr>
            <w:tcW w:w="1132" w:type="dxa"/>
            <w:noWrap/>
            <w:hideMark/>
          </w:tcPr>
          <w:p w14:paraId="434DAA7F"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$14,337</w:t>
            </w:r>
          </w:p>
        </w:tc>
      </w:tr>
      <w:tr w:rsidR="00264752" w:rsidRPr="00264752" w14:paraId="0B4265F3"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353F2447" w14:textId="77777777" w:rsidR="00264752" w:rsidRPr="000F66FB" w:rsidRDefault="00264752" w:rsidP="00CE58B5">
            <w:pPr>
              <w:pStyle w:val="TableofAuthorities"/>
              <w:rPr>
                <w:lang w:eastAsia="en-AU"/>
              </w:rPr>
            </w:pPr>
            <w:r w:rsidRPr="000F66FB">
              <w:rPr>
                <w:lang w:eastAsia="en-AU"/>
              </w:rPr>
              <w:t>Bank borrowings</w:t>
            </w:r>
          </w:p>
        </w:tc>
        <w:tc>
          <w:tcPr>
            <w:tcW w:w="1466" w:type="dxa"/>
            <w:noWrap/>
            <w:hideMark/>
          </w:tcPr>
          <w:p w14:paraId="525F9035"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$999</w:t>
            </w:r>
          </w:p>
        </w:tc>
        <w:tc>
          <w:tcPr>
            <w:tcW w:w="1367" w:type="dxa"/>
            <w:noWrap/>
            <w:hideMark/>
          </w:tcPr>
          <w:p w14:paraId="372C27FB"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$684</w:t>
            </w:r>
          </w:p>
        </w:tc>
        <w:tc>
          <w:tcPr>
            <w:tcW w:w="1484" w:type="dxa"/>
            <w:noWrap/>
            <w:hideMark/>
          </w:tcPr>
          <w:p w14:paraId="3406A326"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$54</w:t>
            </w:r>
          </w:p>
        </w:tc>
        <w:tc>
          <w:tcPr>
            <w:tcW w:w="1132" w:type="dxa"/>
            <w:noWrap/>
            <w:hideMark/>
          </w:tcPr>
          <w:p w14:paraId="7DADAFE8"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$1,736</w:t>
            </w:r>
          </w:p>
        </w:tc>
      </w:tr>
      <w:tr w:rsidR="00264752" w:rsidRPr="00264752" w14:paraId="28B99B0F"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0D4DC8C3" w14:textId="77777777" w:rsidR="00264752" w:rsidRPr="000F66FB" w:rsidRDefault="00264752" w:rsidP="00CE58B5">
            <w:pPr>
              <w:pStyle w:val="TableofAuthorities"/>
              <w:rPr>
                <w:lang w:eastAsia="en-AU"/>
              </w:rPr>
            </w:pPr>
            <w:r w:rsidRPr="000F66FB">
              <w:rPr>
                <w:lang w:eastAsia="en-AU"/>
              </w:rPr>
              <w:t>Related party loans</w:t>
            </w:r>
          </w:p>
        </w:tc>
        <w:tc>
          <w:tcPr>
            <w:tcW w:w="1466" w:type="dxa"/>
            <w:noWrap/>
            <w:hideMark/>
          </w:tcPr>
          <w:p w14:paraId="7C1B9E21"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$1,197</w:t>
            </w:r>
          </w:p>
        </w:tc>
        <w:tc>
          <w:tcPr>
            <w:tcW w:w="1367" w:type="dxa"/>
            <w:noWrap/>
            <w:hideMark/>
          </w:tcPr>
          <w:p w14:paraId="4A8E4828"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$112</w:t>
            </w:r>
          </w:p>
        </w:tc>
        <w:tc>
          <w:tcPr>
            <w:tcW w:w="1484" w:type="dxa"/>
            <w:noWrap/>
            <w:hideMark/>
          </w:tcPr>
          <w:p w14:paraId="4F72FD39"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$0</w:t>
            </w:r>
          </w:p>
        </w:tc>
        <w:tc>
          <w:tcPr>
            <w:tcW w:w="1132" w:type="dxa"/>
            <w:noWrap/>
            <w:hideMark/>
          </w:tcPr>
          <w:p w14:paraId="0969539E"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$1,309</w:t>
            </w:r>
          </w:p>
        </w:tc>
      </w:tr>
      <w:tr w:rsidR="00264752" w:rsidRPr="00264752" w14:paraId="13C3C4DE"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737E4CF0" w14:textId="77777777" w:rsidR="00264752" w:rsidRPr="000F66FB" w:rsidRDefault="00264752" w:rsidP="00CE58B5">
            <w:pPr>
              <w:pStyle w:val="TableofAuthorities"/>
              <w:rPr>
                <w:lang w:eastAsia="en-AU"/>
              </w:rPr>
            </w:pPr>
            <w:r w:rsidRPr="000F66FB">
              <w:rPr>
                <w:lang w:eastAsia="en-AU"/>
              </w:rPr>
              <w:t>Employee provisions</w:t>
            </w:r>
          </w:p>
        </w:tc>
        <w:tc>
          <w:tcPr>
            <w:tcW w:w="1466" w:type="dxa"/>
            <w:noWrap/>
            <w:hideMark/>
          </w:tcPr>
          <w:p w14:paraId="4F5A7FC2"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$111</w:t>
            </w:r>
          </w:p>
        </w:tc>
        <w:tc>
          <w:tcPr>
            <w:tcW w:w="1367" w:type="dxa"/>
            <w:noWrap/>
            <w:hideMark/>
          </w:tcPr>
          <w:p w14:paraId="5DE416F5"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$185</w:t>
            </w:r>
          </w:p>
        </w:tc>
        <w:tc>
          <w:tcPr>
            <w:tcW w:w="1484" w:type="dxa"/>
            <w:noWrap/>
            <w:hideMark/>
          </w:tcPr>
          <w:p w14:paraId="12519AE9"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$39</w:t>
            </w:r>
          </w:p>
        </w:tc>
        <w:tc>
          <w:tcPr>
            <w:tcW w:w="1132" w:type="dxa"/>
            <w:noWrap/>
            <w:hideMark/>
          </w:tcPr>
          <w:p w14:paraId="5FB09151"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$334</w:t>
            </w:r>
          </w:p>
        </w:tc>
      </w:tr>
      <w:tr w:rsidR="00264752" w:rsidRPr="00264752" w14:paraId="67605FCB"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58643677" w14:textId="77777777" w:rsidR="00264752" w:rsidRPr="000F66FB" w:rsidRDefault="00264752" w:rsidP="00CE58B5">
            <w:pPr>
              <w:pStyle w:val="TableofAuthorities"/>
              <w:rPr>
                <w:lang w:eastAsia="en-AU"/>
              </w:rPr>
            </w:pPr>
            <w:r w:rsidRPr="000F66FB">
              <w:rPr>
                <w:lang w:eastAsia="en-AU"/>
              </w:rPr>
              <w:t>Lease liabilities</w:t>
            </w:r>
          </w:p>
        </w:tc>
        <w:tc>
          <w:tcPr>
            <w:tcW w:w="1466" w:type="dxa"/>
            <w:noWrap/>
            <w:hideMark/>
          </w:tcPr>
          <w:p w14:paraId="178A4774"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$2,233</w:t>
            </w:r>
          </w:p>
        </w:tc>
        <w:tc>
          <w:tcPr>
            <w:tcW w:w="1367" w:type="dxa"/>
            <w:noWrap/>
            <w:hideMark/>
          </w:tcPr>
          <w:p w14:paraId="2EE3E6E9"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$322</w:t>
            </w:r>
          </w:p>
        </w:tc>
        <w:tc>
          <w:tcPr>
            <w:tcW w:w="1484" w:type="dxa"/>
            <w:noWrap/>
            <w:hideMark/>
          </w:tcPr>
          <w:p w14:paraId="781E5434"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$0</w:t>
            </w:r>
          </w:p>
        </w:tc>
        <w:tc>
          <w:tcPr>
            <w:tcW w:w="1132" w:type="dxa"/>
            <w:noWrap/>
            <w:hideMark/>
          </w:tcPr>
          <w:p w14:paraId="3E914DBF"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$2,555</w:t>
            </w:r>
          </w:p>
        </w:tc>
      </w:tr>
      <w:tr w:rsidR="00264752" w:rsidRPr="00264752" w14:paraId="6E8AFA1D" w14:textId="77777777" w:rsidTr="00370D9A">
        <w:trPr>
          <w:trHeight w:val="300"/>
        </w:trPr>
        <w:tc>
          <w:tcPr>
            <w:cnfStyle w:val="001000000000" w:firstRow="0" w:lastRow="0" w:firstColumn="1" w:lastColumn="0" w:oddVBand="0" w:evenVBand="0" w:oddHBand="0" w:evenHBand="0" w:firstRowFirstColumn="0" w:firstRowLastColumn="0" w:lastRowFirstColumn="0" w:lastRowLastColumn="0"/>
            <w:tcW w:w="3621" w:type="dxa"/>
            <w:noWrap/>
            <w:hideMark/>
          </w:tcPr>
          <w:p w14:paraId="7747CC8E" w14:textId="77777777" w:rsidR="00264752" w:rsidRPr="000F66FB" w:rsidRDefault="00264752" w:rsidP="00CE58B5">
            <w:pPr>
              <w:pStyle w:val="TableofAuthorities"/>
              <w:rPr>
                <w:lang w:eastAsia="en-AU"/>
              </w:rPr>
            </w:pPr>
            <w:r w:rsidRPr="000F66FB">
              <w:rPr>
                <w:lang w:eastAsia="en-AU"/>
              </w:rPr>
              <w:t>Other non-current liabilities</w:t>
            </w:r>
          </w:p>
        </w:tc>
        <w:tc>
          <w:tcPr>
            <w:tcW w:w="1466" w:type="dxa"/>
            <w:noWrap/>
            <w:hideMark/>
          </w:tcPr>
          <w:p w14:paraId="187F4D50"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$540</w:t>
            </w:r>
          </w:p>
        </w:tc>
        <w:tc>
          <w:tcPr>
            <w:tcW w:w="1367" w:type="dxa"/>
            <w:noWrap/>
            <w:hideMark/>
          </w:tcPr>
          <w:p w14:paraId="66C5B4ED"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$181</w:t>
            </w:r>
          </w:p>
        </w:tc>
        <w:tc>
          <w:tcPr>
            <w:tcW w:w="1484" w:type="dxa"/>
            <w:noWrap/>
            <w:hideMark/>
          </w:tcPr>
          <w:p w14:paraId="49BAD126"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$30</w:t>
            </w:r>
          </w:p>
        </w:tc>
        <w:tc>
          <w:tcPr>
            <w:tcW w:w="1132" w:type="dxa"/>
            <w:noWrap/>
            <w:hideMark/>
          </w:tcPr>
          <w:p w14:paraId="1EF66B9C" w14:textId="77777777" w:rsidR="00264752" w:rsidRPr="000F66FB" w:rsidRDefault="00264752" w:rsidP="00CE58B5">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$751</w:t>
            </w:r>
          </w:p>
        </w:tc>
      </w:tr>
      <w:tr w:rsidR="00264752" w:rsidRPr="00370D9A" w14:paraId="116C0058"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64AA1E73" w14:textId="77777777" w:rsidR="00264752" w:rsidRPr="00370D9A" w:rsidRDefault="00264752" w:rsidP="00370D9A">
            <w:pPr>
              <w:pStyle w:val="TableParagraphbold"/>
            </w:pPr>
            <w:r w:rsidRPr="00370D9A">
              <w:t>Total non-current liabilities</w:t>
            </w:r>
          </w:p>
        </w:tc>
        <w:tc>
          <w:tcPr>
            <w:tcW w:w="1466" w:type="dxa"/>
            <w:shd w:val="clear" w:color="auto" w:fill="D8DBDB" w:themeFill="background2" w:themeFillShade="E6"/>
            <w:noWrap/>
            <w:hideMark/>
          </w:tcPr>
          <w:p w14:paraId="6D5EFB9D"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$11,470</w:t>
            </w:r>
          </w:p>
        </w:tc>
        <w:tc>
          <w:tcPr>
            <w:tcW w:w="1367" w:type="dxa"/>
            <w:shd w:val="clear" w:color="auto" w:fill="D8DBDB" w:themeFill="background2" w:themeFillShade="E6"/>
            <w:noWrap/>
            <w:hideMark/>
          </w:tcPr>
          <w:p w14:paraId="6FE7AE11"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$9,120</w:t>
            </w:r>
          </w:p>
        </w:tc>
        <w:tc>
          <w:tcPr>
            <w:tcW w:w="1484" w:type="dxa"/>
            <w:shd w:val="clear" w:color="auto" w:fill="D8DBDB" w:themeFill="background2" w:themeFillShade="E6"/>
            <w:noWrap/>
            <w:hideMark/>
          </w:tcPr>
          <w:p w14:paraId="260DC215"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$433</w:t>
            </w:r>
          </w:p>
        </w:tc>
        <w:tc>
          <w:tcPr>
            <w:tcW w:w="1132" w:type="dxa"/>
            <w:shd w:val="clear" w:color="auto" w:fill="D8DBDB" w:themeFill="background2" w:themeFillShade="E6"/>
            <w:noWrap/>
            <w:hideMark/>
          </w:tcPr>
          <w:p w14:paraId="78DB5580"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$21,023</w:t>
            </w:r>
          </w:p>
        </w:tc>
      </w:tr>
      <w:tr w:rsidR="00264752" w:rsidRPr="00370D9A" w14:paraId="4C6E1761"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7755F8B9" w14:textId="77777777" w:rsidR="00264752" w:rsidRPr="00370D9A" w:rsidRDefault="00264752" w:rsidP="00370D9A">
            <w:pPr>
              <w:pStyle w:val="TableParagraphbold"/>
            </w:pPr>
            <w:r w:rsidRPr="00370D9A">
              <w:t>Total liabilities</w:t>
            </w:r>
          </w:p>
        </w:tc>
        <w:tc>
          <w:tcPr>
            <w:tcW w:w="1466" w:type="dxa"/>
            <w:shd w:val="clear" w:color="auto" w:fill="D8DBDB" w:themeFill="background2" w:themeFillShade="E6"/>
            <w:noWrap/>
            <w:hideMark/>
          </w:tcPr>
          <w:p w14:paraId="3833B95C"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$25,751</w:t>
            </w:r>
          </w:p>
        </w:tc>
        <w:tc>
          <w:tcPr>
            <w:tcW w:w="1367" w:type="dxa"/>
            <w:shd w:val="clear" w:color="auto" w:fill="D8DBDB" w:themeFill="background2" w:themeFillShade="E6"/>
            <w:noWrap/>
            <w:hideMark/>
          </w:tcPr>
          <w:p w14:paraId="335AC47B"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$21,492</w:t>
            </w:r>
          </w:p>
        </w:tc>
        <w:tc>
          <w:tcPr>
            <w:tcW w:w="1484" w:type="dxa"/>
            <w:shd w:val="clear" w:color="auto" w:fill="D8DBDB" w:themeFill="background2" w:themeFillShade="E6"/>
            <w:noWrap/>
            <w:hideMark/>
          </w:tcPr>
          <w:p w14:paraId="3C307627"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$1,096</w:t>
            </w:r>
          </w:p>
        </w:tc>
        <w:tc>
          <w:tcPr>
            <w:tcW w:w="1132" w:type="dxa"/>
            <w:shd w:val="clear" w:color="auto" w:fill="D8DBDB" w:themeFill="background2" w:themeFillShade="E6"/>
            <w:noWrap/>
            <w:hideMark/>
          </w:tcPr>
          <w:p w14:paraId="2A319D59"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$48,338</w:t>
            </w:r>
          </w:p>
        </w:tc>
      </w:tr>
      <w:tr w:rsidR="00264752" w:rsidRPr="00370D9A" w14:paraId="0D9E41C7" w14:textId="77777777" w:rsidTr="00580ED8">
        <w:trPr>
          <w:trHeight w:val="300"/>
        </w:trPr>
        <w:tc>
          <w:tcPr>
            <w:cnfStyle w:val="001000000000" w:firstRow="0" w:lastRow="0" w:firstColumn="1" w:lastColumn="0" w:oddVBand="0" w:evenVBand="0" w:oddHBand="0" w:evenHBand="0" w:firstRowFirstColumn="0" w:firstRowLastColumn="0" w:lastRowFirstColumn="0" w:lastRowLastColumn="0"/>
            <w:tcW w:w="3621" w:type="dxa"/>
            <w:shd w:val="clear" w:color="auto" w:fill="D8DBDB" w:themeFill="background2" w:themeFillShade="E6"/>
            <w:noWrap/>
            <w:hideMark/>
          </w:tcPr>
          <w:p w14:paraId="3683B8FC" w14:textId="77777777" w:rsidR="00264752" w:rsidRPr="00370D9A" w:rsidRDefault="00264752" w:rsidP="00370D9A">
            <w:pPr>
              <w:pStyle w:val="TableParagraphbold"/>
            </w:pPr>
            <w:r w:rsidRPr="00370D9A">
              <w:t>Net assets</w:t>
            </w:r>
          </w:p>
        </w:tc>
        <w:tc>
          <w:tcPr>
            <w:tcW w:w="1466" w:type="dxa"/>
            <w:shd w:val="clear" w:color="auto" w:fill="D8DBDB" w:themeFill="background2" w:themeFillShade="E6"/>
            <w:noWrap/>
            <w:hideMark/>
          </w:tcPr>
          <w:p w14:paraId="765C5FBB"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$567</w:t>
            </w:r>
          </w:p>
        </w:tc>
        <w:tc>
          <w:tcPr>
            <w:tcW w:w="1367" w:type="dxa"/>
            <w:shd w:val="clear" w:color="auto" w:fill="D8DBDB" w:themeFill="background2" w:themeFillShade="E6"/>
            <w:noWrap/>
            <w:hideMark/>
          </w:tcPr>
          <w:p w14:paraId="50D16E03"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$6,158</w:t>
            </w:r>
          </w:p>
        </w:tc>
        <w:tc>
          <w:tcPr>
            <w:tcW w:w="1484" w:type="dxa"/>
            <w:shd w:val="clear" w:color="auto" w:fill="D8DBDB" w:themeFill="background2" w:themeFillShade="E6"/>
            <w:noWrap/>
            <w:hideMark/>
          </w:tcPr>
          <w:p w14:paraId="0D764448"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$1,567</w:t>
            </w:r>
          </w:p>
        </w:tc>
        <w:tc>
          <w:tcPr>
            <w:tcW w:w="1132" w:type="dxa"/>
            <w:shd w:val="clear" w:color="auto" w:fill="D8DBDB" w:themeFill="background2" w:themeFillShade="E6"/>
            <w:noWrap/>
            <w:hideMark/>
          </w:tcPr>
          <w:p w14:paraId="0D2633CF" w14:textId="77777777" w:rsidR="00264752" w:rsidRPr="00370D9A" w:rsidRDefault="00264752" w:rsidP="00370D9A">
            <w:pPr>
              <w:pStyle w:val="TableParagraphbold"/>
              <w:cnfStyle w:val="000000000000" w:firstRow="0" w:lastRow="0" w:firstColumn="0" w:lastColumn="0" w:oddVBand="0" w:evenVBand="0" w:oddHBand="0" w:evenHBand="0" w:firstRowFirstColumn="0" w:firstRowLastColumn="0" w:lastRowFirstColumn="0" w:lastRowLastColumn="0"/>
            </w:pPr>
            <w:r w:rsidRPr="00370D9A">
              <w:t>$8,292</w:t>
            </w:r>
          </w:p>
        </w:tc>
      </w:tr>
    </w:tbl>
    <w:p w14:paraId="3E7B1031" w14:textId="6A06F619" w:rsidR="00F6439B" w:rsidRPr="00400313" w:rsidRDefault="00F6439B" w:rsidP="00400313">
      <w:pPr>
        <w:pStyle w:val="FootnoteText"/>
      </w:pPr>
      <w:r w:rsidRPr="00400313">
        <w:t>Note:</w:t>
      </w:r>
    </w:p>
    <w:p w14:paraId="1AD3DFB9" w14:textId="29647559" w:rsidR="00F6439B" w:rsidRPr="00400313" w:rsidRDefault="00F6439B" w:rsidP="00370D9A">
      <w:pPr>
        <w:pStyle w:val="Footnotetextlist"/>
        <w:numPr>
          <w:ilvl w:val="0"/>
          <w:numId w:val="21"/>
        </w:numPr>
      </w:pPr>
      <w:r w:rsidRPr="00400313">
        <w:t xml:space="preserve">The </w:t>
      </w:r>
      <w:r w:rsidR="002C5DBD" w:rsidRPr="00400313">
        <w:t>r</w:t>
      </w:r>
      <w:r w:rsidRPr="00400313">
        <w:t xml:space="preserve">esidential </w:t>
      </w:r>
      <w:r w:rsidR="002C5DBD" w:rsidRPr="00400313">
        <w:t>disaggregated</w:t>
      </w:r>
      <w:r w:rsidRPr="00400313">
        <w:t xml:space="preserve"> </w:t>
      </w:r>
      <w:r w:rsidR="002C5DBD" w:rsidRPr="00400313">
        <w:t>b</w:t>
      </w:r>
      <w:r w:rsidRPr="00400313">
        <w:t>alance sheet above does not include Accommodation Deposit balances held by Multi-Purpose Services</w:t>
      </w:r>
    </w:p>
    <w:p w14:paraId="61B42240" w14:textId="77777777" w:rsidR="00072CCB" w:rsidRPr="00400313" w:rsidRDefault="00072CCB" w:rsidP="00400313">
      <w:r>
        <w:rPr>
          <w:b/>
          <w:bCs/>
          <w:sz w:val="28"/>
          <w:szCs w:val="28"/>
        </w:rPr>
        <w:br w:type="page"/>
      </w:r>
    </w:p>
    <w:p w14:paraId="33B76739" w14:textId="289B1CFF" w:rsidR="00D02D5F" w:rsidRDefault="00D02D5F" w:rsidP="00D02D5F">
      <w:pPr>
        <w:rPr>
          <w:b/>
          <w:bCs/>
          <w:sz w:val="28"/>
          <w:szCs w:val="28"/>
        </w:rPr>
      </w:pPr>
      <w:r>
        <w:rPr>
          <w:b/>
          <w:bCs/>
          <w:sz w:val="28"/>
          <w:szCs w:val="28"/>
        </w:rPr>
        <w:lastRenderedPageBreak/>
        <w:t>Liabilities</w:t>
      </w:r>
    </w:p>
    <w:p w14:paraId="45BA5AF2" w14:textId="3EA06E83" w:rsidR="00D02D5F" w:rsidRPr="00AD1414" w:rsidRDefault="00C13901" w:rsidP="00D02D5F">
      <w:r>
        <w:rPr>
          <w:color w:val="FF0000"/>
        </w:rPr>
        <w:fldChar w:fldCharType="begin"/>
      </w:r>
      <w:r>
        <w:rPr>
          <w:color w:val="FF0000"/>
        </w:rPr>
        <w:instrText xml:space="preserve"> REF _Ref139548634 \h </w:instrText>
      </w:r>
      <w:r>
        <w:rPr>
          <w:color w:val="FF0000"/>
        </w:rPr>
      </w:r>
      <w:r>
        <w:rPr>
          <w:color w:val="FF0000"/>
        </w:rPr>
        <w:fldChar w:fldCharType="separate"/>
      </w:r>
      <w:r w:rsidR="00294B02">
        <w:t xml:space="preserve">Chart </w:t>
      </w:r>
      <w:r w:rsidR="00294B02">
        <w:rPr>
          <w:noProof/>
        </w:rPr>
        <w:t>4</w:t>
      </w:r>
      <w:r w:rsidR="00294B02">
        <w:t>.</w:t>
      </w:r>
      <w:r w:rsidR="00294B02">
        <w:rPr>
          <w:noProof/>
        </w:rPr>
        <w:t>1</w:t>
      </w:r>
      <w:r>
        <w:rPr>
          <w:color w:val="FF0000"/>
        </w:rPr>
        <w:fldChar w:fldCharType="end"/>
      </w:r>
      <w:r w:rsidR="00FB5E59">
        <w:rPr>
          <w:color w:val="FF0000"/>
        </w:rPr>
        <w:t xml:space="preserve"> </w:t>
      </w:r>
      <w:r w:rsidR="00D078F6">
        <w:t xml:space="preserve">shows residential care provider liability types as a </w:t>
      </w:r>
      <w:r w:rsidR="17A2FA24">
        <w:t>pro</w:t>
      </w:r>
      <w:r w:rsidR="7766D022">
        <w:t>portion</w:t>
      </w:r>
      <w:r w:rsidR="00D078F6">
        <w:t xml:space="preserve"> of total assets for the last 5</w:t>
      </w:r>
      <w:r w:rsidR="00D078F6">
        <w:rPr>
          <w:spacing w:val="-4"/>
        </w:rPr>
        <w:t xml:space="preserve"> </w:t>
      </w:r>
      <w:r w:rsidR="00D078F6">
        <w:t xml:space="preserve">years. </w:t>
      </w:r>
      <w:r w:rsidR="001A3DB9">
        <w:t xml:space="preserve">Liabilities include the current and non-current liabilities listed in </w:t>
      </w:r>
      <w:r w:rsidR="00886FEF">
        <w:fldChar w:fldCharType="begin"/>
      </w:r>
      <w:r w:rsidR="00886FEF">
        <w:instrText xml:space="preserve"> REF _Ref139548577 \h </w:instrText>
      </w:r>
      <w:r w:rsidR="00886FEF">
        <w:fldChar w:fldCharType="separate"/>
      </w:r>
      <w:r w:rsidR="00294B02">
        <w:t xml:space="preserve">Table </w:t>
      </w:r>
      <w:r w:rsidR="00294B02">
        <w:rPr>
          <w:noProof/>
        </w:rPr>
        <w:t>4</w:t>
      </w:r>
      <w:r w:rsidR="00294B02">
        <w:t>.</w:t>
      </w:r>
      <w:r w:rsidR="00294B02">
        <w:rPr>
          <w:noProof/>
        </w:rPr>
        <w:t>3</w:t>
      </w:r>
      <w:r w:rsidR="00886FEF">
        <w:fldChar w:fldCharType="end"/>
      </w:r>
      <w:r w:rsidR="00886FEF">
        <w:t xml:space="preserve"> </w:t>
      </w:r>
      <w:r w:rsidR="001A3DB9">
        <w:t>(</w:t>
      </w:r>
      <w:proofErr w:type="gramStart"/>
      <w:r w:rsidR="001A3DB9">
        <w:t>e.g.</w:t>
      </w:r>
      <w:proofErr w:type="gramEnd"/>
      <w:r w:rsidR="001A3DB9">
        <w:t xml:space="preserve"> accommodation deposits, bank borrowings, r</w:t>
      </w:r>
      <w:r w:rsidR="008913B1">
        <w:t>elated party loans, employee provisions, lease liabilities and oth</w:t>
      </w:r>
      <w:r w:rsidR="00DB320A">
        <w:t>er liabilities).</w:t>
      </w:r>
      <w:r w:rsidR="001A3DB9">
        <w:t xml:space="preserve"> </w:t>
      </w:r>
      <w:r w:rsidR="00D078F6">
        <w:t>In</w:t>
      </w:r>
      <w:r w:rsidR="00D078F6">
        <w:rPr>
          <w:spacing w:val="-11"/>
        </w:rPr>
        <w:t xml:space="preserve"> </w:t>
      </w:r>
      <w:r w:rsidR="00D078F6">
        <w:t>2021-22,</w:t>
      </w:r>
      <w:r w:rsidR="00D078F6">
        <w:rPr>
          <w:spacing w:val="-11"/>
        </w:rPr>
        <w:t xml:space="preserve"> </w:t>
      </w:r>
      <w:r w:rsidR="00D078F6">
        <w:t>total</w:t>
      </w:r>
      <w:r w:rsidR="00D078F6">
        <w:rPr>
          <w:spacing w:val="-8"/>
        </w:rPr>
        <w:t xml:space="preserve"> </w:t>
      </w:r>
      <w:r w:rsidR="00D078F6">
        <w:t>liabilities</w:t>
      </w:r>
      <w:r w:rsidR="00D078F6">
        <w:rPr>
          <w:spacing w:val="-8"/>
        </w:rPr>
        <w:t xml:space="preserve"> </w:t>
      </w:r>
      <w:r w:rsidR="00D078F6">
        <w:t>increased</w:t>
      </w:r>
      <w:r w:rsidR="00D078F6">
        <w:rPr>
          <w:spacing w:val="-8"/>
        </w:rPr>
        <w:t xml:space="preserve"> </w:t>
      </w:r>
      <w:r w:rsidR="00D078F6">
        <w:t>to</w:t>
      </w:r>
      <w:r w:rsidR="00D078F6">
        <w:rPr>
          <w:spacing w:val="-8"/>
        </w:rPr>
        <w:t xml:space="preserve"> </w:t>
      </w:r>
      <w:r w:rsidR="00D078F6">
        <w:t>85.4</w:t>
      </w:r>
      <w:r w:rsidR="00D078F6">
        <w:rPr>
          <w:spacing w:val="-11"/>
        </w:rPr>
        <w:t xml:space="preserve"> </w:t>
      </w:r>
      <w:r w:rsidR="00D078F6">
        <w:t>per</w:t>
      </w:r>
      <w:r w:rsidR="00D078F6">
        <w:rPr>
          <w:spacing w:val="-11"/>
        </w:rPr>
        <w:t xml:space="preserve"> </w:t>
      </w:r>
      <w:r w:rsidR="00D078F6">
        <w:t xml:space="preserve">cent, up from </w:t>
      </w:r>
      <w:r w:rsidR="00184F61">
        <w:t>81.9</w:t>
      </w:r>
      <w:r w:rsidR="00D078F6">
        <w:t xml:space="preserve"> per cent the previous year. Net worth/equity</w:t>
      </w:r>
      <w:r w:rsidR="00D078F6">
        <w:rPr>
          <w:spacing w:val="-4"/>
        </w:rPr>
        <w:t xml:space="preserve"> </w:t>
      </w:r>
      <w:r w:rsidR="00D078F6">
        <w:t>was</w:t>
      </w:r>
      <w:r w:rsidR="00D078F6">
        <w:rPr>
          <w:spacing w:val="-4"/>
        </w:rPr>
        <w:t xml:space="preserve"> </w:t>
      </w:r>
      <w:r w:rsidR="00D078F6">
        <w:t>1</w:t>
      </w:r>
      <w:r w:rsidR="00184F61">
        <w:t>4.6</w:t>
      </w:r>
      <w:r w:rsidR="00D078F6">
        <w:rPr>
          <w:spacing w:val="-9"/>
        </w:rPr>
        <w:t xml:space="preserve"> </w:t>
      </w:r>
      <w:r w:rsidR="00D078F6">
        <w:t>per</w:t>
      </w:r>
      <w:r w:rsidR="00D078F6">
        <w:rPr>
          <w:spacing w:val="-9"/>
        </w:rPr>
        <w:t xml:space="preserve"> </w:t>
      </w:r>
      <w:r w:rsidR="00D078F6">
        <w:t>cent,</w:t>
      </w:r>
      <w:r w:rsidR="00D078F6">
        <w:rPr>
          <w:spacing w:val="-4"/>
        </w:rPr>
        <w:t xml:space="preserve"> </w:t>
      </w:r>
      <w:r w:rsidR="00D078F6">
        <w:t>a</w:t>
      </w:r>
      <w:r w:rsidR="00D078F6">
        <w:rPr>
          <w:spacing w:val="-4"/>
        </w:rPr>
        <w:t xml:space="preserve"> </w:t>
      </w:r>
      <w:r w:rsidR="00D078F6">
        <w:t>decrease</w:t>
      </w:r>
      <w:r w:rsidR="00D078F6">
        <w:rPr>
          <w:spacing w:val="-4"/>
        </w:rPr>
        <w:t xml:space="preserve"> </w:t>
      </w:r>
      <w:r w:rsidR="00D078F6">
        <w:t>from</w:t>
      </w:r>
      <w:r w:rsidR="00D078F6">
        <w:rPr>
          <w:spacing w:val="-4"/>
        </w:rPr>
        <w:t xml:space="preserve"> </w:t>
      </w:r>
      <w:r w:rsidR="00184F61">
        <w:t>18.1</w:t>
      </w:r>
      <w:r w:rsidR="00D078F6">
        <w:rPr>
          <w:spacing w:val="-9"/>
        </w:rPr>
        <w:t xml:space="preserve"> </w:t>
      </w:r>
      <w:r w:rsidR="00D078F6">
        <w:t>per</w:t>
      </w:r>
      <w:r w:rsidR="00D078F6">
        <w:rPr>
          <w:spacing w:val="-9"/>
        </w:rPr>
        <w:t xml:space="preserve"> </w:t>
      </w:r>
      <w:r w:rsidR="00D078F6">
        <w:t xml:space="preserve">cent the previous year. </w:t>
      </w:r>
      <w:r w:rsidR="00863F8C">
        <w:t>This is the third year in a row that there has been a noticeable decrease in net worth/equity as a proportion of total assets</w:t>
      </w:r>
      <w:r w:rsidR="00DB5696">
        <w:t>, declining from</w:t>
      </w:r>
      <w:r w:rsidR="00863F8C">
        <w:t xml:space="preserve"> around 24 per cent prior to 2019-20</w:t>
      </w:r>
      <w:r w:rsidR="003F7666">
        <w:t xml:space="preserve">. </w:t>
      </w:r>
      <w:r w:rsidR="00D078F6">
        <w:t xml:space="preserve"> </w:t>
      </w:r>
    </w:p>
    <w:p w14:paraId="2B058937" w14:textId="18956B23" w:rsidR="00C13901" w:rsidRDefault="00C13901" w:rsidP="00C13901">
      <w:pPr>
        <w:pStyle w:val="Caption"/>
      </w:pPr>
      <w:bookmarkStart w:id="273" w:name="_Ref139548634"/>
      <w:bookmarkStart w:id="274" w:name="_Toc149245235"/>
      <w:r>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w:t>
      </w:r>
      <w:r>
        <w:fldChar w:fldCharType="end"/>
      </w:r>
      <w:bookmarkEnd w:id="273"/>
      <w:r>
        <w:t xml:space="preserve">: </w:t>
      </w:r>
      <w:r w:rsidRPr="006D2370">
        <w:t xml:space="preserve">Residential care provider liability types as a proportion of total assets, 2017-18 </w:t>
      </w:r>
      <w:r w:rsidR="00111995">
        <w:t xml:space="preserve">to </w:t>
      </w:r>
      <w:r w:rsidRPr="006D2370">
        <w:t>2021-22</w:t>
      </w:r>
      <w:bookmarkEnd w:id="274"/>
    </w:p>
    <w:p w14:paraId="7FED0F4B" w14:textId="7E8D7050" w:rsidR="00D54EB8" w:rsidRPr="00D54EB8" w:rsidRDefault="00800428" w:rsidP="00D54EB8">
      <w:r>
        <w:rPr>
          <w:noProof/>
        </w:rPr>
        <w:drawing>
          <wp:inline distT="0" distB="0" distL="0" distR="0" wp14:anchorId="4B446EA1" wp14:editId="2889F606">
            <wp:extent cx="6291580" cy="4133215"/>
            <wp:effectExtent l="0" t="0" r="0" b="635"/>
            <wp:docPr id="9" name="Picture 9" descr="Chart 4.1 is a clustered column chart titled Residential care provider liability types as a proportion of total assets, 2017-18 to 2021-22. Total liabilities increased to 85.4 per cent, up from 81.9 per cent the previous year. Net worth/equity was 14.6 per cent, a decrease from 18.1 per cent the previous year. A noticeable decrease in net worth/equity has occurred three years in a row after being around 24 to 25 per cent in previous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4.1 is a clustered column chart titled Residential care provider liability types as a proportion of total assets, 2017-18 to 2021-22. Total liabilities increased to 85.4 per cent, up from 81.9 per cent the previous year. Net worth/equity was 14.6 per cent, a decrease from 18.1 per cent the previous year. A noticeable decrease in net worth/equity has occurred three years in a row after being around 24 to 25 per cent in previous years.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91580" cy="4133215"/>
                    </a:xfrm>
                    <a:prstGeom prst="rect">
                      <a:avLst/>
                    </a:prstGeom>
                    <a:noFill/>
                  </pic:spPr>
                </pic:pic>
              </a:graphicData>
            </a:graphic>
          </wp:inline>
        </w:drawing>
      </w:r>
    </w:p>
    <w:p w14:paraId="05DE4C02" w14:textId="53624D2A" w:rsidR="00523F4F" w:rsidRDefault="00A749A4" w:rsidP="00523F4F">
      <w:r>
        <w:rPr>
          <w:b/>
          <w:bCs/>
          <w:sz w:val="28"/>
          <w:szCs w:val="28"/>
        </w:rPr>
        <w:t>Liabilities by ownership type</w:t>
      </w:r>
    </w:p>
    <w:p w14:paraId="3428F53C" w14:textId="7EE4FE41" w:rsidR="009D6ACD" w:rsidRDefault="00523F4F" w:rsidP="00072CCB">
      <w:r>
        <w:t xml:space="preserve">Chart 4.2 </w:t>
      </w:r>
      <w:r w:rsidR="00765D65" w:rsidRPr="00765D65">
        <w:t>shows the liabilities and net worth/equity as a proportion of total assets by ownership type for the last 3 years. The proportion of net worth/equity of not-for-profit providers was significantly higher</w:t>
      </w:r>
      <w:r w:rsidR="00765D65">
        <w:t xml:space="preserve"> </w:t>
      </w:r>
      <w:r w:rsidR="00765D65" w:rsidRPr="00765D65">
        <w:t>(between 2</w:t>
      </w:r>
      <w:r w:rsidR="001D6FDF">
        <w:t>2</w:t>
      </w:r>
      <w:r w:rsidR="00765D65" w:rsidRPr="00765D65">
        <w:t xml:space="preserve"> and 3</w:t>
      </w:r>
      <w:r w:rsidR="001D6FDF">
        <w:t>1</w:t>
      </w:r>
      <w:r w:rsidR="00765D65" w:rsidRPr="00765D65">
        <w:t xml:space="preserve"> per cent), compared with for-profit providers (between </w:t>
      </w:r>
      <w:r w:rsidR="001D6FDF">
        <w:t>2</w:t>
      </w:r>
      <w:r w:rsidR="00765D65" w:rsidRPr="00765D65">
        <w:t xml:space="preserve"> and </w:t>
      </w:r>
      <w:r w:rsidR="001D6FDF">
        <w:t>7</w:t>
      </w:r>
      <w:r w:rsidR="00765D65" w:rsidRPr="00765D65">
        <w:t xml:space="preserve"> per cent).</w:t>
      </w:r>
      <w:bookmarkStart w:id="275" w:name="_Ref139548839"/>
    </w:p>
    <w:p w14:paraId="15285127" w14:textId="77777777" w:rsidR="00072CCB" w:rsidRPr="008E2604" w:rsidRDefault="00072CCB" w:rsidP="008E2604">
      <w:r w:rsidRPr="008E2604">
        <w:br w:type="page"/>
      </w:r>
    </w:p>
    <w:p w14:paraId="38C97517" w14:textId="2B094382" w:rsidR="00B369AB" w:rsidRPr="00765D65" w:rsidRDefault="00B369AB" w:rsidP="00B369AB">
      <w:pPr>
        <w:pStyle w:val="Caption"/>
      </w:pPr>
      <w:bookmarkStart w:id="276" w:name="_Toc149245236"/>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2</w:t>
      </w:r>
      <w:r>
        <w:fldChar w:fldCharType="end"/>
      </w:r>
      <w:bookmarkEnd w:id="275"/>
      <w:r>
        <w:t xml:space="preserve">: </w:t>
      </w:r>
      <w:r w:rsidRPr="009D7711">
        <w:t>Liabilities and net worth as a proportion of total assets, by ownership type, 2019-20 to 2021-22</w:t>
      </w:r>
      <w:bookmarkEnd w:id="276"/>
    </w:p>
    <w:p w14:paraId="567FC98A" w14:textId="01A2B1E2" w:rsidR="00FD6D65" w:rsidRPr="008E2604" w:rsidRDefault="00FD6D65" w:rsidP="008E2604">
      <w:r w:rsidRPr="008E2604">
        <w:rPr>
          <w:noProof/>
        </w:rPr>
        <w:drawing>
          <wp:inline distT="0" distB="0" distL="0" distR="0" wp14:anchorId="40B763E3" wp14:editId="00257F08">
            <wp:extent cx="6281530" cy="3744852"/>
            <wp:effectExtent l="0" t="0" r="5080" b="8255"/>
            <wp:docPr id="554974773" name="Picture 554974773" descr="Chart 4.2 is a stacked column chart titled Liabilities and net worth as a proportion of total assets, by ownership type, 2019-20 to 2021-22. The proportion of net worth/equity of not-for-profit providers has been significantly higher (between 22 and 31 per cent), compared with for-profit providers (between 2 and 7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74773" name="Picture 554974773" descr="Chart 4.2 is a stacked column chart titled Liabilities and net worth as a proportion of total assets, by ownership type, 2019-20 to 2021-22. The proportion of net worth/equity of not-for-profit providers has been significantly higher (between 22 and 31 per cent), compared with for-profit providers (between 2 and 7 per cent).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85165" cy="3747019"/>
                    </a:xfrm>
                    <a:prstGeom prst="rect">
                      <a:avLst/>
                    </a:prstGeom>
                    <a:noFill/>
                    <a:ln>
                      <a:noFill/>
                    </a:ln>
                  </pic:spPr>
                </pic:pic>
              </a:graphicData>
            </a:graphic>
          </wp:inline>
        </w:drawing>
      </w:r>
    </w:p>
    <w:p w14:paraId="77061665" w14:textId="4771416C" w:rsidR="001C5D06" w:rsidRDefault="001C5D06" w:rsidP="001C5D06">
      <w:pPr>
        <w:rPr>
          <w:b/>
          <w:bCs/>
          <w:sz w:val="28"/>
          <w:szCs w:val="28"/>
        </w:rPr>
      </w:pPr>
      <w:r>
        <w:rPr>
          <w:b/>
          <w:bCs/>
          <w:sz w:val="28"/>
          <w:szCs w:val="28"/>
        </w:rPr>
        <w:t>Accommodation deposits</w:t>
      </w:r>
    </w:p>
    <w:p w14:paraId="309FDBEE" w14:textId="32ED121A" w:rsidR="00320A7E" w:rsidRPr="00296C16" w:rsidRDefault="00C94655" w:rsidP="00320A7E">
      <w:r>
        <w:fldChar w:fldCharType="begin"/>
      </w:r>
      <w:r>
        <w:instrText xml:space="preserve"> REF _Ref140661968 \h </w:instrText>
      </w:r>
      <w:r>
        <w:fldChar w:fldCharType="separate"/>
      </w:r>
      <w:r w:rsidR="00294B02">
        <w:t xml:space="preserve">Table </w:t>
      </w:r>
      <w:r w:rsidR="00294B02">
        <w:rPr>
          <w:noProof/>
        </w:rPr>
        <w:t>4</w:t>
      </w:r>
      <w:r w:rsidR="00294B02">
        <w:t>.</w:t>
      </w:r>
      <w:r w:rsidR="00294B02">
        <w:rPr>
          <w:noProof/>
        </w:rPr>
        <w:t>4</w:t>
      </w:r>
      <w:r>
        <w:fldChar w:fldCharType="end"/>
      </w:r>
      <w:r w:rsidR="00320A7E" w:rsidRPr="00296C16">
        <w:t xml:space="preserve"> shows the average value of RADs held by providers for the last </w:t>
      </w:r>
      <w:r w:rsidR="00455214" w:rsidRPr="00296C16">
        <w:t>5</w:t>
      </w:r>
      <w:r w:rsidR="00320A7E" w:rsidRPr="00296C16">
        <w:t xml:space="preserve"> years. The average value of RADs continued to increase each year. </w:t>
      </w:r>
      <w:proofErr w:type="gramStart"/>
      <w:r w:rsidR="00320A7E" w:rsidRPr="00296C16">
        <w:t>At</w:t>
      </w:r>
      <w:proofErr w:type="gramEnd"/>
      <w:r w:rsidR="00320A7E" w:rsidRPr="00296C16">
        <w:t xml:space="preserve"> 30 June 202</w:t>
      </w:r>
      <w:r w:rsidR="00455214" w:rsidRPr="00296C16">
        <w:t>2</w:t>
      </w:r>
      <w:r w:rsidR="00320A7E" w:rsidRPr="00296C16">
        <w:t xml:space="preserve">, there were </w:t>
      </w:r>
      <w:r w:rsidR="00BF464C" w:rsidRPr="00296C16">
        <w:t>100,010</w:t>
      </w:r>
      <w:r w:rsidR="00320A7E" w:rsidRPr="00296C16">
        <w:t xml:space="preserve"> RADs held across providers with an average value of $3</w:t>
      </w:r>
      <w:r w:rsidR="00455214" w:rsidRPr="00296C16">
        <w:t>50</w:t>
      </w:r>
      <w:r w:rsidR="00320A7E" w:rsidRPr="00296C16">
        <w:t>,000.</w:t>
      </w:r>
    </w:p>
    <w:p w14:paraId="54A66DF4" w14:textId="1F48BD8D" w:rsidR="00C00387" w:rsidRPr="00A07F1A" w:rsidRDefault="00587D71" w:rsidP="00587D71">
      <w:pPr>
        <w:pStyle w:val="Caption"/>
      </w:pPr>
      <w:bookmarkStart w:id="277" w:name="_Ref140661968"/>
      <w:bookmarkStart w:id="278" w:name="_Toc149245287"/>
      <w:r>
        <w:t xml:space="preserve">Table </w:t>
      </w:r>
      <w:r>
        <w:fldChar w:fldCharType="begin"/>
      </w:r>
      <w:r>
        <w:instrText>STYLEREF 1 \s</w:instrText>
      </w:r>
      <w:r>
        <w:fldChar w:fldCharType="separate"/>
      </w:r>
      <w:r w:rsidR="00294B02">
        <w:rPr>
          <w:noProof/>
        </w:rPr>
        <w:t>4</w:t>
      </w:r>
      <w:r>
        <w:fldChar w:fldCharType="end"/>
      </w:r>
      <w:r w:rsidR="002E758C">
        <w:t>.</w:t>
      </w:r>
      <w:r>
        <w:fldChar w:fldCharType="begin"/>
      </w:r>
      <w:r>
        <w:instrText>SEQ Table \* ARABIC \s 1</w:instrText>
      </w:r>
      <w:r>
        <w:fldChar w:fldCharType="separate"/>
      </w:r>
      <w:r w:rsidR="00294B02">
        <w:rPr>
          <w:noProof/>
        </w:rPr>
        <w:t>4</w:t>
      </w:r>
      <w:r>
        <w:fldChar w:fldCharType="end"/>
      </w:r>
      <w:bookmarkEnd w:id="277"/>
      <w:r w:rsidR="00FD6D65">
        <w:t>:</w:t>
      </w:r>
      <w:r>
        <w:t xml:space="preserve"> </w:t>
      </w:r>
      <w:r w:rsidRPr="001A7A0D">
        <w:t xml:space="preserve">Average value of RADs held by providers, </w:t>
      </w:r>
      <w:r w:rsidR="001C5D06" w:rsidRPr="00A64E96">
        <w:t>2017-18</w:t>
      </w:r>
      <w:r w:rsidRPr="00A64E96">
        <w:t xml:space="preserve"> to 2021-22</w:t>
      </w:r>
      <w:bookmarkEnd w:id="278"/>
    </w:p>
    <w:tbl>
      <w:tblPr>
        <w:tblStyle w:val="DepartmentofHealthtable"/>
        <w:tblW w:w="9070" w:type="dxa"/>
        <w:tblLook w:val="04A0" w:firstRow="1" w:lastRow="0" w:firstColumn="1" w:lastColumn="0" w:noHBand="0" w:noVBand="1"/>
      </w:tblPr>
      <w:tblGrid>
        <w:gridCol w:w="1474"/>
        <w:gridCol w:w="1692"/>
        <w:gridCol w:w="1476"/>
        <w:gridCol w:w="1476"/>
        <w:gridCol w:w="1476"/>
        <w:gridCol w:w="1476"/>
      </w:tblGrid>
      <w:tr w:rsidR="003F729C" w:rsidRPr="00A07F1A" w14:paraId="62C698BC" w14:textId="77777777" w:rsidTr="00AF0B29">
        <w:trPr>
          <w:cnfStyle w:val="100000000000" w:firstRow="1" w:lastRow="0" w:firstColumn="0" w:lastColumn="0" w:oddVBand="0" w:evenVBand="0" w:oddHBand="0"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474" w:type="dxa"/>
          </w:tcPr>
          <w:p w14:paraId="36A5159F" w14:textId="1E475D24" w:rsidR="003F729C" w:rsidRPr="00A07F1A" w:rsidRDefault="003F729C" w:rsidP="00A07F1A">
            <w:pPr>
              <w:pStyle w:val="TableHeaderWhite"/>
            </w:pPr>
            <w:r w:rsidRPr="00A07F1A">
              <w:t>Year</w:t>
            </w:r>
          </w:p>
        </w:tc>
        <w:tc>
          <w:tcPr>
            <w:tcW w:w="1692" w:type="dxa"/>
            <w:noWrap/>
            <w:hideMark/>
          </w:tcPr>
          <w:p w14:paraId="69161908" w14:textId="77777777" w:rsidR="003F729C" w:rsidRPr="00A07F1A" w:rsidRDefault="003F729C" w:rsidP="00A07F1A">
            <w:pPr>
              <w:pStyle w:val="TableHeaderWhite"/>
              <w:cnfStyle w:val="100000000000" w:firstRow="1" w:lastRow="0" w:firstColumn="0" w:lastColumn="0" w:oddVBand="0" w:evenVBand="0" w:oddHBand="0" w:evenHBand="0" w:firstRowFirstColumn="0" w:firstRowLastColumn="0" w:lastRowFirstColumn="0" w:lastRowLastColumn="0"/>
            </w:pPr>
            <w:r w:rsidRPr="00A07F1A">
              <w:t>2017-18</w:t>
            </w:r>
          </w:p>
        </w:tc>
        <w:tc>
          <w:tcPr>
            <w:tcW w:w="1476" w:type="dxa"/>
            <w:hideMark/>
          </w:tcPr>
          <w:p w14:paraId="0FCB250C" w14:textId="77777777" w:rsidR="003F729C" w:rsidRPr="00A07F1A" w:rsidRDefault="003F729C" w:rsidP="00A07F1A">
            <w:pPr>
              <w:pStyle w:val="TableHeaderWhite"/>
              <w:cnfStyle w:val="100000000000" w:firstRow="1" w:lastRow="0" w:firstColumn="0" w:lastColumn="0" w:oddVBand="0" w:evenVBand="0" w:oddHBand="0" w:evenHBand="0" w:firstRowFirstColumn="0" w:firstRowLastColumn="0" w:lastRowFirstColumn="0" w:lastRowLastColumn="0"/>
            </w:pPr>
            <w:r w:rsidRPr="00A07F1A">
              <w:t>2018-19</w:t>
            </w:r>
          </w:p>
        </w:tc>
        <w:tc>
          <w:tcPr>
            <w:tcW w:w="1476" w:type="dxa"/>
            <w:hideMark/>
          </w:tcPr>
          <w:p w14:paraId="7F58E85D" w14:textId="77777777" w:rsidR="003F729C" w:rsidRPr="00A07F1A" w:rsidRDefault="003F729C" w:rsidP="00A07F1A">
            <w:pPr>
              <w:pStyle w:val="TableHeaderWhite"/>
              <w:cnfStyle w:val="100000000000" w:firstRow="1" w:lastRow="0" w:firstColumn="0" w:lastColumn="0" w:oddVBand="0" w:evenVBand="0" w:oddHBand="0" w:evenHBand="0" w:firstRowFirstColumn="0" w:firstRowLastColumn="0" w:lastRowFirstColumn="0" w:lastRowLastColumn="0"/>
            </w:pPr>
            <w:r w:rsidRPr="00A07F1A">
              <w:t>2019-20</w:t>
            </w:r>
          </w:p>
        </w:tc>
        <w:tc>
          <w:tcPr>
            <w:tcW w:w="1476" w:type="dxa"/>
            <w:hideMark/>
          </w:tcPr>
          <w:p w14:paraId="10D74208" w14:textId="77777777" w:rsidR="003F729C" w:rsidRPr="00A07F1A" w:rsidRDefault="003F729C" w:rsidP="00A07F1A">
            <w:pPr>
              <w:pStyle w:val="TableHeaderWhite"/>
              <w:cnfStyle w:val="100000000000" w:firstRow="1" w:lastRow="0" w:firstColumn="0" w:lastColumn="0" w:oddVBand="0" w:evenVBand="0" w:oddHBand="0" w:evenHBand="0" w:firstRowFirstColumn="0" w:firstRowLastColumn="0" w:lastRowFirstColumn="0" w:lastRowLastColumn="0"/>
            </w:pPr>
            <w:r w:rsidRPr="00A07F1A">
              <w:t>2020-21</w:t>
            </w:r>
          </w:p>
        </w:tc>
        <w:tc>
          <w:tcPr>
            <w:tcW w:w="1476" w:type="dxa"/>
            <w:hideMark/>
          </w:tcPr>
          <w:p w14:paraId="2D0CE554" w14:textId="72A8AF90" w:rsidR="003F729C" w:rsidRPr="00A07F1A" w:rsidRDefault="003F729C" w:rsidP="00A07F1A">
            <w:pPr>
              <w:pStyle w:val="TableHeaderWhite"/>
              <w:cnfStyle w:val="100000000000" w:firstRow="1" w:lastRow="0" w:firstColumn="0" w:lastColumn="0" w:oddVBand="0" w:evenVBand="0" w:oddHBand="0" w:evenHBand="0" w:firstRowFirstColumn="0" w:firstRowLastColumn="0" w:lastRowFirstColumn="0" w:lastRowLastColumn="0"/>
            </w:pPr>
            <w:r w:rsidRPr="00A07F1A">
              <w:t>2021-22</w:t>
            </w:r>
          </w:p>
        </w:tc>
      </w:tr>
      <w:tr w:rsidR="003F729C" w:rsidRPr="00A07F1A" w14:paraId="48E008C6" w14:textId="77777777" w:rsidTr="00AF0B29">
        <w:trPr>
          <w:trHeight w:val="541"/>
        </w:trPr>
        <w:tc>
          <w:tcPr>
            <w:cnfStyle w:val="001000000000" w:firstRow="0" w:lastRow="0" w:firstColumn="1" w:lastColumn="0" w:oddVBand="0" w:evenVBand="0" w:oddHBand="0" w:evenHBand="0" w:firstRowFirstColumn="0" w:firstRowLastColumn="0" w:lastRowFirstColumn="0" w:lastRowLastColumn="0"/>
            <w:tcW w:w="1474" w:type="dxa"/>
          </w:tcPr>
          <w:p w14:paraId="16B1AE03" w14:textId="48146009" w:rsidR="003F729C" w:rsidRPr="00A07F1A" w:rsidRDefault="003F729C" w:rsidP="00AF0B29">
            <w:pPr>
              <w:pStyle w:val="TableofAuthorities"/>
            </w:pPr>
            <w:r w:rsidRPr="00A07F1A">
              <w:t>Average value of RAD</w:t>
            </w:r>
          </w:p>
        </w:tc>
        <w:tc>
          <w:tcPr>
            <w:tcW w:w="1692" w:type="dxa"/>
            <w:noWrap/>
            <w:hideMark/>
          </w:tcPr>
          <w:p w14:paraId="77DE609A" w14:textId="77777777" w:rsidR="003F729C" w:rsidRPr="00A07F1A" w:rsidRDefault="003F729C" w:rsidP="00AF0B29">
            <w:pPr>
              <w:pStyle w:val="TableofAuthorities"/>
              <w:cnfStyle w:val="000000000000" w:firstRow="0" w:lastRow="0" w:firstColumn="0" w:lastColumn="0" w:oddVBand="0" w:evenVBand="0" w:oddHBand="0" w:evenHBand="0" w:firstRowFirstColumn="0" w:firstRowLastColumn="0" w:lastRowFirstColumn="0" w:lastRowLastColumn="0"/>
            </w:pPr>
            <w:r w:rsidRPr="00A07F1A">
              <w:t xml:space="preserve">$303,000 </w:t>
            </w:r>
          </w:p>
        </w:tc>
        <w:tc>
          <w:tcPr>
            <w:tcW w:w="1476" w:type="dxa"/>
            <w:hideMark/>
          </w:tcPr>
          <w:p w14:paraId="292CDAE6" w14:textId="1310F99F" w:rsidR="003F729C" w:rsidRPr="00A07F1A" w:rsidRDefault="00B804FB" w:rsidP="00AF0B29">
            <w:pPr>
              <w:pStyle w:val="TableofAuthorities"/>
              <w:cnfStyle w:val="000000000000" w:firstRow="0" w:lastRow="0" w:firstColumn="0" w:lastColumn="0" w:oddVBand="0" w:evenVBand="0" w:oddHBand="0" w:evenHBand="0" w:firstRowFirstColumn="0" w:firstRowLastColumn="0" w:lastRowFirstColumn="0" w:lastRowLastColumn="0"/>
            </w:pPr>
            <w:r w:rsidRPr="00A07F1A">
              <w:t>$</w:t>
            </w:r>
            <w:r w:rsidR="003F729C" w:rsidRPr="00A07F1A">
              <w:t xml:space="preserve">318,000 </w:t>
            </w:r>
          </w:p>
        </w:tc>
        <w:tc>
          <w:tcPr>
            <w:tcW w:w="1476" w:type="dxa"/>
            <w:hideMark/>
          </w:tcPr>
          <w:p w14:paraId="38D67336" w14:textId="2C95CA6D" w:rsidR="003F729C" w:rsidRPr="00A07F1A" w:rsidRDefault="00B804FB" w:rsidP="00AF0B29">
            <w:pPr>
              <w:pStyle w:val="TableofAuthorities"/>
              <w:cnfStyle w:val="000000000000" w:firstRow="0" w:lastRow="0" w:firstColumn="0" w:lastColumn="0" w:oddVBand="0" w:evenVBand="0" w:oddHBand="0" w:evenHBand="0" w:firstRowFirstColumn="0" w:firstRowLastColumn="0" w:lastRowFirstColumn="0" w:lastRowLastColumn="0"/>
            </w:pPr>
            <w:r w:rsidRPr="00A07F1A">
              <w:t>$</w:t>
            </w:r>
            <w:r w:rsidR="003F729C" w:rsidRPr="00A07F1A">
              <w:t xml:space="preserve">334,000 </w:t>
            </w:r>
          </w:p>
        </w:tc>
        <w:tc>
          <w:tcPr>
            <w:tcW w:w="1476" w:type="dxa"/>
            <w:hideMark/>
          </w:tcPr>
          <w:p w14:paraId="160EA74D" w14:textId="3954C702" w:rsidR="003F729C" w:rsidRPr="00A07F1A" w:rsidRDefault="00B804FB" w:rsidP="00AF0B29">
            <w:pPr>
              <w:pStyle w:val="TableofAuthorities"/>
              <w:cnfStyle w:val="000000000000" w:firstRow="0" w:lastRow="0" w:firstColumn="0" w:lastColumn="0" w:oddVBand="0" w:evenVBand="0" w:oddHBand="0" w:evenHBand="0" w:firstRowFirstColumn="0" w:firstRowLastColumn="0" w:lastRowFirstColumn="0" w:lastRowLastColumn="0"/>
            </w:pPr>
            <w:r w:rsidRPr="00A07F1A">
              <w:t>$</w:t>
            </w:r>
            <w:r w:rsidR="003F729C" w:rsidRPr="00A07F1A">
              <w:t xml:space="preserve">344,000 </w:t>
            </w:r>
          </w:p>
        </w:tc>
        <w:tc>
          <w:tcPr>
            <w:tcW w:w="1476" w:type="dxa"/>
            <w:hideMark/>
          </w:tcPr>
          <w:p w14:paraId="4B34EFCA" w14:textId="65C438FD" w:rsidR="003F729C" w:rsidRPr="00A07F1A" w:rsidRDefault="00B804FB" w:rsidP="00AF0B29">
            <w:pPr>
              <w:pStyle w:val="TableofAuthorities"/>
              <w:cnfStyle w:val="000000000000" w:firstRow="0" w:lastRow="0" w:firstColumn="0" w:lastColumn="0" w:oddVBand="0" w:evenVBand="0" w:oddHBand="0" w:evenHBand="0" w:firstRowFirstColumn="0" w:firstRowLastColumn="0" w:lastRowFirstColumn="0" w:lastRowLastColumn="0"/>
            </w:pPr>
            <w:r w:rsidRPr="00A07F1A">
              <w:t>$</w:t>
            </w:r>
            <w:r w:rsidR="003F729C" w:rsidRPr="00A07F1A">
              <w:t xml:space="preserve">350,000 </w:t>
            </w:r>
          </w:p>
        </w:tc>
      </w:tr>
    </w:tbl>
    <w:p w14:paraId="72817489" w14:textId="41CB81A9" w:rsidR="00523F4F" w:rsidRPr="008E2604" w:rsidRDefault="00072CCB" w:rsidP="008E2604">
      <w:r w:rsidRPr="008E2604">
        <w:t>N</w:t>
      </w:r>
      <w:r w:rsidR="009C1090" w:rsidRPr="008E2604">
        <w:t>ote: The above calculation uses RADs from both residential aged care providers and multi</w:t>
      </w:r>
      <w:r w:rsidR="00CD5AA5" w:rsidRPr="008E2604">
        <w:t>-</w:t>
      </w:r>
      <w:r w:rsidR="009C1090" w:rsidRPr="008E2604">
        <w:t>purpose facilities</w:t>
      </w:r>
      <w:bookmarkStart w:id="279" w:name="_Ref136442800"/>
    </w:p>
    <w:p w14:paraId="42E2E204" w14:textId="531B9F89" w:rsidR="00C00387" w:rsidRPr="003B6366" w:rsidRDefault="00523F4F" w:rsidP="0008458A">
      <w:r>
        <w:t>Chart 4.3</w:t>
      </w:r>
      <w:r w:rsidR="0008458A">
        <w:t xml:space="preserve"> </w:t>
      </w:r>
      <w:r w:rsidR="0008458A" w:rsidRPr="003B6366">
        <w:t>shows the total pool of accommodation deposits held by providers since 2014</w:t>
      </w:r>
      <w:r w:rsidR="005B65DD">
        <w:t>-15</w:t>
      </w:r>
      <w:r w:rsidR="0008458A" w:rsidRPr="003B6366">
        <w:t xml:space="preserve">, as well as the number of deposits held. The total </w:t>
      </w:r>
      <w:r w:rsidR="004B065F">
        <w:t>va</w:t>
      </w:r>
      <w:r w:rsidR="004B065F" w:rsidRPr="003B6366">
        <w:t>l</w:t>
      </w:r>
      <w:r w:rsidR="004B065F">
        <w:t>ue</w:t>
      </w:r>
      <w:r w:rsidR="0008458A" w:rsidRPr="003B6366">
        <w:t xml:space="preserve"> of</w:t>
      </w:r>
      <w:r w:rsidR="005B65DD">
        <w:t xml:space="preserve"> </w:t>
      </w:r>
      <w:r w:rsidR="0008458A" w:rsidRPr="003B6366">
        <w:t>accommodation deposits held by providers continued</w:t>
      </w:r>
      <w:r w:rsidR="005B65DD">
        <w:t xml:space="preserve"> </w:t>
      </w:r>
      <w:r w:rsidR="0008458A" w:rsidRPr="003B6366">
        <w:t>to grow, from $18.21 billion in 2014–15 to $3</w:t>
      </w:r>
      <w:r w:rsidR="009E06B1">
        <w:t>5</w:t>
      </w:r>
      <w:r w:rsidR="0008458A" w:rsidRPr="003B6366">
        <w:t xml:space="preserve"> billion in 2021</w:t>
      </w:r>
      <w:r w:rsidR="009E06B1">
        <w:t>-22</w:t>
      </w:r>
      <w:r w:rsidR="0008458A" w:rsidRPr="003B6366">
        <w:t xml:space="preserve">. While the </w:t>
      </w:r>
      <w:r w:rsidR="004B065F">
        <w:t>value</w:t>
      </w:r>
      <w:r w:rsidR="0008458A" w:rsidRPr="003B6366">
        <w:t xml:space="preserve"> of accommodation deposits continued to grow, the number of accommodation deposits held plateaued.</w:t>
      </w:r>
    </w:p>
    <w:p w14:paraId="7F44BDD9" w14:textId="77777777" w:rsidR="00072CCB" w:rsidRPr="00A07F1A" w:rsidRDefault="00072CCB" w:rsidP="00A07F1A">
      <w:bookmarkStart w:id="280" w:name="_Ref139548922"/>
      <w:bookmarkEnd w:id="279"/>
      <w:r>
        <w:br w:type="page"/>
      </w:r>
    </w:p>
    <w:p w14:paraId="09C25ECC" w14:textId="41E6D3CC" w:rsidR="00B369AB" w:rsidRPr="003B6366" w:rsidRDefault="00B369AB" w:rsidP="00B369AB">
      <w:pPr>
        <w:pStyle w:val="Caption"/>
      </w:pPr>
      <w:bookmarkStart w:id="281" w:name="_Toc149245237"/>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3</w:t>
      </w:r>
      <w:r>
        <w:fldChar w:fldCharType="end"/>
      </w:r>
      <w:bookmarkEnd w:id="280"/>
      <w:r>
        <w:t xml:space="preserve">: </w:t>
      </w:r>
      <w:r w:rsidRPr="002D3127">
        <w:t>Total value and total number of accommodation deposits held, 2014-15 to 2021-22</w:t>
      </w:r>
      <w:bookmarkEnd w:id="281"/>
    </w:p>
    <w:p w14:paraId="5398875C" w14:textId="402DB312" w:rsidR="00BE6445" w:rsidRPr="003B6366" w:rsidRDefault="005A1CF7" w:rsidP="00CB73B9">
      <w:r>
        <w:rPr>
          <w:noProof/>
        </w:rPr>
        <w:drawing>
          <wp:inline distT="0" distB="0" distL="0" distR="0" wp14:anchorId="3D325E77" wp14:editId="39869B14">
            <wp:extent cx="6047740" cy="3017520"/>
            <wp:effectExtent l="0" t="0" r="0" b="0"/>
            <wp:docPr id="1773416576" name="Picture 1773416576" descr="Chart 4.3 is a combined column and line chart titled Total value and total number of accommodation deposits held, 2014-15 to 2021-22. The total pool of accommodation deposits held by providers continues to grow, from $18.21 billion in 2014-15 to $35 billion in 2021-22. However, the number of accommodation deposits held has plateau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76" name="Picture 1773416576" descr="Chart 4.3 is a combined column and line chart titled Total value and total number of accommodation deposits held, 2014-15 to 2021-22. The total pool of accommodation deposits held by providers continues to grow, from $18.21 billion in 2014-15 to $35 billion in 2021-22. However, the number of accommodation deposits held has plateaued.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47740" cy="3017520"/>
                    </a:xfrm>
                    <a:prstGeom prst="rect">
                      <a:avLst/>
                    </a:prstGeom>
                    <a:noFill/>
                  </pic:spPr>
                </pic:pic>
              </a:graphicData>
            </a:graphic>
          </wp:inline>
        </w:drawing>
      </w:r>
      <w:r w:rsidR="00CB73B9" w:rsidRPr="00CB73B9">
        <w:t>Chart 4.4</w:t>
      </w:r>
      <w:r w:rsidR="00E61CCF" w:rsidRPr="003B6366">
        <w:t xml:space="preserve"> </w:t>
      </w:r>
      <w:r w:rsidR="00BE6445" w:rsidRPr="003B6366">
        <w:t xml:space="preserve">shows </w:t>
      </w:r>
      <w:r w:rsidR="00537699">
        <w:t>the</w:t>
      </w:r>
      <w:r w:rsidR="004B065F">
        <w:t xml:space="preserve"> </w:t>
      </w:r>
      <w:r w:rsidR="00BE6445" w:rsidRPr="003B6366">
        <w:t>resident</w:t>
      </w:r>
      <w:r w:rsidR="004B065F">
        <w:t>s</w:t>
      </w:r>
      <w:r w:rsidR="00BE6445" w:rsidRPr="003B6366">
        <w:t xml:space="preserve"> method of accommodation payments for the last </w:t>
      </w:r>
      <w:r w:rsidR="00BE6445">
        <w:t>5</w:t>
      </w:r>
      <w:r w:rsidR="00BE6445" w:rsidRPr="003B6366">
        <w:t xml:space="preserve"> years. While the </w:t>
      </w:r>
      <w:r w:rsidR="004B065F">
        <w:t>value</w:t>
      </w:r>
      <w:r w:rsidR="00BE6445" w:rsidRPr="003B6366">
        <w:t xml:space="preserve"> of accommodation deposits continued to grow, there was a gradual trend away from RADs in favour of DAPs.</w:t>
      </w:r>
      <w:r w:rsidR="00826819">
        <w:t xml:space="preserve"> </w:t>
      </w:r>
    </w:p>
    <w:p w14:paraId="1D8DC3FE" w14:textId="69033732" w:rsidR="00BE6445" w:rsidRPr="003B6366" w:rsidRDefault="00BE6445" w:rsidP="00BE6445">
      <w:r w:rsidRPr="003B6366">
        <w:t xml:space="preserve">The proportion of residents choosing RAD/RACs steadily dropped from </w:t>
      </w:r>
      <w:r w:rsidR="00563DE5">
        <w:t>37</w:t>
      </w:r>
      <w:r w:rsidRPr="003B6366">
        <w:t xml:space="preserve"> per cent in 20</w:t>
      </w:r>
      <w:r w:rsidR="00563DE5">
        <w:t>17-18</w:t>
      </w:r>
      <w:r w:rsidRPr="003B6366">
        <w:t xml:space="preserve"> </w:t>
      </w:r>
      <w:r w:rsidR="00470816">
        <w:t xml:space="preserve">and </w:t>
      </w:r>
      <w:r w:rsidR="005207F9">
        <w:t xml:space="preserve">plateaued in 2020-21 and 2021-22 at 31 per cent. </w:t>
      </w:r>
    </w:p>
    <w:p w14:paraId="124399D3" w14:textId="17494893" w:rsidR="00C00387" w:rsidRDefault="00BE6445" w:rsidP="00BE6445">
      <w:r w:rsidRPr="003B6366">
        <w:t xml:space="preserve">The proportion of residents choosing DAP/DACs gradually increased from </w:t>
      </w:r>
      <w:r w:rsidR="005207F9">
        <w:t>40</w:t>
      </w:r>
      <w:r w:rsidRPr="003B6366">
        <w:t xml:space="preserve"> per cent in </w:t>
      </w:r>
      <w:r w:rsidR="005207F9">
        <w:t>20</w:t>
      </w:r>
      <w:r w:rsidR="003F25D8">
        <w:t>17-18</w:t>
      </w:r>
      <w:r w:rsidRPr="003B6366">
        <w:t xml:space="preserve"> to 4</w:t>
      </w:r>
      <w:r w:rsidR="003F25D8">
        <w:t>8</w:t>
      </w:r>
      <w:r w:rsidRPr="003B6366">
        <w:t xml:space="preserve"> per cent in 20</w:t>
      </w:r>
      <w:r w:rsidR="003F25D8">
        <w:t>21-22</w:t>
      </w:r>
      <w:r w:rsidRPr="003B6366">
        <w:t>.</w:t>
      </w:r>
      <w:r w:rsidRPr="003B6366" w:rsidDel="00E61CCF">
        <w:t xml:space="preserve"> </w:t>
      </w:r>
    </w:p>
    <w:p w14:paraId="3B63C76E" w14:textId="61F32EB1" w:rsidR="009D6ACD" w:rsidRDefault="00536CE5" w:rsidP="00072CCB">
      <w:r w:rsidRPr="004264AD">
        <w:t>The trend has been in favour of DAPs in recent years, as low interest rates, opportunity cost of capital gains on the family home and shorter expected length of stay on entry to residential aged care have all made DAPs relatively more appealing.</w:t>
      </w:r>
      <w:r>
        <w:t xml:space="preserve"> </w:t>
      </w:r>
      <w:r w:rsidR="00D80A07">
        <w:t>However, the M</w:t>
      </w:r>
      <w:r w:rsidR="00693D2A">
        <w:t xml:space="preserve">aximum Permissible </w:t>
      </w:r>
      <w:r w:rsidR="00D80A07">
        <w:t>I</w:t>
      </w:r>
      <w:r w:rsidR="00693D2A">
        <w:t xml:space="preserve">nterest </w:t>
      </w:r>
      <w:r w:rsidR="00D80A07">
        <w:t>R</w:t>
      </w:r>
      <w:r w:rsidR="00693D2A">
        <w:t>ate</w:t>
      </w:r>
      <w:r w:rsidR="00D80A07">
        <w:t xml:space="preserve"> has increased rapidly since June 2022, making DAPs significantly higher and less attractive than in 2021-22. Anecdotal evidence indicates that the trend in the declining use of RADs will reverse in 2022-23.</w:t>
      </w:r>
      <w:bookmarkStart w:id="282" w:name="_Ref139548964"/>
    </w:p>
    <w:p w14:paraId="1D49925C" w14:textId="761F8406" w:rsidR="00B369AB" w:rsidRPr="00BB271C" w:rsidRDefault="00B369AB" w:rsidP="00B369AB">
      <w:pPr>
        <w:pStyle w:val="Caption"/>
      </w:pPr>
      <w:bookmarkStart w:id="283" w:name="_Toc149245238"/>
      <w:r>
        <w:lastRenderedPageBreak/>
        <w:t xml:space="preserve">Chart </w:t>
      </w:r>
      <w:r>
        <w:fldChar w:fldCharType="begin"/>
      </w:r>
      <w:r>
        <w:instrText>STYLEREF 1 \s</w:instrText>
      </w:r>
      <w:r>
        <w:fldChar w:fldCharType="separate"/>
      </w:r>
      <w:r w:rsidR="00294B02">
        <w:rPr>
          <w:noProof/>
        </w:rPr>
        <w:t>4</w:t>
      </w:r>
      <w:r>
        <w:fldChar w:fldCharType="end"/>
      </w:r>
      <w:r w:rsidR="00434A28">
        <w:t>.</w:t>
      </w:r>
      <w:r>
        <w:fldChar w:fldCharType="begin"/>
      </w:r>
      <w:r>
        <w:instrText>SEQ Chart \* ARABIC \s 1</w:instrText>
      </w:r>
      <w:r>
        <w:fldChar w:fldCharType="separate"/>
      </w:r>
      <w:r w:rsidR="00294B02">
        <w:rPr>
          <w:noProof/>
        </w:rPr>
        <w:t>4</w:t>
      </w:r>
      <w:r>
        <w:fldChar w:fldCharType="end"/>
      </w:r>
      <w:bookmarkEnd w:id="282"/>
      <w:r>
        <w:t xml:space="preserve">: </w:t>
      </w:r>
      <w:r w:rsidRPr="00801F36">
        <w:t>Resident method of accommodation payment, 2017-18 to 2021-22</w:t>
      </w:r>
      <w:bookmarkEnd w:id="283"/>
    </w:p>
    <w:p w14:paraId="2F8D12A5" w14:textId="0FCD6985" w:rsidR="00CB73B9" w:rsidRPr="00A83D5A" w:rsidRDefault="002B1DF3" w:rsidP="00CB73B9">
      <w:r>
        <w:rPr>
          <w:noProof/>
        </w:rPr>
        <w:drawing>
          <wp:inline distT="0" distB="0" distL="0" distR="0" wp14:anchorId="0A7F445B" wp14:editId="1CB25D5A">
            <wp:extent cx="5736590" cy="3602990"/>
            <wp:effectExtent l="0" t="0" r="0" b="0"/>
            <wp:docPr id="36" name="Picture 36" descr="Chart 4.4 is a clustered column chart titled Resident method of accommodation payment, 2017-18 to 2021-22. The proportion of residents choosing RAD/RACs has steadily dropped from 37% in 2017-18 to 31% in 2020-21 and stabilised in 2021-22 at 31 per cent. The proportion of residents choosing DAP/ADCs has gradually increased from 40% in 2017-18 to 48%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4.4 is a clustered column chart titled Resident method of accommodation payment, 2017-18 to 2021-22. The proportion of residents choosing RAD/RACs has steadily dropped from 37% in 2017-18 to 31% in 2020-21 and stabilised in 2021-22 at 31 per cent. The proportion of residents choosing DAP/ADCs has gradually increased from 40% in 2017-18 to 48% in 2021-22.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6590" cy="3602990"/>
                    </a:xfrm>
                    <a:prstGeom prst="rect">
                      <a:avLst/>
                    </a:prstGeom>
                    <a:noFill/>
                  </pic:spPr>
                </pic:pic>
              </a:graphicData>
            </a:graphic>
          </wp:inline>
        </w:drawing>
      </w:r>
    </w:p>
    <w:p w14:paraId="2CB7F650" w14:textId="4D353717" w:rsidR="00515E41" w:rsidRPr="00A83D5A" w:rsidRDefault="00CB73B9" w:rsidP="00515E41">
      <w:r>
        <w:t xml:space="preserve">Chart 4.5 </w:t>
      </w:r>
      <w:r w:rsidR="00515E41" w:rsidRPr="00A83D5A">
        <w:t xml:space="preserve">shows resident choice of payment method by ownership type for the last </w:t>
      </w:r>
      <w:r w:rsidR="00515E41">
        <w:t>5</w:t>
      </w:r>
      <w:r w:rsidR="00515E41" w:rsidRPr="00A83D5A">
        <w:t xml:space="preserve"> years. The decrease in the proportion of RAD/RACs has been</w:t>
      </w:r>
      <w:r w:rsidR="00480BB6">
        <w:t xml:space="preserve"> </w:t>
      </w:r>
      <w:r w:rsidR="00515E41" w:rsidRPr="00A83D5A">
        <w:t xml:space="preserve">noticeable </w:t>
      </w:r>
      <w:r w:rsidR="00800458">
        <w:t>for not-for-profit providers</w:t>
      </w:r>
      <w:r w:rsidR="000A18A5">
        <w:t>, down from 34 per cent in</w:t>
      </w:r>
      <w:r w:rsidR="00A70E25">
        <w:t xml:space="preserve"> 2017-18 to 28 per cent in </w:t>
      </w:r>
      <w:r w:rsidR="001C22CA">
        <w:t>2021-22. However, there has be</w:t>
      </w:r>
      <w:r w:rsidR="00634187">
        <w:t>en</w:t>
      </w:r>
      <w:r w:rsidR="001C22CA">
        <w:t xml:space="preserve"> a slight increase on 2020-21, by 1 percentage point. </w:t>
      </w:r>
    </w:p>
    <w:p w14:paraId="01246A5D" w14:textId="436B40E5" w:rsidR="00636B1A" w:rsidRDefault="00515E41" w:rsidP="00636B1A">
      <w:r w:rsidRPr="00A83D5A">
        <w:t xml:space="preserve">The proportion of residents </w:t>
      </w:r>
      <w:r w:rsidR="00C21F4C">
        <w:t>in</w:t>
      </w:r>
      <w:r w:rsidR="00C21F4C" w:rsidRPr="00A83D5A">
        <w:t xml:space="preserve"> </w:t>
      </w:r>
      <w:r w:rsidRPr="00A83D5A">
        <w:t xml:space="preserve">for-profit providers choosing RAD/RACs has consistently been higher than the </w:t>
      </w:r>
      <w:r w:rsidR="00BE0FD7">
        <w:t>propo</w:t>
      </w:r>
      <w:r w:rsidR="00B04DA6">
        <w:t>rtion of</w:t>
      </w:r>
      <w:r w:rsidRPr="00A83D5A">
        <w:t xml:space="preserve"> </w:t>
      </w:r>
      <w:r w:rsidR="00BF3579">
        <w:t xml:space="preserve">residents </w:t>
      </w:r>
      <w:r w:rsidR="00D4686E">
        <w:t>in</w:t>
      </w:r>
      <w:r w:rsidR="00D4686E" w:rsidRPr="00A83D5A">
        <w:t xml:space="preserve"> </w:t>
      </w:r>
      <w:r w:rsidRPr="00A83D5A">
        <w:t>not-for-profits</w:t>
      </w:r>
      <w:r w:rsidR="00CB44CC">
        <w:t>. However,</w:t>
      </w:r>
      <w:r w:rsidR="001165CE">
        <w:t xml:space="preserve"> </w:t>
      </w:r>
      <w:r w:rsidR="003C0341">
        <w:t>RAD/RAC</w:t>
      </w:r>
      <w:r w:rsidR="00F87C36">
        <w:t xml:space="preserve"> take</w:t>
      </w:r>
      <w:r w:rsidR="00900CB2">
        <w:t xml:space="preserve"> </w:t>
      </w:r>
      <w:r w:rsidR="00F87C36">
        <w:t xml:space="preserve">up in </w:t>
      </w:r>
      <w:r w:rsidR="003C0341">
        <w:t>for-profit providers</w:t>
      </w:r>
      <w:r w:rsidRPr="00A83D5A">
        <w:t xml:space="preserve"> also steadily decreas</w:t>
      </w:r>
      <w:r w:rsidR="008A02D0">
        <w:t>ed</w:t>
      </w:r>
      <w:r w:rsidRPr="00A83D5A">
        <w:t>, dropping from 4</w:t>
      </w:r>
      <w:r w:rsidR="008A02D0">
        <w:t>3</w:t>
      </w:r>
      <w:r w:rsidRPr="00A83D5A">
        <w:t xml:space="preserve"> per cent in 20</w:t>
      </w:r>
      <w:r w:rsidR="008A02D0">
        <w:t>17-18</w:t>
      </w:r>
      <w:r w:rsidRPr="00A83D5A">
        <w:t xml:space="preserve"> to 3</w:t>
      </w:r>
      <w:r w:rsidR="008A02D0">
        <w:t>6</w:t>
      </w:r>
      <w:r w:rsidRPr="00A83D5A">
        <w:t xml:space="preserve"> per cent in 20</w:t>
      </w:r>
      <w:r w:rsidR="008A02D0">
        <w:t>21-22</w:t>
      </w:r>
      <w:r w:rsidR="00EF5E00">
        <w:t>.</w:t>
      </w:r>
      <w:r w:rsidR="00636B1A">
        <w:t xml:space="preserve"> </w:t>
      </w:r>
    </w:p>
    <w:p w14:paraId="07C1D75C" w14:textId="605D851D" w:rsidR="00B176AB" w:rsidRDefault="00636B1A" w:rsidP="00072CCB">
      <w:r>
        <w:t xml:space="preserve">Even though the proportion of new residents that </w:t>
      </w:r>
      <w:r w:rsidR="00D365D7">
        <w:t xml:space="preserve">chose </w:t>
      </w:r>
      <w:r>
        <w:t>to pay their accommodation deposit fully (100</w:t>
      </w:r>
      <w:r w:rsidR="006125A6">
        <w:t xml:space="preserve"> per cent</w:t>
      </w:r>
      <w:r>
        <w:t>) through a RAD</w:t>
      </w:r>
      <w:r w:rsidR="006A769F">
        <w:t xml:space="preserve"> decreased</w:t>
      </w:r>
      <w:r>
        <w:t>, more than 50 per cent of residents (52</w:t>
      </w:r>
      <w:r w:rsidR="006125A6">
        <w:t xml:space="preserve"> per cent</w:t>
      </w:r>
      <w:r>
        <w:t xml:space="preserve">) chose to pay for their accommodation by RAD either in full or in combination with a DAP. This means that the proportion of RADs to </w:t>
      </w:r>
      <w:r w:rsidR="00BD3E63">
        <w:t>the</w:t>
      </w:r>
      <w:r>
        <w:t xml:space="preserve"> total number of residents is increasing every year.</w:t>
      </w:r>
      <w:bookmarkStart w:id="284" w:name="_Ref139548994"/>
    </w:p>
    <w:p w14:paraId="3BE71377" w14:textId="2B6DCE4B" w:rsidR="009B1FEC" w:rsidRPr="009B1FEC" w:rsidRDefault="00B369AB" w:rsidP="00B176AB">
      <w:pPr>
        <w:pStyle w:val="Caption"/>
      </w:pPr>
      <w:bookmarkStart w:id="285" w:name="_Toc149245239"/>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5</w:t>
      </w:r>
      <w:r>
        <w:fldChar w:fldCharType="end"/>
      </w:r>
      <w:bookmarkEnd w:id="284"/>
      <w:r>
        <w:t xml:space="preserve">: </w:t>
      </w:r>
      <w:r w:rsidRPr="007165C9">
        <w:t>Resident choice of payment method, by ownership type, 2017-18 to 2021-22</w:t>
      </w:r>
      <w:bookmarkEnd w:id="285"/>
    </w:p>
    <w:p w14:paraId="4B635D6F" w14:textId="5E81A099" w:rsidR="00EA0D5A" w:rsidRPr="00A83D5A" w:rsidRDefault="008E5DA4" w:rsidP="00EA0D5A">
      <w:r>
        <w:rPr>
          <w:noProof/>
          <w:color w:val="FF0000"/>
        </w:rPr>
        <w:drawing>
          <wp:inline distT="0" distB="0" distL="0" distR="0" wp14:anchorId="2853B363" wp14:editId="58E55548">
            <wp:extent cx="5730875" cy="3596640"/>
            <wp:effectExtent l="0" t="0" r="3175" b="3810"/>
            <wp:docPr id="1338396931" name="Picture 1338396931" descr="Chart 4.5 is a stacked column chart titled Resident choice of payment method, by ownership type, 2017-18 to 2021-22. For for-profit providers, the proportion of residents choosing RAD/RACs has consistently been higher than the not-for-profits but has also steadily decreased, dropping from 43 per cent in 2017-18 to 36 per cent in 2021-22. Not-for-profit providers have dropped from 34 per cent in 2017-18 to 28 per cent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96931" name="Picture 1338396931" descr="Chart 4.5 is a stacked column chart titled Resident choice of payment method, by ownership type, 2017-18 to 2021-22. For for-profit providers, the proportion of residents choosing RAD/RACs has consistently been higher than the not-for-profits but has also steadily decreased, dropping from 43 per cent in 2017-18 to 36 per cent in 2021-22. Not-for-profit providers have dropped from 34 per cent in 2017-18 to 28 per cent in 2021-22.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0875" cy="3596640"/>
                    </a:xfrm>
                    <a:prstGeom prst="rect">
                      <a:avLst/>
                    </a:prstGeom>
                    <a:noFill/>
                  </pic:spPr>
                </pic:pic>
              </a:graphicData>
            </a:graphic>
          </wp:inline>
        </w:drawing>
      </w:r>
    </w:p>
    <w:p w14:paraId="1260FC19" w14:textId="0AFA40A9" w:rsidR="00235294" w:rsidRPr="008E2604" w:rsidRDefault="00000EB6" w:rsidP="008E2604">
      <w:r w:rsidRPr="008E2604">
        <w:t xml:space="preserve">Chart 4.6 </w:t>
      </w:r>
      <w:r w:rsidR="00235294" w:rsidRPr="008E2604">
        <w:t>shows resident choice of payment by location for the last 5 years. The proportion of RAD/RACs continued to drop in metropolitan areas, falling from 39 per cent in 2017-18 to 33 per cent in 2021-22.</w:t>
      </w:r>
    </w:p>
    <w:p w14:paraId="2DB41915" w14:textId="1852C651" w:rsidR="00235294" w:rsidRPr="00A83D5A" w:rsidRDefault="00235294" w:rsidP="00235294">
      <w:r w:rsidRPr="00A83D5A">
        <w:t xml:space="preserve">In regional areas, the proportion of RAD/RACs </w:t>
      </w:r>
      <w:r w:rsidR="00406EFE">
        <w:t>slightly increased</w:t>
      </w:r>
      <w:r w:rsidR="00507303">
        <w:t xml:space="preserve"> from 2020-21</w:t>
      </w:r>
      <w:r w:rsidR="00276FA1">
        <w:t xml:space="preserve"> (</w:t>
      </w:r>
      <w:r w:rsidR="00F20A6A">
        <w:t>29 per cent) to 2021-22 (30 per cent)</w:t>
      </w:r>
      <w:r w:rsidRPr="00A83D5A">
        <w:t xml:space="preserve">, however, </w:t>
      </w:r>
      <w:r w:rsidR="007D2B6C">
        <w:t>this</w:t>
      </w:r>
      <w:r w:rsidR="007D2B6C" w:rsidRPr="00A83D5A">
        <w:t xml:space="preserve"> </w:t>
      </w:r>
      <w:r w:rsidRPr="00A83D5A">
        <w:t>has decreased from 35 per cent in 20</w:t>
      </w:r>
      <w:r w:rsidR="00276FA1">
        <w:t>17-18</w:t>
      </w:r>
      <w:r w:rsidRPr="00A83D5A">
        <w:t xml:space="preserve"> to </w:t>
      </w:r>
      <w:r w:rsidR="00276FA1">
        <w:t>30</w:t>
      </w:r>
      <w:r w:rsidRPr="00A83D5A">
        <w:t xml:space="preserve"> per cent in 20</w:t>
      </w:r>
      <w:r w:rsidR="00774FB2">
        <w:t>21-</w:t>
      </w:r>
      <w:r w:rsidRPr="00A83D5A">
        <w:t>2</w:t>
      </w:r>
      <w:r w:rsidR="00774FB2">
        <w:t>2</w:t>
      </w:r>
      <w:r w:rsidR="00F77140">
        <w:t xml:space="preserve">. </w:t>
      </w:r>
    </w:p>
    <w:p w14:paraId="0E8F8626" w14:textId="3C7CEE24" w:rsidR="00072CCB" w:rsidRPr="008E2604" w:rsidRDefault="00235294" w:rsidP="008E2604">
      <w:r w:rsidRPr="00A83D5A">
        <w:t>In remote areas, the proportion of RAD/RACs dropped from 29 per cent in 20</w:t>
      </w:r>
      <w:r w:rsidR="00F20A6A">
        <w:t>17-18</w:t>
      </w:r>
      <w:r w:rsidRPr="00A83D5A">
        <w:t xml:space="preserve"> to 2</w:t>
      </w:r>
      <w:r w:rsidR="00F20A6A">
        <w:t>3</w:t>
      </w:r>
      <w:r w:rsidRPr="00A83D5A">
        <w:t xml:space="preserve"> per cent in 2021</w:t>
      </w:r>
      <w:r w:rsidR="00F20A6A">
        <w:t xml:space="preserve">-22. However, there was a slight increase on 2020-21 by </w:t>
      </w:r>
      <w:r w:rsidR="004242C8">
        <w:br/>
      </w:r>
      <w:r w:rsidR="00F20A6A">
        <w:t>1 percentage point.</w:t>
      </w:r>
      <w:bookmarkStart w:id="286" w:name="_Ref139549029"/>
      <w:r w:rsidR="00072CCB" w:rsidRPr="008E2604">
        <w:br w:type="page"/>
      </w:r>
    </w:p>
    <w:p w14:paraId="795AD209" w14:textId="586C60FB" w:rsidR="003B42A7" w:rsidRDefault="00990924" w:rsidP="00990924">
      <w:pPr>
        <w:pStyle w:val="Caption"/>
        <w:rPr>
          <w:color w:val="FF0000"/>
        </w:rPr>
      </w:pPr>
      <w:bookmarkStart w:id="287" w:name="_Toc149245240"/>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6</w:t>
      </w:r>
      <w:r>
        <w:fldChar w:fldCharType="end"/>
      </w:r>
      <w:bookmarkEnd w:id="286"/>
      <w:r w:rsidR="00B369AB">
        <w:t>:</w:t>
      </w:r>
      <w:r>
        <w:t xml:space="preserve"> </w:t>
      </w:r>
      <w:r w:rsidRPr="0069079B">
        <w:t xml:space="preserve">Resident choice of payment method, by location, </w:t>
      </w:r>
      <w:r w:rsidR="00CC05AA" w:rsidRPr="00A55FD4">
        <w:t>2017-18</w:t>
      </w:r>
      <w:r w:rsidRPr="00A55FD4">
        <w:t xml:space="preserve"> to 2021-22</w:t>
      </w:r>
      <w:bookmarkEnd w:id="287"/>
    </w:p>
    <w:p w14:paraId="4429092B" w14:textId="42363DA9" w:rsidR="00055F12" w:rsidRDefault="00055F12" w:rsidP="00C00387">
      <w:pPr>
        <w:rPr>
          <w:color w:val="FF0000"/>
        </w:rPr>
      </w:pPr>
      <w:r>
        <w:rPr>
          <w:noProof/>
          <w:color w:val="FF0000"/>
        </w:rPr>
        <w:drawing>
          <wp:inline distT="0" distB="0" distL="0" distR="0" wp14:anchorId="0C054FB7" wp14:editId="6164FE1F">
            <wp:extent cx="4947308" cy="3101788"/>
            <wp:effectExtent l="0" t="0" r="5715" b="3810"/>
            <wp:docPr id="41" name="Picture 41" descr="Chart 4.6 is a stacked column chart titled Resident choice of payment method, by location, 2017-18 to 2021-22. The proportion of RAD/RACs continued to drop in metropolitan areas, falling from 39 per cent in 2017-18 to 33 per cent in 2021-22. In regional areas, the proportion of RAD/RACs slightly increased on 2020-21, from 29 per cent to 30 per cent in 2021-22, however, it has decreased from 35 per cent in 2017-18. In remote areas, the proportion of RAD/RACs dropped from 29 per cent in 2017-18 to 23 per cent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4.6 is a stacked column chart titled Resident choice of payment method, by location, 2017-18 to 2021-22. The proportion of RAD/RACs continued to drop in metropolitan areas, falling from 39 per cent in 2017-18 to 33 per cent in 2021-22. In regional areas, the proportion of RAD/RACs slightly increased on 2020-21, from 29 per cent to 30 per cent in 2021-22, however, it has decreased from 35 per cent in 2017-18. In remote areas, the proportion of RAD/RACs dropped from 29 per cent in 2017-18 to 23 per cent in 2021-22.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60724" cy="3110199"/>
                    </a:xfrm>
                    <a:prstGeom prst="rect">
                      <a:avLst/>
                    </a:prstGeom>
                    <a:noFill/>
                  </pic:spPr>
                </pic:pic>
              </a:graphicData>
            </a:graphic>
          </wp:inline>
        </w:drawing>
      </w:r>
    </w:p>
    <w:p w14:paraId="28431911" w14:textId="270B3458" w:rsidR="00DB01D4" w:rsidRPr="00A83D5A" w:rsidRDefault="00B369AB" w:rsidP="00DB01D4">
      <w:r>
        <w:rPr>
          <w:b/>
          <w:bCs/>
          <w:szCs w:val="18"/>
        </w:rPr>
        <w:fldChar w:fldCharType="begin"/>
      </w:r>
      <w:r>
        <w:instrText xml:space="preserve"> REF _Ref139549065 \h </w:instrText>
      </w:r>
      <w:r>
        <w:rPr>
          <w:b/>
          <w:bCs/>
          <w:szCs w:val="18"/>
        </w:rPr>
      </w:r>
      <w:r>
        <w:rPr>
          <w:b/>
          <w:bCs/>
          <w:szCs w:val="18"/>
        </w:rPr>
        <w:fldChar w:fldCharType="separate"/>
      </w:r>
      <w:r w:rsidR="00294B02">
        <w:t xml:space="preserve">Chart </w:t>
      </w:r>
      <w:r w:rsidR="00294B02">
        <w:rPr>
          <w:noProof/>
        </w:rPr>
        <w:t>4</w:t>
      </w:r>
      <w:r w:rsidR="00294B02">
        <w:t>.</w:t>
      </w:r>
      <w:r w:rsidR="00294B02">
        <w:rPr>
          <w:noProof/>
        </w:rPr>
        <w:t>7</w:t>
      </w:r>
      <w:r>
        <w:fldChar w:fldCharType="end"/>
      </w:r>
      <w:r w:rsidR="00F20A6A">
        <w:t xml:space="preserve"> </w:t>
      </w:r>
      <w:r w:rsidR="00DB01D4" w:rsidRPr="00A83D5A">
        <w:t>shows resident choice of payment method by partially supported and non-supported residents for the last 5 years.</w:t>
      </w:r>
    </w:p>
    <w:p w14:paraId="31255C12" w14:textId="3AC96E22" w:rsidR="00DB01D4" w:rsidRPr="00A83D5A" w:rsidRDefault="00DB01D4" w:rsidP="00DB01D4">
      <w:r w:rsidRPr="00A83D5A">
        <w:t xml:space="preserve">There continued to be a </w:t>
      </w:r>
      <w:r>
        <w:t>large d</w:t>
      </w:r>
      <w:r w:rsidRPr="00A83D5A">
        <w:t>ifference in</w:t>
      </w:r>
      <w:r>
        <w:t xml:space="preserve"> residents</w:t>
      </w:r>
      <w:r w:rsidR="004242C8">
        <w:t>’</w:t>
      </w:r>
      <w:r w:rsidRPr="00A83D5A">
        <w:t xml:space="preserve"> payment preference between non-supported residents and partially supported residents.</w:t>
      </w:r>
    </w:p>
    <w:p w14:paraId="0C77422D" w14:textId="2DF83A0B" w:rsidR="00DB01D4" w:rsidRPr="00A83D5A" w:rsidRDefault="00DB01D4" w:rsidP="00DB01D4">
      <w:r w:rsidRPr="00A83D5A">
        <w:t>In 2021</w:t>
      </w:r>
      <w:r>
        <w:t>-22</w:t>
      </w:r>
      <w:r w:rsidRPr="00A83D5A">
        <w:t xml:space="preserve">, 39 per cent of non-supported residents chose to pay their accommodation payment by a RAD/RAC, whereas only </w:t>
      </w:r>
      <w:r>
        <w:t>4</w:t>
      </w:r>
      <w:r w:rsidRPr="00A83D5A">
        <w:t xml:space="preserve"> per cent of partially supported residents chose this option.</w:t>
      </w:r>
    </w:p>
    <w:p w14:paraId="16D876CC" w14:textId="6AF78F32" w:rsidR="000C46DB" w:rsidRPr="00AF0B29" w:rsidRDefault="00B369AB" w:rsidP="00B176AB">
      <w:pPr>
        <w:pStyle w:val="Caption"/>
      </w:pPr>
      <w:bookmarkStart w:id="288" w:name="_Ref139549065"/>
      <w:bookmarkStart w:id="289" w:name="_Toc149245241"/>
      <w:r>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7</w:t>
      </w:r>
      <w:r>
        <w:fldChar w:fldCharType="end"/>
      </w:r>
      <w:bookmarkEnd w:id="288"/>
      <w:r>
        <w:t xml:space="preserve">: </w:t>
      </w:r>
      <w:r w:rsidRPr="00A06D84">
        <w:t>Resident choice of payment method, by partially supported and non-supported residents, 2017-18 to 2021-22</w:t>
      </w:r>
      <w:bookmarkEnd w:id="289"/>
    </w:p>
    <w:p w14:paraId="53B9676F" w14:textId="312EA5CD" w:rsidR="008E41E6" w:rsidRPr="00AF0B29" w:rsidRDefault="00A85A79" w:rsidP="00AF0B29">
      <w:r>
        <w:rPr>
          <w:noProof/>
          <w:color w:val="FF0000"/>
        </w:rPr>
        <w:drawing>
          <wp:inline distT="0" distB="0" distL="0" distR="0" wp14:anchorId="73063284" wp14:editId="6BDFC2DE">
            <wp:extent cx="4333002" cy="2724150"/>
            <wp:effectExtent l="0" t="0" r="0" b="0"/>
            <wp:docPr id="45" name="Picture 45" descr="Chart 4.7 is a stacked column chart titled Resident choice of payment method, by partially supported and non-supported residents, 2017-18 to 2021-22. In 2021-22, 39 per cent of non-supported residents chose to pay their accommodation payment by a RAD/RAC whereas only 5 per cent of partially supported residents chose this option. The proportion of non-supported residents paying a RAD/RAC has also been decreased over the 5 years, from 45 per cent in 2017-18 to 39 per cent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4.7 is a stacked column chart titled Resident choice of payment method, by partially supported and non-supported residents, 2017-18 to 2021-22. In 2021-22, 39 per cent of non-supported residents chose to pay their accommodation payment by a RAD/RAC whereas only 5 per cent of partially supported residents chose this option. The proportion of non-supported residents paying a RAD/RAC has also been decreased over the 5 years, from 45 per cent in 2017-18 to 39 per cent in 2021-22.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69935" cy="2747370"/>
                    </a:xfrm>
                    <a:prstGeom prst="rect">
                      <a:avLst/>
                    </a:prstGeom>
                    <a:noFill/>
                  </pic:spPr>
                </pic:pic>
              </a:graphicData>
            </a:graphic>
          </wp:inline>
        </w:drawing>
      </w:r>
    </w:p>
    <w:p w14:paraId="47864014" w14:textId="77777777" w:rsidR="00294B02" w:rsidRDefault="001500DC" w:rsidP="00AF0B29">
      <w:pPr>
        <w:pStyle w:val="Heading3"/>
      </w:pPr>
      <w:r w:rsidRPr="007E42AC">
        <w:lastRenderedPageBreak/>
        <w:t>Accommodation deposit prices</w:t>
      </w:r>
      <w:r w:rsidR="000257A4" w:rsidRPr="00F353F2">
        <w:fldChar w:fldCharType="begin"/>
      </w:r>
      <w:r w:rsidR="000257A4" w:rsidRPr="00F353F2">
        <w:instrText xml:space="preserve"> REF _Ref139549120 \h </w:instrText>
      </w:r>
      <w:r w:rsidR="00514D38" w:rsidRPr="00F353F2">
        <w:instrText xml:space="preserve"> \* MERGEFORMAT </w:instrText>
      </w:r>
      <w:r w:rsidR="000257A4" w:rsidRPr="00F353F2">
        <w:fldChar w:fldCharType="separate"/>
      </w:r>
    </w:p>
    <w:p w14:paraId="1558BF19" w14:textId="4FBC71F6" w:rsidR="004F12BD" w:rsidRPr="00514D38" w:rsidRDefault="00294B02" w:rsidP="00514D38">
      <w:pPr>
        <w:pStyle w:val="Caption"/>
        <w:rPr>
          <w:b w:val="0"/>
          <w:bCs w:val="0"/>
          <w:szCs w:val="24"/>
        </w:rPr>
      </w:pPr>
      <w:r w:rsidRPr="00294B02">
        <w:rPr>
          <w:b w:val="0"/>
          <w:bCs w:val="0"/>
          <w:szCs w:val="24"/>
        </w:rPr>
        <w:t xml:space="preserve">Chart </w:t>
      </w:r>
      <w:r w:rsidRPr="00294B02">
        <w:rPr>
          <w:b w:val="0"/>
          <w:bCs w:val="0"/>
          <w:noProof/>
        </w:rPr>
        <w:t>4.8</w:t>
      </w:r>
      <w:r w:rsidR="000257A4" w:rsidRPr="00F353F2">
        <w:rPr>
          <w:b w:val="0"/>
          <w:bCs w:val="0"/>
          <w:szCs w:val="24"/>
        </w:rPr>
        <w:fldChar w:fldCharType="end"/>
      </w:r>
      <w:r w:rsidR="00CD4BFC" w:rsidRPr="00F353F2">
        <w:rPr>
          <w:b w:val="0"/>
          <w:bCs w:val="0"/>
          <w:szCs w:val="24"/>
        </w:rPr>
        <w:t xml:space="preserve"> shows</w:t>
      </w:r>
      <w:r w:rsidR="00CD4BFC" w:rsidRPr="00514D38">
        <w:rPr>
          <w:b w:val="0"/>
          <w:bCs w:val="0"/>
          <w:szCs w:val="24"/>
        </w:rPr>
        <w:t xml:space="preserve"> average agreed and published accommodation prices by ownership type for the last </w:t>
      </w:r>
      <w:r w:rsidR="000B6E51" w:rsidRPr="00514D38">
        <w:rPr>
          <w:b w:val="0"/>
          <w:bCs w:val="0"/>
          <w:szCs w:val="24"/>
        </w:rPr>
        <w:t>7</w:t>
      </w:r>
      <w:r w:rsidR="00CD4BFC" w:rsidRPr="00514D38">
        <w:rPr>
          <w:b w:val="0"/>
          <w:bCs w:val="0"/>
          <w:szCs w:val="24"/>
        </w:rPr>
        <w:t xml:space="preserve"> years. </w:t>
      </w:r>
      <w:r w:rsidR="00540B21" w:rsidRPr="00514D38">
        <w:rPr>
          <w:b w:val="0"/>
          <w:bCs w:val="0"/>
          <w:szCs w:val="24"/>
        </w:rPr>
        <w:t xml:space="preserve">Published prices </w:t>
      </w:r>
      <w:r w:rsidR="00124EDF" w:rsidRPr="00514D38">
        <w:rPr>
          <w:b w:val="0"/>
          <w:bCs w:val="0"/>
          <w:szCs w:val="24"/>
        </w:rPr>
        <w:t>are</w:t>
      </w:r>
      <w:r w:rsidR="00C931F6" w:rsidRPr="00514D38">
        <w:rPr>
          <w:b w:val="0"/>
          <w:bCs w:val="0"/>
          <w:szCs w:val="24"/>
        </w:rPr>
        <w:t xml:space="preserve"> the price advertised by the provider. </w:t>
      </w:r>
      <w:r w:rsidR="00BE20E3" w:rsidRPr="00514D38">
        <w:rPr>
          <w:b w:val="0"/>
          <w:bCs w:val="0"/>
          <w:szCs w:val="24"/>
        </w:rPr>
        <w:t>Residents</w:t>
      </w:r>
      <w:r w:rsidR="00C931F6" w:rsidRPr="00514D38">
        <w:rPr>
          <w:b w:val="0"/>
          <w:bCs w:val="0"/>
          <w:szCs w:val="24"/>
        </w:rPr>
        <w:t xml:space="preserve"> can negotiate</w:t>
      </w:r>
      <w:r w:rsidR="006C228A" w:rsidRPr="00514D38">
        <w:rPr>
          <w:b w:val="0"/>
          <w:bCs w:val="0"/>
          <w:szCs w:val="24"/>
        </w:rPr>
        <w:t xml:space="preserve"> </w:t>
      </w:r>
      <w:r w:rsidR="00121FB5" w:rsidRPr="00514D38">
        <w:rPr>
          <w:b w:val="0"/>
          <w:bCs w:val="0"/>
          <w:szCs w:val="24"/>
        </w:rPr>
        <w:t xml:space="preserve">accommodation prices </w:t>
      </w:r>
      <w:r w:rsidR="00C931F6" w:rsidRPr="00514D38">
        <w:rPr>
          <w:b w:val="0"/>
          <w:bCs w:val="0"/>
          <w:szCs w:val="24"/>
        </w:rPr>
        <w:t>with their provider</w:t>
      </w:r>
      <w:r w:rsidR="006C228A" w:rsidRPr="00514D38">
        <w:rPr>
          <w:b w:val="0"/>
          <w:bCs w:val="0"/>
          <w:szCs w:val="24"/>
        </w:rPr>
        <w:t xml:space="preserve"> and the subsequent outcome is the agreed price.</w:t>
      </w:r>
      <w:r w:rsidR="00CC527F" w:rsidRPr="00514D38">
        <w:rPr>
          <w:b w:val="0"/>
          <w:bCs w:val="0"/>
          <w:szCs w:val="24"/>
        </w:rPr>
        <w:t xml:space="preserve"> </w:t>
      </w:r>
      <w:r w:rsidR="00CD4BFC" w:rsidRPr="00514D38">
        <w:rPr>
          <w:b w:val="0"/>
          <w:bCs w:val="0"/>
          <w:szCs w:val="24"/>
        </w:rPr>
        <w:t xml:space="preserve">This data includes RADs, DAPs and combination payments and covers the price of a residential care room, not the method of payment. </w:t>
      </w:r>
      <w:r w:rsidR="00164121" w:rsidRPr="00514D38">
        <w:rPr>
          <w:b w:val="0"/>
          <w:bCs w:val="0"/>
          <w:szCs w:val="24"/>
        </w:rPr>
        <w:t>For-profit providers have consistently higher published and agreed prices than not-for-profit providers.</w:t>
      </w:r>
      <w:r w:rsidR="00537699" w:rsidRPr="00514D38">
        <w:rPr>
          <w:b w:val="0"/>
          <w:bCs w:val="0"/>
          <w:szCs w:val="24"/>
        </w:rPr>
        <w:t xml:space="preserve"> </w:t>
      </w:r>
      <w:r w:rsidR="00164121" w:rsidRPr="00514D38">
        <w:rPr>
          <w:b w:val="0"/>
          <w:bCs w:val="0"/>
          <w:szCs w:val="24"/>
        </w:rPr>
        <w:t>However, a</w:t>
      </w:r>
      <w:r w:rsidR="00CD4BFC" w:rsidRPr="00514D38">
        <w:rPr>
          <w:b w:val="0"/>
          <w:bCs w:val="0"/>
          <w:szCs w:val="24"/>
        </w:rPr>
        <w:t xml:space="preserve">greed prices for </w:t>
      </w:r>
      <w:r w:rsidR="002954EF" w:rsidRPr="00514D38">
        <w:rPr>
          <w:b w:val="0"/>
          <w:bCs w:val="0"/>
          <w:szCs w:val="24"/>
        </w:rPr>
        <w:t>both</w:t>
      </w:r>
      <w:r w:rsidR="00CD4BFC" w:rsidRPr="00514D38">
        <w:rPr>
          <w:b w:val="0"/>
          <w:bCs w:val="0"/>
          <w:szCs w:val="24"/>
        </w:rPr>
        <w:t xml:space="preserve"> for-profit and not-for-profit providers are consistently lower than the published prices. </w:t>
      </w:r>
    </w:p>
    <w:p w14:paraId="79E40D77" w14:textId="22DBB095" w:rsidR="00723708" w:rsidRDefault="00012F0C" w:rsidP="004335F3">
      <w:r>
        <w:t>T</w:t>
      </w:r>
      <w:r w:rsidR="0032565A">
        <w:t xml:space="preserve">he Aged Care Pricing Commissioner </w:t>
      </w:r>
      <w:r w:rsidR="00C900C1">
        <w:t xml:space="preserve">(IHACPA from 2023-24) </w:t>
      </w:r>
      <w:r w:rsidR="00A5010F">
        <w:t xml:space="preserve">publish a schedule of fees </w:t>
      </w:r>
      <w:r w:rsidR="00C900C1">
        <w:t>throughout the year which determines a maximum amount a provider can charge for a RAD</w:t>
      </w:r>
      <w:r w:rsidR="005E5FAD">
        <w:t xml:space="preserve">. </w:t>
      </w:r>
      <w:r w:rsidR="004553DE">
        <w:t>In 2021-22, t</w:t>
      </w:r>
      <w:r w:rsidR="005E5FAD">
        <w:t xml:space="preserve">he maximum </w:t>
      </w:r>
      <w:r w:rsidR="002E4DC7">
        <w:t xml:space="preserve">RAD a provider could charge without </w:t>
      </w:r>
      <w:r w:rsidR="006F491B">
        <w:t xml:space="preserve">prior approval from the Aged Care Pricing Commission </w:t>
      </w:r>
      <w:r w:rsidR="004553DE">
        <w:t>was $550,000.</w:t>
      </w:r>
    </w:p>
    <w:p w14:paraId="2ECDA9B9" w14:textId="0746A4C6" w:rsidR="00B176AB" w:rsidRDefault="00723708" w:rsidP="00514D38">
      <w:r>
        <w:t>T</w:t>
      </w:r>
      <w:r w:rsidR="00CD4BFC" w:rsidRPr="00B730B2">
        <w:t xml:space="preserve">he overall average agreed price for the sector was </w:t>
      </w:r>
      <w:r w:rsidR="6220D0C0" w:rsidRPr="00B730B2">
        <w:t>$413,000 and the overall average published price for the sector was $466,000,</w:t>
      </w:r>
      <w:r w:rsidR="00CD4BFC" w:rsidRPr="00B730B2">
        <w:t xml:space="preserve"> around $</w:t>
      </w:r>
      <w:r w:rsidR="00F63455" w:rsidRPr="00B730B2">
        <w:t>53</w:t>
      </w:r>
      <w:r w:rsidR="00CD4BFC" w:rsidRPr="00B730B2">
        <w:t xml:space="preserve">,000 </w:t>
      </w:r>
      <w:r w:rsidR="00C36E66" w:rsidRPr="00B730B2">
        <w:t>more</w:t>
      </w:r>
      <w:r w:rsidR="05956972" w:rsidRPr="00B730B2">
        <w:t>.</w:t>
      </w:r>
      <w:r w:rsidR="00CD4BFC" w:rsidRPr="00B730B2">
        <w:t xml:space="preserve"> </w:t>
      </w:r>
      <w:r w:rsidR="007739C8" w:rsidRPr="00B730B2">
        <w:t>In 2021-22, f</w:t>
      </w:r>
      <w:r w:rsidR="00772717" w:rsidRPr="00B730B2">
        <w:t>or-profit provider</w:t>
      </w:r>
      <w:r w:rsidR="00676264" w:rsidRPr="00B730B2">
        <w:t xml:space="preserve"> agree</w:t>
      </w:r>
      <w:r w:rsidR="007739C8" w:rsidRPr="00B730B2">
        <w:t xml:space="preserve">d </w:t>
      </w:r>
      <w:r w:rsidR="000D67C8" w:rsidRPr="00B730B2">
        <w:t xml:space="preserve">accommodation </w:t>
      </w:r>
      <w:r w:rsidR="007739C8" w:rsidRPr="00B730B2">
        <w:t xml:space="preserve">prices were </w:t>
      </w:r>
      <w:r w:rsidR="00D46EFA" w:rsidRPr="00B730B2">
        <w:t>$426,000</w:t>
      </w:r>
      <w:r w:rsidR="00A32560">
        <w:t xml:space="preserve"> on average</w:t>
      </w:r>
      <w:r w:rsidR="00300121" w:rsidRPr="00B730B2">
        <w:t>, compared with</w:t>
      </w:r>
      <w:r w:rsidR="000D67C8" w:rsidRPr="00B730B2">
        <w:t xml:space="preserve"> the published accommodation prices that were </w:t>
      </w:r>
      <w:r w:rsidR="00C81895" w:rsidRPr="00B730B2">
        <w:t>$500,000</w:t>
      </w:r>
      <w:r w:rsidR="00CB3833">
        <w:t xml:space="preserve"> on average</w:t>
      </w:r>
      <w:r w:rsidR="00C81895" w:rsidRPr="00B730B2">
        <w:t>. Not-for-profit providers agree</w:t>
      </w:r>
      <w:r w:rsidR="00CB3833">
        <w:t>d</w:t>
      </w:r>
      <w:r w:rsidR="00C81895" w:rsidRPr="00B730B2">
        <w:t xml:space="preserve"> accommodation prices in 2021-22 were </w:t>
      </w:r>
      <w:r w:rsidR="00FD1E27" w:rsidRPr="00B730B2">
        <w:t>$411,000</w:t>
      </w:r>
      <w:r w:rsidR="00CB3833">
        <w:t xml:space="preserve"> on average</w:t>
      </w:r>
      <w:r w:rsidR="00FD1E27" w:rsidRPr="00B730B2">
        <w:t xml:space="preserve">, compared with the published prices of </w:t>
      </w:r>
      <w:r w:rsidR="00696078" w:rsidRPr="00B730B2">
        <w:t>$457,000</w:t>
      </w:r>
      <w:r w:rsidR="00D03475">
        <w:t xml:space="preserve"> on average</w:t>
      </w:r>
      <w:r w:rsidR="00696078" w:rsidRPr="00B730B2">
        <w:t xml:space="preserve">. </w:t>
      </w:r>
      <w:r w:rsidR="00E722B8">
        <w:t>This shows that providers are consistently charging less for their rooms</w:t>
      </w:r>
      <w:r w:rsidR="00623CC9">
        <w:t xml:space="preserve"> than their advertised accommodation prices</w:t>
      </w:r>
      <w:r w:rsidR="006C228A">
        <w:t xml:space="preserve"> likely due to the provider and </w:t>
      </w:r>
      <w:r w:rsidR="00BE20E3">
        <w:t>residents</w:t>
      </w:r>
      <w:r w:rsidR="000257A4">
        <w:t xml:space="preserve"> </w:t>
      </w:r>
      <w:r w:rsidR="008C3101">
        <w:t>negotiating</w:t>
      </w:r>
      <w:r w:rsidR="00EE7B83">
        <w:t xml:space="preserve"> </w:t>
      </w:r>
      <w:r w:rsidR="006C228A">
        <w:t>a lower price</w:t>
      </w:r>
      <w:r w:rsidR="00623CC9">
        <w:t>.</w:t>
      </w:r>
      <w:bookmarkStart w:id="290" w:name="_Ref139549120"/>
    </w:p>
    <w:p w14:paraId="36B11DC0" w14:textId="72AC73C7" w:rsidR="004335F3" w:rsidRPr="00EA1BF0" w:rsidRDefault="000257A4" w:rsidP="000257A4">
      <w:pPr>
        <w:pStyle w:val="Caption"/>
      </w:pPr>
      <w:bookmarkStart w:id="291" w:name="_Toc149245242"/>
      <w:r>
        <w:t xml:space="preserve">Chart </w:t>
      </w:r>
      <w:r>
        <w:fldChar w:fldCharType="begin"/>
      </w:r>
      <w:r>
        <w:instrText>STYLEREF 1 \s</w:instrText>
      </w:r>
      <w:r>
        <w:fldChar w:fldCharType="separate"/>
      </w:r>
      <w:r w:rsidR="00294B02">
        <w:rPr>
          <w:noProof/>
        </w:rPr>
        <w:t>4</w:t>
      </w:r>
      <w:r>
        <w:fldChar w:fldCharType="end"/>
      </w:r>
      <w:r w:rsidR="00434A28">
        <w:t>.</w:t>
      </w:r>
      <w:r>
        <w:fldChar w:fldCharType="begin"/>
      </w:r>
      <w:r>
        <w:instrText>SEQ Chart \* ARABIC \s 1</w:instrText>
      </w:r>
      <w:r>
        <w:fldChar w:fldCharType="separate"/>
      </w:r>
      <w:r w:rsidR="00294B02">
        <w:rPr>
          <w:noProof/>
        </w:rPr>
        <w:t>8</w:t>
      </w:r>
      <w:r>
        <w:fldChar w:fldCharType="end"/>
      </w:r>
      <w:bookmarkEnd w:id="290"/>
      <w:r>
        <w:t xml:space="preserve">: </w:t>
      </w:r>
      <w:r w:rsidRPr="00341904">
        <w:t>Average agreed and published accommodation prices (lump sum equivalent), by ownership type, 2015-16 to 2021-22</w:t>
      </w:r>
      <w:bookmarkEnd w:id="291"/>
      <w:r w:rsidR="00623CC9">
        <w:t xml:space="preserve"> </w:t>
      </w:r>
    </w:p>
    <w:p w14:paraId="7C4D5D33" w14:textId="503B1FC4" w:rsidR="009171C7" w:rsidRPr="00AF0B29" w:rsidRDefault="007E2460" w:rsidP="00AF0B29">
      <w:r>
        <w:rPr>
          <w:noProof/>
          <w:color w:val="FF0000"/>
        </w:rPr>
        <w:drawing>
          <wp:inline distT="0" distB="0" distL="0" distR="0" wp14:anchorId="467D6D70" wp14:editId="0E5C57FF">
            <wp:extent cx="5242560" cy="3060673"/>
            <wp:effectExtent l="0" t="0" r="0" b="6985"/>
            <wp:docPr id="1773416581" name="Picture 1773416581" descr="Chart 4.8 is a line chart titled Average agreed and published accommodation prices (lump sum equivalent), by ownership type, 2015-16 to 2021-22. The agreed prices for the for-profit and not-for-profit providers are consistently lower than the published prices. For-profit providers have consistently higher published and agreed prices than not-for-profit providers. In 2021-22, the overall average agreed price for the sector was around $53,000 less than the average published pr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81" name="Picture 1773416581" descr="Chart 4.8 is a line chart titled Average agreed and published accommodation prices (lump sum equivalent), by ownership type, 2015-16 to 2021-22. The agreed prices for the for-profit and not-for-profit providers are consistently lower than the published prices. For-profit providers have consistently higher published and agreed prices than not-for-profit providers. In 2021-22, the overall average agreed price for the sector was around $53,000 less than the average published price.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7712" cy="3081195"/>
                    </a:xfrm>
                    <a:prstGeom prst="rect">
                      <a:avLst/>
                    </a:prstGeom>
                    <a:noFill/>
                  </pic:spPr>
                </pic:pic>
              </a:graphicData>
            </a:graphic>
          </wp:inline>
        </w:drawing>
      </w:r>
    </w:p>
    <w:p w14:paraId="0ABE8EA5" w14:textId="15FE47C3" w:rsidR="009A2CA6" w:rsidRPr="00EA1BF0" w:rsidRDefault="00AD0737" w:rsidP="004335F3">
      <w:r>
        <w:lastRenderedPageBreak/>
        <w:fldChar w:fldCharType="begin"/>
      </w:r>
      <w:r>
        <w:instrText xml:space="preserve"> REF _Ref139549161 \h </w:instrText>
      </w:r>
      <w:r>
        <w:fldChar w:fldCharType="separate"/>
      </w:r>
      <w:r w:rsidR="00294B02">
        <w:t xml:space="preserve">Chart </w:t>
      </w:r>
      <w:r w:rsidR="00294B02">
        <w:rPr>
          <w:noProof/>
        </w:rPr>
        <w:t>4</w:t>
      </w:r>
      <w:r w:rsidR="00294B02">
        <w:t>.</w:t>
      </w:r>
      <w:r w:rsidR="00294B02">
        <w:rPr>
          <w:noProof/>
        </w:rPr>
        <w:t>9</w:t>
      </w:r>
      <w:r>
        <w:fldChar w:fldCharType="end"/>
      </w:r>
      <w:r w:rsidR="009A2CA6">
        <w:t xml:space="preserve"> </w:t>
      </w:r>
      <w:r w:rsidR="004335F3">
        <w:t xml:space="preserve">shows average agreed and published accommodation prices by location for the last </w:t>
      </w:r>
      <w:r w:rsidR="00DE4CDA">
        <w:t>7</w:t>
      </w:r>
      <w:r w:rsidR="004335F3">
        <w:t> years. As has been the case in previous years, the average published and agreed price in metropolitan areas was significantly higher than in regional and remote areas.</w:t>
      </w:r>
      <w:r w:rsidR="00EA1BF0">
        <w:t xml:space="preserve"> </w:t>
      </w:r>
      <w:r w:rsidR="00081D6C">
        <w:t xml:space="preserve">In 2021-22, the </w:t>
      </w:r>
      <w:r w:rsidR="00525E68">
        <w:t xml:space="preserve">average published </w:t>
      </w:r>
      <w:r w:rsidR="000D74B9">
        <w:t>price for metropolitan</w:t>
      </w:r>
      <w:r w:rsidR="00081803">
        <w:t xml:space="preserve"> areas</w:t>
      </w:r>
      <w:r w:rsidR="000D74B9">
        <w:t xml:space="preserve"> </w:t>
      </w:r>
      <w:r w:rsidR="0049582E">
        <w:t>was</w:t>
      </w:r>
      <w:r w:rsidR="000D74B9">
        <w:t xml:space="preserve"> </w:t>
      </w:r>
      <w:r w:rsidR="00D320A1">
        <w:t>$505,000</w:t>
      </w:r>
      <w:r w:rsidR="00F270E1">
        <w:t xml:space="preserve">, and the average agreed price </w:t>
      </w:r>
      <w:r w:rsidR="00ED72C6">
        <w:t>was</w:t>
      </w:r>
      <w:r w:rsidR="00F270E1">
        <w:t xml:space="preserve"> </w:t>
      </w:r>
      <w:r w:rsidR="00354E87">
        <w:t xml:space="preserve">$445,000. </w:t>
      </w:r>
      <w:r w:rsidR="00D85548">
        <w:t>For regional</w:t>
      </w:r>
      <w:r w:rsidR="00081803">
        <w:t xml:space="preserve"> areas</w:t>
      </w:r>
      <w:r w:rsidR="00D85548">
        <w:t xml:space="preserve">, the average published price </w:t>
      </w:r>
      <w:r w:rsidR="00FE3536">
        <w:t>was</w:t>
      </w:r>
      <w:r w:rsidR="00D85548">
        <w:t xml:space="preserve"> </w:t>
      </w:r>
      <w:r w:rsidR="00E5380F">
        <w:t xml:space="preserve">$383,000, and the agreed price </w:t>
      </w:r>
      <w:r w:rsidR="00FE3536">
        <w:t>was</w:t>
      </w:r>
      <w:r w:rsidR="00E5380F">
        <w:t xml:space="preserve"> $</w:t>
      </w:r>
      <w:r w:rsidR="009A4472">
        <w:t xml:space="preserve">344,000. </w:t>
      </w:r>
      <w:r w:rsidR="00D73C35">
        <w:t>F</w:t>
      </w:r>
      <w:r w:rsidR="00281FA5">
        <w:t>or</w:t>
      </w:r>
      <w:r w:rsidR="00081803">
        <w:t xml:space="preserve"> remote </w:t>
      </w:r>
      <w:r w:rsidR="00281FA5">
        <w:t xml:space="preserve">areas the average published price </w:t>
      </w:r>
      <w:r w:rsidR="00D73C35">
        <w:t>was</w:t>
      </w:r>
      <w:r w:rsidR="00281FA5">
        <w:t xml:space="preserve"> $</w:t>
      </w:r>
      <w:r w:rsidR="0022343D">
        <w:t xml:space="preserve">316,000, and the average agreed price was </w:t>
      </w:r>
      <w:r w:rsidR="0049582E">
        <w:t xml:space="preserve">$280,000. </w:t>
      </w:r>
    </w:p>
    <w:p w14:paraId="7D931BB0" w14:textId="3A16E92C" w:rsidR="00AD0737" w:rsidRPr="00EA1BF0" w:rsidRDefault="00AD0737" w:rsidP="00AD0737">
      <w:pPr>
        <w:pStyle w:val="Caption"/>
      </w:pPr>
      <w:bookmarkStart w:id="292" w:name="_Ref139549161"/>
      <w:bookmarkStart w:id="293" w:name="_Toc149245243"/>
      <w:r>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9</w:t>
      </w:r>
      <w:r>
        <w:fldChar w:fldCharType="end"/>
      </w:r>
      <w:bookmarkEnd w:id="292"/>
      <w:r>
        <w:t xml:space="preserve">: </w:t>
      </w:r>
      <w:r w:rsidRPr="00992609">
        <w:t>Average agreed and published accommodation prices (lump sum equivalent), by location, 2015-16 to 2021-22</w:t>
      </w:r>
      <w:bookmarkEnd w:id="293"/>
    </w:p>
    <w:p w14:paraId="4AF44799" w14:textId="7CC7FBE1" w:rsidR="00F2789A" w:rsidRDefault="00571C8A" w:rsidP="00571C8A">
      <w:r>
        <w:rPr>
          <w:noProof/>
        </w:rPr>
        <w:drawing>
          <wp:inline distT="0" distB="0" distL="0" distR="0" wp14:anchorId="709E5ED6" wp14:editId="1E58EF87">
            <wp:extent cx="6010910" cy="3481070"/>
            <wp:effectExtent l="0" t="0" r="8890" b="5080"/>
            <wp:docPr id="1773416582" name="Picture 1773416582" descr="Chart 4.9 is a line chart titled Average agreed and published accommodation prices (lump sum equivalent), by location, 2015-16 to 2021-22. A continuing trend where the average published and agreed price in metropolitan areas was significantly higher than in regional are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82" name="Picture 1773416582" descr="Chart 4.9 is a line chart titled Average agreed and published accommodation prices (lump sum equivalent), by location, 2015-16 to 2021-22. A continuing trend where the average published and agreed price in metropolitan areas was significantly higher than in regional areas.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10910" cy="3481070"/>
                    </a:xfrm>
                    <a:prstGeom prst="rect">
                      <a:avLst/>
                    </a:prstGeom>
                    <a:noFill/>
                  </pic:spPr>
                </pic:pic>
              </a:graphicData>
            </a:graphic>
          </wp:inline>
        </w:drawing>
      </w:r>
    </w:p>
    <w:p w14:paraId="4BC04531" w14:textId="202AD05F" w:rsidR="001E410B" w:rsidRDefault="00385356" w:rsidP="001E410B">
      <w:r w:rsidRPr="007E42AC">
        <w:rPr>
          <w:b/>
          <w:sz w:val="28"/>
          <w:szCs w:val="28"/>
        </w:rPr>
        <w:t>Balance sheet p</w:t>
      </w:r>
      <w:r w:rsidR="00CC05AA" w:rsidRPr="007E42AC">
        <w:rPr>
          <w:b/>
          <w:sz w:val="28"/>
          <w:szCs w:val="28"/>
        </w:rPr>
        <w:t>erformance ratios</w:t>
      </w:r>
    </w:p>
    <w:p w14:paraId="584A13AD" w14:textId="77777777" w:rsidR="00294B02" w:rsidRDefault="004E1C9D" w:rsidP="009D6ACD">
      <w:r>
        <w:t>Balance</w:t>
      </w:r>
      <w:r>
        <w:rPr>
          <w:spacing w:val="-9"/>
        </w:rPr>
        <w:t xml:space="preserve"> </w:t>
      </w:r>
      <w:r>
        <w:t>sheet</w:t>
      </w:r>
      <w:r>
        <w:rPr>
          <w:spacing w:val="-9"/>
        </w:rPr>
        <w:t xml:space="preserve"> </w:t>
      </w:r>
      <w:r>
        <w:t>ratios</w:t>
      </w:r>
      <w:r>
        <w:rPr>
          <w:spacing w:val="-9"/>
        </w:rPr>
        <w:t xml:space="preserve"> </w:t>
      </w:r>
      <w:r>
        <w:t>provide</w:t>
      </w:r>
      <w:r>
        <w:rPr>
          <w:spacing w:val="-9"/>
        </w:rPr>
        <w:t xml:space="preserve"> </w:t>
      </w:r>
      <w:r>
        <w:t>a</w:t>
      </w:r>
      <w:r>
        <w:rPr>
          <w:spacing w:val="-9"/>
        </w:rPr>
        <w:t xml:space="preserve"> </w:t>
      </w:r>
      <w:r>
        <w:t>guide</w:t>
      </w:r>
      <w:r>
        <w:rPr>
          <w:spacing w:val="-9"/>
        </w:rPr>
        <w:t xml:space="preserve"> </w:t>
      </w:r>
      <w:r>
        <w:t>as</w:t>
      </w:r>
      <w:r>
        <w:rPr>
          <w:spacing w:val="-9"/>
        </w:rPr>
        <w:t xml:space="preserve"> </w:t>
      </w:r>
      <w:r>
        <w:t>to</w:t>
      </w:r>
      <w:r>
        <w:rPr>
          <w:spacing w:val="-9"/>
        </w:rPr>
        <w:t xml:space="preserve"> </w:t>
      </w:r>
      <w:r>
        <w:t>the</w:t>
      </w:r>
      <w:r>
        <w:rPr>
          <w:spacing w:val="-9"/>
        </w:rPr>
        <w:t xml:space="preserve"> </w:t>
      </w:r>
      <w:r>
        <w:t xml:space="preserve">financial health of providers through an analysis of their profitability, </w:t>
      </w:r>
      <w:proofErr w:type="gramStart"/>
      <w:r>
        <w:t>liquidity</w:t>
      </w:r>
      <w:proofErr w:type="gramEnd"/>
      <w:r>
        <w:t xml:space="preserve"> and efficiency as well as their net</w:t>
      </w:r>
      <w:r>
        <w:rPr>
          <w:spacing w:val="-9"/>
        </w:rPr>
        <w:t xml:space="preserve"> </w:t>
      </w:r>
      <w:r>
        <w:t>worth.</w:t>
      </w:r>
      <w:r>
        <w:rPr>
          <w:spacing w:val="-9"/>
        </w:rPr>
        <w:t xml:space="preserve"> </w:t>
      </w:r>
      <w:r>
        <w:t>Definitions</w:t>
      </w:r>
      <w:r>
        <w:rPr>
          <w:spacing w:val="-9"/>
        </w:rPr>
        <w:t xml:space="preserve"> </w:t>
      </w:r>
      <w:r>
        <w:t>for</w:t>
      </w:r>
      <w:r>
        <w:rPr>
          <w:spacing w:val="-9"/>
        </w:rPr>
        <w:t xml:space="preserve"> </w:t>
      </w:r>
      <w:r>
        <w:t>the</w:t>
      </w:r>
      <w:r>
        <w:rPr>
          <w:spacing w:val="-9"/>
        </w:rPr>
        <w:t xml:space="preserve"> </w:t>
      </w:r>
      <w:r>
        <w:t>balance</w:t>
      </w:r>
      <w:r>
        <w:rPr>
          <w:spacing w:val="-9"/>
        </w:rPr>
        <w:t xml:space="preserve"> </w:t>
      </w:r>
      <w:r>
        <w:t>sheet</w:t>
      </w:r>
      <w:r>
        <w:rPr>
          <w:spacing w:val="-9"/>
        </w:rPr>
        <w:t xml:space="preserve"> </w:t>
      </w:r>
      <w:r>
        <w:t>ratios</w:t>
      </w:r>
      <w:r>
        <w:rPr>
          <w:spacing w:val="-9"/>
        </w:rPr>
        <w:t xml:space="preserve"> </w:t>
      </w:r>
      <w:r>
        <w:t>are included within the Glossary.</w:t>
      </w:r>
      <w:r w:rsidR="00AD0737">
        <w:rPr>
          <w:color w:val="FF0000"/>
        </w:rPr>
        <w:fldChar w:fldCharType="begin"/>
      </w:r>
      <w:r w:rsidR="00AD0737">
        <w:rPr>
          <w:color w:val="FF0000"/>
        </w:rPr>
        <w:instrText xml:space="preserve"> REF _Ref139549191 \h </w:instrText>
      </w:r>
      <w:r w:rsidR="00AD0737">
        <w:rPr>
          <w:color w:val="FF0000"/>
        </w:rPr>
      </w:r>
      <w:r w:rsidR="00AD0737">
        <w:rPr>
          <w:color w:val="FF0000"/>
        </w:rPr>
        <w:fldChar w:fldCharType="separate"/>
      </w:r>
    </w:p>
    <w:p w14:paraId="284EBF06" w14:textId="6BAE09A1" w:rsidR="001E410B" w:rsidRPr="00F674D9" w:rsidRDefault="00294B02" w:rsidP="001E410B">
      <w:r>
        <w:t xml:space="preserve">Chart </w:t>
      </w:r>
      <w:r>
        <w:rPr>
          <w:noProof/>
        </w:rPr>
        <w:t>4</w:t>
      </w:r>
      <w:r>
        <w:t>.</w:t>
      </w:r>
      <w:r>
        <w:rPr>
          <w:noProof/>
        </w:rPr>
        <w:t>10</w:t>
      </w:r>
      <w:r w:rsidR="00AD0737">
        <w:rPr>
          <w:color w:val="FF0000"/>
        </w:rPr>
        <w:fldChar w:fldCharType="end"/>
      </w:r>
      <w:r w:rsidR="007E5EF7">
        <w:rPr>
          <w:color w:val="FF0000"/>
        </w:rPr>
        <w:t xml:space="preserve"> </w:t>
      </w:r>
      <w:r w:rsidR="001E410B" w:rsidRPr="00F674D9">
        <w:t xml:space="preserve">shows earnings before interest, tax, </w:t>
      </w:r>
      <w:proofErr w:type="gramStart"/>
      <w:r w:rsidR="001E410B" w:rsidRPr="00F674D9">
        <w:t>depreciation</w:t>
      </w:r>
      <w:proofErr w:type="gramEnd"/>
      <w:r w:rsidR="001E410B" w:rsidRPr="00F674D9">
        <w:t xml:space="preserve"> and amortisation (EBITDA) to total assets by provider ownership type for the last 5 years.</w:t>
      </w:r>
    </w:p>
    <w:p w14:paraId="3DF40715" w14:textId="0E95BC0C" w:rsidR="001E410B" w:rsidRPr="00F674D9" w:rsidRDefault="001E410B" w:rsidP="001E410B">
      <w:r w:rsidRPr="00F674D9">
        <w:t>The EBITDA to total assets trended downwards in recent years, falling for the whole sector from</w:t>
      </w:r>
      <w:r w:rsidR="000D54FF">
        <w:t xml:space="preserve"> </w:t>
      </w:r>
      <w:r w:rsidR="00995BB1">
        <w:t>3.3</w:t>
      </w:r>
      <w:r w:rsidRPr="00F674D9">
        <w:t xml:space="preserve"> per cent in 20</w:t>
      </w:r>
      <w:r w:rsidR="000D54FF">
        <w:t>17-18</w:t>
      </w:r>
      <w:r w:rsidRPr="00F674D9">
        <w:t xml:space="preserve"> to </w:t>
      </w:r>
      <w:r w:rsidR="000D54FF">
        <w:t>0</w:t>
      </w:r>
      <w:r w:rsidRPr="00F674D9">
        <w:t xml:space="preserve"> per cent in 2021</w:t>
      </w:r>
      <w:r w:rsidR="000D54FF">
        <w:t>-22</w:t>
      </w:r>
      <w:r w:rsidRPr="00F674D9">
        <w:t>.</w:t>
      </w:r>
      <w:r w:rsidR="002B1421">
        <w:t xml:space="preserve"> </w:t>
      </w:r>
      <w:r w:rsidR="00D36121">
        <w:t>The EBITDA to total assets ratio measures how efficiently a provider is generating EBITDA</w:t>
      </w:r>
      <w:r w:rsidR="00795510">
        <w:t xml:space="preserve">; a ratio of </w:t>
      </w:r>
      <w:r w:rsidR="00FD6063">
        <w:br/>
      </w:r>
      <w:r w:rsidR="00795510">
        <w:t xml:space="preserve">0 </w:t>
      </w:r>
      <w:r w:rsidR="005A17B1">
        <w:t xml:space="preserve">per </w:t>
      </w:r>
      <w:r w:rsidR="005E7717">
        <w:t>cent</w:t>
      </w:r>
      <w:r w:rsidR="00795510">
        <w:t xml:space="preserve"> means they are generating no EBITDA return</w:t>
      </w:r>
      <w:r w:rsidR="00C9228B">
        <w:t>.</w:t>
      </w:r>
      <w:r w:rsidR="00AD07A8">
        <w:t xml:space="preserve"> </w:t>
      </w:r>
    </w:p>
    <w:p w14:paraId="5346787D" w14:textId="073E72D4" w:rsidR="009D6ACD" w:rsidRDefault="001E410B" w:rsidP="009D6ACD">
      <w:r w:rsidRPr="00F674D9">
        <w:t xml:space="preserve">In terms of ownership, for-profit providers dropped to </w:t>
      </w:r>
      <w:r w:rsidR="000D54FF">
        <w:t>0.8</w:t>
      </w:r>
      <w:r w:rsidRPr="00F674D9">
        <w:t xml:space="preserve"> per cent in 2021</w:t>
      </w:r>
      <w:r w:rsidR="000D54FF">
        <w:t>-22</w:t>
      </w:r>
      <w:r w:rsidRPr="00F674D9">
        <w:t xml:space="preserve">, down from </w:t>
      </w:r>
      <w:r w:rsidR="000D54FF">
        <w:t>1.5</w:t>
      </w:r>
      <w:r w:rsidRPr="00F674D9">
        <w:t xml:space="preserve"> per cent</w:t>
      </w:r>
      <w:r>
        <w:t xml:space="preserve"> </w:t>
      </w:r>
      <w:r w:rsidRPr="00F674D9">
        <w:t>in 2020</w:t>
      </w:r>
      <w:r w:rsidR="000D54FF">
        <w:t>-21</w:t>
      </w:r>
      <w:r w:rsidRPr="00F674D9">
        <w:t>, and down from 4 per cent in 2017</w:t>
      </w:r>
      <w:r w:rsidR="00DD18E1">
        <w:t>-18</w:t>
      </w:r>
      <w:r w:rsidRPr="00F674D9">
        <w:t xml:space="preserve">. The decline was </w:t>
      </w:r>
      <w:r w:rsidRPr="00F674D9">
        <w:lastRenderedPageBreak/>
        <w:t xml:space="preserve">even greater for not-for-profit providers, down to </w:t>
      </w:r>
      <w:r w:rsidR="003122A8">
        <w:t>negative 0.5</w:t>
      </w:r>
      <w:r w:rsidRPr="00F674D9">
        <w:t xml:space="preserve"> per cent in 202</w:t>
      </w:r>
      <w:r w:rsidR="003122A8">
        <w:t>1</w:t>
      </w:r>
      <w:r w:rsidRPr="00F674D9">
        <w:t>–2</w:t>
      </w:r>
      <w:r w:rsidR="003122A8">
        <w:t>2</w:t>
      </w:r>
      <w:r w:rsidRPr="00F674D9">
        <w:t>, fro</w:t>
      </w:r>
      <w:r>
        <w:t>m</w:t>
      </w:r>
      <w:r w:rsidR="003122A8">
        <w:t xml:space="preserve"> 1.4</w:t>
      </w:r>
      <w:r w:rsidRPr="00F674D9">
        <w:t xml:space="preserve"> per cent in 2020</w:t>
      </w:r>
      <w:r w:rsidR="003122A8">
        <w:t>-21</w:t>
      </w:r>
      <w:r w:rsidRPr="00F674D9">
        <w:t xml:space="preserve"> and </w:t>
      </w:r>
      <w:r w:rsidR="003122A8">
        <w:t>3.1</w:t>
      </w:r>
      <w:r w:rsidRPr="00F674D9">
        <w:t xml:space="preserve"> per cent in 2017</w:t>
      </w:r>
      <w:r w:rsidR="003122A8">
        <w:t>-18</w:t>
      </w:r>
      <w:r w:rsidRPr="00F674D9">
        <w:t>.</w:t>
      </w:r>
      <w:bookmarkStart w:id="294" w:name="_Ref139549191"/>
    </w:p>
    <w:p w14:paraId="4A6C5767" w14:textId="05CDBDED" w:rsidR="00AD0737" w:rsidRDefault="00AD0737" w:rsidP="00AD0737">
      <w:pPr>
        <w:pStyle w:val="Caption"/>
      </w:pPr>
      <w:bookmarkStart w:id="295" w:name="_Toc149245244"/>
      <w:r>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10</w:t>
      </w:r>
      <w:r>
        <w:fldChar w:fldCharType="end"/>
      </w:r>
      <w:bookmarkEnd w:id="294"/>
      <w:r>
        <w:t xml:space="preserve">: </w:t>
      </w:r>
      <w:r w:rsidRPr="00617BE7">
        <w:t>EBITDA to total assets, by ownership type, 2017-18 to 2021-22</w:t>
      </w:r>
      <w:bookmarkEnd w:id="295"/>
    </w:p>
    <w:p w14:paraId="7A0353B2" w14:textId="01C7F394" w:rsidR="00197493" w:rsidRDefault="006616C4" w:rsidP="00D00455">
      <w:r>
        <w:rPr>
          <w:noProof/>
        </w:rPr>
        <w:drawing>
          <wp:inline distT="0" distB="0" distL="0" distR="0" wp14:anchorId="6B3F989E" wp14:editId="6B5BAF8E">
            <wp:extent cx="5736590" cy="3602990"/>
            <wp:effectExtent l="0" t="0" r="0" b="0"/>
            <wp:docPr id="1773416583" name="Picture 1773416583" descr="Chart 4.10 is a clustered column chart titled EBITDA to total assets, by ownership type, 2017-18 to 2021-22. In 2021-22, 39 per cent of non-supported residents chose to pay their accommodation payment by a RAD/RAC whereas only 6 per cent of partially supported residents chose this option. The proportion of non-supported residents paying a RAD/RAC has also been decreasing steadily over the 5 years, from 48 per cent in 2015-16 to 39 per cent in 20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83" name="Picture 1773416583" descr="Chart 4.10 is a clustered column chart titled EBITDA to total assets, by ownership type, 2017-18 to 2021-22. In 2021-22, 39 per cent of non-supported residents chose to pay their accommodation payment by a RAD/RAC whereas only 6 per cent of partially supported residents chose this option. The proportion of non-supported residents paying a RAD/RAC has also been decreasing steadily over the 5 years, from 48 per cent in 2015-16 to 39 per cent in 2020-21.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6590" cy="3602990"/>
                    </a:xfrm>
                    <a:prstGeom prst="rect">
                      <a:avLst/>
                    </a:prstGeom>
                    <a:noFill/>
                  </pic:spPr>
                </pic:pic>
              </a:graphicData>
            </a:graphic>
          </wp:inline>
        </w:drawing>
      </w:r>
      <w:r w:rsidR="00D00455" w:rsidRPr="005C71C4">
        <w:t>Chart 4.11</w:t>
      </w:r>
      <w:r w:rsidR="005C71C4" w:rsidRPr="005C71C4">
        <w:t xml:space="preserve"> </w:t>
      </w:r>
      <w:r w:rsidR="006D4D09" w:rsidRPr="005C71C4">
        <w:fldChar w:fldCharType="begin"/>
      </w:r>
      <w:r w:rsidR="00502D88">
        <w:fldChar w:fldCharType="separate"/>
      </w:r>
      <w:r w:rsidR="006D4D09" w:rsidRPr="005C71C4">
        <w:fldChar w:fldCharType="end"/>
      </w:r>
      <w:r w:rsidR="006D4D09" w:rsidRPr="00F674D9">
        <w:t xml:space="preserve">shows the current ratio by ownership type for the last 5 years. </w:t>
      </w:r>
      <w:r w:rsidR="00795510">
        <w:t xml:space="preserve">The current ratio is a </w:t>
      </w:r>
      <w:r w:rsidR="00C600BC">
        <w:t>measure</w:t>
      </w:r>
      <w:r w:rsidR="00795510">
        <w:t xml:space="preserve"> of </w:t>
      </w:r>
      <w:r w:rsidR="00C600BC">
        <w:t>a provider’s ability to meet its short-term liabilities (for example, debts due within one year)</w:t>
      </w:r>
      <w:r w:rsidR="00E81E86">
        <w:t xml:space="preserve"> using their short-term assets (for example, assets easily converted into cash).</w:t>
      </w:r>
      <w:r w:rsidR="00C600BC">
        <w:t xml:space="preserve"> </w:t>
      </w:r>
      <w:r w:rsidR="006D4D09" w:rsidRPr="00F674D9">
        <w:t xml:space="preserve">The current ratio for all providers </w:t>
      </w:r>
      <w:r w:rsidR="006D4D09">
        <w:t>de</w:t>
      </w:r>
      <w:r w:rsidR="006D4D09" w:rsidRPr="00F674D9">
        <w:t>creased in 2021</w:t>
      </w:r>
      <w:r w:rsidR="006D4D09">
        <w:t>-22</w:t>
      </w:r>
      <w:r w:rsidR="006D4D09" w:rsidRPr="00F674D9">
        <w:t xml:space="preserve">, </w:t>
      </w:r>
      <w:r w:rsidR="00197493">
        <w:t>down</w:t>
      </w:r>
      <w:r w:rsidR="006D4D09" w:rsidRPr="00F674D9">
        <w:t xml:space="preserve"> to </w:t>
      </w:r>
      <w:r w:rsidR="00D70F90">
        <w:t xml:space="preserve">a sector median of </w:t>
      </w:r>
      <w:r w:rsidR="006D4D09" w:rsidRPr="00F674D9">
        <w:t>0.</w:t>
      </w:r>
      <w:r w:rsidR="00197493">
        <w:t>40</w:t>
      </w:r>
      <w:r w:rsidR="000F6B1C">
        <w:t>,</w:t>
      </w:r>
      <w:r w:rsidR="006D4D09" w:rsidRPr="00F674D9">
        <w:t xml:space="preserve"> from 0.</w:t>
      </w:r>
      <w:r w:rsidR="00197493">
        <w:t>52</w:t>
      </w:r>
      <w:r w:rsidR="006D4D09" w:rsidRPr="00F674D9">
        <w:t xml:space="preserve"> in 2020</w:t>
      </w:r>
      <w:r w:rsidR="00197493">
        <w:t>-21</w:t>
      </w:r>
      <w:r w:rsidR="006D4D09" w:rsidRPr="00F674D9">
        <w:t>.</w:t>
      </w:r>
    </w:p>
    <w:p w14:paraId="4F9050A9" w14:textId="4A173211" w:rsidR="00523F4F" w:rsidRPr="008E2604" w:rsidRDefault="006D4D09" w:rsidP="008E2604">
      <w:r w:rsidRPr="00F674D9">
        <w:t>The current ratio for not-for-profit providers</w:t>
      </w:r>
      <w:r w:rsidR="0011310E">
        <w:t xml:space="preserve"> de</w:t>
      </w:r>
      <w:r w:rsidRPr="00F674D9">
        <w:t>creased</w:t>
      </w:r>
      <w:r w:rsidR="0011310E">
        <w:t>, down from</w:t>
      </w:r>
      <w:r w:rsidR="00197493">
        <w:t xml:space="preserve"> </w:t>
      </w:r>
      <w:r w:rsidRPr="00F674D9">
        <w:t>0.65</w:t>
      </w:r>
      <w:r w:rsidR="0011310E">
        <w:t xml:space="preserve"> in 2020-21</w:t>
      </w:r>
      <w:r w:rsidRPr="00F674D9">
        <w:t xml:space="preserve"> </w:t>
      </w:r>
      <w:r w:rsidR="0011310E">
        <w:t>to</w:t>
      </w:r>
      <w:r w:rsidRPr="00F674D9">
        <w:t xml:space="preserve"> 0.4</w:t>
      </w:r>
      <w:r w:rsidR="0011310E">
        <w:t>8</w:t>
      </w:r>
      <w:r w:rsidRPr="00F674D9">
        <w:t xml:space="preserve"> in 20</w:t>
      </w:r>
      <w:r w:rsidR="0011310E">
        <w:t>21-22</w:t>
      </w:r>
      <w:r w:rsidRPr="00F674D9">
        <w:t xml:space="preserve">, </w:t>
      </w:r>
      <w:r w:rsidR="0011310E">
        <w:t>and</w:t>
      </w:r>
      <w:r w:rsidRPr="00F674D9">
        <w:t xml:space="preserve"> the current ratio for for-profit providers</w:t>
      </w:r>
      <w:r w:rsidR="0011310E">
        <w:t xml:space="preserve"> also</w:t>
      </w:r>
      <w:r w:rsidRPr="00F674D9">
        <w:t xml:space="preserve"> </w:t>
      </w:r>
      <w:r w:rsidR="0011310E">
        <w:t>de</w:t>
      </w:r>
      <w:r w:rsidRPr="00F674D9">
        <w:t>creased to 0.</w:t>
      </w:r>
      <w:r w:rsidR="00835D22">
        <w:t>31</w:t>
      </w:r>
      <w:r w:rsidRPr="00F674D9">
        <w:t xml:space="preserve"> from 0.</w:t>
      </w:r>
      <w:r w:rsidR="00835D22">
        <w:t>40</w:t>
      </w:r>
      <w:r w:rsidRPr="00F674D9">
        <w:t>.</w:t>
      </w:r>
      <w:bookmarkStart w:id="296" w:name="_Ref139549224"/>
      <w:bookmarkStart w:id="297" w:name="_Toc149245245"/>
    </w:p>
    <w:p w14:paraId="0739B13B" w14:textId="56349BE0" w:rsidR="00AD0737" w:rsidRPr="00F674D9" w:rsidRDefault="00AD0737" w:rsidP="00AD0737">
      <w:pPr>
        <w:pStyle w:val="Caption"/>
      </w:pPr>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11</w:t>
      </w:r>
      <w:r>
        <w:fldChar w:fldCharType="end"/>
      </w:r>
      <w:bookmarkEnd w:id="296"/>
      <w:r>
        <w:t xml:space="preserve">: </w:t>
      </w:r>
      <w:r w:rsidRPr="005077F2">
        <w:t>Current ratio, by ownership type, 2017-18 to 2021-22</w:t>
      </w:r>
      <w:bookmarkEnd w:id="297"/>
    </w:p>
    <w:p w14:paraId="5A581E3A" w14:textId="7E8671A9" w:rsidR="000A1C2F" w:rsidRDefault="006616C4" w:rsidP="00FF6385">
      <w:r>
        <w:rPr>
          <w:noProof/>
        </w:rPr>
        <w:drawing>
          <wp:inline distT="0" distB="0" distL="0" distR="0" wp14:anchorId="7B37C9A5" wp14:editId="60A6DC1D">
            <wp:extent cx="5767070" cy="3481070"/>
            <wp:effectExtent l="0" t="0" r="5080" b="5080"/>
            <wp:docPr id="1773416585" name="Picture 1773416585" descr="Chart 4.11 is a line chart titled Current ratio, by ownership type, 2017-18 to 2021-22. The current ratio for all providers decreased in 2021-22, down to 0.40 from 0.52 in 2020-21. The current ratio for not-for-profit providers decreased to 0.48 from 0.65 in 2020-21. The current ratio for for-profit providers decreased to 0.31 from 0.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85" name="Picture 1773416585" descr="Chart 4.11 is a line chart titled Current ratio, by ownership type, 2017-18 to 2021-22. The current ratio for all providers decreased in 2021-22, down to 0.40 from 0.52 in 2020-21. The current ratio for not-for-profit providers decreased to 0.48 from 0.65 in 2020-21. The current ratio for for-profit providers decreased to 0.31 from 0.40.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7070" cy="3481070"/>
                    </a:xfrm>
                    <a:prstGeom prst="rect">
                      <a:avLst/>
                    </a:prstGeom>
                    <a:noFill/>
                  </pic:spPr>
                </pic:pic>
              </a:graphicData>
            </a:graphic>
          </wp:inline>
        </w:drawing>
      </w:r>
    </w:p>
    <w:p w14:paraId="48337AE1" w14:textId="77777777" w:rsidR="00B11606" w:rsidRDefault="00B625F9" w:rsidP="00B11606">
      <w:pPr>
        <w:rPr>
          <w:rFonts w:cs="Arial"/>
          <w:sz w:val="16"/>
          <w:szCs w:val="16"/>
          <w:shd w:val="clear" w:color="auto" w:fill="FFFFFF"/>
        </w:rPr>
      </w:pPr>
      <w:r w:rsidRPr="00C9346B">
        <w:rPr>
          <w:rFonts w:cs="Arial"/>
          <w:sz w:val="16"/>
          <w:szCs w:val="16"/>
        </w:rPr>
        <w:t>Note:</w:t>
      </w:r>
      <w:r w:rsidR="00853413">
        <w:rPr>
          <w:rFonts w:cs="Arial"/>
          <w:sz w:val="16"/>
          <w:szCs w:val="16"/>
        </w:rPr>
        <w:t xml:space="preserve"> *</w:t>
      </w:r>
      <w:r w:rsidR="00646396" w:rsidRPr="00646396">
        <w:rPr>
          <w:rFonts w:cs="Arial"/>
          <w:sz w:val="16"/>
          <w:szCs w:val="16"/>
        </w:rPr>
        <w:t xml:space="preserve"> </w:t>
      </w:r>
      <w:r w:rsidR="00646396" w:rsidRPr="00C9346B">
        <w:rPr>
          <w:rFonts w:cs="Arial"/>
          <w:sz w:val="16"/>
          <w:szCs w:val="16"/>
          <w:shd w:val="clear" w:color="auto" w:fill="FFFFFF"/>
        </w:rPr>
        <w:t xml:space="preserve">The increase in current ratio from </w:t>
      </w:r>
      <w:r w:rsidR="000A1C2F" w:rsidRPr="00C9346B">
        <w:rPr>
          <w:rFonts w:cs="Arial"/>
          <w:sz w:val="16"/>
          <w:szCs w:val="16"/>
          <w:shd w:val="clear" w:color="auto" w:fill="FFFFFF"/>
        </w:rPr>
        <w:t>2020-</w:t>
      </w:r>
      <w:r w:rsidR="00646396" w:rsidRPr="00C9346B">
        <w:rPr>
          <w:rFonts w:cs="Arial"/>
          <w:sz w:val="16"/>
          <w:szCs w:val="16"/>
          <w:shd w:val="clear" w:color="auto" w:fill="FFFFFF"/>
        </w:rPr>
        <w:t>21 is due to Refundable Accom</w:t>
      </w:r>
      <w:r w:rsidR="000A1C2F" w:rsidRPr="00C9346B">
        <w:rPr>
          <w:rFonts w:cs="Arial"/>
          <w:sz w:val="16"/>
          <w:szCs w:val="16"/>
          <w:shd w:val="clear" w:color="auto" w:fill="FFFFFF"/>
        </w:rPr>
        <w:t>m</w:t>
      </w:r>
      <w:r w:rsidR="00646396" w:rsidRPr="00C9346B">
        <w:rPr>
          <w:rFonts w:cs="Arial"/>
          <w:sz w:val="16"/>
          <w:szCs w:val="16"/>
          <w:shd w:val="clear" w:color="auto" w:fill="FFFFFF"/>
        </w:rPr>
        <w:t xml:space="preserve">odation Deposits </w:t>
      </w:r>
      <w:r w:rsidR="000A1C2F" w:rsidRPr="00C9346B">
        <w:rPr>
          <w:rFonts w:cs="Arial"/>
          <w:sz w:val="16"/>
          <w:szCs w:val="16"/>
          <w:shd w:val="clear" w:color="auto" w:fill="FFFFFF"/>
        </w:rPr>
        <w:t>(RADs)</w:t>
      </w:r>
      <w:r w:rsidR="00646396" w:rsidRPr="00C9346B">
        <w:rPr>
          <w:rFonts w:cs="Arial"/>
          <w:sz w:val="16"/>
          <w:szCs w:val="16"/>
          <w:shd w:val="clear" w:color="auto" w:fill="FFFFFF"/>
        </w:rPr>
        <w:t xml:space="preserve"> which are expected to be paid after 12 months being re-classified from current liabilities to non-current liabilities.</w:t>
      </w:r>
    </w:p>
    <w:p w14:paraId="24283AB8" w14:textId="236DF4CF" w:rsidR="0058262D" w:rsidRPr="008E2604" w:rsidRDefault="0058262D" w:rsidP="008E2604">
      <w:r w:rsidRPr="008E2604">
        <w:t xml:space="preserve">Chart 4.12 </w:t>
      </w:r>
      <w:r w:rsidR="007C6A6F" w:rsidRPr="008E2604">
        <w:t xml:space="preserve">shows equity to total assets by provider ownership type for the last 5 years. The results for </w:t>
      </w:r>
      <w:r w:rsidR="00F6574D" w:rsidRPr="008E2604">
        <w:t>not-for</w:t>
      </w:r>
      <w:r w:rsidR="00A37D7D" w:rsidRPr="008E2604">
        <w:t>-</w:t>
      </w:r>
      <w:r w:rsidR="00525EE0" w:rsidRPr="008E2604">
        <w:t>profit and for-profit provider</w:t>
      </w:r>
      <w:r w:rsidR="007C6A6F" w:rsidRPr="008E2604">
        <w:t xml:space="preserve"> types gradually decreased </w:t>
      </w:r>
      <w:r w:rsidR="00525EE0" w:rsidRPr="008E2604">
        <w:t>in the past 5 years</w:t>
      </w:r>
      <w:r w:rsidR="007C6A6F" w:rsidRPr="008E2604">
        <w:t xml:space="preserve">. </w:t>
      </w:r>
      <w:r w:rsidR="00BA7656" w:rsidRPr="008E2604">
        <w:t xml:space="preserve">Not-for-profit </w:t>
      </w:r>
      <w:r w:rsidR="00E70CA8" w:rsidRPr="008E2604">
        <w:t>providers</w:t>
      </w:r>
      <w:r w:rsidR="00BA7656" w:rsidRPr="008E2604">
        <w:t xml:space="preserve"> dropped to 2</w:t>
      </w:r>
      <w:r w:rsidR="00A37D7D" w:rsidRPr="008E2604">
        <w:t>2.3</w:t>
      </w:r>
      <w:r w:rsidR="00BA7656" w:rsidRPr="008E2604">
        <w:t xml:space="preserve"> per cent from </w:t>
      </w:r>
      <w:r w:rsidR="00A37D7D" w:rsidRPr="008E2604">
        <w:t>27.6</w:t>
      </w:r>
      <w:r w:rsidR="00BA7656" w:rsidRPr="008E2604">
        <w:t xml:space="preserve"> per cent and for-profit </w:t>
      </w:r>
      <w:r w:rsidR="00E70CA8" w:rsidRPr="008E2604">
        <w:t>providers</w:t>
      </w:r>
      <w:r w:rsidR="00BA7656" w:rsidRPr="008E2604">
        <w:t xml:space="preserve"> reported a drop to </w:t>
      </w:r>
      <w:r w:rsidR="00A37D7D" w:rsidRPr="008E2604">
        <w:t>2.2</w:t>
      </w:r>
      <w:r w:rsidR="00BA7656" w:rsidRPr="008E2604">
        <w:t xml:space="preserve"> per cent from </w:t>
      </w:r>
      <w:r w:rsidR="00A37D7D" w:rsidRPr="008E2604">
        <w:t>5.3</w:t>
      </w:r>
      <w:r w:rsidR="00BA7656" w:rsidRPr="008E2604">
        <w:t xml:space="preserve"> per cent. </w:t>
      </w:r>
      <w:r w:rsidR="007C6A6F" w:rsidRPr="008E2604">
        <w:t xml:space="preserve">There continued to be a </w:t>
      </w:r>
      <w:r w:rsidR="00193F4E" w:rsidRPr="008E2604">
        <w:t xml:space="preserve">notable </w:t>
      </w:r>
      <w:r w:rsidR="007C6A6F" w:rsidRPr="008E2604">
        <w:t>difference between provider types when looking at the results for the equity to total assets</w:t>
      </w:r>
      <w:r w:rsidR="00525EE0" w:rsidRPr="008E2604">
        <w:t xml:space="preserve"> </w:t>
      </w:r>
      <w:r w:rsidR="007C6A6F" w:rsidRPr="008E2604">
        <w:t>ratio. Not-for-profit providers were generally around</w:t>
      </w:r>
      <w:r w:rsidR="00525EE0" w:rsidRPr="008E2604">
        <w:t xml:space="preserve"> </w:t>
      </w:r>
      <w:r w:rsidR="007C6A6F" w:rsidRPr="008E2604">
        <w:t>2</w:t>
      </w:r>
      <w:r w:rsidR="00067208" w:rsidRPr="008E2604">
        <w:t>0</w:t>
      </w:r>
      <w:r w:rsidR="007C6A6F" w:rsidRPr="008E2604">
        <w:t xml:space="preserve"> to 25 percentage points higher than for-profit</w:t>
      </w:r>
      <w:r w:rsidR="00EC5ADE" w:rsidRPr="008E2604">
        <w:t xml:space="preserve"> providers.</w:t>
      </w:r>
      <w:bookmarkStart w:id="298" w:name="_Ref139549250"/>
      <w:bookmarkStart w:id="299" w:name="_Toc149245246"/>
    </w:p>
    <w:p w14:paraId="017D28EB" w14:textId="01081A7C" w:rsidR="00AD0737" w:rsidRPr="00AF0B29" w:rsidRDefault="00AD0737" w:rsidP="00AD0737">
      <w:pPr>
        <w:pStyle w:val="Caption"/>
      </w:pPr>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12</w:t>
      </w:r>
      <w:r>
        <w:fldChar w:fldCharType="end"/>
      </w:r>
      <w:bookmarkEnd w:id="298"/>
      <w:r>
        <w:t xml:space="preserve">: </w:t>
      </w:r>
      <w:r w:rsidRPr="00970312">
        <w:t>Equity to total assets, by ownership type, 2017-18 to 2021-22</w:t>
      </w:r>
      <w:bookmarkEnd w:id="299"/>
    </w:p>
    <w:p w14:paraId="0746283E" w14:textId="1DC4F9D6" w:rsidR="00257917" w:rsidRPr="00560F5C" w:rsidRDefault="00FA2B35" w:rsidP="00257917">
      <w:pPr>
        <w:rPr>
          <w:b/>
          <w:bCs/>
        </w:rPr>
      </w:pPr>
      <w:r>
        <w:rPr>
          <w:noProof/>
        </w:rPr>
        <w:drawing>
          <wp:inline distT="0" distB="0" distL="0" distR="0" wp14:anchorId="253734DB" wp14:editId="5577CF5C">
            <wp:extent cx="5295569" cy="3320135"/>
            <wp:effectExtent l="0" t="0" r="635" b="0"/>
            <wp:docPr id="1773416586" name="Picture 1773416586" descr="Chart 4.12 is a line chart titled Equity to total assets, by ownership type, 2017-18 to 2021-22. The results for all provider types have been gradually decreasing over a number of years, with a significant difference between provider types. Not-for-profits dropped to 22.3 per cent in 2021-22 from 27.6 per cent in 2020-21 and the for-profits reported a drop to 2.2 per cent from 5.3 per cent in the same period. Local, state or territory providers reported 58.9 per cent in 2021-22, an increase from 52.8 per cent in 20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86" name="Picture 1773416586" descr="Chart 4.12 is a line chart titled Equity to total assets, by ownership type, 2017-18 to 2021-22. The results for all provider types have been gradually decreasing over a number of years, with a significant difference between provider types. Not-for-profits dropped to 22.3 per cent in 2021-22 from 27.6 per cent in 2020-21 and the for-profits reported a drop to 2.2 per cent from 5.3 per cent in the same period. Local, state or territory providers reported 58.9 per cent in 2021-22, an increase from 52.8 per cent in 2020-21.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17244" cy="3333724"/>
                    </a:xfrm>
                    <a:prstGeom prst="rect">
                      <a:avLst/>
                    </a:prstGeom>
                    <a:noFill/>
                  </pic:spPr>
                </pic:pic>
              </a:graphicData>
            </a:graphic>
          </wp:inline>
        </w:drawing>
      </w:r>
    </w:p>
    <w:p w14:paraId="37851230" w14:textId="3BC4C7B9" w:rsidR="00F10B6A" w:rsidRPr="00514D38" w:rsidRDefault="00257917" w:rsidP="00514D38">
      <w:pPr>
        <w:pStyle w:val="Caption"/>
        <w:rPr>
          <w:b w:val="0"/>
          <w:bCs w:val="0"/>
          <w:szCs w:val="24"/>
        </w:rPr>
      </w:pPr>
      <w:r>
        <w:rPr>
          <w:b w:val="0"/>
          <w:bCs w:val="0"/>
          <w:szCs w:val="24"/>
        </w:rPr>
        <w:t xml:space="preserve">Chart 4.13 </w:t>
      </w:r>
      <w:r w:rsidR="00F10B6A" w:rsidRPr="00560F5C">
        <w:rPr>
          <w:b w:val="0"/>
          <w:bCs w:val="0"/>
          <w:szCs w:val="24"/>
        </w:rPr>
        <w:t>shows</w:t>
      </w:r>
      <w:r w:rsidR="00F10B6A" w:rsidRPr="00514D38">
        <w:rPr>
          <w:b w:val="0"/>
          <w:bCs w:val="0"/>
          <w:szCs w:val="24"/>
        </w:rPr>
        <w:t xml:space="preserve"> the average debt ratio by provider ownership type for the last 5 years. The average debt ratio across the sector gradually increased over the last 5 years from 0.7</w:t>
      </w:r>
      <w:r w:rsidR="00DD60E7" w:rsidRPr="00514D38">
        <w:rPr>
          <w:b w:val="0"/>
          <w:bCs w:val="0"/>
          <w:szCs w:val="24"/>
        </w:rPr>
        <w:t>6</w:t>
      </w:r>
      <w:r w:rsidR="00F10B6A" w:rsidRPr="00514D38">
        <w:rPr>
          <w:b w:val="0"/>
          <w:bCs w:val="0"/>
          <w:szCs w:val="24"/>
        </w:rPr>
        <w:t xml:space="preserve"> in 20</w:t>
      </w:r>
      <w:r w:rsidR="00EA4686" w:rsidRPr="00514D38">
        <w:rPr>
          <w:b w:val="0"/>
          <w:bCs w:val="0"/>
          <w:szCs w:val="24"/>
        </w:rPr>
        <w:t>17-18</w:t>
      </w:r>
      <w:r w:rsidR="00F10B6A" w:rsidRPr="00514D38">
        <w:rPr>
          <w:b w:val="0"/>
          <w:bCs w:val="0"/>
          <w:szCs w:val="24"/>
        </w:rPr>
        <w:t xml:space="preserve"> to 0.8</w:t>
      </w:r>
      <w:r w:rsidR="00EA4686" w:rsidRPr="00514D38">
        <w:rPr>
          <w:b w:val="0"/>
          <w:bCs w:val="0"/>
          <w:szCs w:val="24"/>
        </w:rPr>
        <w:t>5</w:t>
      </w:r>
      <w:r w:rsidR="00F10B6A" w:rsidRPr="00514D38">
        <w:rPr>
          <w:b w:val="0"/>
          <w:bCs w:val="0"/>
          <w:szCs w:val="24"/>
        </w:rPr>
        <w:t xml:space="preserve"> in 2021</w:t>
      </w:r>
      <w:r w:rsidR="00EA4686" w:rsidRPr="00514D38">
        <w:rPr>
          <w:b w:val="0"/>
          <w:bCs w:val="0"/>
          <w:szCs w:val="24"/>
        </w:rPr>
        <w:t>-22</w:t>
      </w:r>
      <w:r w:rsidR="00F10B6A" w:rsidRPr="00514D38">
        <w:rPr>
          <w:b w:val="0"/>
          <w:bCs w:val="0"/>
          <w:szCs w:val="24"/>
        </w:rPr>
        <w:t>.</w:t>
      </w:r>
    </w:p>
    <w:p w14:paraId="68787025" w14:textId="4678E715" w:rsidR="00F10B6A" w:rsidRPr="00F674D9" w:rsidRDefault="00F10B6A" w:rsidP="00F10B6A">
      <w:r w:rsidRPr="00F674D9">
        <w:t>In 2021</w:t>
      </w:r>
      <w:r w:rsidR="00844EF0">
        <w:t>-22</w:t>
      </w:r>
      <w:r w:rsidRPr="00F674D9">
        <w:t xml:space="preserve">, for-profit </w:t>
      </w:r>
      <w:r w:rsidR="004E1F5E">
        <w:t>providers</w:t>
      </w:r>
      <w:r w:rsidRPr="00F674D9">
        <w:t xml:space="preserve"> reported an increase from 0.9</w:t>
      </w:r>
      <w:r w:rsidR="005A5C26">
        <w:t>5</w:t>
      </w:r>
      <w:r w:rsidRPr="00F674D9">
        <w:t xml:space="preserve"> the previous year to 0.9</w:t>
      </w:r>
      <w:r w:rsidR="005A5C26">
        <w:t>8</w:t>
      </w:r>
      <w:r w:rsidRPr="00F674D9">
        <w:t xml:space="preserve"> and not-for-profit </w:t>
      </w:r>
      <w:r w:rsidR="009F078F">
        <w:t>providers</w:t>
      </w:r>
      <w:r w:rsidRPr="00F674D9">
        <w:t xml:space="preserve"> reported an increase from 0.7</w:t>
      </w:r>
      <w:r w:rsidR="003711CD">
        <w:t>2</w:t>
      </w:r>
      <w:r w:rsidRPr="00F674D9">
        <w:t xml:space="preserve"> the previous year to</w:t>
      </w:r>
      <w:r w:rsidR="003711CD">
        <w:t xml:space="preserve"> 0.78</w:t>
      </w:r>
      <w:r w:rsidR="007814FD">
        <w:t>.</w:t>
      </w:r>
    </w:p>
    <w:p w14:paraId="27E5AC3E" w14:textId="64F1EDC2" w:rsidR="00560F5C" w:rsidRPr="008E2604" w:rsidRDefault="00F10B6A" w:rsidP="008E2604">
      <w:r w:rsidRPr="00F674D9">
        <w:t>The average debt ratio shows the proportion of organisational assets that were financed through debt. A ratio of more than 1.0 indicates that an organisation has a higher debt level than the value of its assets</w:t>
      </w:r>
      <w:r w:rsidRPr="00514D38">
        <w:t>.</w:t>
      </w:r>
      <w:bookmarkStart w:id="300" w:name="_Ref139549287"/>
      <w:r w:rsidR="00560F5C" w:rsidRPr="008E2604">
        <w:br w:type="page"/>
      </w:r>
    </w:p>
    <w:p w14:paraId="2228C837" w14:textId="2439F8E5" w:rsidR="00AF0E14" w:rsidRDefault="00AF0E14" w:rsidP="00AF0E14">
      <w:pPr>
        <w:pStyle w:val="Caption"/>
        <w:rPr>
          <w:color w:val="FF0000"/>
        </w:rPr>
      </w:pPr>
      <w:bookmarkStart w:id="301" w:name="_Toc149245247"/>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13</w:t>
      </w:r>
      <w:r>
        <w:fldChar w:fldCharType="end"/>
      </w:r>
      <w:bookmarkEnd w:id="300"/>
      <w:r>
        <w:t xml:space="preserve">: </w:t>
      </w:r>
      <w:r w:rsidRPr="00953870">
        <w:t>Average debt ratio, by ownership type, 2017-18 to 2021-22</w:t>
      </w:r>
      <w:bookmarkEnd w:id="301"/>
    </w:p>
    <w:p w14:paraId="7B8AD5E2" w14:textId="09A66CA6" w:rsidR="00B231D3" w:rsidRPr="008E2604" w:rsidRDefault="00FC1F8C" w:rsidP="008E2604">
      <w:r w:rsidRPr="008E2604">
        <w:rPr>
          <w:noProof/>
        </w:rPr>
        <w:drawing>
          <wp:inline distT="0" distB="0" distL="0" distR="0" wp14:anchorId="6AE4D0F6" wp14:editId="00831173">
            <wp:extent cx="5526157" cy="3470822"/>
            <wp:effectExtent l="0" t="0" r="0" b="0"/>
            <wp:docPr id="1773416588" name="Picture 1773416588" descr="Chart 4.13 is a line chart titled Average debt ratio, by ownership type, 2017-18 to 2021-22. The average debt ratio across the sector has been increasing gradually over the last five years from 0.76 in 2017-18 to 0.85 in 2021-22. In 2021-22, for profits reported an increase from 0.95 the previous year to 0.98 and not-for-profits reported an increase from 0.82 the previous year to 0.85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88" name="Picture 1773416588" descr="Chart 4.13 is a line chart titled Average debt ratio, by ownership type, 2017-18 to 2021-22. The average debt ratio across the sector has been increasing gradually over the last five years from 0.76 in 2017-18 to 0.85 in 2021-22. In 2021-22, for profits reported an increase from 0.95 the previous year to 0.98 and not-for-profits reported an increase from 0.82 the previous year to 0.85 in 2021-22.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60007" cy="3492082"/>
                    </a:xfrm>
                    <a:prstGeom prst="rect">
                      <a:avLst/>
                    </a:prstGeom>
                    <a:noFill/>
                  </pic:spPr>
                </pic:pic>
              </a:graphicData>
            </a:graphic>
          </wp:inline>
        </w:drawing>
      </w:r>
    </w:p>
    <w:p w14:paraId="01AAB7E4" w14:textId="2E923B00" w:rsidR="00FF7607" w:rsidRDefault="00B231D3" w:rsidP="00FF7607">
      <w:r>
        <w:t xml:space="preserve">Chart 4.14 </w:t>
      </w:r>
      <w:r w:rsidR="00FF7607" w:rsidRPr="00F674D9">
        <w:t xml:space="preserve">shows net assets by provider ownership type for the last </w:t>
      </w:r>
      <w:r w:rsidR="00FF7607">
        <w:t>5</w:t>
      </w:r>
      <w:r w:rsidR="00FF7607" w:rsidRPr="00F674D9">
        <w:t xml:space="preserve"> years. </w:t>
      </w:r>
    </w:p>
    <w:p w14:paraId="5F3716C3" w14:textId="523E3901" w:rsidR="00B231D3" w:rsidRPr="00AF0B29" w:rsidRDefault="00FF7607" w:rsidP="008E2604">
      <w:pPr>
        <w:rPr>
          <w:b/>
          <w:bCs/>
          <w:szCs w:val="18"/>
        </w:rPr>
      </w:pPr>
      <w:r w:rsidRPr="00F674D9">
        <w:t>Net assets continued to decline to $</w:t>
      </w:r>
      <w:r w:rsidR="000F235E">
        <w:t>8.</w:t>
      </w:r>
      <w:r w:rsidR="007537B9">
        <w:t>29</w:t>
      </w:r>
      <w:r w:rsidRPr="00F674D9">
        <w:t xml:space="preserve"> billion</w:t>
      </w:r>
      <w:r w:rsidR="004171AD">
        <w:t xml:space="preserve"> in 2021-22</w:t>
      </w:r>
      <w:r w:rsidRPr="00F674D9">
        <w:t>, down from $</w:t>
      </w:r>
      <w:r w:rsidR="000F235E">
        <w:t>10.</w:t>
      </w:r>
      <w:r w:rsidR="007537B9">
        <w:t>36</w:t>
      </w:r>
      <w:r w:rsidRPr="00F674D9">
        <w:t xml:space="preserve"> billion in 2</w:t>
      </w:r>
      <w:r w:rsidR="004171AD">
        <w:t>0</w:t>
      </w:r>
      <w:r w:rsidRPr="00F674D9">
        <w:t>20</w:t>
      </w:r>
      <w:r w:rsidR="004171AD">
        <w:t>-21</w:t>
      </w:r>
      <w:r w:rsidRPr="00F674D9">
        <w:t xml:space="preserve"> and a peak of $12.</w:t>
      </w:r>
      <w:r w:rsidR="007537B9">
        <w:t>68</w:t>
      </w:r>
      <w:r w:rsidRPr="00F674D9">
        <w:t xml:space="preserve"> billion in 2018–19. In 2021</w:t>
      </w:r>
      <w:r w:rsidR="00FA60AC">
        <w:t>-22</w:t>
      </w:r>
      <w:r w:rsidRPr="00F674D9">
        <w:t>, for-profit providers reported a decrease to $</w:t>
      </w:r>
      <w:r w:rsidR="004171AD">
        <w:t>567</w:t>
      </w:r>
      <w:r w:rsidRPr="00F674D9">
        <w:t xml:space="preserve"> </w:t>
      </w:r>
      <w:r w:rsidR="004171AD">
        <w:t>m</w:t>
      </w:r>
      <w:r w:rsidRPr="00F674D9">
        <w:t>illion, down from $1.</w:t>
      </w:r>
      <w:r w:rsidR="005B5E4B">
        <w:t>42</w:t>
      </w:r>
      <w:r w:rsidRPr="00F674D9">
        <w:t xml:space="preserve"> billion (</w:t>
      </w:r>
      <w:r w:rsidR="00641AB3">
        <w:t xml:space="preserve">representing a </w:t>
      </w:r>
      <w:r w:rsidR="000042D3">
        <w:t>60</w:t>
      </w:r>
      <w:r w:rsidRPr="00F674D9">
        <w:t xml:space="preserve"> per cent</w:t>
      </w:r>
      <w:r w:rsidR="00F66604">
        <w:t xml:space="preserve"> decline</w:t>
      </w:r>
      <w:r w:rsidRPr="00F674D9">
        <w:t>). Not-for-profit providers decreased to $</w:t>
      </w:r>
      <w:r w:rsidR="005E31C7">
        <w:t>6.</w:t>
      </w:r>
      <w:r w:rsidR="00665700">
        <w:t>16</w:t>
      </w:r>
      <w:r w:rsidRPr="00F674D9">
        <w:t xml:space="preserve"> billion in 2021</w:t>
      </w:r>
      <w:r w:rsidR="00FA60AC">
        <w:t>-22</w:t>
      </w:r>
      <w:r w:rsidRPr="00F674D9">
        <w:t>, down from $</w:t>
      </w:r>
      <w:r w:rsidR="00665700">
        <w:t>7.96</w:t>
      </w:r>
      <w:r w:rsidRPr="00F674D9">
        <w:t xml:space="preserve"> billion (</w:t>
      </w:r>
      <w:r w:rsidR="00641AB3">
        <w:t xml:space="preserve">representing a </w:t>
      </w:r>
      <w:r w:rsidR="00994115">
        <w:t>23</w:t>
      </w:r>
      <w:r w:rsidRPr="00F674D9">
        <w:t xml:space="preserve"> per cent decline).</w:t>
      </w:r>
      <w:bookmarkStart w:id="302" w:name="_Ref139549469"/>
      <w:bookmarkStart w:id="303" w:name="_Toc149245248"/>
      <w:r w:rsidR="00B231D3" w:rsidRPr="008E2604">
        <w:br w:type="page"/>
      </w:r>
    </w:p>
    <w:p w14:paraId="45A26951" w14:textId="49E359A5" w:rsidR="00CD1737" w:rsidRPr="00AF0B29" w:rsidRDefault="00CD1737" w:rsidP="00CD1737">
      <w:pPr>
        <w:pStyle w:val="Caption"/>
      </w:pPr>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14</w:t>
      </w:r>
      <w:r>
        <w:fldChar w:fldCharType="end"/>
      </w:r>
      <w:bookmarkEnd w:id="302"/>
      <w:r>
        <w:t xml:space="preserve">: </w:t>
      </w:r>
      <w:r w:rsidRPr="00AF136B">
        <w:t>Net assets, by ownership type, 2017-18 to 2021-22</w:t>
      </w:r>
      <w:bookmarkEnd w:id="303"/>
    </w:p>
    <w:p w14:paraId="07CAE1EE" w14:textId="65529CBA" w:rsidR="00BC6027" w:rsidRPr="008E2604" w:rsidRDefault="001C64F1" w:rsidP="008E2604">
      <w:r w:rsidRPr="008E2604">
        <w:rPr>
          <w:noProof/>
        </w:rPr>
        <w:drawing>
          <wp:inline distT="0" distB="0" distL="0" distR="0" wp14:anchorId="705E8BF4" wp14:editId="41C1B05B">
            <wp:extent cx="5736590" cy="3602990"/>
            <wp:effectExtent l="0" t="0" r="0" b="0"/>
            <wp:docPr id="1773416589" name="Picture 1773416589" descr="Chart 4.14 is a line chart titled Net assets, by ownership type, 2017-18 to 2021-22. Net assets continued to decline to $8.3 billion, down from $10.4 billion in 2020-21 and a peak of $12.7 billion in 2018-19. For-profit providers reported a decrease to $567 million, down from $1422 million (60 per cent). Not-for-profit providers decreased to $6.2 billion in 2021-22, down from $7.9 billion (22 per cent decl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89" name="Picture 1773416589" descr="Chart 4.14 is a line chart titled Net assets, by ownership type, 2017-18 to 2021-22. Net assets continued to decline to $8.3 billion, down from $10.4 billion in 2020-21 and a peak of $12.7 billion in 2018-19. For-profit providers reported a decrease to $567 million, down from $1422 million (60 per cent). Not-for-profit providers decreased to $6.2 billion in 2021-22, down from $7.9 billion (22 per cent decline).&#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6590" cy="3602990"/>
                    </a:xfrm>
                    <a:prstGeom prst="rect">
                      <a:avLst/>
                    </a:prstGeom>
                    <a:noFill/>
                  </pic:spPr>
                </pic:pic>
              </a:graphicData>
            </a:graphic>
          </wp:inline>
        </w:drawing>
      </w:r>
    </w:p>
    <w:p w14:paraId="19614458" w14:textId="69F4C48E" w:rsidR="00494367" w:rsidRPr="008E2604" w:rsidRDefault="00BC6027" w:rsidP="008E2604">
      <w:r w:rsidRPr="008E2604">
        <w:t xml:space="preserve">Chart 4.15 </w:t>
      </w:r>
      <w:r w:rsidR="00494367" w:rsidRPr="008E2604">
        <w:t>cash held as a percentage of accommodation deposit balances by provider ownership type for the last 3 years.</w:t>
      </w:r>
    </w:p>
    <w:p w14:paraId="436B7FE7" w14:textId="72965872" w:rsidR="003A5D15" w:rsidRPr="008E2604" w:rsidRDefault="00494367" w:rsidP="008E2604">
      <w:r w:rsidRPr="00F674D9">
        <w:t>Cash held as a percentage of accommodation deposit balances provides an indication of an organisation’s capacity to repay the accommodation deposit balances from liquid resources. The levels of cash and</w:t>
      </w:r>
      <w:r w:rsidR="002D5D45" w:rsidRPr="00F674D9">
        <w:t xml:space="preserve"> </w:t>
      </w:r>
      <w:r w:rsidRPr="00F674D9">
        <w:t>cash equivalents held by for-profit providers has been around half that of not-for-profit providers. Both not-for-profit and for-profit providers</w:t>
      </w:r>
      <w:r w:rsidR="004B42E6">
        <w:t>’ cash holdings</w:t>
      </w:r>
      <w:r w:rsidRPr="00F674D9">
        <w:t xml:space="preserve"> decreased in 2021</w:t>
      </w:r>
      <w:r w:rsidR="00A765BF">
        <w:t>-22</w:t>
      </w:r>
      <w:r w:rsidRPr="00F674D9">
        <w:t>. Not-for-profit providers decreased to</w:t>
      </w:r>
      <w:r w:rsidR="002D5D45" w:rsidRPr="00F674D9">
        <w:t xml:space="preserve"> </w:t>
      </w:r>
      <w:r w:rsidR="000545C0">
        <w:t>14.1</w:t>
      </w:r>
      <w:r w:rsidR="00DF5462">
        <w:t>0</w:t>
      </w:r>
      <w:r w:rsidRPr="00F674D9">
        <w:t xml:space="preserve"> per cent</w:t>
      </w:r>
      <w:r w:rsidR="000545C0">
        <w:t xml:space="preserve"> in 2021-22</w:t>
      </w:r>
      <w:r w:rsidRPr="00F674D9">
        <w:t>, down from 2</w:t>
      </w:r>
      <w:r w:rsidR="000545C0">
        <w:t>0.9</w:t>
      </w:r>
      <w:r w:rsidR="00DF5462">
        <w:t>1</w:t>
      </w:r>
      <w:r w:rsidRPr="00F674D9">
        <w:t xml:space="preserve"> per cent in </w:t>
      </w:r>
      <w:r w:rsidR="00970AD7">
        <w:br/>
      </w:r>
      <w:r w:rsidRPr="00F674D9">
        <w:t>2020</w:t>
      </w:r>
      <w:r w:rsidR="000545C0">
        <w:t>-21</w:t>
      </w:r>
      <w:r w:rsidRPr="00F674D9">
        <w:t xml:space="preserve">, while for-profit providers were down to </w:t>
      </w:r>
      <w:r w:rsidR="000545C0">
        <w:t>7.12</w:t>
      </w:r>
      <w:r w:rsidRPr="00F674D9">
        <w:t xml:space="preserve"> per cent from </w:t>
      </w:r>
      <w:r w:rsidR="000545C0">
        <w:t>8.</w:t>
      </w:r>
      <w:r w:rsidR="00DF5462">
        <w:t>76</w:t>
      </w:r>
      <w:r w:rsidRPr="00F674D9">
        <w:t xml:space="preserve"> per cent the previous year.</w:t>
      </w:r>
      <w:bookmarkStart w:id="304" w:name="_Ref139549527"/>
      <w:r w:rsidR="003A5D15" w:rsidRPr="008E2604">
        <w:br w:type="page"/>
      </w:r>
    </w:p>
    <w:p w14:paraId="63AE279F" w14:textId="220B453D" w:rsidR="00346373" w:rsidRPr="00F674D9" w:rsidRDefault="00346373" w:rsidP="00346373">
      <w:pPr>
        <w:pStyle w:val="Caption"/>
      </w:pPr>
      <w:bookmarkStart w:id="305" w:name="_Toc149245249"/>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15</w:t>
      </w:r>
      <w:r>
        <w:fldChar w:fldCharType="end"/>
      </w:r>
      <w:bookmarkEnd w:id="304"/>
      <w:r>
        <w:t xml:space="preserve">: </w:t>
      </w:r>
      <w:r w:rsidRPr="00325B46">
        <w:t>Cash held as percentage of accommodation deposit balances, by ownership type, 2019-20 to 2021-22</w:t>
      </w:r>
      <w:bookmarkEnd w:id="305"/>
    </w:p>
    <w:p w14:paraId="74E4F188" w14:textId="544C916C" w:rsidR="00411960" w:rsidRPr="001C64F1" w:rsidRDefault="001C64F1" w:rsidP="001C64F1">
      <w:r>
        <w:rPr>
          <w:noProof/>
        </w:rPr>
        <w:drawing>
          <wp:inline distT="0" distB="0" distL="0" distR="0" wp14:anchorId="31DBF7E6" wp14:editId="0629EA73">
            <wp:extent cx="4500282" cy="2829319"/>
            <wp:effectExtent l="0" t="0" r="0" b="9525"/>
            <wp:docPr id="1773416590" name="Picture 1773416590" descr="Chart 4.15 is a column chart titled Cash held as percentage of accommodation deposit balances, by ownership type, 2019-20 to 2021-22. The levels of cash and cash equivalents held by the for-profit providers has been around half that of the not-for-profit providers. Both not-for-profit and for-profit providers decreased in 2021-22. Not-for-profit providers decreased to 14.1 per cent, down from 20.91 per cent in 2020-21, while for-profit providers were down to 7.12 per cent from 8.76 per cent the previous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90" name="Picture 1773416590" descr="Chart 4.15 is a column chart titled Cash held as percentage of accommodation deposit balances, by ownership type, 2019-20 to 2021-22. The levels of cash and cash equivalents held by the for-profit providers has been around half that of the not-for-profit providers. Both not-for-profit and for-profit providers decreased in 2021-22. Not-for-profit providers decreased to 14.1 per cent, down from 20.91 per cent in 2020-21, while for-profit providers were down to 7.12 per cent from 8.76 per cent the previous year.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18341" cy="2840673"/>
                    </a:xfrm>
                    <a:prstGeom prst="rect">
                      <a:avLst/>
                    </a:prstGeom>
                    <a:noFill/>
                  </pic:spPr>
                </pic:pic>
              </a:graphicData>
            </a:graphic>
          </wp:inline>
        </w:drawing>
      </w:r>
    </w:p>
    <w:p w14:paraId="1F77F941" w14:textId="3F7D63F6" w:rsidR="00B71C9C" w:rsidRDefault="00F4541F" w:rsidP="005070D4">
      <w:r>
        <w:fldChar w:fldCharType="begin"/>
      </w:r>
      <w:r>
        <w:instrText xml:space="preserve"> REF _Ref139549898 \h </w:instrText>
      </w:r>
      <w:r>
        <w:fldChar w:fldCharType="separate"/>
      </w:r>
      <w:r w:rsidR="00294B02">
        <w:t xml:space="preserve">Chart </w:t>
      </w:r>
      <w:r w:rsidR="00294B02">
        <w:rPr>
          <w:noProof/>
        </w:rPr>
        <w:t>4</w:t>
      </w:r>
      <w:r w:rsidR="00294B02">
        <w:t>.</w:t>
      </w:r>
      <w:r w:rsidR="00294B02">
        <w:rPr>
          <w:noProof/>
        </w:rPr>
        <w:t>16</w:t>
      </w:r>
      <w:r>
        <w:fldChar w:fldCharType="end"/>
      </w:r>
      <w:r w:rsidR="007E5EF7">
        <w:t xml:space="preserve"> </w:t>
      </w:r>
      <w:r w:rsidR="005070D4" w:rsidRPr="00F674D9">
        <w:t>shows total assets, net worth/</w:t>
      </w:r>
      <w:proofErr w:type="gramStart"/>
      <w:r w:rsidR="005070D4" w:rsidRPr="00F674D9">
        <w:t>equity</w:t>
      </w:r>
      <w:proofErr w:type="gramEnd"/>
      <w:r w:rsidR="005070D4" w:rsidRPr="00F674D9">
        <w:t xml:space="preserve"> and average accommodation deposit value per resident, by ownership type in 2021</w:t>
      </w:r>
      <w:r w:rsidR="005648E1">
        <w:t>-22</w:t>
      </w:r>
      <w:r w:rsidR="005070D4" w:rsidRPr="00F674D9">
        <w:t>, compared with 20</w:t>
      </w:r>
      <w:r w:rsidR="005648E1">
        <w:t>20-21</w:t>
      </w:r>
      <w:r w:rsidR="005070D4" w:rsidRPr="00F674D9">
        <w:t xml:space="preserve">. For the whole sector, </w:t>
      </w:r>
      <w:r w:rsidR="00057DD4">
        <w:t xml:space="preserve">the </w:t>
      </w:r>
      <w:r w:rsidR="005070D4" w:rsidRPr="00F674D9">
        <w:t>average</w:t>
      </w:r>
      <w:r w:rsidR="00057DD4">
        <w:t xml:space="preserve"> amount of</w:t>
      </w:r>
      <w:r w:rsidR="005070D4" w:rsidRPr="00F674D9">
        <w:t xml:space="preserve"> accommodation deposits held increased to $3</w:t>
      </w:r>
      <w:r w:rsidR="008713D9">
        <w:t xml:space="preserve">50,258 </w:t>
      </w:r>
      <w:r w:rsidR="005070D4" w:rsidRPr="00F674D9">
        <w:t>per resident</w:t>
      </w:r>
      <w:r w:rsidR="00C86E98">
        <w:t>, up</w:t>
      </w:r>
      <w:r w:rsidR="005070D4" w:rsidRPr="00F674D9">
        <w:t xml:space="preserve"> from $3</w:t>
      </w:r>
      <w:r w:rsidR="006660AF">
        <w:t>44</w:t>
      </w:r>
      <w:r w:rsidR="005070D4" w:rsidRPr="00F674D9">
        <w:t>,</w:t>
      </w:r>
      <w:r w:rsidR="006660AF">
        <w:t>372</w:t>
      </w:r>
      <w:r w:rsidR="005070D4" w:rsidRPr="00F674D9">
        <w:t xml:space="preserve"> in 2020</w:t>
      </w:r>
      <w:r w:rsidR="006660AF">
        <w:t>-21</w:t>
      </w:r>
      <w:r w:rsidR="005070D4" w:rsidRPr="00F674D9">
        <w:t xml:space="preserve">, an increase of </w:t>
      </w:r>
      <w:r w:rsidR="00942887">
        <w:t>1</w:t>
      </w:r>
      <w:r w:rsidR="00B71C9C">
        <w:t>.7</w:t>
      </w:r>
      <w:r w:rsidR="005070D4" w:rsidRPr="00F674D9">
        <w:t xml:space="preserve"> per cent. This metric measures the average value of all bonds (</w:t>
      </w:r>
      <w:proofErr w:type="gramStart"/>
      <w:r w:rsidR="005070D4" w:rsidRPr="00F674D9">
        <w:t>pre 1 July 2014</w:t>
      </w:r>
      <w:proofErr w:type="gramEnd"/>
      <w:r w:rsidR="005070D4" w:rsidRPr="00F674D9">
        <w:t xml:space="preserve">) and accommodation deposits (post 1 July 2014) that providers hold. </w:t>
      </w:r>
    </w:p>
    <w:p w14:paraId="01F15C82" w14:textId="48749F44" w:rsidR="00B92518" w:rsidRPr="00F674D9" w:rsidRDefault="005070D4" w:rsidP="005070D4">
      <w:r w:rsidRPr="00F674D9">
        <w:t>In terms of net worth/equity, all providers recorded a decrease, down to $</w:t>
      </w:r>
      <w:r w:rsidR="00F53FAB">
        <w:t>45,852</w:t>
      </w:r>
      <w:r w:rsidRPr="00F674D9">
        <w:t xml:space="preserve"> </w:t>
      </w:r>
      <w:r w:rsidR="00BC5694">
        <w:t>per resident</w:t>
      </w:r>
      <w:r w:rsidRPr="00F674D9">
        <w:t xml:space="preserve"> in 2021</w:t>
      </w:r>
      <w:r w:rsidR="00F53FAB">
        <w:t>-22</w:t>
      </w:r>
      <w:r w:rsidRPr="00F674D9">
        <w:t xml:space="preserve"> from $</w:t>
      </w:r>
      <w:r w:rsidR="00F53FAB">
        <w:t>56,400</w:t>
      </w:r>
      <w:r w:rsidRPr="00F674D9">
        <w:t xml:space="preserve"> in 2020</w:t>
      </w:r>
      <w:r w:rsidR="00F53FAB">
        <w:t>-21</w:t>
      </w:r>
      <w:r w:rsidRPr="00F674D9">
        <w:t xml:space="preserve">. The value of total assets per resident for both for-profit and not-for-profit providers </w:t>
      </w:r>
      <w:r w:rsidR="00F53FAB">
        <w:t>also de</w:t>
      </w:r>
      <w:r w:rsidRPr="00F674D9">
        <w:t>creased in 2021</w:t>
      </w:r>
      <w:r w:rsidR="00F53FAB">
        <w:t>-22</w:t>
      </w:r>
      <w:r w:rsidRPr="00F674D9">
        <w:t xml:space="preserve"> compared with </w:t>
      </w:r>
      <w:r w:rsidR="00F53FAB">
        <w:t>2020-21</w:t>
      </w:r>
      <w:r w:rsidRPr="00F674D9">
        <w:t>.</w:t>
      </w:r>
      <w:r w:rsidR="000545C0" w:rsidRPr="00F674D9">
        <w:t xml:space="preserve"> </w:t>
      </w:r>
    </w:p>
    <w:p w14:paraId="3395F27D" w14:textId="091346BA" w:rsidR="00411960" w:rsidRPr="00AF0B29" w:rsidRDefault="00F4541F" w:rsidP="009D6ACD">
      <w:pPr>
        <w:pStyle w:val="Caption"/>
      </w:pPr>
      <w:bookmarkStart w:id="306" w:name="_Ref139549898"/>
      <w:bookmarkStart w:id="307" w:name="_Toc149245250"/>
      <w:r>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16</w:t>
      </w:r>
      <w:r>
        <w:fldChar w:fldCharType="end"/>
      </w:r>
      <w:bookmarkEnd w:id="306"/>
      <w:r>
        <w:t xml:space="preserve">: </w:t>
      </w:r>
      <w:r w:rsidRPr="004E7313">
        <w:t>Total assets, net worth/</w:t>
      </w:r>
      <w:proofErr w:type="gramStart"/>
      <w:r w:rsidRPr="004E7313">
        <w:t>equity</w:t>
      </w:r>
      <w:proofErr w:type="gramEnd"/>
      <w:r w:rsidRPr="004E7313">
        <w:t xml:space="preserve"> and average accommodation deposit value per resident, by ownership type, 2020-21 and 2021-22</w:t>
      </w:r>
      <w:bookmarkEnd w:id="307"/>
    </w:p>
    <w:p w14:paraId="3B55C8E4" w14:textId="152A32B5" w:rsidR="004B4509" w:rsidRPr="00AF0B29" w:rsidRDefault="004B4509" w:rsidP="00B92518">
      <w:r>
        <w:rPr>
          <w:noProof/>
          <w:color w:val="FF0000"/>
        </w:rPr>
        <w:drawing>
          <wp:inline distT="0" distB="0" distL="0" distR="0" wp14:anchorId="77EB7481" wp14:editId="5FD76D04">
            <wp:extent cx="4953000" cy="2476500"/>
            <wp:effectExtent l="0" t="0" r="0" b="0"/>
            <wp:docPr id="1773416591" name="Picture 1773416591" descr="Chart 4.16 is a clustered column chart titled Total assets, net worth/equity and average accommodation deposit value per resident, by ownership type, 2020-21 and 2021-22. For the whole sector, average accommodation deposits held increased to $350,258 per resident from $344,372 in 2020-21. In terms of net worth/equity, all providers recorded a decrease, down to $45,852 in 2021-22 from $56,400 in 2020-21. The value of total assets per resident for both for-profit and not-for-profit providers decreased in 2021-22 compared with 20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91" name="Picture 1773416591" descr="Chart 4.16 is a clustered column chart titled Total assets, net worth/equity and average accommodation deposit value per resident, by ownership type, 2020-21 and 2021-22. For the whole sector, average accommodation deposits held increased to $350,258 per resident from $344,372 in 2020-21. In terms of net worth/equity, all providers recorded a decrease, down to $45,852 in 2021-22 from $56,400 in 2020-21. The value of total assets per resident for both for-profit and not-for-profit providers decreased in 2021-22 compared with 2020-21.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31628" cy="2515814"/>
                    </a:xfrm>
                    <a:prstGeom prst="rect">
                      <a:avLst/>
                    </a:prstGeom>
                    <a:noFill/>
                  </pic:spPr>
                </pic:pic>
              </a:graphicData>
            </a:graphic>
          </wp:inline>
        </w:drawing>
      </w:r>
    </w:p>
    <w:p w14:paraId="4ED319F8" w14:textId="55396523" w:rsidR="00411960" w:rsidRPr="00411960" w:rsidRDefault="00DC1A26" w:rsidP="00411960">
      <w:r w:rsidRPr="007E42AC">
        <w:rPr>
          <w:b/>
          <w:sz w:val="28"/>
          <w:szCs w:val="28"/>
        </w:rPr>
        <w:lastRenderedPageBreak/>
        <w:t>Recent trends in building and investment in residential care</w:t>
      </w:r>
    </w:p>
    <w:p w14:paraId="139243AA" w14:textId="590FA76F" w:rsidR="000B3E9B" w:rsidRPr="00F674D9" w:rsidRDefault="00F4541F" w:rsidP="000B3E9B">
      <w:r>
        <w:fldChar w:fldCharType="begin"/>
      </w:r>
      <w:r>
        <w:instrText xml:space="preserve"> REF _Ref139549934 \h </w:instrText>
      </w:r>
      <w:r>
        <w:fldChar w:fldCharType="separate"/>
      </w:r>
      <w:r w:rsidR="00294B02">
        <w:t xml:space="preserve">Chart </w:t>
      </w:r>
      <w:r w:rsidR="00294B02">
        <w:rPr>
          <w:noProof/>
        </w:rPr>
        <w:t>4</w:t>
      </w:r>
      <w:r w:rsidR="00294B02">
        <w:t>.</w:t>
      </w:r>
      <w:r w:rsidR="00294B02">
        <w:rPr>
          <w:noProof/>
        </w:rPr>
        <w:t>17</w:t>
      </w:r>
      <w:r>
        <w:fldChar w:fldCharType="end"/>
      </w:r>
      <w:r w:rsidR="00F53FAB" w:rsidRPr="00F674D9">
        <w:t xml:space="preserve"> </w:t>
      </w:r>
      <w:r w:rsidR="000B3E9B" w:rsidRPr="00F674D9">
        <w:t>shows residential care build</w:t>
      </w:r>
      <w:r w:rsidR="00C615CA">
        <w:t>ing</w:t>
      </w:r>
      <w:r w:rsidR="000B3E9B" w:rsidRPr="00F674D9">
        <w:t xml:space="preserve"> activity (completed or in-progress) for the last 5 years. In 2021</w:t>
      </w:r>
      <w:r w:rsidR="000B3E9B">
        <w:t>-22</w:t>
      </w:r>
      <w:r w:rsidR="000B3E9B" w:rsidRPr="00F674D9">
        <w:t xml:space="preserve">, the total </w:t>
      </w:r>
      <w:r w:rsidR="00257104">
        <w:t xml:space="preserve">value of </w:t>
      </w:r>
      <w:r w:rsidR="00920522" w:rsidRPr="000B3E9B">
        <w:t>completed,</w:t>
      </w:r>
      <w:r w:rsidR="000B3E9B" w:rsidRPr="00F674D9">
        <w:t xml:space="preserve"> or in-progress work was $</w:t>
      </w:r>
      <w:r w:rsidR="008A24BB">
        <w:t>3.</w:t>
      </w:r>
      <w:r w:rsidR="007E4319">
        <w:t>8</w:t>
      </w:r>
      <w:r w:rsidR="000B3E9B" w:rsidRPr="00F674D9">
        <w:t xml:space="preserve"> billion, down from $</w:t>
      </w:r>
      <w:r w:rsidR="008A24BB">
        <w:t>4</w:t>
      </w:r>
      <w:r w:rsidR="000B3E9B" w:rsidRPr="00F674D9">
        <w:t>.7 billion in 2020</w:t>
      </w:r>
      <w:r w:rsidR="008A24BB">
        <w:t>-21</w:t>
      </w:r>
      <w:r w:rsidR="000B3E9B" w:rsidRPr="00F674D9">
        <w:t xml:space="preserve"> (</w:t>
      </w:r>
      <w:r w:rsidR="007E4319">
        <w:t>1</w:t>
      </w:r>
      <w:r w:rsidR="00145AF2">
        <w:t>8</w:t>
      </w:r>
      <w:r w:rsidR="00B064B1">
        <w:t>.5</w:t>
      </w:r>
      <w:r w:rsidR="000B3E9B" w:rsidRPr="00F674D9">
        <w:t xml:space="preserve"> per cent decrease). </w:t>
      </w:r>
    </w:p>
    <w:p w14:paraId="540D67D9" w14:textId="5A5061EF" w:rsidR="00056CE1" w:rsidRDefault="00F4396F" w:rsidP="000B3E9B">
      <w:r>
        <w:t>E</w:t>
      </w:r>
      <w:r w:rsidR="000B3E9B" w:rsidRPr="00F674D9">
        <w:t>xpenditure</w:t>
      </w:r>
      <w:r>
        <w:t xml:space="preserve"> on new buildings</w:t>
      </w:r>
      <w:r w:rsidR="000B3E9B" w:rsidRPr="00F674D9">
        <w:t xml:space="preserve"> dropped by </w:t>
      </w:r>
      <w:r w:rsidR="007E4319">
        <w:t>17</w:t>
      </w:r>
      <w:r w:rsidR="0089110E">
        <w:t>.1</w:t>
      </w:r>
      <w:r w:rsidR="000B3E9B" w:rsidRPr="00F674D9">
        <w:t xml:space="preserve"> per cent in 2021</w:t>
      </w:r>
      <w:r w:rsidR="00145AF2">
        <w:t>-22</w:t>
      </w:r>
      <w:r w:rsidR="000B3E9B" w:rsidRPr="00F674D9">
        <w:t xml:space="preserve">, while expenditure </w:t>
      </w:r>
      <w:r w:rsidR="00E91EF8">
        <w:t>on</w:t>
      </w:r>
      <w:r w:rsidR="00E91EF8" w:rsidRPr="00F674D9">
        <w:t xml:space="preserve"> </w:t>
      </w:r>
      <w:r w:rsidR="000B3E9B" w:rsidRPr="00F674D9">
        <w:t xml:space="preserve">rebuilding activity also dropped, down </w:t>
      </w:r>
      <w:r w:rsidR="007E4319">
        <w:t>14</w:t>
      </w:r>
      <w:r w:rsidR="00E044FA">
        <w:t>.5</w:t>
      </w:r>
      <w:r w:rsidR="000B3E9B" w:rsidRPr="00F674D9">
        <w:t xml:space="preserve"> per cent.</w:t>
      </w:r>
      <w:r w:rsidR="000B3E9B" w:rsidRPr="00F674D9" w:rsidDel="00F53FAB">
        <w:t xml:space="preserve"> </w:t>
      </w:r>
    </w:p>
    <w:p w14:paraId="5946F702" w14:textId="5CCF5CC1" w:rsidR="00624CFA" w:rsidRDefault="00624CFA" w:rsidP="000B3E9B">
      <w:r w:rsidRPr="004264AD">
        <w:t>The decrease in expenditure is partly attributable to the ongoing fragility and volatility in the broader construction sector which has led to supply chain disruptions, builder shortages and significant cost increases. This has led to lower levels of building activity in the residential aged care sector.</w:t>
      </w:r>
    </w:p>
    <w:p w14:paraId="399EFFA0" w14:textId="5A37DDBD" w:rsidR="00411960" w:rsidRPr="004B4509" w:rsidRDefault="00F4541F" w:rsidP="00D949A3">
      <w:pPr>
        <w:pStyle w:val="Caption"/>
      </w:pPr>
      <w:bookmarkStart w:id="308" w:name="_Ref139549934"/>
      <w:bookmarkStart w:id="309" w:name="_Toc149245251"/>
      <w:r>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17</w:t>
      </w:r>
      <w:r>
        <w:fldChar w:fldCharType="end"/>
      </w:r>
      <w:bookmarkEnd w:id="308"/>
      <w:r>
        <w:t xml:space="preserve">: </w:t>
      </w:r>
      <w:r w:rsidRPr="005A7670">
        <w:t>Residential care building activity (completed or in-progress), 2017-18 to 2021-22</w:t>
      </w:r>
      <w:bookmarkEnd w:id="309"/>
    </w:p>
    <w:p w14:paraId="69E48EA2" w14:textId="5E22F056" w:rsidR="00984044" w:rsidRPr="00AF0B29" w:rsidRDefault="004452E9" w:rsidP="00984044">
      <w:r>
        <w:rPr>
          <w:noProof/>
        </w:rPr>
        <w:drawing>
          <wp:inline distT="0" distB="0" distL="0" distR="0" wp14:anchorId="2E113E31" wp14:editId="719FEC1B">
            <wp:extent cx="5253317" cy="3302750"/>
            <wp:effectExtent l="0" t="0" r="5080" b="0"/>
            <wp:docPr id="46" name="Picture 46" descr="Chart 4.17 is a stacked column chart titled Residential care building activity (completed or in-progress), 2017-18 to 2021-22. In 2021-22, the total completed or in-progress work was $3.8 billion, down from $4.7 billion in 2020-21. New buildings expenditure dropped by $436 million in 2021-22, while expenditure in rebuilding activity also dropped, down by $181 mil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4.17 is a stacked column chart titled Residential care building activity (completed or in-progress), 2017-18 to 2021-22. In 2021-22, the total completed or in-progress work was $3.8 billion, down from $4.7 billion in 2020-21. New buildings expenditure dropped by $436 million in 2021-22, while expenditure in rebuilding activity also dropped, down by $181 million.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57818" cy="3305579"/>
                    </a:xfrm>
                    <a:prstGeom prst="rect">
                      <a:avLst/>
                    </a:prstGeom>
                    <a:noFill/>
                  </pic:spPr>
                </pic:pic>
              </a:graphicData>
            </a:graphic>
          </wp:inline>
        </w:drawing>
      </w:r>
    </w:p>
    <w:p w14:paraId="47DF3E2D" w14:textId="3EC67DE4" w:rsidR="003A5D15" w:rsidRDefault="00984044" w:rsidP="00984044">
      <w:pPr>
        <w:pStyle w:val="Caption"/>
        <w:rPr>
          <w:b w:val="0"/>
          <w:bCs w:val="0"/>
        </w:rPr>
      </w:pPr>
      <w:r>
        <w:rPr>
          <w:b w:val="0"/>
          <w:bCs w:val="0"/>
          <w:szCs w:val="24"/>
        </w:rPr>
        <w:t xml:space="preserve">Chart 4.18 </w:t>
      </w:r>
      <w:r w:rsidR="00EE00BD" w:rsidRPr="003A5D15">
        <w:rPr>
          <w:b w:val="0"/>
          <w:bCs w:val="0"/>
          <w:szCs w:val="24"/>
        </w:rPr>
        <w:t>shows</w:t>
      </w:r>
      <w:r w:rsidR="00EE00BD" w:rsidRPr="00514D38">
        <w:rPr>
          <w:b w:val="0"/>
          <w:bCs w:val="0"/>
          <w:szCs w:val="24"/>
        </w:rPr>
        <w:t xml:space="preserve"> the proportion of facilities planning to upgrade or rebuild with a comparison of the last 5 years. In 2021-22, the proportion of facilities planning to upgrade was </w:t>
      </w:r>
      <w:r w:rsidR="00512734" w:rsidRPr="00514D38">
        <w:rPr>
          <w:b w:val="0"/>
          <w:bCs w:val="0"/>
          <w:szCs w:val="24"/>
        </w:rPr>
        <w:t>2.</w:t>
      </w:r>
      <w:r w:rsidR="007E4319" w:rsidRPr="00514D38">
        <w:rPr>
          <w:b w:val="0"/>
          <w:bCs w:val="0"/>
          <w:szCs w:val="24"/>
        </w:rPr>
        <w:t>7</w:t>
      </w:r>
      <w:r w:rsidR="005A4ACE" w:rsidRPr="00514D38">
        <w:rPr>
          <w:b w:val="0"/>
          <w:bCs w:val="0"/>
          <w:szCs w:val="24"/>
        </w:rPr>
        <w:t xml:space="preserve"> </w:t>
      </w:r>
      <w:r w:rsidR="00EE00BD" w:rsidRPr="00514D38">
        <w:rPr>
          <w:b w:val="0"/>
          <w:bCs w:val="0"/>
          <w:szCs w:val="24"/>
        </w:rPr>
        <w:t xml:space="preserve">per cent, down from </w:t>
      </w:r>
      <w:r w:rsidR="00512734" w:rsidRPr="00514D38">
        <w:rPr>
          <w:b w:val="0"/>
          <w:bCs w:val="0"/>
          <w:szCs w:val="24"/>
        </w:rPr>
        <w:t>3.5</w:t>
      </w:r>
      <w:r w:rsidR="00EE00BD" w:rsidRPr="00514D38">
        <w:rPr>
          <w:b w:val="0"/>
          <w:bCs w:val="0"/>
          <w:szCs w:val="24"/>
        </w:rPr>
        <w:t xml:space="preserve"> per cent in 2020</w:t>
      </w:r>
      <w:r w:rsidR="00512734" w:rsidRPr="00514D38">
        <w:rPr>
          <w:b w:val="0"/>
          <w:bCs w:val="0"/>
          <w:szCs w:val="24"/>
        </w:rPr>
        <w:t>-21</w:t>
      </w:r>
      <w:r w:rsidR="00EE00BD" w:rsidRPr="00514D38">
        <w:rPr>
          <w:b w:val="0"/>
          <w:bCs w:val="0"/>
          <w:szCs w:val="24"/>
        </w:rPr>
        <w:t>. The proportion of facilities planning to re-build</w:t>
      </w:r>
      <w:r w:rsidR="00FD53E0" w:rsidRPr="00514D38">
        <w:rPr>
          <w:b w:val="0"/>
          <w:bCs w:val="0"/>
          <w:szCs w:val="24"/>
        </w:rPr>
        <w:t xml:space="preserve"> in 2021-22</w:t>
      </w:r>
      <w:r w:rsidR="00EE00BD" w:rsidRPr="00514D38">
        <w:rPr>
          <w:b w:val="0"/>
          <w:bCs w:val="0"/>
          <w:szCs w:val="24"/>
        </w:rPr>
        <w:t xml:space="preserve"> </w:t>
      </w:r>
      <w:r w:rsidR="00FD53E0" w:rsidRPr="00514D38">
        <w:rPr>
          <w:b w:val="0"/>
          <w:bCs w:val="0"/>
          <w:szCs w:val="24"/>
        </w:rPr>
        <w:t>slightly decreased, down to 0.5 per cent from 0.7 per cent in 2020-21.</w:t>
      </w:r>
      <w:bookmarkStart w:id="310" w:name="_Ref139549958"/>
      <w:r w:rsidR="003A5D15">
        <w:br w:type="page"/>
      </w:r>
    </w:p>
    <w:p w14:paraId="5EA1EBE9" w14:textId="6AB5E9B3" w:rsidR="00F4541F" w:rsidRPr="00AF0B29" w:rsidRDefault="00F4541F" w:rsidP="00F4541F">
      <w:pPr>
        <w:pStyle w:val="Caption"/>
      </w:pPr>
      <w:bookmarkStart w:id="311" w:name="_Toc149245252"/>
      <w:r>
        <w:lastRenderedPageBreak/>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18</w:t>
      </w:r>
      <w:r>
        <w:fldChar w:fldCharType="end"/>
      </w:r>
      <w:bookmarkEnd w:id="310"/>
      <w:r>
        <w:t xml:space="preserve">: </w:t>
      </w:r>
      <w:r w:rsidRPr="00E442D7">
        <w:t>Proportion of facilities planning to either upgrade or rebuild, 2017-18 to 2021-22</w:t>
      </w:r>
      <w:bookmarkEnd w:id="311"/>
    </w:p>
    <w:p w14:paraId="7F861A48" w14:textId="19B9EA08" w:rsidR="00411960" w:rsidRPr="004B4509" w:rsidRDefault="004B4509" w:rsidP="004B4509">
      <w:r>
        <w:rPr>
          <w:noProof/>
        </w:rPr>
        <w:drawing>
          <wp:inline distT="0" distB="0" distL="0" distR="0" wp14:anchorId="1A6588F8" wp14:editId="36BA65BC">
            <wp:extent cx="4912658" cy="3088579"/>
            <wp:effectExtent l="0" t="0" r="2540" b="0"/>
            <wp:docPr id="1773416593" name="Picture 1773416593" descr="Chart 4.18 is a clustered column chart titled Proportion of facilities planning to either upgrade or rebuild, 2017-18 to 2021-22. In 2021-22, the proportion of facilities planning to upgrade is 2.7 per cent, down from 3.5 per cent in 2020-21. The proportion of facilities planning to re-build was 0.5 per cent, 0.2 per centage points down on 20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93" name="Picture 1773416593" descr="Chart 4.18 is a clustered column chart titled Proportion of facilities planning to either upgrade or rebuild, 2017-18 to 2021-22. In 2021-22, the proportion of facilities planning to upgrade is 2.7 per cent, down from 3.5 per cent in 2020-21. The proportion of facilities planning to re-build was 0.5 per cent, 0.2 per centage points down on 2020-21.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18621" cy="3092328"/>
                    </a:xfrm>
                    <a:prstGeom prst="rect">
                      <a:avLst/>
                    </a:prstGeom>
                    <a:noFill/>
                  </pic:spPr>
                </pic:pic>
              </a:graphicData>
            </a:graphic>
          </wp:inline>
        </w:drawing>
      </w:r>
    </w:p>
    <w:p w14:paraId="3C0BC2F1" w14:textId="32AE8A5E" w:rsidR="00056CE1" w:rsidRPr="00F674D9" w:rsidRDefault="00F4541F" w:rsidP="00002115">
      <w:r>
        <w:fldChar w:fldCharType="begin"/>
      </w:r>
      <w:r>
        <w:instrText xml:space="preserve"> REF _Ref139549984 \h </w:instrText>
      </w:r>
      <w:r>
        <w:fldChar w:fldCharType="separate"/>
      </w:r>
      <w:r w:rsidR="00294B02">
        <w:t xml:space="preserve">Chart </w:t>
      </w:r>
      <w:r w:rsidR="00294B02">
        <w:rPr>
          <w:noProof/>
        </w:rPr>
        <w:t>4</w:t>
      </w:r>
      <w:r w:rsidR="00294B02">
        <w:t>.</w:t>
      </w:r>
      <w:r w:rsidR="00294B02">
        <w:rPr>
          <w:noProof/>
        </w:rPr>
        <w:t>19</w:t>
      </w:r>
      <w:r>
        <w:fldChar w:fldCharType="end"/>
      </w:r>
      <w:r w:rsidR="00FD53E0">
        <w:t xml:space="preserve"> </w:t>
      </w:r>
      <w:r w:rsidR="00002115" w:rsidRPr="00F674D9">
        <w:t xml:space="preserve">shows the number of building approvals </w:t>
      </w:r>
      <w:r w:rsidR="000F31E1">
        <w:t>(</w:t>
      </w:r>
      <w:r w:rsidR="00002115" w:rsidRPr="00F674D9">
        <w:t>by value</w:t>
      </w:r>
      <w:r w:rsidR="000F31E1">
        <w:t>)</w:t>
      </w:r>
      <w:r w:rsidR="00002115" w:rsidRPr="00F674D9">
        <w:t xml:space="preserve"> of building works for </w:t>
      </w:r>
      <w:r w:rsidR="00C9445E">
        <w:t xml:space="preserve">the </w:t>
      </w:r>
      <w:r w:rsidR="00002115">
        <w:t>5</w:t>
      </w:r>
      <w:r w:rsidR="00002115" w:rsidRPr="00F674D9">
        <w:t xml:space="preserve"> years to 2021</w:t>
      </w:r>
      <w:r w:rsidR="00002115">
        <w:t>-22</w:t>
      </w:r>
      <w:r w:rsidR="00002115" w:rsidRPr="00F674D9">
        <w:t>. The total number of builds dropped in 2021</w:t>
      </w:r>
      <w:r w:rsidR="00002115">
        <w:t>-22</w:t>
      </w:r>
      <w:r w:rsidR="00002115" w:rsidRPr="00F674D9">
        <w:t xml:space="preserve"> for the fifth year in a row, down to </w:t>
      </w:r>
      <w:r w:rsidR="000C47B2">
        <w:t>231</w:t>
      </w:r>
      <w:r w:rsidR="00002115" w:rsidRPr="00F674D9">
        <w:t xml:space="preserve"> from </w:t>
      </w:r>
      <w:r w:rsidR="00740D7B">
        <w:t>257</w:t>
      </w:r>
      <w:r w:rsidR="00002115" w:rsidRPr="00F674D9">
        <w:t xml:space="preserve"> in 2020</w:t>
      </w:r>
      <w:r w:rsidR="00740D7B">
        <w:t>-21</w:t>
      </w:r>
      <w:r w:rsidR="00002115" w:rsidRPr="00F674D9">
        <w:t xml:space="preserve">, </w:t>
      </w:r>
      <w:r w:rsidR="00EA60C6">
        <w:t>from</w:t>
      </w:r>
      <w:r w:rsidR="00EA60C6" w:rsidRPr="00F674D9">
        <w:t xml:space="preserve"> </w:t>
      </w:r>
      <w:r w:rsidR="00002115" w:rsidRPr="00F674D9">
        <w:t xml:space="preserve">a peak of </w:t>
      </w:r>
      <w:r w:rsidR="00740D7B">
        <w:t>351</w:t>
      </w:r>
      <w:r w:rsidR="00002115" w:rsidRPr="00F674D9">
        <w:t xml:space="preserve"> in 201</w:t>
      </w:r>
      <w:r w:rsidR="00740D7B">
        <w:t>7-18</w:t>
      </w:r>
      <w:r w:rsidR="00002115" w:rsidRPr="00F674D9">
        <w:t>.</w:t>
      </w:r>
      <w:r w:rsidR="00002115" w:rsidRPr="00F674D9" w:rsidDel="00FD53E0">
        <w:t xml:space="preserve"> </w:t>
      </w:r>
    </w:p>
    <w:p w14:paraId="1FFF8AA5" w14:textId="0E50F16E" w:rsidR="00F4541F" w:rsidRPr="00F674D9" w:rsidRDefault="00FE02A8" w:rsidP="00F4541F">
      <w:pPr>
        <w:pStyle w:val="Caption"/>
      </w:pPr>
      <w:bookmarkStart w:id="312" w:name="_Ref139549984"/>
      <w:bookmarkStart w:id="313" w:name="_Toc149245253"/>
      <w:r>
        <w:t xml:space="preserve">Chart </w:t>
      </w:r>
      <w:r>
        <w:fldChar w:fldCharType="begin"/>
      </w:r>
      <w:r>
        <w:instrText>STYLEREF 1 \s</w:instrText>
      </w:r>
      <w:r>
        <w:fldChar w:fldCharType="separate"/>
      </w:r>
      <w:r w:rsidR="00294B02">
        <w:rPr>
          <w:noProof/>
        </w:rPr>
        <w:t>4</w:t>
      </w:r>
      <w:r>
        <w:fldChar w:fldCharType="end"/>
      </w:r>
      <w:r w:rsidR="00054A51">
        <w:t>.</w:t>
      </w:r>
      <w:r>
        <w:fldChar w:fldCharType="begin"/>
      </w:r>
      <w:r>
        <w:instrText>SEQ Chart \* ARABIC \s 1</w:instrText>
      </w:r>
      <w:r>
        <w:fldChar w:fldCharType="separate"/>
      </w:r>
      <w:r w:rsidR="00294B02">
        <w:rPr>
          <w:noProof/>
        </w:rPr>
        <w:t>19</w:t>
      </w:r>
      <w:r>
        <w:fldChar w:fldCharType="end"/>
      </w:r>
      <w:bookmarkEnd w:id="312"/>
      <w:r w:rsidR="00F4541F">
        <w:t xml:space="preserve">: </w:t>
      </w:r>
      <w:r w:rsidR="00F4541F" w:rsidRPr="00764479">
        <w:t>Number of building approvals, by value of building work, 2017-18 to 2021-22</w:t>
      </w:r>
      <w:bookmarkEnd w:id="313"/>
    </w:p>
    <w:p w14:paraId="0A047649" w14:textId="77777777" w:rsidR="00B13D8E" w:rsidRDefault="00F9208E" w:rsidP="00B13D8E">
      <w:pPr>
        <w:rPr>
          <w:b/>
          <w:bCs/>
          <w:sz w:val="32"/>
          <w:szCs w:val="32"/>
        </w:rPr>
        <w:sectPr w:rsidR="00B13D8E" w:rsidSect="000D706A">
          <w:footerReference w:type="even" r:id="rId108"/>
          <w:footerReference w:type="default" r:id="rId109"/>
          <w:pgSz w:w="11906" w:h="16838"/>
          <w:pgMar w:top="1701" w:right="1418" w:bottom="1418" w:left="1418" w:header="709" w:footer="709" w:gutter="0"/>
          <w:cols w:space="708"/>
          <w:docGrid w:linePitch="360"/>
        </w:sectPr>
      </w:pPr>
      <w:r>
        <w:rPr>
          <w:noProof/>
        </w:rPr>
        <w:drawing>
          <wp:inline distT="0" distB="0" distL="0" distR="0" wp14:anchorId="2C795110" wp14:editId="0412AD24">
            <wp:extent cx="5730874" cy="3535680"/>
            <wp:effectExtent l="0" t="0" r="3175" b="7620"/>
            <wp:docPr id="1773416594" name="Picture 1773416594" descr="Chart 4.19 is a clustered column chart titled Number of building approvals, by value of building work, 2017-18 to 2021-22. The total number of builds dropped in 2021-22 for the fifth year in a row, down to 231 from 257 in 2020-21, and a peak of 351 in 2017-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3416594"/>
                    <pic:cNvPicPr/>
                  </pic:nvPicPr>
                  <pic:blipFill>
                    <a:blip r:embed="rId110">
                      <a:extLst>
                        <a:ext uri="{28A0092B-C50C-407E-A947-70E740481C1C}">
                          <a14:useLocalDpi xmlns:a14="http://schemas.microsoft.com/office/drawing/2010/main" val="0"/>
                        </a:ext>
                      </a:extLst>
                    </a:blip>
                    <a:stretch>
                      <a:fillRect/>
                    </a:stretch>
                  </pic:blipFill>
                  <pic:spPr>
                    <a:xfrm>
                      <a:off x="0" y="0"/>
                      <a:ext cx="5730874" cy="3535680"/>
                    </a:xfrm>
                    <a:prstGeom prst="rect">
                      <a:avLst/>
                    </a:prstGeom>
                  </pic:spPr>
                </pic:pic>
              </a:graphicData>
            </a:graphic>
          </wp:inline>
        </w:drawing>
      </w:r>
    </w:p>
    <w:p w14:paraId="52218B0E" w14:textId="03C8ECC7" w:rsidR="001B57DE" w:rsidRDefault="00B13D8E" w:rsidP="00B13D8E">
      <w:pPr>
        <w:rPr>
          <w:b/>
          <w:bCs/>
          <w:sz w:val="32"/>
          <w:szCs w:val="32"/>
        </w:rPr>
      </w:pPr>
      <w:r>
        <w:rPr>
          <w:noProof/>
        </w:rPr>
        <w:lastRenderedPageBreak/>
        <w:drawing>
          <wp:anchor distT="0" distB="0" distL="114300" distR="114300" simplePos="0" relativeHeight="251666432" behindDoc="0" locked="0" layoutInCell="1" allowOverlap="1" wp14:anchorId="7FD4AE57" wp14:editId="1D3134F2">
            <wp:simplePos x="0" y="0"/>
            <wp:positionH relativeFrom="page">
              <wp:posOffset>10160</wp:posOffset>
            </wp:positionH>
            <wp:positionV relativeFrom="paragraph">
              <wp:posOffset>-1076960</wp:posOffset>
            </wp:positionV>
            <wp:extent cx="7550150" cy="9742439"/>
            <wp:effectExtent l="0" t="0" r="0" b="0"/>
            <wp:wrapNone/>
            <wp:docPr id="30" name="Picture 30" descr="The infographic at the beginning of Chapter 5 titled Commonwealth Home Support Programme, shows a summary of Commonwealth Home Support Programme for 2021-22. The total number of CHSP recipients in 2021-22 was 818,228, down 0.87 per cent on 2020-21. There were 1,407 CHSP providers, a decrease of 1.75% on 2020-21. Australian Government funding was $2.86 billion, an increase of 5.45 per cent from 2020-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e infographic at the beginning of Chapter 5 titled Commonwealth Home Support Programme, shows a summary of Commonwealth Home Support Programme for 2021-22. The total number of CHSP recipients in 2021-22 was 818,228, down 0.87 per cent on 2020-21. There were 1,407 CHSP providers, a decrease of 1.75% on 2020-21. Australian Government funding was $2.86 billion, an increase of 5.45 per cent from 2020-21.&#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550150" cy="97424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32"/>
          <w:szCs w:val="32"/>
        </w:rPr>
        <w:t xml:space="preserve"> </w:t>
      </w:r>
      <w:r w:rsidR="001B57DE">
        <w:rPr>
          <w:b/>
          <w:bCs/>
          <w:sz w:val="32"/>
          <w:szCs w:val="32"/>
        </w:rPr>
        <w:br w:type="page"/>
      </w:r>
    </w:p>
    <w:p w14:paraId="09223A83" w14:textId="63002D70" w:rsidR="008C6A9C" w:rsidRDefault="008C6A9C" w:rsidP="00A20D31">
      <w:pPr>
        <w:pStyle w:val="Heading1"/>
      </w:pPr>
      <w:bookmarkStart w:id="314" w:name="_Toc149245327"/>
      <w:r>
        <w:lastRenderedPageBreak/>
        <w:t>Commonwealth</w:t>
      </w:r>
      <w:r w:rsidR="00D43A03">
        <w:t xml:space="preserve"> Home Support Programme</w:t>
      </w:r>
      <w:bookmarkEnd w:id="314"/>
    </w:p>
    <w:p w14:paraId="428A462A" w14:textId="05723646" w:rsidR="007F0233" w:rsidRDefault="007F0233" w:rsidP="007F0233">
      <w:pPr>
        <w:rPr>
          <w:color w:val="1E1545" w:themeColor="text2"/>
        </w:rPr>
      </w:pPr>
      <w:r w:rsidRPr="1D879BD6">
        <w:rPr>
          <w:color w:val="1E1545" w:themeColor="text2"/>
        </w:rPr>
        <w:t>In 2021-22, there were 818,228 recipients of the Commonwealth Home Support Programme (CHSP), down from 825,383 in 2020-21. This slight decrease is despite total Australian Government funding of the CHSP increasing from $2.9 billion ($2.7 billion for delivery of CHSP services) in 2020-21 to $3.06 billion ($2.9 billion for delivery of CHSP services) in 2021-22.</w:t>
      </w:r>
    </w:p>
    <w:p w14:paraId="4191A1AB" w14:textId="0998C82A" w:rsidR="00F15E51" w:rsidRDefault="007F0233" w:rsidP="007F0233">
      <w:r w:rsidRPr="00842AFB">
        <w:t xml:space="preserve">To obtain access to </w:t>
      </w:r>
      <w:r>
        <w:t xml:space="preserve">the </w:t>
      </w:r>
      <w:r w:rsidR="00CA1BB7">
        <w:t>CHSP</w:t>
      </w:r>
      <w:r w:rsidRPr="00842AFB">
        <w:t xml:space="preserve">, individuals are first assessed by </w:t>
      </w:r>
      <w:r>
        <w:t>either a Regional Assessment Service (RAS) or an</w:t>
      </w:r>
      <w:r w:rsidRPr="00842AFB">
        <w:t xml:space="preserve"> independent Aged Care Assessment Team (ACAT)</w:t>
      </w:r>
      <w:r>
        <w:t>.</w:t>
      </w:r>
    </w:p>
    <w:p w14:paraId="0BBE373C" w14:textId="4543B798" w:rsidR="00064247" w:rsidRPr="005D08AA" w:rsidRDefault="007F0233" w:rsidP="007F0233">
      <w:pPr>
        <w:rPr>
          <w:color w:val="1E1545"/>
        </w:rPr>
      </w:pPr>
      <w:r>
        <w:t xml:space="preserve">For individuals who require low-level support to stay independent at home a RAS assessor will visit. For more complex support, an ACAT assessor will provide a more comprehensive assessment and will assist </w:t>
      </w:r>
      <w:r w:rsidR="00012992">
        <w:t xml:space="preserve">the older person </w:t>
      </w:r>
      <w:r>
        <w:t xml:space="preserve">to </w:t>
      </w:r>
      <w:r w:rsidR="00012992">
        <w:t>access</w:t>
      </w:r>
      <w:r>
        <w:t xml:space="preserve"> either CHSP, a Home Care Package, short-term </w:t>
      </w:r>
      <w:proofErr w:type="gramStart"/>
      <w:r>
        <w:t>care</w:t>
      </w:r>
      <w:proofErr w:type="gramEnd"/>
      <w:r>
        <w:t xml:space="preserve"> or an aged care home.</w:t>
      </w:r>
    </w:p>
    <w:p w14:paraId="6C4385E3" w14:textId="51E70EDF" w:rsidR="007F0233" w:rsidRPr="00E026A8" w:rsidRDefault="00064247" w:rsidP="00BB271C">
      <w:r>
        <w:t xml:space="preserve">CHSP providers are not required to complete the annual </w:t>
      </w:r>
      <w:r w:rsidR="008E7E53">
        <w:t>Aged Care Financial Report (</w:t>
      </w:r>
      <w:r>
        <w:t>ACFR</w:t>
      </w:r>
      <w:r w:rsidR="008E7E53">
        <w:t>)</w:t>
      </w:r>
      <w:r w:rsidR="0020449F">
        <w:t>.</w:t>
      </w:r>
      <w:r w:rsidR="001035BA">
        <w:t xml:space="preserve"> As such, the following chapter does not include financial summaries </w:t>
      </w:r>
      <w:r w:rsidR="000C40CA">
        <w:t xml:space="preserve">or discussions on the financial performance of CHSP providers. The </w:t>
      </w:r>
      <w:r w:rsidR="007F7DDC">
        <w:t>d</w:t>
      </w:r>
      <w:r w:rsidR="000C40CA">
        <w:t xml:space="preserve">epartment monitors </w:t>
      </w:r>
      <w:r w:rsidR="00CE4AD4">
        <w:t>CHSP providers through an</w:t>
      </w:r>
      <w:r w:rsidR="006A40A4">
        <w:t xml:space="preserve"> annual </w:t>
      </w:r>
      <w:r w:rsidR="00D064E0">
        <w:t xml:space="preserve">grant </w:t>
      </w:r>
      <w:r w:rsidR="006A40A4">
        <w:t>acquittal process.</w:t>
      </w:r>
    </w:p>
    <w:p w14:paraId="7C33507B" w14:textId="743B017D" w:rsidR="005C71C4" w:rsidRPr="0069175C" w:rsidRDefault="007F0233" w:rsidP="008A35F3">
      <w:pPr>
        <w:pStyle w:val="Heading2"/>
        <w:rPr>
          <w:b w:val="0"/>
          <w:bCs w:val="0"/>
          <w:szCs w:val="24"/>
        </w:rPr>
      </w:pPr>
      <w:bookmarkStart w:id="315" w:name="_Toc149245328"/>
      <w:r w:rsidRPr="0069175C">
        <w:t>Recipients</w:t>
      </w:r>
      <w:bookmarkEnd w:id="315"/>
    </w:p>
    <w:p w14:paraId="37FCF1C0" w14:textId="67288A0B" w:rsidR="007F0233" w:rsidRPr="006C66D7" w:rsidRDefault="005C71C4" w:rsidP="006C66D7">
      <w:r>
        <w:t xml:space="preserve">Chart 5.1 </w:t>
      </w:r>
      <w:r w:rsidR="007F0233" w:rsidRPr="0069175C">
        <w:t>shows</w:t>
      </w:r>
      <w:r w:rsidR="007F0233" w:rsidRPr="00514D38">
        <w:t xml:space="preserve"> the number of CHSP recipients from 2016-17 to 2021-22. The number of CHSP recipients was 818,228 in 2021-22, which continued the trend of year-on-year decreases since 2017-18 when there were 847,534 CHSP recipients. In 2021-22, 166,830 </w:t>
      </w:r>
      <w:r w:rsidR="0067066D" w:rsidRPr="00514D38">
        <w:t>culturally and linguistically diverse</w:t>
      </w:r>
      <w:r w:rsidR="00DB3642" w:rsidRPr="00514D38">
        <w:t xml:space="preserve"> (</w:t>
      </w:r>
      <w:r w:rsidR="007F0233" w:rsidRPr="00514D38">
        <w:t>CALD</w:t>
      </w:r>
      <w:r w:rsidR="00DB3642" w:rsidRPr="00514D38">
        <w:t>)</w:t>
      </w:r>
      <w:r w:rsidR="007F0233" w:rsidRPr="00514D38">
        <w:t xml:space="preserve"> Australians were CHSP</w:t>
      </w:r>
      <w:r w:rsidR="006C66D7">
        <w:rPr>
          <w:b/>
          <w:bCs/>
        </w:rPr>
        <w:t xml:space="preserve"> </w:t>
      </w:r>
      <w:r w:rsidR="007F0233" w:rsidRPr="00514D38">
        <w:t xml:space="preserve">recipients, </w:t>
      </w:r>
      <w:proofErr w:type="gramStart"/>
      <w:r w:rsidR="007F0233" w:rsidRPr="00514D38">
        <w:t>similar to</w:t>
      </w:r>
      <w:proofErr w:type="gramEnd"/>
      <w:r w:rsidR="007F0233" w:rsidRPr="00514D38">
        <w:t xml:space="preserve"> the number of recipients in 2020-21 (166,943). The number of </w:t>
      </w:r>
      <w:r w:rsidR="0096538B" w:rsidRPr="00514D38">
        <w:t>F</w:t>
      </w:r>
      <w:r w:rsidR="007F0233" w:rsidRPr="00514D38">
        <w:t xml:space="preserve">irst </w:t>
      </w:r>
      <w:r w:rsidR="0096538B" w:rsidRPr="00514D38">
        <w:t>N</w:t>
      </w:r>
      <w:r w:rsidR="007F0233" w:rsidRPr="00514D38">
        <w:t>ations elders who accessed CHSP in 2021-22 was 22,452.</w:t>
      </w:r>
    </w:p>
    <w:p w14:paraId="654D4CD1" w14:textId="727D5244" w:rsidR="007F0233" w:rsidRDefault="0066678F" w:rsidP="007F0233">
      <w:pPr>
        <w:pStyle w:val="Caption"/>
      </w:pPr>
      <w:bookmarkStart w:id="316" w:name="_Ref139548281"/>
      <w:bookmarkStart w:id="317" w:name="_Toc149245254"/>
      <w:r>
        <w:lastRenderedPageBreak/>
        <w:t xml:space="preserve">Chart </w:t>
      </w:r>
      <w:r>
        <w:fldChar w:fldCharType="begin"/>
      </w:r>
      <w:r>
        <w:instrText>STYLEREF 1 \s</w:instrText>
      </w:r>
      <w:r>
        <w:fldChar w:fldCharType="separate"/>
      </w:r>
      <w:r w:rsidR="00294B02">
        <w:rPr>
          <w:noProof/>
        </w:rPr>
        <w:t>5</w:t>
      </w:r>
      <w:r>
        <w:fldChar w:fldCharType="end"/>
      </w:r>
      <w:r w:rsidR="00054A51">
        <w:t>.</w:t>
      </w:r>
      <w:r>
        <w:fldChar w:fldCharType="begin"/>
      </w:r>
      <w:r>
        <w:instrText>SEQ Chart \* ARABIC \s 1</w:instrText>
      </w:r>
      <w:r>
        <w:fldChar w:fldCharType="separate"/>
      </w:r>
      <w:r w:rsidR="00294B02">
        <w:rPr>
          <w:noProof/>
        </w:rPr>
        <w:t>1</w:t>
      </w:r>
      <w:r>
        <w:fldChar w:fldCharType="end"/>
      </w:r>
      <w:bookmarkEnd w:id="316"/>
      <w:r w:rsidR="007F0233">
        <w:t xml:space="preserve">: </w:t>
      </w:r>
      <w:r w:rsidR="007F0233" w:rsidRPr="00AD4654">
        <w:t>Number of CHSP recipients, 2017-18 to 2021-22</w:t>
      </w:r>
      <w:bookmarkEnd w:id="317"/>
    </w:p>
    <w:p w14:paraId="2A9040F3" w14:textId="0338AB49" w:rsidR="007F0233" w:rsidRPr="005D08AA" w:rsidRDefault="007F0233" w:rsidP="00B176AB">
      <w:pPr>
        <w:rPr>
          <w:color w:val="1E1545"/>
        </w:rPr>
      </w:pPr>
      <w:r>
        <w:rPr>
          <w:noProof/>
          <w:color w:val="1E1545"/>
        </w:rPr>
        <w:drawing>
          <wp:inline distT="0" distB="0" distL="0" distR="0" wp14:anchorId="0C8B8B56" wp14:editId="511D962C">
            <wp:extent cx="4743450" cy="2982198"/>
            <wp:effectExtent l="0" t="0" r="0" b="8890"/>
            <wp:docPr id="3" name="Picture 3" descr="Chart 5.1 is a stacked column chart titled Number of CHSP recipients, 2017-18 to 2021-22. The total number of recipients in CHSP has been gradually decreasing from 2017-18. In 2021-22 the total number of recipients was 818,228, down from 847,534 in 2017-18. The proportion of CALD recipients increased from 20.2 per cent in 2020-21 to 20.4 per cent in 2021-22. First Nations recipients proportion slightly decreased from 28 per cent in 2020-21, to 2.7 per cent in 2021-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5.1 is a stacked column chart titled Number of CHSP recipients, 2017-18 to 2021-22. The total number of recipients in CHSP has been gradually decreasing from 2017-18. In 2021-22 the total number of recipients was 818,228, down from 847,534 in 2017-18. The proportion of CALD recipients increased from 20.2 per cent in 2020-21 to 20.4 per cent in 2021-22. First Nations recipients proportion slightly decreased from 28 per cent in 2020-21, to 2.7 per cent in 2021-22.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51817" cy="2987458"/>
                    </a:xfrm>
                    <a:prstGeom prst="rect">
                      <a:avLst/>
                    </a:prstGeom>
                    <a:noFill/>
                  </pic:spPr>
                </pic:pic>
              </a:graphicData>
            </a:graphic>
          </wp:inline>
        </w:drawing>
      </w:r>
    </w:p>
    <w:p w14:paraId="75D401F8" w14:textId="35C5CF5B" w:rsidR="007F0233" w:rsidRPr="005D08AA" w:rsidRDefault="0097673D" w:rsidP="008A35F3">
      <w:pPr>
        <w:pStyle w:val="Heading2"/>
      </w:pPr>
      <w:bookmarkStart w:id="318" w:name="_Toc140585726"/>
      <w:bookmarkEnd w:id="318"/>
      <w:r>
        <w:t xml:space="preserve"> </w:t>
      </w:r>
      <w:bookmarkStart w:id="319" w:name="_Toc149245329"/>
      <w:r w:rsidR="007F0233" w:rsidRPr="005D08AA">
        <w:t>Providers</w:t>
      </w:r>
      <w:bookmarkEnd w:id="319"/>
    </w:p>
    <w:p w14:paraId="488EC7F1" w14:textId="77777777" w:rsidR="00294B02" w:rsidRDefault="007F0233" w:rsidP="00B176AB">
      <w:r>
        <w:rPr>
          <w:color w:val="1E1545"/>
        </w:rPr>
        <w:t>In 2021-22, t</w:t>
      </w:r>
      <w:r w:rsidRPr="005D08AA">
        <w:rPr>
          <w:color w:val="1E1545"/>
        </w:rPr>
        <w:t xml:space="preserve">he number of CHSP providers continued to decline slightly. </w:t>
      </w:r>
      <w:r w:rsidR="003B4897">
        <w:rPr>
          <w:color w:val="1E1545"/>
        </w:rPr>
        <w:fldChar w:fldCharType="begin"/>
      </w:r>
      <w:r w:rsidR="003B4897">
        <w:rPr>
          <w:color w:val="1E1545"/>
        </w:rPr>
        <w:instrText xml:space="preserve"> REF _Ref139548323 \h </w:instrText>
      </w:r>
      <w:r w:rsidR="003B4897">
        <w:rPr>
          <w:color w:val="1E1545"/>
        </w:rPr>
      </w:r>
      <w:r w:rsidR="003B4897">
        <w:rPr>
          <w:color w:val="1E1545"/>
        </w:rPr>
        <w:fldChar w:fldCharType="separate"/>
      </w:r>
    </w:p>
    <w:p w14:paraId="67DACDDE" w14:textId="31D56893" w:rsidR="007F0233" w:rsidRPr="005D08AA" w:rsidRDefault="00294B02" w:rsidP="007F0233">
      <w:pPr>
        <w:rPr>
          <w:color w:val="1E1545"/>
        </w:rPr>
      </w:pPr>
      <w:r>
        <w:t xml:space="preserve">Chart </w:t>
      </w:r>
      <w:r>
        <w:rPr>
          <w:noProof/>
        </w:rPr>
        <w:t>5</w:t>
      </w:r>
      <w:r>
        <w:t>.</w:t>
      </w:r>
      <w:r>
        <w:rPr>
          <w:noProof/>
        </w:rPr>
        <w:t>2</w:t>
      </w:r>
      <w:r w:rsidR="003B4897">
        <w:rPr>
          <w:color w:val="1E1545"/>
        </w:rPr>
        <w:fldChar w:fldCharType="end"/>
      </w:r>
      <w:r w:rsidR="007F0233" w:rsidRPr="005D08AA">
        <w:rPr>
          <w:color w:val="1E1545"/>
        </w:rPr>
        <w:t xml:space="preserve"> shows there </w:t>
      </w:r>
      <w:r w:rsidR="007F0233">
        <w:rPr>
          <w:color w:val="1E1545"/>
        </w:rPr>
        <w:t>were</w:t>
      </w:r>
      <w:r w:rsidR="007F0233" w:rsidRPr="005D08AA">
        <w:rPr>
          <w:color w:val="1E1545"/>
        </w:rPr>
        <w:t xml:space="preserve"> 1,407 CHSP providers in 2021-22, down 25 CHSP providers on the total reported in 2020-21.</w:t>
      </w:r>
    </w:p>
    <w:p w14:paraId="48339F7C" w14:textId="4278C85D" w:rsidR="009D6ACD" w:rsidRDefault="007F0233" w:rsidP="00B176AB">
      <w:r>
        <w:rPr>
          <w:color w:val="1E1545" w:themeColor="text2"/>
        </w:rPr>
        <w:t>T</w:t>
      </w:r>
      <w:r w:rsidRPr="1D879BD6">
        <w:rPr>
          <w:color w:val="1E1545" w:themeColor="text2"/>
        </w:rPr>
        <w:t>he proportion</w:t>
      </w:r>
      <w:r>
        <w:rPr>
          <w:color w:val="1E1545" w:themeColor="text2"/>
        </w:rPr>
        <w:t xml:space="preserve"> of</w:t>
      </w:r>
      <w:r w:rsidRPr="1D879BD6">
        <w:rPr>
          <w:color w:val="1E1545" w:themeColor="text2"/>
        </w:rPr>
        <w:t xml:space="preserve"> for-profit providers increased from 7 per cent to 11 per cent</w:t>
      </w:r>
      <w:r>
        <w:rPr>
          <w:color w:val="1E1545" w:themeColor="text2"/>
        </w:rPr>
        <w:t>, while</w:t>
      </w:r>
      <w:r w:rsidRPr="1D879BD6">
        <w:rPr>
          <w:color w:val="1E1545" w:themeColor="text2"/>
        </w:rPr>
        <w:t xml:space="preserve"> not-for-profit and local, state or territory government providers decreased by 2 percentage points each in 2021-22</w:t>
      </w:r>
      <w:r>
        <w:rPr>
          <w:color w:val="1E1545" w:themeColor="text2"/>
        </w:rPr>
        <w:t xml:space="preserve">. The proportion changes were due to a decrease of 50 not-for-profit and 40 local, state or territory government providers, and an increase of 49 for-profit providers. </w:t>
      </w:r>
      <w:bookmarkStart w:id="320" w:name="_Ref139548323"/>
    </w:p>
    <w:p w14:paraId="3753BA74" w14:textId="55742CD0" w:rsidR="00FF30D4" w:rsidRPr="006C66D7" w:rsidRDefault="003B4897" w:rsidP="006C66D7">
      <w:pPr>
        <w:pStyle w:val="Caption"/>
        <w:keepNext w:val="0"/>
      </w:pPr>
      <w:bookmarkStart w:id="321" w:name="_Toc149245255"/>
      <w:r>
        <w:t xml:space="preserve">Chart </w:t>
      </w:r>
      <w:r>
        <w:fldChar w:fldCharType="begin"/>
      </w:r>
      <w:r>
        <w:instrText>STYLEREF 1 \s</w:instrText>
      </w:r>
      <w:r>
        <w:fldChar w:fldCharType="separate"/>
      </w:r>
      <w:r w:rsidR="00294B02">
        <w:rPr>
          <w:noProof/>
        </w:rPr>
        <w:t>5</w:t>
      </w:r>
      <w:r>
        <w:fldChar w:fldCharType="end"/>
      </w:r>
      <w:r w:rsidR="00434A28">
        <w:t>.</w:t>
      </w:r>
      <w:r>
        <w:fldChar w:fldCharType="begin"/>
      </w:r>
      <w:r>
        <w:instrText>SEQ Chart \* ARABIC \s 1</w:instrText>
      </w:r>
      <w:r>
        <w:fldChar w:fldCharType="separate"/>
      </w:r>
      <w:r w:rsidR="00294B02">
        <w:rPr>
          <w:noProof/>
        </w:rPr>
        <w:t>2</w:t>
      </w:r>
      <w:r>
        <w:fldChar w:fldCharType="end"/>
      </w:r>
      <w:bookmarkEnd w:id="320"/>
      <w:r>
        <w:t xml:space="preserve">: </w:t>
      </w:r>
      <w:r w:rsidRPr="004B0D89">
        <w:t>Providers of CHSP, by ownership type, 2017-18 to 2021-22</w:t>
      </w:r>
      <w:r w:rsidR="00897549">
        <w:rPr>
          <w:noProof/>
          <w:color w:val="1E1545"/>
        </w:rPr>
        <w:drawing>
          <wp:inline distT="0" distB="0" distL="0" distR="0" wp14:anchorId="6B740FAC" wp14:editId="139E6E1D">
            <wp:extent cx="4669745" cy="2743200"/>
            <wp:effectExtent l="0" t="0" r="0" b="0"/>
            <wp:docPr id="1773416595" name="Picture 1773416595" descr="Chart 5.2 is a stacked column chart titled Providers of CHSP, by ownership type, 2017-18 to 2021-22. The total number of CHSP providers has declined since 2017-18, down from 1,547 to 1,407 providers in 2021-22. The proportion of not-for-profit CHSP providers has slightly decreased from 69 per cent in 2020-21 to 67 per cent in 2021-22. The proportion of for-profit CHSP providers has increased from 7 per cent in 2020-21 to 11 per cent in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95" name="Picture 1773416595" descr="Chart 5.2 is a stacked column chart titled Providers of CHSP, by ownership type, 2017-18 to 2021-22. The total number of CHSP providers has declined since 2017-18, down from 1,547 to 1,407 providers in 2021-22. The proportion of not-for-profit CHSP providers has slightly decreased from 69 per cent in 2020-21 to 67 per cent in 2021-22. The proportion of for-profit CHSP providers has increased from 7 per cent in 2020-21 to 11 per cent in 2021-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00218" cy="2761101"/>
                    </a:xfrm>
                    <a:prstGeom prst="rect">
                      <a:avLst/>
                    </a:prstGeom>
                    <a:noFill/>
                  </pic:spPr>
                </pic:pic>
              </a:graphicData>
            </a:graphic>
          </wp:inline>
        </w:drawing>
      </w:r>
      <w:bookmarkEnd w:id="321"/>
    </w:p>
    <w:p w14:paraId="5BB27D78" w14:textId="64A982C6" w:rsidR="007F0233" w:rsidRPr="005D08AA" w:rsidRDefault="003B4897" w:rsidP="007F0233">
      <w:pPr>
        <w:rPr>
          <w:color w:val="1E1545"/>
        </w:rPr>
      </w:pPr>
      <w:r>
        <w:rPr>
          <w:rFonts w:cs="Arial"/>
          <w:b/>
          <w:bCs/>
          <w:iCs/>
          <w:sz w:val="36"/>
          <w:szCs w:val="18"/>
        </w:rPr>
        <w:lastRenderedPageBreak/>
        <w:fldChar w:fldCharType="begin"/>
      </w:r>
      <w:r w:rsidRPr="00514D38">
        <w:rPr>
          <w:color w:val="1E1545"/>
        </w:rPr>
        <w:instrText xml:space="preserve"> REF _Ref139548360 \h </w:instrText>
      </w:r>
      <w:r>
        <w:rPr>
          <w:rFonts w:cs="Arial"/>
          <w:b/>
          <w:bCs/>
          <w:iCs/>
          <w:sz w:val="36"/>
          <w:szCs w:val="18"/>
        </w:rPr>
      </w:r>
      <w:r>
        <w:rPr>
          <w:rFonts w:cs="Arial"/>
          <w:b/>
          <w:bCs/>
          <w:iCs/>
          <w:sz w:val="36"/>
          <w:szCs w:val="18"/>
        </w:rPr>
        <w:fldChar w:fldCharType="separate"/>
      </w:r>
      <w:r w:rsidR="00294B02">
        <w:t xml:space="preserve">Chart </w:t>
      </w:r>
      <w:r w:rsidR="00294B02">
        <w:rPr>
          <w:noProof/>
        </w:rPr>
        <w:t>5</w:t>
      </w:r>
      <w:r w:rsidR="00294B02">
        <w:t>.</w:t>
      </w:r>
      <w:r w:rsidR="00294B02">
        <w:rPr>
          <w:noProof/>
        </w:rPr>
        <w:t>3</w:t>
      </w:r>
      <w:r>
        <w:fldChar w:fldCharType="end"/>
      </w:r>
      <w:r w:rsidR="0053176F">
        <w:t xml:space="preserve"> </w:t>
      </w:r>
      <w:r w:rsidR="007F0233" w:rsidRPr="005D08AA">
        <w:rPr>
          <w:color w:val="1E1545"/>
        </w:rPr>
        <w:t xml:space="preserve">shows total expenditure on home support service delivery since 2019-20 along with budgeted </w:t>
      </w:r>
      <w:r w:rsidR="007F0233" w:rsidRPr="005D08AA">
        <w:rPr>
          <w:color w:val="1E1545"/>
          <w:spacing w:val="-2"/>
        </w:rPr>
        <w:t>expenditure to</w:t>
      </w:r>
      <w:r w:rsidR="007F0233" w:rsidRPr="005D08AA">
        <w:rPr>
          <w:color w:val="1E1545"/>
          <w:spacing w:val="-7"/>
        </w:rPr>
        <w:t xml:space="preserve"> </w:t>
      </w:r>
      <w:r w:rsidR="007F0233" w:rsidRPr="005D08AA">
        <w:rPr>
          <w:color w:val="1E1545"/>
          <w:spacing w:val="-2"/>
        </w:rPr>
        <w:t xml:space="preserve">2024-25. Total Australian Government </w:t>
      </w:r>
      <w:r w:rsidR="007F0233" w:rsidRPr="005D08AA">
        <w:rPr>
          <w:color w:val="1E1545"/>
        </w:rPr>
        <w:t>funding for home support continues to increase each</w:t>
      </w:r>
      <w:r w:rsidR="007F0233" w:rsidRPr="005D08AA">
        <w:rPr>
          <w:color w:val="1E1545"/>
          <w:spacing w:val="-11"/>
        </w:rPr>
        <w:t xml:space="preserve"> </w:t>
      </w:r>
      <w:r w:rsidR="007F0233" w:rsidRPr="005D08AA">
        <w:rPr>
          <w:color w:val="1E1545"/>
        </w:rPr>
        <w:t>year.</w:t>
      </w:r>
      <w:r w:rsidR="007F0233" w:rsidRPr="005D08AA">
        <w:rPr>
          <w:color w:val="1E1545"/>
          <w:spacing w:val="-11"/>
        </w:rPr>
        <w:t xml:space="preserve"> </w:t>
      </w:r>
      <w:r w:rsidR="007F0233" w:rsidRPr="005D08AA">
        <w:rPr>
          <w:color w:val="1E1545"/>
        </w:rPr>
        <w:t>In</w:t>
      </w:r>
      <w:r w:rsidR="007F0233" w:rsidRPr="005D08AA">
        <w:rPr>
          <w:color w:val="1E1545"/>
          <w:spacing w:val="-11"/>
        </w:rPr>
        <w:t xml:space="preserve"> </w:t>
      </w:r>
      <w:r w:rsidR="007F0233" w:rsidRPr="005D08AA">
        <w:rPr>
          <w:color w:val="1E1545"/>
        </w:rPr>
        <w:t>2021-22,</w:t>
      </w:r>
      <w:r w:rsidR="007F0233" w:rsidRPr="005D08AA">
        <w:rPr>
          <w:color w:val="1E1545"/>
          <w:spacing w:val="-11"/>
        </w:rPr>
        <w:t xml:space="preserve"> </w:t>
      </w:r>
      <w:r w:rsidR="007F0233" w:rsidRPr="005D08AA">
        <w:rPr>
          <w:color w:val="1E1545"/>
        </w:rPr>
        <w:t>Australian</w:t>
      </w:r>
      <w:r w:rsidR="007F0233" w:rsidRPr="005D08AA">
        <w:rPr>
          <w:color w:val="1E1545"/>
          <w:spacing w:val="-11"/>
        </w:rPr>
        <w:t xml:space="preserve"> </w:t>
      </w:r>
      <w:r w:rsidR="007F0233" w:rsidRPr="005D08AA">
        <w:rPr>
          <w:color w:val="1E1545"/>
        </w:rPr>
        <w:t xml:space="preserve">Government expenditure on the CHSP </w:t>
      </w:r>
      <w:r w:rsidR="007F0233" w:rsidRPr="004552D7">
        <w:rPr>
          <w:color w:val="1E1545"/>
        </w:rPr>
        <w:t>was $2.86</w:t>
      </w:r>
      <w:r w:rsidR="007F0233" w:rsidRPr="005D08AA">
        <w:rPr>
          <w:color w:val="1E1545"/>
        </w:rPr>
        <w:t xml:space="preserve"> billion, up from $2.71 billion in 2020-21. The Australian Government also</w:t>
      </w:r>
      <w:r w:rsidR="007F0233" w:rsidRPr="005D08AA">
        <w:rPr>
          <w:color w:val="1E1545"/>
          <w:spacing w:val="-4"/>
        </w:rPr>
        <w:t xml:space="preserve"> </w:t>
      </w:r>
      <w:r w:rsidR="007F0233" w:rsidRPr="005D08AA">
        <w:rPr>
          <w:color w:val="1E1545"/>
        </w:rPr>
        <w:t>provided</w:t>
      </w:r>
      <w:r w:rsidR="007F0233" w:rsidRPr="005D08AA">
        <w:rPr>
          <w:color w:val="1E1545"/>
          <w:spacing w:val="-4"/>
        </w:rPr>
        <w:t xml:space="preserve"> </w:t>
      </w:r>
      <w:r w:rsidR="007F0233">
        <w:rPr>
          <w:color w:val="1E1545"/>
        </w:rPr>
        <w:t>$200.4</w:t>
      </w:r>
      <w:r w:rsidR="007F0233" w:rsidRPr="005D08AA">
        <w:rPr>
          <w:color w:val="1E1545"/>
          <w:spacing w:val="-8"/>
        </w:rPr>
        <w:t xml:space="preserve"> </w:t>
      </w:r>
      <w:r w:rsidR="007F0233" w:rsidRPr="005D08AA">
        <w:rPr>
          <w:color w:val="1E1545"/>
        </w:rPr>
        <w:t>million</w:t>
      </w:r>
      <w:r w:rsidR="007F0233" w:rsidRPr="005D08AA">
        <w:rPr>
          <w:color w:val="1E1545"/>
          <w:spacing w:val="-4"/>
        </w:rPr>
        <w:t xml:space="preserve"> </w:t>
      </w:r>
      <w:r w:rsidR="007F0233" w:rsidRPr="005D08AA">
        <w:rPr>
          <w:color w:val="1E1545"/>
        </w:rPr>
        <w:t>to</w:t>
      </w:r>
      <w:r w:rsidR="007F0233" w:rsidRPr="005D08AA">
        <w:rPr>
          <w:color w:val="1E1545"/>
          <w:spacing w:val="-4"/>
        </w:rPr>
        <w:t xml:space="preserve"> </w:t>
      </w:r>
      <w:r w:rsidR="007F0233" w:rsidRPr="005D08AA">
        <w:rPr>
          <w:color w:val="1E1545"/>
        </w:rPr>
        <w:t>My</w:t>
      </w:r>
      <w:r w:rsidR="007F0233" w:rsidRPr="005D08AA">
        <w:rPr>
          <w:color w:val="1E1545"/>
          <w:spacing w:val="-4"/>
        </w:rPr>
        <w:t xml:space="preserve"> </w:t>
      </w:r>
      <w:r w:rsidR="007F0233" w:rsidRPr="005D08AA">
        <w:rPr>
          <w:color w:val="1E1545"/>
        </w:rPr>
        <w:t>Aged</w:t>
      </w:r>
      <w:r w:rsidR="007F0233" w:rsidRPr="005D08AA">
        <w:rPr>
          <w:color w:val="1E1545"/>
          <w:spacing w:val="-4"/>
        </w:rPr>
        <w:t xml:space="preserve"> </w:t>
      </w:r>
      <w:r w:rsidR="007F0233" w:rsidRPr="005D08AA">
        <w:rPr>
          <w:color w:val="1E1545"/>
        </w:rPr>
        <w:t>Care,</w:t>
      </w:r>
      <w:r w:rsidR="007F0233" w:rsidRPr="005D08AA">
        <w:rPr>
          <w:color w:val="1E1545"/>
          <w:spacing w:val="-4"/>
        </w:rPr>
        <w:t xml:space="preserve"> </w:t>
      </w:r>
      <w:r w:rsidR="007F0233" w:rsidRPr="005D08AA">
        <w:rPr>
          <w:color w:val="1E1545"/>
        </w:rPr>
        <w:t>RAS,</w:t>
      </w:r>
      <w:r w:rsidR="007F0233" w:rsidRPr="005D08AA">
        <w:rPr>
          <w:color w:val="1E1545"/>
          <w:spacing w:val="-11"/>
        </w:rPr>
        <w:t xml:space="preserve"> </w:t>
      </w:r>
      <w:r w:rsidR="007F0233" w:rsidRPr="005D08AA">
        <w:rPr>
          <w:color w:val="1E1545"/>
        </w:rPr>
        <w:t>and</w:t>
      </w:r>
      <w:r w:rsidR="007F0233" w:rsidRPr="005D08AA">
        <w:rPr>
          <w:color w:val="1E1545"/>
          <w:spacing w:val="-11"/>
        </w:rPr>
        <w:t xml:space="preserve"> </w:t>
      </w:r>
      <w:r w:rsidR="0096538B">
        <w:rPr>
          <w:color w:val="1E1545"/>
        </w:rPr>
        <w:t>e</w:t>
      </w:r>
      <w:r w:rsidR="007F0233" w:rsidRPr="005D08AA">
        <w:rPr>
          <w:color w:val="1E1545"/>
        </w:rPr>
        <w:t>mergency</w:t>
      </w:r>
      <w:r w:rsidR="007F0233" w:rsidRPr="005D08AA">
        <w:rPr>
          <w:color w:val="1E1545"/>
          <w:spacing w:val="-11"/>
        </w:rPr>
        <w:t xml:space="preserve"> </w:t>
      </w:r>
      <w:r w:rsidR="007F0233" w:rsidRPr="005D08AA">
        <w:rPr>
          <w:color w:val="1E1545"/>
        </w:rPr>
        <w:t>COVID–19 funding and other initiatives in support of the CHSP. In</w:t>
      </w:r>
      <w:r w:rsidR="007F0233" w:rsidRPr="005D08AA">
        <w:rPr>
          <w:color w:val="1E1545"/>
          <w:spacing w:val="-11"/>
        </w:rPr>
        <w:t xml:space="preserve"> </w:t>
      </w:r>
      <w:r w:rsidR="007F0233" w:rsidRPr="005D08AA">
        <w:rPr>
          <w:color w:val="1E1545"/>
        </w:rPr>
        <w:t>total,</w:t>
      </w:r>
      <w:r w:rsidR="007F0233" w:rsidRPr="005D08AA">
        <w:rPr>
          <w:color w:val="1E1545"/>
          <w:spacing w:val="-11"/>
        </w:rPr>
        <w:t xml:space="preserve"> </w:t>
      </w:r>
      <w:r w:rsidR="007F0233" w:rsidRPr="005D08AA">
        <w:rPr>
          <w:color w:val="1E1545"/>
        </w:rPr>
        <w:t>Australian</w:t>
      </w:r>
      <w:r w:rsidR="007F0233" w:rsidRPr="005D08AA">
        <w:rPr>
          <w:color w:val="1E1545"/>
          <w:spacing w:val="-11"/>
        </w:rPr>
        <w:t xml:space="preserve"> </w:t>
      </w:r>
      <w:r w:rsidR="007F0233" w:rsidRPr="005D08AA">
        <w:rPr>
          <w:color w:val="1E1545"/>
        </w:rPr>
        <w:t>Government</w:t>
      </w:r>
      <w:r w:rsidR="007F0233" w:rsidRPr="005D08AA">
        <w:rPr>
          <w:color w:val="1E1545"/>
          <w:spacing w:val="-11"/>
        </w:rPr>
        <w:t xml:space="preserve"> </w:t>
      </w:r>
      <w:r w:rsidR="007F0233" w:rsidRPr="005D08AA">
        <w:rPr>
          <w:color w:val="1E1545"/>
        </w:rPr>
        <w:t>expenditure</w:t>
      </w:r>
      <w:r w:rsidR="007F0233" w:rsidRPr="005D08AA">
        <w:rPr>
          <w:color w:val="1E1545"/>
          <w:spacing w:val="-11"/>
        </w:rPr>
        <w:t xml:space="preserve"> </w:t>
      </w:r>
      <w:r w:rsidR="007F0233" w:rsidRPr="005D08AA">
        <w:rPr>
          <w:color w:val="1E1545"/>
        </w:rPr>
        <w:t>for</w:t>
      </w:r>
      <w:r w:rsidR="007F0233" w:rsidRPr="005D08AA">
        <w:rPr>
          <w:color w:val="1E1545"/>
          <w:spacing w:val="-11"/>
        </w:rPr>
        <w:t xml:space="preserve"> </w:t>
      </w:r>
      <w:r w:rsidR="007F0233" w:rsidRPr="005D08AA">
        <w:rPr>
          <w:color w:val="1E1545"/>
        </w:rPr>
        <w:t>the program in 20</w:t>
      </w:r>
      <w:r w:rsidR="007F0233">
        <w:rPr>
          <w:color w:val="1E1545"/>
        </w:rPr>
        <w:t>21-22</w:t>
      </w:r>
      <w:r w:rsidR="007F0233" w:rsidRPr="005D08AA">
        <w:rPr>
          <w:color w:val="1E1545"/>
        </w:rPr>
        <w:t xml:space="preserve"> was $</w:t>
      </w:r>
      <w:r w:rsidR="007F0233">
        <w:rPr>
          <w:color w:val="1E1545"/>
        </w:rPr>
        <w:t>3.06</w:t>
      </w:r>
      <w:r w:rsidR="007F0233" w:rsidRPr="005D08AA">
        <w:rPr>
          <w:color w:val="1E1545"/>
        </w:rPr>
        <w:t xml:space="preserve"> billion.</w:t>
      </w:r>
    </w:p>
    <w:p w14:paraId="59E28A9B" w14:textId="086DBDB6" w:rsidR="007F0233" w:rsidRPr="007819A6" w:rsidRDefault="003B4897" w:rsidP="00400D85">
      <w:pPr>
        <w:pStyle w:val="Caption"/>
        <w:rPr>
          <w:rFonts w:ascii="Times New Roman" w:hAnsi="Times New Roman"/>
          <w:color w:val="auto"/>
          <w:lang w:eastAsia="en-AU"/>
        </w:rPr>
      </w:pPr>
      <w:bookmarkStart w:id="322" w:name="_Ref139548360"/>
      <w:bookmarkStart w:id="323" w:name="_Toc149245256"/>
      <w:r>
        <w:t xml:space="preserve">Chart </w:t>
      </w:r>
      <w:r>
        <w:fldChar w:fldCharType="begin"/>
      </w:r>
      <w:r>
        <w:instrText>STYLEREF 1 \s</w:instrText>
      </w:r>
      <w:r>
        <w:fldChar w:fldCharType="separate"/>
      </w:r>
      <w:r w:rsidR="00294B02">
        <w:rPr>
          <w:noProof/>
        </w:rPr>
        <w:t>5</w:t>
      </w:r>
      <w:r>
        <w:fldChar w:fldCharType="end"/>
      </w:r>
      <w:r w:rsidR="00434A28">
        <w:t>.</w:t>
      </w:r>
      <w:r>
        <w:fldChar w:fldCharType="begin"/>
      </w:r>
      <w:r>
        <w:instrText>SEQ Chart \* ARABIC \s 1</w:instrText>
      </w:r>
      <w:r>
        <w:fldChar w:fldCharType="separate"/>
      </w:r>
      <w:r w:rsidR="00294B02">
        <w:rPr>
          <w:noProof/>
        </w:rPr>
        <w:t>3</w:t>
      </w:r>
      <w:r>
        <w:fldChar w:fldCharType="end"/>
      </w:r>
      <w:bookmarkEnd w:id="322"/>
      <w:r>
        <w:t xml:space="preserve">: </w:t>
      </w:r>
      <w:r w:rsidRPr="006B12C9">
        <w:t>Australian Government expenditure and budgeted expenditure for service delivery of CHSP, 2019-20 to 2024-25</w:t>
      </w:r>
      <w:bookmarkEnd w:id="323"/>
    </w:p>
    <w:p w14:paraId="6DC276CF" w14:textId="347C36E7" w:rsidR="007F0233" w:rsidRPr="006C66D7" w:rsidRDefault="00381737" w:rsidP="007F0233">
      <w:r>
        <w:rPr>
          <w:noProof/>
          <w:color w:val="FF0000"/>
        </w:rPr>
        <w:drawing>
          <wp:inline distT="0" distB="0" distL="0" distR="0" wp14:anchorId="42145C7A" wp14:editId="5F3102A0">
            <wp:extent cx="5198087" cy="3048000"/>
            <wp:effectExtent l="0" t="0" r="3175" b="0"/>
            <wp:docPr id="1773416596" name="Picture 1773416596" descr="Chart 5.3 is a column chart titled Australian Government expenditure and budgeted expenditure for service delivery of CHSP, 2019-20 to 2024-25. The total Australian Government funding has increased from $2.6 billion in 2019-20 to $2.9 billion in 2021-22. It is expected to increase over the next 3 years to $3.7 billion in 2024-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96" name="Picture 1773416596" descr="Chart 5.3 is a column chart titled Australian Government expenditure and budgeted expenditure for service delivery of CHSP, 2019-20 to 2024-25. The total Australian Government funding has increased from $2.6 billion in 2019-20 to $2.9 billion in 2021-22. It is expected to increase over the next 3 years to $3.7 billion in 2024-25.  "/>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10286" cy="3055153"/>
                    </a:xfrm>
                    <a:prstGeom prst="rect">
                      <a:avLst/>
                    </a:prstGeom>
                    <a:noFill/>
                  </pic:spPr>
                </pic:pic>
              </a:graphicData>
            </a:graphic>
          </wp:inline>
        </w:drawing>
      </w:r>
    </w:p>
    <w:p w14:paraId="5854DDC8" w14:textId="08259569" w:rsidR="007F0233" w:rsidRPr="00514D38" w:rsidRDefault="007F0233" w:rsidP="006C66D7">
      <w:pPr>
        <w:rPr>
          <w:b/>
          <w:bCs/>
        </w:rPr>
      </w:pPr>
      <w:r w:rsidRPr="00514D38">
        <w:t xml:space="preserve">CHSP expenditure for 2019-20 to 2021-22 on each of the major service types is detailed in </w:t>
      </w:r>
      <w:r w:rsidR="0059013D" w:rsidRPr="00514D38">
        <w:rPr>
          <w:b/>
          <w:bCs/>
        </w:rPr>
        <w:fldChar w:fldCharType="begin"/>
      </w:r>
      <w:r w:rsidR="0059013D" w:rsidRPr="00514D38">
        <w:instrText xml:space="preserve"> REF _Ref139548412 \h </w:instrText>
      </w:r>
      <w:r w:rsidR="00514D38">
        <w:instrText xml:space="preserve"> \* MERGEFORMAT </w:instrText>
      </w:r>
      <w:r w:rsidR="0059013D" w:rsidRPr="00514D38">
        <w:rPr>
          <w:b/>
          <w:bCs/>
        </w:rPr>
      </w:r>
      <w:r w:rsidR="0059013D" w:rsidRPr="00514D38">
        <w:rPr>
          <w:b/>
          <w:bCs/>
        </w:rPr>
        <w:fldChar w:fldCharType="separate"/>
      </w:r>
      <w:r w:rsidR="00294B02" w:rsidRPr="00294B02">
        <w:t>Table 5.1</w:t>
      </w:r>
      <w:r w:rsidR="0059013D" w:rsidRPr="00514D38">
        <w:rPr>
          <w:b/>
          <w:bCs/>
        </w:rPr>
        <w:fldChar w:fldCharType="end"/>
      </w:r>
      <w:r w:rsidRPr="00514D38">
        <w:t xml:space="preserve">. In 2021-22, domestic assistance services </w:t>
      </w:r>
      <w:proofErr w:type="gramStart"/>
      <w:r w:rsidRPr="00514D38">
        <w:t>was</w:t>
      </w:r>
      <w:proofErr w:type="gramEnd"/>
      <w:r w:rsidRPr="00514D38">
        <w:t xml:space="preserve"> the largest expenditure category (20 per cent) with $558.4 million in grant funding, up from $536.1 million the prior year. Social support services </w:t>
      </w:r>
      <w:proofErr w:type="gramStart"/>
      <w:r w:rsidRPr="00514D38">
        <w:t>was</w:t>
      </w:r>
      <w:proofErr w:type="gramEnd"/>
      <w:r w:rsidRPr="00514D38">
        <w:t xml:space="preserve"> the next largest category, accounting for 18 per cent of expenditure, followed by respite services (12 per cent), nursing services (10 per cent) and allied health and therapy services (10 per cent).</w:t>
      </w:r>
    </w:p>
    <w:p w14:paraId="4ACD21CA" w14:textId="6A03C55A" w:rsidR="007F0233" w:rsidRDefault="007F0233" w:rsidP="00443160">
      <w:r w:rsidRPr="005D08AA">
        <w:t xml:space="preserve">Respite and home modifications and maintenance had the largest increase, both up 12 per cent on 2020-21 expenditure. Specialised support services </w:t>
      </w:r>
      <w:proofErr w:type="gramStart"/>
      <w:r w:rsidRPr="005D08AA">
        <w:t>was</w:t>
      </w:r>
      <w:proofErr w:type="gramEnd"/>
      <w:r w:rsidRPr="005D08AA">
        <w:t xml:space="preserve"> the only category to decrease, down approximately 12 per cent</w:t>
      </w:r>
      <w:r w:rsidR="00301E6A">
        <w:t xml:space="preserve"> from </w:t>
      </w:r>
      <w:r w:rsidR="00E016DD">
        <w:t xml:space="preserve">2020-21 </w:t>
      </w:r>
      <w:r w:rsidR="00276408">
        <w:t>expenditure</w:t>
      </w:r>
      <w:r w:rsidRPr="005D08AA">
        <w:t>.</w:t>
      </w:r>
    </w:p>
    <w:p w14:paraId="0AAED8EF" w14:textId="06560F9F" w:rsidR="0059013D" w:rsidRPr="005D08AA" w:rsidRDefault="0059013D" w:rsidP="0059013D">
      <w:pPr>
        <w:pStyle w:val="Caption"/>
        <w:rPr>
          <w:b w:val="0"/>
          <w:color w:val="1E1545"/>
        </w:rPr>
      </w:pPr>
      <w:bookmarkStart w:id="324" w:name="_Ref139548412"/>
      <w:bookmarkStart w:id="325" w:name="_Toc149245288"/>
      <w:r>
        <w:t xml:space="preserve">Table </w:t>
      </w:r>
      <w:r>
        <w:fldChar w:fldCharType="begin"/>
      </w:r>
      <w:r>
        <w:instrText>STYLEREF 1 \s</w:instrText>
      </w:r>
      <w:r>
        <w:fldChar w:fldCharType="separate"/>
      </w:r>
      <w:r w:rsidR="00294B02">
        <w:rPr>
          <w:noProof/>
        </w:rPr>
        <w:t>5</w:t>
      </w:r>
      <w:r>
        <w:fldChar w:fldCharType="end"/>
      </w:r>
      <w:r w:rsidR="002E758C">
        <w:t>.</w:t>
      </w:r>
      <w:r>
        <w:fldChar w:fldCharType="begin"/>
      </w:r>
      <w:r>
        <w:instrText>SEQ Table \* ARABIC \s 1</w:instrText>
      </w:r>
      <w:r>
        <w:fldChar w:fldCharType="separate"/>
      </w:r>
      <w:r w:rsidR="00294B02">
        <w:rPr>
          <w:noProof/>
        </w:rPr>
        <w:t>1</w:t>
      </w:r>
      <w:r>
        <w:fldChar w:fldCharType="end"/>
      </w:r>
      <w:bookmarkEnd w:id="324"/>
      <w:r>
        <w:t xml:space="preserve">: </w:t>
      </w:r>
      <w:r w:rsidRPr="00C44EB2">
        <w:t>CHSP expenditure by service type 2019-20 to 2021-22</w:t>
      </w:r>
      <w:bookmarkEnd w:id="325"/>
    </w:p>
    <w:tbl>
      <w:tblPr>
        <w:tblStyle w:val="DepartmentofHealthtable"/>
        <w:tblW w:w="8996" w:type="dxa"/>
        <w:tblLook w:val="04A0" w:firstRow="1" w:lastRow="0" w:firstColumn="1" w:lastColumn="0" w:noHBand="0" w:noVBand="1"/>
      </w:tblPr>
      <w:tblGrid>
        <w:gridCol w:w="5327"/>
        <w:gridCol w:w="1223"/>
        <w:gridCol w:w="1223"/>
        <w:gridCol w:w="1223"/>
      </w:tblGrid>
      <w:tr w:rsidR="007F0233" w:rsidRPr="00D56C23" w14:paraId="7FFBF4C5" w14:textId="77777777" w:rsidTr="006C66D7">
        <w:trPr>
          <w:cnfStyle w:val="100000000000" w:firstRow="1" w:lastRow="0" w:firstColumn="0" w:lastColumn="0" w:oddVBand="0" w:evenVBand="0" w:oddHBand="0" w:evenHBand="0" w:firstRowFirstColumn="0" w:firstRowLastColumn="0" w:lastRowFirstColumn="0" w:lastRowLastColumn="0"/>
          <w:trHeight w:val="616"/>
        </w:trPr>
        <w:tc>
          <w:tcPr>
            <w:cnfStyle w:val="001000000000" w:firstRow="0" w:lastRow="0" w:firstColumn="1" w:lastColumn="0" w:oddVBand="0" w:evenVBand="0" w:oddHBand="0" w:evenHBand="0" w:firstRowFirstColumn="0" w:firstRowLastColumn="0" w:lastRowFirstColumn="0" w:lastRowLastColumn="0"/>
            <w:tcW w:w="5327" w:type="dxa"/>
            <w:hideMark/>
          </w:tcPr>
          <w:p w14:paraId="2C07A568" w14:textId="77777777" w:rsidR="007F0233" w:rsidRPr="005D08AA" w:rsidRDefault="007F0233" w:rsidP="006C66D7">
            <w:pPr>
              <w:pStyle w:val="TableHeaderWhite"/>
            </w:pPr>
            <w:r w:rsidRPr="005D08AA">
              <w:t xml:space="preserve">Service </w:t>
            </w:r>
          </w:p>
        </w:tc>
        <w:tc>
          <w:tcPr>
            <w:tcW w:w="1223" w:type="dxa"/>
            <w:hideMark/>
          </w:tcPr>
          <w:p w14:paraId="3C614E1D" w14:textId="1685C772" w:rsidR="007F0233" w:rsidRPr="005D08AA" w:rsidRDefault="007F0233" w:rsidP="006C66D7">
            <w:pPr>
              <w:pStyle w:val="TableHeaderWhite"/>
              <w:cnfStyle w:val="100000000000" w:firstRow="1" w:lastRow="0" w:firstColumn="0" w:lastColumn="0" w:oddVBand="0" w:evenVBand="0" w:oddHBand="0" w:evenHBand="0" w:firstRowFirstColumn="0" w:firstRowLastColumn="0" w:lastRowFirstColumn="0" w:lastRowLastColumn="0"/>
            </w:pPr>
            <w:r w:rsidRPr="005D08AA">
              <w:t>2019-20 ($m)</w:t>
            </w:r>
          </w:p>
        </w:tc>
        <w:tc>
          <w:tcPr>
            <w:tcW w:w="1223" w:type="dxa"/>
            <w:hideMark/>
          </w:tcPr>
          <w:p w14:paraId="7BFE8560" w14:textId="77777777" w:rsidR="007F0233" w:rsidRPr="005D08AA" w:rsidRDefault="007F0233" w:rsidP="006C66D7">
            <w:pPr>
              <w:pStyle w:val="TableHeaderWhite"/>
              <w:cnfStyle w:val="100000000000" w:firstRow="1" w:lastRow="0" w:firstColumn="0" w:lastColumn="0" w:oddVBand="0" w:evenVBand="0" w:oddHBand="0" w:evenHBand="0" w:firstRowFirstColumn="0" w:firstRowLastColumn="0" w:lastRowFirstColumn="0" w:lastRowLastColumn="0"/>
            </w:pPr>
            <w:r w:rsidRPr="005D08AA">
              <w:t>2020-21 ($m)</w:t>
            </w:r>
          </w:p>
        </w:tc>
        <w:tc>
          <w:tcPr>
            <w:tcW w:w="1223" w:type="dxa"/>
            <w:hideMark/>
          </w:tcPr>
          <w:p w14:paraId="6E4FA1B8" w14:textId="77777777" w:rsidR="007F0233" w:rsidRPr="005D08AA" w:rsidRDefault="007F0233" w:rsidP="006C66D7">
            <w:pPr>
              <w:pStyle w:val="TableHeaderWhite"/>
              <w:cnfStyle w:val="100000000000" w:firstRow="1" w:lastRow="0" w:firstColumn="0" w:lastColumn="0" w:oddVBand="0" w:evenVBand="0" w:oddHBand="0" w:evenHBand="0" w:firstRowFirstColumn="0" w:firstRowLastColumn="0" w:lastRowFirstColumn="0" w:lastRowLastColumn="0"/>
            </w:pPr>
            <w:r w:rsidRPr="005D08AA">
              <w:t>2021-22 ($m)</w:t>
            </w:r>
          </w:p>
        </w:tc>
      </w:tr>
      <w:tr w:rsidR="007F0233" w:rsidRPr="00D56C23" w14:paraId="70740FA1"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7FEA1D2D" w14:textId="77777777" w:rsidR="007F0233" w:rsidRPr="00210F81" w:rsidRDefault="007F0233" w:rsidP="006C66D7">
            <w:pPr>
              <w:pStyle w:val="TableofAuthorities"/>
              <w:rPr>
                <w:rFonts w:cs="Arial"/>
              </w:rPr>
            </w:pPr>
            <w:r w:rsidRPr="005D08AA">
              <w:t>Social support</w:t>
            </w:r>
            <w:r w:rsidRPr="00210F81">
              <w:rPr>
                <w:rFonts w:cs="Arial"/>
              </w:rPr>
              <w:t xml:space="preserve"> (</w:t>
            </w:r>
            <w:proofErr w:type="spellStart"/>
            <w:r w:rsidRPr="00210F81">
              <w:rPr>
                <w:rFonts w:cs="Arial"/>
              </w:rPr>
              <w:t>i</w:t>
            </w:r>
            <w:proofErr w:type="spellEnd"/>
            <w:r w:rsidRPr="00210F81">
              <w:rPr>
                <w:rFonts w:cs="Arial"/>
              </w:rPr>
              <w:t>)</w:t>
            </w:r>
          </w:p>
        </w:tc>
        <w:tc>
          <w:tcPr>
            <w:tcW w:w="1223" w:type="dxa"/>
            <w:noWrap/>
            <w:hideMark/>
          </w:tcPr>
          <w:p w14:paraId="536E520A"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458.1m</w:t>
            </w:r>
          </w:p>
        </w:tc>
        <w:tc>
          <w:tcPr>
            <w:tcW w:w="1223" w:type="dxa"/>
            <w:noWrap/>
            <w:hideMark/>
          </w:tcPr>
          <w:p w14:paraId="4A4E2BDD"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477.3m</w:t>
            </w:r>
          </w:p>
        </w:tc>
        <w:tc>
          <w:tcPr>
            <w:tcW w:w="1223" w:type="dxa"/>
            <w:noWrap/>
            <w:hideMark/>
          </w:tcPr>
          <w:p w14:paraId="33F59C25"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513.5m </w:t>
            </w:r>
          </w:p>
        </w:tc>
      </w:tr>
      <w:tr w:rsidR="007F0233" w:rsidRPr="00D56C23" w14:paraId="03A714B9"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2F888BAD" w14:textId="77777777" w:rsidR="007F0233" w:rsidRPr="00210F81" w:rsidRDefault="007F0233" w:rsidP="006C66D7">
            <w:pPr>
              <w:pStyle w:val="TableofAuthorities"/>
              <w:rPr>
                <w:rFonts w:cs="Arial"/>
              </w:rPr>
            </w:pPr>
            <w:r w:rsidRPr="005D08AA">
              <w:t>Domestic assistance</w:t>
            </w:r>
          </w:p>
        </w:tc>
        <w:tc>
          <w:tcPr>
            <w:tcW w:w="1223" w:type="dxa"/>
            <w:noWrap/>
            <w:hideMark/>
          </w:tcPr>
          <w:p w14:paraId="24632CD0"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522.1m</w:t>
            </w:r>
          </w:p>
        </w:tc>
        <w:tc>
          <w:tcPr>
            <w:tcW w:w="1223" w:type="dxa"/>
            <w:noWrap/>
            <w:hideMark/>
          </w:tcPr>
          <w:p w14:paraId="0BBAED8D"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536.1m</w:t>
            </w:r>
          </w:p>
        </w:tc>
        <w:tc>
          <w:tcPr>
            <w:tcW w:w="1223" w:type="dxa"/>
            <w:noWrap/>
            <w:hideMark/>
          </w:tcPr>
          <w:p w14:paraId="1D37E05D"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558.4m </w:t>
            </w:r>
          </w:p>
        </w:tc>
      </w:tr>
      <w:tr w:rsidR="007F0233" w:rsidRPr="00D56C23" w14:paraId="04FC133D"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3BD2B4E1" w14:textId="77777777" w:rsidR="007F0233" w:rsidRPr="00210F81" w:rsidRDefault="007F0233" w:rsidP="006C66D7">
            <w:pPr>
              <w:pStyle w:val="TableofAuthorities"/>
              <w:rPr>
                <w:rFonts w:cs="Arial"/>
              </w:rPr>
            </w:pPr>
            <w:r w:rsidRPr="005D08AA">
              <w:t>Nursing</w:t>
            </w:r>
          </w:p>
        </w:tc>
        <w:tc>
          <w:tcPr>
            <w:tcW w:w="1223" w:type="dxa"/>
            <w:noWrap/>
            <w:hideMark/>
          </w:tcPr>
          <w:p w14:paraId="1D71F402"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277.3m</w:t>
            </w:r>
          </w:p>
        </w:tc>
        <w:tc>
          <w:tcPr>
            <w:tcW w:w="1223" w:type="dxa"/>
            <w:noWrap/>
            <w:hideMark/>
          </w:tcPr>
          <w:p w14:paraId="37AAA327"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283.1m</w:t>
            </w:r>
          </w:p>
        </w:tc>
        <w:tc>
          <w:tcPr>
            <w:tcW w:w="1223" w:type="dxa"/>
            <w:noWrap/>
            <w:hideMark/>
          </w:tcPr>
          <w:p w14:paraId="2841F260"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292.8m </w:t>
            </w:r>
          </w:p>
        </w:tc>
      </w:tr>
      <w:tr w:rsidR="007F0233" w:rsidRPr="00D56C23" w14:paraId="66C03CBF"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557AADC7" w14:textId="77777777" w:rsidR="007F0233" w:rsidRPr="00210F81" w:rsidRDefault="007F0233" w:rsidP="006C66D7">
            <w:pPr>
              <w:pStyle w:val="TableofAuthorities"/>
              <w:rPr>
                <w:rFonts w:cs="Arial"/>
              </w:rPr>
            </w:pPr>
            <w:r w:rsidRPr="005D08AA">
              <w:lastRenderedPageBreak/>
              <w:t>Respite</w:t>
            </w:r>
            <w:r w:rsidRPr="00210F81">
              <w:rPr>
                <w:rFonts w:cs="Arial"/>
              </w:rPr>
              <w:t xml:space="preserve"> (ii)</w:t>
            </w:r>
          </w:p>
        </w:tc>
        <w:tc>
          <w:tcPr>
            <w:tcW w:w="1223" w:type="dxa"/>
            <w:noWrap/>
            <w:hideMark/>
          </w:tcPr>
          <w:p w14:paraId="5E6981FC"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283.1m</w:t>
            </w:r>
          </w:p>
        </w:tc>
        <w:tc>
          <w:tcPr>
            <w:tcW w:w="1223" w:type="dxa"/>
            <w:noWrap/>
            <w:hideMark/>
          </w:tcPr>
          <w:p w14:paraId="10AC8075"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301.3m</w:t>
            </w:r>
          </w:p>
        </w:tc>
        <w:tc>
          <w:tcPr>
            <w:tcW w:w="1223" w:type="dxa"/>
            <w:noWrap/>
            <w:hideMark/>
          </w:tcPr>
          <w:p w14:paraId="44C8CF29"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336.6m </w:t>
            </w:r>
          </w:p>
        </w:tc>
      </w:tr>
      <w:tr w:rsidR="007F0233" w:rsidRPr="00D56C23" w14:paraId="3E5086CD"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77E757F4" w14:textId="77777777" w:rsidR="007F0233" w:rsidRPr="00210F81" w:rsidRDefault="007F0233" w:rsidP="006C66D7">
            <w:pPr>
              <w:pStyle w:val="TableofAuthorities"/>
              <w:rPr>
                <w:rFonts w:cs="Arial"/>
              </w:rPr>
            </w:pPr>
            <w:r w:rsidRPr="005D08AA">
              <w:t>Allied health and therapy services</w:t>
            </w:r>
          </w:p>
        </w:tc>
        <w:tc>
          <w:tcPr>
            <w:tcW w:w="1223" w:type="dxa"/>
            <w:noWrap/>
            <w:hideMark/>
          </w:tcPr>
          <w:p w14:paraId="0126336A"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254.4m</w:t>
            </w:r>
          </w:p>
        </w:tc>
        <w:tc>
          <w:tcPr>
            <w:tcW w:w="1223" w:type="dxa"/>
            <w:noWrap/>
            <w:hideMark/>
          </w:tcPr>
          <w:p w14:paraId="318F2214"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263.0m</w:t>
            </w:r>
          </w:p>
        </w:tc>
        <w:tc>
          <w:tcPr>
            <w:tcW w:w="1223" w:type="dxa"/>
            <w:noWrap/>
            <w:hideMark/>
          </w:tcPr>
          <w:p w14:paraId="5B1B386D"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283.6m </w:t>
            </w:r>
          </w:p>
        </w:tc>
      </w:tr>
      <w:tr w:rsidR="007F0233" w:rsidRPr="00D56C23" w14:paraId="4B6ACAAC"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3250367F" w14:textId="77777777" w:rsidR="007F0233" w:rsidRPr="00210F81" w:rsidRDefault="007F0233" w:rsidP="006C66D7">
            <w:pPr>
              <w:pStyle w:val="TableofAuthorities"/>
              <w:rPr>
                <w:rFonts w:cs="Arial"/>
              </w:rPr>
            </w:pPr>
            <w:r w:rsidRPr="005D08AA">
              <w:t>Per</w:t>
            </w:r>
            <w:r w:rsidRPr="00D51A8B">
              <w:rPr>
                <w:rFonts w:cs="Arial"/>
              </w:rPr>
              <w:t>sonal care</w:t>
            </w:r>
          </w:p>
        </w:tc>
        <w:tc>
          <w:tcPr>
            <w:tcW w:w="1223" w:type="dxa"/>
            <w:noWrap/>
            <w:hideMark/>
          </w:tcPr>
          <w:p w14:paraId="4A477FAD"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204.7m</w:t>
            </w:r>
          </w:p>
        </w:tc>
        <w:tc>
          <w:tcPr>
            <w:tcW w:w="1223" w:type="dxa"/>
            <w:noWrap/>
            <w:hideMark/>
          </w:tcPr>
          <w:p w14:paraId="33F9EC03"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210.1m</w:t>
            </w:r>
          </w:p>
        </w:tc>
        <w:tc>
          <w:tcPr>
            <w:tcW w:w="1223" w:type="dxa"/>
            <w:noWrap/>
            <w:hideMark/>
          </w:tcPr>
          <w:p w14:paraId="15DFF29A"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219.8m </w:t>
            </w:r>
          </w:p>
        </w:tc>
      </w:tr>
      <w:tr w:rsidR="007F0233" w:rsidRPr="00D56C23" w14:paraId="5B767954"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5AEE0252" w14:textId="77777777" w:rsidR="007F0233" w:rsidRPr="00210F81" w:rsidRDefault="007F0233" w:rsidP="006C66D7">
            <w:pPr>
              <w:pStyle w:val="TableofAuthorities"/>
              <w:rPr>
                <w:rFonts w:cs="Arial"/>
              </w:rPr>
            </w:pPr>
            <w:r w:rsidRPr="005D08AA">
              <w:t>Transport</w:t>
            </w:r>
          </w:p>
        </w:tc>
        <w:tc>
          <w:tcPr>
            <w:tcW w:w="1223" w:type="dxa"/>
            <w:noWrap/>
            <w:hideMark/>
          </w:tcPr>
          <w:p w14:paraId="77DBFBD2"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189.4m</w:t>
            </w:r>
          </w:p>
        </w:tc>
        <w:tc>
          <w:tcPr>
            <w:tcW w:w="1223" w:type="dxa"/>
            <w:noWrap/>
            <w:hideMark/>
          </w:tcPr>
          <w:p w14:paraId="4D58A70B"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195.7m</w:t>
            </w:r>
          </w:p>
        </w:tc>
        <w:tc>
          <w:tcPr>
            <w:tcW w:w="1223" w:type="dxa"/>
            <w:noWrap/>
            <w:hideMark/>
          </w:tcPr>
          <w:p w14:paraId="5D0D1F4B"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212.8m </w:t>
            </w:r>
          </w:p>
        </w:tc>
      </w:tr>
      <w:tr w:rsidR="007F0233" w:rsidRPr="00D56C23" w14:paraId="10295324"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6B1979BC" w14:textId="77777777" w:rsidR="007F0233" w:rsidRPr="00210F81" w:rsidRDefault="007F0233" w:rsidP="006C66D7">
            <w:pPr>
              <w:pStyle w:val="TableofAuthorities"/>
              <w:rPr>
                <w:rFonts w:cs="Arial"/>
              </w:rPr>
            </w:pPr>
            <w:r w:rsidRPr="005D08AA">
              <w:t xml:space="preserve">Home modifications and </w:t>
            </w:r>
            <w:r w:rsidRPr="00210F81">
              <w:rPr>
                <w:rFonts w:cs="Arial"/>
              </w:rPr>
              <w:t>maintenance (iii)</w:t>
            </w:r>
          </w:p>
        </w:tc>
        <w:tc>
          <w:tcPr>
            <w:tcW w:w="1223" w:type="dxa"/>
            <w:noWrap/>
            <w:hideMark/>
          </w:tcPr>
          <w:p w14:paraId="4B60028E"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154.7m</w:t>
            </w:r>
          </w:p>
        </w:tc>
        <w:tc>
          <w:tcPr>
            <w:tcW w:w="1223" w:type="dxa"/>
            <w:noWrap/>
            <w:hideMark/>
          </w:tcPr>
          <w:p w14:paraId="3D4ED2BC"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163.2m</w:t>
            </w:r>
          </w:p>
        </w:tc>
        <w:tc>
          <w:tcPr>
            <w:tcW w:w="1223" w:type="dxa"/>
            <w:noWrap/>
            <w:hideMark/>
          </w:tcPr>
          <w:p w14:paraId="13F74546"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183.1m </w:t>
            </w:r>
          </w:p>
        </w:tc>
      </w:tr>
      <w:tr w:rsidR="007F0233" w:rsidRPr="00D56C23" w14:paraId="5F847544"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1C675536" w14:textId="77777777" w:rsidR="007F0233" w:rsidRPr="00210F81" w:rsidRDefault="007F0233" w:rsidP="006C66D7">
            <w:pPr>
              <w:pStyle w:val="TableofAuthorities"/>
              <w:rPr>
                <w:rFonts w:cs="Arial"/>
              </w:rPr>
            </w:pPr>
            <w:r w:rsidRPr="005D08AA">
              <w:t>Meals and other food services</w:t>
            </w:r>
            <w:r w:rsidRPr="00210F81">
              <w:rPr>
                <w:rFonts w:cs="Arial"/>
              </w:rPr>
              <w:t xml:space="preserve"> (iv)</w:t>
            </w:r>
          </w:p>
        </w:tc>
        <w:tc>
          <w:tcPr>
            <w:tcW w:w="1223" w:type="dxa"/>
            <w:noWrap/>
            <w:hideMark/>
          </w:tcPr>
          <w:p w14:paraId="433CB6E2"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86.5m</w:t>
            </w:r>
          </w:p>
        </w:tc>
        <w:tc>
          <w:tcPr>
            <w:tcW w:w="1223" w:type="dxa"/>
            <w:noWrap/>
            <w:hideMark/>
          </w:tcPr>
          <w:p w14:paraId="0B40D3C5"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89.1m</w:t>
            </w:r>
          </w:p>
        </w:tc>
        <w:tc>
          <w:tcPr>
            <w:tcW w:w="1223" w:type="dxa"/>
            <w:noWrap/>
            <w:hideMark/>
          </w:tcPr>
          <w:p w14:paraId="5108F3F9"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99.3m </w:t>
            </w:r>
          </w:p>
        </w:tc>
      </w:tr>
      <w:tr w:rsidR="007F0233" w:rsidRPr="00D56C23" w14:paraId="3590360F"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77939B6D" w14:textId="77777777" w:rsidR="007F0233" w:rsidRPr="00210F81" w:rsidRDefault="007F0233" w:rsidP="006C66D7">
            <w:pPr>
              <w:pStyle w:val="TableofAuthorities"/>
              <w:rPr>
                <w:rFonts w:cs="Arial"/>
              </w:rPr>
            </w:pPr>
            <w:r w:rsidRPr="005D08AA">
              <w:t xml:space="preserve">Sector support and </w:t>
            </w:r>
            <w:r w:rsidRPr="00210F81">
              <w:rPr>
                <w:rFonts w:cs="Arial"/>
              </w:rPr>
              <w:t>development</w:t>
            </w:r>
          </w:p>
        </w:tc>
        <w:tc>
          <w:tcPr>
            <w:tcW w:w="1223" w:type="dxa"/>
            <w:noWrap/>
            <w:hideMark/>
          </w:tcPr>
          <w:p w14:paraId="74BE89BF"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45.1m</w:t>
            </w:r>
          </w:p>
        </w:tc>
        <w:tc>
          <w:tcPr>
            <w:tcW w:w="1223" w:type="dxa"/>
            <w:noWrap/>
            <w:hideMark/>
          </w:tcPr>
          <w:p w14:paraId="4CB76CFB"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40.9m</w:t>
            </w:r>
          </w:p>
        </w:tc>
        <w:tc>
          <w:tcPr>
            <w:tcW w:w="1223" w:type="dxa"/>
            <w:noWrap/>
            <w:hideMark/>
          </w:tcPr>
          <w:p w14:paraId="33DCB81E"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42.9m </w:t>
            </w:r>
          </w:p>
        </w:tc>
      </w:tr>
      <w:tr w:rsidR="007F0233" w:rsidRPr="00D56C23" w14:paraId="09794E49"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7876AB26" w14:textId="77777777" w:rsidR="007F0233" w:rsidRPr="00210F81" w:rsidRDefault="007F0233" w:rsidP="006C66D7">
            <w:pPr>
              <w:pStyle w:val="TableofAuthorities"/>
              <w:rPr>
                <w:rFonts w:cs="Arial"/>
              </w:rPr>
            </w:pPr>
            <w:r w:rsidRPr="005D08AA">
              <w:t>Assi</w:t>
            </w:r>
            <w:r w:rsidRPr="00D51A8B">
              <w:rPr>
                <w:rFonts w:cs="Arial"/>
              </w:rPr>
              <w:t xml:space="preserve">stance with </w:t>
            </w:r>
            <w:r w:rsidRPr="00210F81">
              <w:rPr>
                <w:rFonts w:cs="Arial"/>
              </w:rPr>
              <w:t>care and housing</w:t>
            </w:r>
          </w:p>
        </w:tc>
        <w:tc>
          <w:tcPr>
            <w:tcW w:w="1223" w:type="dxa"/>
            <w:noWrap/>
            <w:hideMark/>
          </w:tcPr>
          <w:p w14:paraId="7B90B881"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13.8m</w:t>
            </w:r>
          </w:p>
        </w:tc>
        <w:tc>
          <w:tcPr>
            <w:tcW w:w="1223" w:type="dxa"/>
            <w:noWrap/>
            <w:hideMark/>
          </w:tcPr>
          <w:p w14:paraId="7A0315AF"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21.2m</w:t>
            </w:r>
          </w:p>
        </w:tc>
        <w:tc>
          <w:tcPr>
            <w:tcW w:w="1223" w:type="dxa"/>
            <w:noWrap/>
            <w:hideMark/>
          </w:tcPr>
          <w:p w14:paraId="6363DF45"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22.9m </w:t>
            </w:r>
          </w:p>
        </w:tc>
      </w:tr>
      <w:tr w:rsidR="007F0233" w:rsidRPr="00D56C23" w14:paraId="60FB61DA"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0DBCEF6F" w14:textId="77777777" w:rsidR="007F0233" w:rsidRPr="00210F81" w:rsidRDefault="007F0233" w:rsidP="006C66D7">
            <w:pPr>
              <w:pStyle w:val="TableofAuthorities"/>
              <w:rPr>
                <w:rFonts w:cs="Arial"/>
              </w:rPr>
            </w:pPr>
            <w:r w:rsidRPr="005D08AA">
              <w:t xml:space="preserve">Specialised </w:t>
            </w:r>
            <w:r w:rsidRPr="00210F81">
              <w:rPr>
                <w:rFonts w:cs="Arial"/>
              </w:rPr>
              <w:t>support services</w:t>
            </w:r>
            <w:r>
              <w:rPr>
                <w:rFonts w:cs="Arial"/>
              </w:rPr>
              <w:t xml:space="preserve"> </w:t>
            </w:r>
            <w:r w:rsidRPr="00210F81">
              <w:rPr>
                <w:rFonts w:cs="Arial"/>
              </w:rPr>
              <w:t>(v)</w:t>
            </w:r>
          </w:p>
        </w:tc>
        <w:tc>
          <w:tcPr>
            <w:tcW w:w="1223" w:type="dxa"/>
            <w:noWrap/>
            <w:hideMark/>
          </w:tcPr>
          <w:p w14:paraId="243A2F8C"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85.4m</w:t>
            </w:r>
          </w:p>
        </w:tc>
        <w:tc>
          <w:tcPr>
            <w:tcW w:w="1223" w:type="dxa"/>
            <w:noWrap/>
            <w:hideMark/>
          </w:tcPr>
          <w:p w14:paraId="673EC681"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67.5m</w:t>
            </w:r>
          </w:p>
        </w:tc>
        <w:tc>
          <w:tcPr>
            <w:tcW w:w="1223" w:type="dxa"/>
            <w:noWrap/>
            <w:hideMark/>
          </w:tcPr>
          <w:p w14:paraId="6E5228FD"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59.5m </w:t>
            </w:r>
          </w:p>
        </w:tc>
      </w:tr>
      <w:tr w:rsidR="007F0233" w:rsidRPr="00D56C23" w14:paraId="693ADDE4" w14:textId="77777777" w:rsidTr="006C66D7">
        <w:trPr>
          <w:trHeight w:val="308"/>
        </w:trPr>
        <w:tc>
          <w:tcPr>
            <w:cnfStyle w:val="001000000000" w:firstRow="0" w:lastRow="0" w:firstColumn="1" w:lastColumn="0" w:oddVBand="0" w:evenVBand="0" w:oddHBand="0" w:evenHBand="0" w:firstRowFirstColumn="0" w:firstRowLastColumn="0" w:lastRowFirstColumn="0" w:lastRowLastColumn="0"/>
            <w:tcW w:w="5327" w:type="dxa"/>
            <w:noWrap/>
            <w:hideMark/>
          </w:tcPr>
          <w:p w14:paraId="26E5D06C" w14:textId="77777777" w:rsidR="007F0233" w:rsidRPr="00210F81" w:rsidRDefault="007F0233" w:rsidP="006C66D7">
            <w:pPr>
              <w:pStyle w:val="TableofAuthorities"/>
              <w:rPr>
                <w:rFonts w:cs="Arial"/>
              </w:rPr>
            </w:pPr>
            <w:r w:rsidRPr="005D08AA">
              <w:t xml:space="preserve">Goods, </w:t>
            </w:r>
            <w:proofErr w:type="gramStart"/>
            <w:r w:rsidRPr="00210F81">
              <w:rPr>
                <w:rFonts w:cs="Arial"/>
              </w:rPr>
              <w:t>equipment</w:t>
            </w:r>
            <w:proofErr w:type="gramEnd"/>
            <w:r w:rsidRPr="00210F81">
              <w:rPr>
                <w:rFonts w:cs="Arial"/>
              </w:rPr>
              <w:t xml:space="preserve"> and assistive technology</w:t>
            </w:r>
          </w:p>
        </w:tc>
        <w:tc>
          <w:tcPr>
            <w:tcW w:w="1223" w:type="dxa"/>
            <w:noWrap/>
            <w:hideMark/>
          </w:tcPr>
          <w:p w14:paraId="59798C1C"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13.6m</w:t>
            </w:r>
          </w:p>
        </w:tc>
        <w:tc>
          <w:tcPr>
            <w:tcW w:w="1223" w:type="dxa"/>
            <w:noWrap/>
            <w:hideMark/>
          </w:tcPr>
          <w:p w14:paraId="2700F5F3"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11.7m</w:t>
            </w:r>
          </w:p>
        </w:tc>
        <w:tc>
          <w:tcPr>
            <w:tcW w:w="1223" w:type="dxa"/>
            <w:noWrap/>
            <w:hideMark/>
          </w:tcPr>
          <w:p w14:paraId="6AE834B4" w14:textId="77777777" w:rsidR="007F0233" w:rsidRPr="00210F81" w:rsidRDefault="007F0233" w:rsidP="006C66D7">
            <w:pPr>
              <w:pStyle w:val="TableofAuthorities"/>
              <w:cnfStyle w:val="000000000000" w:firstRow="0" w:lastRow="0" w:firstColumn="0" w:lastColumn="0" w:oddVBand="0" w:evenVBand="0" w:oddHBand="0" w:evenHBand="0" w:firstRowFirstColumn="0" w:firstRowLastColumn="0" w:lastRowFirstColumn="0" w:lastRowLastColumn="0"/>
              <w:rPr>
                <w:rFonts w:cs="Arial"/>
              </w:rPr>
            </w:pPr>
            <w:r w:rsidRPr="005D08AA">
              <w:t>$</w:t>
            </w:r>
            <w:r w:rsidRPr="00210F81">
              <w:rPr>
                <w:rFonts w:cs="Arial"/>
              </w:rPr>
              <w:t xml:space="preserve">12.2m </w:t>
            </w:r>
          </w:p>
        </w:tc>
      </w:tr>
    </w:tbl>
    <w:p w14:paraId="125F6174" w14:textId="77777777" w:rsidR="007F0233" w:rsidRPr="005D08AA" w:rsidRDefault="007F0233" w:rsidP="008E2604">
      <w:pPr>
        <w:pStyle w:val="FootnoteText"/>
      </w:pPr>
      <w:r w:rsidRPr="005D08AA">
        <w:t>Notes:</w:t>
      </w:r>
    </w:p>
    <w:p w14:paraId="702A48A6" w14:textId="77777777" w:rsidR="007F0233" w:rsidRPr="00471B52" w:rsidRDefault="007F0233" w:rsidP="006C66D7">
      <w:pPr>
        <w:pStyle w:val="Footnotetextlist"/>
        <w:numPr>
          <w:ilvl w:val="0"/>
          <w:numId w:val="23"/>
        </w:numPr>
      </w:pPr>
      <w:r w:rsidRPr="00471B52">
        <w:t xml:space="preserve">Social support includes social support group and social support </w:t>
      </w:r>
      <w:proofErr w:type="gramStart"/>
      <w:r w:rsidRPr="00471B52">
        <w:t>individual</w:t>
      </w:r>
      <w:proofErr w:type="gramEnd"/>
    </w:p>
    <w:p w14:paraId="2131FA46" w14:textId="77777777" w:rsidR="007F0233" w:rsidRPr="00471B52" w:rsidRDefault="007F0233" w:rsidP="00FD0A6B">
      <w:pPr>
        <w:pStyle w:val="Footnotetextlist"/>
      </w:pPr>
      <w:r w:rsidRPr="00471B52">
        <w:t xml:space="preserve">Respite includes centre-based respite, cottage respite and flexible </w:t>
      </w:r>
      <w:proofErr w:type="gramStart"/>
      <w:r w:rsidRPr="00471B52">
        <w:t>respite</w:t>
      </w:r>
      <w:proofErr w:type="gramEnd"/>
    </w:p>
    <w:p w14:paraId="155B0D8C" w14:textId="77777777" w:rsidR="007F0233" w:rsidRPr="00471B52" w:rsidRDefault="007F0233" w:rsidP="00FD0A6B">
      <w:pPr>
        <w:pStyle w:val="Footnotetextlist"/>
      </w:pPr>
      <w:r w:rsidRPr="00471B52">
        <w:t xml:space="preserve">Home modifications and maintenance are 2 separate services in </w:t>
      </w:r>
      <w:proofErr w:type="gramStart"/>
      <w:r w:rsidRPr="00471B52">
        <w:t>CHSP</w:t>
      </w:r>
      <w:proofErr w:type="gramEnd"/>
    </w:p>
    <w:p w14:paraId="61237D96" w14:textId="41D559FB" w:rsidR="007F0233" w:rsidRPr="00471B52" w:rsidRDefault="007F0233" w:rsidP="00FD0A6B">
      <w:pPr>
        <w:pStyle w:val="Footnotetextlist"/>
      </w:pPr>
      <w:r w:rsidRPr="00471B52">
        <w:t xml:space="preserve">Meals and other food services are 2 separate services in </w:t>
      </w:r>
      <w:proofErr w:type="gramStart"/>
      <w:r w:rsidRPr="00471B52">
        <w:t>CHSP</w:t>
      </w:r>
      <w:proofErr w:type="gramEnd"/>
    </w:p>
    <w:p w14:paraId="2995D982" w14:textId="41D559FB" w:rsidR="007F0233" w:rsidRPr="00471B52" w:rsidRDefault="007F0233" w:rsidP="00FD0A6B">
      <w:pPr>
        <w:pStyle w:val="Footnotetextlist"/>
      </w:pPr>
      <w:r w:rsidRPr="00471B52">
        <w:t xml:space="preserve">Specialised support services </w:t>
      </w:r>
      <w:proofErr w:type="gramStart"/>
      <w:r w:rsidRPr="00471B52">
        <w:t>provides</w:t>
      </w:r>
      <w:proofErr w:type="gramEnd"/>
      <w:r w:rsidRPr="00471B52">
        <w:t xml:space="preserve"> services that meet the specialised needs of older people living at home with a particular condition such as dementia or vision impairment</w:t>
      </w:r>
    </w:p>
    <w:p w14:paraId="74C606EC" w14:textId="41D559FB" w:rsidR="007F0233" w:rsidRPr="00FD0A6B" w:rsidRDefault="007F0233" w:rsidP="00FD0A6B"/>
    <w:p w14:paraId="2FB58FEF" w14:textId="41D559FB" w:rsidR="006D4AC5" w:rsidRPr="008E2604" w:rsidRDefault="006D4AC5" w:rsidP="008E2604">
      <w:pPr>
        <w:sectPr w:rsidR="006D4AC5" w:rsidRPr="008E2604" w:rsidSect="000D706A">
          <w:headerReference w:type="even" r:id="rId115"/>
          <w:footerReference w:type="even" r:id="rId116"/>
          <w:footerReference w:type="default" r:id="rId117"/>
          <w:pgSz w:w="11906" w:h="16838"/>
          <w:pgMar w:top="1701" w:right="1418" w:bottom="1418" w:left="1418" w:header="709" w:footer="709" w:gutter="0"/>
          <w:cols w:space="708"/>
          <w:docGrid w:linePitch="360"/>
        </w:sectPr>
      </w:pPr>
    </w:p>
    <w:p w14:paraId="5BC06D41" w14:textId="7C23EDC1" w:rsidR="00D4203B" w:rsidRPr="008E2604" w:rsidRDefault="006D4AC5" w:rsidP="008E2604">
      <w:r w:rsidRPr="008E2604">
        <w:rPr>
          <w:noProof/>
        </w:rPr>
        <w:lastRenderedPageBreak/>
        <w:drawing>
          <wp:anchor distT="0" distB="0" distL="114300" distR="114300" simplePos="0" relativeHeight="251674624" behindDoc="0" locked="0" layoutInCell="1" allowOverlap="1" wp14:anchorId="18136C7D" wp14:editId="48592AE7">
            <wp:simplePos x="0" y="0"/>
            <wp:positionH relativeFrom="page">
              <wp:align>left</wp:align>
            </wp:positionH>
            <wp:positionV relativeFrom="paragraph">
              <wp:posOffset>-1080135</wp:posOffset>
            </wp:positionV>
            <wp:extent cx="7513320" cy="9556376"/>
            <wp:effectExtent l="0" t="0" r="0" b="6985"/>
            <wp:wrapNone/>
            <wp:docPr id="31" name="Picture 31" descr="Chapter 6: Future demand for aged care with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pter 6: Future demand for aged care with imag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513320" cy="95563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203B" w:rsidRPr="008E2604">
        <w:br w:type="page"/>
      </w:r>
    </w:p>
    <w:p w14:paraId="4B1497FC" w14:textId="69F65D12" w:rsidR="0002472F" w:rsidRDefault="0002472F" w:rsidP="00A20D31">
      <w:pPr>
        <w:pStyle w:val="Heading1"/>
      </w:pPr>
      <w:bookmarkStart w:id="326" w:name="_Toc149245330"/>
      <w:r>
        <w:lastRenderedPageBreak/>
        <w:t xml:space="preserve">Future demand for </w:t>
      </w:r>
      <w:r w:rsidR="00D15926">
        <w:t>a</w:t>
      </w:r>
      <w:r>
        <w:t>ged care</w:t>
      </w:r>
      <w:bookmarkEnd w:id="326"/>
    </w:p>
    <w:p w14:paraId="3B1B0578" w14:textId="7A7C78E0" w:rsidR="00D55E31" w:rsidRDefault="00D55E31" w:rsidP="00D55E31">
      <w:r>
        <w:t>The</w:t>
      </w:r>
      <w:r>
        <w:rPr>
          <w:spacing w:val="-7"/>
        </w:rPr>
        <w:t xml:space="preserve"> </w:t>
      </w:r>
      <w:r>
        <w:t>demand</w:t>
      </w:r>
      <w:r>
        <w:rPr>
          <w:spacing w:val="-7"/>
        </w:rPr>
        <w:t xml:space="preserve"> </w:t>
      </w:r>
      <w:r>
        <w:t>for</w:t>
      </w:r>
      <w:r>
        <w:rPr>
          <w:spacing w:val="-7"/>
        </w:rPr>
        <w:t xml:space="preserve"> </w:t>
      </w:r>
      <w:r>
        <w:t>aged</w:t>
      </w:r>
      <w:r>
        <w:rPr>
          <w:spacing w:val="-7"/>
        </w:rPr>
        <w:t xml:space="preserve"> </w:t>
      </w:r>
      <w:r>
        <w:t>care</w:t>
      </w:r>
      <w:r>
        <w:rPr>
          <w:spacing w:val="-7"/>
        </w:rPr>
        <w:t xml:space="preserve"> </w:t>
      </w:r>
      <w:r>
        <w:t>services</w:t>
      </w:r>
      <w:r>
        <w:rPr>
          <w:spacing w:val="-7"/>
        </w:rPr>
        <w:t xml:space="preserve"> </w:t>
      </w:r>
      <w:r>
        <w:t>will</w:t>
      </w:r>
      <w:r>
        <w:rPr>
          <w:spacing w:val="-7"/>
        </w:rPr>
        <w:t xml:space="preserve"> </w:t>
      </w:r>
      <w:r>
        <w:t>expand</w:t>
      </w:r>
      <w:r>
        <w:rPr>
          <w:spacing w:val="-7"/>
        </w:rPr>
        <w:t xml:space="preserve"> </w:t>
      </w:r>
      <w:r>
        <w:t>with</w:t>
      </w:r>
      <w:r>
        <w:rPr>
          <w:spacing w:val="-7"/>
        </w:rPr>
        <w:t xml:space="preserve"> </w:t>
      </w:r>
      <w:r>
        <w:t xml:space="preserve">the ageing of the population. This chapter discusses factors that affect demand for the relevant aged care types and how this </w:t>
      </w:r>
      <w:r w:rsidR="00A05408">
        <w:t>may</w:t>
      </w:r>
      <w:r>
        <w:t xml:space="preserve"> to look in the future.</w:t>
      </w:r>
    </w:p>
    <w:p w14:paraId="14010F47" w14:textId="708F0BAD" w:rsidR="00523F1A" w:rsidRDefault="00D55E31" w:rsidP="00D55E31">
      <w:r>
        <w:t xml:space="preserve">The analysis in this chapter focuses on projections based on current use of aged care and population </w:t>
      </w:r>
      <w:r w:rsidR="00CE1002">
        <w:t>growth and</w:t>
      </w:r>
      <w:r>
        <w:rPr>
          <w:spacing w:val="-7"/>
        </w:rPr>
        <w:t xml:space="preserve"> </w:t>
      </w:r>
      <w:r>
        <w:t>should</w:t>
      </w:r>
      <w:r>
        <w:rPr>
          <w:spacing w:val="-7"/>
        </w:rPr>
        <w:t xml:space="preserve"> </w:t>
      </w:r>
      <w:r>
        <w:t>not</w:t>
      </w:r>
      <w:r>
        <w:rPr>
          <w:spacing w:val="-7"/>
        </w:rPr>
        <w:t xml:space="preserve"> </w:t>
      </w:r>
      <w:r>
        <w:t>be</w:t>
      </w:r>
      <w:r>
        <w:rPr>
          <w:spacing w:val="-7"/>
        </w:rPr>
        <w:t xml:space="preserve"> </w:t>
      </w:r>
      <w:r>
        <w:t>treated</w:t>
      </w:r>
      <w:r>
        <w:rPr>
          <w:spacing w:val="-7"/>
        </w:rPr>
        <w:t xml:space="preserve"> </w:t>
      </w:r>
      <w:r>
        <w:t>as</w:t>
      </w:r>
      <w:r>
        <w:rPr>
          <w:spacing w:val="-7"/>
        </w:rPr>
        <w:t xml:space="preserve"> </w:t>
      </w:r>
      <w:r>
        <w:t>forecasts</w:t>
      </w:r>
      <w:r>
        <w:rPr>
          <w:spacing w:val="-7"/>
        </w:rPr>
        <w:t xml:space="preserve"> </w:t>
      </w:r>
      <w:r>
        <w:t>of</w:t>
      </w:r>
      <w:r>
        <w:rPr>
          <w:spacing w:val="-7"/>
        </w:rPr>
        <w:t xml:space="preserve"> </w:t>
      </w:r>
      <w:r>
        <w:t xml:space="preserve">what </w:t>
      </w:r>
      <w:r w:rsidR="00A05408">
        <w:t>will</w:t>
      </w:r>
      <w:r>
        <w:rPr>
          <w:spacing w:val="-1"/>
        </w:rPr>
        <w:t xml:space="preserve"> </w:t>
      </w:r>
      <w:r>
        <w:t>happen</w:t>
      </w:r>
      <w:r>
        <w:rPr>
          <w:spacing w:val="-1"/>
        </w:rPr>
        <w:t xml:space="preserve"> </w:t>
      </w:r>
      <w:r>
        <w:t>in</w:t>
      </w:r>
      <w:r>
        <w:rPr>
          <w:spacing w:val="-1"/>
        </w:rPr>
        <w:t xml:space="preserve"> </w:t>
      </w:r>
      <w:r>
        <w:t>terms</w:t>
      </w:r>
      <w:r>
        <w:rPr>
          <w:spacing w:val="-1"/>
        </w:rPr>
        <w:t xml:space="preserve"> </w:t>
      </w:r>
      <w:r>
        <w:t>of</w:t>
      </w:r>
      <w:r>
        <w:rPr>
          <w:spacing w:val="-1"/>
        </w:rPr>
        <w:t xml:space="preserve"> </w:t>
      </w:r>
      <w:r>
        <w:t>future</w:t>
      </w:r>
      <w:r>
        <w:rPr>
          <w:spacing w:val="-1"/>
        </w:rPr>
        <w:t xml:space="preserve"> </w:t>
      </w:r>
      <w:r w:rsidR="00A05408">
        <w:t>uptake of aged care services</w:t>
      </w:r>
      <w:r>
        <w:t>.</w:t>
      </w:r>
    </w:p>
    <w:p w14:paraId="71392A6B" w14:textId="05A7D691" w:rsidR="00B12964" w:rsidRDefault="00C20392" w:rsidP="00C20392">
      <w:r w:rsidRPr="003A4850">
        <w:t>With the introduction of a more competitive residential aged care system and the phasing out of the Aged Care Approvals Round (ACAR)</w:t>
      </w:r>
      <w:r>
        <w:t xml:space="preserve"> from 1 July 2024</w:t>
      </w:r>
      <w:r w:rsidRPr="003A4850">
        <w:t xml:space="preserve">, </w:t>
      </w:r>
      <w:r w:rsidRPr="003F783C">
        <w:t xml:space="preserve">the department will seek to provide additional market intelligence in future </w:t>
      </w:r>
      <w:r w:rsidR="00D11670">
        <w:t>Financial Reporting on the Australian Aged Care Sector</w:t>
      </w:r>
      <w:r w:rsidRPr="003F783C">
        <w:t xml:space="preserve"> </w:t>
      </w:r>
      <w:r w:rsidR="00D11670">
        <w:t>(</w:t>
      </w:r>
      <w:r w:rsidRPr="003F783C">
        <w:t>FRAACS</w:t>
      </w:r>
      <w:r w:rsidR="00D11670">
        <w:t>)</w:t>
      </w:r>
      <w:r w:rsidRPr="003F783C">
        <w:t xml:space="preserve"> reports. This information is likely to include strengthened forecasting and better information on supply and demand to ensure that the sector has the information it needs to inform business decisions that align with the future population and geographical make up of older Australians.</w:t>
      </w:r>
    </w:p>
    <w:p w14:paraId="234D7446" w14:textId="7DA46FDC" w:rsidR="00762350" w:rsidRDefault="00762350" w:rsidP="00762350">
      <w:r>
        <w:t xml:space="preserve">The department is also developing an Aged Care Market Strategy </w:t>
      </w:r>
      <w:r w:rsidR="00275AD5">
        <w:t xml:space="preserve">(Market </w:t>
      </w:r>
      <w:r w:rsidR="00857DEB">
        <w:t xml:space="preserve">Strategy) </w:t>
      </w:r>
      <w:r>
        <w:t>as part of its role as market steward</w:t>
      </w:r>
      <w:r w:rsidR="00A567A5">
        <w:t xml:space="preserve">, </w:t>
      </w:r>
      <w:r>
        <w:t xml:space="preserve">to </w:t>
      </w:r>
      <w:r w:rsidR="00EB78C0">
        <w:t>ensure that the market meets the needs and preferences</w:t>
      </w:r>
      <w:r w:rsidDel="003215DC">
        <w:t xml:space="preserve"> of </w:t>
      </w:r>
      <w:r w:rsidR="00EB78C0">
        <w:t>older Australians</w:t>
      </w:r>
      <w:r w:rsidR="00F72D45">
        <w:t xml:space="preserve"> into the future</w:t>
      </w:r>
      <w:r w:rsidR="00EB78C0">
        <w:t xml:space="preserve">. </w:t>
      </w:r>
      <w:r w:rsidR="00857DEB">
        <w:t xml:space="preserve">The Market Strategy will </w:t>
      </w:r>
      <w:r>
        <w:t xml:space="preserve">provide a strategic, guiding framework that outlines the principles </w:t>
      </w:r>
      <w:r w:rsidR="003B649E">
        <w:t>the Australian</w:t>
      </w:r>
      <w:r>
        <w:t xml:space="preserve"> Government wants the aged care market to meet, and how the market should be shaped in alignment with those principles. </w:t>
      </w:r>
    </w:p>
    <w:p w14:paraId="7E0AA32E" w14:textId="7DDE8FB0" w:rsidR="00460058" w:rsidRPr="00460058" w:rsidRDefault="00CE1002" w:rsidP="00AC71EA">
      <w:pPr>
        <w:pStyle w:val="Heading2nonumbers"/>
      </w:pPr>
      <w:r w:rsidRPr="00375C66">
        <w:t>Determinants</w:t>
      </w:r>
      <w:r w:rsidRPr="00375C66">
        <w:rPr>
          <w:spacing w:val="-9"/>
        </w:rPr>
        <w:t xml:space="preserve"> </w:t>
      </w:r>
      <w:r w:rsidRPr="00375C66">
        <w:t>of</w:t>
      </w:r>
      <w:r w:rsidRPr="00375C66">
        <w:rPr>
          <w:spacing w:val="-6"/>
        </w:rPr>
        <w:t xml:space="preserve"> </w:t>
      </w:r>
      <w:r w:rsidRPr="00375C66">
        <w:rPr>
          <w:spacing w:val="-2"/>
        </w:rPr>
        <w:t>demand</w:t>
      </w:r>
    </w:p>
    <w:p w14:paraId="355E2AEB" w14:textId="67A71BC1" w:rsidR="00172E21" w:rsidRDefault="00575F07" w:rsidP="00172E21">
      <w:r w:rsidRPr="00575F07">
        <w:t>Demand for aged care services is complex and dependent on a range of demographic, service need</w:t>
      </w:r>
      <w:r w:rsidR="000431DE">
        <w:t>s</w:t>
      </w:r>
      <w:r w:rsidRPr="00575F07">
        <w:t xml:space="preserve"> and economic factors. </w:t>
      </w:r>
      <w:r w:rsidR="00172E21">
        <w:t xml:space="preserve">The Royal Commission into Aged Care Quality and Safety (the Royal Commission) noted in </w:t>
      </w:r>
      <w:r w:rsidR="000B6A4F">
        <w:t xml:space="preserve">its </w:t>
      </w:r>
      <w:r w:rsidR="00172E21">
        <w:t xml:space="preserve">final report summary that “Australia’s changing demographics significantly influence the demand for and provision of aged care. The aged care sector is facing an ageing population with increasing frailty. Australians are living longer than ever before.” </w:t>
      </w:r>
    </w:p>
    <w:p w14:paraId="5181CD52" w14:textId="56876CF7" w:rsidR="00CE1002" w:rsidRDefault="00172E21" w:rsidP="00172E21">
      <w:r>
        <w:t>It went on to say</w:t>
      </w:r>
      <w:r w:rsidR="000B6A4F">
        <w:t>:</w:t>
      </w:r>
      <w:r>
        <w:t xml:space="preserve"> “These changing demographics, together with changes in the patterns of disease and dependency, and in the expectations of older people and society, will impact on demand for aged care in </w:t>
      </w:r>
      <w:proofErr w:type="gramStart"/>
      <w:r>
        <w:t>a number of</w:t>
      </w:r>
      <w:proofErr w:type="gramEnd"/>
      <w:r>
        <w:t xml:space="preserve"> ways. These include the length of stay in residential aged care, the increase in care needs, the demand for a variety of care choices, and the desire of older people to remain in their own homes for as long as possible.”</w:t>
      </w:r>
      <w:r w:rsidRPr="00575F07" w:rsidDel="00172E21">
        <w:t xml:space="preserve"> </w:t>
      </w:r>
    </w:p>
    <w:p w14:paraId="59E07451" w14:textId="6ADAA590" w:rsidR="00460058" w:rsidRPr="00460058" w:rsidRDefault="00E05DAB" w:rsidP="00AC71EA">
      <w:pPr>
        <w:pStyle w:val="Heading2nonumbers"/>
      </w:pPr>
      <w:r w:rsidRPr="00375C66">
        <w:rPr>
          <w:shd w:val="clear" w:color="auto" w:fill="FFFFFF"/>
        </w:rPr>
        <w:lastRenderedPageBreak/>
        <w:t xml:space="preserve">An ageing population – older people demand more aged </w:t>
      </w:r>
      <w:proofErr w:type="gramStart"/>
      <w:r w:rsidRPr="00375C66">
        <w:rPr>
          <w:shd w:val="clear" w:color="auto" w:fill="FFFFFF"/>
        </w:rPr>
        <w:t>care</w:t>
      </w:r>
      <w:proofErr w:type="gramEnd"/>
    </w:p>
    <w:p w14:paraId="4E9B37B1" w14:textId="433CBCD4" w:rsidR="001400AE" w:rsidRPr="00F1370D" w:rsidRDefault="00F1370D" w:rsidP="00F1370D">
      <w:r w:rsidRPr="00F1370D">
        <w:fldChar w:fldCharType="begin"/>
      </w:r>
      <w:r w:rsidRPr="00F1370D">
        <w:instrText xml:space="preserve"> REF _Ref136942760 \h </w:instrText>
      </w:r>
      <w:r w:rsidRPr="00F1370D">
        <w:fldChar w:fldCharType="separate"/>
      </w:r>
      <w:r w:rsidR="00294B02">
        <w:t xml:space="preserve">Chart </w:t>
      </w:r>
      <w:r w:rsidR="00294B02">
        <w:rPr>
          <w:noProof/>
        </w:rPr>
        <w:t>6</w:t>
      </w:r>
      <w:r w:rsidR="00294B02">
        <w:t>.</w:t>
      </w:r>
      <w:r w:rsidR="00294B02">
        <w:rPr>
          <w:noProof/>
        </w:rPr>
        <w:t>1</w:t>
      </w:r>
      <w:r w:rsidRPr="00F1370D">
        <w:fldChar w:fldCharType="end"/>
      </w:r>
      <w:r w:rsidR="00D0073C">
        <w:t xml:space="preserve"> </w:t>
      </w:r>
      <w:r w:rsidRPr="00F1370D">
        <w:t>shows the number of people aged 70 years and over for the next 20 years. The ageing of the Australian population over the next 20 years will see the size of the 70 years and over cohort increase by around</w:t>
      </w:r>
      <w:r w:rsidR="008B29DC">
        <w:t xml:space="preserve"> </w:t>
      </w:r>
      <w:r w:rsidRPr="00F1370D">
        <w:t>1 million people each decade. The older age groups will more than double over this period. The 85 years and over cohort will increase from just over 5</w:t>
      </w:r>
      <w:r w:rsidR="009C6976">
        <w:t>43</w:t>
      </w:r>
      <w:r w:rsidRPr="00F1370D">
        <w:t>,000 people in 202</w:t>
      </w:r>
      <w:r w:rsidR="004B5062">
        <w:t>2</w:t>
      </w:r>
      <w:r w:rsidRPr="00F1370D">
        <w:t xml:space="preserve"> to just over 1.1 million people by 204</w:t>
      </w:r>
      <w:r w:rsidR="009C6976">
        <w:t>2</w:t>
      </w:r>
      <w:r w:rsidRPr="00F1370D">
        <w:t>.</w:t>
      </w:r>
    </w:p>
    <w:p w14:paraId="4C29912E" w14:textId="1FCF3373" w:rsidR="001400AE" w:rsidRDefault="00B77CBE" w:rsidP="00B77CBE">
      <w:pPr>
        <w:pStyle w:val="Caption"/>
      </w:pPr>
      <w:bookmarkStart w:id="327" w:name="_Ref136942760"/>
      <w:bookmarkStart w:id="328" w:name="_Ref137047035"/>
      <w:bookmarkStart w:id="329" w:name="_Ref136942757"/>
      <w:bookmarkStart w:id="330" w:name="_Toc149245257"/>
      <w:r>
        <w:t xml:space="preserve">Chart </w:t>
      </w:r>
      <w:r>
        <w:fldChar w:fldCharType="begin"/>
      </w:r>
      <w:r>
        <w:instrText>STYLEREF 1 \s</w:instrText>
      </w:r>
      <w:r>
        <w:fldChar w:fldCharType="separate"/>
      </w:r>
      <w:r w:rsidR="00294B02">
        <w:rPr>
          <w:noProof/>
        </w:rPr>
        <w:t>6</w:t>
      </w:r>
      <w:r>
        <w:fldChar w:fldCharType="end"/>
      </w:r>
      <w:r w:rsidR="00054A51">
        <w:t>.</w:t>
      </w:r>
      <w:r>
        <w:fldChar w:fldCharType="begin"/>
      </w:r>
      <w:r>
        <w:instrText>SEQ Chart \* ARABIC \s 1</w:instrText>
      </w:r>
      <w:r>
        <w:fldChar w:fldCharType="separate"/>
      </w:r>
      <w:r w:rsidR="00294B02">
        <w:rPr>
          <w:noProof/>
        </w:rPr>
        <w:t>1</w:t>
      </w:r>
      <w:r>
        <w:fldChar w:fldCharType="end"/>
      </w:r>
      <w:bookmarkEnd w:id="327"/>
      <w:bookmarkEnd w:id="328"/>
      <w:r>
        <w:t xml:space="preserve">: </w:t>
      </w:r>
      <w:r w:rsidRPr="003E17FB">
        <w:t xml:space="preserve">Number of people aged 70 years and over, by </w:t>
      </w:r>
      <w:proofErr w:type="gramStart"/>
      <w:r w:rsidRPr="003E17FB">
        <w:t>5 year</w:t>
      </w:r>
      <w:proofErr w:type="gramEnd"/>
      <w:r w:rsidRPr="003E17FB">
        <w:t xml:space="preserve"> age cohort, 2022 to 2042</w:t>
      </w:r>
      <w:bookmarkEnd w:id="329"/>
      <w:bookmarkEnd w:id="330"/>
    </w:p>
    <w:p w14:paraId="24B978E9" w14:textId="57E73351" w:rsidR="00ED6D71" w:rsidRPr="00ED6D71" w:rsidRDefault="00DF3973" w:rsidP="00ED6D71">
      <w:r>
        <w:rPr>
          <w:noProof/>
        </w:rPr>
        <w:drawing>
          <wp:inline distT="0" distB="0" distL="0" distR="0" wp14:anchorId="7D2D0C7F" wp14:editId="0683EB63">
            <wp:extent cx="5681981" cy="3474720"/>
            <wp:effectExtent l="0" t="0" r="0" b="0"/>
            <wp:docPr id="1773416597" name="Picture 1773416597" descr="Chart 6.1 is a stacked column chart titled Number of people aged 70 years and over, by 5 year age cohort, 2022 to 2042. The size of the 70 years and over cohort increase by around 1 million people each decade while the older age groups will more than double over this period. The 85 years and over cohort will increase from just over 543,000 people in 2021 to just over 1.1 million people by 204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97" name="Picture 1773416597" descr="Chart 6.1 is a stacked column chart titled Number of people aged 70 years and over, by 5 year age cohort, 2022 to 2042. The size of the 70 years and over cohort increase by around 1 million people each decade while the older age groups will more than double over this period. The 85 years and over cohort will increase from just over 543,000 people in 2021 to just over 1.1 million people by 2042. "/>
                    <pic:cNvPicPr/>
                  </pic:nvPicPr>
                  <pic:blipFill>
                    <a:blip r:embed="rId119">
                      <a:extLst>
                        <a:ext uri="{28A0092B-C50C-407E-A947-70E740481C1C}">
                          <a14:useLocalDpi xmlns:a14="http://schemas.microsoft.com/office/drawing/2010/main" val="0"/>
                        </a:ext>
                      </a:extLst>
                    </a:blip>
                    <a:stretch>
                      <a:fillRect/>
                    </a:stretch>
                  </pic:blipFill>
                  <pic:spPr>
                    <a:xfrm>
                      <a:off x="0" y="0"/>
                      <a:ext cx="5681981" cy="3474720"/>
                    </a:xfrm>
                    <a:prstGeom prst="rect">
                      <a:avLst/>
                    </a:prstGeom>
                  </pic:spPr>
                </pic:pic>
              </a:graphicData>
            </a:graphic>
          </wp:inline>
        </w:drawing>
      </w:r>
    </w:p>
    <w:p w14:paraId="419EDD0D" w14:textId="09FE1E15" w:rsidR="001400AE" w:rsidRPr="00514D38" w:rsidRDefault="00F745D7" w:rsidP="003364A5">
      <w:pPr>
        <w:pStyle w:val="Caption"/>
        <w:keepNext w:val="0"/>
        <w:rPr>
          <w:b w:val="0"/>
          <w:bCs w:val="0"/>
          <w:szCs w:val="24"/>
        </w:rPr>
      </w:pPr>
      <w:r>
        <w:rPr>
          <w:b w:val="0"/>
          <w:bCs w:val="0"/>
          <w:szCs w:val="24"/>
        </w:rPr>
        <w:t>Chart 6.2</w:t>
      </w:r>
      <w:r w:rsidR="00F14D63" w:rsidRPr="00514D38">
        <w:rPr>
          <w:b w:val="0"/>
          <w:bCs w:val="0"/>
          <w:szCs w:val="24"/>
        </w:rPr>
        <w:t xml:space="preserve"> </w:t>
      </w:r>
      <w:r w:rsidR="00FD6FFF" w:rsidRPr="00514D38">
        <w:rPr>
          <w:b w:val="0"/>
          <w:bCs w:val="0"/>
          <w:szCs w:val="24"/>
        </w:rPr>
        <w:t>shows the proportion of the 70 years and over age group who are aged 85 and over for the next 20 years. The proportion of the 70 and over population who are aged 85 and over will increase from 202</w:t>
      </w:r>
      <w:r w:rsidR="0017419C" w:rsidRPr="00514D38">
        <w:rPr>
          <w:b w:val="0"/>
          <w:bCs w:val="0"/>
          <w:szCs w:val="24"/>
        </w:rPr>
        <w:t>7</w:t>
      </w:r>
      <w:r w:rsidR="00FD6FFF" w:rsidRPr="00514D38">
        <w:rPr>
          <w:b w:val="0"/>
          <w:bCs w:val="0"/>
          <w:szCs w:val="24"/>
        </w:rPr>
        <w:t xml:space="preserve"> onwards.</w:t>
      </w:r>
    </w:p>
    <w:p w14:paraId="1E9F3DF2" w14:textId="7FBF1D77" w:rsidR="00B77CBE" w:rsidRPr="003364A5" w:rsidRDefault="00B77CBE" w:rsidP="00B77CBE">
      <w:pPr>
        <w:pStyle w:val="Caption"/>
      </w:pPr>
      <w:bookmarkStart w:id="331" w:name="_Ref136943248"/>
      <w:bookmarkStart w:id="332" w:name="_Ref137047064"/>
      <w:bookmarkStart w:id="333" w:name="_Toc149245258"/>
      <w:r>
        <w:lastRenderedPageBreak/>
        <w:t xml:space="preserve">Chart </w:t>
      </w:r>
      <w:r>
        <w:fldChar w:fldCharType="begin"/>
      </w:r>
      <w:r>
        <w:instrText>STYLEREF 1 \s</w:instrText>
      </w:r>
      <w:r>
        <w:fldChar w:fldCharType="separate"/>
      </w:r>
      <w:r w:rsidR="00294B02">
        <w:rPr>
          <w:noProof/>
        </w:rPr>
        <w:t>6</w:t>
      </w:r>
      <w:r>
        <w:fldChar w:fldCharType="end"/>
      </w:r>
      <w:r w:rsidR="00054A51">
        <w:t>.</w:t>
      </w:r>
      <w:r>
        <w:fldChar w:fldCharType="begin"/>
      </w:r>
      <w:r>
        <w:instrText>SEQ Chart \* ARABIC \s 1</w:instrText>
      </w:r>
      <w:r>
        <w:fldChar w:fldCharType="separate"/>
      </w:r>
      <w:r w:rsidR="00294B02">
        <w:rPr>
          <w:noProof/>
        </w:rPr>
        <w:t>2</w:t>
      </w:r>
      <w:r>
        <w:fldChar w:fldCharType="end"/>
      </w:r>
      <w:bookmarkEnd w:id="331"/>
      <w:bookmarkEnd w:id="332"/>
      <w:r>
        <w:t xml:space="preserve">: </w:t>
      </w:r>
      <w:r w:rsidRPr="001760BB">
        <w:t xml:space="preserve">Proportion of the 70 years and over age group who are aged 85 and over, 2022 to </w:t>
      </w:r>
      <w:proofErr w:type="gramStart"/>
      <w:r w:rsidRPr="001760BB">
        <w:t>2042</w:t>
      </w:r>
      <w:bookmarkEnd w:id="333"/>
      <w:proofErr w:type="gramEnd"/>
    </w:p>
    <w:p w14:paraId="6329F55E" w14:textId="10E0ACEF" w:rsidR="001400AE" w:rsidRPr="0068175D" w:rsidRDefault="0068175D" w:rsidP="0068175D">
      <w:r>
        <w:rPr>
          <w:noProof/>
        </w:rPr>
        <w:drawing>
          <wp:inline distT="0" distB="0" distL="0" distR="0" wp14:anchorId="4A8DA785" wp14:editId="60071D7F">
            <wp:extent cx="5736590" cy="3487420"/>
            <wp:effectExtent l="0" t="0" r="0" b="0"/>
            <wp:docPr id="1773416598" name="Picture 1773416598" descr="Chart 6.2 is a line chart titled Proportion of the 70 years and over age group who are aged 85 and over, 2022 to 2042. The proportion of this population will reduce over the next few years and subsequently increase from 2025 onwa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98" name="Picture 1773416598" descr="Chart 6.2 is a line chart titled Proportion of the 70 years and over age group who are aged 85 and over, 2022 to 2042. The proportion of this population will reduce over the next few years and subsequently increase from 2025 onwards.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6590" cy="3487420"/>
                    </a:xfrm>
                    <a:prstGeom prst="rect">
                      <a:avLst/>
                    </a:prstGeom>
                    <a:noFill/>
                  </pic:spPr>
                </pic:pic>
              </a:graphicData>
            </a:graphic>
          </wp:inline>
        </w:drawing>
      </w:r>
    </w:p>
    <w:p w14:paraId="449A0563" w14:textId="54A58048" w:rsidR="001400AE" w:rsidRPr="008E2604" w:rsidRDefault="009618FB" w:rsidP="008E2604">
      <w:r w:rsidRPr="008E2604">
        <w:t xml:space="preserve">Chart </w:t>
      </w:r>
      <w:r w:rsidR="00F745D7" w:rsidRPr="008E2604">
        <w:t>6.3</w:t>
      </w:r>
      <w:r w:rsidR="00AA6854" w:rsidRPr="008E2604">
        <w:t xml:space="preserve"> and </w:t>
      </w:r>
      <w:r w:rsidR="00AA6854" w:rsidRPr="008E2604">
        <w:fldChar w:fldCharType="begin"/>
      </w:r>
      <w:r w:rsidR="00AA6854" w:rsidRPr="008E2604">
        <w:instrText xml:space="preserve"> REF _Ref136944271 \h </w:instrText>
      </w:r>
      <w:r w:rsidR="00AA6854" w:rsidRPr="008E2604">
        <w:fldChar w:fldCharType="separate"/>
      </w:r>
      <w:r w:rsidR="00294B02" w:rsidRPr="008E2604">
        <w:t>Chart 6.4</w:t>
      </w:r>
      <w:r w:rsidR="00AA6854" w:rsidRPr="008E2604">
        <w:fldChar w:fldCharType="end"/>
      </w:r>
      <w:r w:rsidR="0017419C" w:rsidRPr="008E2604">
        <w:t xml:space="preserve"> </w:t>
      </w:r>
      <w:r w:rsidR="00E66123" w:rsidRPr="008E2604">
        <w:t>show</w:t>
      </w:r>
      <w:r w:rsidR="00AA6854" w:rsidRPr="008E2604">
        <w:t>s</w:t>
      </w:r>
      <w:r w:rsidR="00E66123" w:rsidRPr="008E2604">
        <w:t xml:space="preserve"> the proportion of</w:t>
      </w:r>
      <w:r w:rsidR="00AA6854" w:rsidRPr="008E2604">
        <w:t xml:space="preserve"> people</w:t>
      </w:r>
      <w:r w:rsidR="00E66123" w:rsidRPr="008E2604">
        <w:t xml:space="preserve"> using residential care and home care</w:t>
      </w:r>
      <w:r w:rsidR="00263AF7" w:rsidRPr="008E2604">
        <w:t>,</w:t>
      </w:r>
      <w:r w:rsidR="00262659" w:rsidRPr="008E2604">
        <w:t xml:space="preserve"> for females and males</w:t>
      </w:r>
      <w:r w:rsidR="00263AF7" w:rsidRPr="008E2604">
        <w:t>,</w:t>
      </w:r>
      <w:r w:rsidR="00E66123" w:rsidRPr="008E2604">
        <w:t xml:space="preserve"> </w:t>
      </w:r>
      <w:proofErr w:type="gramStart"/>
      <w:r w:rsidR="00E66123" w:rsidRPr="008E2604">
        <w:t>at</w:t>
      </w:r>
      <w:proofErr w:type="gramEnd"/>
      <w:r w:rsidR="00E66123" w:rsidRPr="008E2604">
        <w:t xml:space="preserve"> 30 June 202</w:t>
      </w:r>
      <w:r w:rsidR="002B4309" w:rsidRPr="008E2604">
        <w:t>2</w:t>
      </w:r>
      <w:r w:rsidR="00E66123" w:rsidRPr="008E2604">
        <w:t xml:space="preserve">. The proportion </w:t>
      </w:r>
      <w:r w:rsidR="002B4309" w:rsidRPr="008E2604">
        <w:t xml:space="preserve">of </w:t>
      </w:r>
      <w:r w:rsidR="00262659" w:rsidRPr="008E2604">
        <w:t>people</w:t>
      </w:r>
      <w:r w:rsidR="002B4309" w:rsidRPr="008E2604">
        <w:t xml:space="preserve"> </w:t>
      </w:r>
      <w:r w:rsidR="00E66123" w:rsidRPr="008E2604">
        <w:t>who currently use residential and home care package services increases dramatically with age. By age 80</w:t>
      </w:r>
      <w:r w:rsidR="00262659" w:rsidRPr="008E2604">
        <w:t xml:space="preserve">, </w:t>
      </w:r>
      <w:r w:rsidR="00E66123" w:rsidRPr="008E2604">
        <w:t xml:space="preserve">the proportion </w:t>
      </w:r>
      <w:r w:rsidR="002718EE" w:rsidRPr="008E2604">
        <w:t>of older Australians</w:t>
      </w:r>
      <w:r w:rsidR="00E66123" w:rsidRPr="008E2604">
        <w:t xml:space="preserve"> </w:t>
      </w:r>
      <w:r w:rsidR="005D0D05" w:rsidRPr="008E2604">
        <w:t>accessing aged care,</w:t>
      </w:r>
      <w:r w:rsidR="00E66123" w:rsidRPr="008E2604">
        <w:t xml:space="preserve"> either </w:t>
      </w:r>
      <w:r w:rsidR="005D0D05" w:rsidRPr="008E2604">
        <w:t xml:space="preserve">through </w:t>
      </w:r>
      <w:r w:rsidR="00E66123" w:rsidRPr="008E2604">
        <w:t xml:space="preserve">permanent residential care or a home care package is around </w:t>
      </w:r>
      <w:r w:rsidR="00F41C90" w:rsidRPr="008E2604">
        <w:t>1</w:t>
      </w:r>
      <w:r w:rsidR="00DF6911" w:rsidRPr="008E2604">
        <w:t>3</w:t>
      </w:r>
      <w:r w:rsidR="00E66123" w:rsidRPr="008E2604">
        <w:t xml:space="preserve"> per cent</w:t>
      </w:r>
      <w:r w:rsidR="00DF6911" w:rsidRPr="008E2604">
        <w:t xml:space="preserve"> </w:t>
      </w:r>
      <w:r w:rsidR="006D2CE3" w:rsidRPr="008E2604">
        <w:t>of</w:t>
      </w:r>
      <w:r w:rsidR="00DF6911" w:rsidRPr="008E2604">
        <w:t xml:space="preserve"> females and </w:t>
      </w:r>
      <w:r w:rsidR="00A143D6" w:rsidRPr="008E2604">
        <w:t xml:space="preserve">8.5 per cent </w:t>
      </w:r>
      <w:r w:rsidR="004A2EED" w:rsidRPr="008E2604">
        <w:t>of</w:t>
      </w:r>
      <w:r w:rsidR="00A143D6" w:rsidRPr="008E2604">
        <w:t xml:space="preserve"> males</w:t>
      </w:r>
      <w:r w:rsidR="00AA058B" w:rsidRPr="008E2604">
        <w:t>.</w:t>
      </w:r>
      <w:r w:rsidR="00E66123" w:rsidRPr="008E2604">
        <w:t xml:space="preserve"> </w:t>
      </w:r>
      <w:r w:rsidR="00AA058B" w:rsidRPr="008E2604">
        <w:t>T</w:t>
      </w:r>
      <w:r w:rsidR="00E66123" w:rsidRPr="008E2604">
        <w:t xml:space="preserve">his doubles by age 85 </w:t>
      </w:r>
      <w:r w:rsidR="0068391E" w:rsidRPr="008E2604">
        <w:t>(</w:t>
      </w:r>
      <w:r w:rsidR="00307B1F" w:rsidRPr="008E2604">
        <w:t xml:space="preserve">to </w:t>
      </w:r>
      <w:r w:rsidR="00953A5E" w:rsidRPr="008E2604">
        <w:t>26</w:t>
      </w:r>
      <w:r w:rsidR="00307B1F" w:rsidRPr="008E2604">
        <w:t xml:space="preserve"> per cent </w:t>
      </w:r>
      <w:r w:rsidR="00350D74" w:rsidRPr="008E2604">
        <w:t>of</w:t>
      </w:r>
      <w:r w:rsidR="00E66123" w:rsidRPr="008E2604">
        <w:t xml:space="preserve"> </w:t>
      </w:r>
      <w:r w:rsidR="004B28DD" w:rsidRPr="008E2604">
        <w:t xml:space="preserve">females, and </w:t>
      </w:r>
      <w:r w:rsidR="0037658C" w:rsidRPr="008E2604">
        <w:t>1</w:t>
      </w:r>
      <w:r w:rsidR="002C6CB6" w:rsidRPr="008E2604">
        <w:t>7</w:t>
      </w:r>
      <w:r w:rsidR="00FC0C45" w:rsidRPr="008E2604">
        <w:t xml:space="preserve"> per cent of males) </w:t>
      </w:r>
      <w:r w:rsidR="00E66123" w:rsidRPr="008E2604">
        <w:t>and nearly doubles again by a</w:t>
      </w:r>
      <w:r w:rsidR="002B4309" w:rsidRPr="008E2604">
        <w:t xml:space="preserve">ge </w:t>
      </w:r>
      <w:r w:rsidR="00E66123" w:rsidRPr="008E2604">
        <w:t>9</w:t>
      </w:r>
      <w:r w:rsidR="00967EB0" w:rsidRPr="008E2604">
        <w:t>2</w:t>
      </w:r>
      <w:r w:rsidR="00FC0C45" w:rsidRPr="008E2604">
        <w:t xml:space="preserve"> (to </w:t>
      </w:r>
      <w:r w:rsidR="009C6C28" w:rsidRPr="008E2604">
        <w:t>50</w:t>
      </w:r>
      <w:r w:rsidR="00FC0C45" w:rsidRPr="008E2604">
        <w:t xml:space="preserve"> per cent of females and </w:t>
      </w:r>
      <w:r w:rsidR="008C23B6" w:rsidRPr="008E2604">
        <w:t>37</w:t>
      </w:r>
      <w:r w:rsidR="00FC0C45" w:rsidRPr="008E2604">
        <w:t xml:space="preserve"> per cent of males)</w:t>
      </w:r>
      <w:r w:rsidR="00E66123" w:rsidRPr="008E2604">
        <w:t xml:space="preserve">. This projection is based on current usage, which may not reflect </w:t>
      </w:r>
      <w:r w:rsidR="009F4C6B" w:rsidRPr="008E2604">
        <w:t>individual</w:t>
      </w:r>
      <w:r w:rsidR="00D47879" w:rsidRPr="008E2604">
        <w:t xml:space="preserve"> preferences or future demand requirements as </w:t>
      </w:r>
      <w:r w:rsidR="00CB35D5" w:rsidRPr="008E2604">
        <w:t>the preferences of older Australians’ change.</w:t>
      </w:r>
    </w:p>
    <w:p w14:paraId="2868B613" w14:textId="6D737C86" w:rsidR="00E7032D" w:rsidRDefault="003F5314" w:rsidP="00571F51">
      <w:pPr>
        <w:pStyle w:val="Caption"/>
      </w:pPr>
      <w:bookmarkStart w:id="334" w:name="_Ref136943349"/>
      <w:bookmarkStart w:id="335" w:name="_Ref137047081"/>
      <w:bookmarkStart w:id="336" w:name="_Toc149245259"/>
      <w:r>
        <w:lastRenderedPageBreak/>
        <w:t xml:space="preserve">Chart </w:t>
      </w:r>
      <w:r>
        <w:fldChar w:fldCharType="begin"/>
      </w:r>
      <w:r>
        <w:instrText>STYLEREF 1 \s</w:instrText>
      </w:r>
      <w:r>
        <w:fldChar w:fldCharType="separate"/>
      </w:r>
      <w:r w:rsidR="00294B02">
        <w:rPr>
          <w:noProof/>
        </w:rPr>
        <w:t>6</w:t>
      </w:r>
      <w:r>
        <w:fldChar w:fldCharType="end"/>
      </w:r>
      <w:r w:rsidR="00054A51">
        <w:t>.</w:t>
      </w:r>
      <w:r>
        <w:fldChar w:fldCharType="begin"/>
      </w:r>
      <w:r>
        <w:instrText>SEQ Chart \* ARABIC \s 1</w:instrText>
      </w:r>
      <w:r>
        <w:fldChar w:fldCharType="separate"/>
      </w:r>
      <w:r w:rsidR="00294B02">
        <w:rPr>
          <w:noProof/>
        </w:rPr>
        <w:t>3</w:t>
      </w:r>
      <w:r>
        <w:fldChar w:fldCharType="end"/>
      </w:r>
      <w:bookmarkEnd w:id="334"/>
      <w:bookmarkEnd w:id="335"/>
      <w:r>
        <w:t xml:space="preserve">: </w:t>
      </w:r>
      <w:r w:rsidRPr="00BD7924">
        <w:t>Proportion of females of each age using residential care and home care, 30 June 2022</w:t>
      </w:r>
      <w:bookmarkEnd w:id="336"/>
    </w:p>
    <w:p w14:paraId="06A16F88" w14:textId="186E5A2A" w:rsidR="0068175D" w:rsidRPr="0068175D" w:rsidRDefault="0068175D" w:rsidP="0068175D">
      <w:r>
        <w:rPr>
          <w:noProof/>
        </w:rPr>
        <w:drawing>
          <wp:inline distT="0" distB="0" distL="0" distR="0" wp14:anchorId="142BB749" wp14:editId="01707087">
            <wp:extent cx="5736590" cy="3481070"/>
            <wp:effectExtent l="0" t="0" r="0" b="5080"/>
            <wp:docPr id="1773416599" name="Picture 1773416599" descr="Chart 6.3 is a stacked column chart titled Proportion of females of each age using residential care and home care, 30 June 2022.  The proportion of females who currently use residential and home care package services increases dramatically with age. By age 80, the proportion of females using either permanent residential care or a home care package is around 13 per cent; this doubles by aged 85; and nearly doubles again by age 9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599" name="Picture 1773416599" descr="Chart 6.3 is a stacked column chart titled Proportion of females of each age using residential care and home care, 30 June 2022.  The proportion of females who currently use residential and home care package services increases dramatically with age. By age 80, the proportion of females using either permanent residential care or a home care package is around 13 per cent; this doubles by aged 85; and nearly doubles again by age 92.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6590" cy="3481070"/>
                    </a:xfrm>
                    <a:prstGeom prst="rect">
                      <a:avLst/>
                    </a:prstGeom>
                    <a:noFill/>
                  </pic:spPr>
                </pic:pic>
              </a:graphicData>
            </a:graphic>
          </wp:inline>
        </w:drawing>
      </w:r>
    </w:p>
    <w:p w14:paraId="7AA985E8" w14:textId="7ACABF65" w:rsidR="003F5314" w:rsidRPr="003F5314" w:rsidRDefault="002C010F" w:rsidP="002C010F">
      <w:pPr>
        <w:pStyle w:val="Caption"/>
      </w:pPr>
      <w:bookmarkStart w:id="337" w:name="_Ref136944271"/>
      <w:bookmarkStart w:id="338" w:name="_Ref137047094"/>
      <w:bookmarkStart w:id="339" w:name="_Toc149245260"/>
      <w:r>
        <w:t xml:space="preserve">Chart </w:t>
      </w:r>
      <w:r>
        <w:fldChar w:fldCharType="begin"/>
      </w:r>
      <w:r>
        <w:instrText>STYLEREF 1 \s</w:instrText>
      </w:r>
      <w:r>
        <w:fldChar w:fldCharType="separate"/>
      </w:r>
      <w:r w:rsidR="00294B02">
        <w:rPr>
          <w:noProof/>
        </w:rPr>
        <w:t>6</w:t>
      </w:r>
      <w:r>
        <w:fldChar w:fldCharType="end"/>
      </w:r>
      <w:r w:rsidR="00054A51">
        <w:t>.</w:t>
      </w:r>
      <w:r>
        <w:fldChar w:fldCharType="begin"/>
      </w:r>
      <w:r>
        <w:instrText>SEQ Chart \* ARABIC \s 1</w:instrText>
      </w:r>
      <w:r>
        <w:fldChar w:fldCharType="separate"/>
      </w:r>
      <w:r w:rsidR="00294B02">
        <w:rPr>
          <w:noProof/>
        </w:rPr>
        <w:t>4</w:t>
      </w:r>
      <w:r>
        <w:fldChar w:fldCharType="end"/>
      </w:r>
      <w:bookmarkEnd w:id="337"/>
      <w:bookmarkEnd w:id="338"/>
      <w:r>
        <w:t xml:space="preserve">: </w:t>
      </w:r>
      <w:r w:rsidRPr="002C3FA3">
        <w:t>Proportion of males of each age using residential care and home care, 30 June 2022</w:t>
      </w:r>
      <w:bookmarkEnd w:id="339"/>
    </w:p>
    <w:p w14:paraId="21C6F95C" w14:textId="6F9E9338" w:rsidR="0009735B" w:rsidRDefault="00644527" w:rsidP="0009735B">
      <w:r>
        <w:rPr>
          <w:noProof/>
        </w:rPr>
        <w:drawing>
          <wp:inline distT="0" distB="0" distL="0" distR="0" wp14:anchorId="74F01D35" wp14:editId="0CCF73F9">
            <wp:extent cx="5730875" cy="3474720"/>
            <wp:effectExtent l="0" t="0" r="3175" b="0"/>
            <wp:docPr id="1773416600" name="Picture 1773416600" descr="Chart 6.4 is a stacked column chart titled Proportion of males of each age using residential care and home care, 30 June 2022.  The proportion of males who currently use residential and home care package services increases dramatically with age. By age 80, the proportion of males using either permanent residential care or a home care package is around 8.5 per cent; this doubles by aged 85; and nearly doubles again by age 9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600" name="Picture 1773416600" descr="Chart 6.4 is a stacked column chart titled Proportion of males of each age using residential care and home care, 30 June 2022.  The proportion of males who currently use residential and home care package services increases dramatically with age. By age 80, the proportion of males using either permanent residential care or a home care package is around 8.5 per cent; this doubles by aged 85; and nearly doubles again by age 90. "/>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0875" cy="3474720"/>
                    </a:xfrm>
                    <a:prstGeom prst="rect">
                      <a:avLst/>
                    </a:prstGeom>
                    <a:noFill/>
                  </pic:spPr>
                </pic:pic>
              </a:graphicData>
            </a:graphic>
          </wp:inline>
        </w:drawing>
      </w:r>
    </w:p>
    <w:p w14:paraId="399EB05A" w14:textId="3FDEABB6" w:rsidR="0096611C" w:rsidRPr="00375C66" w:rsidRDefault="0096611C" w:rsidP="003364A5">
      <w:pPr>
        <w:pStyle w:val="Heading2nonumbers"/>
      </w:pPr>
      <w:r w:rsidRPr="00375C66">
        <w:lastRenderedPageBreak/>
        <w:t>Substitution of residential care and home care</w:t>
      </w:r>
    </w:p>
    <w:p w14:paraId="4AE17508" w14:textId="686FFA97" w:rsidR="00F745D7" w:rsidRDefault="0096611C" w:rsidP="00F745D7">
      <w:r>
        <w:t xml:space="preserve">One of the factors that </w:t>
      </w:r>
      <w:proofErr w:type="gramStart"/>
      <w:r>
        <w:t>has to</w:t>
      </w:r>
      <w:proofErr w:type="gramEnd"/>
      <w:r>
        <w:t xml:space="preserve"> be taken into account in projecting demand for aged care is the potential substitutability of service types.</w:t>
      </w:r>
    </w:p>
    <w:p w14:paraId="47C8E331" w14:textId="68E5DB5F" w:rsidR="003D068A" w:rsidRPr="00ED0924" w:rsidRDefault="00F745D7" w:rsidP="003364A5">
      <w:pPr>
        <w:rPr>
          <w:b/>
        </w:rPr>
      </w:pPr>
      <w:r w:rsidRPr="00F745D7">
        <w:t>Chart 6.5</w:t>
      </w:r>
      <w:r w:rsidR="005A70B6" w:rsidRPr="00F745D7">
        <w:t xml:space="preserve"> </w:t>
      </w:r>
      <w:r w:rsidR="005A70B6" w:rsidRPr="001837FC">
        <w:t xml:space="preserve">shows the utilisation of residential care and home care for </w:t>
      </w:r>
      <w:r w:rsidR="002B2476">
        <w:t xml:space="preserve">the </w:t>
      </w:r>
      <w:proofErr w:type="gramStart"/>
      <w:r w:rsidR="001C0146" w:rsidRPr="001837FC">
        <w:t>70 to 99</w:t>
      </w:r>
      <w:r w:rsidR="005A70B6" w:rsidRPr="001837FC">
        <w:t xml:space="preserve"> year old</w:t>
      </w:r>
      <w:proofErr w:type="gramEnd"/>
      <w:r w:rsidR="005A70B6" w:rsidRPr="001837FC">
        <w:t xml:space="preserve"> cohort for 20 years to 202</w:t>
      </w:r>
      <w:r w:rsidR="001C0146" w:rsidRPr="001837FC">
        <w:t>2</w:t>
      </w:r>
      <w:r w:rsidR="005A70B6" w:rsidRPr="001837FC">
        <w:t>. Th</w:t>
      </w:r>
      <w:r w:rsidR="002D7645">
        <w:t>ese</w:t>
      </w:r>
      <w:r w:rsidR="005A70B6" w:rsidRPr="000407C2">
        <w:t xml:space="preserve"> cross-section</w:t>
      </w:r>
      <w:r w:rsidR="002D7645">
        <w:t>s</w:t>
      </w:r>
      <w:r w:rsidR="005A70B6" w:rsidRPr="000407C2">
        <w:t xml:space="preserve"> of data show an increase in the number of older Australians in home care </w:t>
      </w:r>
      <w:r w:rsidR="006E21FD">
        <w:t>across all age</w:t>
      </w:r>
      <w:r w:rsidR="00687637">
        <w:t xml:space="preserve"> groups</w:t>
      </w:r>
      <w:r w:rsidR="006E21FD">
        <w:t xml:space="preserve"> and genders.</w:t>
      </w:r>
      <w:r w:rsidR="005C6D13">
        <w:t xml:space="preserve"> The utilisation of home care has more than doubled across all age groups </w:t>
      </w:r>
      <w:r w:rsidR="008E3C24">
        <w:t xml:space="preserve">for </w:t>
      </w:r>
      <w:r w:rsidR="005C6D13">
        <w:t>both male and females</w:t>
      </w:r>
      <w:r w:rsidR="004309CE">
        <w:t xml:space="preserve"> since 2002. </w:t>
      </w:r>
      <w:r w:rsidR="00103009">
        <w:t xml:space="preserve">The </w:t>
      </w:r>
      <w:r w:rsidR="009E66CC">
        <w:t xml:space="preserve">highest </w:t>
      </w:r>
      <w:r w:rsidR="00103009">
        <w:t xml:space="preserve">increase for males was in the </w:t>
      </w:r>
      <w:proofErr w:type="gramStart"/>
      <w:r w:rsidR="005A72E4">
        <w:t>95</w:t>
      </w:r>
      <w:r w:rsidR="00103009">
        <w:t xml:space="preserve"> to </w:t>
      </w:r>
      <w:r w:rsidR="005A72E4">
        <w:t>99</w:t>
      </w:r>
      <w:r w:rsidR="00103009">
        <w:t xml:space="preserve"> year old</w:t>
      </w:r>
      <w:proofErr w:type="gramEnd"/>
      <w:r w:rsidR="00103009">
        <w:t xml:space="preserve"> age group, </w:t>
      </w:r>
      <w:r w:rsidR="005A72E4">
        <w:t>increas</w:t>
      </w:r>
      <w:r w:rsidR="00A86CED">
        <w:t>ing from 3.2 per cent in 2002</w:t>
      </w:r>
      <w:r w:rsidR="00B85CBC">
        <w:t xml:space="preserve"> </w:t>
      </w:r>
      <w:r w:rsidR="00A86CED">
        <w:t>to 16.8 per cent in 2022</w:t>
      </w:r>
      <w:r w:rsidR="005221F2">
        <w:t xml:space="preserve"> </w:t>
      </w:r>
      <w:r w:rsidR="00B6398C">
        <w:t>(</w:t>
      </w:r>
      <w:r w:rsidR="005221F2">
        <w:t>an increase</w:t>
      </w:r>
      <w:r w:rsidR="005A72E4">
        <w:t xml:space="preserve"> in utilisation</w:t>
      </w:r>
      <w:r w:rsidR="00687637">
        <w:t xml:space="preserve"> </w:t>
      </w:r>
      <w:r w:rsidR="00A86CED">
        <w:t>of</w:t>
      </w:r>
      <w:r w:rsidR="00687637">
        <w:t xml:space="preserve"> home care</w:t>
      </w:r>
      <w:r w:rsidR="00A86CED">
        <w:t xml:space="preserve"> </w:t>
      </w:r>
      <w:r w:rsidR="005221F2">
        <w:t>by</w:t>
      </w:r>
      <w:r w:rsidR="005A72E4">
        <w:t xml:space="preserve"> 13.</w:t>
      </w:r>
      <w:r w:rsidR="00C9643B">
        <w:t>6</w:t>
      </w:r>
      <w:r w:rsidR="005A72E4">
        <w:t xml:space="preserve"> percentage point</w:t>
      </w:r>
      <w:r w:rsidR="00A86CED">
        <w:t>s</w:t>
      </w:r>
      <w:r w:rsidR="00B6398C">
        <w:t>)</w:t>
      </w:r>
      <w:r w:rsidR="00A86CED">
        <w:t xml:space="preserve">. </w:t>
      </w:r>
      <w:r w:rsidR="003D068A">
        <w:t xml:space="preserve">For females, </w:t>
      </w:r>
      <w:r w:rsidR="007743D1">
        <w:t xml:space="preserve">this was the </w:t>
      </w:r>
      <w:proofErr w:type="gramStart"/>
      <w:r w:rsidR="007743D1">
        <w:t>9</w:t>
      </w:r>
      <w:r w:rsidR="00687637">
        <w:t>0</w:t>
      </w:r>
      <w:r w:rsidR="007743D1">
        <w:t xml:space="preserve"> to 9</w:t>
      </w:r>
      <w:r w:rsidR="00687637">
        <w:t>4</w:t>
      </w:r>
      <w:r w:rsidR="007743D1">
        <w:t xml:space="preserve"> year old</w:t>
      </w:r>
      <w:proofErr w:type="gramEnd"/>
      <w:r w:rsidR="007743D1">
        <w:t xml:space="preserve"> age group, increasing from 3.</w:t>
      </w:r>
      <w:r w:rsidR="00687637">
        <w:t>8</w:t>
      </w:r>
      <w:r w:rsidR="004256DA">
        <w:t xml:space="preserve"> per cent</w:t>
      </w:r>
      <w:r w:rsidR="007743D1">
        <w:t xml:space="preserve"> to </w:t>
      </w:r>
      <w:r w:rsidR="00687637">
        <w:t>19.2</w:t>
      </w:r>
      <w:r w:rsidR="004256DA">
        <w:t xml:space="preserve"> </w:t>
      </w:r>
      <w:r w:rsidR="00687637">
        <w:t xml:space="preserve">per cent, </w:t>
      </w:r>
      <w:r w:rsidR="00B6398C">
        <w:t>(</w:t>
      </w:r>
      <w:r w:rsidR="009B0D99">
        <w:t xml:space="preserve">equating to a </w:t>
      </w:r>
      <w:r w:rsidR="00687637">
        <w:t>15.4 percentage point increase</w:t>
      </w:r>
      <w:r w:rsidR="00B6398C">
        <w:t>)</w:t>
      </w:r>
      <w:r w:rsidR="005221F2">
        <w:t>.</w:t>
      </w:r>
    </w:p>
    <w:p w14:paraId="28EA5E5E" w14:textId="1C6F33A1" w:rsidR="009B0D99" w:rsidRPr="00D7287C" w:rsidRDefault="009B0D99" w:rsidP="003364A5">
      <w:r>
        <w:t xml:space="preserve">Residential care utilisation declined across all age groups, reflecting the </w:t>
      </w:r>
      <w:r w:rsidR="00F676F0">
        <w:t xml:space="preserve">ability for older Australians to access more home care packages. </w:t>
      </w:r>
      <w:r w:rsidR="00EB5029">
        <w:t xml:space="preserve">For males, the utilisation rate </w:t>
      </w:r>
      <w:r w:rsidR="004247A0">
        <w:t>in the</w:t>
      </w:r>
      <w:r w:rsidR="00CF5C5A">
        <w:t xml:space="preserve"> </w:t>
      </w:r>
      <w:proofErr w:type="gramStart"/>
      <w:r w:rsidR="00CF5C5A">
        <w:t>90-94</w:t>
      </w:r>
      <w:r w:rsidR="004247A0">
        <w:t xml:space="preserve"> year old</w:t>
      </w:r>
      <w:proofErr w:type="gramEnd"/>
      <w:r w:rsidR="004247A0">
        <w:t xml:space="preserve"> age group fell from </w:t>
      </w:r>
      <w:r w:rsidR="00025487">
        <w:t>24.3 per cent</w:t>
      </w:r>
      <w:r w:rsidR="00853AE5">
        <w:t xml:space="preserve"> </w:t>
      </w:r>
      <w:r w:rsidR="0058602B">
        <w:t xml:space="preserve">in 2002 </w:t>
      </w:r>
      <w:r w:rsidR="00853AE5">
        <w:t xml:space="preserve">to </w:t>
      </w:r>
      <w:r w:rsidR="0090582E">
        <w:t>19.2 per cent</w:t>
      </w:r>
      <w:r w:rsidR="0058602B">
        <w:t xml:space="preserve"> in 2022 </w:t>
      </w:r>
      <w:r w:rsidR="000D15F2">
        <w:t xml:space="preserve">which represents a decrease of </w:t>
      </w:r>
      <w:r w:rsidR="0090582E">
        <w:t>5 percentage points.</w:t>
      </w:r>
      <w:r w:rsidR="000D15F2">
        <w:t xml:space="preserve"> For females, </w:t>
      </w:r>
      <w:r w:rsidR="00D63652">
        <w:t xml:space="preserve">the largest decrease in the utilisation of residential aged care was </w:t>
      </w:r>
      <w:r w:rsidR="00E266E7">
        <w:t xml:space="preserve">also </w:t>
      </w:r>
      <w:r w:rsidR="00D63652">
        <w:t>those aged</w:t>
      </w:r>
      <w:r w:rsidR="0058602B">
        <w:t xml:space="preserve"> in the</w:t>
      </w:r>
      <w:r w:rsidR="00D63652">
        <w:t xml:space="preserve"> </w:t>
      </w:r>
      <w:r w:rsidR="00D06551">
        <w:t>90</w:t>
      </w:r>
      <w:r w:rsidR="00D63652">
        <w:t xml:space="preserve"> to </w:t>
      </w:r>
      <w:r w:rsidR="00D06551">
        <w:t>94</w:t>
      </w:r>
      <w:r w:rsidR="0058602B">
        <w:t xml:space="preserve"> age group</w:t>
      </w:r>
      <w:r w:rsidR="00FD5E93">
        <w:t xml:space="preserve">, falling from </w:t>
      </w:r>
      <w:r w:rsidR="00E8196E">
        <w:t xml:space="preserve">39.8 per cent in 2002 to </w:t>
      </w:r>
      <w:r w:rsidR="000376E2">
        <w:t>30.6 per cent</w:t>
      </w:r>
      <w:r w:rsidR="0008612D">
        <w:t xml:space="preserve"> 2022; equating to a decrease of </w:t>
      </w:r>
      <w:r w:rsidR="006D3048">
        <w:t>9.2 percentage points.</w:t>
      </w:r>
    </w:p>
    <w:p w14:paraId="7B527DAF" w14:textId="78D52910" w:rsidR="00F72914" w:rsidRPr="00007543" w:rsidRDefault="00704C46" w:rsidP="00704C46">
      <w:pPr>
        <w:pStyle w:val="Caption"/>
        <w:rPr>
          <w:color w:val="FF0000"/>
        </w:rPr>
      </w:pPr>
      <w:bookmarkStart w:id="340" w:name="_Ref136947086"/>
      <w:bookmarkStart w:id="341" w:name="_Ref137047153"/>
      <w:bookmarkStart w:id="342" w:name="_Toc149245261"/>
      <w:r w:rsidRPr="00007543">
        <w:lastRenderedPageBreak/>
        <w:t xml:space="preserve">Chart </w:t>
      </w:r>
      <w:r>
        <w:fldChar w:fldCharType="begin"/>
      </w:r>
      <w:r>
        <w:instrText>STYLEREF 1 \s</w:instrText>
      </w:r>
      <w:r>
        <w:fldChar w:fldCharType="separate"/>
      </w:r>
      <w:r w:rsidR="00294B02">
        <w:rPr>
          <w:noProof/>
        </w:rPr>
        <w:t>6</w:t>
      </w:r>
      <w:r>
        <w:fldChar w:fldCharType="end"/>
      </w:r>
      <w:r w:rsidR="00054A51">
        <w:t>.</w:t>
      </w:r>
      <w:r>
        <w:fldChar w:fldCharType="begin"/>
      </w:r>
      <w:r>
        <w:instrText>SEQ Chart \* ARABIC \s 1</w:instrText>
      </w:r>
      <w:r>
        <w:fldChar w:fldCharType="separate"/>
      </w:r>
      <w:r w:rsidR="00294B02">
        <w:rPr>
          <w:noProof/>
        </w:rPr>
        <w:t>5</w:t>
      </w:r>
      <w:r>
        <w:fldChar w:fldCharType="end"/>
      </w:r>
      <w:bookmarkEnd w:id="340"/>
      <w:bookmarkEnd w:id="341"/>
      <w:r w:rsidRPr="00007543">
        <w:t xml:space="preserve">: Utilisation of residential care and home care, </w:t>
      </w:r>
      <w:proofErr w:type="gramStart"/>
      <w:r w:rsidRPr="00007543">
        <w:t>70 to 99 year olds</w:t>
      </w:r>
      <w:proofErr w:type="gramEnd"/>
      <w:r w:rsidRPr="00007543">
        <w:t>, by gender, 2002 to 2022</w:t>
      </w:r>
      <w:r w:rsidR="008A0F13">
        <w:t xml:space="preserve"> </w:t>
      </w:r>
      <w:r w:rsidR="007050C7" w:rsidRPr="007220A7">
        <w:rPr>
          <w:b w:val="0"/>
          <w:bCs w:val="0"/>
        </w:rPr>
        <w:t xml:space="preserve">(Please take note of the vertical axis </w:t>
      </w:r>
      <w:r w:rsidR="007220A7" w:rsidRPr="007220A7">
        <w:rPr>
          <w:b w:val="0"/>
          <w:bCs w:val="0"/>
        </w:rPr>
        <w:t>percentage changes for each of the charts. The changes have been made to make the data more readable)</w:t>
      </w:r>
      <w:bookmarkEnd w:id="342"/>
    </w:p>
    <w:p w14:paraId="5AD48280" w14:textId="193A29E6" w:rsidR="001400AE" w:rsidRPr="003364A5" w:rsidRDefault="0091384B" w:rsidP="00AA5245">
      <w:pPr>
        <w:pStyle w:val="Caption"/>
      </w:pPr>
      <w:r>
        <w:rPr>
          <w:b w:val="0"/>
          <w:bCs w:val="0"/>
          <w:noProof/>
          <w:sz w:val="32"/>
          <w:szCs w:val="32"/>
        </w:rPr>
        <w:drawing>
          <wp:inline distT="0" distB="0" distL="0" distR="0" wp14:anchorId="35E6735D" wp14:editId="693A561E">
            <wp:extent cx="5504329" cy="7792916"/>
            <wp:effectExtent l="0" t="0" r="1270" b="0"/>
            <wp:docPr id="1773416602" name="Picture 1773416602" descr="Chart 6.5 is a multiple stacked column charts titled Utilisation of residential care and home care, 70 to 99 year olds, by gender, 2002 to 2022. Chart 8.5 shows an increase in the number of residents in home care with a correlating fall in the number in residential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602" name="Picture 1773416602" descr="Chart 6.5 is a multiple stacked column charts titled Utilisation of residential care and home care, 70 to 99 year olds, by gender, 2002 to 2022. Chart 8.5 shows an increase in the number of residents in home care with a correlating fall in the number in residential care.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13082" cy="7805309"/>
                    </a:xfrm>
                    <a:prstGeom prst="rect">
                      <a:avLst/>
                    </a:prstGeom>
                    <a:noFill/>
                  </pic:spPr>
                </pic:pic>
              </a:graphicData>
            </a:graphic>
          </wp:inline>
        </w:drawing>
      </w:r>
    </w:p>
    <w:p w14:paraId="1ABB9CAF" w14:textId="29D056B0" w:rsidR="00F72914" w:rsidRPr="00F72914" w:rsidRDefault="004D3244" w:rsidP="00F72914">
      <w:r>
        <w:rPr>
          <w:noProof/>
        </w:rPr>
        <w:lastRenderedPageBreak/>
        <w:drawing>
          <wp:inline distT="0" distB="0" distL="0" distR="0" wp14:anchorId="5E02F92B" wp14:editId="300FD86B">
            <wp:extent cx="6010910" cy="8504555"/>
            <wp:effectExtent l="0" t="0" r="8890" b="0"/>
            <wp:docPr id="7" name="Picture 7" descr="Chart 6.5 is a multiple stacked column charts titled Utilisation of residential care and home care, 70 to 99 year olds, by gender, 2002 to 2022. Chart 8.5 shows an increase in the number of residents in home care with a correlating fall in the number in residential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6.5 is a multiple stacked column charts titled Utilisation of residential care and home care, 70 to 99 year olds, by gender, 2002 to 2022. Chart 8.5 shows an increase in the number of residents in home care with a correlating fall in the number in residential care.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10910" cy="8504555"/>
                    </a:xfrm>
                    <a:prstGeom prst="rect">
                      <a:avLst/>
                    </a:prstGeom>
                    <a:noFill/>
                  </pic:spPr>
                </pic:pic>
              </a:graphicData>
            </a:graphic>
          </wp:inline>
        </w:drawing>
      </w:r>
    </w:p>
    <w:p w14:paraId="7C17D55F" w14:textId="4DD172BE" w:rsidR="006E4B5D" w:rsidRPr="001D67EE" w:rsidRDefault="006E4B5D" w:rsidP="003364A5">
      <w:pPr>
        <w:pStyle w:val="Heading2nonumbers"/>
      </w:pPr>
      <w:r w:rsidRPr="00375C66">
        <w:lastRenderedPageBreak/>
        <w:t>Updated projections</w:t>
      </w:r>
    </w:p>
    <w:p w14:paraId="259F5D3D" w14:textId="2A04106C" w:rsidR="006E4B5D" w:rsidRDefault="002B53A1" w:rsidP="003364A5">
      <w:r>
        <w:fldChar w:fldCharType="begin"/>
      </w:r>
      <w:r>
        <w:instrText xml:space="preserve"> REF _Ref137176467 \h </w:instrText>
      </w:r>
      <w:r>
        <w:fldChar w:fldCharType="separate"/>
      </w:r>
      <w:r w:rsidR="00294B02">
        <w:t xml:space="preserve">Chart </w:t>
      </w:r>
      <w:r w:rsidR="00294B02">
        <w:rPr>
          <w:noProof/>
        </w:rPr>
        <w:t>6</w:t>
      </w:r>
      <w:r w:rsidR="00294B02">
        <w:t>.</w:t>
      </w:r>
      <w:r w:rsidR="00294B02">
        <w:rPr>
          <w:noProof/>
        </w:rPr>
        <w:t>6</w:t>
      </w:r>
      <w:r>
        <w:fldChar w:fldCharType="end"/>
      </w:r>
      <w:r w:rsidR="00126863">
        <w:t xml:space="preserve"> </w:t>
      </w:r>
      <w:r w:rsidR="006E4B5D" w:rsidRPr="00D33B06">
        <w:t xml:space="preserve">shows the number of people projected to be using residential care </w:t>
      </w:r>
      <w:r w:rsidR="1F34145A">
        <w:t>if the same proportion of people in each age</w:t>
      </w:r>
      <w:r w:rsidR="2E9DB42E">
        <w:t>-sex</w:t>
      </w:r>
      <w:r w:rsidR="1F34145A">
        <w:t xml:space="preserve"> group </w:t>
      </w:r>
      <w:proofErr w:type="gramStart"/>
      <w:r w:rsidR="25A9F25A">
        <w:t>at</w:t>
      </w:r>
      <w:proofErr w:type="gramEnd"/>
      <w:r w:rsidR="25A9F25A">
        <w:t xml:space="preserve"> 30 June 2022 </w:t>
      </w:r>
      <w:r w:rsidR="1F34145A">
        <w:t xml:space="preserve">were to continue to use care and allowed to grow in line with </w:t>
      </w:r>
      <w:r w:rsidR="006E4B5D" w:rsidRPr="00D33B06">
        <w:t xml:space="preserve">population (using Australian Bureau of Statistics single-year-age and sex population projections). </w:t>
      </w:r>
    </w:p>
    <w:p w14:paraId="07BBEC4E" w14:textId="4A773A5A" w:rsidR="00CE799E" w:rsidRDefault="00CE799E" w:rsidP="003364A5">
      <w:r w:rsidRPr="00CE799E">
        <w:t xml:space="preserve">The estimates of future demand for residential care have been revised down from previous published estimates. A major driver of the reduction in estimated demand is the decline in the rates of age-specific usage that continued to June 2022 (see chart </w:t>
      </w:r>
      <w:r w:rsidR="00C639A5">
        <w:t>6.5</w:t>
      </w:r>
      <w:r w:rsidRPr="00CE799E">
        <w:t xml:space="preserve"> showing the proportion of </w:t>
      </w:r>
      <w:r w:rsidR="00C639A5">
        <w:t>separate age groups</w:t>
      </w:r>
      <w:r w:rsidRPr="00CE799E">
        <w:t xml:space="preserve"> that use residential care each year). This trend in usage rates is attributable to the relatively rapid expansion of the Home Care Packages program</w:t>
      </w:r>
      <w:r w:rsidR="00ED4C4C">
        <w:t xml:space="preserve"> and its uptake</w:t>
      </w:r>
      <w:r w:rsidRPr="00CE799E">
        <w:t>, and the temporary impact of COVID-19.</w:t>
      </w:r>
    </w:p>
    <w:p w14:paraId="1ABCA08B" w14:textId="6E3D4B63" w:rsidR="006E4B5D" w:rsidRDefault="006E4B5D" w:rsidP="006E4B5D">
      <w:pPr>
        <w:pStyle w:val="Caption"/>
        <w:rPr>
          <w:color w:val="FF0000"/>
        </w:rPr>
      </w:pPr>
      <w:bookmarkStart w:id="343" w:name="_Ref137176467"/>
      <w:bookmarkStart w:id="344" w:name="_Toc149245262"/>
      <w:r>
        <w:t xml:space="preserve">Chart </w:t>
      </w:r>
      <w:r>
        <w:fldChar w:fldCharType="begin"/>
      </w:r>
      <w:r>
        <w:instrText>STYLEREF 1 \s</w:instrText>
      </w:r>
      <w:r>
        <w:fldChar w:fldCharType="separate"/>
      </w:r>
      <w:r w:rsidR="00294B02">
        <w:rPr>
          <w:noProof/>
        </w:rPr>
        <w:t>6</w:t>
      </w:r>
      <w:r>
        <w:fldChar w:fldCharType="end"/>
      </w:r>
      <w:r w:rsidR="00054A51">
        <w:t>.</w:t>
      </w:r>
      <w:r>
        <w:fldChar w:fldCharType="begin"/>
      </w:r>
      <w:r>
        <w:instrText>SEQ Chart \* ARABIC \s 1</w:instrText>
      </w:r>
      <w:r>
        <w:fldChar w:fldCharType="separate"/>
      </w:r>
      <w:r w:rsidR="00294B02">
        <w:rPr>
          <w:noProof/>
        </w:rPr>
        <w:t>6</w:t>
      </w:r>
      <w:r>
        <w:fldChar w:fldCharType="end"/>
      </w:r>
      <w:bookmarkEnd w:id="343"/>
      <w:r>
        <w:t xml:space="preserve">: </w:t>
      </w:r>
      <w:r w:rsidRPr="00F946D3">
        <w:t>Projected demand for residential care places, 2022 to 2042</w:t>
      </w:r>
      <w:bookmarkEnd w:id="344"/>
    </w:p>
    <w:p w14:paraId="4D943146" w14:textId="095542FC" w:rsidR="005C71C4" w:rsidRDefault="00B85C81" w:rsidP="005C71C4">
      <w:r>
        <w:rPr>
          <w:noProof/>
        </w:rPr>
        <w:drawing>
          <wp:inline distT="0" distB="0" distL="0" distR="0" wp14:anchorId="14381E4D" wp14:editId="3A090582">
            <wp:extent cx="5736590" cy="3481070"/>
            <wp:effectExtent l="0" t="0" r="0" b="5080"/>
            <wp:docPr id="1773416603" name="Picture 1773416603" descr="Chart 6.6 is a stacked column chart titled Projected demand for residential care places, 2022 to 2042. There is a projected increase of around 154,000 residential care residents over this period, from just under 181,000 in 2022 to 335,000 in 204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603" name="Picture 1773416603" descr="Chart 6.6 is a stacked column chart titled Projected demand for residential care places, 2022 to 2042. There is a projected increase of around 154,000 residential care residents over this period, from just under 181,000 in 2022 to 335,000 in 2042.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6590" cy="3481070"/>
                    </a:xfrm>
                    <a:prstGeom prst="rect">
                      <a:avLst/>
                    </a:prstGeom>
                    <a:noFill/>
                  </pic:spPr>
                </pic:pic>
              </a:graphicData>
            </a:graphic>
          </wp:inline>
        </w:drawing>
      </w:r>
    </w:p>
    <w:p w14:paraId="3C2C8A4F" w14:textId="3C6FCC25" w:rsidR="0069175C" w:rsidRPr="00AC71EA" w:rsidRDefault="005C71C4" w:rsidP="00C511B7">
      <w:r>
        <w:t xml:space="preserve">Chart 6.7 </w:t>
      </w:r>
      <w:r w:rsidR="00895944">
        <w:t xml:space="preserve">shows the projected demand for in home aged care. </w:t>
      </w:r>
      <w:r w:rsidR="00740BA0" w:rsidRPr="00740BA0">
        <w:t xml:space="preserve">This includes older Australians who have expressed their demand to receive </w:t>
      </w:r>
      <w:r w:rsidR="006872A3">
        <w:t xml:space="preserve">in </w:t>
      </w:r>
      <w:r w:rsidR="00740BA0" w:rsidRPr="00740BA0">
        <w:t xml:space="preserve">home aged </w:t>
      </w:r>
      <w:r w:rsidR="00434EBD" w:rsidRPr="00740BA0">
        <w:t>care but</w:t>
      </w:r>
      <w:r w:rsidR="00434EBD">
        <w:t xml:space="preserve"> </w:t>
      </w:r>
      <w:r w:rsidR="00740BA0" w:rsidRPr="00740BA0">
        <w:t xml:space="preserve">does not include eligible older Australians who have not sought to access </w:t>
      </w:r>
      <w:r w:rsidR="006872A3">
        <w:t xml:space="preserve">in </w:t>
      </w:r>
      <w:r w:rsidR="00740BA0" w:rsidRPr="00740BA0">
        <w:t xml:space="preserve">home aged care. Over the </w:t>
      </w:r>
      <w:proofErr w:type="gramStart"/>
      <w:r w:rsidR="00740BA0" w:rsidRPr="00740BA0">
        <w:t>20 year</w:t>
      </w:r>
      <w:proofErr w:type="gramEnd"/>
      <w:r w:rsidR="00740BA0" w:rsidRPr="00740BA0">
        <w:t xml:space="preserve"> projection, the average year on year increase is approximately 44,000 new recipients and reaches almost 2 million individuals by 2042.</w:t>
      </w:r>
      <w:bookmarkStart w:id="345" w:name="_Ref137047192"/>
    </w:p>
    <w:p w14:paraId="519D3DAC" w14:textId="31B36A2F" w:rsidR="00EC4A13" w:rsidRDefault="00EC4A13" w:rsidP="00EC4A13">
      <w:pPr>
        <w:pStyle w:val="Caption"/>
      </w:pPr>
      <w:bookmarkStart w:id="346" w:name="_Toc149245263"/>
      <w:r>
        <w:lastRenderedPageBreak/>
        <w:t xml:space="preserve">Chart </w:t>
      </w:r>
      <w:r>
        <w:fldChar w:fldCharType="begin"/>
      </w:r>
      <w:r>
        <w:instrText>STYLEREF 1 \s</w:instrText>
      </w:r>
      <w:r>
        <w:fldChar w:fldCharType="separate"/>
      </w:r>
      <w:r w:rsidR="00294B02">
        <w:rPr>
          <w:noProof/>
        </w:rPr>
        <w:t>6</w:t>
      </w:r>
      <w:r>
        <w:fldChar w:fldCharType="end"/>
      </w:r>
      <w:r w:rsidR="00054A51">
        <w:t>.</w:t>
      </w:r>
      <w:r>
        <w:fldChar w:fldCharType="begin"/>
      </w:r>
      <w:r>
        <w:instrText>SEQ Chart \* ARABIC \s 1</w:instrText>
      </w:r>
      <w:r>
        <w:fldChar w:fldCharType="separate"/>
      </w:r>
      <w:r w:rsidR="00294B02">
        <w:rPr>
          <w:noProof/>
        </w:rPr>
        <w:t>7</w:t>
      </w:r>
      <w:r>
        <w:fldChar w:fldCharType="end"/>
      </w:r>
      <w:bookmarkEnd w:id="345"/>
      <w:r>
        <w:t xml:space="preserve">: </w:t>
      </w:r>
      <w:r w:rsidR="00F63475" w:rsidRPr="00F63475">
        <w:t>Projected demand for in home aged care, 2022 to 2042</w:t>
      </w:r>
      <w:bookmarkEnd w:id="346"/>
    </w:p>
    <w:p w14:paraId="331419B4" w14:textId="6036DFDD" w:rsidR="00B85C81" w:rsidRPr="008E2604" w:rsidRDefault="00B67274" w:rsidP="008E2604">
      <w:r w:rsidRPr="008E2604">
        <w:rPr>
          <w:noProof/>
        </w:rPr>
        <w:drawing>
          <wp:inline distT="0" distB="0" distL="0" distR="0" wp14:anchorId="016932CD" wp14:editId="5C7B6227">
            <wp:extent cx="5736590" cy="3481070"/>
            <wp:effectExtent l="0" t="0" r="0" b="5080"/>
            <wp:docPr id="1773416604" name="Picture 1773416604" descr="Chart 6.7 is a column chart titled Projected demand for in home aged care, 2022 to 2042. There is a projected increase demand for home care of around 900,000 new recipients between 2022 to 204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16604" name="Picture 1773416604" descr="Chart 6.7 is a column chart titled Projected demand for in home aged care, 2022 to 2042. There is a projected increase demand for home care of around 900,000 new recipients between 2022 to 2042.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6590" cy="3481070"/>
                    </a:xfrm>
                    <a:prstGeom prst="rect">
                      <a:avLst/>
                    </a:prstGeom>
                    <a:noFill/>
                  </pic:spPr>
                </pic:pic>
              </a:graphicData>
            </a:graphic>
          </wp:inline>
        </w:drawing>
      </w:r>
    </w:p>
    <w:p w14:paraId="3FE5A78C" w14:textId="41D559FB" w:rsidR="00A83515" w:rsidRPr="008E2604" w:rsidRDefault="00A83515" w:rsidP="008E2604">
      <w:pPr>
        <w:sectPr w:rsidR="00A83515" w:rsidRPr="008E2604" w:rsidSect="000D706A">
          <w:headerReference w:type="even" r:id="rId127"/>
          <w:footerReference w:type="even" r:id="rId128"/>
          <w:footerReference w:type="default" r:id="rId129"/>
          <w:headerReference w:type="first" r:id="rId130"/>
          <w:pgSz w:w="11906" w:h="16838"/>
          <w:pgMar w:top="1701" w:right="1418" w:bottom="1418" w:left="1418" w:header="709" w:footer="709" w:gutter="0"/>
          <w:cols w:space="708"/>
          <w:docGrid w:linePitch="360"/>
        </w:sectPr>
      </w:pPr>
    </w:p>
    <w:p w14:paraId="37592F1D" w14:textId="5995714F" w:rsidR="00B5269A" w:rsidRPr="008E2604" w:rsidRDefault="00A83515" w:rsidP="008E2604">
      <w:r w:rsidRPr="008E2604">
        <w:rPr>
          <w:noProof/>
        </w:rPr>
        <w:lastRenderedPageBreak/>
        <w:drawing>
          <wp:anchor distT="0" distB="0" distL="114300" distR="114300" simplePos="0" relativeHeight="251681792" behindDoc="0" locked="0" layoutInCell="1" allowOverlap="1" wp14:anchorId="72B1EDA2" wp14:editId="2B33DE1A">
            <wp:simplePos x="0" y="0"/>
            <wp:positionH relativeFrom="page">
              <wp:align>left</wp:align>
            </wp:positionH>
            <wp:positionV relativeFrom="paragraph">
              <wp:posOffset>-1088502</wp:posOffset>
            </wp:positionV>
            <wp:extent cx="7524750" cy="9647775"/>
            <wp:effectExtent l="0" t="0" r="0" b="0"/>
            <wp:wrapNone/>
            <wp:docPr id="35" name="Picture 35" descr="Appendices a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ppendices and imag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524750" cy="964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FDEB5D" w14:textId="77777777" w:rsidR="00B5269A" w:rsidRPr="008E2604" w:rsidRDefault="00B5269A" w:rsidP="008E2604"/>
    <w:p w14:paraId="2F4F5D39" w14:textId="77777777" w:rsidR="00B5269A" w:rsidRPr="008E2604" w:rsidRDefault="00B5269A" w:rsidP="008E2604"/>
    <w:p w14:paraId="3CBE3C4B" w14:textId="28B241DD" w:rsidR="00567BAA" w:rsidRPr="008E2604" w:rsidRDefault="00567BAA" w:rsidP="008E2604">
      <w:r w:rsidRPr="008E2604">
        <w:br w:type="page"/>
      </w:r>
    </w:p>
    <w:p w14:paraId="412F3B8D" w14:textId="77777777" w:rsidR="00EE047F" w:rsidRDefault="00EE047F" w:rsidP="003215AF">
      <w:pPr>
        <w:pStyle w:val="SectionTitle"/>
        <w:sectPr w:rsidR="00EE047F" w:rsidSect="000D706A">
          <w:footerReference w:type="even" r:id="rId132"/>
          <w:footerReference w:type="default" r:id="rId133"/>
          <w:headerReference w:type="first" r:id="rId134"/>
          <w:pgSz w:w="11906" w:h="16838"/>
          <w:pgMar w:top="1701" w:right="1418" w:bottom="1418" w:left="1418" w:header="709" w:footer="709" w:gutter="0"/>
          <w:cols w:space="708"/>
          <w:docGrid w:linePitch="360"/>
        </w:sectPr>
      </w:pPr>
    </w:p>
    <w:p w14:paraId="5580EAC2" w14:textId="0762EF8F" w:rsidR="005F3FFA" w:rsidRPr="009A2881" w:rsidRDefault="005F3FFA" w:rsidP="009A2881">
      <w:pPr>
        <w:pStyle w:val="Heading1nonumber"/>
      </w:pPr>
      <w:r w:rsidRPr="009A2881">
        <w:lastRenderedPageBreak/>
        <w:t>Appendices</w:t>
      </w:r>
    </w:p>
    <w:p w14:paraId="10ACDD04" w14:textId="603E6A4D" w:rsidR="001431CD" w:rsidRPr="00775CDD" w:rsidRDefault="00187376">
      <w:pPr>
        <w:rPr>
          <w:b/>
        </w:rPr>
      </w:pPr>
      <w:r w:rsidRPr="003364A5">
        <w:rPr>
          <w:rStyle w:val="Strong"/>
        </w:rPr>
        <w:t>A</w:t>
      </w:r>
      <w:r w:rsidR="004502B7" w:rsidRPr="003364A5">
        <w:rPr>
          <w:rStyle w:val="Strong"/>
        </w:rPr>
        <w:t>ppendix</w:t>
      </w:r>
      <w:r w:rsidRPr="003364A5">
        <w:rPr>
          <w:rStyle w:val="Strong"/>
        </w:rPr>
        <w:t xml:space="preserve"> </w:t>
      </w:r>
      <w:r w:rsidR="00E2311D" w:rsidRPr="003364A5">
        <w:rPr>
          <w:rStyle w:val="Strong"/>
        </w:rPr>
        <w:t>A</w:t>
      </w:r>
      <w:r w:rsidRPr="003364A5">
        <w:rPr>
          <w:rStyle w:val="Strong"/>
        </w:rPr>
        <w:t>:</w:t>
      </w:r>
      <w:r w:rsidR="007167D8" w:rsidRPr="00775CDD">
        <w:rPr>
          <w:b/>
        </w:rPr>
        <w:t xml:space="preserve"> </w:t>
      </w:r>
      <w:r w:rsidR="007167D8" w:rsidRPr="007167D8">
        <w:t>Residential Segment Income and Expense Statement, 2021-22</w:t>
      </w:r>
    </w:p>
    <w:p w14:paraId="1388A8FD" w14:textId="0570B7A3" w:rsidR="00EE2B3B" w:rsidRPr="00775CDD" w:rsidRDefault="00EE2B3B">
      <w:r w:rsidRPr="003364A5">
        <w:rPr>
          <w:rStyle w:val="Strong"/>
        </w:rPr>
        <w:t xml:space="preserve">Appendix </w:t>
      </w:r>
      <w:r w:rsidR="00E2311D" w:rsidRPr="003364A5">
        <w:rPr>
          <w:rStyle w:val="Strong"/>
        </w:rPr>
        <w:t>B</w:t>
      </w:r>
      <w:r w:rsidRPr="003364A5">
        <w:rPr>
          <w:rStyle w:val="Strong"/>
        </w:rPr>
        <w:t>:</w:t>
      </w:r>
      <w:r w:rsidR="007167D8" w:rsidRPr="00775CDD">
        <w:rPr>
          <w:b/>
        </w:rPr>
        <w:t xml:space="preserve"> </w:t>
      </w:r>
      <w:r w:rsidR="009C2146" w:rsidRPr="00775CDD">
        <w:t>Residential Segment Income and Expense Statement, per resident per day, 2021-22</w:t>
      </w:r>
    </w:p>
    <w:p w14:paraId="12123949" w14:textId="50419F70" w:rsidR="00EE2B3B" w:rsidRDefault="00EE2B3B">
      <w:r w:rsidRPr="003364A5">
        <w:rPr>
          <w:rStyle w:val="Strong"/>
        </w:rPr>
        <w:t xml:space="preserve">Appendix </w:t>
      </w:r>
      <w:r w:rsidR="00E2311D" w:rsidRPr="003364A5">
        <w:rPr>
          <w:rStyle w:val="Strong"/>
        </w:rPr>
        <w:t>C</w:t>
      </w:r>
      <w:r w:rsidRPr="003364A5">
        <w:rPr>
          <w:rStyle w:val="Strong"/>
        </w:rPr>
        <w:t>:</w:t>
      </w:r>
      <w:r w:rsidR="009C2146" w:rsidRPr="00775CDD">
        <w:rPr>
          <w:b/>
        </w:rPr>
        <w:t xml:space="preserve"> </w:t>
      </w:r>
      <w:r w:rsidR="009C2146" w:rsidRPr="00775CDD">
        <w:t>Financial performance results of home care providers per care recipient per day, by ownership type, by quartile, 2021-22</w:t>
      </w:r>
    </w:p>
    <w:p w14:paraId="2BF04DCF" w14:textId="008E6083" w:rsidR="009C2146" w:rsidRDefault="009C2146">
      <w:r w:rsidRPr="003364A5">
        <w:rPr>
          <w:rStyle w:val="Strong"/>
        </w:rPr>
        <w:t xml:space="preserve">Appendix </w:t>
      </w:r>
      <w:r w:rsidR="00E2311D" w:rsidRPr="003364A5">
        <w:rPr>
          <w:rStyle w:val="Strong"/>
        </w:rPr>
        <w:t>D</w:t>
      </w:r>
      <w:r w:rsidRPr="003364A5">
        <w:rPr>
          <w:rStyle w:val="Strong"/>
        </w:rPr>
        <w:t>:</w:t>
      </w:r>
      <w:r w:rsidRPr="00775CDD">
        <w:rPr>
          <w:b/>
        </w:rPr>
        <w:t xml:space="preserve"> </w:t>
      </w:r>
      <w:r w:rsidRPr="00775CDD">
        <w:t>Financial package results for home care providers per care recipient per annum, by ownership type, by quartile, 2021-22</w:t>
      </w:r>
    </w:p>
    <w:p w14:paraId="25F6552C" w14:textId="71192661" w:rsidR="009C2146" w:rsidRDefault="007D1BF1">
      <w:r w:rsidRPr="003364A5">
        <w:rPr>
          <w:rStyle w:val="Strong"/>
        </w:rPr>
        <w:t xml:space="preserve">Appendix </w:t>
      </w:r>
      <w:r w:rsidR="00E2311D" w:rsidRPr="003364A5">
        <w:rPr>
          <w:rStyle w:val="Strong"/>
        </w:rPr>
        <w:t>E</w:t>
      </w:r>
      <w:r w:rsidRPr="003364A5">
        <w:rPr>
          <w:rStyle w:val="Strong"/>
        </w:rPr>
        <w:t>:</w:t>
      </w:r>
      <w:r w:rsidRPr="00AA4552">
        <w:rPr>
          <w:b/>
          <w:bCs/>
        </w:rPr>
        <w:t xml:space="preserve"> </w:t>
      </w:r>
      <w:r w:rsidRPr="007D1BF1">
        <w:t>Home Care segment income and expense statement, 2021-22</w:t>
      </w:r>
    </w:p>
    <w:p w14:paraId="2B285E64" w14:textId="059A6351" w:rsidR="003364A5" w:rsidRDefault="007D1BF1" w:rsidP="008E2604">
      <w:r w:rsidRPr="003364A5">
        <w:rPr>
          <w:rStyle w:val="Strong"/>
        </w:rPr>
        <w:t xml:space="preserve">Appendix </w:t>
      </w:r>
      <w:r w:rsidR="00E2311D" w:rsidRPr="003364A5">
        <w:rPr>
          <w:rStyle w:val="Strong"/>
        </w:rPr>
        <w:t>F</w:t>
      </w:r>
      <w:r w:rsidRPr="008E2604">
        <w:t>:</w:t>
      </w:r>
      <w:r w:rsidR="003A2FCA" w:rsidRPr="008E2604">
        <w:t xml:space="preserve"> Home Care segment income and expense statement, per re</w:t>
      </w:r>
      <w:r w:rsidR="005755F7" w:rsidRPr="008E2604">
        <w:t>cipie</w:t>
      </w:r>
      <w:r w:rsidR="003A2FCA" w:rsidRPr="008E2604">
        <w:t>nt per day, 2021-22</w:t>
      </w:r>
      <w:r w:rsidR="003364A5">
        <w:br w:type="page"/>
      </w:r>
    </w:p>
    <w:p w14:paraId="4974933E" w14:textId="312B8F35" w:rsidR="0010203C" w:rsidRDefault="00465541" w:rsidP="009A2881">
      <w:pPr>
        <w:pStyle w:val="Heading2nonumbers"/>
      </w:pPr>
      <w:r w:rsidDel="00F3566D">
        <w:lastRenderedPageBreak/>
        <w:t xml:space="preserve">Appendix </w:t>
      </w:r>
      <w:r w:rsidR="008C5BE6">
        <w:t>A</w:t>
      </w:r>
    </w:p>
    <w:p w14:paraId="31FADF18" w14:textId="798DAD3B" w:rsidR="008B44EA" w:rsidRDefault="0065435A" w:rsidP="003364A5">
      <w:r w:rsidRPr="0065435A">
        <w:t xml:space="preserve">Residential </w:t>
      </w:r>
      <w:r w:rsidR="00503A20">
        <w:t>s</w:t>
      </w:r>
      <w:r w:rsidRPr="0065435A">
        <w:t xml:space="preserve">egment </w:t>
      </w:r>
      <w:r w:rsidR="00503A20">
        <w:t>i</w:t>
      </w:r>
      <w:r w:rsidRPr="0065435A">
        <w:t xml:space="preserve">ncome and </w:t>
      </w:r>
      <w:r w:rsidR="00503A20">
        <w:t>e</w:t>
      </w:r>
      <w:r w:rsidRPr="0065435A">
        <w:t xml:space="preserve">xpense </w:t>
      </w:r>
      <w:r w:rsidR="00503A20">
        <w:t>s</w:t>
      </w:r>
      <w:r w:rsidRPr="0065435A">
        <w:t>tatement, 2021-22</w:t>
      </w:r>
    </w:p>
    <w:tbl>
      <w:tblPr>
        <w:tblStyle w:val="DepartmentofHealthtable"/>
        <w:tblW w:w="10206" w:type="dxa"/>
        <w:tblLayout w:type="fixed"/>
        <w:tblLook w:val="04A0" w:firstRow="1" w:lastRow="0" w:firstColumn="1" w:lastColumn="0" w:noHBand="0" w:noVBand="1"/>
      </w:tblPr>
      <w:tblGrid>
        <w:gridCol w:w="5387"/>
        <w:gridCol w:w="1217"/>
        <w:gridCol w:w="1239"/>
        <w:gridCol w:w="1128"/>
        <w:gridCol w:w="1235"/>
      </w:tblGrid>
      <w:tr w:rsidR="00081B06" w:rsidRPr="00C37D10" w14:paraId="4E3DB775" w14:textId="77777777" w:rsidTr="00081B06">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5387" w:type="dxa"/>
            <w:hideMark/>
          </w:tcPr>
          <w:p w14:paraId="6C135906" w14:textId="77777777" w:rsidR="006C740A" w:rsidRPr="00C37D10" w:rsidRDefault="006C740A" w:rsidP="00C37D10">
            <w:pPr>
              <w:pStyle w:val="TableHeaderWhite"/>
            </w:pPr>
          </w:p>
        </w:tc>
        <w:tc>
          <w:tcPr>
            <w:tcW w:w="1217" w:type="dxa"/>
            <w:hideMark/>
          </w:tcPr>
          <w:p w14:paraId="3D4B389C" w14:textId="77777777" w:rsidR="006C740A" w:rsidRPr="00C37D10" w:rsidRDefault="006C740A" w:rsidP="00C37D10">
            <w:pPr>
              <w:pStyle w:val="TableHeaderWhite"/>
              <w:cnfStyle w:val="100000000000" w:firstRow="1" w:lastRow="0" w:firstColumn="0" w:lastColumn="0" w:oddVBand="0" w:evenVBand="0" w:oddHBand="0" w:evenHBand="0" w:firstRowFirstColumn="0" w:firstRowLastColumn="0" w:lastRowFirstColumn="0" w:lastRowLastColumn="0"/>
            </w:pPr>
            <w:r w:rsidRPr="00C37D10">
              <w:t>For-profit ($m)</w:t>
            </w:r>
          </w:p>
        </w:tc>
        <w:tc>
          <w:tcPr>
            <w:tcW w:w="1239" w:type="dxa"/>
            <w:hideMark/>
          </w:tcPr>
          <w:p w14:paraId="09C79536" w14:textId="77777777" w:rsidR="006C740A" w:rsidRPr="00C37D10" w:rsidRDefault="006C740A" w:rsidP="00C37D10">
            <w:pPr>
              <w:pStyle w:val="TableHeaderWhite"/>
              <w:cnfStyle w:val="100000000000" w:firstRow="1" w:lastRow="0" w:firstColumn="0" w:lastColumn="0" w:oddVBand="0" w:evenVBand="0" w:oddHBand="0" w:evenHBand="0" w:firstRowFirstColumn="0" w:firstRowLastColumn="0" w:lastRowFirstColumn="0" w:lastRowLastColumn="0"/>
            </w:pPr>
            <w:r w:rsidRPr="00C37D10">
              <w:t>Not-for-profit ($m)</w:t>
            </w:r>
          </w:p>
        </w:tc>
        <w:tc>
          <w:tcPr>
            <w:tcW w:w="1128" w:type="dxa"/>
            <w:hideMark/>
          </w:tcPr>
          <w:p w14:paraId="065AB3DD" w14:textId="77777777" w:rsidR="006C740A" w:rsidRPr="00C37D10" w:rsidRDefault="006C740A" w:rsidP="00C37D10">
            <w:pPr>
              <w:pStyle w:val="TableHeaderWhite"/>
              <w:cnfStyle w:val="100000000000" w:firstRow="1" w:lastRow="0" w:firstColumn="0" w:lastColumn="0" w:oddVBand="0" w:evenVBand="0" w:oddHBand="0" w:evenHBand="0" w:firstRowFirstColumn="0" w:firstRowLastColumn="0" w:lastRowFirstColumn="0" w:lastRowLastColumn="0"/>
            </w:pPr>
            <w:r w:rsidRPr="00C37D10">
              <w:t>LST providers</w:t>
            </w:r>
          </w:p>
          <w:p w14:paraId="48B3F89B" w14:textId="73162A2C" w:rsidR="0027711C" w:rsidRPr="00C37D10" w:rsidRDefault="0027711C" w:rsidP="00C37D10">
            <w:pPr>
              <w:pStyle w:val="TableHeaderWhite"/>
              <w:cnfStyle w:val="100000000000" w:firstRow="1" w:lastRow="0" w:firstColumn="0" w:lastColumn="0" w:oddVBand="0" w:evenVBand="0" w:oddHBand="0" w:evenHBand="0" w:firstRowFirstColumn="0" w:firstRowLastColumn="0" w:lastRowFirstColumn="0" w:lastRowLastColumn="0"/>
            </w:pPr>
            <w:r w:rsidRPr="00C37D10">
              <w:t>($m)</w:t>
            </w:r>
          </w:p>
        </w:tc>
        <w:tc>
          <w:tcPr>
            <w:tcW w:w="1235" w:type="dxa"/>
            <w:hideMark/>
          </w:tcPr>
          <w:p w14:paraId="3B5530CB" w14:textId="77777777" w:rsidR="006C740A" w:rsidRPr="00C37D10" w:rsidRDefault="006C740A" w:rsidP="00C37D10">
            <w:pPr>
              <w:pStyle w:val="TableHeaderWhite"/>
              <w:cnfStyle w:val="100000000000" w:firstRow="1" w:lastRow="0" w:firstColumn="0" w:lastColumn="0" w:oddVBand="0" w:evenVBand="0" w:oddHBand="0" w:evenHBand="0" w:firstRowFirstColumn="0" w:firstRowLastColumn="0" w:lastRowFirstColumn="0" w:lastRowLastColumn="0"/>
            </w:pPr>
            <w:r w:rsidRPr="00C37D10">
              <w:t>All providers ($m)</w:t>
            </w:r>
          </w:p>
        </w:tc>
      </w:tr>
      <w:tr w:rsidR="00081B06" w:rsidRPr="00081B06" w14:paraId="5911A3E7" w14:textId="77777777" w:rsidTr="00081B06">
        <w:trPr>
          <w:trHeight w:val="330"/>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30B3E9EF" w14:textId="77777777" w:rsidR="006C740A" w:rsidRPr="004564B5" w:rsidRDefault="006C740A" w:rsidP="004564B5">
            <w:pPr>
              <w:pStyle w:val="TableParagraphbold"/>
            </w:pPr>
            <w:r w:rsidRPr="004564B5">
              <w:t>Income</w:t>
            </w:r>
          </w:p>
        </w:tc>
        <w:tc>
          <w:tcPr>
            <w:tcW w:w="1217" w:type="dxa"/>
            <w:shd w:val="clear" w:color="auto" w:fill="D8DBDB" w:themeFill="background2" w:themeFillShade="E6"/>
            <w:noWrap/>
            <w:hideMark/>
          </w:tcPr>
          <w:p w14:paraId="012234EB"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9" w:type="dxa"/>
            <w:shd w:val="clear" w:color="auto" w:fill="D8DBDB" w:themeFill="background2" w:themeFillShade="E6"/>
            <w:noWrap/>
            <w:hideMark/>
          </w:tcPr>
          <w:p w14:paraId="1854CC9A"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128" w:type="dxa"/>
            <w:shd w:val="clear" w:color="auto" w:fill="D8DBDB" w:themeFill="background2" w:themeFillShade="E6"/>
            <w:noWrap/>
            <w:hideMark/>
          </w:tcPr>
          <w:p w14:paraId="0839F063"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5" w:type="dxa"/>
            <w:shd w:val="clear" w:color="auto" w:fill="D8DBDB" w:themeFill="background2" w:themeFillShade="E6"/>
            <w:noWrap/>
            <w:hideMark/>
          </w:tcPr>
          <w:p w14:paraId="31C7CD09"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r>
      <w:tr w:rsidR="00081B06" w:rsidRPr="00081B06" w14:paraId="52DFD1C0"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14C9BE02" w14:textId="77777777" w:rsidR="006C740A" w:rsidRPr="004564B5" w:rsidRDefault="006C740A" w:rsidP="004564B5">
            <w:pPr>
              <w:pStyle w:val="TableParagraphbold"/>
            </w:pPr>
            <w:r w:rsidRPr="004564B5">
              <w:t>Recurrent income</w:t>
            </w:r>
          </w:p>
        </w:tc>
        <w:tc>
          <w:tcPr>
            <w:tcW w:w="1217" w:type="dxa"/>
            <w:shd w:val="clear" w:color="auto" w:fill="D8DBDB" w:themeFill="background2" w:themeFillShade="E6"/>
            <w:noWrap/>
            <w:hideMark/>
          </w:tcPr>
          <w:p w14:paraId="1A8B0FDF"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9" w:type="dxa"/>
            <w:shd w:val="clear" w:color="auto" w:fill="D8DBDB" w:themeFill="background2" w:themeFillShade="E6"/>
            <w:noWrap/>
            <w:hideMark/>
          </w:tcPr>
          <w:p w14:paraId="63EC99E1"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128" w:type="dxa"/>
            <w:shd w:val="clear" w:color="auto" w:fill="D8DBDB" w:themeFill="background2" w:themeFillShade="E6"/>
            <w:noWrap/>
            <w:hideMark/>
          </w:tcPr>
          <w:p w14:paraId="06D82B9A"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5" w:type="dxa"/>
            <w:shd w:val="clear" w:color="auto" w:fill="D8DBDB" w:themeFill="background2" w:themeFillShade="E6"/>
            <w:noWrap/>
            <w:hideMark/>
          </w:tcPr>
          <w:p w14:paraId="2E0D64C6"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r>
      <w:tr w:rsidR="00081B06" w:rsidRPr="00081B06" w14:paraId="58E4AC5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6F7E9A13" w14:textId="77777777" w:rsidR="006C740A" w:rsidRPr="004564B5" w:rsidRDefault="006C740A" w:rsidP="004564B5">
            <w:pPr>
              <w:pStyle w:val="TableParagraphbold"/>
            </w:pPr>
            <w:r w:rsidRPr="004564B5">
              <w:t>Care income</w:t>
            </w:r>
          </w:p>
        </w:tc>
        <w:tc>
          <w:tcPr>
            <w:tcW w:w="1217" w:type="dxa"/>
            <w:shd w:val="clear" w:color="auto" w:fill="D8DBDB" w:themeFill="background2" w:themeFillShade="E6"/>
            <w:noWrap/>
            <w:hideMark/>
          </w:tcPr>
          <w:p w14:paraId="66E9B73F"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9" w:type="dxa"/>
            <w:shd w:val="clear" w:color="auto" w:fill="D8DBDB" w:themeFill="background2" w:themeFillShade="E6"/>
            <w:noWrap/>
            <w:hideMark/>
          </w:tcPr>
          <w:p w14:paraId="2F27DEE7"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128" w:type="dxa"/>
            <w:shd w:val="clear" w:color="auto" w:fill="D8DBDB" w:themeFill="background2" w:themeFillShade="E6"/>
            <w:noWrap/>
            <w:hideMark/>
          </w:tcPr>
          <w:p w14:paraId="279F16CA"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5" w:type="dxa"/>
            <w:shd w:val="clear" w:color="auto" w:fill="D8DBDB" w:themeFill="background2" w:themeFillShade="E6"/>
            <w:noWrap/>
            <w:hideMark/>
          </w:tcPr>
          <w:p w14:paraId="1D3A192E"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r>
      <w:tr w:rsidR="006C740A" w:rsidRPr="00081B06" w14:paraId="16EAB03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7B53D88" w14:textId="77777777" w:rsidR="006C740A" w:rsidRPr="006D57D5" w:rsidRDefault="006C740A" w:rsidP="006D21E0">
            <w:pPr>
              <w:pStyle w:val="TableofAuthorities"/>
            </w:pPr>
            <w:r w:rsidRPr="006D57D5">
              <w:t>Subsidies and supplements (Australian Government)</w:t>
            </w:r>
          </w:p>
        </w:tc>
        <w:tc>
          <w:tcPr>
            <w:tcW w:w="1217" w:type="dxa"/>
            <w:noWrap/>
            <w:hideMark/>
          </w:tcPr>
          <w:p w14:paraId="5F066AC3"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$5,233.72</w:t>
            </w:r>
          </w:p>
        </w:tc>
        <w:tc>
          <w:tcPr>
            <w:tcW w:w="1239" w:type="dxa"/>
            <w:noWrap/>
            <w:hideMark/>
          </w:tcPr>
          <w:p w14:paraId="143AAB4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$6,903.21</w:t>
            </w:r>
          </w:p>
        </w:tc>
        <w:tc>
          <w:tcPr>
            <w:tcW w:w="1128" w:type="dxa"/>
            <w:noWrap/>
            <w:hideMark/>
          </w:tcPr>
          <w:p w14:paraId="29CAC1D4"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$402.63</w:t>
            </w:r>
          </w:p>
        </w:tc>
        <w:tc>
          <w:tcPr>
            <w:tcW w:w="1235" w:type="dxa"/>
            <w:noWrap/>
            <w:hideMark/>
          </w:tcPr>
          <w:p w14:paraId="627AAA78"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$12,539.56</w:t>
            </w:r>
          </w:p>
        </w:tc>
      </w:tr>
      <w:tr w:rsidR="006C740A" w:rsidRPr="00081B06" w14:paraId="48457536"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477C430" w14:textId="77777777" w:rsidR="006C740A" w:rsidRPr="006D57D5" w:rsidRDefault="006C740A" w:rsidP="006D21E0">
            <w:pPr>
              <w:pStyle w:val="TableofAuthorities"/>
            </w:pPr>
            <w:r w:rsidRPr="006D57D5">
              <w:t>Subsidies and supplements (State/Territory)</w:t>
            </w:r>
          </w:p>
        </w:tc>
        <w:tc>
          <w:tcPr>
            <w:tcW w:w="1217" w:type="dxa"/>
            <w:noWrap/>
            <w:hideMark/>
          </w:tcPr>
          <w:p w14:paraId="41AE4FD6"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$0.77</w:t>
            </w:r>
          </w:p>
        </w:tc>
        <w:tc>
          <w:tcPr>
            <w:tcW w:w="1239" w:type="dxa"/>
            <w:noWrap/>
            <w:hideMark/>
          </w:tcPr>
          <w:p w14:paraId="57399BE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$27.83</w:t>
            </w:r>
          </w:p>
        </w:tc>
        <w:tc>
          <w:tcPr>
            <w:tcW w:w="1128" w:type="dxa"/>
            <w:noWrap/>
            <w:hideMark/>
          </w:tcPr>
          <w:p w14:paraId="581E1075"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$222.26</w:t>
            </w:r>
          </w:p>
        </w:tc>
        <w:tc>
          <w:tcPr>
            <w:tcW w:w="1235" w:type="dxa"/>
            <w:noWrap/>
            <w:hideMark/>
          </w:tcPr>
          <w:p w14:paraId="146A2CC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$250.86</w:t>
            </w:r>
          </w:p>
        </w:tc>
      </w:tr>
      <w:tr w:rsidR="006C740A" w:rsidRPr="00081B06" w14:paraId="5DA77A50"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BAE700F" w14:textId="77777777" w:rsidR="006C740A" w:rsidRPr="006D57D5" w:rsidRDefault="006C740A" w:rsidP="006D21E0">
            <w:pPr>
              <w:pStyle w:val="TableofAuthorities"/>
            </w:pPr>
            <w:r w:rsidRPr="006D57D5">
              <w:t>Resident fees: means-tested care fee</w:t>
            </w:r>
          </w:p>
        </w:tc>
        <w:tc>
          <w:tcPr>
            <w:tcW w:w="1217" w:type="dxa"/>
            <w:noWrap/>
            <w:hideMark/>
          </w:tcPr>
          <w:p w14:paraId="5E0DC85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$314.25</w:t>
            </w:r>
          </w:p>
        </w:tc>
        <w:tc>
          <w:tcPr>
            <w:tcW w:w="1239" w:type="dxa"/>
            <w:noWrap/>
            <w:hideMark/>
          </w:tcPr>
          <w:p w14:paraId="51CA8F3C"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$348.29</w:t>
            </w:r>
          </w:p>
        </w:tc>
        <w:tc>
          <w:tcPr>
            <w:tcW w:w="1128" w:type="dxa"/>
            <w:noWrap/>
            <w:hideMark/>
          </w:tcPr>
          <w:p w14:paraId="62E5D965"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$16.09</w:t>
            </w:r>
          </w:p>
        </w:tc>
        <w:tc>
          <w:tcPr>
            <w:tcW w:w="1235" w:type="dxa"/>
            <w:noWrap/>
            <w:hideMark/>
          </w:tcPr>
          <w:p w14:paraId="26D1E769"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$678.64</w:t>
            </w:r>
          </w:p>
        </w:tc>
      </w:tr>
      <w:tr w:rsidR="006C740A" w:rsidRPr="00081B06" w14:paraId="72B09E9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D0C40BA" w14:textId="77777777" w:rsidR="006C740A" w:rsidRPr="006D57D5" w:rsidRDefault="006C740A" w:rsidP="006D21E0">
            <w:pPr>
              <w:pStyle w:val="TableofAuthorities"/>
            </w:pPr>
            <w:r w:rsidRPr="006D57D5">
              <w:t>Grants: recurrent</w:t>
            </w:r>
          </w:p>
        </w:tc>
        <w:tc>
          <w:tcPr>
            <w:tcW w:w="1217" w:type="dxa"/>
            <w:noWrap/>
            <w:hideMark/>
          </w:tcPr>
          <w:p w14:paraId="5A1C0E77"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$0.49</w:t>
            </w:r>
          </w:p>
        </w:tc>
        <w:tc>
          <w:tcPr>
            <w:tcW w:w="1239" w:type="dxa"/>
            <w:noWrap/>
            <w:hideMark/>
          </w:tcPr>
          <w:p w14:paraId="0163BE7B"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$18.67</w:t>
            </w:r>
          </w:p>
        </w:tc>
        <w:tc>
          <w:tcPr>
            <w:tcW w:w="1128" w:type="dxa"/>
            <w:noWrap/>
            <w:hideMark/>
          </w:tcPr>
          <w:p w14:paraId="6A8F2097"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$8.56</w:t>
            </w:r>
          </w:p>
        </w:tc>
        <w:tc>
          <w:tcPr>
            <w:tcW w:w="1235" w:type="dxa"/>
            <w:noWrap/>
            <w:hideMark/>
          </w:tcPr>
          <w:p w14:paraId="0FE22BA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$27.72</w:t>
            </w:r>
          </w:p>
        </w:tc>
      </w:tr>
      <w:tr w:rsidR="006C740A" w:rsidRPr="00081B06" w14:paraId="0D89865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CC03422" w14:textId="77777777" w:rsidR="006C740A" w:rsidRPr="006D57D5" w:rsidRDefault="006C740A" w:rsidP="006D21E0">
            <w:pPr>
              <w:pStyle w:val="TableofAuthorities"/>
            </w:pPr>
            <w:r w:rsidRPr="006D57D5">
              <w:t>Other care income</w:t>
            </w:r>
          </w:p>
        </w:tc>
        <w:tc>
          <w:tcPr>
            <w:tcW w:w="1217" w:type="dxa"/>
            <w:noWrap/>
            <w:hideMark/>
          </w:tcPr>
          <w:p w14:paraId="749CE82C"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$46.60</w:t>
            </w:r>
          </w:p>
        </w:tc>
        <w:tc>
          <w:tcPr>
            <w:tcW w:w="1239" w:type="dxa"/>
            <w:noWrap/>
            <w:hideMark/>
          </w:tcPr>
          <w:p w14:paraId="4283C88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$25.92</w:t>
            </w:r>
          </w:p>
        </w:tc>
        <w:tc>
          <w:tcPr>
            <w:tcW w:w="1128" w:type="dxa"/>
            <w:noWrap/>
            <w:hideMark/>
          </w:tcPr>
          <w:p w14:paraId="54B00C0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$13.47</w:t>
            </w:r>
          </w:p>
        </w:tc>
        <w:tc>
          <w:tcPr>
            <w:tcW w:w="1235" w:type="dxa"/>
            <w:noWrap/>
            <w:hideMark/>
          </w:tcPr>
          <w:p w14:paraId="00CB2CF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$85.99</w:t>
            </w:r>
          </w:p>
        </w:tc>
      </w:tr>
      <w:tr w:rsidR="00081B06" w:rsidRPr="00081B06" w14:paraId="0291DF6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6FF41D7C" w14:textId="77777777" w:rsidR="006C740A" w:rsidRPr="006D57D5" w:rsidRDefault="006C740A" w:rsidP="004564B5">
            <w:pPr>
              <w:pStyle w:val="TableParagraphbold"/>
            </w:pPr>
            <w:r w:rsidRPr="006D57D5">
              <w:t>Total care income</w:t>
            </w:r>
          </w:p>
        </w:tc>
        <w:tc>
          <w:tcPr>
            <w:tcW w:w="1217" w:type="dxa"/>
            <w:shd w:val="clear" w:color="auto" w:fill="D8DBDB" w:themeFill="background2" w:themeFillShade="E6"/>
            <w:noWrap/>
            <w:hideMark/>
          </w:tcPr>
          <w:p w14:paraId="031C0DE2"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$5,595.84</w:t>
            </w:r>
          </w:p>
        </w:tc>
        <w:tc>
          <w:tcPr>
            <w:tcW w:w="1239" w:type="dxa"/>
            <w:shd w:val="clear" w:color="auto" w:fill="D8DBDB" w:themeFill="background2" w:themeFillShade="E6"/>
            <w:noWrap/>
            <w:hideMark/>
          </w:tcPr>
          <w:p w14:paraId="664D3B4A"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$7,323.92</w:t>
            </w:r>
          </w:p>
        </w:tc>
        <w:tc>
          <w:tcPr>
            <w:tcW w:w="1128" w:type="dxa"/>
            <w:shd w:val="clear" w:color="auto" w:fill="D8DBDB" w:themeFill="background2" w:themeFillShade="E6"/>
            <w:noWrap/>
            <w:hideMark/>
          </w:tcPr>
          <w:p w14:paraId="3BE87BD3"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$663.02</w:t>
            </w:r>
          </w:p>
        </w:tc>
        <w:tc>
          <w:tcPr>
            <w:tcW w:w="1235" w:type="dxa"/>
            <w:shd w:val="clear" w:color="auto" w:fill="D8DBDB" w:themeFill="background2" w:themeFillShade="E6"/>
            <w:noWrap/>
            <w:hideMark/>
          </w:tcPr>
          <w:p w14:paraId="60E31462"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$13,582.78</w:t>
            </w:r>
          </w:p>
        </w:tc>
      </w:tr>
      <w:tr w:rsidR="00081B06" w:rsidRPr="00081B06" w14:paraId="02A9529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31351AB0" w14:textId="77777777" w:rsidR="006C740A" w:rsidRPr="006D57D5" w:rsidRDefault="006C740A" w:rsidP="004564B5">
            <w:pPr>
              <w:pStyle w:val="TableParagraphbold"/>
            </w:pPr>
            <w:r w:rsidRPr="006D57D5">
              <w:t>Hotel services income</w:t>
            </w:r>
          </w:p>
        </w:tc>
        <w:tc>
          <w:tcPr>
            <w:tcW w:w="1217" w:type="dxa"/>
            <w:shd w:val="clear" w:color="auto" w:fill="D8DBDB" w:themeFill="background2" w:themeFillShade="E6"/>
            <w:noWrap/>
            <w:hideMark/>
          </w:tcPr>
          <w:p w14:paraId="5D4D8D5B"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9" w:type="dxa"/>
            <w:shd w:val="clear" w:color="auto" w:fill="D8DBDB" w:themeFill="background2" w:themeFillShade="E6"/>
            <w:noWrap/>
            <w:hideMark/>
          </w:tcPr>
          <w:p w14:paraId="0334CE7A"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128" w:type="dxa"/>
            <w:shd w:val="clear" w:color="auto" w:fill="D8DBDB" w:themeFill="background2" w:themeFillShade="E6"/>
            <w:noWrap/>
            <w:hideMark/>
          </w:tcPr>
          <w:p w14:paraId="1BE1DFCF"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5" w:type="dxa"/>
            <w:shd w:val="clear" w:color="auto" w:fill="D8DBDB" w:themeFill="background2" w:themeFillShade="E6"/>
            <w:noWrap/>
            <w:hideMark/>
          </w:tcPr>
          <w:p w14:paraId="4353D89A"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r>
      <w:tr w:rsidR="006C740A" w:rsidRPr="00081B06" w14:paraId="7E424F94"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4D2C2CD" w14:textId="77777777" w:rsidR="006C740A" w:rsidRPr="006D57D5" w:rsidRDefault="006C740A" w:rsidP="006D21E0">
            <w:pPr>
              <w:pStyle w:val="TableofAuthorities"/>
            </w:pPr>
            <w:r w:rsidRPr="006D57D5">
              <w:t>Basic daily fee</w:t>
            </w:r>
          </w:p>
        </w:tc>
        <w:tc>
          <w:tcPr>
            <w:tcW w:w="1217" w:type="dxa"/>
            <w:noWrap/>
            <w:hideMark/>
          </w:tcPr>
          <w:p w14:paraId="1487F8B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$1,507.42</w:t>
            </w:r>
          </w:p>
        </w:tc>
        <w:tc>
          <w:tcPr>
            <w:tcW w:w="1239" w:type="dxa"/>
            <w:noWrap/>
            <w:hideMark/>
          </w:tcPr>
          <w:p w14:paraId="3F5C239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$2,007.02</w:t>
            </w:r>
          </w:p>
        </w:tc>
        <w:tc>
          <w:tcPr>
            <w:tcW w:w="1128" w:type="dxa"/>
            <w:noWrap/>
            <w:hideMark/>
          </w:tcPr>
          <w:p w14:paraId="4CCF60A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$136.69</w:t>
            </w:r>
          </w:p>
        </w:tc>
        <w:tc>
          <w:tcPr>
            <w:tcW w:w="1235" w:type="dxa"/>
            <w:noWrap/>
            <w:hideMark/>
          </w:tcPr>
          <w:p w14:paraId="4ABAE079"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$3,651.14</w:t>
            </w:r>
          </w:p>
        </w:tc>
      </w:tr>
      <w:tr w:rsidR="006C740A" w:rsidRPr="00081B06" w14:paraId="544A3D5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0F3E7DC" w14:textId="77777777" w:rsidR="006C740A" w:rsidRPr="006D57D5" w:rsidRDefault="006C740A" w:rsidP="006D21E0">
            <w:pPr>
              <w:pStyle w:val="TableofAuthorities"/>
            </w:pPr>
            <w:r w:rsidRPr="006D57D5">
              <w:t xml:space="preserve">BDF supplement </w:t>
            </w:r>
          </w:p>
        </w:tc>
        <w:tc>
          <w:tcPr>
            <w:tcW w:w="1217" w:type="dxa"/>
            <w:noWrap/>
            <w:hideMark/>
          </w:tcPr>
          <w:p w14:paraId="3812CFF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$254.63</w:t>
            </w:r>
          </w:p>
        </w:tc>
        <w:tc>
          <w:tcPr>
            <w:tcW w:w="1239" w:type="dxa"/>
            <w:noWrap/>
            <w:hideMark/>
          </w:tcPr>
          <w:p w14:paraId="44C03567"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$381.37</w:t>
            </w:r>
          </w:p>
        </w:tc>
        <w:tc>
          <w:tcPr>
            <w:tcW w:w="1128" w:type="dxa"/>
            <w:noWrap/>
            <w:hideMark/>
          </w:tcPr>
          <w:p w14:paraId="1CCD9CF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$25.00</w:t>
            </w:r>
          </w:p>
        </w:tc>
        <w:tc>
          <w:tcPr>
            <w:tcW w:w="1235" w:type="dxa"/>
            <w:noWrap/>
            <w:hideMark/>
          </w:tcPr>
          <w:p w14:paraId="170C775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$660.99</w:t>
            </w:r>
          </w:p>
        </w:tc>
      </w:tr>
      <w:tr w:rsidR="006C740A" w:rsidRPr="00081B06" w14:paraId="51A0D163"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F20D195" w14:textId="77777777" w:rsidR="006C740A" w:rsidRPr="006D57D5" w:rsidRDefault="006C740A" w:rsidP="006D21E0">
            <w:pPr>
              <w:pStyle w:val="TableofAuthorities"/>
            </w:pPr>
            <w:r w:rsidRPr="006D57D5">
              <w:t>Extra service fees</w:t>
            </w:r>
          </w:p>
        </w:tc>
        <w:tc>
          <w:tcPr>
            <w:tcW w:w="1217" w:type="dxa"/>
            <w:noWrap/>
            <w:hideMark/>
          </w:tcPr>
          <w:p w14:paraId="69150ED4"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$100.97</w:t>
            </w:r>
          </w:p>
        </w:tc>
        <w:tc>
          <w:tcPr>
            <w:tcW w:w="1239" w:type="dxa"/>
            <w:noWrap/>
            <w:hideMark/>
          </w:tcPr>
          <w:p w14:paraId="67E6C2B7"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$24.60</w:t>
            </w:r>
          </w:p>
        </w:tc>
        <w:tc>
          <w:tcPr>
            <w:tcW w:w="1128" w:type="dxa"/>
            <w:noWrap/>
            <w:hideMark/>
          </w:tcPr>
          <w:p w14:paraId="1AC8CF4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$0.03</w:t>
            </w:r>
          </w:p>
        </w:tc>
        <w:tc>
          <w:tcPr>
            <w:tcW w:w="1235" w:type="dxa"/>
            <w:noWrap/>
            <w:hideMark/>
          </w:tcPr>
          <w:p w14:paraId="24C5C199"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$125.59</w:t>
            </w:r>
          </w:p>
        </w:tc>
      </w:tr>
      <w:tr w:rsidR="006C740A" w:rsidRPr="00081B06" w14:paraId="7BA66F8F"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18DB5C2" w14:textId="77777777" w:rsidR="006C740A" w:rsidRPr="006D57D5" w:rsidRDefault="006C740A" w:rsidP="006D21E0">
            <w:pPr>
              <w:pStyle w:val="TableofAuthorities"/>
            </w:pPr>
            <w:r w:rsidRPr="006D57D5">
              <w:t>Additional service fees</w:t>
            </w:r>
          </w:p>
        </w:tc>
        <w:tc>
          <w:tcPr>
            <w:tcW w:w="1217" w:type="dxa"/>
            <w:noWrap/>
            <w:hideMark/>
          </w:tcPr>
          <w:p w14:paraId="5482917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$128.77</w:t>
            </w:r>
          </w:p>
        </w:tc>
        <w:tc>
          <w:tcPr>
            <w:tcW w:w="1239" w:type="dxa"/>
            <w:noWrap/>
            <w:hideMark/>
          </w:tcPr>
          <w:p w14:paraId="30127E35"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$47.03</w:t>
            </w:r>
          </w:p>
        </w:tc>
        <w:tc>
          <w:tcPr>
            <w:tcW w:w="1128" w:type="dxa"/>
            <w:noWrap/>
            <w:hideMark/>
          </w:tcPr>
          <w:p w14:paraId="50808F25"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$0.17</w:t>
            </w:r>
          </w:p>
        </w:tc>
        <w:tc>
          <w:tcPr>
            <w:tcW w:w="1235" w:type="dxa"/>
            <w:noWrap/>
            <w:hideMark/>
          </w:tcPr>
          <w:p w14:paraId="6F005AC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$175.97</w:t>
            </w:r>
          </w:p>
        </w:tc>
      </w:tr>
      <w:tr w:rsidR="006C740A" w:rsidRPr="00081B06" w14:paraId="3842080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B12ABDF" w14:textId="77777777" w:rsidR="006C740A" w:rsidRPr="006D57D5" w:rsidRDefault="006C740A" w:rsidP="006D21E0">
            <w:pPr>
              <w:pStyle w:val="TableofAuthorities"/>
            </w:pPr>
            <w:r w:rsidRPr="006D57D5">
              <w:t>Other hotel services Income</w:t>
            </w:r>
          </w:p>
        </w:tc>
        <w:tc>
          <w:tcPr>
            <w:tcW w:w="1217" w:type="dxa"/>
            <w:noWrap/>
            <w:hideMark/>
          </w:tcPr>
          <w:p w14:paraId="56586BA4"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$12.07</w:t>
            </w:r>
          </w:p>
        </w:tc>
        <w:tc>
          <w:tcPr>
            <w:tcW w:w="1239" w:type="dxa"/>
            <w:noWrap/>
            <w:hideMark/>
          </w:tcPr>
          <w:p w14:paraId="1926666C"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$66.83</w:t>
            </w:r>
          </w:p>
        </w:tc>
        <w:tc>
          <w:tcPr>
            <w:tcW w:w="1128" w:type="dxa"/>
            <w:noWrap/>
            <w:hideMark/>
          </w:tcPr>
          <w:p w14:paraId="7133E9AA"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$2.28</w:t>
            </w:r>
          </w:p>
        </w:tc>
        <w:tc>
          <w:tcPr>
            <w:tcW w:w="1235" w:type="dxa"/>
            <w:noWrap/>
            <w:hideMark/>
          </w:tcPr>
          <w:p w14:paraId="6F9813F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$81.18</w:t>
            </w:r>
          </w:p>
        </w:tc>
      </w:tr>
      <w:tr w:rsidR="00081B06" w:rsidRPr="00081B06" w14:paraId="025E98C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583BAC2B" w14:textId="77777777" w:rsidR="006C740A" w:rsidRPr="006D57D5" w:rsidRDefault="006C740A" w:rsidP="004564B5">
            <w:pPr>
              <w:pStyle w:val="TableParagraphbold"/>
            </w:pPr>
            <w:r w:rsidRPr="006D57D5">
              <w:t>Total hotel services income</w:t>
            </w:r>
          </w:p>
        </w:tc>
        <w:tc>
          <w:tcPr>
            <w:tcW w:w="1217" w:type="dxa"/>
            <w:shd w:val="clear" w:color="auto" w:fill="D8DBDB" w:themeFill="background2" w:themeFillShade="E6"/>
            <w:noWrap/>
            <w:hideMark/>
          </w:tcPr>
          <w:p w14:paraId="0448D879"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$2,003.86</w:t>
            </w:r>
          </w:p>
        </w:tc>
        <w:tc>
          <w:tcPr>
            <w:tcW w:w="1239" w:type="dxa"/>
            <w:shd w:val="clear" w:color="auto" w:fill="D8DBDB" w:themeFill="background2" w:themeFillShade="E6"/>
            <w:noWrap/>
            <w:hideMark/>
          </w:tcPr>
          <w:p w14:paraId="79A54E2E"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$2,526.85</w:t>
            </w:r>
          </w:p>
        </w:tc>
        <w:tc>
          <w:tcPr>
            <w:tcW w:w="1128" w:type="dxa"/>
            <w:shd w:val="clear" w:color="auto" w:fill="D8DBDB" w:themeFill="background2" w:themeFillShade="E6"/>
            <w:noWrap/>
            <w:hideMark/>
          </w:tcPr>
          <w:p w14:paraId="55B52BB4"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$164.17</w:t>
            </w:r>
          </w:p>
        </w:tc>
        <w:tc>
          <w:tcPr>
            <w:tcW w:w="1235" w:type="dxa"/>
            <w:shd w:val="clear" w:color="auto" w:fill="D8DBDB" w:themeFill="background2" w:themeFillShade="E6"/>
            <w:noWrap/>
            <w:hideMark/>
          </w:tcPr>
          <w:p w14:paraId="225A6EEF"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$4,694.88</w:t>
            </w:r>
          </w:p>
        </w:tc>
      </w:tr>
      <w:tr w:rsidR="00081B06" w:rsidRPr="00081B06" w14:paraId="4AB82FE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02189903" w14:textId="77777777" w:rsidR="006C740A" w:rsidRPr="006D57D5" w:rsidRDefault="006C740A" w:rsidP="004564B5">
            <w:pPr>
              <w:pStyle w:val="TableParagraphbold"/>
            </w:pPr>
            <w:r w:rsidRPr="006D57D5">
              <w:t>Accommodation and finance income</w:t>
            </w:r>
          </w:p>
        </w:tc>
        <w:tc>
          <w:tcPr>
            <w:tcW w:w="1217" w:type="dxa"/>
            <w:shd w:val="clear" w:color="auto" w:fill="D8DBDB" w:themeFill="background2" w:themeFillShade="E6"/>
            <w:noWrap/>
            <w:hideMark/>
          </w:tcPr>
          <w:p w14:paraId="04B2C5D6"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9" w:type="dxa"/>
            <w:shd w:val="clear" w:color="auto" w:fill="D8DBDB" w:themeFill="background2" w:themeFillShade="E6"/>
            <w:noWrap/>
            <w:hideMark/>
          </w:tcPr>
          <w:p w14:paraId="595C60A1"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128" w:type="dxa"/>
            <w:shd w:val="clear" w:color="auto" w:fill="D8DBDB" w:themeFill="background2" w:themeFillShade="E6"/>
            <w:noWrap/>
            <w:hideMark/>
          </w:tcPr>
          <w:p w14:paraId="47F3D40C"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5" w:type="dxa"/>
            <w:shd w:val="clear" w:color="auto" w:fill="D8DBDB" w:themeFill="background2" w:themeFillShade="E6"/>
            <w:noWrap/>
            <w:hideMark/>
          </w:tcPr>
          <w:p w14:paraId="701AAEFE"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r>
      <w:tr w:rsidR="006C740A" w:rsidRPr="00081B06" w14:paraId="5FDDA18E"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7134F12" w14:textId="77777777" w:rsidR="006C740A" w:rsidRPr="006D57D5" w:rsidRDefault="006C740A" w:rsidP="006D21E0">
            <w:pPr>
              <w:pStyle w:val="TableofAuthorities"/>
            </w:pPr>
            <w:r w:rsidRPr="006D57D5">
              <w:t>Subsidies and supplements (Australian Government)</w:t>
            </w:r>
          </w:p>
        </w:tc>
        <w:tc>
          <w:tcPr>
            <w:tcW w:w="1217" w:type="dxa"/>
            <w:noWrap/>
            <w:hideMark/>
          </w:tcPr>
          <w:p w14:paraId="5ACD335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$499.49</w:t>
            </w:r>
          </w:p>
        </w:tc>
        <w:tc>
          <w:tcPr>
            <w:tcW w:w="1239" w:type="dxa"/>
            <w:noWrap/>
            <w:hideMark/>
          </w:tcPr>
          <w:p w14:paraId="0D3672BC"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$774.48</w:t>
            </w:r>
          </w:p>
        </w:tc>
        <w:tc>
          <w:tcPr>
            <w:tcW w:w="1128" w:type="dxa"/>
            <w:noWrap/>
            <w:hideMark/>
          </w:tcPr>
          <w:p w14:paraId="7CDC54A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$49.22</w:t>
            </w:r>
          </w:p>
        </w:tc>
        <w:tc>
          <w:tcPr>
            <w:tcW w:w="1235" w:type="dxa"/>
            <w:noWrap/>
            <w:hideMark/>
          </w:tcPr>
          <w:p w14:paraId="2BA7CFDA"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$1,323.19</w:t>
            </w:r>
          </w:p>
        </w:tc>
      </w:tr>
      <w:tr w:rsidR="006C740A" w:rsidRPr="00081B06" w14:paraId="3A5D22C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48BA9BD" w14:textId="77777777" w:rsidR="006C740A" w:rsidRPr="006D57D5" w:rsidRDefault="006C740A" w:rsidP="006D21E0">
            <w:pPr>
              <w:pStyle w:val="TableofAuthorities"/>
            </w:pPr>
            <w:r w:rsidRPr="006D57D5">
              <w:t>Subsidies and supplements (state / territory)</w:t>
            </w:r>
          </w:p>
        </w:tc>
        <w:tc>
          <w:tcPr>
            <w:tcW w:w="1217" w:type="dxa"/>
            <w:noWrap/>
            <w:hideMark/>
          </w:tcPr>
          <w:p w14:paraId="0CFB99B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$0.79</w:t>
            </w:r>
          </w:p>
        </w:tc>
        <w:tc>
          <w:tcPr>
            <w:tcW w:w="1239" w:type="dxa"/>
            <w:noWrap/>
            <w:hideMark/>
          </w:tcPr>
          <w:p w14:paraId="2B45DEF3"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$2.92</w:t>
            </w:r>
          </w:p>
        </w:tc>
        <w:tc>
          <w:tcPr>
            <w:tcW w:w="1128" w:type="dxa"/>
            <w:noWrap/>
            <w:hideMark/>
          </w:tcPr>
          <w:p w14:paraId="3286CA59"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$8.07</w:t>
            </w:r>
          </w:p>
        </w:tc>
        <w:tc>
          <w:tcPr>
            <w:tcW w:w="1235" w:type="dxa"/>
            <w:noWrap/>
            <w:hideMark/>
          </w:tcPr>
          <w:p w14:paraId="780D8967"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$11.77</w:t>
            </w:r>
          </w:p>
        </w:tc>
      </w:tr>
      <w:tr w:rsidR="006C740A" w:rsidRPr="00081B06" w14:paraId="7F6AB9B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20C684A" w14:textId="77777777" w:rsidR="006C740A" w:rsidRPr="006D57D5" w:rsidRDefault="006C740A" w:rsidP="006D21E0">
            <w:pPr>
              <w:pStyle w:val="TableofAuthorities"/>
            </w:pPr>
            <w:r w:rsidRPr="006D57D5">
              <w:t>Daily accommodation payments</w:t>
            </w:r>
          </w:p>
        </w:tc>
        <w:tc>
          <w:tcPr>
            <w:tcW w:w="1217" w:type="dxa"/>
            <w:noWrap/>
            <w:hideMark/>
          </w:tcPr>
          <w:p w14:paraId="5109AE9B"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$274.31</w:t>
            </w:r>
          </w:p>
        </w:tc>
        <w:tc>
          <w:tcPr>
            <w:tcW w:w="1239" w:type="dxa"/>
            <w:noWrap/>
            <w:hideMark/>
          </w:tcPr>
          <w:p w14:paraId="7B7C5456"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$458.71</w:t>
            </w:r>
          </w:p>
        </w:tc>
        <w:tc>
          <w:tcPr>
            <w:tcW w:w="1128" w:type="dxa"/>
            <w:noWrap/>
            <w:hideMark/>
          </w:tcPr>
          <w:p w14:paraId="6BBC53E3"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$22.35</w:t>
            </w:r>
          </w:p>
        </w:tc>
        <w:tc>
          <w:tcPr>
            <w:tcW w:w="1235" w:type="dxa"/>
            <w:noWrap/>
            <w:hideMark/>
          </w:tcPr>
          <w:p w14:paraId="32EB13F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$755.37</w:t>
            </w:r>
          </w:p>
        </w:tc>
      </w:tr>
      <w:tr w:rsidR="006C740A" w:rsidRPr="00081B06" w14:paraId="0FC13648"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C643F8F" w14:textId="77777777" w:rsidR="006C740A" w:rsidRPr="006D57D5" w:rsidRDefault="006C740A" w:rsidP="006D21E0">
            <w:pPr>
              <w:pStyle w:val="TableofAuthorities"/>
            </w:pPr>
            <w:r w:rsidRPr="006D57D5">
              <w:t>Accommodation charges</w:t>
            </w:r>
          </w:p>
        </w:tc>
        <w:tc>
          <w:tcPr>
            <w:tcW w:w="1217" w:type="dxa"/>
            <w:noWrap/>
            <w:hideMark/>
          </w:tcPr>
          <w:p w14:paraId="6CE717E7"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$41.88</w:t>
            </w:r>
          </w:p>
        </w:tc>
        <w:tc>
          <w:tcPr>
            <w:tcW w:w="1239" w:type="dxa"/>
            <w:noWrap/>
            <w:hideMark/>
          </w:tcPr>
          <w:p w14:paraId="788CF9A4"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$32.12</w:t>
            </w:r>
          </w:p>
        </w:tc>
        <w:tc>
          <w:tcPr>
            <w:tcW w:w="1128" w:type="dxa"/>
            <w:noWrap/>
            <w:hideMark/>
          </w:tcPr>
          <w:p w14:paraId="53520B2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$4.10</w:t>
            </w:r>
          </w:p>
        </w:tc>
        <w:tc>
          <w:tcPr>
            <w:tcW w:w="1235" w:type="dxa"/>
            <w:noWrap/>
            <w:hideMark/>
          </w:tcPr>
          <w:p w14:paraId="0D83AE45"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$78.10</w:t>
            </w:r>
          </w:p>
        </w:tc>
      </w:tr>
      <w:tr w:rsidR="006C740A" w:rsidRPr="00081B06" w14:paraId="66B06D17"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24C17E4" w14:textId="77777777" w:rsidR="006C740A" w:rsidRPr="006D57D5" w:rsidRDefault="006C740A" w:rsidP="006D21E0">
            <w:pPr>
              <w:pStyle w:val="TableofAuthorities"/>
            </w:pPr>
            <w:r w:rsidRPr="006D57D5">
              <w:t>Interest received - accommodation payments</w:t>
            </w:r>
          </w:p>
        </w:tc>
        <w:tc>
          <w:tcPr>
            <w:tcW w:w="1217" w:type="dxa"/>
            <w:noWrap/>
            <w:hideMark/>
          </w:tcPr>
          <w:p w14:paraId="3C3D2DF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$28.44</w:t>
            </w:r>
          </w:p>
        </w:tc>
        <w:tc>
          <w:tcPr>
            <w:tcW w:w="1239" w:type="dxa"/>
            <w:noWrap/>
            <w:hideMark/>
          </w:tcPr>
          <w:p w14:paraId="121A2A8B"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$34.83</w:t>
            </w:r>
          </w:p>
        </w:tc>
        <w:tc>
          <w:tcPr>
            <w:tcW w:w="1128" w:type="dxa"/>
            <w:noWrap/>
            <w:hideMark/>
          </w:tcPr>
          <w:p w14:paraId="10DEC2A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$0.91</w:t>
            </w:r>
          </w:p>
        </w:tc>
        <w:tc>
          <w:tcPr>
            <w:tcW w:w="1235" w:type="dxa"/>
            <w:noWrap/>
            <w:hideMark/>
          </w:tcPr>
          <w:p w14:paraId="4CDD73C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$64.18</w:t>
            </w:r>
          </w:p>
        </w:tc>
      </w:tr>
      <w:tr w:rsidR="006C740A" w:rsidRPr="00081B06" w14:paraId="0F92E9D7"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9560198" w14:textId="77777777" w:rsidR="006C740A" w:rsidRPr="006D57D5" w:rsidRDefault="006C740A" w:rsidP="006D21E0">
            <w:pPr>
              <w:pStyle w:val="TableofAuthorities"/>
            </w:pPr>
            <w:r w:rsidRPr="006D57D5">
              <w:t>Other accommodation income</w:t>
            </w:r>
          </w:p>
        </w:tc>
        <w:tc>
          <w:tcPr>
            <w:tcW w:w="1217" w:type="dxa"/>
            <w:noWrap/>
            <w:hideMark/>
          </w:tcPr>
          <w:p w14:paraId="1387EFD3"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$17.06</w:t>
            </w:r>
          </w:p>
        </w:tc>
        <w:tc>
          <w:tcPr>
            <w:tcW w:w="1239" w:type="dxa"/>
            <w:noWrap/>
            <w:hideMark/>
          </w:tcPr>
          <w:p w14:paraId="61082FB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$56.81</w:t>
            </w:r>
          </w:p>
        </w:tc>
        <w:tc>
          <w:tcPr>
            <w:tcW w:w="1128" w:type="dxa"/>
            <w:noWrap/>
            <w:hideMark/>
          </w:tcPr>
          <w:p w14:paraId="121A826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$1.38</w:t>
            </w:r>
          </w:p>
        </w:tc>
        <w:tc>
          <w:tcPr>
            <w:tcW w:w="1235" w:type="dxa"/>
            <w:noWrap/>
            <w:hideMark/>
          </w:tcPr>
          <w:p w14:paraId="1E0A635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$75.25</w:t>
            </w:r>
          </w:p>
        </w:tc>
      </w:tr>
      <w:tr w:rsidR="006C740A" w:rsidRPr="00081B06" w14:paraId="6F5EACD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22184AC" w14:textId="77777777" w:rsidR="006C740A" w:rsidRPr="006D57D5" w:rsidRDefault="006C740A" w:rsidP="006D21E0">
            <w:pPr>
              <w:pStyle w:val="TableofAuthorities"/>
            </w:pPr>
            <w:r w:rsidRPr="006D57D5">
              <w:t>Interest and investment income</w:t>
            </w:r>
          </w:p>
        </w:tc>
        <w:tc>
          <w:tcPr>
            <w:tcW w:w="1217" w:type="dxa"/>
            <w:noWrap/>
            <w:hideMark/>
          </w:tcPr>
          <w:p w14:paraId="2AEB6A5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$111.54</w:t>
            </w:r>
          </w:p>
        </w:tc>
        <w:tc>
          <w:tcPr>
            <w:tcW w:w="1239" w:type="dxa"/>
            <w:noWrap/>
            <w:hideMark/>
          </w:tcPr>
          <w:p w14:paraId="245C4E4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$73.29</w:t>
            </w:r>
          </w:p>
        </w:tc>
        <w:tc>
          <w:tcPr>
            <w:tcW w:w="1128" w:type="dxa"/>
            <w:noWrap/>
            <w:hideMark/>
          </w:tcPr>
          <w:p w14:paraId="0432A646"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$2.24</w:t>
            </w:r>
          </w:p>
        </w:tc>
        <w:tc>
          <w:tcPr>
            <w:tcW w:w="1235" w:type="dxa"/>
            <w:noWrap/>
            <w:hideMark/>
          </w:tcPr>
          <w:p w14:paraId="262187A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$187.07</w:t>
            </w:r>
          </w:p>
        </w:tc>
      </w:tr>
      <w:tr w:rsidR="00081B06" w:rsidRPr="00081B06" w14:paraId="4844E52E"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1E18DE3D" w14:textId="77777777" w:rsidR="006C740A" w:rsidRPr="006D57D5" w:rsidRDefault="006C740A" w:rsidP="004564B5">
            <w:pPr>
              <w:pStyle w:val="TableParagraphbold"/>
            </w:pPr>
            <w:r w:rsidRPr="006D57D5">
              <w:t>Total accommodation and finance income</w:t>
            </w:r>
          </w:p>
        </w:tc>
        <w:tc>
          <w:tcPr>
            <w:tcW w:w="1217" w:type="dxa"/>
            <w:shd w:val="clear" w:color="auto" w:fill="D8DBDB" w:themeFill="background2" w:themeFillShade="E6"/>
            <w:noWrap/>
            <w:hideMark/>
          </w:tcPr>
          <w:p w14:paraId="3B129E01"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$973.51</w:t>
            </w:r>
          </w:p>
        </w:tc>
        <w:tc>
          <w:tcPr>
            <w:tcW w:w="1239" w:type="dxa"/>
            <w:shd w:val="clear" w:color="auto" w:fill="D8DBDB" w:themeFill="background2" w:themeFillShade="E6"/>
            <w:noWrap/>
            <w:hideMark/>
          </w:tcPr>
          <w:p w14:paraId="54447004"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$1,433.16</w:t>
            </w:r>
          </w:p>
        </w:tc>
        <w:tc>
          <w:tcPr>
            <w:tcW w:w="1128" w:type="dxa"/>
            <w:shd w:val="clear" w:color="auto" w:fill="D8DBDB" w:themeFill="background2" w:themeFillShade="E6"/>
            <w:noWrap/>
            <w:hideMark/>
          </w:tcPr>
          <w:p w14:paraId="608A399E"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$88.27</w:t>
            </w:r>
          </w:p>
        </w:tc>
        <w:tc>
          <w:tcPr>
            <w:tcW w:w="1235" w:type="dxa"/>
            <w:shd w:val="clear" w:color="auto" w:fill="D8DBDB" w:themeFill="background2" w:themeFillShade="E6"/>
            <w:noWrap/>
            <w:hideMark/>
          </w:tcPr>
          <w:p w14:paraId="31D15F61"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$2,494.94</w:t>
            </w:r>
          </w:p>
        </w:tc>
      </w:tr>
      <w:tr w:rsidR="00081B06" w:rsidRPr="00081B06" w14:paraId="68EB9E37"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1618E07E" w14:textId="77777777" w:rsidR="006C740A" w:rsidRPr="006D57D5" w:rsidRDefault="006C740A" w:rsidP="004564B5">
            <w:pPr>
              <w:pStyle w:val="TableParagraphbold"/>
            </w:pPr>
            <w:r w:rsidRPr="006D57D5">
              <w:t>COVID-19 income</w:t>
            </w:r>
          </w:p>
        </w:tc>
        <w:tc>
          <w:tcPr>
            <w:tcW w:w="1217" w:type="dxa"/>
            <w:shd w:val="clear" w:color="auto" w:fill="D8DBDB" w:themeFill="background2" w:themeFillShade="E6"/>
            <w:noWrap/>
            <w:hideMark/>
          </w:tcPr>
          <w:p w14:paraId="5368FFE3"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9" w:type="dxa"/>
            <w:shd w:val="clear" w:color="auto" w:fill="D8DBDB" w:themeFill="background2" w:themeFillShade="E6"/>
            <w:noWrap/>
            <w:hideMark/>
          </w:tcPr>
          <w:p w14:paraId="7E2D978E"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128" w:type="dxa"/>
            <w:shd w:val="clear" w:color="auto" w:fill="D8DBDB" w:themeFill="background2" w:themeFillShade="E6"/>
            <w:noWrap/>
            <w:hideMark/>
          </w:tcPr>
          <w:p w14:paraId="361C1899"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5" w:type="dxa"/>
            <w:shd w:val="clear" w:color="auto" w:fill="D8DBDB" w:themeFill="background2" w:themeFillShade="E6"/>
            <w:noWrap/>
            <w:hideMark/>
          </w:tcPr>
          <w:p w14:paraId="6EE882B7"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r>
      <w:tr w:rsidR="006C740A" w:rsidRPr="00081B06" w14:paraId="2BD333B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2218803" w14:textId="77777777" w:rsidR="006C740A" w:rsidRPr="006D57D5" w:rsidRDefault="006C740A" w:rsidP="006D21E0">
            <w:pPr>
              <w:pStyle w:val="TableofAuthorities"/>
            </w:pPr>
            <w:r w:rsidRPr="006D57D5">
              <w:t>COVID-19 Income</w:t>
            </w:r>
          </w:p>
        </w:tc>
        <w:tc>
          <w:tcPr>
            <w:tcW w:w="1217" w:type="dxa"/>
            <w:noWrap/>
            <w:hideMark/>
          </w:tcPr>
          <w:p w14:paraId="4B6BA15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$131.73</w:t>
            </w:r>
          </w:p>
        </w:tc>
        <w:tc>
          <w:tcPr>
            <w:tcW w:w="1239" w:type="dxa"/>
            <w:noWrap/>
            <w:hideMark/>
          </w:tcPr>
          <w:p w14:paraId="7B1AA1E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$155.91</w:t>
            </w:r>
          </w:p>
        </w:tc>
        <w:tc>
          <w:tcPr>
            <w:tcW w:w="1128" w:type="dxa"/>
            <w:noWrap/>
            <w:hideMark/>
          </w:tcPr>
          <w:p w14:paraId="47C15C47"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$18.42</w:t>
            </w:r>
          </w:p>
        </w:tc>
        <w:tc>
          <w:tcPr>
            <w:tcW w:w="1235" w:type="dxa"/>
            <w:noWrap/>
            <w:hideMark/>
          </w:tcPr>
          <w:p w14:paraId="5FFDEF53"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$306.06</w:t>
            </w:r>
          </w:p>
        </w:tc>
      </w:tr>
      <w:tr w:rsidR="006C740A" w:rsidRPr="00081B06" w14:paraId="2084ABD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07306C2" w14:textId="77777777" w:rsidR="006C740A" w:rsidRPr="006D57D5" w:rsidRDefault="006C740A" w:rsidP="006D21E0">
            <w:pPr>
              <w:pStyle w:val="TableofAuthorities"/>
            </w:pPr>
            <w:r w:rsidRPr="006D57D5">
              <w:t>Total COVID-19 income</w:t>
            </w:r>
          </w:p>
        </w:tc>
        <w:tc>
          <w:tcPr>
            <w:tcW w:w="1217" w:type="dxa"/>
            <w:noWrap/>
            <w:hideMark/>
          </w:tcPr>
          <w:p w14:paraId="37D72B2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$131.73</w:t>
            </w:r>
          </w:p>
        </w:tc>
        <w:tc>
          <w:tcPr>
            <w:tcW w:w="1239" w:type="dxa"/>
            <w:noWrap/>
            <w:hideMark/>
          </w:tcPr>
          <w:p w14:paraId="54A02A0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$155.91</w:t>
            </w:r>
          </w:p>
        </w:tc>
        <w:tc>
          <w:tcPr>
            <w:tcW w:w="1128" w:type="dxa"/>
            <w:noWrap/>
            <w:hideMark/>
          </w:tcPr>
          <w:p w14:paraId="1F7814D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$18.42</w:t>
            </w:r>
          </w:p>
        </w:tc>
        <w:tc>
          <w:tcPr>
            <w:tcW w:w="1235" w:type="dxa"/>
            <w:noWrap/>
            <w:hideMark/>
          </w:tcPr>
          <w:p w14:paraId="5CC584C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$306.06</w:t>
            </w:r>
          </w:p>
        </w:tc>
      </w:tr>
      <w:tr w:rsidR="0038705C" w:rsidRPr="00081B06" w14:paraId="6D113370" w14:textId="77777777" w:rsidTr="0038705C">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1CC19BF2" w14:textId="77777777" w:rsidR="006C740A" w:rsidRPr="006D57D5" w:rsidRDefault="006C740A" w:rsidP="0038705C">
            <w:pPr>
              <w:pStyle w:val="TableParagraphbold"/>
            </w:pPr>
            <w:r w:rsidRPr="006D57D5">
              <w:t>Total recurrent income</w:t>
            </w:r>
          </w:p>
        </w:tc>
        <w:tc>
          <w:tcPr>
            <w:tcW w:w="1217" w:type="dxa"/>
            <w:shd w:val="clear" w:color="auto" w:fill="D8DBDB" w:themeFill="background2" w:themeFillShade="E6"/>
            <w:noWrap/>
            <w:hideMark/>
          </w:tcPr>
          <w:p w14:paraId="4A884CE9" w14:textId="77777777" w:rsidR="006C740A" w:rsidRPr="006D57D5"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pPr>
            <w:r w:rsidRPr="006D57D5">
              <w:t>$8,704.94</w:t>
            </w:r>
          </w:p>
        </w:tc>
        <w:tc>
          <w:tcPr>
            <w:tcW w:w="1239" w:type="dxa"/>
            <w:shd w:val="clear" w:color="auto" w:fill="D8DBDB" w:themeFill="background2" w:themeFillShade="E6"/>
            <w:noWrap/>
            <w:hideMark/>
          </w:tcPr>
          <w:p w14:paraId="69FB50BF" w14:textId="77777777" w:rsidR="006C740A" w:rsidRPr="006D57D5"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pPr>
            <w:r w:rsidRPr="006D57D5">
              <w:t>$11,439.84</w:t>
            </w:r>
          </w:p>
        </w:tc>
        <w:tc>
          <w:tcPr>
            <w:tcW w:w="1128" w:type="dxa"/>
            <w:shd w:val="clear" w:color="auto" w:fill="D8DBDB" w:themeFill="background2" w:themeFillShade="E6"/>
            <w:noWrap/>
            <w:hideMark/>
          </w:tcPr>
          <w:p w14:paraId="6955A1E0" w14:textId="77777777" w:rsidR="006C740A" w:rsidRPr="006D57D5"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pPr>
            <w:r w:rsidRPr="006D57D5">
              <w:t>$933.87</w:t>
            </w:r>
          </w:p>
        </w:tc>
        <w:tc>
          <w:tcPr>
            <w:tcW w:w="1235" w:type="dxa"/>
            <w:shd w:val="clear" w:color="auto" w:fill="D8DBDB" w:themeFill="background2" w:themeFillShade="E6"/>
            <w:noWrap/>
            <w:hideMark/>
          </w:tcPr>
          <w:p w14:paraId="152FFD32" w14:textId="77777777" w:rsidR="006C740A" w:rsidRPr="006D57D5"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pPr>
            <w:r w:rsidRPr="006D57D5">
              <w:t>$21,078.65</w:t>
            </w:r>
          </w:p>
        </w:tc>
      </w:tr>
      <w:tr w:rsidR="00081B06" w:rsidRPr="00081B06" w14:paraId="69CD2CC1" w14:textId="77777777" w:rsidTr="0038705C">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47EF4C71" w14:textId="77777777" w:rsidR="006C740A" w:rsidRPr="006D57D5" w:rsidRDefault="006C740A" w:rsidP="004564B5">
            <w:pPr>
              <w:pStyle w:val="TableParagraphbold"/>
            </w:pPr>
            <w:r w:rsidRPr="006D57D5">
              <w:t>Non-Recurrent Income</w:t>
            </w:r>
          </w:p>
        </w:tc>
        <w:tc>
          <w:tcPr>
            <w:tcW w:w="1217" w:type="dxa"/>
            <w:shd w:val="clear" w:color="auto" w:fill="D8DBDB" w:themeFill="background2" w:themeFillShade="E6"/>
            <w:noWrap/>
            <w:hideMark/>
          </w:tcPr>
          <w:p w14:paraId="42547586"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9" w:type="dxa"/>
            <w:shd w:val="clear" w:color="auto" w:fill="D8DBDB" w:themeFill="background2" w:themeFillShade="E6"/>
            <w:noWrap/>
            <w:hideMark/>
          </w:tcPr>
          <w:p w14:paraId="3D2D73CA"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128" w:type="dxa"/>
            <w:shd w:val="clear" w:color="auto" w:fill="D8DBDB" w:themeFill="background2" w:themeFillShade="E6"/>
            <w:noWrap/>
            <w:hideMark/>
          </w:tcPr>
          <w:p w14:paraId="13BFEB9F"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5" w:type="dxa"/>
            <w:shd w:val="clear" w:color="auto" w:fill="D8DBDB" w:themeFill="background2" w:themeFillShade="E6"/>
            <w:noWrap/>
            <w:hideMark/>
          </w:tcPr>
          <w:p w14:paraId="44BEE111"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r>
      <w:tr w:rsidR="006C740A" w:rsidRPr="00081B06" w14:paraId="123897E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F3AD14F" w14:textId="77777777" w:rsidR="006C740A" w:rsidRPr="00081B06" w:rsidRDefault="006C740A" w:rsidP="00081B06">
            <w:pPr>
              <w:pStyle w:val="TableofAuthorities"/>
            </w:pPr>
            <w:r w:rsidRPr="00081B06">
              <w:t xml:space="preserve">Donations, </w:t>
            </w:r>
            <w:proofErr w:type="gramStart"/>
            <w:r w:rsidRPr="00081B06">
              <w:t>bequests</w:t>
            </w:r>
            <w:proofErr w:type="gramEnd"/>
            <w:r w:rsidRPr="00081B06">
              <w:t xml:space="preserve"> and fundraising</w:t>
            </w:r>
          </w:p>
        </w:tc>
        <w:tc>
          <w:tcPr>
            <w:tcW w:w="1217" w:type="dxa"/>
            <w:noWrap/>
            <w:hideMark/>
          </w:tcPr>
          <w:p w14:paraId="0E7CC4CE"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$0.53</w:t>
            </w:r>
          </w:p>
        </w:tc>
        <w:tc>
          <w:tcPr>
            <w:tcW w:w="1239" w:type="dxa"/>
            <w:noWrap/>
            <w:hideMark/>
          </w:tcPr>
          <w:p w14:paraId="6396C51C"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$32.00</w:t>
            </w:r>
          </w:p>
        </w:tc>
        <w:tc>
          <w:tcPr>
            <w:tcW w:w="1128" w:type="dxa"/>
            <w:noWrap/>
            <w:hideMark/>
          </w:tcPr>
          <w:p w14:paraId="2A14BECE"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$6.83</w:t>
            </w:r>
          </w:p>
        </w:tc>
        <w:tc>
          <w:tcPr>
            <w:tcW w:w="1235" w:type="dxa"/>
            <w:noWrap/>
            <w:hideMark/>
          </w:tcPr>
          <w:p w14:paraId="78E8B36F"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$39.36</w:t>
            </w:r>
          </w:p>
        </w:tc>
      </w:tr>
      <w:tr w:rsidR="006C740A" w:rsidRPr="00081B06" w14:paraId="282FE22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028F01C" w14:textId="77777777" w:rsidR="006C740A" w:rsidRPr="00081B06" w:rsidRDefault="006C740A" w:rsidP="00081B06">
            <w:pPr>
              <w:pStyle w:val="TableofAuthorities"/>
            </w:pPr>
            <w:r w:rsidRPr="00081B06">
              <w:t>Fair value gains on financial assets</w:t>
            </w:r>
          </w:p>
        </w:tc>
        <w:tc>
          <w:tcPr>
            <w:tcW w:w="1217" w:type="dxa"/>
            <w:noWrap/>
            <w:hideMark/>
          </w:tcPr>
          <w:p w14:paraId="5D901E90"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$0.94</w:t>
            </w:r>
          </w:p>
        </w:tc>
        <w:tc>
          <w:tcPr>
            <w:tcW w:w="1239" w:type="dxa"/>
            <w:noWrap/>
            <w:hideMark/>
          </w:tcPr>
          <w:p w14:paraId="7CF16395"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$3.60</w:t>
            </w:r>
          </w:p>
        </w:tc>
        <w:tc>
          <w:tcPr>
            <w:tcW w:w="1128" w:type="dxa"/>
            <w:noWrap/>
            <w:hideMark/>
          </w:tcPr>
          <w:p w14:paraId="53865333"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$0.00</w:t>
            </w:r>
          </w:p>
        </w:tc>
        <w:tc>
          <w:tcPr>
            <w:tcW w:w="1235" w:type="dxa"/>
            <w:noWrap/>
            <w:hideMark/>
          </w:tcPr>
          <w:p w14:paraId="63329FF8"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$4.54</w:t>
            </w:r>
          </w:p>
        </w:tc>
      </w:tr>
      <w:tr w:rsidR="006C740A" w:rsidRPr="00081B06" w14:paraId="3EB71DA7"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003018D" w14:textId="77777777" w:rsidR="006C740A" w:rsidRPr="00081B06" w:rsidRDefault="006C740A" w:rsidP="00081B06">
            <w:pPr>
              <w:pStyle w:val="TableofAuthorities"/>
            </w:pPr>
            <w:r w:rsidRPr="00081B06">
              <w:t>Fair value gain / asset revaluation increase - other assets</w:t>
            </w:r>
          </w:p>
        </w:tc>
        <w:tc>
          <w:tcPr>
            <w:tcW w:w="1217" w:type="dxa"/>
            <w:noWrap/>
            <w:hideMark/>
          </w:tcPr>
          <w:p w14:paraId="1E5F57D7"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$41.48</w:t>
            </w:r>
          </w:p>
        </w:tc>
        <w:tc>
          <w:tcPr>
            <w:tcW w:w="1239" w:type="dxa"/>
            <w:noWrap/>
            <w:hideMark/>
          </w:tcPr>
          <w:p w14:paraId="4AB98FDF"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$28.57</w:t>
            </w:r>
          </w:p>
        </w:tc>
        <w:tc>
          <w:tcPr>
            <w:tcW w:w="1128" w:type="dxa"/>
            <w:noWrap/>
            <w:hideMark/>
          </w:tcPr>
          <w:p w14:paraId="4BD143C4"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$11.33</w:t>
            </w:r>
          </w:p>
        </w:tc>
        <w:tc>
          <w:tcPr>
            <w:tcW w:w="1235" w:type="dxa"/>
            <w:noWrap/>
            <w:hideMark/>
          </w:tcPr>
          <w:p w14:paraId="3621834E"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$81.37</w:t>
            </w:r>
          </w:p>
        </w:tc>
      </w:tr>
      <w:tr w:rsidR="006C740A" w:rsidRPr="00081B06" w14:paraId="163B8E6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1F9731A" w14:textId="77777777" w:rsidR="006C740A" w:rsidRPr="00081B06" w:rsidRDefault="006C740A" w:rsidP="00081B06">
            <w:pPr>
              <w:pStyle w:val="TableofAuthorities"/>
            </w:pPr>
            <w:r w:rsidRPr="00081B06">
              <w:t>Capital grants (Australian Government and LST)</w:t>
            </w:r>
          </w:p>
        </w:tc>
        <w:tc>
          <w:tcPr>
            <w:tcW w:w="1217" w:type="dxa"/>
            <w:noWrap/>
            <w:hideMark/>
          </w:tcPr>
          <w:p w14:paraId="29C16159"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$20.76</w:t>
            </w:r>
          </w:p>
        </w:tc>
        <w:tc>
          <w:tcPr>
            <w:tcW w:w="1239" w:type="dxa"/>
            <w:noWrap/>
            <w:hideMark/>
          </w:tcPr>
          <w:p w14:paraId="7AC04FF2"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$53.70</w:t>
            </w:r>
          </w:p>
        </w:tc>
        <w:tc>
          <w:tcPr>
            <w:tcW w:w="1128" w:type="dxa"/>
            <w:noWrap/>
            <w:hideMark/>
          </w:tcPr>
          <w:p w14:paraId="3EC7F518"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$57.24</w:t>
            </w:r>
          </w:p>
        </w:tc>
        <w:tc>
          <w:tcPr>
            <w:tcW w:w="1235" w:type="dxa"/>
            <w:noWrap/>
            <w:hideMark/>
          </w:tcPr>
          <w:p w14:paraId="18126F11"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$131.70</w:t>
            </w:r>
          </w:p>
        </w:tc>
      </w:tr>
      <w:tr w:rsidR="006C740A" w:rsidRPr="00081B06" w14:paraId="1BF041C1"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5D209B7" w14:textId="77777777" w:rsidR="006C740A" w:rsidRPr="00081B06" w:rsidRDefault="006C740A" w:rsidP="00081B06">
            <w:pPr>
              <w:pStyle w:val="TableofAuthorities"/>
            </w:pPr>
            <w:r w:rsidRPr="00081B06">
              <w:t>Reversal of prior period impairment</w:t>
            </w:r>
          </w:p>
        </w:tc>
        <w:tc>
          <w:tcPr>
            <w:tcW w:w="1217" w:type="dxa"/>
            <w:noWrap/>
            <w:hideMark/>
          </w:tcPr>
          <w:p w14:paraId="65CB693A"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$5.19</w:t>
            </w:r>
          </w:p>
        </w:tc>
        <w:tc>
          <w:tcPr>
            <w:tcW w:w="1239" w:type="dxa"/>
            <w:noWrap/>
            <w:hideMark/>
          </w:tcPr>
          <w:p w14:paraId="4790B54E"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$0.00</w:t>
            </w:r>
          </w:p>
        </w:tc>
        <w:tc>
          <w:tcPr>
            <w:tcW w:w="1128" w:type="dxa"/>
            <w:noWrap/>
            <w:hideMark/>
          </w:tcPr>
          <w:p w14:paraId="15884602"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$0.00</w:t>
            </w:r>
          </w:p>
        </w:tc>
        <w:tc>
          <w:tcPr>
            <w:tcW w:w="1235" w:type="dxa"/>
            <w:noWrap/>
            <w:hideMark/>
          </w:tcPr>
          <w:p w14:paraId="27F277F2"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$5.19</w:t>
            </w:r>
          </w:p>
        </w:tc>
      </w:tr>
      <w:tr w:rsidR="006C740A" w:rsidRPr="00081B06" w14:paraId="71AA1DF8"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B173D7C" w14:textId="77777777" w:rsidR="006C740A" w:rsidRPr="00081B06" w:rsidRDefault="006C740A" w:rsidP="00081B06">
            <w:pPr>
              <w:pStyle w:val="TableofAuthorities"/>
            </w:pPr>
            <w:r w:rsidRPr="00081B06">
              <w:t>Realised gains on disposal of assets</w:t>
            </w:r>
          </w:p>
        </w:tc>
        <w:tc>
          <w:tcPr>
            <w:tcW w:w="1217" w:type="dxa"/>
            <w:noWrap/>
            <w:hideMark/>
          </w:tcPr>
          <w:p w14:paraId="759EBCF9"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$6.78</w:t>
            </w:r>
          </w:p>
        </w:tc>
        <w:tc>
          <w:tcPr>
            <w:tcW w:w="1239" w:type="dxa"/>
            <w:noWrap/>
            <w:hideMark/>
          </w:tcPr>
          <w:p w14:paraId="65C49145"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$15.33</w:t>
            </w:r>
          </w:p>
        </w:tc>
        <w:tc>
          <w:tcPr>
            <w:tcW w:w="1128" w:type="dxa"/>
            <w:noWrap/>
            <w:hideMark/>
          </w:tcPr>
          <w:p w14:paraId="4105E4CD"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$0.08</w:t>
            </w:r>
          </w:p>
        </w:tc>
        <w:tc>
          <w:tcPr>
            <w:tcW w:w="1235" w:type="dxa"/>
            <w:noWrap/>
            <w:hideMark/>
          </w:tcPr>
          <w:p w14:paraId="1A27530F" w14:textId="77777777" w:rsidR="006C740A" w:rsidRPr="00081B06" w:rsidRDefault="006C740A" w:rsidP="00081B06">
            <w:pPr>
              <w:pStyle w:val="TableofAuthorities"/>
              <w:cnfStyle w:val="000000000000" w:firstRow="0" w:lastRow="0" w:firstColumn="0" w:lastColumn="0" w:oddVBand="0" w:evenVBand="0" w:oddHBand="0" w:evenHBand="0" w:firstRowFirstColumn="0" w:firstRowLastColumn="0" w:lastRowFirstColumn="0" w:lastRowLastColumn="0"/>
            </w:pPr>
            <w:r w:rsidRPr="00081B06">
              <w:t>$22.20</w:t>
            </w:r>
          </w:p>
        </w:tc>
      </w:tr>
      <w:tr w:rsidR="006C740A" w:rsidRPr="00081B06" w14:paraId="4501A8B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64CA3CA" w14:textId="77777777" w:rsidR="006C740A" w:rsidRPr="006D57D5" w:rsidRDefault="006C740A" w:rsidP="006D21E0">
            <w:pPr>
              <w:pStyle w:val="TableofAuthorities"/>
            </w:pPr>
            <w:r w:rsidRPr="006D57D5">
              <w:lastRenderedPageBreak/>
              <w:t>Effect of adoption of AASB 16 leases - RADs only</w:t>
            </w:r>
          </w:p>
        </w:tc>
        <w:tc>
          <w:tcPr>
            <w:tcW w:w="1217" w:type="dxa"/>
            <w:noWrap/>
            <w:hideMark/>
          </w:tcPr>
          <w:p w14:paraId="6534370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$389.50</w:t>
            </w:r>
          </w:p>
        </w:tc>
        <w:tc>
          <w:tcPr>
            <w:tcW w:w="1239" w:type="dxa"/>
            <w:noWrap/>
            <w:hideMark/>
          </w:tcPr>
          <w:p w14:paraId="1F30D02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$166.90</w:t>
            </w:r>
          </w:p>
        </w:tc>
        <w:tc>
          <w:tcPr>
            <w:tcW w:w="1128" w:type="dxa"/>
            <w:noWrap/>
            <w:hideMark/>
          </w:tcPr>
          <w:p w14:paraId="2EAF421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$2.19</w:t>
            </w:r>
          </w:p>
        </w:tc>
        <w:tc>
          <w:tcPr>
            <w:tcW w:w="1235" w:type="dxa"/>
            <w:noWrap/>
            <w:hideMark/>
          </w:tcPr>
          <w:p w14:paraId="14881E5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$558.59</w:t>
            </w:r>
          </w:p>
        </w:tc>
      </w:tr>
      <w:tr w:rsidR="006C740A" w:rsidRPr="00081B06" w14:paraId="4DA670D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BB2EAB1" w14:textId="77777777" w:rsidR="006C740A" w:rsidRPr="006D57D5" w:rsidRDefault="006C740A" w:rsidP="006D21E0">
            <w:pPr>
              <w:pStyle w:val="TableofAuthorities"/>
            </w:pPr>
            <w:r w:rsidRPr="006D57D5">
              <w:t>Other non-recurrent income</w:t>
            </w:r>
          </w:p>
        </w:tc>
        <w:tc>
          <w:tcPr>
            <w:tcW w:w="1217" w:type="dxa"/>
            <w:noWrap/>
            <w:hideMark/>
          </w:tcPr>
          <w:p w14:paraId="49E2838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$84.62</w:t>
            </w:r>
          </w:p>
        </w:tc>
        <w:tc>
          <w:tcPr>
            <w:tcW w:w="1239" w:type="dxa"/>
            <w:noWrap/>
            <w:hideMark/>
          </w:tcPr>
          <w:p w14:paraId="11DDD726"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$54.09</w:t>
            </w:r>
          </w:p>
        </w:tc>
        <w:tc>
          <w:tcPr>
            <w:tcW w:w="1128" w:type="dxa"/>
            <w:noWrap/>
            <w:hideMark/>
          </w:tcPr>
          <w:p w14:paraId="06938A4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$14.22</w:t>
            </w:r>
          </w:p>
        </w:tc>
        <w:tc>
          <w:tcPr>
            <w:tcW w:w="1235" w:type="dxa"/>
            <w:noWrap/>
            <w:hideMark/>
          </w:tcPr>
          <w:p w14:paraId="652B6AA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$152.94</w:t>
            </w:r>
          </w:p>
        </w:tc>
      </w:tr>
      <w:tr w:rsidR="0038705C" w:rsidRPr="00081B06" w14:paraId="7E5694D0" w14:textId="77777777" w:rsidTr="0038705C">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0544A7FA" w14:textId="77777777" w:rsidR="006C740A" w:rsidRPr="006D57D5" w:rsidRDefault="006C740A" w:rsidP="0038705C">
            <w:pPr>
              <w:pStyle w:val="TableParagraphbold"/>
            </w:pPr>
            <w:r w:rsidRPr="006D57D5">
              <w:t>Total non-recurrent income</w:t>
            </w:r>
          </w:p>
        </w:tc>
        <w:tc>
          <w:tcPr>
            <w:tcW w:w="1217" w:type="dxa"/>
            <w:shd w:val="clear" w:color="auto" w:fill="D8DBDB" w:themeFill="background2" w:themeFillShade="E6"/>
            <w:noWrap/>
            <w:hideMark/>
          </w:tcPr>
          <w:p w14:paraId="35ECE58E" w14:textId="77777777" w:rsidR="006C740A" w:rsidRPr="006D57D5"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pPr>
            <w:r w:rsidRPr="006D57D5">
              <w:t>$549.80</w:t>
            </w:r>
          </w:p>
        </w:tc>
        <w:tc>
          <w:tcPr>
            <w:tcW w:w="1239" w:type="dxa"/>
            <w:shd w:val="clear" w:color="auto" w:fill="D8DBDB" w:themeFill="background2" w:themeFillShade="E6"/>
            <w:noWrap/>
            <w:hideMark/>
          </w:tcPr>
          <w:p w14:paraId="5C2F5A37" w14:textId="77777777" w:rsidR="006C740A" w:rsidRPr="006D57D5"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pPr>
            <w:r w:rsidRPr="006D57D5">
              <w:t>$354.18</w:t>
            </w:r>
          </w:p>
        </w:tc>
        <w:tc>
          <w:tcPr>
            <w:tcW w:w="1128" w:type="dxa"/>
            <w:shd w:val="clear" w:color="auto" w:fill="D8DBDB" w:themeFill="background2" w:themeFillShade="E6"/>
            <w:noWrap/>
            <w:hideMark/>
          </w:tcPr>
          <w:p w14:paraId="1FA4E3D2" w14:textId="77777777" w:rsidR="006C740A" w:rsidRPr="006D57D5"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pPr>
            <w:r w:rsidRPr="006D57D5">
              <w:t>$91.90</w:t>
            </w:r>
          </w:p>
        </w:tc>
        <w:tc>
          <w:tcPr>
            <w:tcW w:w="1235" w:type="dxa"/>
            <w:shd w:val="clear" w:color="auto" w:fill="D8DBDB" w:themeFill="background2" w:themeFillShade="E6"/>
            <w:noWrap/>
            <w:hideMark/>
          </w:tcPr>
          <w:p w14:paraId="13C4C216" w14:textId="77777777" w:rsidR="006C740A" w:rsidRPr="006D57D5"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pPr>
            <w:r w:rsidRPr="006D57D5">
              <w:t>$995.89</w:t>
            </w:r>
          </w:p>
        </w:tc>
      </w:tr>
      <w:tr w:rsidR="00081B06" w:rsidRPr="00081B06" w14:paraId="038534B7" w14:textId="77777777" w:rsidTr="0038705C">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5A97F30F" w14:textId="77777777" w:rsidR="006C740A" w:rsidRPr="004564B5" w:rsidRDefault="006C740A" w:rsidP="004564B5">
            <w:pPr>
              <w:pStyle w:val="TableParagraphbold"/>
              <w:rPr>
                <w:rStyle w:val="Strong"/>
                <w:b/>
                <w:bCs w:val="0"/>
              </w:rPr>
            </w:pPr>
            <w:r w:rsidRPr="004564B5">
              <w:rPr>
                <w:rStyle w:val="Strong"/>
                <w:b/>
                <w:bCs w:val="0"/>
              </w:rPr>
              <w:t>Total income</w:t>
            </w:r>
          </w:p>
        </w:tc>
        <w:tc>
          <w:tcPr>
            <w:tcW w:w="1217" w:type="dxa"/>
            <w:shd w:val="clear" w:color="auto" w:fill="D8DBDB" w:themeFill="background2" w:themeFillShade="E6"/>
            <w:noWrap/>
            <w:hideMark/>
          </w:tcPr>
          <w:p w14:paraId="12547E43"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4564B5">
              <w:rPr>
                <w:rStyle w:val="Strong"/>
                <w:b/>
                <w:bCs w:val="0"/>
              </w:rPr>
              <w:t>$9,254.75</w:t>
            </w:r>
          </w:p>
        </w:tc>
        <w:tc>
          <w:tcPr>
            <w:tcW w:w="1239" w:type="dxa"/>
            <w:shd w:val="clear" w:color="auto" w:fill="D8DBDB" w:themeFill="background2" w:themeFillShade="E6"/>
            <w:noWrap/>
            <w:hideMark/>
          </w:tcPr>
          <w:p w14:paraId="4E7C94D3"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4564B5">
              <w:rPr>
                <w:rStyle w:val="Strong"/>
                <w:b/>
                <w:bCs w:val="0"/>
              </w:rPr>
              <w:t>$11,794.03</w:t>
            </w:r>
          </w:p>
        </w:tc>
        <w:tc>
          <w:tcPr>
            <w:tcW w:w="1128" w:type="dxa"/>
            <w:shd w:val="clear" w:color="auto" w:fill="D8DBDB" w:themeFill="background2" w:themeFillShade="E6"/>
            <w:noWrap/>
            <w:hideMark/>
          </w:tcPr>
          <w:p w14:paraId="1C663D3E"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4564B5">
              <w:rPr>
                <w:rStyle w:val="Strong"/>
                <w:b/>
                <w:bCs w:val="0"/>
              </w:rPr>
              <w:t>$1,025.77</w:t>
            </w:r>
          </w:p>
        </w:tc>
        <w:tc>
          <w:tcPr>
            <w:tcW w:w="1235" w:type="dxa"/>
            <w:shd w:val="clear" w:color="auto" w:fill="D8DBDB" w:themeFill="background2" w:themeFillShade="E6"/>
            <w:noWrap/>
            <w:hideMark/>
          </w:tcPr>
          <w:p w14:paraId="19483E28"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4564B5">
              <w:rPr>
                <w:rStyle w:val="Strong"/>
                <w:b/>
                <w:bCs w:val="0"/>
              </w:rPr>
              <w:t>$22,074.54</w:t>
            </w:r>
          </w:p>
        </w:tc>
      </w:tr>
      <w:tr w:rsidR="00081B06" w:rsidRPr="00081B06" w14:paraId="4AD019A5" w14:textId="77777777" w:rsidTr="0038705C">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2843FC17" w14:textId="77777777" w:rsidR="006C740A" w:rsidRPr="004564B5" w:rsidRDefault="006C740A" w:rsidP="004564B5">
            <w:pPr>
              <w:pStyle w:val="TableParagraphbold"/>
              <w:rPr>
                <w:rStyle w:val="Strong"/>
                <w:b/>
                <w:bCs w:val="0"/>
              </w:rPr>
            </w:pPr>
            <w:r w:rsidRPr="004564B5">
              <w:rPr>
                <w:rStyle w:val="Strong"/>
                <w:b/>
                <w:bCs w:val="0"/>
              </w:rPr>
              <w:t>Expense</w:t>
            </w:r>
          </w:p>
        </w:tc>
        <w:tc>
          <w:tcPr>
            <w:tcW w:w="1217" w:type="dxa"/>
            <w:shd w:val="clear" w:color="auto" w:fill="D8DBDB" w:themeFill="background2" w:themeFillShade="E6"/>
            <w:noWrap/>
            <w:hideMark/>
          </w:tcPr>
          <w:p w14:paraId="532ACD41"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shd w:val="clear" w:color="auto" w:fill="D8DBDB" w:themeFill="background2" w:themeFillShade="E6"/>
            <w:noWrap/>
            <w:hideMark/>
          </w:tcPr>
          <w:p w14:paraId="2C111AB8"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shd w:val="clear" w:color="auto" w:fill="D8DBDB" w:themeFill="background2" w:themeFillShade="E6"/>
            <w:noWrap/>
            <w:hideMark/>
          </w:tcPr>
          <w:p w14:paraId="273AD219"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shd w:val="clear" w:color="auto" w:fill="D8DBDB" w:themeFill="background2" w:themeFillShade="E6"/>
            <w:noWrap/>
            <w:hideMark/>
          </w:tcPr>
          <w:p w14:paraId="169AC6FA"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081B06" w:rsidRPr="00081B06" w14:paraId="64D4AA72" w14:textId="77777777" w:rsidTr="00081B06">
        <w:trPr>
          <w:trHeight w:val="300"/>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C74AAF4" w14:textId="77777777" w:rsidR="006C740A" w:rsidRPr="004564B5" w:rsidRDefault="006C740A" w:rsidP="004564B5">
            <w:pPr>
              <w:pStyle w:val="TableParagraphbold"/>
              <w:rPr>
                <w:rStyle w:val="Strong"/>
                <w:b/>
                <w:bCs w:val="0"/>
              </w:rPr>
            </w:pPr>
            <w:r w:rsidRPr="004564B5">
              <w:rPr>
                <w:rStyle w:val="Strong"/>
                <w:b/>
                <w:bCs w:val="0"/>
              </w:rPr>
              <w:t>Care expenses</w:t>
            </w:r>
          </w:p>
        </w:tc>
        <w:tc>
          <w:tcPr>
            <w:tcW w:w="1217" w:type="dxa"/>
            <w:noWrap/>
            <w:hideMark/>
          </w:tcPr>
          <w:p w14:paraId="12CF2E95"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noWrap/>
            <w:hideMark/>
          </w:tcPr>
          <w:p w14:paraId="313AB8BC"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noWrap/>
            <w:hideMark/>
          </w:tcPr>
          <w:p w14:paraId="34CDDD63"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noWrap/>
            <w:hideMark/>
          </w:tcPr>
          <w:p w14:paraId="58B2F7AE"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081B06" w:rsidRPr="00081B06" w14:paraId="5A7DE654"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D9BC841" w14:textId="77777777" w:rsidR="006C740A" w:rsidRPr="004564B5" w:rsidRDefault="006C740A" w:rsidP="004564B5">
            <w:pPr>
              <w:pStyle w:val="TableParagraphbold"/>
              <w:rPr>
                <w:rStyle w:val="Strong"/>
                <w:b/>
                <w:bCs w:val="0"/>
              </w:rPr>
            </w:pPr>
            <w:r w:rsidRPr="004564B5">
              <w:rPr>
                <w:rStyle w:val="Strong"/>
                <w:b/>
                <w:bCs w:val="0"/>
              </w:rPr>
              <w:t xml:space="preserve">Employee </w:t>
            </w:r>
            <w:proofErr w:type="spellStart"/>
            <w:r w:rsidRPr="004564B5">
              <w:rPr>
                <w:rStyle w:val="Strong"/>
                <w:b/>
                <w:bCs w:val="0"/>
              </w:rPr>
              <w:t>labour</w:t>
            </w:r>
            <w:proofErr w:type="spellEnd"/>
            <w:r w:rsidRPr="004564B5">
              <w:rPr>
                <w:rStyle w:val="Strong"/>
                <w:b/>
                <w:bCs w:val="0"/>
              </w:rPr>
              <w:t xml:space="preserve"> costs</w:t>
            </w:r>
          </w:p>
        </w:tc>
        <w:tc>
          <w:tcPr>
            <w:tcW w:w="1217" w:type="dxa"/>
            <w:noWrap/>
            <w:hideMark/>
          </w:tcPr>
          <w:p w14:paraId="6C5E5494"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noWrap/>
            <w:hideMark/>
          </w:tcPr>
          <w:p w14:paraId="79DFB257"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noWrap/>
            <w:hideMark/>
          </w:tcPr>
          <w:p w14:paraId="15C9A81F"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noWrap/>
            <w:hideMark/>
          </w:tcPr>
          <w:p w14:paraId="7443721E"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C740A" w:rsidRPr="00081B06" w14:paraId="68D2ABE1"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AFA010E" w14:textId="77777777" w:rsidR="006C740A" w:rsidRPr="006D57D5" w:rsidRDefault="006C740A" w:rsidP="006D21E0">
            <w:pPr>
              <w:pStyle w:val="TableofAuthorities"/>
            </w:pPr>
            <w:r w:rsidRPr="006D57D5">
              <w:t>Registered nurses</w:t>
            </w:r>
          </w:p>
        </w:tc>
        <w:tc>
          <w:tcPr>
            <w:tcW w:w="1217" w:type="dxa"/>
            <w:noWrap/>
            <w:hideMark/>
          </w:tcPr>
          <w:p w14:paraId="54073613"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$903.29</w:t>
            </w:r>
          </w:p>
        </w:tc>
        <w:tc>
          <w:tcPr>
            <w:tcW w:w="1239" w:type="dxa"/>
            <w:noWrap/>
            <w:hideMark/>
          </w:tcPr>
          <w:p w14:paraId="33B25563"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$1,160.25</w:t>
            </w:r>
          </w:p>
        </w:tc>
        <w:tc>
          <w:tcPr>
            <w:tcW w:w="1128" w:type="dxa"/>
            <w:noWrap/>
            <w:hideMark/>
          </w:tcPr>
          <w:p w14:paraId="5B8292A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$188.03</w:t>
            </w:r>
          </w:p>
        </w:tc>
        <w:tc>
          <w:tcPr>
            <w:tcW w:w="1235" w:type="dxa"/>
            <w:noWrap/>
            <w:hideMark/>
          </w:tcPr>
          <w:p w14:paraId="3B41DD46"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$2,251.56</w:t>
            </w:r>
          </w:p>
        </w:tc>
      </w:tr>
      <w:tr w:rsidR="006C740A" w:rsidRPr="00081B06" w14:paraId="500616E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518D4B1" w14:textId="77777777" w:rsidR="006C740A" w:rsidRPr="006D57D5" w:rsidRDefault="006C740A" w:rsidP="006D21E0">
            <w:pPr>
              <w:pStyle w:val="TableofAuthorities"/>
            </w:pPr>
            <w:r w:rsidRPr="006D57D5">
              <w:t xml:space="preserve">Enrolled and licensed nurses (registered with the NMBA) </w:t>
            </w:r>
          </w:p>
        </w:tc>
        <w:tc>
          <w:tcPr>
            <w:tcW w:w="1217" w:type="dxa"/>
            <w:noWrap/>
            <w:hideMark/>
          </w:tcPr>
          <w:p w14:paraId="54A4711A"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$236.60</w:t>
            </w:r>
          </w:p>
        </w:tc>
        <w:tc>
          <w:tcPr>
            <w:tcW w:w="1239" w:type="dxa"/>
            <w:noWrap/>
            <w:hideMark/>
          </w:tcPr>
          <w:p w14:paraId="4393D46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$406.37</w:t>
            </w:r>
          </w:p>
        </w:tc>
        <w:tc>
          <w:tcPr>
            <w:tcW w:w="1128" w:type="dxa"/>
            <w:noWrap/>
            <w:hideMark/>
          </w:tcPr>
          <w:p w14:paraId="1947503A"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$209.60</w:t>
            </w:r>
          </w:p>
        </w:tc>
        <w:tc>
          <w:tcPr>
            <w:tcW w:w="1235" w:type="dxa"/>
            <w:noWrap/>
            <w:hideMark/>
          </w:tcPr>
          <w:p w14:paraId="5FDD836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$852.57</w:t>
            </w:r>
          </w:p>
        </w:tc>
      </w:tr>
      <w:tr w:rsidR="006C740A" w:rsidRPr="00081B06" w14:paraId="4E31AFA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4AA5126" w14:textId="77777777" w:rsidR="006C740A" w:rsidRPr="006D57D5" w:rsidRDefault="006C740A" w:rsidP="006D21E0">
            <w:pPr>
              <w:pStyle w:val="TableofAuthorities"/>
            </w:pPr>
            <w:r w:rsidRPr="006D57D5">
              <w:t>Personal care staff / assistants in nursing</w:t>
            </w:r>
          </w:p>
        </w:tc>
        <w:tc>
          <w:tcPr>
            <w:tcW w:w="1217" w:type="dxa"/>
            <w:noWrap/>
            <w:hideMark/>
          </w:tcPr>
          <w:p w14:paraId="64F7EA7B"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$2,414.80</w:t>
            </w:r>
          </w:p>
        </w:tc>
        <w:tc>
          <w:tcPr>
            <w:tcW w:w="1239" w:type="dxa"/>
            <w:noWrap/>
            <w:hideMark/>
          </w:tcPr>
          <w:p w14:paraId="15EB5C0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$3,576.86</w:t>
            </w:r>
          </w:p>
        </w:tc>
        <w:tc>
          <w:tcPr>
            <w:tcW w:w="1128" w:type="dxa"/>
            <w:noWrap/>
            <w:hideMark/>
          </w:tcPr>
          <w:p w14:paraId="01376A18"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$161.16</w:t>
            </w:r>
          </w:p>
        </w:tc>
        <w:tc>
          <w:tcPr>
            <w:tcW w:w="1235" w:type="dxa"/>
            <w:noWrap/>
            <w:hideMark/>
          </w:tcPr>
          <w:p w14:paraId="45EDC880"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$6,152.82</w:t>
            </w:r>
          </w:p>
        </w:tc>
      </w:tr>
      <w:tr w:rsidR="006C740A" w:rsidRPr="00081B06" w14:paraId="108A2C0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32CF7E7" w14:textId="77777777" w:rsidR="006C740A" w:rsidRPr="006D57D5" w:rsidRDefault="006C740A" w:rsidP="006D21E0">
            <w:pPr>
              <w:pStyle w:val="TableofAuthorities"/>
            </w:pPr>
            <w:r w:rsidRPr="006D57D5">
              <w:t>Care management staff</w:t>
            </w:r>
          </w:p>
        </w:tc>
        <w:tc>
          <w:tcPr>
            <w:tcW w:w="1217" w:type="dxa"/>
            <w:noWrap/>
            <w:hideMark/>
          </w:tcPr>
          <w:p w14:paraId="4F2F4F6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$161.08</w:t>
            </w:r>
          </w:p>
        </w:tc>
        <w:tc>
          <w:tcPr>
            <w:tcW w:w="1239" w:type="dxa"/>
            <w:noWrap/>
            <w:hideMark/>
          </w:tcPr>
          <w:p w14:paraId="65051CB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$337.59</w:t>
            </w:r>
          </w:p>
        </w:tc>
        <w:tc>
          <w:tcPr>
            <w:tcW w:w="1128" w:type="dxa"/>
            <w:noWrap/>
            <w:hideMark/>
          </w:tcPr>
          <w:p w14:paraId="102CA36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$39.19</w:t>
            </w:r>
          </w:p>
        </w:tc>
        <w:tc>
          <w:tcPr>
            <w:tcW w:w="1235" w:type="dxa"/>
            <w:noWrap/>
            <w:hideMark/>
          </w:tcPr>
          <w:p w14:paraId="1B8676D9"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$537.86</w:t>
            </w:r>
          </w:p>
        </w:tc>
      </w:tr>
      <w:tr w:rsidR="006C740A" w:rsidRPr="00081B06" w14:paraId="73FC12C0"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FC840DE" w14:textId="77777777" w:rsidR="006C740A" w:rsidRPr="006D57D5" w:rsidRDefault="006C740A" w:rsidP="006D21E0">
            <w:pPr>
              <w:pStyle w:val="TableofAuthorities"/>
            </w:pPr>
            <w:r w:rsidRPr="006D57D5">
              <w:t xml:space="preserve">Allied health </w:t>
            </w:r>
          </w:p>
        </w:tc>
        <w:tc>
          <w:tcPr>
            <w:tcW w:w="1217" w:type="dxa"/>
            <w:noWrap/>
            <w:hideMark/>
          </w:tcPr>
          <w:p w14:paraId="606D583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$102.59</w:t>
            </w:r>
          </w:p>
        </w:tc>
        <w:tc>
          <w:tcPr>
            <w:tcW w:w="1239" w:type="dxa"/>
            <w:noWrap/>
            <w:hideMark/>
          </w:tcPr>
          <w:p w14:paraId="5DDD3DF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$117.08</w:t>
            </w:r>
          </w:p>
        </w:tc>
        <w:tc>
          <w:tcPr>
            <w:tcW w:w="1128" w:type="dxa"/>
            <w:noWrap/>
            <w:hideMark/>
          </w:tcPr>
          <w:p w14:paraId="0B9E4735"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$10.41</w:t>
            </w:r>
          </w:p>
        </w:tc>
        <w:tc>
          <w:tcPr>
            <w:tcW w:w="1235" w:type="dxa"/>
            <w:noWrap/>
            <w:hideMark/>
          </w:tcPr>
          <w:p w14:paraId="521E6B0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$230.08</w:t>
            </w:r>
          </w:p>
        </w:tc>
      </w:tr>
      <w:tr w:rsidR="006C740A" w:rsidRPr="00081B06" w14:paraId="5FD02D54"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8684697" w14:textId="77777777" w:rsidR="006C740A" w:rsidRPr="006D57D5" w:rsidRDefault="006C740A" w:rsidP="006D21E0">
            <w:pPr>
              <w:pStyle w:val="TableofAuthorities"/>
            </w:pPr>
            <w:r w:rsidRPr="006D57D5">
              <w:t>Diversional therapy / lifestyle / recreation / activities officer</w:t>
            </w:r>
          </w:p>
        </w:tc>
        <w:tc>
          <w:tcPr>
            <w:tcW w:w="1217" w:type="dxa"/>
            <w:noWrap/>
            <w:hideMark/>
          </w:tcPr>
          <w:p w14:paraId="4368C5A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$145.84</w:t>
            </w:r>
          </w:p>
        </w:tc>
        <w:tc>
          <w:tcPr>
            <w:tcW w:w="1239" w:type="dxa"/>
            <w:noWrap/>
            <w:hideMark/>
          </w:tcPr>
          <w:p w14:paraId="257282D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$179.91</w:t>
            </w:r>
          </w:p>
        </w:tc>
        <w:tc>
          <w:tcPr>
            <w:tcW w:w="1128" w:type="dxa"/>
            <w:noWrap/>
            <w:hideMark/>
          </w:tcPr>
          <w:p w14:paraId="351315CD"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$15.13</w:t>
            </w:r>
          </w:p>
        </w:tc>
        <w:tc>
          <w:tcPr>
            <w:tcW w:w="1235" w:type="dxa"/>
            <w:noWrap/>
            <w:hideMark/>
          </w:tcPr>
          <w:p w14:paraId="3838382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$340.88</w:t>
            </w:r>
          </w:p>
        </w:tc>
      </w:tr>
      <w:tr w:rsidR="006C740A" w:rsidRPr="00081B06" w14:paraId="555CFAF8"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067C994" w14:textId="77777777" w:rsidR="006C740A" w:rsidRPr="006D57D5" w:rsidRDefault="006C740A" w:rsidP="006D21E0">
            <w:pPr>
              <w:pStyle w:val="TableofAuthorities"/>
            </w:pPr>
            <w:r w:rsidRPr="006D57D5">
              <w:t>Other employee staff</w:t>
            </w:r>
          </w:p>
        </w:tc>
        <w:tc>
          <w:tcPr>
            <w:tcW w:w="1217" w:type="dxa"/>
            <w:noWrap/>
            <w:hideMark/>
          </w:tcPr>
          <w:p w14:paraId="38AD1958"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$17.94</w:t>
            </w:r>
          </w:p>
        </w:tc>
        <w:tc>
          <w:tcPr>
            <w:tcW w:w="1239" w:type="dxa"/>
            <w:noWrap/>
            <w:hideMark/>
          </w:tcPr>
          <w:p w14:paraId="63B211F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$30.22</w:t>
            </w:r>
          </w:p>
        </w:tc>
        <w:tc>
          <w:tcPr>
            <w:tcW w:w="1128" w:type="dxa"/>
            <w:noWrap/>
            <w:hideMark/>
          </w:tcPr>
          <w:p w14:paraId="416932FC"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$15.28</w:t>
            </w:r>
          </w:p>
        </w:tc>
        <w:tc>
          <w:tcPr>
            <w:tcW w:w="1235" w:type="dxa"/>
            <w:noWrap/>
            <w:hideMark/>
          </w:tcPr>
          <w:p w14:paraId="7BD5D518"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$63.44</w:t>
            </w:r>
          </w:p>
        </w:tc>
      </w:tr>
      <w:tr w:rsidR="00081B06" w:rsidRPr="00081B06" w14:paraId="781BF56F" w14:textId="77777777" w:rsidTr="0038705C">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6B14E2AB" w14:textId="77777777" w:rsidR="006C740A" w:rsidRPr="004564B5" w:rsidRDefault="006C740A" w:rsidP="004564B5">
            <w:pPr>
              <w:pStyle w:val="TableParagraphbold"/>
            </w:pPr>
            <w:r w:rsidRPr="004564B5">
              <w:t xml:space="preserve">Total employee </w:t>
            </w:r>
            <w:proofErr w:type="spellStart"/>
            <w:r w:rsidRPr="004564B5">
              <w:t>labour</w:t>
            </w:r>
            <w:proofErr w:type="spellEnd"/>
            <w:r w:rsidRPr="004564B5">
              <w:t xml:space="preserve"> costs</w:t>
            </w:r>
          </w:p>
        </w:tc>
        <w:tc>
          <w:tcPr>
            <w:tcW w:w="1217" w:type="dxa"/>
            <w:shd w:val="clear" w:color="auto" w:fill="D8DBDB" w:themeFill="background2" w:themeFillShade="E6"/>
            <w:noWrap/>
            <w:hideMark/>
          </w:tcPr>
          <w:p w14:paraId="1B48AD83"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$3,982.13</w:t>
            </w:r>
          </w:p>
        </w:tc>
        <w:tc>
          <w:tcPr>
            <w:tcW w:w="1239" w:type="dxa"/>
            <w:shd w:val="clear" w:color="auto" w:fill="D8DBDB" w:themeFill="background2" w:themeFillShade="E6"/>
            <w:noWrap/>
            <w:hideMark/>
          </w:tcPr>
          <w:p w14:paraId="4E3549F0"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$5,808.28</w:t>
            </w:r>
          </w:p>
        </w:tc>
        <w:tc>
          <w:tcPr>
            <w:tcW w:w="1128" w:type="dxa"/>
            <w:shd w:val="clear" w:color="auto" w:fill="D8DBDB" w:themeFill="background2" w:themeFillShade="E6"/>
            <w:noWrap/>
            <w:hideMark/>
          </w:tcPr>
          <w:p w14:paraId="6D6263BC"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$638.79</w:t>
            </w:r>
          </w:p>
        </w:tc>
        <w:tc>
          <w:tcPr>
            <w:tcW w:w="1235" w:type="dxa"/>
            <w:shd w:val="clear" w:color="auto" w:fill="D8DBDB" w:themeFill="background2" w:themeFillShade="E6"/>
            <w:noWrap/>
            <w:hideMark/>
          </w:tcPr>
          <w:p w14:paraId="7299248C"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$10,429.20</w:t>
            </w:r>
          </w:p>
        </w:tc>
      </w:tr>
      <w:tr w:rsidR="00081B06" w:rsidRPr="00081B06" w14:paraId="276BE669" w14:textId="77777777" w:rsidTr="0038705C">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63A396C9" w14:textId="77777777" w:rsidR="006C740A" w:rsidRPr="004564B5" w:rsidRDefault="006C740A" w:rsidP="004564B5">
            <w:pPr>
              <w:pStyle w:val="TableParagraphbold"/>
            </w:pPr>
            <w:r w:rsidRPr="004564B5">
              <w:t xml:space="preserve">Agency </w:t>
            </w:r>
            <w:proofErr w:type="spellStart"/>
            <w:r w:rsidRPr="004564B5">
              <w:t>labour</w:t>
            </w:r>
            <w:proofErr w:type="spellEnd"/>
            <w:r w:rsidRPr="004564B5">
              <w:t xml:space="preserve"> costs</w:t>
            </w:r>
          </w:p>
        </w:tc>
        <w:tc>
          <w:tcPr>
            <w:tcW w:w="1217" w:type="dxa"/>
            <w:shd w:val="clear" w:color="auto" w:fill="D8DBDB" w:themeFill="background2" w:themeFillShade="E6"/>
            <w:noWrap/>
            <w:hideMark/>
          </w:tcPr>
          <w:p w14:paraId="15DC99C7"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9" w:type="dxa"/>
            <w:shd w:val="clear" w:color="auto" w:fill="D8DBDB" w:themeFill="background2" w:themeFillShade="E6"/>
            <w:noWrap/>
            <w:hideMark/>
          </w:tcPr>
          <w:p w14:paraId="4B042B54"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128" w:type="dxa"/>
            <w:shd w:val="clear" w:color="auto" w:fill="D8DBDB" w:themeFill="background2" w:themeFillShade="E6"/>
            <w:noWrap/>
            <w:hideMark/>
          </w:tcPr>
          <w:p w14:paraId="79FF0CA7"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c>
          <w:tcPr>
            <w:tcW w:w="1235" w:type="dxa"/>
            <w:shd w:val="clear" w:color="auto" w:fill="D8DBDB" w:themeFill="background2" w:themeFillShade="E6"/>
            <w:noWrap/>
            <w:hideMark/>
          </w:tcPr>
          <w:p w14:paraId="48956C63"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p>
        </w:tc>
      </w:tr>
      <w:tr w:rsidR="006C740A" w:rsidRPr="00081B06" w14:paraId="4470BFF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17318D1" w14:textId="77777777" w:rsidR="006C740A" w:rsidRPr="006D57D5" w:rsidRDefault="006C740A" w:rsidP="006D21E0">
            <w:pPr>
              <w:pStyle w:val="TableofAuthorities"/>
            </w:pPr>
            <w:r w:rsidRPr="006D57D5">
              <w:t>Registered nurses</w:t>
            </w:r>
          </w:p>
        </w:tc>
        <w:tc>
          <w:tcPr>
            <w:tcW w:w="1217" w:type="dxa"/>
            <w:noWrap/>
            <w:hideMark/>
          </w:tcPr>
          <w:p w14:paraId="678BFF7C"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$41.12</w:t>
            </w:r>
          </w:p>
        </w:tc>
        <w:tc>
          <w:tcPr>
            <w:tcW w:w="1239" w:type="dxa"/>
            <w:noWrap/>
            <w:hideMark/>
          </w:tcPr>
          <w:p w14:paraId="00D5381A"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$101.54</w:t>
            </w:r>
          </w:p>
        </w:tc>
        <w:tc>
          <w:tcPr>
            <w:tcW w:w="1128" w:type="dxa"/>
            <w:noWrap/>
            <w:hideMark/>
          </w:tcPr>
          <w:p w14:paraId="0ED6012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$8.52</w:t>
            </w:r>
          </w:p>
        </w:tc>
        <w:tc>
          <w:tcPr>
            <w:tcW w:w="1235" w:type="dxa"/>
            <w:noWrap/>
            <w:hideMark/>
          </w:tcPr>
          <w:p w14:paraId="42F82358"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$151.17</w:t>
            </w:r>
          </w:p>
        </w:tc>
      </w:tr>
      <w:tr w:rsidR="006C740A" w:rsidRPr="00081B06" w14:paraId="6B67493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4808852" w14:textId="77777777" w:rsidR="006C740A" w:rsidRPr="006D57D5" w:rsidRDefault="006C740A" w:rsidP="006D21E0">
            <w:pPr>
              <w:pStyle w:val="TableofAuthorities"/>
            </w:pPr>
            <w:r w:rsidRPr="006D57D5">
              <w:t xml:space="preserve">Enrolled and licensed nurses (registered with the NMBA) </w:t>
            </w:r>
          </w:p>
        </w:tc>
        <w:tc>
          <w:tcPr>
            <w:tcW w:w="1217" w:type="dxa"/>
            <w:noWrap/>
            <w:hideMark/>
          </w:tcPr>
          <w:p w14:paraId="41FA90B9"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$10.80</w:t>
            </w:r>
          </w:p>
        </w:tc>
        <w:tc>
          <w:tcPr>
            <w:tcW w:w="1239" w:type="dxa"/>
            <w:noWrap/>
            <w:hideMark/>
          </w:tcPr>
          <w:p w14:paraId="448EE85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$43.18</w:t>
            </w:r>
          </w:p>
        </w:tc>
        <w:tc>
          <w:tcPr>
            <w:tcW w:w="1128" w:type="dxa"/>
            <w:noWrap/>
            <w:hideMark/>
          </w:tcPr>
          <w:p w14:paraId="39752BDA"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$2.33</w:t>
            </w:r>
          </w:p>
        </w:tc>
        <w:tc>
          <w:tcPr>
            <w:tcW w:w="1235" w:type="dxa"/>
            <w:noWrap/>
            <w:hideMark/>
          </w:tcPr>
          <w:p w14:paraId="5F200B88"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$56.32</w:t>
            </w:r>
          </w:p>
        </w:tc>
      </w:tr>
      <w:tr w:rsidR="006C740A" w:rsidRPr="00081B06" w14:paraId="37BA063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4713AB1" w14:textId="77777777" w:rsidR="006C740A" w:rsidRPr="006D57D5" w:rsidRDefault="006C740A" w:rsidP="006D21E0">
            <w:pPr>
              <w:pStyle w:val="TableofAuthorities"/>
            </w:pPr>
            <w:r w:rsidRPr="006D57D5">
              <w:t>Personal care staff / assistants in nursing</w:t>
            </w:r>
          </w:p>
        </w:tc>
        <w:tc>
          <w:tcPr>
            <w:tcW w:w="1217" w:type="dxa"/>
            <w:noWrap/>
            <w:hideMark/>
          </w:tcPr>
          <w:p w14:paraId="36E5859F"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$91.79</w:t>
            </w:r>
          </w:p>
        </w:tc>
        <w:tc>
          <w:tcPr>
            <w:tcW w:w="1239" w:type="dxa"/>
            <w:noWrap/>
            <w:hideMark/>
          </w:tcPr>
          <w:p w14:paraId="1E43FF34"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$196.28</w:t>
            </w:r>
          </w:p>
        </w:tc>
        <w:tc>
          <w:tcPr>
            <w:tcW w:w="1128" w:type="dxa"/>
            <w:noWrap/>
            <w:hideMark/>
          </w:tcPr>
          <w:p w14:paraId="31A22A95"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$6.70</w:t>
            </w:r>
          </w:p>
        </w:tc>
        <w:tc>
          <w:tcPr>
            <w:tcW w:w="1235" w:type="dxa"/>
            <w:noWrap/>
            <w:hideMark/>
          </w:tcPr>
          <w:p w14:paraId="354874EA"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$294.78</w:t>
            </w:r>
          </w:p>
        </w:tc>
      </w:tr>
      <w:tr w:rsidR="006C740A" w:rsidRPr="00081B06" w14:paraId="28121A15"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68DDB60" w14:textId="77777777" w:rsidR="006C740A" w:rsidRPr="006D57D5" w:rsidRDefault="006C740A" w:rsidP="006D21E0">
            <w:pPr>
              <w:pStyle w:val="TableofAuthorities"/>
            </w:pPr>
            <w:r w:rsidRPr="006D57D5">
              <w:t xml:space="preserve">Allied health </w:t>
            </w:r>
          </w:p>
        </w:tc>
        <w:tc>
          <w:tcPr>
            <w:tcW w:w="1217" w:type="dxa"/>
            <w:noWrap/>
            <w:hideMark/>
          </w:tcPr>
          <w:p w14:paraId="3B25D8D4"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$83.18</w:t>
            </w:r>
          </w:p>
        </w:tc>
        <w:tc>
          <w:tcPr>
            <w:tcW w:w="1239" w:type="dxa"/>
            <w:noWrap/>
            <w:hideMark/>
          </w:tcPr>
          <w:p w14:paraId="35FC06AC"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$162.71</w:t>
            </w:r>
          </w:p>
        </w:tc>
        <w:tc>
          <w:tcPr>
            <w:tcW w:w="1128" w:type="dxa"/>
            <w:noWrap/>
            <w:hideMark/>
          </w:tcPr>
          <w:p w14:paraId="2098BD2B"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$6.23</w:t>
            </w:r>
          </w:p>
        </w:tc>
        <w:tc>
          <w:tcPr>
            <w:tcW w:w="1235" w:type="dxa"/>
            <w:noWrap/>
            <w:hideMark/>
          </w:tcPr>
          <w:p w14:paraId="1E9DD571"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$252.12</w:t>
            </w:r>
          </w:p>
        </w:tc>
      </w:tr>
      <w:tr w:rsidR="006C740A" w:rsidRPr="00081B06" w14:paraId="58FBFEE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97F5CC9" w14:textId="77777777" w:rsidR="006C740A" w:rsidRPr="006D57D5" w:rsidRDefault="006C740A" w:rsidP="006D21E0">
            <w:pPr>
              <w:pStyle w:val="TableofAuthorities"/>
            </w:pPr>
            <w:r w:rsidRPr="006D57D5">
              <w:t>Diversional therapy / lifestyle / recreation / activities officer</w:t>
            </w:r>
          </w:p>
        </w:tc>
        <w:tc>
          <w:tcPr>
            <w:tcW w:w="1217" w:type="dxa"/>
            <w:noWrap/>
            <w:hideMark/>
          </w:tcPr>
          <w:p w14:paraId="06177DF7"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$1.20</w:t>
            </w:r>
          </w:p>
        </w:tc>
        <w:tc>
          <w:tcPr>
            <w:tcW w:w="1239" w:type="dxa"/>
            <w:noWrap/>
            <w:hideMark/>
          </w:tcPr>
          <w:p w14:paraId="4E481245"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$4.64</w:t>
            </w:r>
          </w:p>
        </w:tc>
        <w:tc>
          <w:tcPr>
            <w:tcW w:w="1128" w:type="dxa"/>
            <w:noWrap/>
            <w:hideMark/>
          </w:tcPr>
          <w:p w14:paraId="3DF1BAFB"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$0.03</w:t>
            </w:r>
          </w:p>
        </w:tc>
        <w:tc>
          <w:tcPr>
            <w:tcW w:w="1235" w:type="dxa"/>
            <w:noWrap/>
            <w:hideMark/>
          </w:tcPr>
          <w:p w14:paraId="7D9F07D2"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$5.87</w:t>
            </w:r>
          </w:p>
        </w:tc>
      </w:tr>
      <w:tr w:rsidR="006C740A" w:rsidRPr="00081B06" w14:paraId="14967BF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66F727C" w14:textId="77777777" w:rsidR="006C740A" w:rsidRPr="006D57D5" w:rsidRDefault="006C740A" w:rsidP="006D21E0">
            <w:pPr>
              <w:pStyle w:val="TableofAuthorities"/>
            </w:pPr>
            <w:r w:rsidRPr="006D57D5">
              <w:t>Other employee staff</w:t>
            </w:r>
          </w:p>
        </w:tc>
        <w:tc>
          <w:tcPr>
            <w:tcW w:w="1217" w:type="dxa"/>
            <w:noWrap/>
            <w:hideMark/>
          </w:tcPr>
          <w:p w14:paraId="0C87D538"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$3.23</w:t>
            </w:r>
          </w:p>
        </w:tc>
        <w:tc>
          <w:tcPr>
            <w:tcW w:w="1239" w:type="dxa"/>
            <w:noWrap/>
            <w:hideMark/>
          </w:tcPr>
          <w:p w14:paraId="520B7479"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$4.19</w:t>
            </w:r>
          </w:p>
        </w:tc>
        <w:tc>
          <w:tcPr>
            <w:tcW w:w="1128" w:type="dxa"/>
            <w:noWrap/>
            <w:hideMark/>
          </w:tcPr>
          <w:p w14:paraId="1C802977"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$0.21</w:t>
            </w:r>
          </w:p>
        </w:tc>
        <w:tc>
          <w:tcPr>
            <w:tcW w:w="1235" w:type="dxa"/>
            <w:noWrap/>
            <w:hideMark/>
          </w:tcPr>
          <w:p w14:paraId="7BC37618"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$7.63</w:t>
            </w:r>
          </w:p>
        </w:tc>
      </w:tr>
      <w:tr w:rsidR="006C740A" w:rsidRPr="00081B06" w14:paraId="1593D5D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C1DA4E4" w14:textId="77777777" w:rsidR="006C740A" w:rsidRPr="006D57D5" w:rsidRDefault="006C740A" w:rsidP="006D21E0">
            <w:pPr>
              <w:pStyle w:val="TableofAuthorities"/>
            </w:pPr>
            <w:r w:rsidRPr="006D57D5">
              <w:t>Total agency labour costs</w:t>
            </w:r>
          </w:p>
        </w:tc>
        <w:tc>
          <w:tcPr>
            <w:tcW w:w="1217" w:type="dxa"/>
            <w:noWrap/>
            <w:hideMark/>
          </w:tcPr>
          <w:p w14:paraId="484B9E96"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$231.33</w:t>
            </w:r>
          </w:p>
        </w:tc>
        <w:tc>
          <w:tcPr>
            <w:tcW w:w="1239" w:type="dxa"/>
            <w:noWrap/>
            <w:hideMark/>
          </w:tcPr>
          <w:p w14:paraId="180FBFBB"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$512.55</w:t>
            </w:r>
          </w:p>
        </w:tc>
        <w:tc>
          <w:tcPr>
            <w:tcW w:w="1128" w:type="dxa"/>
            <w:noWrap/>
            <w:hideMark/>
          </w:tcPr>
          <w:p w14:paraId="2F3B173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$24.01</w:t>
            </w:r>
          </w:p>
        </w:tc>
        <w:tc>
          <w:tcPr>
            <w:tcW w:w="1235" w:type="dxa"/>
            <w:noWrap/>
            <w:hideMark/>
          </w:tcPr>
          <w:p w14:paraId="08F762BE"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$767.89</w:t>
            </w:r>
          </w:p>
        </w:tc>
      </w:tr>
      <w:tr w:rsidR="006C740A" w:rsidRPr="00081B06" w14:paraId="08A74A6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38033A8" w14:textId="77777777" w:rsidR="006C740A" w:rsidRPr="006D57D5" w:rsidRDefault="006C740A" w:rsidP="006D21E0">
            <w:pPr>
              <w:pStyle w:val="TableofAuthorities"/>
            </w:pPr>
            <w:r w:rsidRPr="006D57D5">
              <w:t>Contract labour - management entity staff costs</w:t>
            </w:r>
          </w:p>
        </w:tc>
        <w:tc>
          <w:tcPr>
            <w:tcW w:w="1217" w:type="dxa"/>
            <w:noWrap/>
            <w:hideMark/>
          </w:tcPr>
          <w:p w14:paraId="484AB2F6"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$12.05</w:t>
            </w:r>
          </w:p>
        </w:tc>
        <w:tc>
          <w:tcPr>
            <w:tcW w:w="1239" w:type="dxa"/>
            <w:noWrap/>
            <w:hideMark/>
          </w:tcPr>
          <w:p w14:paraId="74C055AA"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$9.53</w:t>
            </w:r>
          </w:p>
        </w:tc>
        <w:tc>
          <w:tcPr>
            <w:tcW w:w="1128" w:type="dxa"/>
            <w:noWrap/>
            <w:hideMark/>
          </w:tcPr>
          <w:p w14:paraId="11A353D8"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$1.68</w:t>
            </w:r>
          </w:p>
        </w:tc>
        <w:tc>
          <w:tcPr>
            <w:tcW w:w="1235" w:type="dxa"/>
            <w:noWrap/>
            <w:hideMark/>
          </w:tcPr>
          <w:p w14:paraId="41D44D53" w14:textId="77777777" w:rsidR="006C740A" w:rsidRPr="006D57D5" w:rsidRDefault="006C740A" w:rsidP="006D21E0">
            <w:pPr>
              <w:pStyle w:val="TableofAuthorities"/>
              <w:cnfStyle w:val="000000000000" w:firstRow="0" w:lastRow="0" w:firstColumn="0" w:lastColumn="0" w:oddVBand="0" w:evenVBand="0" w:oddHBand="0" w:evenHBand="0" w:firstRowFirstColumn="0" w:firstRowLastColumn="0" w:lastRowFirstColumn="0" w:lastRowLastColumn="0"/>
            </w:pPr>
            <w:r w:rsidRPr="006D57D5">
              <w:t>$23.26</w:t>
            </w:r>
          </w:p>
        </w:tc>
      </w:tr>
      <w:tr w:rsidR="00081B06" w:rsidRPr="00081B06" w14:paraId="39934258"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14DE6F25" w14:textId="77777777" w:rsidR="006C740A" w:rsidRPr="006D57D5" w:rsidRDefault="006C740A" w:rsidP="004564B5">
            <w:pPr>
              <w:pStyle w:val="TableParagraphbold"/>
            </w:pPr>
            <w:r w:rsidRPr="006D57D5">
              <w:t xml:space="preserve">Total direct care </w:t>
            </w:r>
            <w:proofErr w:type="spellStart"/>
            <w:r w:rsidRPr="006D57D5">
              <w:t>labour</w:t>
            </w:r>
            <w:proofErr w:type="spellEnd"/>
            <w:r w:rsidRPr="006D57D5">
              <w:t xml:space="preserve"> costs</w:t>
            </w:r>
          </w:p>
        </w:tc>
        <w:tc>
          <w:tcPr>
            <w:tcW w:w="1217" w:type="dxa"/>
            <w:shd w:val="clear" w:color="auto" w:fill="D8DBDB" w:themeFill="background2" w:themeFillShade="E6"/>
            <w:noWrap/>
            <w:hideMark/>
          </w:tcPr>
          <w:p w14:paraId="345A9F7B"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$4,225.51</w:t>
            </w:r>
          </w:p>
        </w:tc>
        <w:tc>
          <w:tcPr>
            <w:tcW w:w="1239" w:type="dxa"/>
            <w:shd w:val="clear" w:color="auto" w:fill="D8DBDB" w:themeFill="background2" w:themeFillShade="E6"/>
            <w:noWrap/>
            <w:hideMark/>
          </w:tcPr>
          <w:p w14:paraId="13A4FEA3"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$6,330.36</w:t>
            </w:r>
          </w:p>
        </w:tc>
        <w:tc>
          <w:tcPr>
            <w:tcW w:w="1128" w:type="dxa"/>
            <w:shd w:val="clear" w:color="auto" w:fill="D8DBDB" w:themeFill="background2" w:themeFillShade="E6"/>
            <w:noWrap/>
            <w:hideMark/>
          </w:tcPr>
          <w:p w14:paraId="3BC97B99"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$664.48</w:t>
            </w:r>
          </w:p>
        </w:tc>
        <w:tc>
          <w:tcPr>
            <w:tcW w:w="1235" w:type="dxa"/>
            <w:shd w:val="clear" w:color="auto" w:fill="D8DBDB" w:themeFill="background2" w:themeFillShade="E6"/>
            <w:noWrap/>
            <w:hideMark/>
          </w:tcPr>
          <w:p w14:paraId="3B9761E4"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$11,220.35</w:t>
            </w:r>
          </w:p>
        </w:tc>
      </w:tr>
      <w:tr w:rsidR="00604EA9" w:rsidRPr="0038705C" w14:paraId="14678D3B"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6164EDA1" w14:textId="77777777" w:rsidR="006C740A" w:rsidRPr="0038705C" w:rsidRDefault="006C740A" w:rsidP="0038705C">
            <w:pPr>
              <w:pStyle w:val="TableParagraphbold"/>
              <w:rPr>
                <w:rStyle w:val="Strong"/>
                <w:b/>
                <w:bCs w:val="0"/>
              </w:rPr>
            </w:pPr>
            <w:r w:rsidRPr="0038705C">
              <w:rPr>
                <w:rStyle w:val="Strong"/>
                <w:b/>
                <w:bCs w:val="0"/>
              </w:rPr>
              <w:t>Resident expenses</w:t>
            </w:r>
          </w:p>
        </w:tc>
        <w:tc>
          <w:tcPr>
            <w:tcW w:w="1217" w:type="dxa"/>
            <w:shd w:val="clear" w:color="auto" w:fill="D8DBDB" w:themeFill="background2" w:themeFillShade="E6"/>
            <w:noWrap/>
            <w:hideMark/>
          </w:tcPr>
          <w:p w14:paraId="77FD1426" w14:textId="77777777" w:rsidR="006C740A" w:rsidRPr="0038705C"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shd w:val="clear" w:color="auto" w:fill="D8DBDB" w:themeFill="background2" w:themeFillShade="E6"/>
            <w:noWrap/>
            <w:hideMark/>
          </w:tcPr>
          <w:p w14:paraId="42FAEDC4" w14:textId="77777777" w:rsidR="006C740A" w:rsidRPr="0038705C"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shd w:val="clear" w:color="auto" w:fill="D8DBDB" w:themeFill="background2" w:themeFillShade="E6"/>
            <w:noWrap/>
            <w:hideMark/>
          </w:tcPr>
          <w:p w14:paraId="2F804AB3" w14:textId="77777777" w:rsidR="006C740A" w:rsidRPr="0038705C"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shd w:val="clear" w:color="auto" w:fill="D8DBDB" w:themeFill="background2" w:themeFillShade="E6"/>
            <w:noWrap/>
            <w:hideMark/>
          </w:tcPr>
          <w:p w14:paraId="67BE8E57" w14:textId="77777777" w:rsidR="006C740A" w:rsidRPr="0038705C" w:rsidRDefault="006C740A" w:rsidP="0038705C">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C740A" w:rsidRPr="00081B06" w14:paraId="1A3AAD28"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3A1B9F1" w14:textId="77777777" w:rsidR="006C740A" w:rsidRPr="006D57D5" w:rsidRDefault="006C740A" w:rsidP="00E539E3">
            <w:pPr>
              <w:pStyle w:val="TableofAuthorities"/>
            </w:pPr>
            <w:r w:rsidRPr="006D57D5">
              <w:t xml:space="preserve">Medical supplies </w:t>
            </w:r>
          </w:p>
        </w:tc>
        <w:tc>
          <w:tcPr>
            <w:tcW w:w="1217" w:type="dxa"/>
            <w:noWrap/>
            <w:hideMark/>
          </w:tcPr>
          <w:p w14:paraId="4E674484"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$85.23</w:t>
            </w:r>
          </w:p>
        </w:tc>
        <w:tc>
          <w:tcPr>
            <w:tcW w:w="1239" w:type="dxa"/>
            <w:noWrap/>
            <w:hideMark/>
          </w:tcPr>
          <w:p w14:paraId="6ABC605B"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$134.77</w:t>
            </w:r>
          </w:p>
        </w:tc>
        <w:tc>
          <w:tcPr>
            <w:tcW w:w="1128" w:type="dxa"/>
            <w:noWrap/>
            <w:hideMark/>
          </w:tcPr>
          <w:p w14:paraId="57C96C2F"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$10.68</w:t>
            </w:r>
          </w:p>
        </w:tc>
        <w:tc>
          <w:tcPr>
            <w:tcW w:w="1235" w:type="dxa"/>
            <w:noWrap/>
            <w:hideMark/>
          </w:tcPr>
          <w:p w14:paraId="65481AD8"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$230.68</w:t>
            </w:r>
          </w:p>
        </w:tc>
      </w:tr>
      <w:tr w:rsidR="006C740A" w:rsidRPr="00081B06" w14:paraId="1A0D5FD5"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811A575" w14:textId="77777777" w:rsidR="006C740A" w:rsidRPr="006D57D5" w:rsidRDefault="006C740A" w:rsidP="00E539E3">
            <w:pPr>
              <w:pStyle w:val="TableofAuthorities"/>
            </w:pPr>
            <w:r w:rsidRPr="006D57D5">
              <w:t>Incontinence supplies</w:t>
            </w:r>
          </w:p>
        </w:tc>
        <w:tc>
          <w:tcPr>
            <w:tcW w:w="1217" w:type="dxa"/>
            <w:noWrap/>
            <w:hideMark/>
          </w:tcPr>
          <w:p w14:paraId="38054FBF"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$44.59</w:t>
            </w:r>
          </w:p>
        </w:tc>
        <w:tc>
          <w:tcPr>
            <w:tcW w:w="1239" w:type="dxa"/>
            <w:noWrap/>
            <w:hideMark/>
          </w:tcPr>
          <w:p w14:paraId="3ED12ED9"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$66.69</w:t>
            </w:r>
          </w:p>
        </w:tc>
        <w:tc>
          <w:tcPr>
            <w:tcW w:w="1128" w:type="dxa"/>
            <w:noWrap/>
            <w:hideMark/>
          </w:tcPr>
          <w:p w14:paraId="79FF1A3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$4.45</w:t>
            </w:r>
          </w:p>
        </w:tc>
        <w:tc>
          <w:tcPr>
            <w:tcW w:w="1235" w:type="dxa"/>
            <w:noWrap/>
            <w:hideMark/>
          </w:tcPr>
          <w:p w14:paraId="4A9D929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$115.74</w:t>
            </w:r>
          </w:p>
        </w:tc>
      </w:tr>
      <w:tr w:rsidR="006C740A" w:rsidRPr="00081B06" w14:paraId="6F8E51A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E2231F8" w14:textId="77777777" w:rsidR="006C740A" w:rsidRPr="006D57D5" w:rsidRDefault="006C740A" w:rsidP="00E539E3">
            <w:pPr>
              <w:pStyle w:val="TableofAuthorities"/>
            </w:pPr>
            <w:r w:rsidRPr="006D57D5">
              <w:t xml:space="preserve">Nutritional supplements </w:t>
            </w:r>
          </w:p>
        </w:tc>
        <w:tc>
          <w:tcPr>
            <w:tcW w:w="1217" w:type="dxa"/>
            <w:noWrap/>
            <w:hideMark/>
          </w:tcPr>
          <w:p w14:paraId="50E3A46D"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$12.88</w:t>
            </w:r>
          </w:p>
        </w:tc>
        <w:tc>
          <w:tcPr>
            <w:tcW w:w="1239" w:type="dxa"/>
            <w:noWrap/>
            <w:hideMark/>
          </w:tcPr>
          <w:p w14:paraId="4827BF51"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$21.10</w:t>
            </w:r>
          </w:p>
        </w:tc>
        <w:tc>
          <w:tcPr>
            <w:tcW w:w="1128" w:type="dxa"/>
            <w:noWrap/>
            <w:hideMark/>
          </w:tcPr>
          <w:p w14:paraId="37E35879"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$1.69</w:t>
            </w:r>
          </w:p>
        </w:tc>
        <w:tc>
          <w:tcPr>
            <w:tcW w:w="1235" w:type="dxa"/>
            <w:noWrap/>
            <w:hideMark/>
          </w:tcPr>
          <w:p w14:paraId="27C5EFD4"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$35.68</w:t>
            </w:r>
          </w:p>
        </w:tc>
      </w:tr>
      <w:tr w:rsidR="006C740A" w:rsidRPr="00081B06" w14:paraId="3B2A5437"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1DEA7D7" w14:textId="77777777" w:rsidR="006C740A" w:rsidRPr="006D57D5" w:rsidRDefault="006C740A" w:rsidP="00E539E3">
            <w:pPr>
              <w:pStyle w:val="TableofAuthorities"/>
            </w:pPr>
            <w:r w:rsidRPr="006D57D5">
              <w:t>Health living expenses</w:t>
            </w:r>
          </w:p>
        </w:tc>
        <w:tc>
          <w:tcPr>
            <w:tcW w:w="1217" w:type="dxa"/>
            <w:noWrap/>
            <w:hideMark/>
          </w:tcPr>
          <w:p w14:paraId="15D9C3D7"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$1.07</w:t>
            </w:r>
          </w:p>
        </w:tc>
        <w:tc>
          <w:tcPr>
            <w:tcW w:w="1239" w:type="dxa"/>
            <w:noWrap/>
            <w:hideMark/>
          </w:tcPr>
          <w:p w14:paraId="5E3AD5B0"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$1.78</w:t>
            </w:r>
          </w:p>
        </w:tc>
        <w:tc>
          <w:tcPr>
            <w:tcW w:w="1128" w:type="dxa"/>
            <w:noWrap/>
            <w:hideMark/>
          </w:tcPr>
          <w:p w14:paraId="12249ED3"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$0.20</w:t>
            </w:r>
          </w:p>
        </w:tc>
        <w:tc>
          <w:tcPr>
            <w:tcW w:w="1235" w:type="dxa"/>
            <w:noWrap/>
            <w:hideMark/>
          </w:tcPr>
          <w:p w14:paraId="21EDCEFC"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$3.05</w:t>
            </w:r>
          </w:p>
        </w:tc>
      </w:tr>
      <w:tr w:rsidR="006C740A" w:rsidRPr="00081B06" w14:paraId="456F7CA9"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1EDA46F" w14:textId="77777777" w:rsidR="006C740A" w:rsidRPr="006D57D5" w:rsidRDefault="006C740A" w:rsidP="00E539E3">
            <w:pPr>
              <w:pStyle w:val="TableofAuthorities"/>
            </w:pPr>
            <w:r w:rsidRPr="006D57D5">
              <w:t>Other resident services and consumables</w:t>
            </w:r>
          </w:p>
        </w:tc>
        <w:tc>
          <w:tcPr>
            <w:tcW w:w="1217" w:type="dxa"/>
            <w:noWrap/>
            <w:hideMark/>
          </w:tcPr>
          <w:p w14:paraId="74CA2A1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$51.79</w:t>
            </w:r>
          </w:p>
        </w:tc>
        <w:tc>
          <w:tcPr>
            <w:tcW w:w="1239" w:type="dxa"/>
            <w:noWrap/>
            <w:hideMark/>
          </w:tcPr>
          <w:p w14:paraId="0ABD8030"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$70.77</w:t>
            </w:r>
          </w:p>
        </w:tc>
        <w:tc>
          <w:tcPr>
            <w:tcW w:w="1128" w:type="dxa"/>
            <w:noWrap/>
            <w:hideMark/>
          </w:tcPr>
          <w:p w14:paraId="22EB5E0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$2.90</w:t>
            </w:r>
          </w:p>
        </w:tc>
        <w:tc>
          <w:tcPr>
            <w:tcW w:w="1235" w:type="dxa"/>
            <w:noWrap/>
            <w:hideMark/>
          </w:tcPr>
          <w:p w14:paraId="3A82C294"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$125.46</w:t>
            </w:r>
          </w:p>
        </w:tc>
      </w:tr>
      <w:tr w:rsidR="00081B06" w:rsidRPr="00081B06" w14:paraId="07BEE9F9"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610E3184" w14:textId="77777777" w:rsidR="006C740A" w:rsidRPr="006D57D5" w:rsidRDefault="006C740A" w:rsidP="004564B5">
            <w:pPr>
              <w:pStyle w:val="TableParagraphbold"/>
            </w:pPr>
            <w:r w:rsidRPr="006D57D5">
              <w:t>Total resident expenses</w:t>
            </w:r>
          </w:p>
        </w:tc>
        <w:tc>
          <w:tcPr>
            <w:tcW w:w="1217" w:type="dxa"/>
            <w:shd w:val="clear" w:color="auto" w:fill="D8DBDB" w:themeFill="background2" w:themeFillShade="E6"/>
            <w:noWrap/>
            <w:hideMark/>
          </w:tcPr>
          <w:p w14:paraId="788E71C9"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$195.57</w:t>
            </w:r>
          </w:p>
        </w:tc>
        <w:tc>
          <w:tcPr>
            <w:tcW w:w="1239" w:type="dxa"/>
            <w:shd w:val="clear" w:color="auto" w:fill="D8DBDB" w:themeFill="background2" w:themeFillShade="E6"/>
            <w:noWrap/>
            <w:hideMark/>
          </w:tcPr>
          <w:p w14:paraId="0BB02E40"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$295.11</w:t>
            </w:r>
          </w:p>
        </w:tc>
        <w:tc>
          <w:tcPr>
            <w:tcW w:w="1128" w:type="dxa"/>
            <w:shd w:val="clear" w:color="auto" w:fill="D8DBDB" w:themeFill="background2" w:themeFillShade="E6"/>
            <w:noWrap/>
            <w:hideMark/>
          </w:tcPr>
          <w:p w14:paraId="00EAF50B"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$19.92</w:t>
            </w:r>
          </w:p>
        </w:tc>
        <w:tc>
          <w:tcPr>
            <w:tcW w:w="1235" w:type="dxa"/>
            <w:shd w:val="clear" w:color="auto" w:fill="D8DBDB" w:themeFill="background2" w:themeFillShade="E6"/>
            <w:noWrap/>
            <w:hideMark/>
          </w:tcPr>
          <w:p w14:paraId="50C7456B" w14:textId="77777777" w:rsidR="006C740A" w:rsidRPr="006D57D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pPr>
            <w:r w:rsidRPr="006D57D5">
              <w:t>$510.60</w:t>
            </w:r>
          </w:p>
        </w:tc>
      </w:tr>
      <w:tr w:rsidR="00604EA9" w:rsidRPr="00604EA9" w14:paraId="7D9F1D9F"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4222BB11" w14:textId="77777777" w:rsidR="006C740A" w:rsidRPr="00604EA9" w:rsidRDefault="006C740A" w:rsidP="00604EA9">
            <w:pPr>
              <w:pStyle w:val="TableParagraphbold"/>
              <w:rPr>
                <w:rStyle w:val="Strong"/>
                <w:b/>
                <w:bCs w:val="0"/>
              </w:rPr>
            </w:pPr>
            <w:r w:rsidRPr="00604EA9">
              <w:rPr>
                <w:rStyle w:val="Strong"/>
                <w:b/>
                <w:bCs w:val="0"/>
              </w:rPr>
              <w:t>Other direct care expenses</w:t>
            </w:r>
          </w:p>
        </w:tc>
        <w:tc>
          <w:tcPr>
            <w:tcW w:w="1217" w:type="dxa"/>
            <w:shd w:val="clear" w:color="auto" w:fill="D8DBDB" w:themeFill="background2" w:themeFillShade="E6"/>
            <w:noWrap/>
            <w:hideMark/>
          </w:tcPr>
          <w:p w14:paraId="496F4B33"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shd w:val="clear" w:color="auto" w:fill="D8DBDB" w:themeFill="background2" w:themeFillShade="E6"/>
            <w:noWrap/>
            <w:hideMark/>
          </w:tcPr>
          <w:p w14:paraId="4DA4BD11"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shd w:val="clear" w:color="auto" w:fill="D8DBDB" w:themeFill="background2" w:themeFillShade="E6"/>
            <w:noWrap/>
            <w:hideMark/>
          </w:tcPr>
          <w:p w14:paraId="43F61156"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shd w:val="clear" w:color="auto" w:fill="D8DBDB" w:themeFill="background2" w:themeFillShade="E6"/>
            <w:noWrap/>
            <w:hideMark/>
          </w:tcPr>
          <w:p w14:paraId="5203FA1D"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C740A" w:rsidRPr="00081B06" w14:paraId="76BD20E9"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C405CF6" w14:textId="77777777" w:rsidR="006C740A" w:rsidRPr="006D57D5" w:rsidRDefault="006C740A" w:rsidP="00E539E3">
            <w:pPr>
              <w:pStyle w:val="TableofAuthorities"/>
            </w:pPr>
            <w:r w:rsidRPr="006D57D5">
              <w:t>Workcover premium (care employee labour)</w:t>
            </w:r>
          </w:p>
        </w:tc>
        <w:tc>
          <w:tcPr>
            <w:tcW w:w="1217" w:type="dxa"/>
            <w:noWrap/>
            <w:hideMark/>
          </w:tcPr>
          <w:p w14:paraId="2C3B417B"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$92.59</w:t>
            </w:r>
          </w:p>
        </w:tc>
        <w:tc>
          <w:tcPr>
            <w:tcW w:w="1239" w:type="dxa"/>
            <w:noWrap/>
            <w:hideMark/>
          </w:tcPr>
          <w:p w14:paraId="784BC5AD"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$137.48</w:t>
            </w:r>
          </w:p>
        </w:tc>
        <w:tc>
          <w:tcPr>
            <w:tcW w:w="1128" w:type="dxa"/>
            <w:noWrap/>
            <w:hideMark/>
          </w:tcPr>
          <w:p w14:paraId="0DEB6E52"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$8.42</w:t>
            </w:r>
          </w:p>
        </w:tc>
        <w:tc>
          <w:tcPr>
            <w:tcW w:w="1235" w:type="dxa"/>
            <w:noWrap/>
            <w:hideMark/>
          </w:tcPr>
          <w:p w14:paraId="1BF3E5A1"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$238.49</w:t>
            </w:r>
          </w:p>
        </w:tc>
      </w:tr>
      <w:tr w:rsidR="006C740A" w:rsidRPr="00081B06" w14:paraId="1C81055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0A4792A" w14:textId="77777777" w:rsidR="006C740A" w:rsidRPr="006D57D5" w:rsidRDefault="006C740A" w:rsidP="00E539E3">
            <w:pPr>
              <w:pStyle w:val="TableofAuthorities"/>
            </w:pPr>
            <w:r w:rsidRPr="006D57D5">
              <w:t>Payroll Tax (care employee labour)</w:t>
            </w:r>
          </w:p>
        </w:tc>
        <w:tc>
          <w:tcPr>
            <w:tcW w:w="1217" w:type="dxa"/>
            <w:noWrap/>
            <w:hideMark/>
          </w:tcPr>
          <w:p w14:paraId="50C91719"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$168.41</w:t>
            </w:r>
          </w:p>
        </w:tc>
        <w:tc>
          <w:tcPr>
            <w:tcW w:w="1239" w:type="dxa"/>
            <w:noWrap/>
            <w:hideMark/>
          </w:tcPr>
          <w:p w14:paraId="4D8807ED"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$2.68</w:t>
            </w:r>
          </w:p>
        </w:tc>
        <w:tc>
          <w:tcPr>
            <w:tcW w:w="1128" w:type="dxa"/>
            <w:noWrap/>
            <w:hideMark/>
          </w:tcPr>
          <w:p w14:paraId="76A4F3E0"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$0.46</w:t>
            </w:r>
          </w:p>
        </w:tc>
        <w:tc>
          <w:tcPr>
            <w:tcW w:w="1235" w:type="dxa"/>
            <w:noWrap/>
            <w:hideMark/>
          </w:tcPr>
          <w:p w14:paraId="312CBDFB"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$171.55</w:t>
            </w:r>
          </w:p>
        </w:tc>
      </w:tr>
      <w:tr w:rsidR="006C740A" w:rsidRPr="00081B06" w14:paraId="20B6D1D9"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CB705E5" w14:textId="77777777" w:rsidR="006C740A" w:rsidRPr="006D57D5" w:rsidRDefault="006C740A" w:rsidP="00E539E3">
            <w:pPr>
              <w:pStyle w:val="TableofAuthorities"/>
            </w:pPr>
            <w:r w:rsidRPr="006D57D5">
              <w:t>Quality, compliance and training external costs</w:t>
            </w:r>
          </w:p>
        </w:tc>
        <w:tc>
          <w:tcPr>
            <w:tcW w:w="1217" w:type="dxa"/>
            <w:noWrap/>
            <w:hideMark/>
          </w:tcPr>
          <w:p w14:paraId="3469DE82"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$12.17</w:t>
            </w:r>
          </w:p>
        </w:tc>
        <w:tc>
          <w:tcPr>
            <w:tcW w:w="1239" w:type="dxa"/>
            <w:noWrap/>
            <w:hideMark/>
          </w:tcPr>
          <w:p w14:paraId="5C8A0388"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$22.62</w:t>
            </w:r>
          </w:p>
        </w:tc>
        <w:tc>
          <w:tcPr>
            <w:tcW w:w="1128" w:type="dxa"/>
            <w:noWrap/>
            <w:hideMark/>
          </w:tcPr>
          <w:p w14:paraId="35B65E3C"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$1.56</w:t>
            </w:r>
          </w:p>
        </w:tc>
        <w:tc>
          <w:tcPr>
            <w:tcW w:w="1235" w:type="dxa"/>
            <w:noWrap/>
            <w:hideMark/>
          </w:tcPr>
          <w:p w14:paraId="3049F7DE"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$36.35</w:t>
            </w:r>
          </w:p>
        </w:tc>
      </w:tr>
      <w:tr w:rsidR="006C740A" w:rsidRPr="00081B06" w14:paraId="7E1045B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09D2F47" w14:textId="77777777" w:rsidR="006C740A" w:rsidRPr="006D57D5" w:rsidRDefault="006C740A" w:rsidP="00E539E3">
            <w:pPr>
              <w:pStyle w:val="TableofAuthorities"/>
            </w:pPr>
            <w:r w:rsidRPr="006D57D5">
              <w:t xml:space="preserve">Chaplaincy / pastoral care </w:t>
            </w:r>
          </w:p>
        </w:tc>
        <w:tc>
          <w:tcPr>
            <w:tcW w:w="1217" w:type="dxa"/>
            <w:noWrap/>
            <w:hideMark/>
          </w:tcPr>
          <w:p w14:paraId="492B682C"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$0.23</w:t>
            </w:r>
          </w:p>
        </w:tc>
        <w:tc>
          <w:tcPr>
            <w:tcW w:w="1239" w:type="dxa"/>
            <w:noWrap/>
            <w:hideMark/>
          </w:tcPr>
          <w:p w14:paraId="21482E5D"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$20.01</w:t>
            </w:r>
          </w:p>
        </w:tc>
        <w:tc>
          <w:tcPr>
            <w:tcW w:w="1128" w:type="dxa"/>
            <w:noWrap/>
            <w:hideMark/>
          </w:tcPr>
          <w:p w14:paraId="6927591C"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$0.13</w:t>
            </w:r>
          </w:p>
        </w:tc>
        <w:tc>
          <w:tcPr>
            <w:tcW w:w="1235" w:type="dxa"/>
            <w:noWrap/>
            <w:hideMark/>
          </w:tcPr>
          <w:p w14:paraId="2592714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$20.38</w:t>
            </w:r>
          </w:p>
        </w:tc>
      </w:tr>
      <w:tr w:rsidR="006C740A" w:rsidRPr="00081B06" w14:paraId="44ED52B4"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14EB181" w14:textId="77777777" w:rsidR="006C740A" w:rsidRPr="006D57D5" w:rsidRDefault="006C740A" w:rsidP="00E539E3">
            <w:pPr>
              <w:pStyle w:val="TableofAuthorities"/>
            </w:pPr>
            <w:r w:rsidRPr="006D57D5">
              <w:t>Other direct care expenses</w:t>
            </w:r>
          </w:p>
        </w:tc>
        <w:tc>
          <w:tcPr>
            <w:tcW w:w="1217" w:type="dxa"/>
            <w:noWrap/>
            <w:hideMark/>
          </w:tcPr>
          <w:p w14:paraId="52FC74CF"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$32.42</w:t>
            </w:r>
          </w:p>
        </w:tc>
        <w:tc>
          <w:tcPr>
            <w:tcW w:w="1239" w:type="dxa"/>
            <w:noWrap/>
            <w:hideMark/>
          </w:tcPr>
          <w:p w14:paraId="3A1A05F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$20.37</w:t>
            </w:r>
          </w:p>
        </w:tc>
        <w:tc>
          <w:tcPr>
            <w:tcW w:w="1128" w:type="dxa"/>
            <w:noWrap/>
            <w:hideMark/>
          </w:tcPr>
          <w:p w14:paraId="13638344"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$3.03</w:t>
            </w:r>
          </w:p>
        </w:tc>
        <w:tc>
          <w:tcPr>
            <w:tcW w:w="1235" w:type="dxa"/>
            <w:noWrap/>
            <w:hideMark/>
          </w:tcPr>
          <w:p w14:paraId="6BAF7375"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$55.81</w:t>
            </w:r>
          </w:p>
        </w:tc>
      </w:tr>
      <w:tr w:rsidR="006C740A" w:rsidRPr="00081B06" w14:paraId="60702A01"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F8A9F53" w14:textId="77777777" w:rsidR="006C740A" w:rsidRPr="006D57D5" w:rsidRDefault="006C740A" w:rsidP="00E539E3">
            <w:pPr>
              <w:pStyle w:val="TableofAuthorities"/>
            </w:pPr>
            <w:r w:rsidRPr="006D57D5">
              <w:t>Total other direct care expenses</w:t>
            </w:r>
          </w:p>
        </w:tc>
        <w:tc>
          <w:tcPr>
            <w:tcW w:w="1217" w:type="dxa"/>
            <w:noWrap/>
            <w:hideMark/>
          </w:tcPr>
          <w:p w14:paraId="640F2E7C"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$305.82</w:t>
            </w:r>
          </w:p>
        </w:tc>
        <w:tc>
          <w:tcPr>
            <w:tcW w:w="1239" w:type="dxa"/>
            <w:noWrap/>
            <w:hideMark/>
          </w:tcPr>
          <w:p w14:paraId="35772423"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$203.16</w:t>
            </w:r>
          </w:p>
        </w:tc>
        <w:tc>
          <w:tcPr>
            <w:tcW w:w="1128" w:type="dxa"/>
            <w:noWrap/>
            <w:hideMark/>
          </w:tcPr>
          <w:p w14:paraId="36B22B6E"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$13.59</w:t>
            </w:r>
          </w:p>
        </w:tc>
        <w:tc>
          <w:tcPr>
            <w:tcW w:w="1235" w:type="dxa"/>
            <w:noWrap/>
            <w:hideMark/>
          </w:tcPr>
          <w:p w14:paraId="6C38F732"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$522.57</w:t>
            </w:r>
          </w:p>
        </w:tc>
      </w:tr>
      <w:tr w:rsidR="00604EA9" w:rsidRPr="00604EA9" w14:paraId="7C69A892"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4A08577B" w14:textId="77777777" w:rsidR="006C740A" w:rsidRPr="00604EA9" w:rsidRDefault="006C740A" w:rsidP="00604EA9">
            <w:pPr>
              <w:pStyle w:val="TableParagraphbold"/>
              <w:rPr>
                <w:rStyle w:val="Strong"/>
                <w:b/>
                <w:bCs w:val="0"/>
              </w:rPr>
            </w:pPr>
            <w:r w:rsidRPr="00604EA9">
              <w:rPr>
                <w:rStyle w:val="Strong"/>
                <w:b/>
                <w:bCs w:val="0"/>
              </w:rPr>
              <w:lastRenderedPageBreak/>
              <w:t>Total care expenses</w:t>
            </w:r>
          </w:p>
        </w:tc>
        <w:tc>
          <w:tcPr>
            <w:tcW w:w="1217" w:type="dxa"/>
            <w:shd w:val="clear" w:color="auto" w:fill="D8DBDB" w:themeFill="background2" w:themeFillShade="E6"/>
            <w:noWrap/>
            <w:hideMark/>
          </w:tcPr>
          <w:p w14:paraId="3D10F1D6"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604EA9">
              <w:rPr>
                <w:rStyle w:val="Strong"/>
                <w:b/>
                <w:bCs w:val="0"/>
              </w:rPr>
              <w:t>$4,726.89</w:t>
            </w:r>
          </w:p>
        </w:tc>
        <w:tc>
          <w:tcPr>
            <w:tcW w:w="1239" w:type="dxa"/>
            <w:shd w:val="clear" w:color="auto" w:fill="D8DBDB" w:themeFill="background2" w:themeFillShade="E6"/>
            <w:noWrap/>
            <w:hideMark/>
          </w:tcPr>
          <w:p w14:paraId="4E1A64A6"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604EA9">
              <w:rPr>
                <w:rStyle w:val="Strong"/>
                <w:b/>
                <w:bCs w:val="0"/>
              </w:rPr>
              <w:t>$6,828.64</w:t>
            </w:r>
          </w:p>
        </w:tc>
        <w:tc>
          <w:tcPr>
            <w:tcW w:w="1128" w:type="dxa"/>
            <w:shd w:val="clear" w:color="auto" w:fill="D8DBDB" w:themeFill="background2" w:themeFillShade="E6"/>
            <w:noWrap/>
            <w:hideMark/>
          </w:tcPr>
          <w:p w14:paraId="65942033"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604EA9">
              <w:rPr>
                <w:rStyle w:val="Strong"/>
                <w:b/>
                <w:bCs w:val="0"/>
              </w:rPr>
              <w:t>$697.99</w:t>
            </w:r>
          </w:p>
        </w:tc>
        <w:tc>
          <w:tcPr>
            <w:tcW w:w="1235" w:type="dxa"/>
            <w:shd w:val="clear" w:color="auto" w:fill="D8DBDB" w:themeFill="background2" w:themeFillShade="E6"/>
            <w:noWrap/>
            <w:hideMark/>
          </w:tcPr>
          <w:p w14:paraId="7EA433F1"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604EA9">
              <w:rPr>
                <w:rStyle w:val="Strong"/>
                <w:b/>
                <w:bCs w:val="0"/>
              </w:rPr>
              <w:t>$12,253.52</w:t>
            </w:r>
          </w:p>
        </w:tc>
      </w:tr>
      <w:tr w:rsidR="00604EA9" w:rsidRPr="00604EA9" w14:paraId="2C21E45B"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7C74EB56" w14:textId="77777777" w:rsidR="006C740A" w:rsidRPr="00604EA9" w:rsidRDefault="006C740A" w:rsidP="00604EA9">
            <w:pPr>
              <w:pStyle w:val="TableParagraphbold"/>
              <w:rPr>
                <w:rStyle w:val="Strong"/>
                <w:b/>
                <w:bCs w:val="0"/>
              </w:rPr>
            </w:pPr>
            <w:r w:rsidRPr="00604EA9">
              <w:rPr>
                <w:rStyle w:val="Strong"/>
                <w:b/>
                <w:bCs w:val="0"/>
              </w:rPr>
              <w:t>Hotel expenses</w:t>
            </w:r>
          </w:p>
        </w:tc>
        <w:tc>
          <w:tcPr>
            <w:tcW w:w="1217" w:type="dxa"/>
            <w:shd w:val="clear" w:color="auto" w:fill="D8DBDB" w:themeFill="background2" w:themeFillShade="E6"/>
            <w:noWrap/>
            <w:hideMark/>
          </w:tcPr>
          <w:p w14:paraId="2C753DA7"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shd w:val="clear" w:color="auto" w:fill="D8DBDB" w:themeFill="background2" w:themeFillShade="E6"/>
            <w:noWrap/>
            <w:hideMark/>
          </w:tcPr>
          <w:p w14:paraId="28CAE970"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shd w:val="clear" w:color="auto" w:fill="D8DBDB" w:themeFill="background2" w:themeFillShade="E6"/>
            <w:noWrap/>
            <w:hideMark/>
          </w:tcPr>
          <w:p w14:paraId="0B6A4941"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shd w:val="clear" w:color="auto" w:fill="D8DBDB" w:themeFill="background2" w:themeFillShade="E6"/>
            <w:noWrap/>
            <w:hideMark/>
          </w:tcPr>
          <w:p w14:paraId="0788F4BE"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04EA9" w:rsidRPr="00604EA9" w14:paraId="2F834DC1"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2B424DE7" w14:textId="77777777" w:rsidR="006C740A" w:rsidRPr="00604EA9" w:rsidRDefault="006C740A" w:rsidP="00604EA9">
            <w:pPr>
              <w:pStyle w:val="TableParagraphbold"/>
              <w:rPr>
                <w:rStyle w:val="Strong"/>
                <w:b/>
                <w:bCs w:val="0"/>
              </w:rPr>
            </w:pPr>
            <w:r w:rsidRPr="00604EA9">
              <w:rPr>
                <w:rStyle w:val="Strong"/>
                <w:b/>
                <w:bCs w:val="0"/>
              </w:rPr>
              <w:t>Catering expenses</w:t>
            </w:r>
          </w:p>
        </w:tc>
        <w:tc>
          <w:tcPr>
            <w:tcW w:w="1217" w:type="dxa"/>
            <w:shd w:val="clear" w:color="auto" w:fill="D8DBDB" w:themeFill="background2" w:themeFillShade="E6"/>
            <w:noWrap/>
            <w:hideMark/>
          </w:tcPr>
          <w:p w14:paraId="29B35E67"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shd w:val="clear" w:color="auto" w:fill="D8DBDB" w:themeFill="background2" w:themeFillShade="E6"/>
            <w:noWrap/>
            <w:hideMark/>
          </w:tcPr>
          <w:p w14:paraId="613953D5"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shd w:val="clear" w:color="auto" w:fill="D8DBDB" w:themeFill="background2" w:themeFillShade="E6"/>
            <w:noWrap/>
            <w:hideMark/>
          </w:tcPr>
          <w:p w14:paraId="6F51F7FB"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shd w:val="clear" w:color="auto" w:fill="D8DBDB" w:themeFill="background2" w:themeFillShade="E6"/>
            <w:noWrap/>
            <w:hideMark/>
          </w:tcPr>
          <w:p w14:paraId="36A33DB6" w14:textId="77777777" w:rsidR="006C740A" w:rsidRPr="00604EA9"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C740A" w:rsidRPr="00081B06" w14:paraId="63654234"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B4AA866" w14:textId="77777777" w:rsidR="006C740A" w:rsidRPr="006D57D5" w:rsidRDefault="006C740A" w:rsidP="00E539E3">
            <w:pPr>
              <w:pStyle w:val="TableofAuthorities"/>
            </w:pPr>
            <w:r w:rsidRPr="006D57D5">
              <w:t>Employee labour costs</w:t>
            </w:r>
          </w:p>
        </w:tc>
        <w:tc>
          <w:tcPr>
            <w:tcW w:w="1217" w:type="dxa"/>
            <w:noWrap/>
            <w:hideMark/>
          </w:tcPr>
          <w:p w14:paraId="5A2B2F3D"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$537.75</w:t>
            </w:r>
          </w:p>
        </w:tc>
        <w:tc>
          <w:tcPr>
            <w:tcW w:w="1239" w:type="dxa"/>
            <w:noWrap/>
            <w:hideMark/>
          </w:tcPr>
          <w:p w14:paraId="45C01D5D"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$676.79</w:t>
            </w:r>
          </w:p>
        </w:tc>
        <w:tc>
          <w:tcPr>
            <w:tcW w:w="1128" w:type="dxa"/>
            <w:noWrap/>
            <w:hideMark/>
          </w:tcPr>
          <w:p w14:paraId="76334955"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$52.77</w:t>
            </w:r>
          </w:p>
        </w:tc>
        <w:tc>
          <w:tcPr>
            <w:tcW w:w="1235" w:type="dxa"/>
            <w:noWrap/>
            <w:hideMark/>
          </w:tcPr>
          <w:p w14:paraId="289125D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$1,267.31</w:t>
            </w:r>
          </w:p>
        </w:tc>
      </w:tr>
      <w:tr w:rsidR="006C740A" w:rsidRPr="00081B06" w14:paraId="54D2EC6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EA9BF53" w14:textId="77777777" w:rsidR="006C740A" w:rsidRPr="006D57D5" w:rsidRDefault="006C740A" w:rsidP="00E539E3">
            <w:pPr>
              <w:pStyle w:val="TableofAuthorities"/>
            </w:pPr>
            <w:r w:rsidRPr="006D57D5">
              <w:t>Consumables</w:t>
            </w:r>
          </w:p>
        </w:tc>
        <w:tc>
          <w:tcPr>
            <w:tcW w:w="1217" w:type="dxa"/>
            <w:noWrap/>
            <w:hideMark/>
          </w:tcPr>
          <w:p w14:paraId="111DA55A"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$285.51</w:t>
            </w:r>
          </w:p>
        </w:tc>
        <w:tc>
          <w:tcPr>
            <w:tcW w:w="1239" w:type="dxa"/>
            <w:noWrap/>
            <w:hideMark/>
          </w:tcPr>
          <w:p w14:paraId="395D2B23"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$374.22</w:t>
            </w:r>
          </w:p>
        </w:tc>
        <w:tc>
          <w:tcPr>
            <w:tcW w:w="1128" w:type="dxa"/>
            <w:noWrap/>
            <w:hideMark/>
          </w:tcPr>
          <w:p w14:paraId="464CB575"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$22.64</w:t>
            </w:r>
          </w:p>
        </w:tc>
        <w:tc>
          <w:tcPr>
            <w:tcW w:w="1235" w:type="dxa"/>
            <w:noWrap/>
            <w:hideMark/>
          </w:tcPr>
          <w:p w14:paraId="07DA17E2"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$682.37</w:t>
            </w:r>
          </w:p>
        </w:tc>
      </w:tr>
      <w:tr w:rsidR="006C740A" w:rsidRPr="00081B06" w14:paraId="375EE264"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AC4FBB2" w14:textId="77777777" w:rsidR="006C740A" w:rsidRPr="006D57D5" w:rsidRDefault="006C740A" w:rsidP="00E539E3">
            <w:pPr>
              <w:pStyle w:val="TableofAuthorities"/>
            </w:pPr>
            <w:r w:rsidRPr="006D57D5">
              <w:t>Contract services - internal</w:t>
            </w:r>
          </w:p>
        </w:tc>
        <w:tc>
          <w:tcPr>
            <w:tcW w:w="1217" w:type="dxa"/>
            <w:noWrap/>
            <w:hideMark/>
          </w:tcPr>
          <w:p w14:paraId="31F8BD4C"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$4.51</w:t>
            </w:r>
          </w:p>
        </w:tc>
        <w:tc>
          <w:tcPr>
            <w:tcW w:w="1239" w:type="dxa"/>
            <w:noWrap/>
            <w:hideMark/>
          </w:tcPr>
          <w:p w14:paraId="2E82DA1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$74.95</w:t>
            </w:r>
          </w:p>
        </w:tc>
        <w:tc>
          <w:tcPr>
            <w:tcW w:w="1128" w:type="dxa"/>
            <w:noWrap/>
            <w:hideMark/>
          </w:tcPr>
          <w:p w14:paraId="6CF550C9"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$30.07</w:t>
            </w:r>
          </w:p>
        </w:tc>
        <w:tc>
          <w:tcPr>
            <w:tcW w:w="1235" w:type="dxa"/>
            <w:noWrap/>
            <w:hideMark/>
          </w:tcPr>
          <w:p w14:paraId="1A29243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$109.54</w:t>
            </w:r>
          </w:p>
        </w:tc>
      </w:tr>
      <w:tr w:rsidR="006C740A" w:rsidRPr="00081B06" w14:paraId="5863586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E1FE7B3" w14:textId="77777777" w:rsidR="006C740A" w:rsidRPr="006D57D5" w:rsidRDefault="006C740A" w:rsidP="00E539E3">
            <w:pPr>
              <w:pStyle w:val="TableofAuthorities"/>
            </w:pPr>
            <w:r w:rsidRPr="006D57D5">
              <w:t>Contract services - outsourcing</w:t>
            </w:r>
          </w:p>
        </w:tc>
        <w:tc>
          <w:tcPr>
            <w:tcW w:w="1217" w:type="dxa"/>
            <w:noWrap/>
            <w:hideMark/>
          </w:tcPr>
          <w:p w14:paraId="3908A1E8"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$91.98</w:t>
            </w:r>
          </w:p>
        </w:tc>
        <w:tc>
          <w:tcPr>
            <w:tcW w:w="1239" w:type="dxa"/>
            <w:noWrap/>
            <w:hideMark/>
          </w:tcPr>
          <w:p w14:paraId="1B381FFE"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$207.09</w:t>
            </w:r>
          </w:p>
        </w:tc>
        <w:tc>
          <w:tcPr>
            <w:tcW w:w="1128" w:type="dxa"/>
            <w:noWrap/>
            <w:hideMark/>
          </w:tcPr>
          <w:p w14:paraId="53301D87"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$9.32</w:t>
            </w:r>
          </w:p>
        </w:tc>
        <w:tc>
          <w:tcPr>
            <w:tcW w:w="1235" w:type="dxa"/>
            <w:noWrap/>
            <w:hideMark/>
          </w:tcPr>
          <w:p w14:paraId="77E99E1B"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$308.39</w:t>
            </w:r>
          </w:p>
        </w:tc>
      </w:tr>
      <w:tr w:rsidR="00604EA9" w:rsidRPr="00081B06" w14:paraId="02AE92AA"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76429B10" w14:textId="77777777" w:rsidR="006C740A" w:rsidRPr="006D57D5" w:rsidRDefault="006C740A" w:rsidP="00604EA9">
            <w:pPr>
              <w:pStyle w:val="TableParagraphbold"/>
            </w:pPr>
            <w:r w:rsidRPr="006D57D5">
              <w:t>Total catering expenses</w:t>
            </w:r>
          </w:p>
        </w:tc>
        <w:tc>
          <w:tcPr>
            <w:tcW w:w="1217" w:type="dxa"/>
            <w:shd w:val="clear" w:color="auto" w:fill="D8DBDB" w:themeFill="background2" w:themeFillShade="E6"/>
            <w:noWrap/>
            <w:hideMark/>
          </w:tcPr>
          <w:p w14:paraId="7443B17E" w14:textId="77777777" w:rsidR="006C740A" w:rsidRPr="006D57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pPr>
            <w:r w:rsidRPr="006D57D5">
              <w:t>$919.75</w:t>
            </w:r>
          </w:p>
        </w:tc>
        <w:tc>
          <w:tcPr>
            <w:tcW w:w="1239" w:type="dxa"/>
            <w:shd w:val="clear" w:color="auto" w:fill="D8DBDB" w:themeFill="background2" w:themeFillShade="E6"/>
            <w:noWrap/>
            <w:hideMark/>
          </w:tcPr>
          <w:p w14:paraId="63FD1234" w14:textId="77777777" w:rsidR="006C740A" w:rsidRPr="006D57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pPr>
            <w:r w:rsidRPr="006D57D5">
              <w:t>$1,333.06</w:t>
            </w:r>
          </w:p>
        </w:tc>
        <w:tc>
          <w:tcPr>
            <w:tcW w:w="1128" w:type="dxa"/>
            <w:shd w:val="clear" w:color="auto" w:fill="D8DBDB" w:themeFill="background2" w:themeFillShade="E6"/>
            <w:noWrap/>
            <w:hideMark/>
          </w:tcPr>
          <w:p w14:paraId="7EB0303A" w14:textId="77777777" w:rsidR="006C740A" w:rsidRPr="006D57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pPr>
            <w:r w:rsidRPr="006D57D5">
              <w:t>$114.80</w:t>
            </w:r>
          </w:p>
        </w:tc>
        <w:tc>
          <w:tcPr>
            <w:tcW w:w="1235" w:type="dxa"/>
            <w:shd w:val="clear" w:color="auto" w:fill="D8DBDB" w:themeFill="background2" w:themeFillShade="E6"/>
            <w:noWrap/>
            <w:hideMark/>
          </w:tcPr>
          <w:p w14:paraId="48370B05" w14:textId="77777777" w:rsidR="006C740A" w:rsidRPr="006D57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pPr>
            <w:r w:rsidRPr="006D57D5">
              <w:t>$2,367.61</w:t>
            </w:r>
          </w:p>
        </w:tc>
      </w:tr>
      <w:tr w:rsidR="00604EA9" w:rsidRPr="00081B06" w14:paraId="783E5248"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7E3D410C" w14:textId="77777777" w:rsidR="006C740A" w:rsidRPr="00D045D5" w:rsidRDefault="006C740A" w:rsidP="00604EA9">
            <w:pPr>
              <w:pStyle w:val="TableParagraphbold"/>
              <w:rPr>
                <w:rStyle w:val="Strong"/>
              </w:rPr>
            </w:pPr>
            <w:r w:rsidRPr="00D045D5">
              <w:rPr>
                <w:rStyle w:val="Strong"/>
              </w:rPr>
              <w:t>Cleaning expenses</w:t>
            </w:r>
          </w:p>
        </w:tc>
        <w:tc>
          <w:tcPr>
            <w:tcW w:w="1217" w:type="dxa"/>
            <w:shd w:val="clear" w:color="auto" w:fill="D8DBDB" w:themeFill="background2" w:themeFillShade="E6"/>
            <w:noWrap/>
            <w:hideMark/>
          </w:tcPr>
          <w:p w14:paraId="0EF55988"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p>
        </w:tc>
        <w:tc>
          <w:tcPr>
            <w:tcW w:w="1239" w:type="dxa"/>
            <w:shd w:val="clear" w:color="auto" w:fill="D8DBDB" w:themeFill="background2" w:themeFillShade="E6"/>
            <w:noWrap/>
            <w:hideMark/>
          </w:tcPr>
          <w:p w14:paraId="75787DA9"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p>
        </w:tc>
        <w:tc>
          <w:tcPr>
            <w:tcW w:w="1128" w:type="dxa"/>
            <w:shd w:val="clear" w:color="auto" w:fill="D8DBDB" w:themeFill="background2" w:themeFillShade="E6"/>
            <w:noWrap/>
            <w:hideMark/>
          </w:tcPr>
          <w:p w14:paraId="2A79B2A2"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p>
        </w:tc>
        <w:tc>
          <w:tcPr>
            <w:tcW w:w="1235" w:type="dxa"/>
            <w:shd w:val="clear" w:color="auto" w:fill="D8DBDB" w:themeFill="background2" w:themeFillShade="E6"/>
            <w:noWrap/>
            <w:hideMark/>
          </w:tcPr>
          <w:p w14:paraId="19C6BC9B"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p>
        </w:tc>
      </w:tr>
      <w:tr w:rsidR="006C740A" w:rsidRPr="00081B06" w14:paraId="686946C0"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9E79B68" w14:textId="77777777" w:rsidR="006C740A" w:rsidRPr="006D57D5" w:rsidRDefault="006C740A" w:rsidP="00E539E3">
            <w:pPr>
              <w:pStyle w:val="TableofAuthorities"/>
            </w:pPr>
            <w:r w:rsidRPr="006D57D5">
              <w:t>Employee labour costs</w:t>
            </w:r>
          </w:p>
        </w:tc>
        <w:tc>
          <w:tcPr>
            <w:tcW w:w="1217" w:type="dxa"/>
            <w:noWrap/>
            <w:hideMark/>
          </w:tcPr>
          <w:p w14:paraId="15419304"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$162.04</w:t>
            </w:r>
          </w:p>
        </w:tc>
        <w:tc>
          <w:tcPr>
            <w:tcW w:w="1239" w:type="dxa"/>
            <w:noWrap/>
            <w:hideMark/>
          </w:tcPr>
          <w:p w14:paraId="0FB1B6B4"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$237.43</w:t>
            </w:r>
          </w:p>
        </w:tc>
        <w:tc>
          <w:tcPr>
            <w:tcW w:w="1128" w:type="dxa"/>
            <w:noWrap/>
            <w:hideMark/>
          </w:tcPr>
          <w:p w14:paraId="2FBADE59"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$36.25</w:t>
            </w:r>
          </w:p>
        </w:tc>
        <w:tc>
          <w:tcPr>
            <w:tcW w:w="1235" w:type="dxa"/>
            <w:noWrap/>
            <w:hideMark/>
          </w:tcPr>
          <w:p w14:paraId="2EF0D6B2"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$435.72</w:t>
            </w:r>
          </w:p>
        </w:tc>
      </w:tr>
      <w:tr w:rsidR="006C740A" w:rsidRPr="00081B06" w14:paraId="3537247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9CC16A8" w14:textId="77777777" w:rsidR="006C740A" w:rsidRPr="006D57D5" w:rsidRDefault="006C740A" w:rsidP="00E539E3">
            <w:pPr>
              <w:pStyle w:val="TableofAuthorities"/>
            </w:pPr>
            <w:r w:rsidRPr="006D57D5">
              <w:t>Consumables</w:t>
            </w:r>
          </w:p>
        </w:tc>
        <w:tc>
          <w:tcPr>
            <w:tcW w:w="1217" w:type="dxa"/>
            <w:noWrap/>
            <w:hideMark/>
          </w:tcPr>
          <w:p w14:paraId="158DFBE2"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$39.58</w:t>
            </w:r>
          </w:p>
        </w:tc>
        <w:tc>
          <w:tcPr>
            <w:tcW w:w="1239" w:type="dxa"/>
            <w:noWrap/>
            <w:hideMark/>
          </w:tcPr>
          <w:p w14:paraId="0304C035"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$68.73</w:t>
            </w:r>
          </w:p>
        </w:tc>
        <w:tc>
          <w:tcPr>
            <w:tcW w:w="1128" w:type="dxa"/>
            <w:noWrap/>
            <w:hideMark/>
          </w:tcPr>
          <w:p w14:paraId="684E6015"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$4.79</w:t>
            </w:r>
          </w:p>
        </w:tc>
        <w:tc>
          <w:tcPr>
            <w:tcW w:w="1235" w:type="dxa"/>
            <w:noWrap/>
            <w:hideMark/>
          </w:tcPr>
          <w:p w14:paraId="21C8F3A1"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$113.10</w:t>
            </w:r>
          </w:p>
        </w:tc>
      </w:tr>
      <w:tr w:rsidR="006C740A" w:rsidRPr="006D57D5" w14:paraId="780217DF"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F7F56FB" w14:textId="77777777" w:rsidR="006C740A" w:rsidRPr="006D57D5" w:rsidRDefault="006C740A" w:rsidP="00E539E3">
            <w:pPr>
              <w:pStyle w:val="TableofAuthorities"/>
            </w:pPr>
            <w:r w:rsidRPr="006D57D5">
              <w:t>Contract services - internal</w:t>
            </w:r>
          </w:p>
        </w:tc>
        <w:tc>
          <w:tcPr>
            <w:tcW w:w="1217" w:type="dxa"/>
            <w:noWrap/>
            <w:hideMark/>
          </w:tcPr>
          <w:p w14:paraId="73389BEB"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$1.17</w:t>
            </w:r>
          </w:p>
        </w:tc>
        <w:tc>
          <w:tcPr>
            <w:tcW w:w="1239" w:type="dxa"/>
            <w:noWrap/>
            <w:hideMark/>
          </w:tcPr>
          <w:p w14:paraId="5DC2842D"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$2.32</w:t>
            </w:r>
          </w:p>
        </w:tc>
        <w:tc>
          <w:tcPr>
            <w:tcW w:w="1128" w:type="dxa"/>
            <w:noWrap/>
            <w:hideMark/>
          </w:tcPr>
          <w:p w14:paraId="0A558B4B"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$9.51</w:t>
            </w:r>
          </w:p>
        </w:tc>
        <w:tc>
          <w:tcPr>
            <w:tcW w:w="1235" w:type="dxa"/>
            <w:noWrap/>
            <w:hideMark/>
          </w:tcPr>
          <w:p w14:paraId="0ECD60AA"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$13.01</w:t>
            </w:r>
          </w:p>
        </w:tc>
      </w:tr>
      <w:tr w:rsidR="006C740A" w:rsidRPr="006D57D5" w14:paraId="0475A90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35AB61C" w14:textId="77777777" w:rsidR="006C740A" w:rsidRPr="006D57D5" w:rsidRDefault="006C740A" w:rsidP="00E539E3">
            <w:pPr>
              <w:pStyle w:val="TableofAuthorities"/>
            </w:pPr>
            <w:r w:rsidRPr="006D57D5">
              <w:t>Contract services - outsourcing</w:t>
            </w:r>
          </w:p>
        </w:tc>
        <w:tc>
          <w:tcPr>
            <w:tcW w:w="1217" w:type="dxa"/>
            <w:noWrap/>
            <w:hideMark/>
          </w:tcPr>
          <w:p w14:paraId="4A08F975"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$54.31</w:t>
            </w:r>
          </w:p>
        </w:tc>
        <w:tc>
          <w:tcPr>
            <w:tcW w:w="1239" w:type="dxa"/>
            <w:noWrap/>
            <w:hideMark/>
          </w:tcPr>
          <w:p w14:paraId="5556DA90"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$100.43</w:t>
            </w:r>
          </w:p>
        </w:tc>
        <w:tc>
          <w:tcPr>
            <w:tcW w:w="1128" w:type="dxa"/>
            <w:noWrap/>
            <w:hideMark/>
          </w:tcPr>
          <w:p w14:paraId="000BB715"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$3.07</w:t>
            </w:r>
          </w:p>
        </w:tc>
        <w:tc>
          <w:tcPr>
            <w:tcW w:w="1235" w:type="dxa"/>
            <w:noWrap/>
            <w:hideMark/>
          </w:tcPr>
          <w:p w14:paraId="5C7B6244"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$157.80</w:t>
            </w:r>
          </w:p>
        </w:tc>
      </w:tr>
      <w:tr w:rsidR="006C740A" w:rsidRPr="00081B06" w14:paraId="42C8A40F"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30E2C00C" w14:textId="77777777" w:rsidR="006C740A" w:rsidRPr="00D045D5" w:rsidRDefault="006C740A" w:rsidP="00604EA9">
            <w:pPr>
              <w:pStyle w:val="TableParagraphbold"/>
              <w:rPr>
                <w:rStyle w:val="Strong"/>
              </w:rPr>
            </w:pPr>
            <w:r w:rsidRPr="00D045D5">
              <w:rPr>
                <w:rStyle w:val="Strong"/>
              </w:rPr>
              <w:t>Total cleaning expenses</w:t>
            </w:r>
          </w:p>
        </w:tc>
        <w:tc>
          <w:tcPr>
            <w:tcW w:w="1217" w:type="dxa"/>
            <w:shd w:val="clear" w:color="auto" w:fill="D8DBDB" w:themeFill="background2" w:themeFillShade="E6"/>
            <w:noWrap/>
            <w:hideMark/>
          </w:tcPr>
          <w:p w14:paraId="05EE56EB"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r w:rsidRPr="00D045D5">
              <w:rPr>
                <w:rStyle w:val="Strong"/>
              </w:rPr>
              <w:t>$257.11</w:t>
            </w:r>
          </w:p>
        </w:tc>
        <w:tc>
          <w:tcPr>
            <w:tcW w:w="1239" w:type="dxa"/>
            <w:shd w:val="clear" w:color="auto" w:fill="D8DBDB" w:themeFill="background2" w:themeFillShade="E6"/>
            <w:noWrap/>
            <w:hideMark/>
          </w:tcPr>
          <w:p w14:paraId="23891E95"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r w:rsidRPr="00D045D5">
              <w:rPr>
                <w:rStyle w:val="Strong"/>
              </w:rPr>
              <w:t>$408.90</w:t>
            </w:r>
          </w:p>
        </w:tc>
        <w:tc>
          <w:tcPr>
            <w:tcW w:w="1128" w:type="dxa"/>
            <w:shd w:val="clear" w:color="auto" w:fill="D8DBDB" w:themeFill="background2" w:themeFillShade="E6"/>
            <w:noWrap/>
            <w:hideMark/>
          </w:tcPr>
          <w:p w14:paraId="5E671038"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r w:rsidRPr="00D045D5">
              <w:rPr>
                <w:rStyle w:val="Strong"/>
              </w:rPr>
              <w:t>$53.61</w:t>
            </w:r>
          </w:p>
        </w:tc>
        <w:tc>
          <w:tcPr>
            <w:tcW w:w="1235" w:type="dxa"/>
            <w:shd w:val="clear" w:color="auto" w:fill="D8DBDB" w:themeFill="background2" w:themeFillShade="E6"/>
            <w:noWrap/>
            <w:hideMark/>
          </w:tcPr>
          <w:p w14:paraId="32E6293C"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r w:rsidRPr="00D045D5">
              <w:rPr>
                <w:rStyle w:val="Strong"/>
              </w:rPr>
              <w:t>$719.62</w:t>
            </w:r>
          </w:p>
        </w:tc>
      </w:tr>
      <w:tr w:rsidR="006C740A" w:rsidRPr="00081B06" w14:paraId="7CCAB180" w14:textId="77777777" w:rsidTr="00604EA9">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264AB54F" w14:textId="77777777" w:rsidR="006C740A" w:rsidRPr="00D045D5" w:rsidRDefault="006C740A" w:rsidP="00604EA9">
            <w:pPr>
              <w:pStyle w:val="TableParagraphbold"/>
              <w:rPr>
                <w:rStyle w:val="Strong"/>
              </w:rPr>
            </w:pPr>
            <w:r w:rsidRPr="00D045D5">
              <w:rPr>
                <w:rStyle w:val="Strong"/>
              </w:rPr>
              <w:t>Laundry expenses</w:t>
            </w:r>
          </w:p>
        </w:tc>
        <w:tc>
          <w:tcPr>
            <w:tcW w:w="1217" w:type="dxa"/>
            <w:shd w:val="clear" w:color="auto" w:fill="D8DBDB" w:themeFill="background2" w:themeFillShade="E6"/>
            <w:noWrap/>
            <w:hideMark/>
          </w:tcPr>
          <w:p w14:paraId="1B1A53B8"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p>
        </w:tc>
        <w:tc>
          <w:tcPr>
            <w:tcW w:w="1239" w:type="dxa"/>
            <w:shd w:val="clear" w:color="auto" w:fill="D8DBDB" w:themeFill="background2" w:themeFillShade="E6"/>
            <w:noWrap/>
            <w:hideMark/>
          </w:tcPr>
          <w:p w14:paraId="5C0A8046"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p>
        </w:tc>
        <w:tc>
          <w:tcPr>
            <w:tcW w:w="1128" w:type="dxa"/>
            <w:shd w:val="clear" w:color="auto" w:fill="D8DBDB" w:themeFill="background2" w:themeFillShade="E6"/>
            <w:noWrap/>
            <w:hideMark/>
          </w:tcPr>
          <w:p w14:paraId="19E7F3BE"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p>
        </w:tc>
        <w:tc>
          <w:tcPr>
            <w:tcW w:w="1235" w:type="dxa"/>
            <w:shd w:val="clear" w:color="auto" w:fill="D8DBDB" w:themeFill="background2" w:themeFillShade="E6"/>
            <w:noWrap/>
            <w:hideMark/>
          </w:tcPr>
          <w:p w14:paraId="727E9297" w14:textId="77777777" w:rsidR="006C740A" w:rsidRPr="00D045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rPr>
                <w:rStyle w:val="Strong"/>
              </w:rPr>
            </w:pPr>
          </w:p>
        </w:tc>
      </w:tr>
      <w:tr w:rsidR="006C740A" w:rsidRPr="006D57D5" w14:paraId="01649446"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7086514" w14:textId="77777777" w:rsidR="006C740A" w:rsidRPr="006D57D5" w:rsidRDefault="006C740A" w:rsidP="00E539E3">
            <w:pPr>
              <w:pStyle w:val="TableofAuthorities"/>
            </w:pPr>
            <w:r w:rsidRPr="006D57D5">
              <w:t>Employee labour costs</w:t>
            </w:r>
          </w:p>
        </w:tc>
        <w:tc>
          <w:tcPr>
            <w:tcW w:w="1217" w:type="dxa"/>
            <w:noWrap/>
            <w:hideMark/>
          </w:tcPr>
          <w:p w14:paraId="681A6131"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$80.95</w:t>
            </w:r>
          </w:p>
        </w:tc>
        <w:tc>
          <w:tcPr>
            <w:tcW w:w="1239" w:type="dxa"/>
            <w:noWrap/>
            <w:hideMark/>
          </w:tcPr>
          <w:p w14:paraId="570F8617"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$96.10</w:t>
            </w:r>
          </w:p>
        </w:tc>
        <w:tc>
          <w:tcPr>
            <w:tcW w:w="1128" w:type="dxa"/>
            <w:noWrap/>
            <w:hideMark/>
          </w:tcPr>
          <w:p w14:paraId="099812C6"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$6.95</w:t>
            </w:r>
          </w:p>
        </w:tc>
        <w:tc>
          <w:tcPr>
            <w:tcW w:w="1235" w:type="dxa"/>
            <w:noWrap/>
            <w:hideMark/>
          </w:tcPr>
          <w:p w14:paraId="2A14F76B"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$184.00</w:t>
            </w:r>
          </w:p>
        </w:tc>
      </w:tr>
      <w:tr w:rsidR="006C740A" w:rsidRPr="006D57D5" w14:paraId="2C65429E"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A98F116" w14:textId="77777777" w:rsidR="006C740A" w:rsidRPr="006D57D5" w:rsidRDefault="006C740A" w:rsidP="00E539E3">
            <w:pPr>
              <w:pStyle w:val="TableofAuthorities"/>
            </w:pPr>
            <w:r w:rsidRPr="006D57D5">
              <w:t>Consumables</w:t>
            </w:r>
          </w:p>
        </w:tc>
        <w:tc>
          <w:tcPr>
            <w:tcW w:w="1217" w:type="dxa"/>
            <w:noWrap/>
            <w:hideMark/>
          </w:tcPr>
          <w:p w14:paraId="2865A08D"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$15.60</w:t>
            </w:r>
          </w:p>
        </w:tc>
        <w:tc>
          <w:tcPr>
            <w:tcW w:w="1239" w:type="dxa"/>
            <w:noWrap/>
            <w:hideMark/>
          </w:tcPr>
          <w:p w14:paraId="5DCD121B"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$21.11</w:t>
            </w:r>
          </w:p>
        </w:tc>
        <w:tc>
          <w:tcPr>
            <w:tcW w:w="1128" w:type="dxa"/>
            <w:noWrap/>
            <w:hideMark/>
          </w:tcPr>
          <w:p w14:paraId="1F3C85F1"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$1.13</w:t>
            </w:r>
          </w:p>
        </w:tc>
        <w:tc>
          <w:tcPr>
            <w:tcW w:w="1235" w:type="dxa"/>
            <w:noWrap/>
            <w:hideMark/>
          </w:tcPr>
          <w:p w14:paraId="6FEB2E89" w14:textId="77777777" w:rsidR="006C740A" w:rsidRPr="006D57D5" w:rsidRDefault="006C740A" w:rsidP="00E539E3">
            <w:pPr>
              <w:pStyle w:val="TableofAuthorities"/>
              <w:cnfStyle w:val="000000000000" w:firstRow="0" w:lastRow="0" w:firstColumn="0" w:lastColumn="0" w:oddVBand="0" w:evenVBand="0" w:oddHBand="0" w:evenHBand="0" w:firstRowFirstColumn="0" w:firstRowLastColumn="0" w:lastRowFirstColumn="0" w:lastRowLastColumn="0"/>
            </w:pPr>
            <w:r w:rsidRPr="006D57D5">
              <w:t>$37.85</w:t>
            </w:r>
          </w:p>
        </w:tc>
      </w:tr>
      <w:tr w:rsidR="006C740A" w:rsidRPr="006D57D5" w14:paraId="79DA320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3B98330" w14:textId="77777777" w:rsidR="006C740A" w:rsidRPr="006D57D5" w:rsidRDefault="006C740A" w:rsidP="00AB1284">
            <w:pPr>
              <w:pStyle w:val="TableofAuthorities"/>
            </w:pPr>
            <w:r w:rsidRPr="006D57D5">
              <w:t>Contract services - internal</w:t>
            </w:r>
          </w:p>
        </w:tc>
        <w:tc>
          <w:tcPr>
            <w:tcW w:w="1217" w:type="dxa"/>
            <w:noWrap/>
            <w:hideMark/>
          </w:tcPr>
          <w:p w14:paraId="3EEA8F78"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$0.69</w:t>
            </w:r>
          </w:p>
        </w:tc>
        <w:tc>
          <w:tcPr>
            <w:tcW w:w="1239" w:type="dxa"/>
            <w:noWrap/>
            <w:hideMark/>
          </w:tcPr>
          <w:p w14:paraId="478ECFED"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$8.75</w:t>
            </w:r>
          </w:p>
        </w:tc>
        <w:tc>
          <w:tcPr>
            <w:tcW w:w="1128" w:type="dxa"/>
            <w:noWrap/>
            <w:hideMark/>
          </w:tcPr>
          <w:p w14:paraId="4CCB8F10"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$4.28</w:t>
            </w:r>
          </w:p>
        </w:tc>
        <w:tc>
          <w:tcPr>
            <w:tcW w:w="1235" w:type="dxa"/>
            <w:noWrap/>
            <w:hideMark/>
          </w:tcPr>
          <w:p w14:paraId="383C3C18"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$13.73</w:t>
            </w:r>
          </w:p>
        </w:tc>
      </w:tr>
      <w:tr w:rsidR="006C740A" w:rsidRPr="006D57D5" w14:paraId="1559D1C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2BEBB38" w14:textId="77777777" w:rsidR="006C740A" w:rsidRPr="006D57D5" w:rsidRDefault="006C740A" w:rsidP="00AB1284">
            <w:pPr>
              <w:pStyle w:val="TableofAuthorities"/>
            </w:pPr>
            <w:r w:rsidRPr="006D57D5">
              <w:t>Contract services - outsourcing</w:t>
            </w:r>
          </w:p>
        </w:tc>
        <w:tc>
          <w:tcPr>
            <w:tcW w:w="1217" w:type="dxa"/>
            <w:noWrap/>
            <w:hideMark/>
          </w:tcPr>
          <w:p w14:paraId="2A212A7D"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$21.56</w:t>
            </w:r>
          </w:p>
        </w:tc>
        <w:tc>
          <w:tcPr>
            <w:tcW w:w="1239" w:type="dxa"/>
            <w:noWrap/>
            <w:hideMark/>
          </w:tcPr>
          <w:p w14:paraId="5567BA67"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$48.03</w:t>
            </w:r>
          </w:p>
        </w:tc>
        <w:tc>
          <w:tcPr>
            <w:tcW w:w="1128" w:type="dxa"/>
            <w:noWrap/>
            <w:hideMark/>
          </w:tcPr>
          <w:p w14:paraId="0766D5B7"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$6.10</w:t>
            </w:r>
          </w:p>
        </w:tc>
        <w:tc>
          <w:tcPr>
            <w:tcW w:w="1235" w:type="dxa"/>
            <w:noWrap/>
            <w:hideMark/>
          </w:tcPr>
          <w:p w14:paraId="0F218E39"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$75.69</w:t>
            </w:r>
          </w:p>
        </w:tc>
      </w:tr>
      <w:tr w:rsidR="00606CD3" w:rsidRPr="006D57D5" w14:paraId="0BD1EBE5" w14:textId="77777777" w:rsidTr="00606CD3">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31D1E4E3" w14:textId="77777777" w:rsidR="006C740A" w:rsidRPr="006D57D5" w:rsidRDefault="006C740A" w:rsidP="00604EA9">
            <w:pPr>
              <w:pStyle w:val="TableParagraphbold"/>
            </w:pPr>
            <w:r w:rsidRPr="006D57D5">
              <w:t>Total laundry expenses</w:t>
            </w:r>
          </w:p>
        </w:tc>
        <w:tc>
          <w:tcPr>
            <w:tcW w:w="1217" w:type="dxa"/>
            <w:shd w:val="clear" w:color="auto" w:fill="D8DBDB" w:themeFill="background2" w:themeFillShade="E6"/>
            <w:noWrap/>
            <w:hideMark/>
          </w:tcPr>
          <w:p w14:paraId="5C469C46" w14:textId="77777777" w:rsidR="006C740A" w:rsidRPr="006D57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pPr>
            <w:r w:rsidRPr="006D57D5">
              <w:t>$118.81</w:t>
            </w:r>
          </w:p>
        </w:tc>
        <w:tc>
          <w:tcPr>
            <w:tcW w:w="1239" w:type="dxa"/>
            <w:shd w:val="clear" w:color="auto" w:fill="D8DBDB" w:themeFill="background2" w:themeFillShade="E6"/>
            <w:noWrap/>
            <w:hideMark/>
          </w:tcPr>
          <w:p w14:paraId="1BE61208" w14:textId="77777777" w:rsidR="006C740A" w:rsidRPr="006D57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pPr>
            <w:r w:rsidRPr="006D57D5">
              <w:t>$173.99</w:t>
            </w:r>
          </w:p>
        </w:tc>
        <w:tc>
          <w:tcPr>
            <w:tcW w:w="1128" w:type="dxa"/>
            <w:shd w:val="clear" w:color="auto" w:fill="D8DBDB" w:themeFill="background2" w:themeFillShade="E6"/>
            <w:noWrap/>
            <w:hideMark/>
          </w:tcPr>
          <w:p w14:paraId="644E8642" w14:textId="77777777" w:rsidR="006C740A" w:rsidRPr="006D57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pPr>
            <w:r w:rsidRPr="006D57D5">
              <w:t>$18.46</w:t>
            </w:r>
          </w:p>
        </w:tc>
        <w:tc>
          <w:tcPr>
            <w:tcW w:w="1235" w:type="dxa"/>
            <w:shd w:val="clear" w:color="auto" w:fill="D8DBDB" w:themeFill="background2" w:themeFillShade="E6"/>
            <w:noWrap/>
            <w:hideMark/>
          </w:tcPr>
          <w:p w14:paraId="33818B83" w14:textId="77777777" w:rsidR="006C740A" w:rsidRPr="006D57D5" w:rsidRDefault="006C740A" w:rsidP="00604EA9">
            <w:pPr>
              <w:pStyle w:val="TableParagraphbold"/>
              <w:cnfStyle w:val="000000000000" w:firstRow="0" w:lastRow="0" w:firstColumn="0" w:lastColumn="0" w:oddVBand="0" w:evenVBand="0" w:oddHBand="0" w:evenHBand="0" w:firstRowFirstColumn="0" w:firstRowLastColumn="0" w:lastRowFirstColumn="0" w:lastRowLastColumn="0"/>
            </w:pPr>
            <w:r w:rsidRPr="006D57D5">
              <w:t>$311.26</w:t>
            </w:r>
          </w:p>
        </w:tc>
      </w:tr>
      <w:tr w:rsidR="006C740A" w:rsidRPr="006D57D5" w14:paraId="6C3A3F05"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F5378BA" w14:textId="77777777" w:rsidR="006C740A" w:rsidRPr="006D57D5" w:rsidRDefault="006C740A" w:rsidP="00606CD3">
            <w:pPr>
              <w:pStyle w:val="TableofAuthorities"/>
            </w:pPr>
            <w:r w:rsidRPr="006D57D5">
              <w:t>Utilities</w:t>
            </w:r>
          </w:p>
        </w:tc>
        <w:tc>
          <w:tcPr>
            <w:tcW w:w="1217" w:type="dxa"/>
            <w:noWrap/>
            <w:hideMark/>
          </w:tcPr>
          <w:p w14:paraId="104B2475" w14:textId="77777777" w:rsidR="006C740A" w:rsidRPr="006D57D5" w:rsidRDefault="006C740A" w:rsidP="00606CD3">
            <w:pPr>
              <w:pStyle w:val="TableofAuthorities"/>
              <w:cnfStyle w:val="000000000000" w:firstRow="0" w:lastRow="0" w:firstColumn="0" w:lastColumn="0" w:oddVBand="0" w:evenVBand="0" w:oddHBand="0" w:evenHBand="0" w:firstRowFirstColumn="0" w:firstRowLastColumn="0" w:lastRowFirstColumn="0" w:lastRowLastColumn="0"/>
            </w:pPr>
            <w:r w:rsidRPr="006D57D5">
              <w:t>$191.00</w:t>
            </w:r>
          </w:p>
        </w:tc>
        <w:tc>
          <w:tcPr>
            <w:tcW w:w="1239" w:type="dxa"/>
            <w:noWrap/>
            <w:hideMark/>
          </w:tcPr>
          <w:p w14:paraId="2DC2486A" w14:textId="77777777" w:rsidR="006C740A" w:rsidRPr="006D57D5" w:rsidRDefault="006C740A" w:rsidP="00606CD3">
            <w:pPr>
              <w:pStyle w:val="TableofAuthorities"/>
              <w:cnfStyle w:val="000000000000" w:firstRow="0" w:lastRow="0" w:firstColumn="0" w:lastColumn="0" w:oddVBand="0" w:evenVBand="0" w:oddHBand="0" w:evenHBand="0" w:firstRowFirstColumn="0" w:firstRowLastColumn="0" w:lastRowFirstColumn="0" w:lastRowLastColumn="0"/>
            </w:pPr>
            <w:r w:rsidRPr="006D57D5">
              <w:t>$266.42</w:t>
            </w:r>
          </w:p>
        </w:tc>
        <w:tc>
          <w:tcPr>
            <w:tcW w:w="1128" w:type="dxa"/>
            <w:noWrap/>
            <w:hideMark/>
          </w:tcPr>
          <w:p w14:paraId="1160CEEC" w14:textId="77777777" w:rsidR="006C740A" w:rsidRPr="006D57D5" w:rsidRDefault="006C740A" w:rsidP="00606CD3">
            <w:pPr>
              <w:pStyle w:val="TableofAuthorities"/>
              <w:cnfStyle w:val="000000000000" w:firstRow="0" w:lastRow="0" w:firstColumn="0" w:lastColumn="0" w:oddVBand="0" w:evenVBand="0" w:oddHBand="0" w:evenHBand="0" w:firstRowFirstColumn="0" w:firstRowLastColumn="0" w:lastRowFirstColumn="0" w:lastRowLastColumn="0"/>
            </w:pPr>
            <w:r w:rsidRPr="006D57D5">
              <w:t>$17.22</w:t>
            </w:r>
          </w:p>
        </w:tc>
        <w:tc>
          <w:tcPr>
            <w:tcW w:w="1235" w:type="dxa"/>
            <w:noWrap/>
            <w:hideMark/>
          </w:tcPr>
          <w:p w14:paraId="49EEE0FE" w14:textId="77777777" w:rsidR="006C740A" w:rsidRPr="006D57D5" w:rsidRDefault="006C740A" w:rsidP="00606CD3">
            <w:pPr>
              <w:pStyle w:val="TableofAuthorities"/>
              <w:cnfStyle w:val="000000000000" w:firstRow="0" w:lastRow="0" w:firstColumn="0" w:lastColumn="0" w:oddVBand="0" w:evenVBand="0" w:oddHBand="0" w:evenHBand="0" w:firstRowFirstColumn="0" w:firstRowLastColumn="0" w:lastRowFirstColumn="0" w:lastRowLastColumn="0"/>
            </w:pPr>
            <w:r w:rsidRPr="006D57D5">
              <w:t>$474.64</w:t>
            </w:r>
          </w:p>
        </w:tc>
      </w:tr>
      <w:tr w:rsidR="006C740A" w:rsidRPr="006D57D5" w14:paraId="789C40B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1909F5A" w14:textId="77777777" w:rsidR="006C740A" w:rsidRPr="006D57D5" w:rsidRDefault="006C740A" w:rsidP="00AB1284">
            <w:pPr>
              <w:pStyle w:val="TableofAuthorities"/>
            </w:pPr>
            <w:r w:rsidRPr="006D57D5">
              <w:t>Motor vehicle expenses</w:t>
            </w:r>
          </w:p>
        </w:tc>
        <w:tc>
          <w:tcPr>
            <w:tcW w:w="1217" w:type="dxa"/>
            <w:noWrap/>
            <w:hideMark/>
          </w:tcPr>
          <w:p w14:paraId="743DEEF9"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$3.77</w:t>
            </w:r>
          </w:p>
        </w:tc>
        <w:tc>
          <w:tcPr>
            <w:tcW w:w="1239" w:type="dxa"/>
            <w:noWrap/>
            <w:hideMark/>
          </w:tcPr>
          <w:p w14:paraId="0705B7E7"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$10.72</w:t>
            </w:r>
          </w:p>
        </w:tc>
        <w:tc>
          <w:tcPr>
            <w:tcW w:w="1128" w:type="dxa"/>
            <w:noWrap/>
            <w:hideMark/>
          </w:tcPr>
          <w:p w14:paraId="016CCCB3"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$1.02</w:t>
            </w:r>
          </w:p>
        </w:tc>
        <w:tc>
          <w:tcPr>
            <w:tcW w:w="1235" w:type="dxa"/>
            <w:noWrap/>
            <w:hideMark/>
          </w:tcPr>
          <w:p w14:paraId="45F58FD9"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$15.50</w:t>
            </w:r>
          </w:p>
        </w:tc>
      </w:tr>
      <w:tr w:rsidR="00606CD3" w:rsidRPr="00606CD3" w14:paraId="173BF331" w14:textId="77777777" w:rsidTr="00606CD3">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1D6C6DDA" w14:textId="77777777" w:rsidR="006C740A" w:rsidRPr="00606CD3" w:rsidRDefault="006C740A" w:rsidP="00606CD3">
            <w:pPr>
              <w:pStyle w:val="TableParagraphbold"/>
              <w:rPr>
                <w:rStyle w:val="Strong"/>
                <w:b/>
                <w:bCs w:val="0"/>
              </w:rPr>
            </w:pPr>
            <w:r w:rsidRPr="00606CD3">
              <w:rPr>
                <w:rStyle w:val="Strong"/>
                <w:b/>
                <w:bCs w:val="0"/>
              </w:rPr>
              <w:t>Other hotel expenses</w:t>
            </w:r>
          </w:p>
        </w:tc>
        <w:tc>
          <w:tcPr>
            <w:tcW w:w="1217" w:type="dxa"/>
            <w:shd w:val="clear" w:color="auto" w:fill="D8DBDB" w:themeFill="background2" w:themeFillShade="E6"/>
            <w:noWrap/>
            <w:hideMark/>
          </w:tcPr>
          <w:p w14:paraId="63BEF9EB" w14:textId="77777777" w:rsidR="006C740A" w:rsidRPr="00606CD3"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shd w:val="clear" w:color="auto" w:fill="D8DBDB" w:themeFill="background2" w:themeFillShade="E6"/>
            <w:noWrap/>
            <w:hideMark/>
          </w:tcPr>
          <w:p w14:paraId="30868F47" w14:textId="77777777" w:rsidR="006C740A" w:rsidRPr="00606CD3"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shd w:val="clear" w:color="auto" w:fill="D8DBDB" w:themeFill="background2" w:themeFillShade="E6"/>
            <w:noWrap/>
            <w:hideMark/>
          </w:tcPr>
          <w:p w14:paraId="353367A4" w14:textId="77777777" w:rsidR="006C740A" w:rsidRPr="00606CD3"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shd w:val="clear" w:color="auto" w:fill="D8DBDB" w:themeFill="background2" w:themeFillShade="E6"/>
            <w:noWrap/>
            <w:hideMark/>
          </w:tcPr>
          <w:p w14:paraId="101BD80C" w14:textId="77777777" w:rsidR="006C740A" w:rsidRPr="00606CD3"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C740A" w:rsidRPr="006D57D5" w14:paraId="287FE2C6"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1ED666E" w14:textId="77777777" w:rsidR="006C740A" w:rsidRPr="006D57D5" w:rsidRDefault="006C740A" w:rsidP="00AB1284">
            <w:pPr>
              <w:pStyle w:val="TableofAuthorities"/>
            </w:pPr>
            <w:r w:rsidRPr="006D57D5">
              <w:t>Workcover premium (hotel services employee labour)</w:t>
            </w:r>
          </w:p>
        </w:tc>
        <w:tc>
          <w:tcPr>
            <w:tcW w:w="1217" w:type="dxa"/>
            <w:noWrap/>
            <w:hideMark/>
          </w:tcPr>
          <w:p w14:paraId="3B7F7CAD"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$17.21</w:t>
            </w:r>
          </w:p>
        </w:tc>
        <w:tc>
          <w:tcPr>
            <w:tcW w:w="1239" w:type="dxa"/>
            <w:noWrap/>
            <w:hideMark/>
          </w:tcPr>
          <w:p w14:paraId="24DED649"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$20.89</w:t>
            </w:r>
          </w:p>
        </w:tc>
        <w:tc>
          <w:tcPr>
            <w:tcW w:w="1128" w:type="dxa"/>
            <w:noWrap/>
            <w:hideMark/>
          </w:tcPr>
          <w:p w14:paraId="13CF7568"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$0.88</w:t>
            </w:r>
          </w:p>
        </w:tc>
        <w:tc>
          <w:tcPr>
            <w:tcW w:w="1235" w:type="dxa"/>
            <w:noWrap/>
            <w:hideMark/>
          </w:tcPr>
          <w:p w14:paraId="18D7C3D1"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$38.98</w:t>
            </w:r>
          </w:p>
        </w:tc>
      </w:tr>
      <w:tr w:rsidR="006C740A" w:rsidRPr="006D57D5" w14:paraId="76CA0B6E"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D2B8219" w14:textId="77777777" w:rsidR="006C740A" w:rsidRPr="006D57D5" w:rsidRDefault="006C740A" w:rsidP="00AB1284">
            <w:pPr>
              <w:pStyle w:val="TableofAuthorities"/>
            </w:pPr>
            <w:r w:rsidRPr="006D57D5">
              <w:t>Payroll tax (hotel services employee labour)</w:t>
            </w:r>
          </w:p>
        </w:tc>
        <w:tc>
          <w:tcPr>
            <w:tcW w:w="1217" w:type="dxa"/>
            <w:noWrap/>
            <w:hideMark/>
          </w:tcPr>
          <w:p w14:paraId="192ACD74"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$34.89</w:t>
            </w:r>
          </w:p>
        </w:tc>
        <w:tc>
          <w:tcPr>
            <w:tcW w:w="1239" w:type="dxa"/>
            <w:noWrap/>
            <w:hideMark/>
          </w:tcPr>
          <w:p w14:paraId="1A18A2DA"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$0.47</w:t>
            </w:r>
          </w:p>
        </w:tc>
        <w:tc>
          <w:tcPr>
            <w:tcW w:w="1128" w:type="dxa"/>
            <w:noWrap/>
            <w:hideMark/>
          </w:tcPr>
          <w:p w14:paraId="3E2C3227"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$0.07</w:t>
            </w:r>
          </w:p>
        </w:tc>
        <w:tc>
          <w:tcPr>
            <w:tcW w:w="1235" w:type="dxa"/>
            <w:noWrap/>
            <w:hideMark/>
          </w:tcPr>
          <w:p w14:paraId="408CDB68"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$35.43</w:t>
            </w:r>
          </w:p>
        </w:tc>
      </w:tr>
      <w:tr w:rsidR="006C740A" w:rsidRPr="006D57D5" w14:paraId="1E89276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0257552" w14:textId="77777777" w:rsidR="006C740A" w:rsidRPr="006D57D5" w:rsidRDefault="006C740A" w:rsidP="00AB1284">
            <w:pPr>
              <w:pStyle w:val="TableofAuthorities"/>
            </w:pPr>
            <w:r w:rsidRPr="006D57D5">
              <w:t>Quality, compliance and training external costs</w:t>
            </w:r>
          </w:p>
        </w:tc>
        <w:tc>
          <w:tcPr>
            <w:tcW w:w="1217" w:type="dxa"/>
            <w:noWrap/>
            <w:hideMark/>
          </w:tcPr>
          <w:p w14:paraId="78129617"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$2.26</w:t>
            </w:r>
          </w:p>
        </w:tc>
        <w:tc>
          <w:tcPr>
            <w:tcW w:w="1239" w:type="dxa"/>
            <w:noWrap/>
            <w:hideMark/>
          </w:tcPr>
          <w:p w14:paraId="7C14DF3F"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$3.19</w:t>
            </w:r>
          </w:p>
        </w:tc>
        <w:tc>
          <w:tcPr>
            <w:tcW w:w="1128" w:type="dxa"/>
            <w:noWrap/>
            <w:hideMark/>
          </w:tcPr>
          <w:p w14:paraId="47C56D7F"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$0.04</w:t>
            </w:r>
          </w:p>
        </w:tc>
        <w:tc>
          <w:tcPr>
            <w:tcW w:w="1235" w:type="dxa"/>
            <w:noWrap/>
            <w:hideMark/>
          </w:tcPr>
          <w:p w14:paraId="7C06737B"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$5.50</w:t>
            </w:r>
          </w:p>
        </w:tc>
      </w:tr>
      <w:tr w:rsidR="006C740A" w:rsidRPr="006D57D5" w14:paraId="4C18636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EBA5040" w14:textId="77777777" w:rsidR="006C740A" w:rsidRPr="006D57D5" w:rsidRDefault="006C740A" w:rsidP="00AB1284">
            <w:pPr>
              <w:pStyle w:val="TableofAuthorities"/>
            </w:pPr>
            <w:r w:rsidRPr="006D57D5">
              <w:t>Other hotel expenses</w:t>
            </w:r>
          </w:p>
        </w:tc>
        <w:tc>
          <w:tcPr>
            <w:tcW w:w="1217" w:type="dxa"/>
            <w:noWrap/>
            <w:hideMark/>
          </w:tcPr>
          <w:p w14:paraId="1CA55DF3"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$19.18</w:t>
            </w:r>
          </w:p>
        </w:tc>
        <w:tc>
          <w:tcPr>
            <w:tcW w:w="1239" w:type="dxa"/>
            <w:noWrap/>
            <w:hideMark/>
          </w:tcPr>
          <w:p w14:paraId="0F11FDAF"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$7.50</w:t>
            </w:r>
          </w:p>
        </w:tc>
        <w:tc>
          <w:tcPr>
            <w:tcW w:w="1128" w:type="dxa"/>
            <w:noWrap/>
            <w:hideMark/>
          </w:tcPr>
          <w:p w14:paraId="403DE436"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$1.50</w:t>
            </w:r>
          </w:p>
        </w:tc>
        <w:tc>
          <w:tcPr>
            <w:tcW w:w="1235" w:type="dxa"/>
            <w:noWrap/>
            <w:hideMark/>
          </w:tcPr>
          <w:p w14:paraId="2168C9F4" w14:textId="77777777" w:rsidR="006C740A" w:rsidRPr="006D57D5" w:rsidRDefault="006C740A" w:rsidP="00AB1284">
            <w:pPr>
              <w:pStyle w:val="TableofAuthorities"/>
              <w:cnfStyle w:val="000000000000" w:firstRow="0" w:lastRow="0" w:firstColumn="0" w:lastColumn="0" w:oddVBand="0" w:evenVBand="0" w:oddHBand="0" w:evenHBand="0" w:firstRowFirstColumn="0" w:firstRowLastColumn="0" w:lastRowFirstColumn="0" w:lastRowLastColumn="0"/>
            </w:pPr>
            <w:r w:rsidRPr="006D57D5">
              <w:t>$28.19</w:t>
            </w:r>
          </w:p>
        </w:tc>
      </w:tr>
      <w:tr w:rsidR="00606CD3" w:rsidRPr="006D57D5" w14:paraId="7BA9C221" w14:textId="77777777" w:rsidTr="00606CD3">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5EAAC82D" w14:textId="77777777" w:rsidR="006C740A" w:rsidRPr="006D57D5" w:rsidRDefault="006C740A" w:rsidP="00606CD3">
            <w:pPr>
              <w:pStyle w:val="TableParagraphbold"/>
            </w:pPr>
            <w:r w:rsidRPr="006D57D5">
              <w:t>Total other hotel expenses</w:t>
            </w:r>
          </w:p>
        </w:tc>
        <w:tc>
          <w:tcPr>
            <w:tcW w:w="1217" w:type="dxa"/>
            <w:shd w:val="clear" w:color="auto" w:fill="D8DBDB" w:themeFill="background2" w:themeFillShade="E6"/>
            <w:noWrap/>
            <w:hideMark/>
          </w:tcPr>
          <w:p w14:paraId="58CE4B0D" w14:textId="77777777" w:rsidR="006C740A" w:rsidRPr="006D57D5"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pPr>
            <w:r w:rsidRPr="006D57D5">
              <w:t>$73.55</w:t>
            </w:r>
          </w:p>
        </w:tc>
        <w:tc>
          <w:tcPr>
            <w:tcW w:w="1239" w:type="dxa"/>
            <w:shd w:val="clear" w:color="auto" w:fill="D8DBDB" w:themeFill="background2" w:themeFillShade="E6"/>
            <w:noWrap/>
            <w:hideMark/>
          </w:tcPr>
          <w:p w14:paraId="7D22105B" w14:textId="77777777" w:rsidR="006C740A" w:rsidRPr="006D57D5"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pPr>
            <w:r w:rsidRPr="006D57D5">
              <w:t>$32.05</w:t>
            </w:r>
          </w:p>
        </w:tc>
        <w:tc>
          <w:tcPr>
            <w:tcW w:w="1128" w:type="dxa"/>
            <w:shd w:val="clear" w:color="auto" w:fill="D8DBDB" w:themeFill="background2" w:themeFillShade="E6"/>
            <w:noWrap/>
            <w:hideMark/>
          </w:tcPr>
          <w:p w14:paraId="1EDA5CB6" w14:textId="77777777" w:rsidR="006C740A" w:rsidRPr="006D57D5"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pPr>
            <w:r w:rsidRPr="006D57D5">
              <w:t>$2.50</w:t>
            </w:r>
          </w:p>
        </w:tc>
        <w:tc>
          <w:tcPr>
            <w:tcW w:w="1235" w:type="dxa"/>
            <w:shd w:val="clear" w:color="auto" w:fill="D8DBDB" w:themeFill="background2" w:themeFillShade="E6"/>
            <w:noWrap/>
            <w:hideMark/>
          </w:tcPr>
          <w:p w14:paraId="3A236A17" w14:textId="77777777" w:rsidR="006C740A" w:rsidRPr="006D57D5"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pPr>
            <w:r w:rsidRPr="006D57D5">
              <w:t>$108.10</w:t>
            </w:r>
          </w:p>
        </w:tc>
      </w:tr>
      <w:tr w:rsidR="00606CD3" w:rsidRPr="006D57D5" w14:paraId="4D7EC9A1" w14:textId="77777777" w:rsidTr="00606CD3">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3A895AA8" w14:textId="77777777" w:rsidR="006C740A" w:rsidRPr="006D57D5" w:rsidRDefault="006C740A" w:rsidP="00606CD3">
            <w:pPr>
              <w:pStyle w:val="TableParagraphbold"/>
            </w:pPr>
            <w:r w:rsidRPr="006D57D5">
              <w:t>Total hotel expenses</w:t>
            </w:r>
          </w:p>
        </w:tc>
        <w:tc>
          <w:tcPr>
            <w:tcW w:w="1217" w:type="dxa"/>
            <w:shd w:val="clear" w:color="auto" w:fill="D8DBDB" w:themeFill="background2" w:themeFillShade="E6"/>
            <w:noWrap/>
            <w:hideMark/>
          </w:tcPr>
          <w:p w14:paraId="4267C3CF" w14:textId="77777777" w:rsidR="006C740A" w:rsidRPr="006D57D5"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pPr>
            <w:r w:rsidRPr="006D57D5">
              <w:t>$1,563.99</w:t>
            </w:r>
          </w:p>
        </w:tc>
        <w:tc>
          <w:tcPr>
            <w:tcW w:w="1239" w:type="dxa"/>
            <w:shd w:val="clear" w:color="auto" w:fill="D8DBDB" w:themeFill="background2" w:themeFillShade="E6"/>
            <w:noWrap/>
            <w:hideMark/>
          </w:tcPr>
          <w:p w14:paraId="21CFC1CE" w14:textId="77777777" w:rsidR="006C740A" w:rsidRPr="006D57D5"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pPr>
            <w:r w:rsidRPr="006D57D5">
              <w:t>$2,225.14</w:t>
            </w:r>
          </w:p>
        </w:tc>
        <w:tc>
          <w:tcPr>
            <w:tcW w:w="1128" w:type="dxa"/>
            <w:shd w:val="clear" w:color="auto" w:fill="D8DBDB" w:themeFill="background2" w:themeFillShade="E6"/>
            <w:noWrap/>
            <w:hideMark/>
          </w:tcPr>
          <w:p w14:paraId="3A4ABB00" w14:textId="77777777" w:rsidR="006C740A" w:rsidRPr="006D57D5"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pPr>
            <w:r w:rsidRPr="006D57D5">
              <w:t>$207.61</w:t>
            </w:r>
          </w:p>
        </w:tc>
        <w:tc>
          <w:tcPr>
            <w:tcW w:w="1235" w:type="dxa"/>
            <w:shd w:val="clear" w:color="auto" w:fill="D8DBDB" w:themeFill="background2" w:themeFillShade="E6"/>
            <w:noWrap/>
            <w:hideMark/>
          </w:tcPr>
          <w:p w14:paraId="5FF4CD8F" w14:textId="77777777" w:rsidR="006C740A" w:rsidRPr="006D57D5" w:rsidRDefault="006C740A" w:rsidP="00606CD3">
            <w:pPr>
              <w:pStyle w:val="TableParagraphbold"/>
              <w:cnfStyle w:val="000000000000" w:firstRow="0" w:lastRow="0" w:firstColumn="0" w:lastColumn="0" w:oddVBand="0" w:evenVBand="0" w:oddHBand="0" w:evenHBand="0" w:firstRowFirstColumn="0" w:firstRowLastColumn="0" w:lastRowFirstColumn="0" w:lastRowLastColumn="0"/>
            </w:pPr>
            <w:r w:rsidRPr="006D57D5">
              <w:t>$3,996.74</w:t>
            </w:r>
          </w:p>
        </w:tc>
      </w:tr>
      <w:tr w:rsidR="00606CD3" w:rsidRPr="002236E8" w14:paraId="165A8E33" w14:textId="77777777" w:rsidTr="00606CD3">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140A07CC" w14:textId="77777777" w:rsidR="006C740A" w:rsidRPr="002236E8" w:rsidRDefault="006C740A" w:rsidP="002236E8">
            <w:pPr>
              <w:pStyle w:val="TableParagraphbold"/>
              <w:rPr>
                <w:rStyle w:val="Strong"/>
                <w:b/>
                <w:bCs w:val="0"/>
              </w:rPr>
            </w:pPr>
            <w:r w:rsidRPr="002236E8">
              <w:rPr>
                <w:rStyle w:val="Strong"/>
                <w:b/>
                <w:bCs w:val="0"/>
              </w:rPr>
              <w:t>Administration expenses</w:t>
            </w:r>
          </w:p>
        </w:tc>
        <w:tc>
          <w:tcPr>
            <w:tcW w:w="1217" w:type="dxa"/>
            <w:shd w:val="clear" w:color="auto" w:fill="D8DBDB" w:themeFill="background2" w:themeFillShade="E6"/>
            <w:noWrap/>
            <w:hideMark/>
          </w:tcPr>
          <w:p w14:paraId="5FD9DC92"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shd w:val="clear" w:color="auto" w:fill="D8DBDB" w:themeFill="background2" w:themeFillShade="E6"/>
            <w:noWrap/>
            <w:hideMark/>
          </w:tcPr>
          <w:p w14:paraId="43EFC779"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shd w:val="clear" w:color="auto" w:fill="D8DBDB" w:themeFill="background2" w:themeFillShade="E6"/>
            <w:noWrap/>
            <w:hideMark/>
          </w:tcPr>
          <w:p w14:paraId="60C43F27"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shd w:val="clear" w:color="auto" w:fill="D8DBDB" w:themeFill="background2" w:themeFillShade="E6"/>
            <w:noWrap/>
            <w:hideMark/>
          </w:tcPr>
          <w:p w14:paraId="63B79EF8"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C740A" w:rsidRPr="006D57D5" w14:paraId="011FDB59"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B0E08E7" w14:textId="77777777" w:rsidR="006C740A" w:rsidRPr="006D57D5" w:rsidRDefault="006C740A" w:rsidP="003928A3">
            <w:pPr>
              <w:pStyle w:val="TableofAuthorities"/>
            </w:pPr>
            <w:r w:rsidRPr="006D57D5">
              <w:t>Corporate recharge</w:t>
            </w:r>
          </w:p>
        </w:tc>
        <w:tc>
          <w:tcPr>
            <w:tcW w:w="1217" w:type="dxa"/>
            <w:noWrap/>
            <w:hideMark/>
          </w:tcPr>
          <w:p w14:paraId="54785F9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$554.42</w:t>
            </w:r>
          </w:p>
        </w:tc>
        <w:tc>
          <w:tcPr>
            <w:tcW w:w="1239" w:type="dxa"/>
            <w:noWrap/>
            <w:hideMark/>
          </w:tcPr>
          <w:p w14:paraId="28F8A76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$902.39</w:t>
            </w:r>
          </w:p>
        </w:tc>
        <w:tc>
          <w:tcPr>
            <w:tcW w:w="1128" w:type="dxa"/>
            <w:noWrap/>
            <w:hideMark/>
          </w:tcPr>
          <w:p w14:paraId="663B226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$72.79</w:t>
            </w:r>
          </w:p>
        </w:tc>
        <w:tc>
          <w:tcPr>
            <w:tcW w:w="1235" w:type="dxa"/>
            <w:noWrap/>
            <w:hideMark/>
          </w:tcPr>
          <w:p w14:paraId="05A409F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$1,529.59</w:t>
            </w:r>
          </w:p>
        </w:tc>
      </w:tr>
      <w:tr w:rsidR="006C740A" w:rsidRPr="006D57D5" w14:paraId="784CF46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E2E8DCB" w14:textId="77777777" w:rsidR="006C740A" w:rsidRPr="006D57D5" w:rsidRDefault="006C740A" w:rsidP="003928A3">
            <w:pPr>
              <w:pStyle w:val="TableofAuthorities"/>
            </w:pPr>
            <w:r w:rsidRPr="006D57D5">
              <w:t>Employee labour costs</w:t>
            </w:r>
          </w:p>
        </w:tc>
        <w:tc>
          <w:tcPr>
            <w:tcW w:w="1217" w:type="dxa"/>
            <w:noWrap/>
            <w:hideMark/>
          </w:tcPr>
          <w:p w14:paraId="1B0281E3"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$325.17</w:t>
            </w:r>
          </w:p>
        </w:tc>
        <w:tc>
          <w:tcPr>
            <w:tcW w:w="1239" w:type="dxa"/>
            <w:noWrap/>
            <w:hideMark/>
          </w:tcPr>
          <w:p w14:paraId="4A3D97F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$372.03</w:t>
            </w:r>
          </w:p>
        </w:tc>
        <w:tc>
          <w:tcPr>
            <w:tcW w:w="1128" w:type="dxa"/>
            <w:noWrap/>
            <w:hideMark/>
          </w:tcPr>
          <w:p w14:paraId="37FAAE0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$29.15</w:t>
            </w:r>
          </w:p>
        </w:tc>
        <w:tc>
          <w:tcPr>
            <w:tcW w:w="1235" w:type="dxa"/>
            <w:noWrap/>
            <w:hideMark/>
          </w:tcPr>
          <w:p w14:paraId="26F3F6BA"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$726.35</w:t>
            </w:r>
          </w:p>
        </w:tc>
      </w:tr>
      <w:tr w:rsidR="006C740A" w:rsidRPr="006D57D5" w14:paraId="63B2F0B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B498536" w14:textId="77777777" w:rsidR="006C740A" w:rsidRPr="006D57D5" w:rsidRDefault="006C740A" w:rsidP="003928A3">
            <w:pPr>
              <w:pStyle w:val="TableofAuthorities"/>
            </w:pPr>
            <w:r w:rsidRPr="006D57D5">
              <w:t>Workcover premium (aged care home admin employee labour)</w:t>
            </w:r>
          </w:p>
        </w:tc>
        <w:tc>
          <w:tcPr>
            <w:tcW w:w="1217" w:type="dxa"/>
            <w:noWrap/>
            <w:hideMark/>
          </w:tcPr>
          <w:p w14:paraId="0E88487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$13.21</w:t>
            </w:r>
          </w:p>
        </w:tc>
        <w:tc>
          <w:tcPr>
            <w:tcW w:w="1239" w:type="dxa"/>
            <w:noWrap/>
            <w:hideMark/>
          </w:tcPr>
          <w:p w14:paraId="1D5049D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$21.32</w:t>
            </w:r>
          </w:p>
        </w:tc>
        <w:tc>
          <w:tcPr>
            <w:tcW w:w="1128" w:type="dxa"/>
            <w:noWrap/>
            <w:hideMark/>
          </w:tcPr>
          <w:p w14:paraId="2C2D32FE"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$1.19</w:t>
            </w:r>
          </w:p>
        </w:tc>
        <w:tc>
          <w:tcPr>
            <w:tcW w:w="1235" w:type="dxa"/>
            <w:noWrap/>
            <w:hideMark/>
          </w:tcPr>
          <w:p w14:paraId="5D0A001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$35.72</w:t>
            </w:r>
          </w:p>
        </w:tc>
      </w:tr>
      <w:tr w:rsidR="006C740A" w:rsidRPr="006D57D5" w14:paraId="021F6C78"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2CA4FD6" w14:textId="77777777" w:rsidR="006C740A" w:rsidRPr="006D57D5" w:rsidRDefault="006C740A" w:rsidP="003928A3">
            <w:pPr>
              <w:pStyle w:val="TableofAuthorities"/>
            </w:pPr>
            <w:r w:rsidRPr="006D57D5">
              <w:t>Payroll tax (aged care home admin employee labour)</w:t>
            </w:r>
          </w:p>
        </w:tc>
        <w:tc>
          <w:tcPr>
            <w:tcW w:w="1217" w:type="dxa"/>
            <w:noWrap/>
            <w:hideMark/>
          </w:tcPr>
          <w:p w14:paraId="0665A208"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$18.21</w:t>
            </w:r>
          </w:p>
        </w:tc>
        <w:tc>
          <w:tcPr>
            <w:tcW w:w="1239" w:type="dxa"/>
            <w:noWrap/>
            <w:hideMark/>
          </w:tcPr>
          <w:p w14:paraId="0405C5D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$0.46</w:t>
            </w:r>
          </w:p>
        </w:tc>
        <w:tc>
          <w:tcPr>
            <w:tcW w:w="1128" w:type="dxa"/>
            <w:noWrap/>
            <w:hideMark/>
          </w:tcPr>
          <w:p w14:paraId="6C8417D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$0.04</w:t>
            </w:r>
          </w:p>
        </w:tc>
        <w:tc>
          <w:tcPr>
            <w:tcW w:w="1235" w:type="dxa"/>
            <w:noWrap/>
            <w:hideMark/>
          </w:tcPr>
          <w:p w14:paraId="229325D7"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$18.71</w:t>
            </w:r>
          </w:p>
        </w:tc>
      </w:tr>
      <w:tr w:rsidR="006C740A" w:rsidRPr="006D57D5" w14:paraId="07BAE9F3"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A90F663" w14:textId="77777777" w:rsidR="006C740A" w:rsidRPr="006D57D5" w:rsidRDefault="006C740A" w:rsidP="003928A3">
            <w:pPr>
              <w:pStyle w:val="TableofAuthorities"/>
            </w:pPr>
            <w:r w:rsidRPr="006D57D5">
              <w:t>Fringe benefits tax</w:t>
            </w:r>
          </w:p>
        </w:tc>
        <w:tc>
          <w:tcPr>
            <w:tcW w:w="1217" w:type="dxa"/>
            <w:noWrap/>
            <w:hideMark/>
          </w:tcPr>
          <w:p w14:paraId="7648EFA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$1.66</w:t>
            </w:r>
          </w:p>
        </w:tc>
        <w:tc>
          <w:tcPr>
            <w:tcW w:w="1239" w:type="dxa"/>
            <w:noWrap/>
            <w:hideMark/>
          </w:tcPr>
          <w:p w14:paraId="671FF47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$0.40</w:t>
            </w:r>
          </w:p>
        </w:tc>
        <w:tc>
          <w:tcPr>
            <w:tcW w:w="1128" w:type="dxa"/>
            <w:noWrap/>
            <w:hideMark/>
          </w:tcPr>
          <w:p w14:paraId="4FF34DEE"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$0.12</w:t>
            </w:r>
          </w:p>
        </w:tc>
        <w:tc>
          <w:tcPr>
            <w:tcW w:w="1235" w:type="dxa"/>
            <w:noWrap/>
            <w:hideMark/>
          </w:tcPr>
          <w:p w14:paraId="44017A3A"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$2.19</w:t>
            </w:r>
          </w:p>
        </w:tc>
      </w:tr>
      <w:tr w:rsidR="006C740A" w:rsidRPr="006D57D5" w14:paraId="59B785E0"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8ADD1D1" w14:textId="77777777" w:rsidR="006C740A" w:rsidRPr="006D57D5" w:rsidRDefault="006C740A" w:rsidP="003928A3">
            <w:pPr>
              <w:pStyle w:val="TableofAuthorities"/>
            </w:pPr>
            <w:r w:rsidRPr="006D57D5">
              <w:t>Quality, compliance and training external costs</w:t>
            </w:r>
          </w:p>
        </w:tc>
        <w:tc>
          <w:tcPr>
            <w:tcW w:w="1217" w:type="dxa"/>
            <w:noWrap/>
            <w:hideMark/>
          </w:tcPr>
          <w:p w14:paraId="2F56FDC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$5.98</w:t>
            </w:r>
          </w:p>
        </w:tc>
        <w:tc>
          <w:tcPr>
            <w:tcW w:w="1239" w:type="dxa"/>
            <w:noWrap/>
            <w:hideMark/>
          </w:tcPr>
          <w:p w14:paraId="3753176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$21.35</w:t>
            </w:r>
          </w:p>
        </w:tc>
        <w:tc>
          <w:tcPr>
            <w:tcW w:w="1128" w:type="dxa"/>
            <w:noWrap/>
            <w:hideMark/>
          </w:tcPr>
          <w:p w14:paraId="09B6CA2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$1.06</w:t>
            </w:r>
          </w:p>
        </w:tc>
        <w:tc>
          <w:tcPr>
            <w:tcW w:w="1235" w:type="dxa"/>
            <w:noWrap/>
            <w:hideMark/>
          </w:tcPr>
          <w:p w14:paraId="44750E6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$28.39</w:t>
            </w:r>
          </w:p>
        </w:tc>
      </w:tr>
      <w:tr w:rsidR="006C740A" w:rsidRPr="006D57D5" w14:paraId="2755A539"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097BC23" w14:textId="77777777" w:rsidR="006C740A" w:rsidRPr="006D57D5" w:rsidRDefault="006C740A" w:rsidP="003928A3">
            <w:pPr>
              <w:pStyle w:val="TableofAuthorities"/>
            </w:pPr>
            <w:r w:rsidRPr="006D57D5">
              <w:t>Insurances</w:t>
            </w:r>
          </w:p>
        </w:tc>
        <w:tc>
          <w:tcPr>
            <w:tcW w:w="1217" w:type="dxa"/>
            <w:noWrap/>
            <w:hideMark/>
          </w:tcPr>
          <w:p w14:paraId="08197BC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$29.13</w:t>
            </w:r>
          </w:p>
        </w:tc>
        <w:tc>
          <w:tcPr>
            <w:tcW w:w="1239" w:type="dxa"/>
            <w:noWrap/>
            <w:hideMark/>
          </w:tcPr>
          <w:p w14:paraId="54AE853E"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$57.49</w:t>
            </w:r>
          </w:p>
        </w:tc>
        <w:tc>
          <w:tcPr>
            <w:tcW w:w="1128" w:type="dxa"/>
            <w:noWrap/>
            <w:hideMark/>
          </w:tcPr>
          <w:p w14:paraId="463A7058"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$2.03</w:t>
            </w:r>
          </w:p>
        </w:tc>
        <w:tc>
          <w:tcPr>
            <w:tcW w:w="1235" w:type="dxa"/>
            <w:noWrap/>
            <w:hideMark/>
          </w:tcPr>
          <w:p w14:paraId="4AF4AB1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$88.64</w:t>
            </w:r>
          </w:p>
        </w:tc>
      </w:tr>
      <w:tr w:rsidR="006C740A" w:rsidRPr="006D57D5" w14:paraId="1BD9E776"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BB030D5" w14:textId="77777777" w:rsidR="006C740A" w:rsidRPr="006D57D5" w:rsidRDefault="006C740A" w:rsidP="003928A3">
            <w:pPr>
              <w:pStyle w:val="TableofAuthorities"/>
            </w:pPr>
            <w:r w:rsidRPr="006D57D5">
              <w:t>Other administration costs</w:t>
            </w:r>
          </w:p>
        </w:tc>
        <w:tc>
          <w:tcPr>
            <w:tcW w:w="1217" w:type="dxa"/>
            <w:noWrap/>
            <w:hideMark/>
          </w:tcPr>
          <w:p w14:paraId="514E2CE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$230.75</w:t>
            </w:r>
          </w:p>
        </w:tc>
        <w:tc>
          <w:tcPr>
            <w:tcW w:w="1239" w:type="dxa"/>
            <w:noWrap/>
            <w:hideMark/>
          </w:tcPr>
          <w:p w14:paraId="3F1D655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$269.23</w:t>
            </w:r>
          </w:p>
        </w:tc>
        <w:tc>
          <w:tcPr>
            <w:tcW w:w="1128" w:type="dxa"/>
            <w:noWrap/>
            <w:hideMark/>
          </w:tcPr>
          <w:p w14:paraId="65C6C3FA"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$24.58</w:t>
            </w:r>
          </w:p>
        </w:tc>
        <w:tc>
          <w:tcPr>
            <w:tcW w:w="1235" w:type="dxa"/>
            <w:noWrap/>
            <w:hideMark/>
          </w:tcPr>
          <w:p w14:paraId="15593F3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$524.56</w:t>
            </w:r>
          </w:p>
        </w:tc>
      </w:tr>
      <w:tr w:rsidR="002236E8" w:rsidRPr="002236E8" w14:paraId="1437AF20"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1191573D" w14:textId="77777777" w:rsidR="006C740A" w:rsidRPr="002236E8" w:rsidRDefault="006C740A" w:rsidP="002236E8">
            <w:pPr>
              <w:pStyle w:val="TableParagraphbold"/>
              <w:rPr>
                <w:rStyle w:val="Strong"/>
                <w:b/>
                <w:bCs w:val="0"/>
              </w:rPr>
            </w:pPr>
            <w:r w:rsidRPr="002236E8">
              <w:rPr>
                <w:rStyle w:val="Strong"/>
                <w:b/>
                <w:bCs w:val="0"/>
              </w:rPr>
              <w:lastRenderedPageBreak/>
              <w:t>Total administration expenses</w:t>
            </w:r>
          </w:p>
        </w:tc>
        <w:tc>
          <w:tcPr>
            <w:tcW w:w="1217" w:type="dxa"/>
            <w:shd w:val="clear" w:color="auto" w:fill="D8DBDB" w:themeFill="background2" w:themeFillShade="E6"/>
            <w:noWrap/>
            <w:hideMark/>
          </w:tcPr>
          <w:p w14:paraId="0FCC6993"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2236E8">
              <w:rPr>
                <w:rStyle w:val="Strong"/>
                <w:b/>
                <w:bCs w:val="0"/>
              </w:rPr>
              <w:t>$1,178.53</w:t>
            </w:r>
          </w:p>
        </w:tc>
        <w:tc>
          <w:tcPr>
            <w:tcW w:w="1239" w:type="dxa"/>
            <w:shd w:val="clear" w:color="auto" w:fill="D8DBDB" w:themeFill="background2" w:themeFillShade="E6"/>
            <w:noWrap/>
            <w:hideMark/>
          </w:tcPr>
          <w:p w14:paraId="2FFAD889"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2236E8">
              <w:rPr>
                <w:rStyle w:val="Strong"/>
                <w:b/>
                <w:bCs w:val="0"/>
              </w:rPr>
              <w:t>$1,644.67</w:t>
            </w:r>
          </w:p>
        </w:tc>
        <w:tc>
          <w:tcPr>
            <w:tcW w:w="1128" w:type="dxa"/>
            <w:shd w:val="clear" w:color="auto" w:fill="D8DBDB" w:themeFill="background2" w:themeFillShade="E6"/>
            <w:noWrap/>
            <w:hideMark/>
          </w:tcPr>
          <w:p w14:paraId="4551D916"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2236E8">
              <w:rPr>
                <w:rStyle w:val="Strong"/>
                <w:b/>
                <w:bCs w:val="0"/>
              </w:rPr>
              <w:t>$130.96</w:t>
            </w:r>
          </w:p>
        </w:tc>
        <w:tc>
          <w:tcPr>
            <w:tcW w:w="1235" w:type="dxa"/>
            <w:shd w:val="clear" w:color="auto" w:fill="D8DBDB" w:themeFill="background2" w:themeFillShade="E6"/>
            <w:noWrap/>
            <w:hideMark/>
          </w:tcPr>
          <w:p w14:paraId="7001E83F"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2236E8">
              <w:rPr>
                <w:rStyle w:val="Strong"/>
                <w:b/>
                <w:bCs w:val="0"/>
              </w:rPr>
              <w:t>$2,954.16</w:t>
            </w:r>
          </w:p>
        </w:tc>
      </w:tr>
      <w:tr w:rsidR="002236E8" w:rsidRPr="002236E8" w14:paraId="079E7CD7"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37462A61" w14:textId="77777777" w:rsidR="006C740A" w:rsidRPr="002236E8" w:rsidRDefault="006C740A" w:rsidP="002236E8">
            <w:pPr>
              <w:pStyle w:val="TableParagraphbold"/>
              <w:rPr>
                <w:rStyle w:val="Strong"/>
                <w:b/>
                <w:bCs w:val="0"/>
              </w:rPr>
            </w:pPr>
            <w:r w:rsidRPr="002236E8">
              <w:rPr>
                <w:rStyle w:val="Strong"/>
                <w:b/>
                <w:bCs w:val="0"/>
              </w:rPr>
              <w:t>Accommodation and finance expenses</w:t>
            </w:r>
          </w:p>
        </w:tc>
        <w:tc>
          <w:tcPr>
            <w:tcW w:w="1217" w:type="dxa"/>
            <w:shd w:val="clear" w:color="auto" w:fill="D8DBDB" w:themeFill="background2" w:themeFillShade="E6"/>
            <w:noWrap/>
            <w:hideMark/>
          </w:tcPr>
          <w:p w14:paraId="19D49738"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shd w:val="clear" w:color="auto" w:fill="D8DBDB" w:themeFill="background2" w:themeFillShade="E6"/>
            <w:noWrap/>
            <w:hideMark/>
          </w:tcPr>
          <w:p w14:paraId="0BB9F9DE"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shd w:val="clear" w:color="auto" w:fill="D8DBDB" w:themeFill="background2" w:themeFillShade="E6"/>
            <w:noWrap/>
            <w:hideMark/>
          </w:tcPr>
          <w:p w14:paraId="78B367CD"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shd w:val="clear" w:color="auto" w:fill="D8DBDB" w:themeFill="background2" w:themeFillShade="E6"/>
            <w:noWrap/>
            <w:hideMark/>
          </w:tcPr>
          <w:p w14:paraId="15A21F7B"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C740A" w:rsidRPr="006D57D5" w14:paraId="44666A0F"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6627FEB3" w14:textId="77777777" w:rsidR="006C740A" w:rsidRPr="006D57D5" w:rsidRDefault="006C740A" w:rsidP="003928A3">
            <w:pPr>
              <w:pStyle w:val="TableofAuthorities"/>
            </w:pPr>
            <w:r w:rsidRPr="006D57D5">
              <w:t>Employee labour costs</w:t>
            </w:r>
          </w:p>
        </w:tc>
        <w:tc>
          <w:tcPr>
            <w:tcW w:w="1217" w:type="dxa"/>
            <w:noWrap/>
            <w:hideMark/>
          </w:tcPr>
          <w:p w14:paraId="2762F48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$11.96</w:t>
            </w:r>
          </w:p>
        </w:tc>
        <w:tc>
          <w:tcPr>
            <w:tcW w:w="1239" w:type="dxa"/>
            <w:noWrap/>
            <w:hideMark/>
          </w:tcPr>
          <w:p w14:paraId="1A4B3D7A"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$28.67</w:t>
            </w:r>
          </w:p>
        </w:tc>
        <w:tc>
          <w:tcPr>
            <w:tcW w:w="1128" w:type="dxa"/>
            <w:noWrap/>
            <w:hideMark/>
          </w:tcPr>
          <w:p w14:paraId="53823CC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$4.41</w:t>
            </w:r>
          </w:p>
        </w:tc>
        <w:tc>
          <w:tcPr>
            <w:tcW w:w="1235" w:type="dxa"/>
            <w:noWrap/>
            <w:hideMark/>
          </w:tcPr>
          <w:p w14:paraId="46624E6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$45.04</w:t>
            </w:r>
          </w:p>
        </w:tc>
      </w:tr>
      <w:tr w:rsidR="006C740A" w:rsidRPr="006D57D5" w14:paraId="34FB4807"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7FF9479" w14:textId="77777777" w:rsidR="006C740A" w:rsidRPr="006D57D5" w:rsidRDefault="006C740A" w:rsidP="003928A3">
            <w:pPr>
              <w:pStyle w:val="TableofAuthorities"/>
            </w:pPr>
            <w:r w:rsidRPr="006D57D5">
              <w:t>Depreciation - building</w:t>
            </w:r>
          </w:p>
        </w:tc>
        <w:tc>
          <w:tcPr>
            <w:tcW w:w="1217" w:type="dxa"/>
            <w:noWrap/>
            <w:hideMark/>
          </w:tcPr>
          <w:p w14:paraId="12EFA35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$150.46</w:t>
            </w:r>
          </w:p>
        </w:tc>
        <w:tc>
          <w:tcPr>
            <w:tcW w:w="1239" w:type="dxa"/>
            <w:noWrap/>
            <w:hideMark/>
          </w:tcPr>
          <w:p w14:paraId="0E5977EE"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$532.79</w:t>
            </w:r>
          </w:p>
        </w:tc>
        <w:tc>
          <w:tcPr>
            <w:tcW w:w="1128" w:type="dxa"/>
            <w:noWrap/>
            <w:hideMark/>
          </w:tcPr>
          <w:p w14:paraId="195A919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$65.17</w:t>
            </w:r>
          </w:p>
        </w:tc>
        <w:tc>
          <w:tcPr>
            <w:tcW w:w="1235" w:type="dxa"/>
            <w:noWrap/>
            <w:hideMark/>
          </w:tcPr>
          <w:p w14:paraId="42904D8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$748.42</w:t>
            </w:r>
          </w:p>
        </w:tc>
      </w:tr>
      <w:tr w:rsidR="006C740A" w:rsidRPr="006D57D5" w14:paraId="38EF7B2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707046B" w14:textId="77777777" w:rsidR="006C740A" w:rsidRPr="006D57D5" w:rsidRDefault="006C740A" w:rsidP="003928A3">
            <w:pPr>
              <w:pStyle w:val="TableofAuthorities"/>
            </w:pPr>
            <w:r w:rsidRPr="006D57D5">
              <w:t>Depreciation - right of use assets AASB 16</w:t>
            </w:r>
          </w:p>
        </w:tc>
        <w:tc>
          <w:tcPr>
            <w:tcW w:w="1217" w:type="dxa"/>
            <w:noWrap/>
            <w:hideMark/>
          </w:tcPr>
          <w:p w14:paraId="5341487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$149.34</w:t>
            </w:r>
          </w:p>
        </w:tc>
        <w:tc>
          <w:tcPr>
            <w:tcW w:w="1239" w:type="dxa"/>
            <w:noWrap/>
            <w:hideMark/>
          </w:tcPr>
          <w:p w14:paraId="0A862E5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$28.15</w:t>
            </w:r>
          </w:p>
        </w:tc>
        <w:tc>
          <w:tcPr>
            <w:tcW w:w="1128" w:type="dxa"/>
            <w:noWrap/>
            <w:hideMark/>
          </w:tcPr>
          <w:p w14:paraId="58AD688C"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$0.22</w:t>
            </w:r>
          </w:p>
        </w:tc>
        <w:tc>
          <w:tcPr>
            <w:tcW w:w="1235" w:type="dxa"/>
            <w:noWrap/>
            <w:hideMark/>
          </w:tcPr>
          <w:p w14:paraId="0F9096A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$177.71</w:t>
            </w:r>
          </w:p>
        </w:tc>
      </w:tr>
      <w:tr w:rsidR="006C740A" w:rsidRPr="006D57D5" w14:paraId="05B28E5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6553B46" w14:textId="77777777" w:rsidR="006C740A" w:rsidRPr="006D57D5" w:rsidRDefault="006C740A" w:rsidP="003928A3">
            <w:pPr>
              <w:pStyle w:val="TableofAuthorities"/>
            </w:pPr>
            <w:r w:rsidRPr="006D57D5">
              <w:t>Depreciation - other assets</w:t>
            </w:r>
          </w:p>
        </w:tc>
        <w:tc>
          <w:tcPr>
            <w:tcW w:w="1217" w:type="dxa"/>
            <w:noWrap/>
            <w:hideMark/>
          </w:tcPr>
          <w:p w14:paraId="1ECFC2A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$232.28</w:t>
            </w:r>
          </w:p>
        </w:tc>
        <w:tc>
          <w:tcPr>
            <w:tcW w:w="1239" w:type="dxa"/>
            <w:noWrap/>
            <w:hideMark/>
          </w:tcPr>
          <w:p w14:paraId="236C1CF3"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$255.81</w:t>
            </w:r>
          </w:p>
        </w:tc>
        <w:tc>
          <w:tcPr>
            <w:tcW w:w="1128" w:type="dxa"/>
            <w:noWrap/>
            <w:hideMark/>
          </w:tcPr>
          <w:p w14:paraId="059F4F4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$8.48</w:t>
            </w:r>
          </w:p>
        </w:tc>
        <w:tc>
          <w:tcPr>
            <w:tcW w:w="1235" w:type="dxa"/>
            <w:noWrap/>
            <w:hideMark/>
          </w:tcPr>
          <w:p w14:paraId="4BB1F937"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$496.57</w:t>
            </w:r>
          </w:p>
        </w:tc>
      </w:tr>
      <w:tr w:rsidR="006C740A" w:rsidRPr="006D57D5" w14:paraId="6B666BD7"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E0AA360" w14:textId="77777777" w:rsidR="006C740A" w:rsidRPr="006D57D5" w:rsidRDefault="006C740A" w:rsidP="003928A3">
            <w:pPr>
              <w:pStyle w:val="TableofAuthorities"/>
            </w:pPr>
            <w:r w:rsidRPr="006D57D5">
              <w:t>Amortisation</w:t>
            </w:r>
          </w:p>
        </w:tc>
        <w:tc>
          <w:tcPr>
            <w:tcW w:w="1217" w:type="dxa"/>
            <w:noWrap/>
            <w:hideMark/>
          </w:tcPr>
          <w:p w14:paraId="692A6D9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$569.16</w:t>
            </w:r>
          </w:p>
        </w:tc>
        <w:tc>
          <w:tcPr>
            <w:tcW w:w="1239" w:type="dxa"/>
            <w:noWrap/>
            <w:hideMark/>
          </w:tcPr>
          <w:p w14:paraId="1BBA4FC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$243.55</w:t>
            </w:r>
          </w:p>
        </w:tc>
        <w:tc>
          <w:tcPr>
            <w:tcW w:w="1128" w:type="dxa"/>
            <w:noWrap/>
            <w:hideMark/>
          </w:tcPr>
          <w:p w14:paraId="5592978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$0.21</w:t>
            </w:r>
          </w:p>
        </w:tc>
        <w:tc>
          <w:tcPr>
            <w:tcW w:w="1235" w:type="dxa"/>
            <w:noWrap/>
            <w:hideMark/>
          </w:tcPr>
          <w:p w14:paraId="73CBC58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$812.92</w:t>
            </w:r>
          </w:p>
        </w:tc>
      </w:tr>
      <w:tr w:rsidR="006C740A" w:rsidRPr="006D57D5" w14:paraId="11200DD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3440B2B" w14:textId="77777777" w:rsidR="006C740A" w:rsidRPr="006D57D5" w:rsidRDefault="006C740A" w:rsidP="003928A3">
            <w:pPr>
              <w:pStyle w:val="TableofAuthorities"/>
            </w:pPr>
            <w:r w:rsidRPr="006D57D5">
              <w:t>Refurbishment costs</w:t>
            </w:r>
          </w:p>
        </w:tc>
        <w:tc>
          <w:tcPr>
            <w:tcW w:w="1217" w:type="dxa"/>
            <w:noWrap/>
            <w:hideMark/>
          </w:tcPr>
          <w:p w14:paraId="746D586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$51.15</w:t>
            </w:r>
          </w:p>
        </w:tc>
        <w:tc>
          <w:tcPr>
            <w:tcW w:w="1239" w:type="dxa"/>
            <w:noWrap/>
            <w:hideMark/>
          </w:tcPr>
          <w:p w14:paraId="21E50A7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$22.64</w:t>
            </w:r>
          </w:p>
        </w:tc>
        <w:tc>
          <w:tcPr>
            <w:tcW w:w="1128" w:type="dxa"/>
            <w:noWrap/>
            <w:hideMark/>
          </w:tcPr>
          <w:p w14:paraId="6AD0112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$0.88</w:t>
            </w:r>
          </w:p>
        </w:tc>
        <w:tc>
          <w:tcPr>
            <w:tcW w:w="1235" w:type="dxa"/>
            <w:noWrap/>
            <w:hideMark/>
          </w:tcPr>
          <w:p w14:paraId="4B30259E"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$74.66</w:t>
            </w:r>
          </w:p>
        </w:tc>
      </w:tr>
      <w:tr w:rsidR="006C740A" w:rsidRPr="006D57D5" w14:paraId="5CAD02AF"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5BEE897" w14:textId="77777777" w:rsidR="006C740A" w:rsidRPr="006D57D5" w:rsidRDefault="006C740A" w:rsidP="003928A3">
            <w:pPr>
              <w:pStyle w:val="TableofAuthorities"/>
            </w:pPr>
            <w:r w:rsidRPr="006D57D5">
              <w:t>Rent for buildings - not captured by AASB 16</w:t>
            </w:r>
          </w:p>
        </w:tc>
        <w:tc>
          <w:tcPr>
            <w:tcW w:w="1217" w:type="dxa"/>
            <w:noWrap/>
            <w:hideMark/>
          </w:tcPr>
          <w:p w14:paraId="57ED9E47"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$114.42</w:t>
            </w:r>
          </w:p>
        </w:tc>
        <w:tc>
          <w:tcPr>
            <w:tcW w:w="1239" w:type="dxa"/>
            <w:noWrap/>
            <w:hideMark/>
          </w:tcPr>
          <w:p w14:paraId="51DDF73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$10.30</w:t>
            </w:r>
          </w:p>
        </w:tc>
        <w:tc>
          <w:tcPr>
            <w:tcW w:w="1128" w:type="dxa"/>
            <w:noWrap/>
            <w:hideMark/>
          </w:tcPr>
          <w:p w14:paraId="4B60CDC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$1.97</w:t>
            </w:r>
          </w:p>
        </w:tc>
        <w:tc>
          <w:tcPr>
            <w:tcW w:w="1235" w:type="dxa"/>
            <w:noWrap/>
            <w:hideMark/>
          </w:tcPr>
          <w:p w14:paraId="5BC2D688"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$126.69</w:t>
            </w:r>
          </w:p>
        </w:tc>
      </w:tr>
      <w:tr w:rsidR="006C740A" w:rsidRPr="006D57D5" w14:paraId="0C787311"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44CE743" w14:textId="77777777" w:rsidR="006C740A" w:rsidRPr="006D57D5" w:rsidRDefault="006C740A" w:rsidP="003928A3">
            <w:pPr>
              <w:pStyle w:val="TableofAuthorities"/>
            </w:pPr>
            <w:r w:rsidRPr="006D57D5">
              <w:t>Interest expense - lease liabilities AASB 16</w:t>
            </w:r>
          </w:p>
        </w:tc>
        <w:tc>
          <w:tcPr>
            <w:tcW w:w="1217" w:type="dxa"/>
            <w:noWrap/>
            <w:hideMark/>
          </w:tcPr>
          <w:p w14:paraId="4550E09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$81.77</w:t>
            </w:r>
          </w:p>
        </w:tc>
        <w:tc>
          <w:tcPr>
            <w:tcW w:w="1239" w:type="dxa"/>
            <w:noWrap/>
            <w:hideMark/>
          </w:tcPr>
          <w:p w14:paraId="4AC3CB7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$20.98</w:t>
            </w:r>
          </w:p>
        </w:tc>
        <w:tc>
          <w:tcPr>
            <w:tcW w:w="1128" w:type="dxa"/>
            <w:noWrap/>
            <w:hideMark/>
          </w:tcPr>
          <w:p w14:paraId="5461047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$0.00</w:t>
            </w:r>
          </w:p>
        </w:tc>
        <w:tc>
          <w:tcPr>
            <w:tcW w:w="1235" w:type="dxa"/>
            <w:noWrap/>
            <w:hideMark/>
          </w:tcPr>
          <w:p w14:paraId="28F6506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$102.75</w:t>
            </w:r>
          </w:p>
        </w:tc>
      </w:tr>
      <w:tr w:rsidR="006C740A" w:rsidRPr="006D57D5" w14:paraId="0F25649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03E30442" w14:textId="77777777" w:rsidR="006C740A" w:rsidRPr="006D57D5" w:rsidRDefault="006C740A" w:rsidP="003928A3">
            <w:pPr>
              <w:pStyle w:val="TableofAuthorities"/>
            </w:pPr>
            <w:r w:rsidRPr="006D57D5">
              <w:t>Interest paid (RAD / bond)</w:t>
            </w:r>
          </w:p>
        </w:tc>
        <w:tc>
          <w:tcPr>
            <w:tcW w:w="1217" w:type="dxa"/>
            <w:noWrap/>
            <w:hideMark/>
          </w:tcPr>
          <w:p w14:paraId="37270A7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$47.48</w:t>
            </w:r>
          </w:p>
        </w:tc>
        <w:tc>
          <w:tcPr>
            <w:tcW w:w="1239" w:type="dxa"/>
            <w:noWrap/>
            <w:hideMark/>
          </w:tcPr>
          <w:p w14:paraId="6FC9D47E"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$39.71</w:t>
            </w:r>
          </w:p>
        </w:tc>
        <w:tc>
          <w:tcPr>
            <w:tcW w:w="1128" w:type="dxa"/>
            <w:noWrap/>
            <w:hideMark/>
          </w:tcPr>
          <w:p w14:paraId="2CE9CE6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$1.05</w:t>
            </w:r>
          </w:p>
        </w:tc>
        <w:tc>
          <w:tcPr>
            <w:tcW w:w="1235" w:type="dxa"/>
            <w:noWrap/>
            <w:hideMark/>
          </w:tcPr>
          <w:p w14:paraId="209F023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$88.24</w:t>
            </w:r>
          </w:p>
        </w:tc>
      </w:tr>
      <w:tr w:rsidR="006C740A" w:rsidRPr="006D57D5" w14:paraId="3513DE19"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891599D" w14:textId="77777777" w:rsidR="006C740A" w:rsidRPr="006D57D5" w:rsidRDefault="006C740A" w:rsidP="003928A3">
            <w:pPr>
              <w:pStyle w:val="TableofAuthorities"/>
            </w:pPr>
            <w:r w:rsidRPr="006D57D5">
              <w:t>Financing interest</w:t>
            </w:r>
          </w:p>
        </w:tc>
        <w:tc>
          <w:tcPr>
            <w:tcW w:w="1217" w:type="dxa"/>
            <w:noWrap/>
            <w:hideMark/>
          </w:tcPr>
          <w:p w14:paraId="6B27A49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$74.46</w:t>
            </w:r>
          </w:p>
        </w:tc>
        <w:tc>
          <w:tcPr>
            <w:tcW w:w="1239" w:type="dxa"/>
            <w:noWrap/>
            <w:hideMark/>
          </w:tcPr>
          <w:p w14:paraId="6AE121E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$13.97</w:t>
            </w:r>
          </w:p>
        </w:tc>
        <w:tc>
          <w:tcPr>
            <w:tcW w:w="1128" w:type="dxa"/>
            <w:noWrap/>
            <w:hideMark/>
          </w:tcPr>
          <w:p w14:paraId="59DF2D1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$0.85</w:t>
            </w:r>
          </w:p>
        </w:tc>
        <w:tc>
          <w:tcPr>
            <w:tcW w:w="1235" w:type="dxa"/>
            <w:noWrap/>
            <w:hideMark/>
          </w:tcPr>
          <w:p w14:paraId="61D14A1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$89.29</w:t>
            </w:r>
          </w:p>
        </w:tc>
      </w:tr>
      <w:tr w:rsidR="006C740A" w:rsidRPr="00D045D5" w14:paraId="22A7C617"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63C3016" w14:textId="77777777" w:rsidR="006C740A" w:rsidRPr="00D045D5" w:rsidRDefault="006C740A" w:rsidP="003928A3">
            <w:pPr>
              <w:pStyle w:val="TableParagraphbold"/>
              <w:rPr>
                <w:rStyle w:val="Strong"/>
              </w:rPr>
            </w:pPr>
            <w:r w:rsidRPr="00D045D5">
              <w:rPr>
                <w:rStyle w:val="Strong"/>
              </w:rPr>
              <w:t>Routine maintenance expenses</w:t>
            </w:r>
          </w:p>
        </w:tc>
        <w:tc>
          <w:tcPr>
            <w:tcW w:w="1217" w:type="dxa"/>
            <w:noWrap/>
            <w:hideMark/>
          </w:tcPr>
          <w:p w14:paraId="5E0D8F03"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noWrap/>
            <w:hideMark/>
          </w:tcPr>
          <w:p w14:paraId="493449D2"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noWrap/>
            <w:hideMark/>
          </w:tcPr>
          <w:p w14:paraId="7600CE0F"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noWrap/>
            <w:hideMark/>
          </w:tcPr>
          <w:p w14:paraId="17EE0E50" w14:textId="77777777" w:rsidR="006C740A" w:rsidRPr="004564B5" w:rsidRDefault="006C740A" w:rsidP="004564B5">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C740A" w:rsidRPr="006D57D5" w14:paraId="1ABB0AC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9672E95" w14:textId="77777777" w:rsidR="006C740A" w:rsidRPr="006D57D5" w:rsidRDefault="006C740A" w:rsidP="003928A3">
            <w:pPr>
              <w:pStyle w:val="TableofAuthorities"/>
            </w:pPr>
            <w:r w:rsidRPr="006D57D5">
              <w:t>Employee labour costs</w:t>
            </w:r>
          </w:p>
        </w:tc>
        <w:tc>
          <w:tcPr>
            <w:tcW w:w="1217" w:type="dxa"/>
            <w:noWrap/>
            <w:hideMark/>
          </w:tcPr>
          <w:p w14:paraId="2672D5E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$65.91</w:t>
            </w:r>
          </w:p>
        </w:tc>
        <w:tc>
          <w:tcPr>
            <w:tcW w:w="1239" w:type="dxa"/>
            <w:noWrap/>
            <w:hideMark/>
          </w:tcPr>
          <w:p w14:paraId="1E840B1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$115.21</w:t>
            </w:r>
          </w:p>
        </w:tc>
        <w:tc>
          <w:tcPr>
            <w:tcW w:w="1128" w:type="dxa"/>
            <w:noWrap/>
            <w:hideMark/>
          </w:tcPr>
          <w:p w14:paraId="4AA9DF2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$8.68</w:t>
            </w:r>
          </w:p>
        </w:tc>
        <w:tc>
          <w:tcPr>
            <w:tcW w:w="1235" w:type="dxa"/>
            <w:noWrap/>
            <w:hideMark/>
          </w:tcPr>
          <w:p w14:paraId="71E2895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$189.79</w:t>
            </w:r>
          </w:p>
        </w:tc>
      </w:tr>
      <w:tr w:rsidR="006C740A" w:rsidRPr="006D57D5" w14:paraId="40616325"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499FF44" w14:textId="77777777" w:rsidR="006C740A" w:rsidRPr="006D57D5" w:rsidRDefault="006C740A" w:rsidP="003928A3">
            <w:pPr>
              <w:pStyle w:val="TableofAuthorities"/>
            </w:pPr>
            <w:r w:rsidRPr="006D57D5">
              <w:t>Repairs and maintenance</w:t>
            </w:r>
          </w:p>
        </w:tc>
        <w:tc>
          <w:tcPr>
            <w:tcW w:w="1217" w:type="dxa"/>
            <w:noWrap/>
            <w:hideMark/>
          </w:tcPr>
          <w:p w14:paraId="72E28E4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$123.52</w:t>
            </w:r>
          </w:p>
        </w:tc>
        <w:tc>
          <w:tcPr>
            <w:tcW w:w="1239" w:type="dxa"/>
            <w:noWrap/>
            <w:hideMark/>
          </w:tcPr>
          <w:p w14:paraId="7879D518"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$261.77</w:t>
            </w:r>
          </w:p>
        </w:tc>
        <w:tc>
          <w:tcPr>
            <w:tcW w:w="1128" w:type="dxa"/>
            <w:noWrap/>
            <w:hideMark/>
          </w:tcPr>
          <w:p w14:paraId="74F0F1A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$14.31</w:t>
            </w:r>
          </w:p>
        </w:tc>
        <w:tc>
          <w:tcPr>
            <w:tcW w:w="1235" w:type="dxa"/>
            <w:noWrap/>
            <w:hideMark/>
          </w:tcPr>
          <w:p w14:paraId="5A7472B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$399.60</w:t>
            </w:r>
          </w:p>
        </w:tc>
      </w:tr>
      <w:tr w:rsidR="006C740A" w:rsidRPr="006D57D5" w14:paraId="034F7B43"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32550AA" w14:textId="77777777" w:rsidR="006C740A" w:rsidRPr="006D57D5" w:rsidRDefault="006C740A" w:rsidP="003928A3">
            <w:pPr>
              <w:pStyle w:val="TableofAuthorities"/>
            </w:pPr>
            <w:r w:rsidRPr="006D57D5">
              <w:t>Contract services - internal</w:t>
            </w:r>
          </w:p>
        </w:tc>
        <w:tc>
          <w:tcPr>
            <w:tcW w:w="1217" w:type="dxa"/>
            <w:noWrap/>
            <w:hideMark/>
          </w:tcPr>
          <w:p w14:paraId="79947BD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$4.71</w:t>
            </w:r>
          </w:p>
        </w:tc>
        <w:tc>
          <w:tcPr>
            <w:tcW w:w="1239" w:type="dxa"/>
            <w:noWrap/>
            <w:hideMark/>
          </w:tcPr>
          <w:p w14:paraId="50610C6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$3.66</w:t>
            </w:r>
          </w:p>
        </w:tc>
        <w:tc>
          <w:tcPr>
            <w:tcW w:w="1128" w:type="dxa"/>
            <w:noWrap/>
            <w:hideMark/>
          </w:tcPr>
          <w:p w14:paraId="3626998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$5.71</w:t>
            </w:r>
          </w:p>
        </w:tc>
        <w:tc>
          <w:tcPr>
            <w:tcW w:w="1235" w:type="dxa"/>
            <w:noWrap/>
            <w:hideMark/>
          </w:tcPr>
          <w:p w14:paraId="01DC810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$14.09</w:t>
            </w:r>
          </w:p>
        </w:tc>
      </w:tr>
      <w:tr w:rsidR="006C740A" w:rsidRPr="006D57D5" w14:paraId="79F1A1A2"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B385AEA" w14:textId="77777777" w:rsidR="006C740A" w:rsidRPr="006D57D5" w:rsidRDefault="006C740A" w:rsidP="003928A3">
            <w:pPr>
              <w:pStyle w:val="TableofAuthorities"/>
            </w:pPr>
            <w:r w:rsidRPr="006D57D5">
              <w:t>Contract services - outsourcing</w:t>
            </w:r>
          </w:p>
        </w:tc>
        <w:tc>
          <w:tcPr>
            <w:tcW w:w="1217" w:type="dxa"/>
            <w:noWrap/>
            <w:hideMark/>
          </w:tcPr>
          <w:p w14:paraId="5C04758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$15.49</w:t>
            </w:r>
          </w:p>
        </w:tc>
        <w:tc>
          <w:tcPr>
            <w:tcW w:w="1239" w:type="dxa"/>
            <w:noWrap/>
            <w:hideMark/>
          </w:tcPr>
          <w:p w14:paraId="321CB86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$30.83</w:t>
            </w:r>
          </w:p>
        </w:tc>
        <w:tc>
          <w:tcPr>
            <w:tcW w:w="1128" w:type="dxa"/>
            <w:noWrap/>
            <w:hideMark/>
          </w:tcPr>
          <w:p w14:paraId="12DACF1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$2.62</w:t>
            </w:r>
          </w:p>
        </w:tc>
        <w:tc>
          <w:tcPr>
            <w:tcW w:w="1235" w:type="dxa"/>
            <w:noWrap/>
            <w:hideMark/>
          </w:tcPr>
          <w:p w14:paraId="6F46608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$48.94</w:t>
            </w:r>
          </w:p>
        </w:tc>
      </w:tr>
      <w:tr w:rsidR="006C740A" w:rsidRPr="006D57D5" w14:paraId="5C687E15"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5D2C374" w14:textId="77777777" w:rsidR="006C740A" w:rsidRPr="006D57D5" w:rsidRDefault="006C740A" w:rsidP="003928A3">
            <w:pPr>
              <w:pStyle w:val="TableofAuthorities"/>
            </w:pPr>
            <w:r w:rsidRPr="006D57D5">
              <w:t>Total routine maintenance expenses</w:t>
            </w:r>
          </w:p>
        </w:tc>
        <w:tc>
          <w:tcPr>
            <w:tcW w:w="1217" w:type="dxa"/>
            <w:noWrap/>
            <w:hideMark/>
          </w:tcPr>
          <w:p w14:paraId="41A11FDE"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$209.63</w:t>
            </w:r>
          </w:p>
        </w:tc>
        <w:tc>
          <w:tcPr>
            <w:tcW w:w="1239" w:type="dxa"/>
            <w:noWrap/>
            <w:hideMark/>
          </w:tcPr>
          <w:p w14:paraId="5D50629C"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$411.47</w:t>
            </w:r>
          </w:p>
        </w:tc>
        <w:tc>
          <w:tcPr>
            <w:tcW w:w="1128" w:type="dxa"/>
            <w:noWrap/>
            <w:hideMark/>
          </w:tcPr>
          <w:p w14:paraId="6FE3E82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$31.32</w:t>
            </w:r>
          </w:p>
        </w:tc>
        <w:tc>
          <w:tcPr>
            <w:tcW w:w="1235" w:type="dxa"/>
            <w:noWrap/>
            <w:hideMark/>
          </w:tcPr>
          <w:p w14:paraId="154D956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$652.42</w:t>
            </w:r>
          </w:p>
        </w:tc>
      </w:tr>
      <w:tr w:rsidR="006C740A" w:rsidRPr="006D57D5" w14:paraId="354021FE"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FB9CF49" w14:textId="77777777" w:rsidR="006C740A" w:rsidRPr="006D57D5" w:rsidRDefault="006C740A" w:rsidP="003928A3">
            <w:pPr>
              <w:pStyle w:val="TableofAuthorities"/>
            </w:pPr>
            <w:r w:rsidRPr="006D57D5">
              <w:t>Workcover premium (accommodation employee labour)</w:t>
            </w:r>
          </w:p>
        </w:tc>
        <w:tc>
          <w:tcPr>
            <w:tcW w:w="1217" w:type="dxa"/>
            <w:noWrap/>
            <w:hideMark/>
          </w:tcPr>
          <w:p w14:paraId="0651ED5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$3.95</w:t>
            </w:r>
          </w:p>
        </w:tc>
        <w:tc>
          <w:tcPr>
            <w:tcW w:w="1239" w:type="dxa"/>
            <w:noWrap/>
            <w:hideMark/>
          </w:tcPr>
          <w:p w14:paraId="100A5FC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$2.18</w:t>
            </w:r>
          </w:p>
        </w:tc>
        <w:tc>
          <w:tcPr>
            <w:tcW w:w="1128" w:type="dxa"/>
            <w:noWrap/>
            <w:hideMark/>
          </w:tcPr>
          <w:p w14:paraId="7908E18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$0.21</w:t>
            </w:r>
          </w:p>
        </w:tc>
        <w:tc>
          <w:tcPr>
            <w:tcW w:w="1235" w:type="dxa"/>
            <w:noWrap/>
            <w:hideMark/>
          </w:tcPr>
          <w:p w14:paraId="64C0030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$6.34</w:t>
            </w:r>
          </w:p>
        </w:tc>
      </w:tr>
      <w:tr w:rsidR="006C740A" w:rsidRPr="006D57D5" w14:paraId="2EEBF2D8"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864E4F0" w14:textId="77777777" w:rsidR="006C740A" w:rsidRPr="006D57D5" w:rsidRDefault="006C740A" w:rsidP="003928A3">
            <w:pPr>
              <w:pStyle w:val="TableofAuthorities"/>
            </w:pPr>
            <w:r w:rsidRPr="006D57D5">
              <w:t>Payroll tax (accommodation employee labour)</w:t>
            </w:r>
          </w:p>
        </w:tc>
        <w:tc>
          <w:tcPr>
            <w:tcW w:w="1217" w:type="dxa"/>
            <w:noWrap/>
            <w:hideMark/>
          </w:tcPr>
          <w:p w14:paraId="51AFB8F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$2.15</w:t>
            </w:r>
          </w:p>
        </w:tc>
        <w:tc>
          <w:tcPr>
            <w:tcW w:w="1239" w:type="dxa"/>
            <w:noWrap/>
            <w:hideMark/>
          </w:tcPr>
          <w:p w14:paraId="5D576CE3"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$0.14</w:t>
            </w:r>
          </w:p>
        </w:tc>
        <w:tc>
          <w:tcPr>
            <w:tcW w:w="1128" w:type="dxa"/>
            <w:noWrap/>
            <w:hideMark/>
          </w:tcPr>
          <w:p w14:paraId="7DF93127"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$0.00</w:t>
            </w:r>
          </w:p>
        </w:tc>
        <w:tc>
          <w:tcPr>
            <w:tcW w:w="1235" w:type="dxa"/>
            <w:noWrap/>
            <w:hideMark/>
          </w:tcPr>
          <w:p w14:paraId="5BDFAC9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$2.29</w:t>
            </w:r>
          </w:p>
        </w:tc>
      </w:tr>
      <w:tr w:rsidR="006C740A" w:rsidRPr="006D57D5" w14:paraId="6EC6A7F8"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CD01CD7" w14:textId="77777777" w:rsidR="006C740A" w:rsidRPr="006D57D5" w:rsidRDefault="006C740A" w:rsidP="003928A3">
            <w:pPr>
              <w:pStyle w:val="TableofAuthorities"/>
            </w:pPr>
            <w:r w:rsidRPr="006D57D5">
              <w:t>Other accommodation expenses</w:t>
            </w:r>
          </w:p>
        </w:tc>
        <w:tc>
          <w:tcPr>
            <w:tcW w:w="1217" w:type="dxa"/>
            <w:noWrap/>
            <w:hideMark/>
          </w:tcPr>
          <w:p w14:paraId="46EF2BD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$63.14</w:t>
            </w:r>
          </w:p>
        </w:tc>
        <w:tc>
          <w:tcPr>
            <w:tcW w:w="1239" w:type="dxa"/>
            <w:noWrap/>
            <w:hideMark/>
          </w:tcPr>
          <w:p w14:paraId="60709DE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$27.10</w:t>
            </w:r>
          </w:p>
        </w:tc>
        <w:tc>
          <w:tcPr>
            <w:tcW w:w="1128" w:type="dxa"/>
            <w:noWrap/>
            <w:hideMark/>
          </w:tcPr>
          <w:p w14:paraId="5B65C057"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$1.34</w:t>
            </w:r>
          </w:p>
        </w:tc>
        <w:tc>
          <w:tcPr>
            <w:tcW w:w="1235" w:type="dxa"/>
            <w:noWrap/>
            <w:hideMark/>
          </w:tcPr>
          <w:p w14:paraId="6990B04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$91.58</w:t>
            </w:r>
          </w:p>
        </w:tc>
      </w:tr>
      <w:tr w:rsidR="002236E8" w:rsidRPr="002236E8" w14:paraId="43B6459C"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5626C6AF" w14:textId="77777777" w:rsidR="006C740A" w:rsidRPr="002236E8" w:rsidRDefault="006C740A" w:rsidP="002236E8">
            <w:pPr>
              <w:pStyle w:val="TableParagraphbold"/>
              <w:rPr>
                <w:rStyle w:val="Strong"/>
                <w:b/>
                <w:bCs w:val="0"/>
              </w:rPr>
            </w:pPr>
            <w:r w:rsidRPr="002236E8">
              <w:rPr>
                <w:rStyle w:val="Strong"/>
                <w:b/>
                <w:bCs w:val="0"/>
              </w:rPr>
              <w:t>Total accommodation and finance expenses</w:t>
            </w:r>
          </w:p>
        </w:tc>
        <w:tc>
          <w:tcPr>
            <w:tcW w:w="1217" w:type="dxa"/>
            <w:shd w:val="clear" w:color="auto" w:fill="D8DBDB" w:themeFill="background2" w:themeFillShade="E6"/>
            <w:noWrap/>
            <w:hideMark/>
          </w:tcPr>
          <w:p w14:paraId="28A10F80"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2236E8">
              <w:rPr>
                <w:rStyle w:val="Strong"/>
                <w:b/>
                <w:bCs w:val="0"/>
              </w:rPr>
              <w:t>$1,761.34</w:t>
            </w:r>
          </w:p>
        </w:tc>
        <w:tc>
          <w:tcPr>
            <w:tcW w:w="1239" w:type="dxa"/>
            <w:shd w:val="clear" w:color="auto" w:fill="D8DBDB" w:themeFill="background2" w:themeFillShade="E6"/>
            <w:noWrap/>
            <w:hideMark/>
          </w:tcPr>
          <w:p w14:paraId="45DC78DE"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2236E8">
              <w:rPr>
                <w:rStyle w:val="Strong"/>
                <w:b/>
                <w:bCs w:val="0"/>
              </w:rPr>
              <w:t>$1,637.47</w:t>
            </w:r>
          </w:p>
        </w:tc>
        <w:tc>
          <w:tcPr>
            <w:tcW w:w="1128" w:type="dxa"/>
            <w:shd w:val="clear" w:color="auto" w:fill="D8DBDB" w:themeFill="background2" w:themeFillShade="E6"/>
            <w:noWrap/>
            <w:hideMark/>
          </w:tcPr>
          <w:p w14:paraId="3615AE8C"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2236E8">
              <w:rPr>
                <w:rStyle w:val="Strong"/>
                <w:b/>
                <w:bCs w:val="0"/>
              </w:rPr>
              <w:t>$116.11</w:t>
            </w:r>
          </w:p>
        </w:tc>
        <w:tc>
          <w:tcPr>
            <w:tcW w:w="1235" w:type="dxa"/>
            <w:shd w:val="clear" w:color="auto" w:fill="D8DBDB" w:themeFill="background2" w:themeFillShade="E6"/>
            <w:noWrap/>
            <w:hideMark/>
          </w:tcPr>
          <w:p w14:paraId="78D5F8CA"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r w:rsidRPr="002236E8">
              <w:rPr>
                <w:rStyle w:val="Strong"/>
                <w:b/>
                <w:bCs w:val="0"/>
              </w:rPr>
              <w:t>$3,514.92</w:t>
            </w:r>
          </w:p>
        </w:tc>
      </w:tr>
      <w:tr w:rsidR="002236E8" w:rsidRPr="002236E8" w14:paraId="0A101D61"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42993EA0" w14:textId="77777777" w:rsidR="006C740A" w:rsidRPr="002236E8" w:rsidRDefault="006C740A" w:rsidP="002236E8">
            <w:pPr>
              <w:pStyle w:val="TableParagraphbold"/>
              <w:rPr>
                <w:rStyle w:val="Strong"/>
                <w:b/>
                <w:bCs w:val="0"/>
              </w:rPr>
            </w:pPr>
            <w:r w:rsidRPr="002236E8">
              <w:rPr>
                <w:rStyle w:val="Strong"/>
                <w:b/>
                <w:bCs w:val="0"/>
              </w:rPr>
              <w:t>COVID-19 expenses</w:t>
            </w:r>
          </w:p>
        </w:tc>
        <w:tc>
          <w:tcPr>
            <w:tcW w:w="1217" w:type="dxa"/>
            <w:shd w:val="clear" w:color="auto" w:fill="D8DBDB" w:themeFill="background2" w:themeFillShade="E6"/>
            <w:noWrap/>
            <w:hideMark/>
          </w:tcPr>
          <w:p w14:paraId="0C044882"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9" w:type="dxa"/>
            <w:shd w:val="clear" w:color="auto" w:fill="D8DBDB" w:themeFill="background2" w:themeFillShade="E6"/>
            <w:noWrap/>
            <w:hideMark/>
          </w:tcPr>
          <w:p w14:paraId="1B5E688A"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128" w:type="dxa"/>
            <w:shd w:val="clear" w:color="auto" w:fill="D8DBDB" w:themeFill="background2" w:themeFillShade="E6"/>
            <w:noWrap/>
            <w:hideMark/>
          </w:tcPr>
          <w:p w14:paraId="0FDD2A49"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c>
          <w:tcPr>
            <w:tcW w:w="1235" w:type="dxa"/>
            <w:shd w:val="clear" w:color="auto" w:fill="D8DBDB" w:themeFill="background2" w:themeFillShade="E6"/>
            <w:noWrap/>
            <w:hideMark/>
          </w:tcPr>
          <w:p w14:paraId="32ABF62E" w14:textId="77777777" w:rsidR="006C740A" w:rsidRPr="002236E8" w:rsidRDefault="006C740A" w:rsidP="002236E8">
            <w:pPr>
              <w:pStyle w:val="TableParagraphbold"/>
              <w:cnfStyle w:val="000000000000" w:firstRow="0" w:lastRow="0" w:firstColumn="0" w:lastColumn="0" w:oddVBand="0" w:evenVBand="0" w:oddHBand="0" w:evenHBand="0" w:firstRowFirstColumn="0" w:firstRowLastColumn="0" w:lastRowFirstColumn="0" w:lastRowLastColumn="0"/>
              <w:rPr>
                <w:rStyle w:val="Strong"/>
                <w:b/>
                <w:bCs w:val="0"/>
              </w:rPr>
            </w:pPr>
          </w:p>
        </w:tc>
      </w:tr>
      <w:tr w:rsidR="006C740A" w:rsidRPr="006D57D5" w14:paraId="28040D9B"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743BD79" w14:textId="77777777" w:rsidR="006C740A" w:rsidRPr="006D57D5" w:rsidRDefault="006C740A" w:rsidP="003928A3">
            <w:pPr>
              <w:pStyle w:val="TableofAuthorities"/>
            </w:pPr>
            <w:r w:rsidRPr="006D57D5">
              <w:t>Labour costs</w:t>
            </w:r>
          </w:p>
        </w:tc>
        <w:tc>
          <w:tcPr>
            <w:tcW w:w="1217" w:type="dxa"/>
            <w:noWrap/>
            <w:hideMark/>
          </w:tcPr>
          <w:p w14:paraId="6CC89D6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$210.04</w:t>
            </w:r>
          </w:p>
        </w:tc>
        <w:tc>
          <w:tcPr>
            <w:tcW w:w="1239" w:type="dxa"/>
            <w:noWrap/>
            <w:hideMark/>
          </w:tcPr>
          <w:p w14:paraId="674A649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$256.99</w:t>
            </w:r>
          </w:p>
        </w:tc>
        <w:tc>
          <w:tcPr>
            <w:tcW w:w="1128" w:type="dxa"/>
            <w:noWrap/>
            <w:hideMark/>
          </w:tcPr>
          <w:p w14:paraId="2C0199F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$13.75</w:t>
            </w:r>
          </w:p>
        </w:tc>
        <w:tc>
          <w:tcPr>
            <w:tcW w:w="1235" w:type="dxa"/>
            <w:noWrap/>
            <w:hideMark/>
          </w:tcPr>
          <w:p w14:paraId="547BAF6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$480.78</w:t>
            </w:r>
          </w:p>
        </w:tc>
      </w:tr>
      <w:tr w:rsidR="006C740A" w:rsidRPr="006D57D5" w14:paraId="688AD47A"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E8AC654" w14:textId="77777777" w:rsidR="006C740A" w:rsidRPr="006D57D5" w:rsidRDefault="006C740A" w:rsidP="003928A3">
            <w:pPr>
              <w:pStyle w:val="TableofAuthorities"/>
            </w:pPr>
            <w:r w:rsidRPr="006D57D5">
              <w:t>Resident support</w:t>
            </w:r>
          </w:p>
        </w:tc>
        <w:tc>
          <w:tcPr>
            <w:tcW w:w="1217" w:type="dxa"/>
            <w:noWrap/>
            <w:hideMark/>
          </w:tcPr>
          <w:p w14:paraId="6CE7683E"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$14.27</w:t>
            </w:r>
          </w:p>
        </w:tc>
        <w:tc>
          <w:tcPr>
            <w:tcW w:w="1239" w:type="dxa"/>
            <w:noWrap/>
            <w:hideMark/>
          </w:tcPr>
          <w:p w14:paraId="049709AA"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$21.75</w:t>
            </w:r>
          </w:p>
        </w:tc>
        <w:tc>
          <w:tcPr>
            <w:tcW w:w="1128" w:type="dxa"/>
            <w:noWrap/>
            <w:hideMark/>
          </w:tcPr>
          <w:p w14:paraId="315A6B0B"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$0.21</w:t>
            </w:r>
          </w:p>
        </w:tc>
        <w:tc>
          <w:tcPr>
            <w:tcW w:w="1235" w:type="dxa"/>
            <w:noWrap/>
            <w:hideMark/>
          </w:tcPr>
          <w:p w14:paraId="74C945E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$36.23</w:t>
            </w:r>
          </w:p>
        </w:tc>
      </w:tr>
      <w:tr w:rsidR="006C740A" w:rsidRPr="006D57D5" w14:paraId="68BB528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31064362" w14:textId="77777777" w:rsidR="006C740A" w:rsidRPr="006D57D5" w:rsidRDefault="006C740A" w:rsidP="003928A3">
            <w:pPr>
              <w:pStyle w:val="TableofAuthorities"/>
            </w:pPr>
            <w:r w:rsidRPr="006D57D5">
              <w:t>Preventative measures</w:t>
            </w:r>
          </w:p>
        </w:tc>
        <w:tc>
          <w:tcPr>
            <w:tcW w:w="1217" w:type="dxa"/>
            <w:noWrap/>
            <w:hideMark/>
          </w:tcPr>
          <w:p w14:paraId="5853D22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$81.57</w:t>
            </w:r>
          </w:p>
        </w:tc>
        <w:tc>
          <w:tcPr>
            <w:tcW w:w="1239" w:type="dxa"/>
            <w:noWrap/>
            <w:hideMark/>
          </w:tcPr>
          <w:p w14:paraId="22B1196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$81.04</w:t>
            </w:r>
          </w:p>
        </w:tc>
        <w:tc>
          <w:tcPr>
            <w:tcW w:w="1128" w:type="dxa"/>
            <w:noWrap/>
            <w:hideMark/>
          </w:tcPr>
          <w:p w14:paraId="7F29317A"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$2.65</w:t>
            </w:r>
          </w:p>
        </w:tc>
        <w:tc>
          <w:tcPr>
            <w:tcW w:w="1235" w:type="dxa"/>
            <w:noWrap/>
            <w:hideMark/>
          </w:tcPr>
          <w:p w14:paraId="6A5C0F1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$165.25</w:t>
            </w:r>
          </w:p>
        </w:tc>
      </w:tr>
      <w:tr w:rsidR="006C740A" w:rsidRPr="006D57D5" w14:paraId="7E3F445D"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55AAE5B" w14:textId="77777777" w:rsidR="006C740A" w:rsidRPr="006D57D5" w:rsidRDefault="006C740A" w:rsidP="003928A3">
            <w:pPr>
              <w:pStyle w:val="TableofAuthorities"/>
            </w:pPr>
            <w:r w:rsidRPr="006D57D5">
              <w:t>Infection prevention and control (IPC) lead expenses</w:t>
            </w:r>
          </w:p>
        </w:tc>
        <w:tc>
          <w:tcPr>
            <w:tcW w:w="1217" w:type="dxa"/>
            <w:noWrap/>
            <w:hideMark/>
          </w:tcPr>
          <w:p w14:paraId="32DFCFAC"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$14.20</w:t>
            </w:r>
          </w:p>
        </w:tc>
        <w:tc>
          <w:tcPr>
            <w:tcW w:w="1239" w:type="dxa"/>
            <w:noWrap/>
            <w:hideMark/>
          </w:tcPr>
          <w:p w14:paraId="4F2EC1A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$29.03</w:t>
            </w:r>
          </w:p>
        </w:tc>
        <w:tc>
          <w:tcPr>
            <w:tcW w:w="1128" w:type="dxa"/>
            <w:noWrap/>
            <w:hideMark/>
          </w:tcPr>
          <w:p w14:paraId="4FC78758"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$0.46</w:t>
            </w:r>
          </w:p>
        </w:tc>
        <w:tc>
          <w:tcPr>
            <w:tcW w:w="1235" w:type="dxa"/>
            <w:noWrap/>
            <w:hideMark/>
          </w:tcPr>
          <w:p w14:paraId="34A021D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$43.68</w:t>
            </w:r>
          </w:p>
        </w:tc>
      </w:tr>
      <w:tr w:rsidR="006C740A" w:rsidRPr="006D57D5" w14:paraId="2B462360"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5C2EAF60" w14:textId="77777777" w:rsidR="006C740A" w:rsidRPr="006D57D5" w:rsidRDefault="006C740A" w:rsidP="003928A3">
            <w:pPr>
              <w:pStyle w:val="TableofAuthorities"/>
            </w:pPr>
            <w:r w:rsidRPr="006D57D5">
              <w:t>Other COVID-19 expenses</w:t>
            </w:r>
          </w:p>
        </w:tc>
        <w:tc>
          <w:tcPr>
            <w:tcW w:w="1217" w:type="dxa"/>
            <w:noWrap/>
            <w:hideMark/>
          </w:tcPr>
          <w:p w14:paraId="060ADF0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$6.81</w:t>
            </w:r>
          </w:p>
        </w:tc>
        <w:tc>
          <w:tcPr>
            <w:tcW w:w="1239" w:type="dxa"/>
            <w:noWrap/>
            <w:hideMark/>
          </w:tcPr>
          <w:p w14:paraId="6A19D6C5"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$10.45</w:t>
            </w:r>
          </w:p>
        </w:tc>
        <w:tc>
          <w:tcPr>
            <w:tcW w:w="1128" w:type="dxa"/>
            <w:noWrap/>
            <w:hideMark/>
          </w:tcPr>
          <w:p w14:paraId="7C51204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$0.27</w:t>
            </w:r>
          </w:p>
        </w:tc>
        <w:tc>
          <w:tcPr>
            <w:tcW w:w="1235" w:type="dxa"/>
            <w:noWrap/>
            <w:hideMark/>
          </w:tcPr>
          <w:p w14:paraId="4F4F2B8A"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$17.54</w:t>
            </w:r>
          </w:p>
        </w:tc>
      </w:tr>
      <w:tr w:rsidR="002236E8" w:rsidRPr="006D57D5" w14:paraId="7CD01F25"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3CC7F656" w14:textId="77777777" w:rsidR="006C740A" w:rsidRPr="006D57D5" w:rsidRDefault="006C740A" w:rsidP="003928A3">
            <w:pPr>
              <w:pStyle w:val="TableParagraphbold"/>
            </w:pPr>
            <w:r w:rsidRPr="006D57D5">
              <w:t>Total COVID-19 expenses</w:t>
            </w:r>
          </w:p>
        </w:tc>
        <w:tc>
          <w:tcPr>
            <w:tcW w:w="1217" w:type="dxa"/>
            <w:shd w:val="clear" w:color="auto" w:fill="D8DBDB" w:themeFill="background2" w:themeFillShade="E6"/>
            <w:noWrap/>
            <w:hideMark/>
          </w:tcPr>
          <w:p w14:paraId="5E4220A0" w14:textId="77777777" w:rsidR="006C740A" w:rsidRPr="006D57D5"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6D57D5">
              <w:t>$326.89</w:t>
            </w:r>
          </w:p>
        </w:tc>
        <w:tc>
          <w:tcPr>
            <w:tcW w:w="1239" w:type="dxa"/>
            <w:shd w:val="clear" w:color="auto" w:fill="D8DBDB" w:themeFill="background2" w:themeFillShade="E6"/>
            <w:noWrap/>
            <w:hideMark/>
          </w:tcPr>
          <w:p w14:paraId="29EA7CBB" w14:textId="77777777" w:rsidR="006C740A" w:rsidRPr="006D57D5"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6D57D5">
              <w:t>$399.26</w:t>
            </w:r>
          </w:p>
        </w:tc>
        <w:tc>
          <w:tcPr>
            <w:tcW w:w="1128" w:type="dxa"/>
            <w:shd w:val="clear" w:color="auto" w:fill="D8DBDB" w:themeFill="background2" w:themeFillShade="E6"/>
            <w:noWrap/>
            <w:hideMark/>
          </w:tcPr>
          <w:p w14:paraId="23BFED46" w14:textId="77777777" w:rsidR="006C740A" w:rsidRPr="006D57D5"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6D57D5">
              <w:t>$17.33</w:t>
            </w:r>
          </w:p>
        </w:tc>
        <w:tc>
          <w:tcPr>
            <w:tcW w:w="1235" w:type="dxa"/>
            <w:shd w:val="clear" w:color="auto" w:fill="D8DBDB" w:themeFill="background2" w:themeFillShade="E6"/>
            <w:noWrap/>
            <w:hideMark/>
          </w:tcPr>
          <w:p w14:paraId="14FE5A05" w14:textId="77777777" w:rsidR="006C740A" w:rsidRPr="006D57D5"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6D57D5">
              <w:t>$743.48</w:t>
            </w:r>
          </w:p>
        </w:tc>
      </w:tr>
      <w:tr w:rsidR="002236E8" w:rsidRPr="003928A3" w14:paraId="0E51E3D7"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5747CA86" w14:textId="77777777" w:rsidR="006C740A" w:rsidRPr="003928A3" w:rsidRDefault="006C740A" w:rsidP="003928A3">
            <w:pPr>
              <w:pStyle w:val="TableParagraphbold"/>
            </w:pPr>
            <w:r w:rsidRPr="003928A3">
              <w:t>Total recurrent expense</w:t>
            </w:r>
          </w:p>
        </w:tc>
        <w:tc>
          <w:tcPr>
            <w:tcW w:w="1217" w:type="dxa"/>
            <w:shd w:val="clear" w:color="auto" w:fill="D8DBDB" w:themeFill="background2" w:themeFillShade="E6"/>
            <w:noWrap/>
            <w:hideMark/>
          </w:tcPr>
          <w:p w14:paraId="783148B9"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$9,557.64</w:t>
            </w:r>
          </w:p>
        </w:tc>
        <w:tc>
          <w:tcPr>
            <w:tcW w:w="1239" w:type="dxa"/>
            <w:shd w:val="clear" w:color="auto" w:fill="D8DBDB" w:themeFill="background2" w:themeFillShade="E6"/>
            <w:noWrap/>
            <w:hideMark/>
          </w:tcPr>
          <w:p w14:paraId="15BFDD71"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$12,735.17</w:t>
            </w:r>
          </w:p>
        </w:tc>
        <w:tc>
          <w:tcPr>
            <w:tcW w:w="1128" w:type="dxa"/>
            <w:shd w:val="clear" w:color="auto" w:fill="D8DBDB" w:themeFill="background2" w:themeFillShade="E6"/>
            <w:noWrap/>
            <w:hideMark/>
          </w:tcPr>
          <w:p w14:paraId="7C9EF1D1"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$1,170.01</w:t>
            </w:r>
          </w:p>
        </w:tc>
        <w:tc>
          <w:tcPr>
            <w:tcW w:w="1235" w:type="dxa"/>
            <w:shd w:val="clear" w:color="auto" w:fill="D8DBDB" w:themeFill="background2" w:themeFillShade="E6"/>
            <w:noWrap/>
            <w:hideMark/>
          </w:tcPr>
          <w:p w14:paraId="78AFE0D9"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$23,462.82</w:t>
            </w:r>
          </w:p>
        </w:tc>
      </w:tr>
      <w:tr w:rsidR="002236E8" w:rsidRPr="003928A3" w14:paraId="634996F7"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769E5E15" w14:textId="77777777" w:rsidR="006C740A" w:rsidRPr="003928A3" w:rsidRDefault="006C740A" w:rsidP="003928A3">
            <w:pPr>
              <w:pStyle w:val="TableParagraphbold"/>
            </w:pPr>
            <w:r w:rsidRPr="003928A3">
              <w:t>Non-recurrent expenses</w:t>
            </w:r>
          </w:p>
        </w:tc>
        <w:tc>
          <w:tcPr>
            <w:tcW w:w="1217" w:type="dxa"/>
            <w:shd w:val="clear" w:color="auto" w:fill="D8DBDB" w:themeFill="background2" w:themeFillShade="E6"/>
            <w:noWrap/>
            <w:hideMark/>
          </w:tcPr>
          <w:p w14:paraId="348C4790"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p>
        </w:tc>
        <w:tc>
          <w:tcPr>
            <w:tcW w:w="1239" w:type="dxa"/>
            <w:shd w:val="clear" w:color="auto" w:fill="D8DBDB" w:themeFill="background2" w:themeFillShade="E6"/>
            <w:noWrap/>
            <w:hideMark/>
          </w:tcPr>
          <w:p w14:paraId="04A22393"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p>
        </w:tc>
        <w:tc>
          <w:tcPr>
            <w:tcW w:w="1128" w:type="dxa"/>
            <w:shd w:val="clear" w:color="auto" w:fill="D8DBDB" w:themeFill="background2" w:themeFillShade="E6"/>
            <w:noWrap/>
            <w:hideMark/>
          </w:tcPr>
          <w:p w14:paraId="5B3B8416"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p>
        </w:tc>
        <w:tc>
          <w:tcPr>
            <w:tcW w:w="1235" w:type="dxa"/>
            <w:shd w:val="clear" w:color="auto" w:fill="D8DBDB" w:themeFill="background2" w:themeFillShade="E6"/>
            <w:noWrap/>
            <w:hideMark/>
          </w:tcPr>
          <w:p w14:paraId="154716FD"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p>
        </w:tc>
      </w:tr>
      <w:tr w:rsidR="006C740A" w:rsidRPr="006D57D5" w14:paraId="6CEA5BCC"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19315E45" w14:textId="77777777" w:rsidR="006C740A" w:rsidRPr="006D57D5" w:rsidRDefault="006C740A" w:rsidP="003928A3">
            <w:pPr>
              <w:pStyle w:val="TableofAuthorities"/>
            </w:pPr>
            <w:r w:rsidRPr="006D57D5">
              <w:t>Fair value losses on financial assets</w:t>
            </w:r>
          </w:p>
        </w:tc>
        <w:tc>
          <w:tcPr>
            <w:tcW w:w="1217" w:type="dxa"/>
            <w:noWrap/>
            <w:hideMark/>
          </w:tcPr>
          <w:p w14:paraId="15FA3D0F"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$4.97</w:t>
            </w:r>
          </w:p>
        </w:tc>
        <w:tc>
          <w:tcPr>
            <w:tcW w:w="1239" w:type="dxa"/>
            <w:noWrap/>
            <w:hideMark/>
          </w:tcPr>
          <w:p w14:paraId="3C05209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$37.31</w:t>
            </w:r>
          </w:p>
        </w:tc>
        <w:tc>
          <w:tcPr>
            <w:tcW w:w="1128" w:type="dxa"/>
            <w:noWrap/>
            <w:hideMark/>
          </w:tcPr>
          <w:p w14:paraId="2BBF5CC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$0.84</w:t>
            </w:r>
          </w:p>
        </w:tc>
        <w:tc>
          <w:tcPr>
            <w:tcW w:w="1235" w:type="dxa"/>
            <w:noWrap/>
            <w:hideMark/>
          </w:tcPr>
          <w:p w14:paraId="6756182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$43.12</w:t>
            </w:r>
          </w:p>
        </w:tc>
      </w:tr>
      <w:tr w:rsidR="006C740A" w:rsidRPr="006D57D5" w14:paraId="28495C73"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5D09F10" w14:textId="77777777" w:rsidR="006C740A" w:rsidRPr="006D57D5" w:rsidRDefault="006C740A" w:rsidP="003928A3">
            <w:pPr>
              <w:pStyle w:val="TableofAuthorities"/>
            </w:pPr>
            <w:r w:rsidRPr="006D57D5">
              <w:t>Fair value loss / asset revaluation decreases on other assets</w:t>
            </w:r>
          </w:p>
        </w:tc>
        <w:tc>
          <w:tcPr>
            <w:tcW w:w="1217" w:type="dxa"/>
            <w:noWrap/>
            <w:hideMark/>
          </w:tcPr>
          <w:p w14:paraId="5F730FB0"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$19.28</w:t>
            </w:r>
          </w:p>
        </w:tc>
        <w:tc>
          <w:tcPr>
            <w:tcW w:w="1239" w:type="dxa"/>
            <w:noWrap/>
            <w:hideMark/>
          </w:tcPr>
          <w:p w14:paraId="5C2DBBE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$15.41</w:t>
            </w:r>
          </w:p>
        </w:tc>
        <w:tc>
          <w:tcPr>
            <w:tcW w:w="1128" w:type="dxa"/>
            <w:noWrap/>
            <w:hideMark/>
          </w:tcPr>
          <w:p w14:paraId="618EC5D7"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$0.07</w:t>
            </w:r>
          </w:p>
        </w:tc>
        <w:tc>
          <w:tcPr>
            <w:tcW w:w="1235" w:type="dxa"/>
            <w:noWrap/>
            <w:hideMark/>
          </w:tcPr>
          <w:p w14:paraId="3D48AE0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$34.75</w:t>
            </w:r>
          </w:p>
        </w:tc>
      </w:tr>
      <w:tr w:rsidR="006C740A" w:rsidRPr="006D57D5" w14:paraId="6B3E31F3"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16C5EB4" w14:textId="77777777" w:rsidR="006C740A" w:rsidRPr="006D57D5" w:rsidRDefault="006C740A" w:rsidP="003928A3">
            <w:pPr>
              <w:pStyle w:val="TableofAuthorities"/>
            </w:pPr>
            <w:r w:rsidRPr="006D57D5">
              <w:t>Impairment loss</w:t>
            </w:r>
          </w:p>
        </w:tc>
        <w:tc>
          <w:tcPr>
            <w:tcW w:w="1217" w:type="dxa"/>
            <w:noWrap/>
            <w:hideMark/>
          </w:tcPr>
          <w:p w14:paraId="5579D85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$56.14</w:t>
            </w:r>
          </w:p>
        </w:tc>
        <w:tc>
          <w:tcPr>
            <w:tcW w:w="1239" w:type="dxa"/>
            <w:noWrap/>
            <w:hideMark/>
          </w:tcPr>
          <w:p w14:paraId="3E6D36E1"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$49.23</w:t>
            </w:r>
          </w:p>
        </w:tc>
        <w:tc>
          <w:tcPr>
            <w:tcW w:w="1128" w:type="dxa"/>
            <w:noWrap/>
            <w:hideMark/>
          </w:tcPr>
          <w:p w14:paraId="7EDF3532"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$10.80</w:t>
            </w:r>
          </w:p>
        </w:tc>
        <w:tc>
          <w:tcPr>
            <w:tcW w:w="1235" w:type="dxa"/>
            <w:noWrap/>
            <w:hideMark/>
          </w:tcPr>
          <w:p w14:paraId="5408A8B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$116.17</w:t>
            </w:r>
          </w:p>
        </w:tc>
      </w:tr>
      <w:tr w:rsidR="006C740A" w:rsidRPr="006D57D5" w14:paraId="79D97746"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4C0F2892" w14:textId="77777777" w:rsidR="006C740A" w:rsidRPr="006D57D5" w:rsidRDefault="006C740A" w:rsidP="003928A3">
            <w:pPr>
              <w:pStyle w:val="TableofAuthorities"/>
            </w:pPr>
            <w:r w:rsidRPr="006D57D5">
              <w:t>Realised losses on disposal of assets</w:t>
            </w:r>
          </w:p>
        </w:tc>
        <w:tc>
          <w:tcPr>
            <w:tcW w:w="1217" w:type="dxa"/>
            <w:noWrap/>
            <w:hideMark/>
          </w:tcPr>
          <w:p w14:paraId="7C943517"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$5.83</w:t>
            </w:r>
          </w:p>
        </w:tc>
        <w:tc>
          <w:tcPr>
            <w:tcW w:w="1239" w:type="dxa"/>
            <w:noWrap/>
            <w:hideMark/>
          </w:tcPr>
          <w:p w14:paraId="5CC59B34"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$11.26</w:t>
            </w:r>
          </w:p>
        </w:tc>
        <w:tc>
          <w:tcPr>
            <w:tcW w:w="1128" w:type="dxa"/>
            <w:noWrap/>
            <w:hideMark/>
          </w:tcPr>
          <w:p w14:paraId="23E010CE"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$0.09</w:t>
            </w:r>
          </w:p>
        </w:tc>
        <w:tc>
          <w:tcPr>
            <w:tcW w:w="1235" w:type="dxa"/>
            <w:noWrap/>
            <w:hideMark/>
          </w:tcPr>
          <w:p w14:paraId="65F16C6D"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$17.19</w:t>
            </w:r>
          </w:p>
        </w:tc>
      </w:tr>
      <w:tr w:rsidR="006C740A" w:rsidRPr="006D57D5" w14:paraId="1DE4F25F" w14:textId="77777777" w:rsidTr="00081B06">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26C1A4ED" w14:textId="77777777" w:rsidR="006C740A" w:rsidRPr="006D57D5" w:rsidRDefault="006C740A" w:rsidP="003928A3">
            <w:pPr>
              <w:pStyle w:val="TableofAuthorities"/>
            </w:pPr>
            <w:r w:rsidRPr="006D57D5">
              <w:t>Effect of adoption of AASB16 leases - RADs only</w:t>
            </w:r>
          </w:p>
        </w:tc>
        <w:tc>
          <w:tcPr>
            <w:tcW w:w="1217" w:type="dxa"/>
            <w:noWrap/>
            <w:hideMark/>
          </w:tcPr>
          <w:p w14:paraId="6DE0F289"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$389.05</w:t>
            </w:r>
          </w:p>
        </w:tc>
        <w:tc>
          <w:tcPr>
            <w:tcW w:w="1239" w:type="dxa"/>
            <w:noWrap/>
            <w:hideMark/>
          </w:tcPr>
          <w:p w14:paraId="69C554D3"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$158.85</w:t>
            </w:r>
          </w:p>
        </w:tc>
        <w:tc>
          <w:tcPr>
            <w:tcW w:w="1128" w:type="dxa"/>
            <w:noWrap/>
            <w:hideMark/>
          </w:tcPr>
          <w:p w14:paraId="5254019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$2.18</w:t>
            </w:r>
          </w:p>
        </w:tc>
        <w:tc>
          <w:tcPr>
            <w:tcW w:w="1235" w:type="dxa"/>
            <w:noWrap/>
            <w:hideMark/>
          </w:tcPr>
          <w:p w14:paraId="7BCDB6A6" w14:textId="77777777" w:rsidR="006C740A" w:rsidRPr="006D57D5" w:rsidRDefault="006C740A" w:rsidP="003928A3">
            <w:pPr>
              <w:pStyle w:val="TableofAuthorities"/>
              <w:cnfStyle w:val="000000000000" w:firstRow="0" w:lastRow="0" w:firstColumn="0" w:lastColumn="0" w:oddVBand="0" w:evenVBand="0" w:oddHBand="0" w:evenHBand="0" w:firstRowFirstColumn="0" w:firstRowLastColumn="0" w:lastRowFirstColumn="0" w:lastRowLastColumn="0"/>
            </w:pPr>
            <w:r w:rsidRPr="006D57D5">
              <w:t>$550.07</w:t>
            </w:r>
          </w:p>
        </w:tc>
      </w:tr>
      <w:tr w:rsidR="002236E8" w:rsidRPr="003928A3" w14:paraId="603A491C"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noWrap/>
            <w:hideMark/>
          </w:tcPr>
          <w:p w14:paraId="7332E7EC" w14:textId="77777777" w:rsidR="006C740A" w:rsidRPr="003928A3" w:rsidRDefault="006C740A" w:rsidP="002236E8">
            <w:pPr>
              <w:pStyle w:val="TableofAuthorities"/>
            </w:pPr>
            <w:r w:rsidRPr="003928A3">
              <w:t>Other non-recurrent expenses</w:t>
            </w:r>
          </w:p>
        </w:tc>
        <w:tc>
          <w:tcPr>
            <w:tcW w:w="1217" w:type="dxa"/>
            <w:noWrap/>
            <w:hideMark/>
          </w:tcPr>
          <w:p w14:paraId="02F83888" w14:textId="77777777" w:rsidR="006C740A" w:rsidRPr="003928A3" w:rsidRDefault="006C740A" w:rsidP="002236E8">
            <w:pPr>
              <w:pStyle w:val="TableofAuthorities"/>
              <w:cnfStyle w:val="000000000000" w:firstRow="0" w:lastRow="0" w:firstColumn="0" w:lastColumn="0" w:oddVBand="0" w:evenVBand="0" w:oddHBand="0" w:evenHBand="0" w:firstRowFirstColumn="0" w:firstRowLastColumn="0" w:lastRowFirstColumn="0" w:lastRowLastColumn="0"/>
            </w:pPr>
            <w:r w:rsidRPr="003928A3">
              <w:t>$63.62</w:t>
            </w:r>
          </w:p>
        </w:tc>
        <w:tc>
          <w:tcPr>
            <w:tcW w:w="1239" w:type="dxa"/>
            <w:noWrap/>
            <w:hideMark/>
          </w:tcPr>
          <w:p w14:paraId="079D6D2F" w14:textId="77777777" w:rsidR="006C740A" w:rsidRPr="003928A3" w:rsidRDefault="006C740A" w:rsidP="002236E8">
            <w:pPr>
              <w:pStyle w:val="TableofAuthorities"/>
              <w:cnfStyle w:val="000000000000" w:firstRow="0" w:lastRow="0" w:firstColumn="0" w:lastColumn="0" w:oddVBand="0" w:evenVBand="0" w:oddHBand="0" w:evenHBand="0" w:firstRowFirstColumn="0" w:firstRowLastColumn="0" w:lastRowFirstColumn="0" w:lastRowLastColumn="0"/>
            </w:pPr>
            <w:r w:rsidRPr="003928A3">
              <w:t>$38.41</w:t>
            </w:r>
          </w:p>
        </w:tc>
        <w:tc>
          <w:tcPr>
            <w:tcW w:w="1128" w:type="dxa"/>
            <w:noWrap/>
            <w:hideMark/>
          </w:tcPr>
          <w:p w14:paraId="3D726B42" w14:textId="77777777" w:rsidR="006C740A" w:rsidRPr="003928A3" w:rsidRDefault="006C740A" w:rsidP="002236E8">
            <w:pPr>
              <w:pStyle w:val="TableofAuthorities"/>
              <w:cnfStyle w:val="000000000000" w:firstRow="0" w:lastRow="0" w:firstColumn="0" w:lastColumn="0" w:oddVBand="0" w:evenVBand="0" w:oddHBand="0" w:evenHBand="0" w:firstRowFirstColumn="0" w:firstRowLastColumn="0" w:lastRowFirstColumn="0" w:lastRowLastColumn="0"/>
            </w:pPr>
            <w:r w:rsidRPr="003928A3">
              <w:t>$12.42</w:t>
            </w:r>
          </w:p>
        </w:tc>
        <w:tc>
          <w:tcPr>
            <w:tcW w:w="1235" w:type="dxa"/>
            <w:noWrap/>
            <w:hideMark/>
          </w:tcPr>
          <w:p w14:paraId="6989A2E0" w14:textId="77777777" w:rsidR="006C740A" w:rsidRPr="003928A3" w:rsidRDefault="006C740A" w:rsidP="002236E8">
            <w:pPr>
              <w:pStyle w:val="TableofAuthorities"/>
              <w:cnfStyle w:val="000000000000" w:firstRow="0" w:lastRow="0" w:firstColumn="0" w:lastColumn="0" w:oddVBand="0" w:evenVBand="0" w:oddHBand="0" w:evenHBand="0" w:firstRowFirstColumn="0" w:firstRowLastColumn="0" w:lastRowFirstColumn="0" w:lastRowLastColumn="0"/>
            </w:pPr>
            <w:r w:rsidRPr="003928A3">
              <w:t>$114.45</w:t>
            </w:r>
          </w:p>
        </w:tc>
      </w:tr>
      <w:tr w:rsidR="002236E8" w:rsidRPr="003928A3" w14:paraId="338A82A6"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371399EE" w14:textId="77777777" w:rsidR="006C740A" w:rsidRPr="003928A3" w:rsidRDefault="006C740A" w:rsidP="003928A3">
            <w:pPr>
              <w:pStyle w:val="TableParagraphbold"/>
            </w:pPr>
            <w:r w:rsidRPr="003928A3">
              <w:t>Total non-recurrent expenses</w:t>
            </w:r>
          </w:p>
        </w:tc>
        <w:tc>
          <w:tcPr>
            <w:tcW w:w="1217" w:type="dxa"/>
            <w:shd w:val="clear" w:color="auto" w:fill="D8DBDB" w:themeFill="background2" w:themeFillShade="E6"/>
            <w:noWrap/>
            <w:hideMark/>
          </w:tcPr>
          <w:p w14:paraId="06050260"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$538.89</w:t>
            </w:r>
          </w:p>
        </w:tc>
        <w:tc>
          <w:tcPr>
            <w:tcW w:w="1239" w:type="dxa"/>
            <w:shd w:val="clear" w:color="auto" w:fill="D8DBDB" w:themeFill="background2" w:themeFillShade="E6"/>
            <w:noWrap/>
            <w:hideMark/>
          </w:tcPr>
          <w:p w14:paraId="0938D839"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$310.47</w:t>
            </w:r>
          </w:p>
        </w:tc>
        <w:tc>
          <w:tcPr>
            <w:tcW w:w="1128" w:type="dxa"/>
            <w:shd w:val="clear" w:color="auto" w:fill="D8DBDB" w:themeFill="background2" w:themeFillShade="E6"/>
            <w:noWrap/>
            <w:hideMark/>
          </w:tcPr>
          <w:p w14:paraId="64CBB0C9"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$26.39</w:t>
            </w:r>
          </w:p>
        </w:tc>
        <w:tc>
          <w:tcPr>
            <w:tcW w:w="1235" w:type="dxa"/>
            <w:shd w:val="clear" w:color="auto" w:fill="D8DBDB" w:themeFill="background2" w:themeFillShade="E6"/>
            <w:noWrap/>
            <w:hideMark/>
          </w:tcPr>
          <w:p w14:paraId="754A040E"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$875.76</w:t>
            </w:r>
          </w:p>
        </w:tc>
      </w:tr>
      <w:tr w:rsidR="002236E8" w:rsidRPr="003928A3" w14:paraId="297CA173"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63C2F3FE" w14:textId="77777777" w:rsidR="006C740A" w:rsidRPr="003928A3" w:rsidRDefault="006C740A" w:rsidP="003928A3">
            <w:pPr>
              <w:pStyle w:val="TableParagraphbold"/>
            </w:pPr>
            <w:r w:rsidRPr="003928A3">
              <w:lastRenderedPageBreak/>
              <w:t>Total expense</w:t>
            </w:r>
          </w:p>
        </w:tc>
        <w:tc>
          <w:tcPr>
            <w:tcW w:w="1217" w:type="dxa"/>
            <w:shd w:val="clear" w:color="auto" w:fill="D8DBDB" w:themeFill="background2" w:themeFillShade="E6"/>
            <w:noWrap/>
            <w:hideMark/>
          </w:tcPr>
          <w:p w14:paraId="4917415F"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$10,096.53</w:t>
            </w:r>
          </w:p>
        </w:tc>
        <w:tc>
          <w:tcPr>
            <w:tcW w:w="1239" w:type="dxa"/>
            <w:shd w:val="clear" w:color="auto" w:fill="D8DBDB" w:themeFill="background2" w:themeFillShade="E6"/>
            <w:noWrap/>
            <w:hideMark/>
          </w:tcPr>
          <w:p w14:paraId="1C33BB25"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$13,045.64</w:t>
            </w:r>
          </w:p>
        </w:tc>
        <w:tc>
          <w:tcPr>
            <w:tcW w:w="1128" w:type="dxa"/>
            <w:shd w:val="clear" w:color="auto" w:fill="D8DBDB" w:themeFill="background2" w:themeFillShade="E6"/>
            <w:noWrap/>
            <w:hideMark/>
          </w:tcPr>
          <w:p w14:paraId="079F47EC"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$1,196.41</w:t>
            </w:r>
          </w:p>
        </w:tc>
        <w:tc>
          <w:tcPr>
            <w:tcW w:w="1235" w:type="dxa"/>
            <w:shd w:val="clear" w:color="auto" w:fill="D8DBDB" w:themeFill="background2" w:themeFillShade="E6"/>
            <w:noWrap/>
            <w:hideMark/>
          </w:tcPr>
          <w:p w14:paraId="0496D52C"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$24,338.58</w:t>
            </w:r>
          </w:p>
        </w:tc>
      </w:tr>
      <w:tr w:rsidR="002236E8" w:rsidRPr="003928A3" w14:paraId="79836910" w14:textId="77777777" w:rsidTr="002236E8">
        <w:trPr>
          <w:trHeight w:val="315"/>
        </w:trPr>
        <w:tc>
          <w:tcPr>
            <w:cnfStyle w:val="001000000000" w:firstRow="0" w:lastRow="0" w:firstColumn="1" w:lastColumn="0" w:oddVBand="0" w:evenVBand="0" w:oddHBand="0" w:evenHBand="0" w:firstRowFirstColumn="0" w:firstRowLastColumn="0" w:lastRowFirstColumn="0" w:lastRowLastColumn="0"/>
            <w:tcW w:w="5387" w:type="dxa"/>
            <w:shd w:val="clear" w:color="auto" w:fill="D8DBDB" w:themeFill="background2" w:themeFillShade="E6"/>
            <w:noWrap/>
            <w:hideMark/>
          </w:tcPr>
          <w:p w14:paraId="2D4A6F8D" w14:textId="77777777" w:rsidR="006C740A" w:rsidRPr="003928A3" w:rsidRDefault="006C740A" w:rsidP="003928A3">
            <w:pPr>
              <w:pStyle w:val="TableParagraphbold"/>
            </w:pPr>
            <w:r w:rsidRPr="003928A3">
              <w:t>Net profit/(loss)</w:t>
            </w:r>
          </w:p>
        </w:tc>
        <w:tc>
          <w:tcPr>
            <w:tcW w:w="1217" w:type="dxa"/>
            <w:shd w:val="clear" w:color="auto" w:fill="D8DBDB" w:themeFill="background2" w:themeFillShade="E6"/>
            <w:noWrap/>
            <w:hideMark/>
          </w:tcPr>
          <w:p w14:paraId="1BA64599"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($841.78)</w:t>
            </w:r>
          </w:p>
        </w:tc>
        <w:tc>
          <w:tcPr>
            <w:tcW w:w="1239" w:type="dxa"/>
            <w:shd w:val="clear" w:color="auto" w:fill="D8DBDB" w:themeFill="background2" w:themeFillShade="E6"/>
            <w:noWrap/>
            <w:hideMark/>
          </w:tcPr>
          <w:p w14:paraId="54C8BC19"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($1,251.62)</w:t>
            </w:r>
          </w:p>
        </w:tc>
        <w:tc>
          <w:tcPr>
            <w:tcW w:w="1128" w:type="dxa"/>
            <w:shd w:val="clear" w:color="auto" w:fill="D8DBDB" w:themeFill="background2" w:themeFillShade="E6"/>
            <w:noWrap/>
            <w:hideMark/>
          </w:tcPr>
          <w:p w14:paraId="33E4E9CB"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($170.64)</w:t>
            </w:r>
          </w:p>
        </w:tc>
        <w:tc>
          <w:tcPr>
            <w:tcW w:w="1235" w:type="dxa"/>
            <w:shd w:val="clear" w:color="auto" w:fill="D8DBDB" w:themeFill="background2" w:themeFillShade="E6"/>
            <w:noWrap/>
            <w:hideMark/>
          </w:tcPr>
          <w:p w14:paraId="6FE9DAFF" w14:textId="77777777" w:rsidR="006C740A" w:rsidRPr="003928A3" w:rsidRDefault="006C740A" w:rsidP="003928A3">
            <w:pPr>
              <w:pStyle w:val="TableParagraphbold"/>
              <w:cnfStyle w:val="000000000000" w:firstRow="0" w:lastRow="0" w:firstColumn="0" w:lastColumn="0" w:oddVBand="0" w:evenVBand="0" w:oddHBand="0" w:evenHBand="0" w:firstRowFirstColumn="0" w:firstRowLastColumn="0" w:lastRowFirstColumn="0" w:lastRowLastColumn="0"/>
            </w:pPr>
            <w:r w:rsidRPr="003928A3">
              <w:t>($2,264.04)</w:t>
            </w:r>
          </w:p>
        </w:tc>
      </w:tr>
    </w:tbl>
    <w:p w14:paraId="1C8AF1F9" w14:textId="77777777" w:rsidR="00D82505" w:rsidRPr="006D57D5" w:rsidRDefault="00D82505" w:rsidP="006D57D5">
      <w:r w:rsidRPr="006D57D5">
        <w:br w:type="page"/>
      </w:r>
    </w:p>
    <w:p w14:paraId="49442819" w14:textId="5C3F6D53" w:rsidR="002D1778" w:rsidRDefault="00D82505" w:rsidP="009A2881">
      <w:pPr>
        <w:pStyle w:val="Heading2nonumbers"/>
      </w:pPr>
      <w:r>
        <w:lastRenderedPageBreak/>
        <w:t xml:space="preserve">Appendix </w:t>
      </w:r>
      <w:r w:rsidR="008C5BE6">
        <w:t>B</w:t>
      </w:r>
    </w:p>
    <w:p w14:paraId="591C1E7E" w14:textId="77777777" w:rsidR="002D1778" w:rsidRDefault="002D1778" w:rsidP="002D1778">
      <w:r w:rsidRPr="002D1778">
        <w:t>Residential Segment Income and Expense Statement, per resident per day, 2021-22</w:t>
      </w:r>
    </w:p>
    <w:tbl>
      <w:tblPr>
        <w:tblStyle w:val="DepartmentofHealthtable"/>
        <w:tblW w:w="10348" w:type="dxa"/>
        <w:tblLayout w:type="fixed"/>
        <w:tblLook w:val="04A0" w:firstRow="1" w:lastRow="0" w:firstColumn="1" w:lastColumn="0" w:noHBand="0" w:noVBand="1"/>
      </w:tblPr>
      <w:tblGrid>
        <w:gridCol w:w="5952"/>
        <w:gridCol w:w="1099"/>
        <w:gridCol w:w="1099"/>
        <w:gridCol w:w="1099"/>
        <w:gridCol w:w="1099"/>
      </w:tblGrid>
      <w:tr w:rsidR="004A5382" w:rsidRPr="004A5382" w14:paraId="4FBB5B6B" w14:textId="77777777" w:rsidTr="004564B5">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5952" w:type="dxa"/>
            <w:hideMark/>
          </w:tcPr>
          <w:p w14:paraId="133B7155" w14:textId="77777777" w:rsidR="004A5382" w:rsidRPr="004A5382" w:rsidRDefault="004A5382" w:rsidP="004564B5">
            <w:pPr>
              <w:pStyle w:val="TableHeaderWhite"/>
              <w:rPr>
                <w:lang w:eastAsia="en-AU"/>
              </w:rPr>
            </w:pPr>
            <w:r w:rsidRPr="004A5382">
              <w:rPr>
                <w:lang w:eastAsia="en-AU"/>
              </w:rPr>
              <w:t> </w:t>
            </w:r>
          </w:p>
        </w:tc>
        <w:tc>
          <w:tcPr>
            <w:tcW w:w="1099" w:type="dxa"/>
            <w:hideMark/>
          </w:tcPr>
          <w:p w14:paraId="6A777E40" w14:textId="77777777" w:rsidR="004A5382" w:rsidRPr="004A5382" w:rsidRDefault="004A5382" w:rsidP="004564B5">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4A5382">
              <w:rPr>
                <w:lang w:eastAsia="en-AU"/>
              </w:rPr>
              <w:t>Not-for-profit</w:t>
            </w:r>
          </w:p>
        </w:tc>
        <w:tc>
          <w:tcPr>
            <w:tcW w:w="1099" w:type="dxa"/>
            <w:hideMark/>
          </w:tcPr>
          <w:p w14:paraId="05335C2F" w14:textId="77777777" w:rsidR="004A5382" w:rsidRPr="004A5382" w:rsidRDefault="004A5382" w:rsidP="004564B5">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4A5382">
              <w:rPr>
                <w:lang w:eastAsia="en-AU"/>
              </w:rPr>
              <w:t>For-profit</w:t>
            </w:r>
          </w:p>
        </w:tc>
        <w:tc>
          <w:tcPr>
            <w:tcW w:w="1099" w:type="dxa"/>
            <w:hideMark/>
          </w:tcPr>
          <w:p w14:paraId="1E641F03" w14:textId="77777777" w:rsidR="004A5382" w:rsidRPr="004A5382" w:rsidRDefault="004A5382" w:rsidP="004564B5">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4A5382">
              <w:rPr>
                <w:lang w:eastAsia="en-AU"/>
              </w:rPr>
              <w:t>LST providers</w:t>
            </w:r>
          </w:p>
        </w:tc>
        <w:tc>
          <w:tcPr>
            <w:tcW w:w="1099" w:type="dxa"/>
            <w:hideMark/>
          </w:tcPr>
          <w:p w14:paraId="020688D1" w14:textId="77777777" w:rsidR="004A5382" w:rsidRPr="004A5382" w:rsidRDefault="004A5382" w:rsidP="004564B5">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4A5382">
              <w:rPr>
                <w:lang w:eastAsia="en-AU"/>
              </w:rPr>
              <w:t>All providers</w:t>
            </w:r>
          </w:p>
        </w:tc>
      </w:tr>
      <w:tr w:rsidR="004A5382" w:rsidRPr="004564B5" w14:paraId="37F58884" w14:textId="77777777" w:rsidTr="002236E8">
        <w:trPr>
          <w:trHeight w:val="31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61AEF921" w14:textId="77777777" w:rsidR="004A5382" w:rsidRPr="004564B5" w:rsidRDefault="004A5382" w:rsidP="004564B5">
            <w:pPr>
              <w:pStyle w:val="TableParagraphbold"/>
            </w:pPr>
            <w:r w:rsidRPr="004564B5">
              <w:t>Income</w:t>
            </w:r>
          </w:p>
        </w:tc>
        <w:tc>
          <w:tcPr>
            <w:tcW w:w="1099" w:type="dxa"/>
            <w:shd w:val="clear" w:color="auto" w:fill="D8DBDB" w:themeFill="background2" w:themeFillShade="E6"/>
            <w:noWrap/>
            <w:hideMark/>
          </w:tcPr>
          <w:p w14:paraId="10984EFE"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3E1B1E3F"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316424AA"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69DF5610"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564B5" w14:paraId="19B11DB7"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61830E96" w14:textId="77777777" w:rsidR="004A5382" w:rsidRPr="004564B5" w:rsidRDefault="004A5382" w:rsidP="004564B5">
            <w:pPr>
              <w:pStyle w:val="TableParagraphbold"/>
            </w:pPr>
            <w:r w:rsidRPr="004564B5">
              <w:t>Recurrent income</w:t>
            </w:r>
          </w:p>
        </w:tc>
        <w:tc>
          <w:tcPr>
            <w:tcW w:w="1099" w:type="dxa"/>
            <w:shd w:val="clear" w:color="auto" w:fill="D8DBDB" w:themeFill="background2" w:themeFillShade="E6"/>
            <w:noWrap/>
            <w:hideMark/>
          </w:tcPr>
          <w:p w14:paraId="7BD37A23"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7B019542"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06C8119F"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4458B1FD"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564B5" w14:paraId="6E8AAE2D"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3ACDB10D" w14:textId="77777777" w:rsidR="004A5382" w:rsidRPr="004564B5" w:rsidRDefault="004A5382" w:rsidP="004564B5">
            <w:pPr>
              <w:pStyle w:val="TableParagraphbold"/>
            </w:pPr>
            <w:r w:rsidRPr="004564B5">
              <w:t>Care income</w:t>
            </w:r>
          </w:p>
        </w:tc>
        <w:tc>
          <w:tcPr>
            <w:tcW w:w="1099" w:type="dxa"/>
            <w:shd w:val="clear" w:color="auto" w:fill="D8DBDB" w:themeFill="background2" w:themeFillShade="E6"/>
            <w:noWrap/>
            <w:hideMark/>
          </w:tcPr>
          <w:p w14:paraId="000E02B6"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348AC26E"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4A51C649"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3E30BB35"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11C83367"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948F0F4" w14:textId="77777777" w:rsidR="004A5382" w:rsidRPr="00382EC0" w:rsidRDefault="004A5382" w:rsidP="001160BD">
            <w:pPr>
              <w:pStyle w:val="TableofAuthorities"/>
            </w:pPr>
            <w:r w:rsidRPr="00382EC0">
              <w:t>Subsidies and supplements (Australian Government)</w:t>
            </w:r>
          </w:p>
        </w:tc>
        <w:tc>
          <w:tcPr>
            <w:tcW w:w="1099" w:type="dxa"/>
            <w:noWrap/>
            <w:hideMark/>
          </w:tcPr>
          <w:p w14:paraId="5E509D2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$180.26</w:t>
            </w:r>
          </w:p>
        </w:tc>
        <w:tc>
          <w:tcPr>
            <w:tcW w:w="1099" w:type="dxa"/>
            <w:noWrap/>
            <w:hideMark/>
          </w:tcPr>
          <w:p w14:paraId="55AAADB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$188.12</w:t>
            </w:r>
          </w:p>
        </w:tc>
        <w:tc>
          <w:tcPr>
            <w:tcW w:w="1099" w:type="dxa"/>
            <w:noWrap/>
            <w:hideMark/>
          </w:tcPr>
          <w:p w14:paraId="0FD68A8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$157.70</w:t>
            </w:r>
          </w:p>
        </w:tc>
        <w:tc>
          <w:tcPr>
            <w:tcW w:w="1099" w:type="dxa"/>
            <w:noWrap/>
            <w:hideMark/>
          </w:tcPr>
          <w:p w14:paraId="348C9F4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$182.61</w:t>
            </w:r>
          </w:p>
        </w:tc>
      </w:tr>
      <w:tr w:rsidR="004A5382" w:rsidRPr="004A5382" w14:paraId="3798CC61"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868B582" w14:textId="77777777" w:rsidR="004A5382" w:rsidRPr="00382EC0" w:rsidRDefault="004A5382" w:rsidP="001160BD">
            <w:pPr>
              <w:pStyle w:val="TableofAuthorities"/>
            </w:pPr>
            <w:r w:rsidRPr="00382EC0">
              <w:t>Subsidies and supplements (State/Territory)</w:t>
            </w:r>
          </w:p>
        </w:tc>
        <w:tc>
          <w:tcPr>
            <w:tcW w:w="1099" w:type="dxa"/>
            <w:noWrap/>
            <w:hideMark/>
          </w:tcPr>
          <w:p w14:paraId="740813D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$0.73</w:t>
            </w:r>
          </w:p>
        </w:tc>
        <w:tc>
          <w:tcPr>
            <w:tcW w:w="1099" w:type="dxa"/>
            <w:noWrap/>
            <w:hideMark/>
          </w:tcPr>
          <w:p w14:paraId="74ED1FB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$0.03</w:t>
            </w:r>
          </w:p>
        </w:tc>
        <w:tc>
          <w:tcPr>
            <w:tcW w:w="1099" w:type="dxa"/>
            <w:noWrap/>
            <w:hideMark/>
          </w:tcPr>
          <w:p w14:paraId="47E7048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$87.05</w:t>
            </w:r>
          </w:p>
        </w:tc>
        <w:tc>
          <w:tcPr>
            <w:tcW w:w="1099" w:type="dxa"/>
            <w:noWrap/>
            <w:hideMark/>
          </w:tcPr>
          <w:p w14:paraId="04A48BE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$3.65</w:t>
            </w:r>
          </w:p>
        </w:tc>
      </w:tr>
      <w:tr w:rsidR="004A5382" w:rsidRPr="004A5382" w14:paraId="1509B98D"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BE57170" w14:textId="77777777" w:rsidR="004A5382" w:rsidRPr="00382EC0" w:rsidRDefault="004A5382" w:rsidP="001160BD">
            <w:pPr>
              <w:pStyle w:val="TableofAuthorities"/>
            </w:pPr>
            <w:r w:rsidRPr="00382EC0">
              <w:t>Resident fees: means-tested care fee</w:t>
            </w:r>
          </w:p>
        </w:tc>
        <w:tc>
          <w:tcPr>
            <w:tcW w:w="1099" w:type="dxa"/>
            <w:noWrap/>
            <w:hideMark/>
          </w:tcPr>
          <w:p w14:paraId="2C3DCB7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$9.10</w:t>
            </w:r>
          </w:p>
        </w:tc>
        <w:tc>
          <w:tcPr>
            <w:tcW w:w="1099" w:type="dxa"/>
            <w:noWrap/>
            <w:hideMark/>
          </w:tcPr>
          <w:p w14:paraId="59B3CF7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$11.30</w:t>
            </w:r>
          </w:p>
        </w:tc>
        <w:tc>
          <w:tcPr>
            <w:tcW w:w="1099" w:type="dxa"/>
            <w:noWrap/>
            <w:hideMark/>
          </w:tcPr>
          <w:p w14:paraId="622B521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$6.30</w:t>
            </w:r>
          </w:p>
        </w:tc>
        <w:tc>
          <w:tcPr>
            <w:tcW w:w="1099" w:type="dxa"/>
            <w:noWrap/>
            <w:hideMark/>
          </w:tcPr>
          <w:p w14:paraId="32F8FCD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$9.88</w:t>
            </w:r>
          </w:p>
        </w:tc>
      </w:tr>
      <w:tr w:rsidR="004A5382" w:rsidRPr="004A5382" w14:paraId="66861D7F"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1201517" w14:textId="77777777" w:rsidR="004A5382" w:rsidRPr="00382EC0" w:rsidRDefault="004A5382" w:rsidP="001160BD">
            <w:pPr>
              <w:pStyle w:val="TableofAuthorities"/>
            </w:pPr>
            <w:r w:rsidRPr="00382EC0">
              <w:t>Grants: recurrent</w:t>
            </w:r>
          </w:p>
        </w:tc>
        <w:tc>
          <w:tcPr>
            <w:tcW w:w="1099" w:type="dxa"/>
            <w:noWrap/>
            <w:hideMark/>
          </w:tcPr>
          <w:p w14:paraId="36D5D60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$0.49</w:t>
            </w:r>
          </w:p>
        </w:tc>
        <w:tc>
          <w:tcPr>
            <w:tcW w:w="1099" w:type="dxa"/>
            <w:noWrap/>
            <w:hideMark/>
          </w:tcPr>
          <w:p w14:paraId="448130C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$0.02</w:t>
            </w:r>
          </w:p>
        </w:tc>
        <w:tc>
          <w:tcPr>
            <w:tcW w:w="1099" w:type="dxa"/>
            <w:noWrap/>
            <w:hideMark/>
          </w:tcPr>
          <w:p w14:paraId="2B39E2E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$3.35</w:t>
            </w:r>
          </w:p>
        </w:tc>
        <w:tc>
          <w:tcPr>
            <w:tcW w:w="1099" w:type="dxa"/>
            <w:noWrap/>
            <w:hideMark/>
          </w:tcPr>
          <w:p w14:paraId="66C31EE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$0.40</w:t>
            </w:r>
          </w:p>
        </w:tc>
      </w:tr>
      <w:tr w:rsidR="004A5382" w:rsidRPr="004A5382" w14:paraId="2D3D9B73"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2268234" w14:textId="77777777" w:rsidR="004A5382" w:rsidRPr="00382EC0" w:rsidRDefault="004A5382" w:rsidP="001160BD">
            <w:pPr>
              <w:pStyle w:val="TableofAuthorities"/>
            </w:pPr>
            <w:r w:rsidRPr="00382EC0">
              <w:t>Other care income</w:t>
            </w:r>
          </w:p>
        </w:tc>
        <w:tc>
          <w:tcPr>
            <w:tcW w:w="1099" w:type="dxa"/>
            <w:noWrap/>
            <w:hideMark/>
          </w:tcPr>
          <w:p w14:paraId="5A5DE26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$0.68</w:t>
            </w:r>
          </w:p>
        </w:tc>
        <w:tc>
          <w:tcPr>
            <w:tcW w:w="1099" w:type="dxa"/>
            <w:noWrap/>
            <w:hideMark/>
          </w:tcPr>
          <w:p w14:paraId="5EC3574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$1.68</w:t>
            </w:r>
          </w:p>
        </w:tc>
        <w:tc>
          <w:tcPr>
            <w:tcW w:w="1099" w:type="dxa"/>
            <w:noWrap/>
            <w:hideMark/>
          </w:tcPr>
          <w:p w14:paraId="06F7C15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$5.27</w:t>
            </w:r>
          </w:p>
        </w:tc>
        <w:tc>
          <w:tcPr>
            <w:tcW w:w="1099" w:type="dxa"/>
            <w:noWrap/>
            <w:hideMark/>
          </w:tcPr>
          <w:p w14:paraId="69C1073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$1.25</w:t>
            </w:r>
          </w:p>
        </w:tc>
      </w:tr>
      <w:tr w:rsidR="004A5382" w:rsidRPr="004564B5" w14:paraId="746B2FD5"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2F814A8B" w14:textId="77777777" w:rsidR="004A5382" w:rsidRPr="004564B5" w:rsidRDefault="004A5382" w:rsidP="004564B5">
            <w:pPr>
              <w:pStyle w:val="TableParagraphbold"/>
            </w:pPr>
            <w:r w:rsidRPr="004564B5">
              <w:t>Total care income</w:t>
            </w:r>
          </w:p>
        </w:tc>
        <w:tc>
          <w:tcPr>
            <w:tcW w:w="1099" w:type="dxa"/>
            <w:shd w:val="clear" w:color="auto" w:fill="D8DBDB" w:themeFill="background2" w:themeFillShade="E6"/>
            <w:noWrap/>
            <w:hideMark/>
          </w:tcPr>
          <w:p w14:paraId="0E158014"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$191.25</w:t>
            </w:r>
          </w:p>
        </w:tc>
        <w:tc>
          <w:tcPr>
            <w:tcW w:w="1099" w:type="dxa"/>
            <w:shd w:val="clear" w:color="auto" w:fill="D8DBDB" w:themeFill="background2" w:themeFillShade="E6"/>
            <w:noWrap/>
            <w:hideMark/>
          </w:tcPr>
          <w:p w14:paraId="69DF40FA"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$201.14</w:t>
            </w:r>
          </w:p>
        </w:tc>
        <w:tc>
          <w:tcPr>
            <w:tcW w:w="1099" w:type="dxa"/>
            <w:shd w:val="clear" w:color="auto" w:fill="D8DBDB" w:themeFill="background2" w:themeFillShade="E6"/>
            <w:noWrap/>
            <w:hideMark/>
          </w:tcPr>
          <w:p w14:paraId="34CC9C20"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$259.69</w:t>
            </w:r>
          </w:p>
        </w:tc>
        <w:tc>
          <w:tcPr>
            <w:tcW w:w="1099" w:type="dxa"/>
            <w:shd w:val="clear" w:color="auto" w:fill="D8DBDB" w:themeFill="background2" w:themeFillShade="E6"/>
            <w:noWrap/>
            <w:hideMark/>
          </w:tcPr>
          <w:p w14:paraId="288E4148"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$197.80</w:t>
            </w:r>
          </w:p>
        </w:tc>
      </w:tr>
      <w:tr w:rsidR="004A5382" w:rsidRPr="004564B5" w14:paraId="14AA6505"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4F1705EC" w14:textId="77777777" w:rsidR="004A5382" w:rsidRPr="004564B5" w:rsidRDefault="004A5382" w:rsidP="004564B5">
            <w:pPr>
              <w:pStyle w:val="TableParagraphbold"/>
            </w:pPr>
            <w:r w:rsidRPr="004564B5">
              <w:t>Hotel services income</w:t>
            </w:r>
          </w:p>
        </w:tc>
        <w:tc>
          <w:tcPr>
            <w:tcW w:w="1099" w:type="dxa"/>
            <w:shd w:val="clear" w:color="auto" w:fill="D8DBDB" w:themeFill="background2" w:themeFillShade="E6"/>
            <w:noWrap/>
            <w:hideMark/>
          </w:tcPr>
          <w:p w14:paraId="414B1F34"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79F8DA04"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5AD0BA45"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1486DBC9"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137804E9"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7F230BA" w14:textId="77777777" w:rsidR="004A5382" w:rsidRPr="00382EC0" w:rsidRDefault="004A5382" w:rsidP="001160BD">
            <w:pPr>
              <w:pStyle w:val="TableofAuthorities"/>
            </w:pPr>
            <w:r w:rsidRPr="00382EC0">
              <w:t>Basic daily fee</w:t>
            </w:r>
          </w:p>
        </w:tc>
        <w:tc>
          <w:tcPr>
            <w:tcW w:w="1099" w:type="dxa"/>
            <w:noWrap/>
            <w:hideMark/>
          </w:tcPr>
          <w:p w14:paraId="51444D7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$52.41</w:t>
            </w:r>
          </w:p>
        </w:tc>
        <w:tc>
          <w:tcPr>
            <w:tcW w:w="1099" w:type="dxa"/>
            <w:noWrap/>
            <w:hideMark/>
          </w:tcPr>
          <w:p w14:paraId="445C149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$54.18</w:t>
            </w:r>
          </w:p>
        </w:tc>
        <w:tc>
          <w:tcPr>
            <w:tcW w:w="1099" w:type="dxa"/>
            <w:noWrap/>
            <w:hideMark/>
          </w:tcPr>
          <w:p w14:paraId="1B8F8AB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$53.54</w:t>
            </w:r>
          </w:p>
        </w:tc>
        <w:tc>
          <w:tcPr>
            <w:tcW w:w="1099" w:type="dxa"/>
            <w:noWrap/>
            <w:hideMark/>
          </w:tcPr>
          <w:p w14:paraId="6CC9C42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$53.17</w:t>
            </w:r>
          </w:p>
        </w:tc>
      </w:tr>
      <w:tr w:rsidR="004A5382" w:rsidRPr="004A5382" w14:paraId="2698384E"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E611D35" w14:textId="77777777" w:rsidR="004A5382" w:rsidRPr="00382EC0" w:rsidRDefault="004A5382" w:rsidP="001160BD">
            <w:pPr>
              <w:pStyle w:val="TableofAuthorities"/>
            </w:pPr>
            <w:r w:rsidRPr="00382EC0">
              <w:t xml:space="preserve">BDF supplement </w:t>
            </w:r>
          </w:p>
        </w:tc>
        <w:tc>
          <w:tcPr>
            <w:tcW w:w="1099" w:type="dxa"/>
            <w:noWrap/>
            <w:hideMark/>
          </w:tcPr>
          <w:p w14:paraId="6EAA6DC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$9.96</w:t>
            </w:r>
          </w:p>
        </w:tc>
        <w:tc>
          <w:tcPr>
            <w:tcW w:w="1099" w:type="dxa"/>
            <w:noWrap/>
            <w:hideMark/>
          </w:tcPr>
          <w:p w14:paraId="1B42E22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$9.15</w:t>
            </w:r>
          </w:p>
        </w:tc>
        <w:tc>
          <w:tcPr>
            <w:tcW w:w="1099" w:type="dxa"/>
            <w:noWrap/>
            <w:hideMark/>
          </w:tcPr>
          <w:p w14:paraId="6FEBEC0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$9.79</w:t>
            </w:r>
          </w:p>
        </w:tc>
        <w:tc>
          <w:tcPr>
            <w:tcW w:w="1099" w:type="dxa"/>
            <w:noWrap/>
            <w:hideMark/>
          </w:tcPr>
          <w:p w14:paraId="48CAC94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$9.63</w:t>
            </w:r>
          </w:p>
        </w:tc>
      </w:tr>
      <w:tr w:rsidR="004A5382" w:rsidRPr="004A5382" w14:paraId="609CD0D8"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8B4D2D1" w14:textId="77777777" w:rsidR="004A5382" w:rsidRPr="00382EC0" w:rsidRDefault="004A5382" w:rsidP="001160BD">
            <w:pPr>
              <w:pStyle w:val="TableofAuthorities"/>
            </w:pPr>
            <w:r w:rsidRPr="00382EC0">
              <w:t>Extra service fees</w:t>
            </w:r>
          </w:p>
        </w:tc>
        <w:tc>
          <w:tcPr>
            <w:tcW w:w="1099" w:type="dxa"/>
            <w:noWrap/>
            <w:hideMark/>
          </w:tcPr>
          <w:p w14:paraId="0C08648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$0.64</w:t>
            </w:r>
          </w:p>
        </w:tc>
        <w:tc>
          <w:tcPr>
            <w:tcW w:w="1099" w:type="dxa"/>
            <w:noWrap/>
            <w:hideMark/>
          </w:tcPr>
          <w:p w14:paraId="39058F9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$3.63</w:t>
            </w:r>
          </w:p>
        </w:tc>
        <w:tc>
          <w:tcPr>
            <w:tcW w:w="1099" w:type="dxa"/>
            <w:noWrap/>
            <w:hideMark/>
          </w:tcPr>
          <w:p w14:paraId="256394E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$0.01</w:t>
            </w:r>
          </w:p>
        </w:tc>
        <w:tc>
          <w:tcPr>
            <w:tcW w:w="1099" w:type="dxa"/>
            <w:noWrap/>
            <w:hideMark/>
          </w:tcPr>
          <w:p w14:paraId="785499C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$1.83</w:t>
            </w:r>
          </w:p>
        </w:tc>
      </w:tr>
      <w:tr w:rsidR="004A5382" w:rsidRPr="004A5382" w14:paraId="6FFB6804"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B04CF0C" w14:textId="77777777" w:rsidR="004A5382" w:rsidRPr="00382EC0" w:rsidRDefault="004A5382" w:rsidP="001160BD">
            <w:pPr>
              <w:pStyle w:val="TableofAuthorities"/>
            </w:pPr>
            <w:r w:rsidRPr="00382EC0">
              <w:t>Additional service fees</w:t>
            </w:r>
          </w:p>
        </w:tc>
        <w:tc>
          <w:tcPr>
            <w:tcW w:w="1099" w:type="dxa"/>
            <w:noWrap/>
            <w:hideMark/>
          </w:tcPr>
          <w:p w14:paraId="028804B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$1.23</w:t>
            </w:r>
          </w:p>
        </w:tc>
        <w:tc>
          <w:tcPr>
            <w:tcW w:w="1099" w:type="dxa"/>
            <w:noWrap/>
            <w:hideMark/>
          </w:tcPr>
          <w:p w14:paraId="372A601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$4.63</w:t>
            </w:r>
          </w:p>
        </w:tc>
        <w:tc>
          <w:tcPr>
            <w:tcW w:w="1099" w:type="dxa"/>
            <w:noWrap/>
            <w:hideMark/>
          </w:tcPr>
          <w:p w14:paraId="6FB40F6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$0.07</w:t>
            </w:r>
          </w:p>
        </w:tc>
        <w:tc>
          <w:tcPr>
            <w:tcW w:w="1099" w:type="dxa"/>
            <w:noWrap/>
            <w:hideMark/>
          </w:tcPr>
          <w:p w14:paraId="69BF6E6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$2.56</w:t>
            </w:r>
          </w:p>
        </w:tc>
      </w:tr>
      <w:tr w:rsidR="004A5382" w:rsidRPr="004A5382" w14:paraId="4D65D874"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AD2524C" w14:textId="77777777" w:rsidR="004A5382" w:rsidRPr="00382EC0" w:rsidRDefault="004A5382" w:rsidP="001160BD">
            <w:pPr>
              <w:pStyle w:val="TableofAuthorities"/>
            </w:pPr>
            <w:r w:rsidRPr="00382EC0">
              <w:t>Other hotel services income</w:t>
            </w:r>
          </w:p>
        </w:tc>
        <w:tc>
          <w:tcPr>
            <w:tcW w:w="1099" w:type="dxa"/>
            <w:noWrap/>
            <w:hideMark/>
          </w:tcPr>
          <w:p w14:paraId="11ABF65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$1.75</w:t>
            </w:r>
          </w:p>
        </w:tc>
        <w:tc>
          <w:tcPr>
            <w:tcW w:w="1099" w:type="dxa"/>
            <w:noWrap/>
            <w:hideMark/>
          </w:tcPr>
          <w:p w14:paraId="0D1735F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$0.43</w:t>
            </w:r>
          </w:p>
        </w:tc>
        <w:tc>
          <w:tcPr>
            <w:tcW w:w="1099" w:type="dxa"/>
            <w:noWrap/>
            <w:hideMark/>
          </w:tcPr>
          <w:p w14:paraId="4E7CFE1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$0.89</w:t>
            </w:r>
          </w:p>
        </w:tc>
        <w:tc>
          <w:tcPr>
            <w:tcW w:w="1099" w:type="dxa"/>
            <w:noWrap/>
            <w:hideMark/>
          </w:tcPr>
          <w:p w14:paraId="2C2CCA9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$1.18</w:t>
            </w:r>
          </w:p>
        </w:tc>
      </w:tr>
      <w:tr w:rsidR="004A5382" w:rsidRPr="004564B5" w14:paraId="1ED13C9C"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572DB7CD" w14:textId="77777777" w:rsidR="004A5382" w:rsidRPr="004564B5" w:rsidRDefault="004A5382" w:rsidP="004564B5">
            <w:pPr>
              <w:pStyle w:val="TableParagraphbold"/>
            </w:pPr>
            <w:r w:rsidRPr="004564B5">
              <w:t>Total hotel services income</w:t>
            </w:r>
          </w:p>
        </w:tc>
        <w:tc>
          <w:tcPr>
            <w:tcW w:w="1099" w:type="dxa"/>
            <w:shd w:val="clear" w:color="auto" w:fill="D8DBDB" w:themeFill="background2" w:themeFillShade="E6"/>
            <w:noWrap/>
            <w:hideMark/>
          </w:tcPr>
          <w:p w14:paraId="0FF10F43"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$65.98</w:t>
            </w:r>
          </w:p>
        </w:tc>
        <w:tc>
          <w:tcPr>
            <w:tcW w:w="1099" w:type="dxa"/>
            <w:shd w:val="clear" w:color="auto" w:fill="D8DBDB" w:themeFill="background2" w:themeFillShade="E6"/>
            <w:noWrap/>
            <w:hideMark/>
          </w:tcPr>
          <w:p w14:paraId="2DE34460"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$72.03</w:t>
            </w:r>
          </w:p>
        </w:tc>
        <w:tc>
          <w:tcPr>
            <w:tcW w:w="1099" w:type="dxa"/>
            <w:shd w:val="clear" w:color="auto" w:fill="D8DBDB" w:themeFill="background2" w:themeFillShade="E6"/>
            <w:noWrap/>
            <w:hideMark/>
          </w:tcPr>
          <w:p w14:paraId="02C2D1D9"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$64.30</w:t>
            </w:r>
          </w:p>
        </w:tc>
        <w:tc>
          <w:tcPr>
            <w:tcW w:w="1099" w:type="dxa"/>
            <w:shd w:val="clear" w:color="auto" w:fill="D8DBDB" w:themeFill="background2" w:themeFillShade="E6"/>
            <w:noWrap/>
            <w:hideMark/>
          </w:tcPr>
          <w:p w14:paraId="06F92370"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$68.37</w:t>
            </w:r>
          </w:p>
        </w:tc>
      </w:tr>
      <w:tr w:rsidR="004A5382" w:rsidRPr="004564B5" w14:paraId="14EB71C0"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5C0EEAA0" w14:textId="77777777" w:rsidR="004A5382" w:rsidRPr="004564B5" w:rsidRDefault="004A5382" w:rsidP="004564B5">
            <w:pPr>
              <w:pStyle w:val="TableParagraphbold"/>
            </w:pPr>
            <w:r w:rsidRPr="004564B5">
              <w:t>Accommodation and finance income</w:t>
            </w:r>
          </w:p>
        </w:tc>
        <w:tc>
          <w:tcPr>
            <w:tcW w:w="1099" w:type="dxa"/>
            <w:shd w:val="clear" w:color="auto" w:fill="D8DBDB" w:themeFill="background2" w:themeFillShade="E6"/>
            <w:noWrap/>
            <w:hideMark/>
          </w:tcPr>
          <w:p w14:paraId="434BF566"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54121030"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5403DBE0"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3317036E"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1D11C276"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27777D9C" w14:textId="77777777" w:rsidR="004A5382" w:rsidRPr="00382EC0" w:rsidRDefault="004A5382" w:rsidP="001160BD">
            <w:pPr>
              <w:pStyle w:val="TableofAuthorities"/>
            </w:pPr>
            <w:r w:rsidRPr="00382EC0">
              <w:t>Subsidies and supplements (Australian Government)</w:t>
            </w:r>
          </w:p>
        </w:tc>
        <w:tc>
          <w:tcPr>
            <w:tcW w:w="1099" w:type="dxa"/>
            <w:noWrap/>
            <w:hideMark/>
          </w:tcPr>
          <w:p w14:paraId="2E1A9F9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$20.22</w:t>
            </w:r>
          </w:p>
        </w:tc>
        <w:tc>
          <w:tcPr>
            <w:tcW w:w="1099" w:type="dxa"/>
            <w:noWrap/>
            <w:hideMark/>
          </w:tcPr>
          <w:p w14:paraId="4E6A30F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$17.95</w:t>
            </w:r>
          </w:p>
        </w:tc>
        <w:tc>
          <w:tcPr>
            <w:tcW w:w="1099" w:type="dxa"/>
            <w:noWrap/>
            <w:hideMark/>
          </w:tcPr>
          <w:p w14:paraId="5AE6236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$19.28</w:t>
            </w:r>
          </w:p>
        </w:tc>
        <w:tc>
          <w:tcPr>
            <w:tcW w:w="1099" w:type="dxa"/>
            <w:noWrap/>
            <w:hideMark/>
          </w:tcPr>
          <w:p w14:paraId="49E97A9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$19.27</w:t>
            </w:r>
          </w:p>
        </w:tc>
      </w:tr>
      <w:tr w:rsidR="004A5382" w:rsidRPr="004A5382" w14:paraId="531FA03F"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D5DF226" w14:textId="77777777" w:rsidR="004A5382" w:rsidRPr="00382EC0" w:rsidRDefault="004A5382" w:rsidP="001160BD">
            <w:pPr>
              <w:pStyle w:val="TableofAuthorities"/>
            </w:pPr>
            <w:r w:rsidRPr="00382EC0">
              <w:t>Subsidies and supplements (state / territory)</w:t>
            </w:r>
          </w:p>
        </w:tc>
        <w:tc>
          <w:tcPr>
            <w:tcW w:w="1099" w:type="dxa"/>
            <w:noWrap/>
            <w:hideMark/>
          </w:tcPr>
          <w:p w14:paraId="281F680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c>
          <w:tcPr>
            <w:tcW w:w="1099" w:type="dxa"/>
            <w:noWrap/>
            <w:hideMark/>
          </w:tcPr>
          <w:p w14:paraId="57E5E42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$0.03</w:t>
            </w:r>
          </w:p>
        </w:tc>
        <w:tc>
          <w:tcPr>
            <w:tcW w:w="1099" w:type="dxa"/>
            <w:noWrap/>
            <w:hideMark/>
          </w:tcPr>
          <w:p w14:paraId="296E745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$3.16</w:t>
            </w:r>
          </w:p>
        </w:tc>
        <w:tc>
          <w:tcPr>
            <w:tcW w:w="1099" w:type="dxa"/>
            <w:noWrap/>
            <w:hideMark/>
          </w:tcPr>
          <w:p w14:paraId="0D716AE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$0.17</w:t>
            </w:r>
          </w:p>
        </w:tc>
      </w:tr>
      <w:tr w:rsidR="004A5382" w:rsidRPr="004A5382" w14:paraId="1FF93399"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F5379C8" w14:textId="77777777" w:rsidR="004A5382" w:rsidRPr="00382EC0" w:rsidRDefault="004A5382" w:rsidP="001160BD">
            <w:pPr>
              <w:pStyle w:val="TableofAuthorities"/>
            </w:pPr>
            <w:r w:rsidRPr="00382EC0">
              <w:t>Daily accommodation payments</w:t>
            </w:r>
          </w:p>
        </w:tc>
        <w:tc>
          <w:tcPr>
            <w:tcW w:w="1099" w:type="dxa"/>
            <w:noWrap/>
            <w:hideMark/>
          </w:tcPr>
          <w:p w14:paraId="4073F93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$11.98</w:t>
            </w:r>
          </w:p>
        </w:tc>
        <w:tc>
          <w:tcPr>
            <w:tcW w:w="1099" w:type="dxa"/>
            <w:noWrap/>
            <w:hideMark/>
          </w:tcPr>
          <w:p w14:paraId="3C2DCF0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$9.86</w:t>
            </w:r>
          </w:p>
        </w:tc>
        <w:tc>
          <w:tcPr>
            <w:tcW w:w="1099" w:type="dxa"/>
            <w:noWrap/>
            <w:hideMark/>
          </w:tcPr>
          <w:p w14:paraId="446B79D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$8.75</w:t>
            </w:r>
          </w:p>
        </w:tc>
        <w:tc>
          <w:tcPr>
            <w:tcW w:w="1099" w:type="dxa"/>
            <w:noWrap/>
            <w:hideMark/>
          </w:tcPr>
          <w:p w14:paraId="6A2EC99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$11.00</w:t>
            </w:r>
          </w:p>
        </w:tc>
      </w:tr>
      <w:tr w:rsidR="004A5382" w:rsidRPr="004A5382" w14:paraId="3FF0537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63D4AD3" w14:textId="77777777" w:rsidR="004A5382" w:rsidRPr="00382EC0" w:rsidRDefault="004A5382" w:rsidP="001160BD">
            <w:pPr>
              <w:pStyle w:val="TableofAuthorities"/>
            </w:pPr>
            <w:r w:rsidRPr="00382EC0">
              <w:t>Accommodation charges</w:t>
            </w:r>
          </w:p>
        </w:tc>
        <w:tc>
          <w:tcPr>
            <w:tcW w:w="1099" w:type="dxa"/>
            <w:noWrap/>
            <w:hideMark/>
          </w:tcPr>
          <w:p w14:paraId="686C5D1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$0.84</w:t>
            </w:r>
          </w:p>
        </w:tc>
        <w:tc>
          <w:tcPr>
            <w:tcW w:w="1099" w:type="dxa"/>
            <w:noWrap/>
            <w:hideMark/>
          </w:tcPr>
          <w:p w14:paraId="203D00E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$1.51</w:t>
            </w:r>
          </w:p>
        </w:tc>
        <w:tc>
          <w:tcPr>
            <w:tcW w:w="1099" w:type="dxa"/>
            <w:noWrap/>
            <w:hideMark/>
          </w:tcPr>
          <w:p w14:paraId="5F5919F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$1.61</w:t>
            </w:r>
          </w:p>
        </w:tc>
        <w:tc>
          <w:tcPr>
            <w:tcW w:w="1099" w:type="dxa"/>
            <w:noWrap/>
            <w:hideMark/>
          </w:tcPr>
          <w:p w14:paraId="7846672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$1.14</w:t>
            </w:r>
          </w:p>
        </w:tc>
      </w:tr>
      <w:tr w:rsidR="004A5382" w:rsidRPr="004A5382" w14:paraId="030CAFF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1BF6988" w14:textId="77777777" w:rsidR="004A5382" w:rsidRPr="00382EC0" w:rsidRDefault="004A5382" w:rsidP="001160BD">
            <w:pPr>
              <w:pStyle w:val="TableofAuthorities"/>
            </w:pPr>
            <w:r w:rsidRPr="00382EC0">
              <w:t>Interest received - accommodation payments</w:t>
            </w:r>
          </w:p>
        </w:tc>
        <w:tc>
          <w:tcPr>
            <w:tcW w:w="1099" w:type="dxa"/>
            <w:noWrap/>
            <w:hideMark/>
          </w:tcPr>
          <w:p w14:paraId="274043B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$0.91</w:t>
            </w:r>
          </w:p>
        </w:tc>
        <w:tc>
          <w:tcPr>
            <w:tcW w:w="1099" w:type="dxa"/>
            <w:noWrap/>
            <w:hideMark/>
          </w:tcPr>
          <w:p w14:paraId="6771F3D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$1.02</w:t>
            </w:r>
          </w:p>
        </w:tc>
        <w:tc>
          <w:tcPr>
            <w:tcW w:w="1099" w:type="dxa"/>
            <w:noWrap/>
            <w:hideMark/>
          </w:tcPr>
          <w:p w14:paraId="19A4200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$0.36</w:t>
            </w:r>
          </w:p>
        </w:tc>
        <w:tc>
          <w:tcPr>
            <w:tcW w:w="1099" w:type="dxa"/>
            <w:noWrap/>
            <w:hideMark/>
          </w:tcPr>
          <w:p w14:paraId="486C6FE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$0.93</w:t>
            </w:r>
          </w:p>
        </w:tc>
      </w:tr>
      <w:tr w:rsidR="004A5382" w:rsidRPr="004A5382" w14:paraId="144EDC86"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8C7EE3A" w14:textId="77777777" w:rsidR="004A5382" w:rsidRPr="00382EC0" w:rsidRDefault="004A5382" w:rsidP="001160BD">
            <w:pPr>
              <w:pStyle w:val="TableofAuthorities"/>
            </w:pPr>
            <w:r w:rsidRPr="00382EC0">
              <w:t>Other accommodation income</w:t>
            </w:r>
          </w:p>
        </w:tc>
        <w:tc>
          <w:tcPr>
            <w:tcW w:w="1099" w:type="dxa"/>
            <w:noWrap/>
            <w:hideMark/>
          </w:tcPr>
          <w:p w14:paraId="490AE9D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$1.48</w:t>
            </w:r>
          </w:p>
        </w:tc>
        <w:tc>
          <w:tcPr>
            <w:tcW w:w="1099" w:type="dxa"/>
            <w:noWrap/>
            <w:hideMark/>
          </w:tcPr>
          <w:p w14:paraId="42B97B2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$0.61</w:t>
            </w:r>
          </w:p>
        </w:tc>
        <w:tc>
          <w:tcPr>
            <w:tcW w:w="1099" w:type="dxa"/>
            <w:noWrap/>
            <w:hideMark/>
          </w:tcPr>
          <w:p w14:paraId="60B65AC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$0.54</w:t>
            </w:r>
          </w:p>
        </w:tc>
        <w:tc>
          <w:tcPr>
            <w:tcW w:w="1099" w:type="dxa"/>
            <w:noWrap/>
            <w:hideMark/>
          </w:tcPr>
          <w:p w14:paraId="4EC5C62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$1.10</w:t>
            </w:r>
          </w:p>
        </w:tc>
      </w:tr>
      <w:tr w:rsidR="004A5382" w:rsidRPr="004A5382" w14:paraId="342AF577"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06EAFD0" w14:textId="77777777" w:rsidR="004A5382" w:rsidRPr="00382EC0" w:rsidRDefault="004A5382" w:rsidP="001160BD">
            <w:pPr>
              <w:pStyle w:val="TableofAuthorities"/>
            </w:pPr>
            <w:r w:rsidRPr="00382EC0">
              <w:t>Interest and investment income</w:t>
            </w:r>
          </w:p>
        </w:tc>
        <w:tc>
          <w:tcPr>
            <w:tcW w:w="1099" w:type="dxa"/>
            <w:noWrap/>
            <w:hideMark/>
          </w:tcPr>
          <w:p w14:paraId="215B7BB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$1.91</w:t>
            </w:r>
          </w:p>
        </w:tc>
        <w:tc>
          <w:tcPr>
            <w:tcW w:w="1099" w:type="dxa"/>
            <w:noWrap/>
            <w:hideMark/>
          </w:tcPr>
          <w:p w14:paraId="4DA58A9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$4.01</w:t>
            </w:r>
          </w:p>
        </w:tc>
        <w:tc>
          <w:tcPr>
            <w:tcW w:w="1099" w:type="dxa"/>
            <w:noWrap/>
            <w:hideMark/>
          </w:tcPr>
          <w:p w14:paraId="62C3D49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$0.88</w:t>
            </w:r>
          </w:p>
        </w:tc>
        <w:tc>
          <w:tcPr>
            <w:tcW w:w="1099" w:type="dxa"/>
            <w:noWrap/>
            <w:hideMark/>
          </w:tcPr>
          <w:p w14:paraId="0DC0AFF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$2.72</w:t>
            </w:r>
          </w:p>
        </w:tc>
      </w:tr>
      <w:tr w:rsidR="004A5382" w:rsidRPr="004564B5" w14:paraId="6A137306"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6F179731" w14:textId="77777777" w:rsidR="004A5382" w:rsidRPr="004564B5" w:rsidRDefault="004A5382" w:rsidP="004564B5">
            <w:pPr>
              <w:pStyle w:val="TableParagraphbold"/>
            </w:pPr>
            <w:r w:rsidRPr="004564B5">
              <w:t>Total accommodation and finance income</w:t>
            </w:r>
          </w:p>
        </w:tc>
        <w:tc>
          <w:tcPr>
            <w:tcW w:w="1099" w:type="dxa"/>
            <w:shd w:val="clear" w:color="auto" w:fill="D8DBDB" w:themeFill="background2" w:themeFillShade="E6"/>
            <w:noWrap/>
            <w:hideMark/>
          </w:tcPr>
          <w:p w14:paraId="77101F25"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$37.42</w:t>
            </w:r>
          </w:p>
        </w:tc>
        <w:tc>
          <w:tcPr>
            <w:tcW w:w="1099" w:type="dxa"/>
            <w:shd w:val="clear" w:color="auto" w:fill="D8DBDB" w:themeFill="background2" w:themeFillShade="E6"/>
            <w:noWrap/>
            <w:hideMark/>
          </w:tcPr>
          <w:p w14:paraId="4087C175"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$34.99</w:t>
            </w:r>
          </w:p>
        </w:tc>
        <w:tc>
          <w:tcPr>
            <w:tcW w:w="1099" w:type="dxa"/>
            <w:shd w:val="clear" w:color="auto" w:fill="D8DBDB" w:themeFill="background2" w:themeFillShade="E6"/>
            <w:noWrap/>
            <w:hideMark/>
          </w:tcPr>
          <w:p w14:paraId="33157873"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$34.57</w:t>
            </w:r>
          </w:p>
        </w:tc>
        <w:tc>
          <w:tcPr>
            <w:tcW w:w="1099" w:type="dxa"/>
            <w:shd w:val="clear" w:color="auto" w:fill="D8DBDB" w:themeFill="background2" w:themeFillShade="E6"/>
            <w:noWrap/>
            <w:hideMark/>
          </w:tcPr>
          <w:p w14:paraId="59BAB08A"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$36.33</w:t>
            </w:r>
          </w:p>
        </w:tc>
      </w:tr>
      <w:tr w:rsidR="004A5382" w:rsidRPr="004564B5" w14:paraId="3AC45926"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0730A5AB" w14:textId="77777777" w:rsidR="004A5382" w:rsidRPr="004564B5" w:rsidRDefault="004A5382" w:rsidP="004564B5">
            <w:pPr>
              <w:pStyle w:val="TableParagraphbold"/>
            </w:pPr>
            <w:r w:rsidRPr="004564B5">
              <w:t>COVID-19 income</w:t>
            </w:r>
          </w:p>
        </w:tc>
        <w:tc>
          <w:tcPr>
            <w:tcW w:w="1099" w:type="dxa"/>
            <w:shd w:val="clear" w:color="auto" w:fill="D8DBDB" w:themeFill="background2" w:themeFillShade="E6"/>
            <w:noWrap/>
            <w:hideMark/>
          </w:tcPr>
          <w:p w14:paraId="70504797"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52D76E14"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2DA6E9C8"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77636270"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51AA9F6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99CE764" w14:textId="77777777" w:rsidR="004A5382" w:rsidRPr="00382EC0" w:rsidRDefault="004A5382" w:rsidP="001160BD">
            <w:pPr>
              <w:pStyle w:val="TableofAuthorities"/>
            </w:pPr>
            <w:r w:rsidRPr="00382EC0">
              <w:t>COVID-19 income</w:t>
            </w:r>
          </w:p>
        </w:tc>
        <w:tc>
          <w:tcPr>
            <w:tcW w:w="1099" w:type="dxa"/>
            <w:noWrap/>
            <w:hideMark/>
          </w:tcPr>
          <w:p w14:paraId="33659FF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$4.07</w:t>
            </w:r>
          </w:p>
        </w:tc>
        <w:tc>
          <w:tcPr>
            <w:tcW w:w="1099" w:type="dxa"/>
            <w:noWrap/>
            <w:hideMark/>
          </w:tcPr>
          <w:p w14:paraId="5CB6F99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$4.74</w:t>
            </w:r>
          </w:p>
        </w:tc>
        <w:tc>
          <w:tcPr>
            <w:tcW w:w="1099" w:type="dxa"/>
            <w:noWrap/>
            <w:hideMark/>
          </w:tcPr>
          <w:p w14:paraId="7291B91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$7.21</w:t>
            </w:r>
          </w:p>
        </w:tc>
        <w:tc>
          <w:tcPr>
            <w:tcW w:w="1099" w:type="dxa"/>
            <w:noWrap/>
            <w:hideMark/>
          </w:tcPr>
          <w:p w14:paraId="5B75CF9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$4.46</w:t>
            </w:r>
          </w:p>
        </w:tc>
      </w:tr>
      <w:tr w:rsidR="004A5382" w:rsidRPr="004564B5" w14:paraId="7809E4AF"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19B27622" w14:textId="77777777" w:rsidR="004A5382" w:rsidRPr="004564B5" w:rsidRDefault="004A5382" w:rsidP="004564B5">
            <w:pPr>
              <w:pStyle w:val="TableParagraphbold"/>
            </w:pPr>
            <w:r w:rsidRPr="004564B5">
              <w:t>Total COVID-19 income</w:t>
            </w:r>
          </w:p>
        </w:tc>
        <w:tc>
          <w:tcPr>
            <w:tcW w:w="1099" w:type="dxa"/>
            <w:shd w:val="clear" w:color="auto" w:fill="D8DBDB" w:themeFill="background2" w:themeFillShade="E6"/>
            <w:noWrap/>
            <w:hideMark/>
          </w:tcPr>
          <w:p w14:paraId="6E6ABAE9"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$4.07</w:t>
            </w:r>
          </w:p>
        </w:tc>
        <w:tc>
          <w:tcPr>
            <w:tcW w:w="1099" w:type="dxa"/>
            <w:shd w:val="clear" w:color="auto" w:fill="D8DBDB" w:themeFill="background2" w:themeFillShade="E6"/>
            <w:noWrap/>
            <w:hideMark/>
          </w:tcPr>
          <w:p w14:paraId="0F915E34"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$4.74</w:t>
            </w:r>
          </w:p>
        </w:tc>
        <w:tc>
          <w:tcPr>
            <w:tcW w:w="1099" w:type="dxa"/>
            <w:shd w:val="clear" w:color="auto" w:fill="D8DBDB" w:themeFill="background2" w:themeFillShade="E6"/>
            <w:noWrap/>
            <w:hideMark/>
          </w:tcPr>
          <w:p w14:paraId="56D7B78C"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$7.21</w:t>
            </w:r>
          </w:p>
        </w:tc>
        <w:tc>
          <w:tcPr>
            <w:tcW w:w="1099" w:type="dxa"/>
            <w:shd w:val="clear" w:color="auto" w:fill="D8DBDB" w:themeFill="background2" w:themeFillShade="E6"/>
            <w:noWrap/>
            <w:hideMark/>
          </w:tcPr>
          <w:p w14:paraId="2CA95AB7"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$4.46</w:t>
            </w:r>
          </w:p>
        </w:tc>
      </w:tr>
      <w:tr w:rsidR="004A5382" w:rsidRPr="004564B5" w14:paraId="3E791391"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2E971558" w14:textId="77777777" w:rsidR="004A5382" w:rsidRPr="004564B5" w:rsidRDefault="004A5382" w:rsidP="004564B5">
            <w:pPr>
              <w:pStyle w:val="TableParagraphbold"/>
            </w:pPr>
            <w:r w:rsidRPr="004564B5">
              <w:t>Total recurrent income</w:t>
            </w:r>
          </w:p>
        </w:tc>
        <w:tc>
          <w:tcPr>
            <w:tcW w:w="1099" w:type="dxa"/>
            <w:shd w:val="clear" w:color="auto" w:fill="D8DBDB" w:themeFill="background2" w:themeFillShade="E6"/>
            <w:noWrap/>
            <w:hideMark/>
          </w:tcPr>
          <w:p w14:paraId="751AAFE6"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$298.73</w:t>
            </w:r>
          </w:p>
        </w:tc>
        <w:tc>
          <w:tcPr>
            <w:tcW w:w="1099" w:type="dxa"/>
            <w:shd w:val="clear" w:color="auto" w:fill="D8DBDB" w:themeFill="background2" w:themeFillShade="E6"/>
            <w:noWrap/>
            <w:hideMark/>
          </w:tcPr>
          <w:p w14:paraId="1BDB1014"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$312.89</w:t>
            </w:r>
          </w:p>
        </w:tc>
        <w:tc>
          <w:tcPr>
            <w:tcW w:w="1099" w:type="dxa"/>
            <w:shd w:val="clear" w:color="auto" w:fill="D8DBDB" w:themeFill="background2" w:themeFillShade="E6"/>
            <w:noWrap/>
            <w:hideMark/>
          </w:tcPr>
          <w:p w14:paraId="3E049D1E"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$365.78</w:t>
            </w:r>
          </w:p>
        </w:tc>
        <w:tc>
          <w:tcPr>
            <w:tcW w:w="1099" w:type="dxa"/>
            <w:shd w:val="clear" w:color="auto" w:fill="D8DBDB" w:themeFill="background2" w:themeFillShade="E6"/>
            <w:noWrap/>
            <w:hideMark/>
          </w:tcPr>
          <w:p w14:paraId="520C572C"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$306.96</w:t>
            </w:r>
          </w:p>
        </w:tc>
      </w:tr>
      <w:tr w:rsidR="004A5382" w:rsidRPr="004564B5" w14:paraId="32FB46C1"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45F080AF" w14:textId="77777777" w:rsidR="004A5382" w:rsidRPr="004564B5" w:rsidRDefault="004A5382" w:rsidP="004564B5">
            <w:pPr>
              <w:pStyle w:val="TableParagraphbold"/>
            </w:pPr>
            <w:r w:rsidRPr="004564B5">
              <w:t>Non-Recurrent Income</w:t>
            </w:r>
          </w:p>
        </w:tc>
        <w:tc>
          <w:tcPr>
            <w:tcW w:w="1099" w:type="dxa"/>
            <w:shd w:val="clear" w:color="auto" w:fill="D8DBDB" w:themeFill="background2" w:themeFillShade="E6"/>
            <w:noWrap/>
            <w:hideMark/>
          </w:tcPr>
          <w:p w14:paraId="36859FB4"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3F4C85F8"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75BC632B"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57354DEC"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5FC21E6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CD622CB" w14:textId="77777777" w:rsidR="004A5382" w:rsidRPr="00382EC0" w:rsidRDefault="004A5382" w:rsidP="001160BD">
            <w:pPr>
              <w:pStyle w:val="TableofAuthorities"/>
            </w:pPr>
            <w:r w:rsidRPr="00382EC0">
              <w:t xml:space="preserve">Donations, </w:t>
            </w:r>
            <w:proofErr w:type="gramStart"/>
            <w:r w:rsidRPr="00382EC0">
              <w:t>bequests</w:t>
            </w:r>
            <w:proofErr w:type="gramEnd"/>
            <w:r w:rsidRPr="00382EC0">
              <w:t xml:space="preserve"> and fundraising</w:t>
            </w:r>
          </w:p>
        </w:tc>
        <w:tc>
          <w:tcPr>
            <w:tcW w:w="1099" w:type="dxa"/>
            <w:noWrap/>
            <w:hideMark/>
          </w:tcPr>
          <w:p w14:paraId="6E01A6E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$0.84</w:t>
            </w:r>
          </w:p>
        </w:tc>
        <w:tc>
          <w:tcPr>
            <w:tcW w:w="1099" w:type="dxa"/>
            <w:noWrap/>
            <w:hideMark/>
          </w:tcPr>
          <w:p w14:paraId="506DC29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$0.02</w:t>
            </w:r>
          </w:p>
        </w:tc>
        <w:tc>
          <w:tcPr>
            <w:tcW w:w="1099" w:type="dxa"/>
            <w:noWrap/>
            <w:hideMark/>
          </w:tcPr>
          <w:p w14:paraId="1DCE00E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$2.68</w:t>
            </w:r>
          </w:p>
        </w:tc>
        <w:tc>
          <w:tcPr>
            <w:tcW w:w="1099" w:type="dxa"/>
            <w:noWrap/>
            <w:hideMark/>
          </w:tcPr>
          <w:p w14:paraId="0304872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$0.57</w:t>
            </w:r>
          </w:p>
        </w:tc>
      </w:tr>
      <w:tr w:rsidR="004A5382" w:rsidRPr="004A5382" w14:paraId="319C2C98"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5159F47" w14:textId="77777777" w:rsidR="004A5382" w:rsidRPr="00382EC0" w:rsidRDefault="004A5382" w:rsidP="001160BD">
            <w:pPr>
              <w:pStyle w:val="TableofAuthorities"/>
            </w:pPr>
            <w:r w:rsidRPr="00382EC0">
              <w:t>Fair value gains on financial assets</w:t>
            </w:r>
          </w:p>
        </w:tc>
        <w:tc>
          <w:tcPr>
            <w:tcW w:w="1099" w:type="dxa"/>
            <w:noWrap/>
            <w:hideMark/>
          </w:tcPr>
          <w:p w14:paraId="198C3E5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$0.09</w:t>
            </w:r>
          </w:p>
        </w:tc>
        <w:tc>
          <w:tcPr>
            <w:tcW w:w="1099" w:type="dxa"/>
            <w:noWrap/>
            <w:hideMark/>
          </w:tcPr>
          <w:p w14:paraId="343F3C8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$0.03</w:t>
            </w:r>
          </w:p>
        </w:tc>
        <w:tc>
          <w:tcPr>
            <w:tcW w:w="1099" w:type="dxa"/>
            <w:noWrap/>
            <w:hideMark/>
          </w:tcPr>
          <w:p w14:paraId="7902137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$0.00</w:t>
            </w:r>
          </w:p>
        </w:tc>
        <w:tc>
          <w:tcPr>
            <w:tcW w:w="1099" w:type="dxa"/>
            <w:noWrap/>
            <w:hideMark/>
          </w:tcPr>
          <w:p w14:paraId="5FB1587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$0.07</w:t>
            </w:r>
          </w:p>
        </w:tc>
      </w:tr>
      <w:tr w:rsidR="004A5382" w:rsidRPr="004A5382" w14:paraId="62908C3E"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F6788C0" w14:textId="77777777" w:rsidR="004A5382" w:rsidRPr="00382EC0" w:rsidRDefault="004A5382" w:rsidP="001160BD">
            <w:pPr>
              <w:pStyle w:val="TableofAuthorities"/>
            </w:pPr>
            <w:r w:rsidRPr="00382EC0">
              <w:t>Fair value gain / asset revaluation increase - other assets</w:t>
            </w:r>
          </w:p>
        </w:tc>
        <w:tc>
          <w:tcPr>
            <w:tcW w:w="1099" w:type="dxa"/>
            <w:noWrap/>
            <w:hideMark/>
          </w:tcPr>
          <w:p w14:paraId="51F61D2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$0.75</w:t>
            </w:r>
          </w:p>
        </w:tc>
        <w:tc>
          <w:tcPr>
            <w:tcW w:w="1099" w:type="dxa"/>
            <w:noWrap/>
            <w:hideMark/>
          </w:tcPr>
          <w:p w14:paraId="69C9D84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$1.49</w:t>
            </w:r>
          </w:p>
        </w:tc>
        <w:tc>
          <w:tcPr>
            <w:tcW w:w="1099" w:type="dxa"/>
            <w:noWrap/>
            <w:hideMark/>
          </w:tcPr>
          <w:p w14:paraId="7F7B1DF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$4.44</w:t>
            </w:r>
          </w:p>
        </w:tc>
        <w:tc>
          <w:tcPr>
            <w:tcW w:w="1099" w:type="dxa"/>
            <w:noWrap/>
            <w:hideMark/>
          </w:tcPr>
          <w:p w14:paraId="313893F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$1.18</w:t>
            </w:r>
          </w:p>
        </w:tc>
      </w:tr>
      <w:tr w:rsidR="004A5382" w:rsidRPr="004A5382" w14:paraId="102FBE6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E6124DA" w14:textId="77777777" w:rsidR="004A5382" w:rsidRPr="00382EC0" w:rsidRDefault="004A5382" w:rsidP="001160BD">
            <w:pPr>
              <w:pStyle w:val="TableofAuthorities"/>
            </w:pPr>
            <w:r w:rsidRPr="00382EC0">
              <w:t>Capital grants (Australian Government and state)</w:t>
            </w:r>
          </w:p>
        </w:tc>
        <w:tc>
          <w:tcPr>
            <w:tcW w:w="1099" w:type="dxa"/>
            <w:noWrap/>
            <w:hideMark/>
          </w:tcPr>
          <w:p w14:paraId="4FCFA27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$1.40</w:t>
            </w:r>
          </w:p>
        </w:tc>
        <w:tc>
          <w:tcPr>
            <w:tcW w:w="1099" w:type="dxa"/>
            <w:noWrap/>
            <w:hideMark/>
          </w:tcPr>
          <w:p w14:paraId="6B98EFA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$0.75</w:t>
            </w:r>
          </w:p>
        </w:tc>
        <w:tc>
          <w:tcPr>
            <w:tcW w:w="1099" w:type="dxa"/>
            <w:noWrap/>
            <w:hideMark/>
          </w:tcPr>
          <w:p w14:paraId="652E782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$22.42</w:t>
            </w:r>
          </w:p>
        </w:tc>
        <w:tc>
          <w:tcPr>
            <w:tcW w:w="1099" w:type="dxa"/>
            <w:noWrap/>
            <w:hideMark/>
          </w:tcPr>
          <w:p w14:paraId="42C4BA6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$1.92</w:t>
            </w:r>
          </w:p>
        </w:tc>
      </w:tr>
      <w:tr w:rsidR="004A5382" w:rsidRPr="004A5382" w14:paraId="09BA163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2A89671" w14:textId="77777777" w:rsidR="004A5382" w:rsidRPr="00382EC0" w:rsidRDefault="004A5382" w:rsidP="001160BD">
            <w:pPr>
              <w:pStyle w:val="TableofAuthorities"/>
            </w:pPr>
            <w:r w:rsidRPr="00382EC0">
              <w:t>Reversal of prior period impairment</w:t>
            </w:r>
          </w:p>
        </w:tc>
        <w:tc>
          <w:tcPr>
            <w:tcW w:w="1099" w:type="dxa"/>
            <w:noWrap/>
            <w:hideMark/>
          </w:tcPr>
          <w:p w14:paraId="68A02DC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$0.00</w:t>
            </w:r>
          </w:p>
        </w:tc>
        <w:tc>
          <w:tcPr>
            <w:tcW w:w="1099" w:type="dxa"/>
            <w:noWrap/>
            <w:hideMark/>
          </w:tcPr>
          <w:p w14:paraId="640975D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$0.19</w:t>
            </w:r>
          </w:p>
        </w:tc>
        <w:tc>
          <w:tcPr>
            <w:tcW w:w="1099" w:type="dxa"/>
            <w:noWrap/>
            <w:hideMark/>
          </w:tcPr>
          <w:p w14:paraId="59F9F88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$0.00</w:t>
            </w:r>
          </w:p>
        </w:tc>
        <w:tc>
          <w:tcPr>
            <w:tcW w:w="1099" w:type="dxa"/>
            <w:noWrap/>
            <w:hideMark/>
          </w:tcPr>
          <w:p w14:paraId="65BFCA2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r>
      <w:tr w:rsidR="004A5382" w:rsidRPr="004A5382" w14:paraId="30D9514C"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2F3786D" w14:textId="77777777" w:rsidR="004A5382" w:rsidRPr="00382EC0" w:rsidRDefault="004A5382" w:rsidP="001160BD">
            <w:pPr>
              <w:pStyle w:val="TableofAuthorities"/>
            </w:pPr>
            <w:r w:rsidRPr="00382EC0">
              <w:t>Realised gains on disposal of assets</w:t>
            </w:r>
          </w:p>
        </w:tc>
        <w:tc>
          <w:tcPr>
            <w:tcW w:w="1099" w:type="dxa"/>
            <w:noWrap/>
            <w:hideMark/>
          </w:tcPr>
          <w:p w14:paraId="115FC0C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$0.40</w:t>
            </w:r>
          </w:p>
        </w:tc>
        <w:tc>
          <w:tcPr>
            <w:tcW w:w="1099" w:type="dxa"/>
            <w:noWrap/>
            <w:hideMark/>
          </w:tcPr>
          <w:p w14:paraId="217310D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$0.24</w:t>
            </w:r>
          </w:p>
        </w:tc>
        <w:tc>
          <w:tcPr>
            <w:tcW w:w="1099" w:type="dxa"/>
            <w:noWrap/>
            <w:hideMark/>
          </w:tcPr>
          <w:p w14:paraId="565B038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$0.03</w:t>
            </w:r>
          </w:p>
        </w:tc>
        <w:tc>
          <w:tcPr>
            <w:tcW w:w="1099" w:type="dxa"/>
            <w:noWrap/>
            <w:hideMark/>
          </w:tcPr>
          <w:p w14:paraId="7CA3BEB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$0.32</w:t>
            </w:r>
          </w:p>
        </w:tc>
      </w:tr>
      <w:tr w:rsidR="004A5382" w:rsidRPr="004A5382" w14:paraId="51ADFC0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C10952C" w14:textId="77777777" w:rsidR="004A5382" w:rsidRPr="00382EC0" w:rsidRDefault="004A5382" w:rsidP="001160BD">
            <w:pPr>
              <w:pStyle w:val="TableofAuthorities"/>
            </w:pPr>
            <w:r w:rsidRPr="00382EC0">
              <w:t>Effect of adoption of AASB 16 leases - RADs only</w:t>
            </w:r>
          </w:p>
        </w:tc>
        <w:tc>
          <w:tcPr>
            <w:tcW w:w="1099" w:type="dxa"/>
            <w:noWrap/>
            <w:hideMark/>
          </w:tcPr>
          <w:p w14:paraId="4337742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$4.36</w:t>
            </w:r>
          </w:p>
        </w:tc>
        <w:tc>
          <w:tcPr>
            <w:tcW w:w="1099" w:type="dxa"/>
            <w:noWrap/>
            <w:hideMark/>
          </w:tcPr>
          <w:p w14:paraId="4170CF3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$14.00</w:t>
            </w:r>
          </w:p>
        </w:tc>
        <w:tc>
          <w:tcPr>
            <w:tcW w:w="1099" w:type="dxa"/>
            <w:noWrap/>
            <w:hideMark/>
          </w:tcPr>
          <w:p w14:paraId="1FCA6E4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$0.86</w:t>
            </w:r>
          </w:p>
        </w:tc>
        <w:tc>
          <w:tcPr>
            <w:tcW w:w="1099" w:type="dxa"/>
            <w:noWrap/>
            <w:hideMark/>
          </w:tcPr>
          <w:p w14:paraId="33F4CEC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$8.13</w:t>
            </w:r>
          </w:p>
        </w:tc>
      </w:tr>
      <w:tr w:rsidR="004A5382" w:rsidRPr="004A5382" w14:paraId="100B98DF"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AAAF19D" w14:textId="77777777" w:rsidR="004A5382" w:rsidRPr="00382EC0" w:rsidRDefault="004A5382" w:rsidP="001160BD">
            <w:pPr>
              <w:pStyle w:val="TableofAuthorities"/>
            </w:pPr>
            <w:r w:rsidRPr="00382EC0">
              <w:t>Other non-recurrent income</w:t>
            </w:r>
          </w:p>
        </w:tc>
        <w:tc>
          <w:tcPr>
            <w:tcW w:w="1099" w:type="dxa"/>
            <w:noWrap/>
            <w:hideMark/>
          </w:tcPr>
          <w:p w14:paraId="2B03CFA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$1.41</w:t>
            </w:r>
          </w:p>
        </w:tc>
        <w:tc>
          <w:tcPr>
            <w:tcW w:w="1099" w:type="dxa"/>
            <w:noWrap/>
            <w:hideMark/>
          </w:tcPr>
          <w:p w14:paraId="4C43102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$3.04</w:t>
            </w:r>
          </w:p>
        </w:tc>
        <w:tc>
          <w:tcPr>
            <w:tcW w:w="1099" w:type="dxa"/>
            <w:noWrap/>
            <w:hideMark/>
          </w:tcPr>
          <w:p w14:paraId="43CFFFD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$5.57</w:t>
            </w:r>
          </w:p>
        </w:tc>
        <w:tc>
          <w:tcPr>
            <w:tcW w:w="1099" w:type="dxa"/>
            <w:noWrap/>
            <w:hideMark/>
          </w:tcPr>
          <w:p w14:paraId="1D959F4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$2.23</w:t>
            </w:r>
          </w:p>
        </w:tc>
      </w:tr>
      <w:tr w:rsidR="004A5382" w:rsidRPr="004564B5" w14:paraId="63365E3C"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27F45A16" w14:textId="77777777" w:rsidR="004A5382" w:rsidRPr="004564B5" w:rsidRDefault="004A5382" w:rsidP="004564B5">
            <w:pPr>
              <w:pStyle w:val="TableParagraphbold"/>
            </w:pPr>
            <w:r w:rsidRPr="004564B5">
              <w:lastRenderedPageBreak/>
              <w:t>Total non-recurrent income</w:t>
            </w:r>
          </w:p>
        </w:tc>
        <w:tc>
          <w:tcPr>
            <w:tcW w:w="1099" w:type="dxa"/>
            <w:shd w:val="clear" w:color="auto" w:fill="D8DBDB" w:themeFill="background2" w:themeFillShade="E6"/>
            <w:noWrap/>
            <w:hideMark/>
          </w:tcPr>
          <w:p w14:paraId="6430C4DF"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$9.25</w:t>
            </w:r>
          </w:p>
        </w:tc>
        <w:tc>
          <w:tcPr>
            <w:tcW w:w="1099" w:type="dxa"/>
            <w:shd w:val="clear" w:color="auto" w:fill="D8DBDB" w:themeFill="background2" w:themeFillShade="E6"/>
            <w:noWrap/>
            <w:hideMark/>
          </w:tcPr>
          <w:p w14:paraId="3DFD98C5"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$19.76</w:t>
            </w:r>
          </w:p>
        </w:tc>
        <w:tc>
          <w:tcPr>
            <w:tcW w:w="1099" w:type="dxa"/>
            <w:shd w:val="clear" w:color="auto" w:fill="D8DBDB" w:themeFill="background2" w:themeFillShade="E6"/>
            <w:noWrap/>
            <w:hideMark/>
          </w:tcPr>
          <w:p w14:paraId="44DA9DC6"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$36.00</w:t>
            </w:r>
          </w:p>
        </w:tc>
        <w:tc>
          <w:tcPr>
            <w:tcW w:w="1099" w:type="dxa"/>
            <w:shd w:val="clear" w:color="auto" w:fill="D8DBDB" w:themeFill="background2" w:themeFillShade="E6"/>
            <w:noWrap/>
            <w:hideMark/>
          </w:tcPr>
          <w:p w14:paraId="11E39777"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$14.50</w:t>
            </w:r>
          </w:p>
        </w:tc>
      </w:tr>
      <w:tr w:rsidR="004A5382" w:rsidRPr="004564B5" w14:paraId="7D49C962"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37CA11DE" w14:textId="77777777" w:rsidR="004A5382" w:rsidRPr="004564B5" w:rsidRDefault="004A5382" w:rsidP="004564B5">
            <w:pPr>
              <w:pStyle w:val="TableParagraphbold"/>
            </w:pPr>
            <w:r w:rsidRPr="004564B5">
              <w:t>Total income</w:t>
            </w:r>
          </w:p>
        </w:tc>
        <w:tc>
          <w:tcPr>
            <w:tcW w:w="1099" w:type="dxa"/>
            <w:shd w:val="clear" w:color="auto" w:fill="D8DBDB" w:themeFill="background2" w:themeFillShade="E6"/>
            <w:noWrap/>
            <w:hideMark/>
          </w:tcPr>
          <w:p w14:paraId="5E1C44F8"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$307.98</w:t>
            </w:r>
          </w:p>
        </w:tc>
        <w:tc>
          <w:tcPr>
            <w:tcW w:w="1099" w:type="dxa"/>
            <w:shd w:val="clear" w:color="auto" w:fill="D8DBDB" w:themeFill="background2" w:themeFillShade="E6"/>
            <w:noWrap/>
            <w:hideMark/>
          </w:tcPr>
          <w:p w14:paraId="7D8EB754"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$332.66</w:t>
            </w:r>
          </w:p>
        </w:tc>
        <w:tc>
          <w:tcPr>
            <w:tcW w:w="1099" w:type="dxa"/>
            <w:shd w:val="clear" w:color="auto" w:fill="D8DBDB" w:themeFill="background2" w:themeFillShade="E6"/>
            <w:noWrap/>
            <w:hideMark/>
          </w:tcPr>
          <w:p w14:paraId="671C1E87"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$401.77</w:t>
            </w:r>
          </w:p>
        </w:tc>
        <w:tc>
          <w:tcPr>
            <w:tcW w:w="1099" w:type="dxa"/>
            <w:shd w:val="clear" w:color="auto" w:fill="D8DBDB" w:themeFill="background2" w:themeFillShade="E6"/>
            <w:noWrap/>
            <w:hideMark/>
          </w:tcPr>
          <w:p w14:paraId="3CCC1B8D"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$321.46</w:t>
            </w:r>
          </w:p>
        </w:tc>
      </w:tr>
      <w:tr w:rsidR="004A5382" w:rsidRPr="004564B5" w14:paraId="496AD9C9"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12BFBAA7" w14:textId="77777777" w:rsidR="004A5382" w:rsidRPr="004564B5" w:rsidRDefault="004A5382" w:rsidP="004564B5">
            <w:pPr>
              <w:pStyle w:val="TableParagraphbold"/>
            </w:pPr>
            <w:r w:rsidRPr="004564B5">
              <w:t>Expense</w:t>
            </w:r>
          </w:p>
        </w:tc>
        <w:tc>
          <w:tcPr>
            <w:tcW w:w="1099" w:type="dxa"/>
            <w:shd w:val="clear" w:color="auto" w:fill="D8DBDB" w:themeFill="background2" w:themeFillShade="E6"/>
            <w:noWrap/>
            <w:hideMark/>
          </w:tcPr>
          <w:p w14:paraId="60684A7E"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1BFEBBF6"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167D8D55"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69A3BBDC"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564B5" w14:paraId="3242DED3"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2331DF52" w14:textId="77777777" w:rsidR="004A5382" w:rsidRPr="004564B5" w:rsidRDefault="004A5382" w:rsidP="004564B5">
            <w:pPr>
              <w:pStyle w:val="TableParagraphbold"/>
            </w:pPr>
            <w:r w:rsidRPr="004564B5">
              <w:t>Care expenses</w:t>
            </w:r>
          </w:p>
        </w:tc>
        <w:tc>
          <w:tcPr>
            <w:tcW w:w="1099" w:type="dxa"/>
            <w:noWrap/>
            <w:hideMark/>
          </w:tcPr>
          <w:p w14:paraId="4B510476"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noWrap/>
            <w:hideMark/>
          </w:tcPr>
          <w:p w14:paraId="7E24FB21"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noWrap/>
            <w:hideMark/>
          </w:tcPr>
          <w:p w14:paraId="6BC32024"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noWrap/>
            <w:hideMark/>
          </w:tcPr>
          <w:p w14:paraId="37B4E85C"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564B5" w14:paraId="41DCEF27"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A6B107B" w14:textId="77777777" w:rsidR="004A5382" w:rsidRPr="004564B5" w:rsidRDefault="004A5382" w:rsidP="004564B5">
            <w:pPr>
              <w:pStyle w:val="TableParagraphbold"/>
            </w:pPr>
            <w:r w:rsidRPr="004564B5">
              <w:t xml:space="preserve">Employee </w:t>
            </w:r>
            <w:proofErr w:type="spellStart"/>
            <w:r w:rsidRPr="004564B5">
              <w:t>labour</w:t>
            </w:r>
            <w:proofErr w:type="spellEnd"/>
            <w:r w:rsidRPr="004564B5">
              <w:t xml:space="preserve"> costs</w:t>
            </w:r>
          </w:p>
        </w:tc>
        <w:tc>
          <w:tcPr>
            <w:tcW w:w="1099" w:type="dxa"/>
            <w:noWrap/>
            <w:hideMark/>
          </w:tcPr>
          <w:p w14:paraId="086411A2"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noWrap/>
            <w:hideMark/>
          </w:tcPr>
          <w:p w14:paraId="02052A41"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noWrap/>
            <w:hideMark/>
          </w:tcPr>
          <w:p w14:paraId="1B32AE25"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noWrap/>
            <w:hideMark/>
          </w:tcPr>
          <w:p w14:paraId="024F9392" w14:textId="77777777" w:rsidR="004A5382" w:rsidRPr="004564B5" w:rsidRDefault="004A5382" w:rsidP="004564B5">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20D944EF"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3CF7DF7" w14:textId="77777777" w:rsidR="004A5382" w:rsidRPr="00382EC0" w:rsidRDefault="004A5382" w:rsidP="001160BD">
            <w:pPr>
              <w:pStyle w:val="TableofAuthorities"/>
            </w:pPr>
            <w:r w:rsidRPr="00382EC0">
              <w:t>Registered nurses</w:t>
            </w:r>
          </w:p>
        </w:tc>
        <w:tc>
          <w:tcPr>
            <w:tcW w:w="1099" w:type="dxa"/>
            <w:noWrap/>
            <w:hideMark/>
          </w:tcPr>
          <w:p w14:paraId="5A20528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$30.30</w:t>
            </w:r>
          </w:p>
        </w:tc>
        <w:tc>
          <w:tcPr>
            <w:tcW w:w="1099" w:type="dxa"/>
            <w:noWrap/>
            <w:hideMark/>
          </w:tcPr>
          <w:p w14:paraId="250C0C0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$32.47</w:t>
            </w:r>
          </w:p>
        </w:tc>
        <w:tc>
          <w:tcPr>
            <w:tcW w:w="1099" w:type="dxa"/>
            <w:noWrap/>
            <w:hideMark/>
          </w:tcPr>
          <w:p w14:paraId="5A35EE0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$73.65</w:t>
            </w:r>
          </w:p>
        </w:tc>
        <w:tc>
          <w:tcPr>
            <w:tcW w:w="1099" w:type="dxa"/>
            <w:noWrap/>
            <w:hideMark/>
          </w:tcPr>
          <w:p w14:paraId="61F8CCE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$32.79</w:t>
            </w:r>
          </w:p>
        </w:tc>
      </w:tr>
      <w:tr w:rsidR="004A5382" w:rsidRPr="004A5382" w14:paraId="3BA473B4"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A365333" w14:textId="77777777" w:rsidR="004A5382" w:rsidRPr="00382EC0" w:rsidRDefault="004A5382" w:rsidP="001160BD">
            <w:pPr>
              <w:pStyle w:val="TableofAuthorities"/>
            </w:pPr>
            <w:r w:rsidRPr="00382EC0">
              <w:t xml:space="preserve">Enrolled and licensed nurses (registered with the NMBA) </w:t>
            </w:r>
          </w:p>
        </w:tc>
        <w:tc>
          <w:tcPr>
            <w:tcW w:w="1099" w:type="dxa"/>
            <w:noWrap/>
            <w:hideMark/>
          </w:tcPr>
          <w:p w14:paraId="2122A53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$10.61</w:t>
            </w:r>
          </w:p>
        </w:tc>
        <w:tc>
          <w:tcPr>
            <w:tcW w:w="1099" w:type="dxa"/>
            <w:noWrap/>
            <w:hideMark/>
          </w:tcPr>
          <w:p w14:paraId="4929191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$8.50</w:t>
            </w:r>
          </w:p>
        </w:tc>
        <w:tc>
          <w:tcPr>
            <w:tcW w:w="1099" w:type="dxa"/>
            <w:noWrap/>
            <w:hideMark/>
          </w:tcPr>
          <w:p w14:paraId="48B3F5E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$82.09</w:t>
            </w:r>
          </w:p>
        </w:tc>
        <w:tc>
          <w:tcPr>
            <w:tcW w:w="1099" w:type="dxa"/>
            <w:noWrap/>
            <w:hideMark/>
          </w:tcPr>
          <w:p w14:paraId="3AED460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$12.42</w:t>
            </w:r>
          </w:p>
        </w:tc>
      </w:tr>
      <w:tr w:rsidR="004A5382" w:rsidRPr="004A5382" w14:paraId="6A3AA660"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2EF78F37" w14:textId="77777777" w:rsidR="004A5382" w:rsidRPr="00382EC0" w:rsidRDefault="004A5382" w:rsidP="001160BD">
            <w:pPr>
              <w:pStyle w:val="TableofAuthorities"/>
            </w:pPr>
            <w:r w:rsidRPr="00382EC0">
              <w:t>Personal care staff / assistants in nursing</w:t>
            </w:r>
          </w:p>
        </w:tc>
        <w:tc>
          <w:tcPr>
            <w:tcW w:w="1099" w:type="dxa"/>
            <w:noWrap/>
            <w:hideMark/>
          </w:tcPr>
          <w:p w14:paraId="6A3E0E1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$93.40</w:t>
            </w:r>
          </w:p>
        </w:tc>
        <w:tc>
          <w:tcPr>
            <w:tcW w:w="1099" w:type="dxa"/>
            <w:noWrap/>
            <w:hideMark/>
          </w:tcPr>
          <w:p w14:paraId="69B0664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$86.80</w:t>
            </w:r>
          </w:p>
        </w:tc>
        <w:tc>
          <w:tcPr>
            <w:tcW w:w="1099" w:type="dxa"/>
            <w:noWrap/>
            <w:hideMark/>
          </w:tcPr>
          <w:p w14:paraId="2F5048F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$63.12</w:t>
            </w:r>
          </w:p>
        </w:tc>
        <w:tc>
          <w:tcPr>
            <w:tcW w:w="1099" w:type="dxa"/>
            <w:noWrap/>
            <w:hideMark/>
          </w:tcPr>
          <w:p w14:paraId="360B4AA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$89.60</w:t>
            </w:r>
          </w:p>
        </w:tc>
      </w:tr>
      <w:tr w:rsidR="004A5382" w:rsidRPr="004A5382" w14:paraId="1BDE5D64"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70DB14D" w14:textId="77777777" w:rsidR="004A5382" w:rsidRPr="00382EC0" w:rsidRDefault="004A5382" w:rsidP="001160BD">
            <w:pPr>
              <w:pStyle w:val="TableofAuthorities"/>
            </w:pPr>
            <w:r w:rsidRPr="00382EC0">
              <w:t>Care management staff</w:t>
            </w:r>
          </w:p>
        </w:tc>
        <w:tc>
          <w:tcPr>
            <w:tcW w:w="1099" w:type="dxa"/>
            <w:noWrap/>
            <w:hideMark/>
          </w:tcPr>
          <w:p w14:paraId="1357BD8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$8.82</w:t>
            </w:r>
          </w:p>
        </w:tc>
        <w:tc>
          <w:tcPr>
            <w:tcW w:w="1099" w:type="dxa"/>
            <w:noWrap/>
            <w:hideMark/>
          </w:tcPr>
          <w:p w14:paraId="280F974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$5.79</w:t>
            </w:r>
          </w:p>
        </w:tc>
        <w:tc>
          <w:tcPr>
            <w:tcW w:w="1099" w:type="dxa"/>
            <w:noWrap/>
            <w:hideMark/>
          </w:tcPr>
          <w:p w14:paraId="792A419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$15.35</w:t>
            </w:r>
          </w:p>
        </w:tc>
        <w:tc>
          <w:tcPr>
            <w:tcW w:w="1099" w:type="dxa"/>
            <w:noWrap/>
            <w:hideMark/>
          </w:tcPr>
          <w:p w14:paraId="6523722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$7.83</w:t>
            </w:r>
          </w:p>
        </w:tc>
      </w:tr>
      <w:tr w:rsidR="004A5382" w:rsidRPr="004A5382" w14:paraId="3232DBA7"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CB19367" w14:textId="77777777" w:rsidR="004A5382" w:rsidRPr="00382EC0" w:rsidRDefault="004A5382" w:rsidP="001160BD">
            <w:pPr>
              <w:pStyle w:val="TableofAuthorities"/>
            </w:pPr>
            <w:r w:rsidRPr="00382EC0">
              <w:t xml:space="preserve">Allied health </w:t>
            </w:r>
          </w:p>
        </w:tc>
        <w:tc>
          <w:tcPr>
            <w:tcW w:w="1099" w:type="dxa"/>
            <w:noWrap/>
            <w:hideMark/>
          </w:tcPr>
          <w:p w14:paraId="0370BA9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$3.06</w:t>
            </w:r>
          </w:p>
        </w:tc>
        <w:tc>
          <w:tcPr>
            <w:tcW w:w="1099" w:type="dxa"/>
            <w:noWrap/>
            <w:hideMark/>
          </w:tcPr>
          <w:p w14:paraId="16B353C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$3.69</w:t>
            </w:r>
          </w:p>
        </w:tc>
        <w:tc>
          <w:tcPr>
            <w:tcW w:w="1099" w:type="dxa"/>
            <w:noWrap/>
            <w:hideMark/>
          </w:tcPr>
          <w:p w14:paraId="78A2BF9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$4.08</w:t>
            </w:r>
          </w:p>
        </w:tc>
        <w:tc>
          <w:tcPr>
            <w:tcW w:w="1099" w:type="dxa"/>
            <w:noWrap/>
            <w:hideMark/>
          </w:tcPr>
          <w:p w14:paraId="169D78E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$3.35</w:t>
            </w:r>
          </w:p>
        </w:tc>
      </w:tr>
      <w:tr w:rsidR="004A5382" w:rsidRPr="004A5382" w14:paraId="2A31B711"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4216AEF" w14:textId="77777777" w:rsidR="004A5382" w:rsidRPr="00382EC0" w:rsidRDefault="004A5382" w:rsidP="001160BD">
            <w:pPr>
              <w:pStyle w:val="TableofAuthorities"/>
            </w:pPr>
            <w:r w:rsidRPr="00382EC0">
              <w:t>Diversional therapy / lifestyle / recreation / activities officer</w:t>
            </w:r>
          </w:p>
        </w:tc>
        <w:tc>
          <w:tcPr>
            <w:tcW w:w="1099" w:type="dxa"/>
            <w:noWrap/>
            <w:hideMark/>
          </w:tcPr>
          <w:p w14:paraId="711047C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$4.70</w:t>
            </w:r>
          </w:p>
        </w:tc>
        <w:tc>
          <w:tcPr>
            <w:tcW w:w="1099" w:type="dxa"/>
            <w:noWrap/>
            <w:hideMark/>
          </w:tcPr>
          <w:p w14:paraId="189ED89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$5.24</w:t>
            </w:r>
          </w:p>
        </w:tc>
        <w:tc>
          <w:tcPr>
            <w:tcW w:w="1099" w:type="dxa"/>
            <w:noWrap/>
            <w:hideMark/>
          </w:tcPr>
          <w:p w14:paraId="20E8DCC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$5.92</w:t>
            </w:r>
          </w:p>
        </w:tc>
        <w:tc>
          <w:tcPr>
            <w:tcW w:w="1099" w:type="dxa"/>
            <w:noWrap/>
            <w:hideMark/>
          </w:tcPr>
          <w:p w14:paraId="206A545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$4.96</w:t>
            </w:r>
          </w:p>
        </w:tc>
      </w:tr>
      <w:tr w:rsidR="004A5382" w:rsidRPr="004A5382" w14:paraId="1036D6C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048C285" w14:textId="77777777" w:rsidR="004A5382" w:rsidRPr="00382EC0" w:rsidRDefault="004A5382" w:rsidP="001160BD">
            <w:pPr>
              <w:pStyle w:val="TableofAuthorities"/>
            </w:pPr>
            <w:r w:rsidRPr="00382EC0">
              <w:t>Other employee staff</w:t>
            </w:r>
          </w:p>
        </w:tc>
        <w:tc>
          <w:tcPr>
            <w:tcW w:w="1099" w:type="dxa"/>
            <w:noWrap/>
            <w:hideMark/>
          </w:tcPr>
          <w:p w14:paraId="125B3CC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$0.79</w:t>
            </w:r>
          </w:p>
        </w:tc>
        <w:tc>
          <w:tcPr>
            <w:tcW w:w="1099" w:type="dxa"/>
            <w:noWrap/>
            <w:hideMark/>
          </w:tcPr>
          <w:p w14:paraId="5136D38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$0.64</w:t>
            </w:r>
          </w:p>
        </w:tc>
        <w:tc>
          <w:tcPr>
            <w:tcW w:w="1099" w:type="dxa"/>
            <w:noWrap/>
            <w:hideMark/>
          </w:tcPr>
          <w:p w14:paraId="3F5D3E2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$5.98</w:t>
            </w:r>
          </w:p>
        </w:tc>
        <w:tc>
          <w:tcPr>
            <w:tcW w:w="1099" w:type="dxa"/>
            <w:noWrap/>
            <w:hideMark/>
          </w:tcPr>
          <w:p w14:paraId="772637C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$0.92</w:t>
            </w:r>
          </w:p>
        </w:tc>
      </w:tr>
      <w:tr w:rsidR="004A5382" w:rsidRPr="004564B5" w14:paraId="25929FC9"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22DAC2D9" w14:textId="77777777" w:rsidR="004A5382" w:rsidRPr="004564B5" w:rsidRDefault="004A5382" w:rsidP="001160BD">
            <w:pPr>
              <w:pStyle w:val="TableParagraphbold"/>
            </w:pPr>
            <w:r w:rsidRPr="004564B5">
              <w:t xml:space="preserve">Total employee </w:t>
            </w:r>
            <w:proofErr w:type="spellStart"/>
            <w:r w:rsidRPr="004564B5">
              <w:t>labour</w:t>
            </w:r>
            <w:proofErr w:type="spellEnd"/>
            <w:r w:rsidRPr="004564B5">
              <w:t xml:space="preserve"> costs</w:t>
            </w:r>
          </w:p>
        </w:tc>
        <w:tc>
          <w:tcPr>
            <w:tcW w:w="1099" w:type="dxa"/>
            <w:shd w:val="clear" w:color="auto" w:fill="D8DBDB" w:themeFill="background2" w:themeFillShade="E6"/>
            <w:noWrap/>
            <w:hideMark/>
          </w:tcPr>
          <w:p w14:paraId="3D71D2E7"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$151.67</w:t>
            </w:r>
          </w:p>
        </w:tc>
        <w:tc>
          <w:tcPr>
            <w:tcW w:w="1099" w:type="dxa"/>
            <w:shd w:val="clear" w:color="auto" w:fill="D8DBDB" w:themeFill="background2" w:themeFillShade="E6"/>
            <w:noWrap/>
            <w:hideMark/>
          </w:tcPr>
          <w:p w14:paraId="52B4BA1D"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$143.14</w:t>
            </w:r>
          </w:p>
        </w:tc>
        <w:tc>
          <w:tcPr>
            <w:tcW w:w="1099" w:type="dxa"/>
            <w:shd w:val="clear" w:color="auto" w:fill="D8DBDB" w:themeFill="background2" w:themeFillShade="E6"/>
            <w:noWrap/>
            <w:hideMark/>
          </w:tcPr>
          <w:p w14:paraId="7A54CE56"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$250.20</w:t>
            </w:r>
          </w:p>
        </w:tc>
        <w:tc>
          <w:tcPr>
            <w:tcW w:w="1099" w:type="dxa"/>
            <w:shd w:val="clear" w:color="auto" w:fill="D8DBDB" w:themeFill="background2" w:themeFillShade="E6"/>
            <w:noWrap/>
            <w:hideMark/>
          </w:tcPr>
          <w:p w14:paraId="227CB759"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$151.88</w:t>
            </w:r>
          </w:p>
        </w:tc>
      </w:tr>
      <w:tr w:rsidR="004A5382" w:rsidRPr="004564B5" w14:paraId="6BC36836"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05089C51" w14:textId="77777777" w:rsidR="004A5382" w:rsidRPr="004564B5" w:rsidRDefault="004A5382" w:rsidP="001160BD">
            <w:pPr>
              <w:pStyle w:val="TableParagraphbold"/>
            </w:pPr>
            <w:r w:rsidRPr="004564B5">
              <w:t xml:space="preserve">Agency </w:t>
            </w:r>
            <w:proofErr w:type="spellStart"/>
            <w:r w:rsidRPr="004564B5">
              <w:t>labour</w:t>
            </w:r>
            <w:proofErr w:type="spellEnd"/>
            <w:r w:rsidRPr="004564B5">
              <w:t xml:space="preserve"> costs</w:t>
            </w:r>
          </w:p>
        </w:tc>
        <w:tc>
          <w:tcPr>
            <w:tcW w:w="1099" w:type="dxa"/>
            <w:shd w:val="clear" w:color="auto" w:fill="D8DBDB" w:themeFill="background2" w:themeFillShade="E6"/>
            <w:noWrap/>
            <w:hideMark/>
          </w:tcPr>
          <w:p w14:paraId="36618F0A"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57B954A3"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7BF0E187"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630902F5"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65F4C29F"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281DF72" w14:textId="77777777" w:rsidR="004A5382" w:rsidRPr="00382EC0" w:rsidRDefault="004A5382" w:rsidP="001160BD">
            <w:pPr>
              <w:pStyle w:val="TableofAuthorities"/>
            </w:pPr>
            <w:r w:rsidRPr="00382EC0">
              <w:t>Registered nurses</w:t>
            </w:r>
          </w:p>
        </w:tc>
        <w:tc>
          <w:tcPr>
            <w:tcW w:w="1099" w:type="dxa"/>
            <w:noWrap/>
            <w:hideMark/>
          </w:tcPr>
          <w:p w14:paraId="0B65EDC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$2.65</w:t>
            </w:r>
          </w:p>
        </w:tc>
        <w:tc>
          <w:tcPr>
            <w:tcW w:w="1099" w:type="dxa"/>
            <w:noWrap/>
            <w:hideMark/>
          </w:tcPr>
          <w:p w14:paraId="605F010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$1.48</w:t>
            </w:r>
          </w:p>
        </w:tc>
        <w:tc>
          <w:tcPr>
            <w:tcW w:w="1099" w:type="dxa"/>
            <w:noWrap/>
            <w:hideMark/>
          </w:tcPr>
          <w:p w14:paraId="37B7ED7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$3.34</w:t>
            </w:r>
          </w:p>
        </w:tc>
        <w:tc>
          <w:tcPr>
            <w:tcW w:w="1099" w:type="dxa"/>
            <w:noWrap/>
            <w:hideMark/>
          </w:tcPr>
          <w:p w14:paraId="261DF2B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$2.20</w:t>
            </w:r>
          </w:p>
        </w:tc>
      </w:tr>
      <w:tr w:rsidR="004A5382" w:rsidRPr="004A5382" w14:paraId="5D893838"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9DB48CA" w14:textId="77777777" w:rsidR="004A5382" w:rsidRPr="00382EC0" w:rsidRDefault="004A5382" w:rsidP="001160BD">
            <w:pPr>
              <w:pStyle w:val="TableofAuthorities"/>
            </w:pPr>
            <w:r w:rsidRPr="00382EC0">
              <w:t xml:space="preserve">Enrolled and licensed nurses (registered with the NMBA) </w:t>
            </w:r>
          </w:p>
        </w:tc>
        <w:tc>
          <w:tcPr>
            <w:tcW w:w="1099" w:type="dxa"/>
            <w:noWrap/>
            <w:hideMark/>
          </w:tcPr>
          <w:p w14:paraId="6C84775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$1.13</w:t>
            </w:r>
          </w:p>
        </w:tc>
        <w:tc>
          <w:tcPr>
            <w:tcW w:w="1099" w:type="dxa"/>
            <w:noWrap/>
            <w:hideMark/>
          </w:tcPr>
          <w:p w14:paraId="30E2946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$0.39</w:t>
            </w:r>
          </w:p>
        </w:tc>
        <w:tc>
          <w:tcPr>
            <w:tcW w:w="1099" w:type="dxa"/>
            <w:noWrap/>
            <w:hideMark/>
          </w:tcPr>
          <w:p w14:paraId="7F64FB6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$0.91</w:t>
            </w:r>
          </w:p>
        </w:tc>
        <w:tc>
          <w:tcPr>
            <w:tcW w:w="1099" w:type="dxa"/>
            <w:noWrap/>
            <w:hideMark/>
          </w:tcPr>
          <w:p w14:paraId="600C93A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$0.82</w:t>
            </w:r>
          </w:p>
        </w:tc>
      </w:tr>
      <w:tr w:rsidR="004A5382" w:rsidRPr="004A5382" w14:paraId="05A1D4A3"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43EB247" w14:textId="77777777" w:rsidR="004A5382" w:rsidRPr="00382EC0" w:rsidRDefault="004A5382" w:rsidP="001160BD">
            <w:pPr>
              <w:pStyle w:val="TableofAuthorities"/>
            </w:pPr>
            <w:r w:rsidRPr="00382EC0">
              <w:t>Personal care staff / assistants in nursing</w:t>
            </w:r>
          </w:p>
        </w:tc>
        <w:tc>
          <w:tcPr>
            <w:tcW w:w="1099" w:type="dxa"/>
            <w:noWrap/>
            <w:hideMark/>
          </w:tcPr>
          <w:p w14:paraId="244A4A4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$5.13</w:t>
            </w:r>
          </w:p>
        </w:tc>
        <w:tc>
          <w:tcPr>
            <w:tcW w:w="1099" w:type="dxa"/>
            <w:noWrap/>
            <w:hideMark/>
          </w:tcPr>
          <w:p w14:paraId="510F47D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$3.30</w:t>
            </w:r>
          </w:p>
        </w:tc>
        <w:tc>
          <w:tcPr>
            <w:tcW w:w="1099" w:type="dxa"/>
            <w:noWrap/>
            <w:hideMark/>
          </w:tcPr>
          <w:p w14:paraId="52443E6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$2.62</w:t>
            </w:r>
          </w:p>
        </w:tc>
        <w:tc>
          <w:tcPr>
            <w:tcW w:w="1099" w:type="dxa"/>
            <w:noWrap/>
            <w:hideMark/>
          </w:tcPr>
          <w:p w14:paraId="1F1BB95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$4.29</w:t>
            </w:r>
          </w:p>
        </w:tc>
      </w:tr>
      <w:tr w:rsidR="004A5382" w:rsidRPr="004A5382" w14:paraId="5B62BFA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2C673421" w14:textId="77777777" w:rsidR="004A5382" w:rsidRPr="00382EC0" w:rsidRDefault="004A5382" w:rsidP="001160BD">
            <w:pPr>
              <w:pStyle w:val="TableofAuthorities"/>
            </w:pPr>
            <w:r w:rsidRPr="00382EC0">
              <w:t xml:space="preserve">Allied health </w:t>
            </w:r>
          </w:p>
        </w:tc>
        <w:tc>
          <w:tcPr>
            <w:tcW w:w="1099" w:type="dxa"/>
            <w:noWrap/>
            <w:hideMark/>
          </w:tcPr>
          <w:p w14:paraId="0E47915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$4.25</w:t>
            </w:r>
          </w:p>
        </w:tc>
        <w:tc>
          <w:tcPr>
            <w:tcW w:w="1099" w:type="dxa"/>
            <w:noWrap/>
            <w:hideMark/>
          </w:tcPr>
          <w:p w14:paraId="6A9F3E5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$2.99</w:t>
            </w:r>
          </w:p>
        </w:tc>
        <w:tc>
          <w:tcPr>
            <w:tcW w:w="1099" w:type="dxa"/>
            <w:noWrap/>
            <w:hideMark/>
          </w:tcPr>
          <w:p w14:paraId="7A26C4D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$2.44</w:t>
            </w:r>
          </w:p>
        </w:tc>
        <w:tc>
          <w:tcPr>
            <w:tcW w:w="1099" w:type="dxa"/>
            <w:noWrap/>
            <w:hideMark/>
          </w:tcPr>
          <w:p w14:paraId="3C59C83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$3.67</w:t>
            </w:r>
          </w:p>
        </w:tc>
      </w:tr>
      <w:tr w:rsidR="004A5382" w:rsidRPr="004A5382" w14:paraId="618F33B8"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65FED37" w14:textId="77777777" w:rsidR="004A5382" w:rsidRPr="00382EC0" w:rsidRDefault="004A5382" w:rsidP="001160BD">
            <w:pPr>
              <w:pStyle w:val="TableofAuthorities"/>
            </w:pPr>
            <w:r w:rsidRPr="00382EC0">
              <w:t>Diversional therapy / lifestyle / recreation / activities officer</w:t>
            </w:r>
          </w:p>
        </w:tc>
        <w:tc>
          <w:tcPr>
            <w:tcW w:w="1099" w:type="dxa"/>
            <w:noWrap/>
            <w:hideMark/>
          </w:tcPr>
          <w:p w14:paraId="591C5EF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$0.12</w:t>
            </w:r>
          </w:p>
        </w:tc>
        <w:tc>
          <w:tcPr>
            <w:tcW w:w="1099" w:type="dxa"/>
            <w:noWrap/>
            <w:hideMark/>
          </w:tcPr>
          <w:p w14:paraId="30746A5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$0.04</w:t>
            </w:r>
          </w:p>
        </w:tc>
        <w:tc>
          <w:tcPr>
            <w:tcW w:w="1099" w:type="dxa"/>
            <w:noWrap/>
            <w:hideMark/>
          </w:tcPr>
          <w:p w14:paraId="7D21984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$0.01</w:t>
            </w:r>
          </w:p>
        </w:tc>
        <w:tc>
          <w:tcPr>
            <w:tcW w:w="1099" w:type="dxa"/>
            <w:noWrap/>
            <w:hideMark/>
          </w:tcPr>
          <w:p w14:paraId="0CDBA68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$0.09</w:t>
            </w:r>
          </w:p>
        </w:tc>
      </w:tr>
      <w:tr w:rsidR="004A5382" w:rsidRPr="004A5382" w14:paraId="38B95F62"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DC01506" w14:textId="77777777" w:rsidR="004A5382" w:rsidRPr="00382EC0" w:rsidRDefault="004A5382" w:rsidP="001160BD">
            <w:pPr>
              <w:pStyle w:val="TableofAuthorities"/>
            </w:pPr>
            <w:r w:rsidRPr="00382EC0">
              <w:t>Other employee staff</w:t>
            </w:r>
          </w:p>
        </w:tc>
        <w:tc>
          <w:tcPr>
            <w:tcW w:w="1099" w:type="dxa"/>
            <w:noWrap/>
            <w:hideMark/>
          </w:tcPr>
          <w:p w14:paraId="5CF378B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$0.11</w:t>
            </w:r>
          </w:p>
        </w:tc>
        <w:tc>
          <w:tcPr>
            <w:tcW w:w="1099" w:type="dxa"/>
            <w:noWrap/>
            <w:hideMark/>
          </w:tcPr>
          <w:p w14:paraId="036A25A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$0.12</w:t>
            </w:r>
          </w:p>
        </w:tc>
        <w:tc>
          <w:tcPr>
            <w:tcW w:w="1099" w:type="dxa"/>
            <w:noWrap/>
            <w:hideMark/>
          </w:tcPr>
          <w:p w14:paraId="1A32204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c>
          <w:tcPr>
            <w:tcW w:w="1099" w:type="dxa"/>
            <w:noWrap/>
            <w:hideMark/>
          </w:tcPr>
          <w:p w14:paraId="100C08C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$0.11</w:t>
            </w:r>
          </w:p>
        </w:tc>
      </w:tr>
      <w:tr w:rsidR="004A5382" w:rsidRPr="004564B5" w14:paraId="12E7B2D5"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3A8D0912" w14:textId="77777777" w:rsidR="004A5382" w:rsidRPr="004564B5" w:rsidRDefault="004A5382" w:rsidP="001160BD">
            <w:pPr>
              <w:pStyle w:val="TableParagraphbold"/>
            </w:pPr>
            <w:r w:rsidRPr="004564B5">
              <w:t xml:space="preserve">Total agency </w:t>
            </w:r>
            <w:proofErr w:type="spellStart"/>
            <w:r w:rsidRPr="004564B5">
              <w:t>labour</w:t>
            </w:r>
            <w:proofErr w:type="spellEnd"/>
            <w:r w:rsidRPr="004564B5">
              <w:t xml:space="preserve"> costs</w:t>
            </w:r>
          </w:p>
        </w:tc>
        <w:tc>
          <w:tcPr>
            <w:tcW w:w="1099" w:type="dxa"/>
            <w:shd w:val="clear" w:color="auto" w:fill="D8DBDB" w:themeFill="background2" w:themeFillShade="E6"/>
            <w:noWrap/>
            <w:hideMark/>
          </w:tcPr>
          <w:p w14:paraId="4FA1C28B"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$13.38</w:t>
            </w:r>
          </w:p>
        </w:tc>
        <w:tc>
          <w:tcPr>
            <w:tcW w:w="1099" w:type="dxa"/>
            <w:shd w:val="clear" w:color="auto" w:fill="D8DBDB" w:themeFill="background2" w:themeFillShade="E6"/>
            <w:noWrap/>
            <w:hideMark/>
          </w:tcPr>
          <w:p w14:paraId="0BB12185"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$8.31</w:t>
            </w:r>
          </w:p>
        </w:tc>
        <w:tc>
          <w:tcPr>
            <w:tcW w:w="1099" w:type="dxa"/>
            <w:shd w:val="clear" w:color="auto" w:fill="D8DBDB" w:themeFill="background2" w:themeFillShade="E6"/>
            <w:noWrap/>
            <w:hideMark/>
          </w:tcPr>
          <w:p w14:paraId="255FA8AF"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$9.40</w:t>
            </w:r>
          </w:p>
        </w:tc>
        <w:tc>
          <w:tcPr>
            <w:tcW w:w="1099" w:type="dxa"/>
            <w:shd w:val="clear" w:color="auto" w:fill="D8DBDB" w:themeFill="background2" w:themeFillShade="E6"/>
            <w:noWrap/>
            <w:hideMark/>
          </w:tcPr>
          <w:p w14:paraId="61D71258"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$11.18</w:t>
            </w:r>
          </w:p>
        </w:tc>
      </w:tr>
      <w:tr w:rsidR="004A5382" w:rsidRPr="004A5382" w14:paraId="76A54746"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DC44854" w14:textId="77777777" w:rsidR="004A5382" w:rsidRPr="00382EC0" w:rsidRDefault="004A5382" w:rsidP="001160BD">
            <w:pPr>
              <w:pStyle w:val="TableofAuthorities"/>
            </w:pPr>
            <w:r w:rsidRPr="00382EC0">
              <w:t>Contract labour - management entity staff costs</w:t>
            </w:r>
          </w:p>
        </w:tc>
        <w:tc>
          <w:tcPr>
            <w:tcW w:w="1099" w:type="dxa"/>
            <w:noWrap/>
            <w:hideMark/>
          </w:tcPr>
          <w:p w14:paraId="4E17AC2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$0.25</w:t>
            </w:r>
          </w:p>
        </w:tc>
        <w:tc>
          <w:tcPr>
            <w:tcW w:w="1099" w:type="dxa"/>
            <w:noWrap/>
            <w:hideMark/>
          </w:tcPr>
          <w:p w14:paraId="7D338A9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$0.43</w:t>
            </w:r>
          </w:p>
        </w:tc>
        <w:tc>
          <w:tcPr>
            <w:tcW w:w="1099" w:type="dxa"/>
            <w:noWrap/>
            <w:hideMark/>
          </w:tcPr>
          <w:p w14:paraId="3D588E7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$0.66</w:t>
            </w:r>
          </w:p>
        </w:tc>
        <w:tc>
          <w:tcPr>
            <w:tcW w:w="1099" w:type="dxa"/>
            <w:noWrap/>
            <w:hideMark/>
          </w:tcPr>
          <w:p w14:paraId="095E02F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$0.34</w:t>
            </w:r>
          </w:p>
        </w:tc>
      </w:tr>
      <w:tr w:rsidR="004A5382" w:rsidRPr="004564B5" w14:paraId="0B9B7714"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3DAC3E71" w14:textId="77777777" w:rsidR="004A5382" w:rsidRPr="004564B5" w:rsidRDefault="004A5382" w:rsidP="001160BD">
            <w:pPr>
              <w:pStyle w:val="TableParagraphbold"/>
            </w:pPr>
            <w:r w:rsidRPr="004564B5">
              <w:t xml:space="preserve">Total direct care </w:t>
            </w:r>
            <w:proofErr w:type="spellStart"/>
            <w:r w:rsidRPr="004564B5">
              <w:t>labour</w:t>
            </w:r>
            <w:proofErr w:type="spellEnd"/>
            <w:r w:rsidRPr="004564B5">
              <w:t xml:space="preserve"> costs</w:t>
            </w:r>
          </w:p>
        </w:tc>
        <w:tc>
          <w:tcPr>
            <w:tcW w:w="1099" w:type="dxa"/>
            <w:shd w:val="clear" w:color="auto" w:fill="D8DBDB" w:themeFill="background2" w:themeFillShade="E6"/>
            <w:noWrap/>
            <w:hideMark/>
          </w:tcPr>
          <w:p w14:paraId="13E45231"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$165.31</w:t>
            </w:r>
          </w:p>
        </w:tc>
        <w:tc>
          <w:tcPr>
            <w:tcW w:w="1099" w:type="dxa"/>
            <w:shd w:val="clear" w:color="auto" w:fill="D8DBDB" w:themeFill="background2" w:themeFillShade="E6"/>
            <w:noWrap/>
            <w:hideMark/>
          </w:tcPr>
          <w:p w14:paraId="3931CCCF"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$151.88</w:t>
            </w:r>
          </w:p>
        </w:tc>
        <w:tc>
          <w:tcPr>
            <w:tcW w:w="1099" w:type="dxa"/>
            <w:shd w:val="clear" w:color="auto" w:fill="D8DBDB" w:themeFill="background2" w:themeFillShade="E6"/>
            <w:noWrap/>
            <w:hideMark/>
          </w:tcPr>
          <w:p w14:paraId="468B0514"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$260.26</w:t>
            </w:r>
          </w:p>
        </w:tc>
        <w:tc>
          <w:tcPr>
            <w:tcW w:w="1099" w:type="dxa"/>
            <w:shd w:val="clear" w:color="auto" w:fill="D8DBDB" w:themeFill="background2" w:themeFillShade="E6"/>
            <w:noWrap/>
            <w:hideMark/>
          </w:tcPr>
          <w:p w14:paraId="5E4EAEF9"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$163.40</w:t>
            </w:r>
          </w:p>
        </w:tc>
      </w:tr>
      <w:tr w:rsidR="004A5382" w:rsidRPr="004564B5" w14:paraId="4C5D5E9F"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6633EDF7" w14:textId="77777777" w:rsidR="004A5382" w:rsidRPr="004564B5" w:rsidRDefault="004A5382" w:rsidP="001160BD">
            <w:pPr>
              <w:pStyle w:val="TableParagraphbold"/>
            </w:pPr>
            <w:r w:rsidRPr="004564B5">
              <w:t>Resident expenses</w:t>
            </w:r>
          </w:p>
        </w:tc>
        <w:tc>
          <w:tcPr>
            <w:tcW w:w="1099" w:type="dxa"/>
            <w:shd w:val="clear" w:color="auto" w:fill="D8DBDB" w:themeFill="background2" w:themeFillShade="E6"/>
            <w:noWrap/>
            <w:hideMark/>
          </w:tcPr>
          <w:p w14:paraId="713D034E"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4CB4BABA"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4C6C40EB"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70035EEB"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3026CA90"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503E057" w14:textId="77777777" w:rsidR="004A5382" w:rsidRPr="00382EC0" w:rsidRDefault="004A5382" w:rsidP="001160BD">
            <w:pPr>
              <w:pStyle w:val="TableofAuthorities"/>
            </w:pPr>
            <w:r w:rsidRPr="00382EC0">
              <w:t xml:space="preserve">Medical supplies </w:t>
            </w:r>
          </w:p>
        </w:tc>
        <w:tc>
          <w:tcPr>
            <w:tcW w:w="1099" w:type="dxa"/>
            <w:noWrap/>
            <w:hideMark/>
          </w:tcPr>
          <w:p w14:paraId="70C236A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$3.52</w:t>
            </w:r>
          </w:p>
        </w:tc>
        <w:tc>
          <w:tcPr>
            <w:tcW w:w="1099" w:type="dxa"/>
            <w:noWrap/>
            <w:hideMark/>
          </w:tcPr>
          <w:p w14:paraId="65B6B43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$3.06</w:t>
            </w:r>
          </w:p>
        </w:tc>
        <w:tc>
          <w:tcPr>
            <w:tcW w:w="1099" w:type="dxa"/>
            <w:noWrap/>
            <w:hideMark/>
          </w:tcPr>
          <w:p w14:paraId="2D2BF02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$4.18</w:t>
            </w:r>
          </w:p>
        </w:tc>
        <w:tc>
          <w:tcPr>
            <w:tcW w:w="1099" w:type="dxa"/>
            <w:noWrap/>
            <w:hideMark/>
          </w:tcPr>
          <w:p w14:paraId="09A8EA0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$3.36</w:t>
            </w:r>
          </w:p>
        </w:tc>
      </w:tr>
      <w:tr w:rsidR="004A5382" w:rsidRPr="004A5382" w14:paraId="75169C57"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B35BCBE" w14:textId="77777777" w:rsidR="004A5382" w:rsidRPr="00382EC0" w:rsidRDefault="004A5382" w:rsidP="001160BD">
            <w:pPr>
              <w:pStyle w:val="TableofAuthorities"/>
            </w:pPr>
            <w:r w:rsidRPr="00382EC0">
              <w:t>Incontinence supplies</w:t>
            </w:r>
          </w:p>
        </w:tc>
        <w:tc>
          <w:tcPr>
            <w:tcW w:w="1099" w:type="dxa"/>
            <w:noWrap/>
            <w:hideMark/>
          </w:tcPr>
          <w:p w14:paraId="3796BB5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$1.74</w:t>
            </w:r>
          </w:p>
        </w:tc>
        <w:tc>
          <w:tcPr>
            <w:tcW w:w="1099" w:type="dxa"/>
            <w:noWrap/>
            <w:hideMark/>
          </w:tcPr>
          <w:p w14:paraId="2C9DA4D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$1.60</w:t>
            </w:r>
          </w:p>
        </w:tc>
        <w:tc>
          <w:tcPr>
            <w:tcW w:w="1099" w:type="dxa"/>
            <w:noWrap/>
            <w:hideMark/>
          </w:tcPr>
          <w:p w14:paraId="36C89FD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$1.74</w:t>
            </w:r>
          </w:p>
        </w:tc>
        <w:tc>
          <w:tcPr>
            <w:tcW w:w="1099" w:type="dxa"/>
            <w:noWrap/>
            <w:hideMark/>
          </w:tcPr>
          <w:p w14:paraId="49A90AF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$1.69</w:t>
            </w:r>
          </w:p>
        </w:tc>
      </w:tr>
      <w:tr w:rsidR="004A5382" w:rsidRPr="004A5382" w14:paraId="313457D5"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F78A40C" w14:textId="77777777" w:rsidR="004A5382" w:rsidRPr="00382EC0" w:rsidRDefault="004A5382" w:rsidP="001160BD">
            <w:pPr>
              <w:pStyle w:val="TableofAuthorities"/>
            </w:pPr>
            <w:r w:rsidRPr="00382EC0">
              <w:t xml:space="preserve">Nutritional supplements </w:t>
            </w:r>
          </w:p>
        </w:tc>
        <w:tc>
          <w:tcPr>
            <w:tcW w:w="1099" w:type="dxa"/>
            <w:noWrap/>
            <w:hideMark/>
          </w:tcPr>
          <w:p w14:paraId="523A56A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$0.55</w:t>
            </w:r>
          </w:p>
        </w:tc>
        <w:tc>
          <w:tcPr>
            <w:tcW w:w="1099" w:type="dxa"/>
            <w:noWrap/>
            <w:hideMark/>
          </w:tcPr>
          <w:p w14:paraId="231BD72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$0.46</w:t>
            </w:r>
          </w:p>
        </w:tc>
        <w:tc>
          <w:tcPr>
            <w:tcW w:w="1099" w:type="dxa"/>
            <w:noWrap/>
            <w:hideMark/>
          </w:tcPr>
          <w:p w14:paraId="7E18F43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$0.66</w:t>
            </w:r>
          </w:p>
        </w:tc>
        <w:tc>
          <w:tcPr>
            <w:tcW w:w="1099" w:type="dxa"/>
            <w:noWrap/>
            <w:hideMark/>
          </w:tcPr>
          <w:p w14:paraId="1E5EAD8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$0.52</w:t>
            </w:r>
          </w:p>
        </w:tc>
      </w:tr>
      <w:tr w:rsidR="004A5382" w:rsidRPr="004A5382" w14:paraId="2E343DB8"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01A51E8" w14:textId="26D782ED" w:rsidR="004A5382" w:rsidRPr="00382EC0" w:rsidRDefault="004A5382" w:rsidP="001160BD">
            <w:pPr>
              <w:pStyle w:val="TableofAuthorities"/>
            </w:pPr>
            <w:r w:rsidRPr="00382EC0">
              <w:t>Health living expenses</w:t>
            </w:r>
          </w:p>
        </w:tc>
        <w:tc>
          <w:tcPr>
            <w:tcW w:w="1099" w:type="dxa"/>
            <w:noWrap/>
            <w:hideMark/>
          </w:tcPr>
          <w:p w14:paraId="4CC50EB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$0.05</w:t>
            </w:r>
          </w:p>
        </w:tc>
        <w:tc>
          <w:tcPr>
            <w:tcW w:w="1099" w:type="dxa"/>
            <w:noWrap/>
            <w:hideMark/>
          </w:tcPr>
          <w:p w14:paraId="3ED26FB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$0.04</w:t>
            </w:r>
          </w:p>
        </w:tc>
        <w:tc>
          <w:tcPr>
            <w:tcW w:w="1099" w:type="dxa"/>
            <w:noWrap/>
            <w:hideMark/>
          </w:tcPr>
          <w:p w14:paraId="2A1505F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c>
          <w:tcPr>
            <w:tcW w:w="1099" w:type="dxa"/>
            <w:noWrap/>
            <w:hideMark/>
          </w:tcPr>
          <w:p w14:paraId="0392B4F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$0.04</w:t>
            </w:r>
          </w:p>
        </w:tc>
      </w:tr>
      <w:tr w:rsidR="004A5382" w:rsidRPr="004A5382" w14:paraId="000BF7D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25309037" w14:textId="77777777" w:rsidR="004A5382" w:rsidRPr="00382EC0" w:rsidRDefault="004A5382" w:rsidP="001160BD">
            <w:pPr>
              <w:pStyle w:val="TableofAuthorities"/>
            </w:pPr>
            <w:r w:rsidRPr="00382EC0">
              <w:t>Other resident services and consumables</w:t>
            </w:r>
          </w:p>
        </w:tc>
        <w:tc>
          <w:tcPr>
            <w:tcW w:w="1099" w:type="dxa"/>
            <w:noWrap/>
            <w:hideMark/>
          </w:tcPr>
          <w:p w14:paraId="531955B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$1.85</w:t>
            </w:r>
          </w:p>
        </w:tc>
        <w:tc>
          <w:tcPr>
            <w:tcW w:w="1099" w:type="dxa"/>
            <w:noWrap/>
            <w:hideMark/>
          </w:tcPr>
          <w:p w14:paraId="0DF9144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$1.86</w:t>
            </w:r>
          </w:p>
        </w:tc>
        <w:tc>
          <w:tcPr>
            <w:tcW w:w="1099" w:type="dxa"/>
            <w:noWrap/>
            <w:hideMark/>
          </w:tcPr>
          <w:p w14:paraId="278B013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$1.13</w:t>
            </w:r>
          </w:p>
        </w:tc>
        <w:tc>
          <w:tcPr>
            <w:tcW w:w="1099" w:type="dxa"/>
            <w:noWrap/>
            <w:hideMark/>
          </w:tcPr>
          <w:p w14:paraId="1ABA81A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$1.83</w:t>
            </w:r>
          </w:p>
        </w:tc>
      </w:tr>
      <w:tr w:rsidR="004A5382" w:rsidRPr="004564B5" w14:paraId="1C021764"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66300B0F" w14:textId="77777777" w:rsidR="004A5382" w:rsidRPr="004564B5" w:rsidRDefault="004A5382" w:rsidP="001160BD">
            <w:pPr>
              <w:pStyle w:val="TableParagraphbold"/>
            </w:pPr>
            <w:r w:rsidRPr="004564B5">
              <w:t>Total resident expenses</w:t>
            </w:r>
          </w:p>
        </w:tc>
        <w:tc>
          <w:tcPr>
            <w:tcW w:w="1099" w:type="dxa"/>
            <w:shd w:val="clear" w:color="auto" w:fill="D8DBDB" w:themeFill="background2" w:themeFillShade="E6"/>
            <w:noWrap/>
            <w:hideMark/>
          </w:tcPr>
          <w:p w14:paraId="5C252660"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$7.71</w:t>
            </w:r>
          </w:p>
        </w:tc>
        <w:tc>
          <w:tcPr>
            <w:tcW w:w="1099" w:type="dxa"/>
            <w:shd w:val="clear" w:color="auto" w:fill="D8DBDB" w:themeFill="background2" w:themeFillShade="E6"/>
            <w:noWrap/>
            <w:hideMark/>
          </w:tcPr>
          <w:p w14:paraId="183E15E2"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$7.03</w:t>
            </w:r>
          </w:p>
        </w:tc>
        <w:tc>
          <w:tcPr>
            <w:tcW w:w="1099" w:type="dxa"/>
            <w:shd w:val="clear" w:color="auto" w:fill="D8DBDB" w:themeFill="background2" w:themeFillShade="E6"/>
            <w:noWrap/>
            <w:hideMark/>
          </w:tcPr>
          <w:p w14:paraId="20DA2CE3"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$7.80</w:t>
            </w:r>
          </w:p>
        </w:tc>
        <w:tc>
          <w:tcPr>
            <w:tcW w:w="1099" w:type="dxa"/>
            <w:shd w:val="clear" w:color="auto" w:fill="D8DBDB" w:themeFill="background2" w:themeFillShade="E6"/>
            <w:noWrap/>
            <w:hideMark/>
          </w:tcPr>
          <w:p w14:paraId="6CF8B344"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$7.44</w:t>
            </w:r>
          </w:p>
        </w:tc>
      </w:tr>
      <w:tr w:rsidR="004A5382" w:rsidRPr="004564B5" w14:paraId="40377DC6"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17480929" w14:textId="77777777" w:rsidR="004A5382" w:rsidRPr="004564B5" w:rsidRDefault="004A5382" w:rsidP="001160BD">
            <w:pPr>
              <w:pStyle w:val="TableParagraphbold"/>
            </w:pPr>
            <w:r w:rsidRPr="004564B5">
              <w:t>Other direct care expenses</w:t>
            </w:r>
          </w:p>
        </w:tc>
        <w:tc>
          <w:tcPr>
            <w:tcW w:w="1099" w:type="dxa"/>
            <w:shd w:val="clear" w:color="auto" w:fill="D8DBDB" w:themeFill="background2" w:themeFillShade="E6"/>
            <w:noWrap/>
            <w:hideMark/>
          </w:tcPr>
          <w:p w14:paraId="4194155A"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69040505"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5A417D29"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1D6B80C3"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3F7F99E8"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2BE0F2F7" w14:textId="77777777" w:rsidR="004A5382" w:rsidRPr="00382EC0" w:rsidRDefault="004A5382" w:rsidP="001160BD">
            <w:pPr>
              <w:pStyle w:val="TableofAuthorities"/>
            </w:pPr>
            <w:r w:rsidRPr="00382EC0">
              <w:t>Workcover premium (care employee labour)</w:t>
            </w:r>
          </w:p>
        </w:tc>
        <w:tc>
          <w:tcPr>
            <w:tcW w:w="1099" w:type="dxa"/>
            <w:noWrap/>
            <w:hideMark/>
          </w:tcPr>
          <w:p w14:paraId="6FD5C5F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$3.59</w:t>
            </w:r>
          </w:p>
        </w:tc>
        <w:tc>
          <w:tcPr>
            <w:tcW w:w="1099" w:type="dxa"/>
            <w:noWrap/>
            <w:hideMark/>
          </w:tcPr>
          <w:p w14:paraId="7719A06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$3.33</w:t>
            </w:r>
          </w:p>
        </w:tc>
        <w:tc>
          <w:tcPr>
            <w:tcW w:w="1099" w:type="dxa"/>
            <w:noWrap/>
            <w:hideMark/>
          </w:tcPr>
          <w:p w14:paraId="2D2C58E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$3.30</w:t>
            </w:r>
          </w:p>
        </w:tc>
        <w:tc>
          <w:tcPr>
            <w:tcW w:w="1099" w:type="dxa"/>
            <w:noWrap/>
            <w:hideMark/>
          </w:tcPr>
          <w:p w14:paraId="195A7D2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$3.47</w:t>
            </w:r>
          </w:p>
        </w:tc>
      </w:tr>
      <w:tr w:rsidR="004A5382" w:rsidRPr="004A5382" w14:paraId="30A80163"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D402C3B" w14:textId="77777777" w:rsidR="004A5382" w:rsidRPr="00382EC0" w:rsidRDefault="004A5382" w:rsidP="001160BD">
            <w:pPr>
              <w:pStyle w:val="TableofAuthorities"/>
            </w:pPr>
            <w:r w:rsidRPr="00382EC0">
              <w:t>Payroll tax (care employee labour)</w:t>
            </w:r>
          </w:p>
        </w:tc>
        <w:tc>
          <w:tcPr>
            <w:tcW w:w="1099" w:type="dxa"/>
            <w:noWrap/>
            <w:hideMark/>
          </w:tcPr>
          <w:p w14:paraId="41ED89D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$0.07</w:t>
            </w:r>
          </w:p>
        </w:tc>
        <w:tc>
          <w:tcPr>
            <w:tcW w:w="1099" w:type="dxa"/>
            <w:noWrap/>
            <w:hideMark/>
          </w:tcPr>
          <w:p w14:paraId="50CD854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$6.05</w:t>
            </w:r>
          </w:p>
        </w:tc>
        <w:tc>
          <w:tcPr>
            <w:tcW w:w="1099" w:type="dxa"/>
            <w:noWrap/>
            <w:hideMark/>
          </w:tcPr>
          <w:p w14:paraId="777EA08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$0.18</w:t>
            </w:r>
          </w:p>
        </w:tc>
        <w:tc>
          <w:tcPr>
            <w:tcW w:w="1099" w:type="dxa"/>
            <w:noWrap/>
            <w:hideMark/>
          </w:tcPr>
          <w:p w14:paraId="4FE21E0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$2.50</w:t>
            </w:r>
          </w:p>
        </w:tc>
      </w:tr>
      <w:tr w:rsidR="004A5382" w:rsidRPr="004A5382" w14:paraId="7B5E1AC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84A07EF" w14:textId="77777777" w:rsidR="004A5382" w:rsidRPr="00382EC0" w:rsidRDefault="004A5382" w:rsidP="001160BD">
            <w:pPr>
              <w:pStyle w:val="TableofAuthorities"/>
            </w:pPr>
            <w:r w:rsidRPr="00382EC0">
              <w:t>Quality, compliance and training external costs</w:t>
            </w:r>
          </w:p>
        </w:tc>
        <w:tc>
          <w:tcPr>
            <w:tcW w:w="1099" w:type="dxa"/>
            <w:noWrap/>
            <w:hideMark/>
          </w:tcPr>
          <w:p w14:paraId="0B1F34E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$0.59</w:t>
            </w:r>
          </w:p>
        </w:tc>
        <w:tc>
          <w:tcPr>
            <w:tcW w:w="1099" w:type="dxa"/>
            <w:noWrap/>
            <w:hideMark/>
          </w:tcPr>
          <w:p w14:paraId="473DCDB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$0.44</w:t>
            </w:r>
          </w:p>
        </w:tc>
        <w:tc>
          <w:tcPr>
            <w:tcW w:w="1099" w:type="dxa"/>
            <w:noWrap/>
            <w:hideMark/>
          </w:tcPr>
          <w:p w14:paraId="290A0E7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$0.61</w:t>
            </w:r>
          </w:p>
        </w:tc>
        <w:tc>
          <w:tcPr>
            <w:tcW w:w="1099" w:type="dxa"/>
            <w:noWrap/>
            <w:hideMark/>
          </w:tcPr>
          <w:p w14:paraId="01D8F5E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$0.53</w:t>
            </w:r>
          </w:p>
        </w:tc>
      </w:tr>
      <w:tr w:rsidR="004A5382" w:rsidRPr="004A5382" w14:paraId="60D24F27"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436DE53" w14:textId="77777777" w:rsidR="004A5382" w:rsidRPr="00382EC0" w:rsidRDefault="004A5382" w:rsidP="001160BD">
            <w:pPr>
              <w:pStyle w:val="TableofAuthorities"/>
            </w:pPr>
            <w:r w:rsidRPr="00382EC0">
              <w:t xml:space="preserve">Chaplaincy / pastoral care </w:t>
            </w:r>
          </w:p>
        </w:tc>
        <w:tc>
          <w:tcPr>
            <w:tcW w:w="1099" w:type="dxa"/>
            <w:noWrap/>
            <w:hideMark/>
          </w:tcPr>
          <w:p w14:paraId="27FBFB6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$0.52</w:t>
            </w:r>
          </w:p>
        </w:tc>
        <w:tc>
          <w:tcPr>
            <w:tcW w:w="1099" w:type="dxa"/>
            <w:noWrap/>
            <w:hideMark/>
          </w:tcPr>
          <w:p w14:paraId="08E7A14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$0.01</w:t>
            </w:r>
          </w:p>
        </w:tc>
        <w:tc>
          <w:tcPr>
            <w:tcW w:w="1099" w:type="dxa"/>
            <w:noWrap/>
            <w:hideMark/>
          </w:tcPr>
          <w:p w14:paraId="392360A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$0.05</w:t>
            </w:r>
          </w:p>
        </w:tc>
        <w:tc>
          <w:tcPr>
            <w:tcW w:w="1099" w:type="dxa"/>
            <w:noWrap/>
            <w:hideMark/>
          </w:tcPr>
          <w:p w14:paraId="1D40FA6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$0.30</w:t>
            </w:r>
          </w:p>
        </w:tc>
      </w:tr>
      <w:tr w:rsidR="004A5382" w:rsidRPr="004A5382" w14:paraId="30A6670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F3364EE" w14:textId="77777777" w:rsidR="004A5382" w:rsidRPr="001160BD" w:rsidRDefault="004A5382" w:rsidP="001160BD">
            <w:pPr>
              <w:pStyle w:val="TableofAuthorities"/>
              <w:rPr>
                <w:rStyle w:val="SubtleReference"/>
                <w:smallCaps w:val="0"/>
                <w:color w:val="1E1545" w:themeColor="text1"/>
                <w:u w:val="none"/>
              </w:rPr>
            </w:pPr>
            <w:r w:rsidRPr="001160BD">
              <w:rPr>
                <w:rStyle w:val="SubtleReference"/>
                <w:smallCaps w:val="0"/>
                <w:color w:val="1E1545" w:themeColor="text1"/>
                <w:u w:val="none"/>
              </w:rPr>
              <w:t>Other direct care expenses</w:t>
            </w:r>
          </w:p>
        </w:tc>
        <w:tc>
          <w:tcPr>
            <w:tcW w:w="1099" w:type="dxa"/>
            <w:noWrap/>
            <w:hideMark/>
          </w:tcPr>
          <w:p w14:paraId="71B3EF86"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$0.53</w:t>
            </w:r>
          </w:p>
        </w:tc>
        <w:tc>
          <w:tcPr>
            <w:tcW w:w="1099" w:type="dxa"/>
            <w:noWrap/>
            <w:hideMark/>
          </w:tcPr>
          <w:p w14:paraId="1EF8EBA1"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$1.17</w:t>
            </w:r>
          </w:p>
        </w:tc>
        <w:tc>
          <w:tcPr>
            <w:tcW w:w="1099" w:type="dxa"/>
            <w:noWrap/>
            <w:hideMark/>
          </w:tcPr>
          <w:p w14:paraId="4E745462"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$1.19</w:t>
            </w:r>
          </w:p>
        </w:tc>
        <w:tc>
          <w:tcPr>
            <w:tcW w:w="1099" w:type="dxa"/>
            <w:noWrap/>
            <w:hideMark/>
          </w:tcPr>
          <w:p w14:paraId="5FD605B9"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$0.81</w:t>
            </w:r>
          </w:p>
        </w:tc>
      </w:tr>
      <w:tr w:rsidR="004A5382" w:rsidRPr="004A5382" w14:paraId="54694DB0"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ACBECDB" w14:textId="77777777" w:rsidR="004A5382" w:rsidRPr="001160BD" w:rsidRDefault="004A5382" w:rsidP="001160BD">
            <w:pPr>
              <w:pStyle w:val="TableofAuthorities"/>
              <w:rPr>
                <w:rStyle w:val="SubtleReference"/>
                <w:smallCaps w:val="0"/>
                <w:color w:val="1E1545" w:themeColor="text1"/>
                <w:u w:val="none"/>
              </w:rPr>
            </w:pPr>
            <w:r w:rsidRPr="001160BD">
              <w:rPr>
                <w:rStyle w:val="SubtleReference"/>
                <w:smallCaps w:val="0"/>
                <w:color w:val="1E1545" w:themeColor="text1"/>
                <w:u w:val="none"/>
              </w:rPr>
              <w:t>Total other direct care expenses</w:t>
            </w:r>
          </w:p>
        </w:tc>
        <w:tc>
          <w:tcPr>
            <w:tcW w:w="1099" w:type="dxa"/>
            <w:noWrap/>
            <w:hideMark/>
          </w:tcPr>
          <w:p w14:paraId="7C4A81EB"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$5.31</w:t>
            </w:r>
          </w:p>
        </w:tc>
        <w:tc>
          <w:tcPr>
            <w:tcW w:w="1099" w:type="dxa"/>
            <w:noWrap/>
            <w:hideMark/>
          </w:tcPr>
          <w:p w14:paraId="51671805"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$10.99</w:t>
            </w:r>
          </w:p>
        </w:tc>
        <w:tc>
          <w:tcPr>
            <w:tcW w:w="1099" w:type="dxa"/>
            <w:noWrap/>
            <w:hideMark/>
          </w:tcPr>
          <w:p w14:paraId="7B115732"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$5.32</w:t>
            </w:r>
          </w:p>
        </w:tc>
        <w:tc>
          <w:tcPr>
            <w:tcW w:w="1099" w:type="dxa"/>
            <w:noWrap/>
            <w:hideMark/>
          </w:tcPr>
          <w:p w14:paraId="634B2222"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$7.61</w:t>
            </w:r>
          </w:p>
        </w:tc>
      </w:tr>
      <w:tr w:rsidR="004A5382" w:rsidRPr="004A5382" w14:paraId="37174C1F"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66D642E2" w14:textId="77777777" w:rsidR="004A5382" w:rsidRPr="004564B5" w:rsidRDefault="004A5382" w:rsidP="001160BD">
            <w:pPr>
              <w:pStyle w:val="TableParagraphbold"/>
            </w:pPr>
            <w:r w:rsidRPr="004564B5">
              <w:t>Total care expenses</w:t>
            </w:r>
          </w:p>
        </w:tc>
        <w:tc>
          <w:tcPr>
            <w:tcW w:w="1099" w:type="dxa"/>
            <w:shd w:val="clear" w:color="auto" w:fill="D8DBDB" w:themeFill="background2" w:themeFillShade="E6"/>
            <w:noWrap/>
            <w:hideMark/>
          </w:tcPr>
          <w:p w14:paraId="44D0D229"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$178.32</w:t>
            </w:r>
          </w:p>
        </w:tc>
        <w:tc>
          <w:tcPr>
            <w:tcW w:w="1099" w:type="dxa"/>
            <w:shd w:val="clear" w:color="auto" w:fill="D8DBDB" w:themeFill="background2" w:themeFillShade="E6"/>
            <w:noWrap/>
            <w:hideMark/>
          </w:tcPr>
          <w:p w14:paraId="1A1B449D"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$169.91</w:t>
            </w:r>
          </w:p>
        </w:tc>
        <w:tc>
          <w:tcPr>
            <w:tcW w:w="1099" w:type="dxa"/>
            <w:shd w:val="clear" w:color="auto" w:fill="D8DBDB" w:themeFill="background2" w:themeFillShade="E6"/>
            <w:noWrap/>
            <w:hideMark/>
          </w:tcPr>
          <w:p w14:paraId="23240D15"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$273.39</w:t>
            </w:r>
          </w:p>
        </w:tc>
        <w:tc>
          <w:tcPr>
            <w:tcW w:w="1099" w:type="dxa"/>
            <w:shd w:val="clear" w:color="auto" w:fill="D8DBDB" w:themeFill="background2" w:themeFillShade="E6"/>
            <w:noWrap/>
            <w:hideMark/>
          </w:tcPr>
          <w:p w14:paraId="3916B47F"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$178.44</w:t>
            </w:r>
          </w:p>
        </w:tc>
      </w:tr>
      <w:tr w:rsidR="004A5382" w:rsidRPr="004A5382" w14:paraId="757B8A52" w14:textId="77777777" w:rsidTr="002236E8">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13D00EE4" w14:textId="77777777" w:rsidR="004A5382" w:rsidRPr="004564B5" w:rsidRDefault="004A5382" w:rsidP="001160BD">
            <w:pPr>
              <w:pStyle w:val="TableParagraphbold"/>
            </w:pPr>
            <w:r w:rsidRPr="004564B5">
              <w:t>Hotel expenses</w:t>
            </w:r>
          </w:p>
        </w:tc>
        <w:tc>
          <w:tcPr>
            <w:tcW w:w="1099" w:type="dxa"/>
            <w:shd w:val="clear" w:color="auto" w:fill="D8DBDB" w:themeFill="background2" w:themeFillShade="E6"/>
            <w:noWrap/>
            <w:hideMark/>
          </w:tcPr>
          <w:p w14:paraId="2FD7FB33"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0BCC9A1D"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4341020F"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2FF8C3C8"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6D223421" w14:textId="77777777" w:rsidTr="004D63A5">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1F76749C" w14:textId="77777777" w:rsidR="004A5382" w:rsidRPr="004564B5" w:rsidRDefault="004A5382" w:rsidP="001160BD">
            <w:pPr>
              <w:pStyle w:val="TableParagraphbold"/>
            </w:pPr>
            <w:r w:rsidRPr="004564B5">
              <w:t>Catering expenses</w:t>
            </w:r>
          </w:p>
        </w:tc>
        <w:tc>
          <w:tcPr>
            <w:tcW w:w="1099" w:type="dxa"/>
            <w:shd w:val="clear" w:color="auto" w:fill="D8DBDB" w:themeFill="background2" w:themeFillShade="E6"/>
            <w:noWrap/>
            <w:hideMark/>
          </w:tcPr>
          <w:p w14:paraId="1E64523A"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09B32E7A"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3A0AA2A9"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450F0AE8"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4CABF12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436CBA0" w14:textId="77777777" w:rsidR="004A5382" w:rsidRPr="001160BD" w:rsidRDefault="004A5382" w:rsidP="001160BD">
            <w:pPr>
              <w:pStyle w:val="TableofAuthorities"/>
              <w:rPr>
                <w:rStyle w:val="SubtleReference"/>
                <w:smallCaps w:val="0"/>
                <w:color w:val="1E1545" w:themeColor="text1"/>
                <w:u w:val="none"/>
              </w:rPr>
            </w:pPr>
            <w:r w:rsidRPr="001160BD">
              <w:rPr>
                <w:rStyle w:val="SubtleReference"/>
                <w:smallCaps w:val="0"/>
                <w:color w:val="1E1545" w:themeColor="text1"/>
                <w:u w:val="none"/>
              </w:rPr>
              <w:t>Employee labour costs</w:t>
            </w:r>
          </w:p>
        </w:tc>
        <w:tc>
          <w:tcPr>
            <w:tcW w:w="1099" w:type="dxa"/>
            <w:noWrap/>
            <w:hideMark/>
          </w:tcPr>
          <w:p w14:paraId="552E99DB"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$17.67</w:t>
            </w:r>
          </w:p>
        </w:tc>
        <w:tc>
          <w:tcPr>
            <w:tcW w:w="1099" w:type="dxa"/>
            <w:noWrap/>
            <w:hideMark/>
          </w:tcPr>
          <w:p w14:paraId="77D15380"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$19.33</w:t>
            </w:r>
          </w:p>
        </w:tc>
        <w:tc>
          <w:tcPr>
            <w:tcW w:w="1099" w:type="dxa"/>
            <w:noWrap/>
            <w:hideMark/>
          </w:tcPr>
          <w:p w14:paraId="347D59C0"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$20.67</w:t>
            </w:r>
          </w:p>
        </w:tc>
        <w:tc>
          <w:tcPr>
            <w:tcW w:w="1099" w:type="dxa"/>
            <w:noWrap/>
            <w:hideMark/>
          </w:tcPr>
          <w:p w14:paraId="47E8E527"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$18.46</w:t>
            </w:r>
          </w:p>
        </w:tc>
      </w:tr>
      <w:tr w:rsidR="004A5382" w:rsidRPr="004A5382" w14:paraId="3E02510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B4FDCF4" w14:textId="77777777" w:rsidR="004A5382" w:rsidRPr="001160BD" w:rsidRDefault="004A5382" w:rsidP="001160BD">
            <w:pPr>
              <w:pStyle w:val="TableofAuthorities"/>
              <w:rPr>
                <w:rStyle w:val="SubtleReference"/>
                <w:smallCaps w:val="0"/>
                <w:color w:val="1E1545" w:themeColor="text1"/>
                <w:u w:val="none"/>
              </w:rPr>
            </w:pPr>
            <w:r w:rsidRPr="001160BD">
              <w:rPr>
                <w:rStyle w:val="SubtleReference"/>
                <w:smallCaps w:val="0"/>
                <w:color w:val="1E1545" w:themeColor="text1"/>
                <w:u w:val="none"/>
              </w:rPr>
              <w:lastRenderedPageBreak/>
              <w:t>Consumables</w:t>
            </w:r>
          </w:p>
        </w:tc>
        <w:tc>
          <w:tcPr>
            <w:tcW w:w="1099" w:type="dxa"/>
            <w:noWrap/>
            <w:hideMark/>
          </w:tcPr>
          <w:p w14:paraId="41DC70C8"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$9.77</w:t>
            </w:r>
          </w:p>
        </w:tc>
        <w:tc>
          <w:tcPr>
            <w:tcW w:w="1099" w:type="dxa"/>
            <w:noWrap/>
            <w:hideMark/>
          </w:tcPr>
          <w:p w14:paraId="40DF711D"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$10.26</w:t>
            </w:r>
          </w:p>
        </w:tc>
        <w:tc>
          <w:tcPr>
            <w:tcW w:w="1099" w:type="dxa"/>
            <w:noWrap/>
            <w:hideMark/>
          </w:tcPr>
          <w:p w14:paraId="570331D0"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$8.87</w:t>
            </w:r>
          </w:p>
        </w:tc>
        <w:tc>
          <w:tcPr>
            <w:tcW w:w="1099" w:type="dxa"/>
            <w:noWrap/>
            <w:hideMark/>
          </w:tcPr>
          <w:p w14:paraId="309ACEF5"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$9.94</w:t>
            </w:r>
          </w:p>
        </w:tc>
      </w:tr>
      <w:tr w:rsidR="004A5382" w:rsidRPr="004A5382" w14:paraId="59D8C6CC"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9EBC3C5" w14:textId="77777777" w:rsidR="004A5382" w:rsidRPr="001160BD" w:rsidRDefault="004A5382" w:rsidP="001160BD">
            <w:pPr>
              <w:pStyle w:val="TableofAuthorities"/>
              <w:rPr>
                <w:rStyle w:val="SubtleReference"/>
                <w:smallCaps w:val="0"/>
                <w:color w:val="1E1545" w:themeColor="text1"/>
                <w:u w:val="none"/>
              </w:rPr>
            </w:pPr>
            <w:r w:rsidRPr="001160BD">
              <w:rPr>
                <w:rStyle w:val="SubtleReference"/>
                <w:smallCaps w:val="0"/>
                <w:color w:val="1E1545" w:themeColor="text1"/>
                <w:u w:val="none"/>
              </w:rPr>
              <w:t>Contract services - internal</w:t>
            </w:r>
          </w:p>
        </w:tc>
        <w:tc>
          <w:tcPr>
            <w:tcW w:w="1099" w:type="dxa"/>
            <w:noWrap/>
            <w:hideMark/>
          </w:tcPr>
          <w:p w14:paraId="64C26648"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$1.96</w:t>
            </w:r>
          </w:p>
        </w:tc>
        <w:tc>
          <w:tcPr>
            <w:tcW w:w="1099" w:type="dxa"/>
            <w:noWrap/>
            <w:hideMark/>
          </w:tcPr>
          <w:p w14:paraId="10DAD2F8"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$0.16</w:t>
            </w:r>
          </w:p>
        </w:tc>
        <w:tc>
          <w:tcPr>
            <w:tcW w:w="1099" w:type="dxa"/>
            <w:noWrap/>
            <w:hideMark/>
          </w:tcPr>
          <w:p w14:paraId="35DC1C68"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$11.78</w:t>
            </w:r>
          </w:p>
        </w:tc>
        <w:tc>
          <w:tcPr>
            <w:tcW w:w="1099" w:type="dxa"/>
            <w:noWrap/>
            <w:hideMark/>
          </w:tcPr>
          <w:p w14:paraId="583A90FB"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$1.60</w:t>
            </w:r>
          </w:p>
        </w:tc>
      </w:tr>
      <w:tr w:rsidR="004A5382" w:rsidRPr="004A5382" w14:paraId="572BB7C6"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C4F633D" w14:textId="77777777" w:rsidR="004A5382" w:rsidRPr="001160BD" w:rsidRDefault="004A5382" w:rsidP="001160BD">
            <w:pPr>
              <w:pStyle w:val="TableofAuthorities"/>
              <w:rPr>
                <w:rStyle w:val="SubtleReference"/>
                <w:smallCaps w:val="0"/>
                <w:color w:val="1E1545" w:themeColor="text1"/>
                <w:u w:val="none"/>
              </w:rPr>
            </w:pPr>
            <w:r w:rsidRPr="001160BD">
              <w:rPr>
                <w:rStyle w:val="SubtleReference"/>
                <w:smallCaps w:val="0"/>
                <w:color w:val="1E1545" w:themeColor="text1"/>
                <w:u w:val="none"/>
              </w:rPr>
              <w:t>Contract services - outsourcing</w:t>
            </w:r>
          </w:p>
        </w:tc>
        <w:tc>
          <w:tcPr>
            <w:tcW w:w="1099" w:type="dxa"/>
            <w:noWrap/>
            <w:hideMark/>
          </w:tcPr>
          <w:p w14:paraId="3C9F00EA"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$5.41</w:t>
            </w:r>
          </w:p>
        </w:tc>
        <w:tc>
          <w:tcPr>
            <w:tcW w:w="1099" w:type="dxa"/>
            <w:noWrap/>
            <w:hideMark/>
          </w:tcPr>
          <w:p w14:paraId="3AF2DE42"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$3.31</w:t>
            </w:r>
          </w:p>
        </w:tc>
        <w:tc>
          <w:tcPr>
            <w:tcW w:w="1099" w:type="dxa"/>
            <w:noWrap/>
            <w:hideMark/>
          </w:tcPr>
          <w:p w14:paraId="12456E3C"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$3.65</w:t>
            </w:r>
          </w:p>
        </w:tc>
        <w:tc>
          <w:tcPr>
            <w:tcW w:w="1099" w:type="dxa"/>
            <w:noWrap/>
            <w:hideMark/>
          </w:tcPr>
          <w:p w14:paraId="0CA2A8A0" w14:textId="77777777" w:rsidR="004A5382" w:rsidRPr="001160BD"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Style w:val="SubtleReference"/>
                <w:smallCaps w:val="0"/>
                <w:color w:val="1E1545" w:themeColor="text1"/>
                <w:u w:val="none"/>
              </w:rPr>
            </w:pPr>
            <w:r w:rsidRPr="001160BD">
              <w:rPr>
                <w:rStyle w:val="SubtleReference"/>
                <w:smallCaps w:val="0"/>
                <w:color w:val="1E1545" w:themeColor="text1"/>
                <w:u w:val="none"/>
              </w:rPr>
              <w:t>$4.49</w:t>
            </w:r>
          </w:p>
        </w:tc>
      </w:tr>
      <w:tr w:rsidR="004A5382" w:rsidRPr="004564B5" w14:paraId="3500A8C4" w14:textId="77777777" w:rsidTr="004D63A5">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433602DE" w14:textId="77777777" w:rsidR="004A5382" w:rsidRPr="004564B5" w:rsidRDefault="004A5382" w:rsidP="001160BD">
            <w:pPr>
              <w:pStyle w:val="TableParagraphbold"/>
            </w:pPr>
            <w:r w:rsidRPr="004564B5">
              <w:t>Total catering expenses</w:t>
            </w:r>
          </w:p>
        </w:tc>
        <w:tc>
          <w:tcPr>
            <w:tcW w:w="1099" w:type="dxa"/>
            <w:shd w:val="clear" w:color="auto" w:fill="D8DBDB" w:themeFill="background2" w:themeFillShade="E6"/>
            <w:noWrap/>
            <w:hideMark/>
          </w:tcPr>
          <w:p w14:paraId="0A18D39F"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$34.81</w:t>
            </w:r>
          </w:p>
        </w:tc>
        <w:tc>
          <w:tcPr>
            <w:tcW w:w="1099" w:type="dxa"/>
            <w:shd w:val="clear" w:color="auto" w:fill="D8DBDB" w:themeFill="background2" w:themeFillShade="E6"/>
            <w:noWrap/>
            <w:hideMark/>
          </w:tcPr>
          <w:p w14:paraId="757B2D7C"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$33.06</w:t>
            </w:r>
          </w:p>
        </w:tc>
        <w:tc>
          <w:tcPr>
            <w:tcW w:w="1099" w:type="dxa"/>
            <w:shd w:val="clear" w:color="auto" w:fill="D8DBDB" w:themeFill="background2" w:themeFillShade="E6"/>
            <w:noWrap/>
            <w:hideMark/>
          </w:tcPr>
          <w:p w14:paraId="118CED21"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$44.96</w:t>
            </w:r>
          </w:p>
        </w:tc>
        <w:tc>
          <w:tcPr>
            <w:tcW w:w="1099" w:type="dxa"/>
            <w:shd w:val="clear" w:color="auto" w:fill="D8DBDB" w:themeFill="background2" w:themeFillShade="E6"/>
            <w:noWrap/>
            <w:hideMark/>
          </w:tcPr>
          <w:p w14:paraId="6671C0DC"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$34.48</w:t>
            </w:r>
          </w:p>
        </w:tc>
      </w:tr>
      <w:tr w:rsidR="004A5382" w:rsidRPr="004564B5" w14:paraId="078123C9" w14:textId="77777777" w:rsidTr="004D63A5">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75572FCE" w14:textId="77777777" w:rsidR="004A5382" w:rsidRPr="004564B5" w:rsidRDefault="004A5382" w:rsidP="001160BD">
            <w:pPr>
              <w:pStyle w:val="TableParagraphbold"/>
            </w:pPr>
            <w:r w:rsidRPr="004564B5">
              <w:t>Cleaning expenses</w:t>
            </w:r>
          </w:p>
        </w:tc>
        <w:tc>
          <w:tcPr>
            <w:tcW w:w="1099" w:type="dxa"/>
            <w:shd w:val="clear" w:color="auto" w:fill="D8DBDB" w:themeFill="background2" w:themeFillShade="E6"/>
            <w:noWrap/>
            <w:hideMark/>
          </w:tcPr>
          <w:p w14:paraId="2CD1F26A"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0D4D9AA9"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75330A2D"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421A56CF"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5753F721"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0468EAB" w14:textId="77777777" w:rsidR="004A5382" w:rsidRPr="00382EC0" w:rsidRDefault="004A5382" w:rsidP="001160BD">
            <w:pPr>
              <w:pStyle w:val="TableofAuthorities"/>
            </w:pPr>
            <w:r w:rsidRPr="00382EC0">
              <w:t>Employee labour costs</w:t>
            </w:r>
          </w:p>
        </w:tc>
        <w:tc>
          <w:tcPr>
            <w:tcW w:w="1099" w:type="dxa"/>
            <w:noWrap/>
            <w:hideMark/>
          </w:tcPr>
          <w:p w14:paraId="2DDBF5E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$6.20</w:t>
            </w:r>
          </w:p>
        </w:tc>
        <w:tc>
          <w:tcPr>
            <w:tcW w:w="1099" w:type="dxa"/>
            <w:noWrap/>
            <w:hideMark/>
          </w:tcPr>
          <w:p w14:paraId="6A74CF0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$5.82</w:t>
            </w:r>
          </w:p>
        </w:tc>
        <w:tc>
          <w:tcPr>
            <w:tcW w:w="1099" w:type="dxa"/>
            <w:noWrap/>
            <w:hideMark/>
          </w:tcPr>
          <w:p w14:paraId="1E37CF7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$14.20</w:t>
            </w:r>
          </w:p>
        </w:tc>
        <w:tc>
          <w:tcPr>
            <w:tcW w:w="1099" w:type="dxa"/>
            <w:noWrap/>
            <w:hideMark/>
          </w:tcPr>
          <w:p w14:paraId="5E1E9C0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$6.35</w:t>
            </w:r>
          </w:p>
        </w:tc>
      </w:tr>
      <w:tr w:rsidR="004A5382" w:rsidRPr="004A5382" w14:paraId="5EFBB3EE"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B3C973C" w14:textId="77777777" w:rsidR="004A5382" w:rsidRPr="00382EC0" w:rsidRDefault="004A5382" w:rsidP="001160BD">
            <w:pPr>
              <w:pStyle w:val="TableofAuthorities"/>
            </w:pPr>
            <w:r w:rsidRPr="00382EC0">
              <w:t>Consumables</w:t>
            </w:r>
          </w:p>
        </w:tc>
        <w:tc>
          <w:tcPr>
            <w:tcW w:w="1099" w:type="dxa"/>
            <w:noWrap/>
            <w:hideMark/>
          </w:tcPr>
          <w:p w14:paraId="6E82C85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$1.79</w:t>
            </w:r>
          </w:p>
        </w:tc>
        <w:tc>
          <w:tcPr>
            <w:tcW w:w="1099" w:type="dxa"/>
            <w:noWrap/>
            <w:hideMark/>
          </w:tcPr>
          <w:p w14:paraId="2A4D836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$1.42</w:t>
            </w:r>
          </w:p>
        </w:tc>
        <w:tc>
          <w:tcPr>
            <w:tcW w:w="1099" w:type="dxa"/>
            <w:noWrap/>
            <w:hideMark/>
          </w:tcPr>
          <w:p w14:paraId="7AB61A2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$1.88</w:t>
            </w:r>
          </w:p>
        </w:tc>
        <w:tc>
          <w:tcPr>
            <w:tcW w:w="1099" w:type="dxa"/>
            <w:noWrap/>
            <w:hideMark/>
          </w:tcPr>
          <w:p w14:paraId="3715EB9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$1.65</w:t>
            </w:r>
          </w:p>
        </w:tc>
      </w:tr>
      <w:tr w:rsidR="004A5382" w:rsidRPr="004A5382" w14:paraId="3737ECFC"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9329483" w14:textId="77777777" w:rsidR="004A5382" w:rsidRPr="00382EC0" w:rsidRDefault="004A5382" w:rsidP="001160BD">
            <w:pPr>
              <w:pStyle w:val="TableofAuthorities"/>
            </w:pPr>
            <w:r w:rsidRPr="00382EC0">
              <w:t>Contract services - internal</w:t>
            </w:r>
          </w:p>
        </w:tc>
        <w:tc>
          <w:tcPr>
            <w:tcW w:w="1099" w:type="dxa"/>
            <w:noWrap/>
            <w:hideMark/>
          </w:tcPr>
          <w:p w14:paraId="24786AB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$0.06</w:t>
            </w:r>
          </w:p>
        </w:tc>
        <w:tc>
          <w:tcPr>
            <w:tcW w:w="1099" w:type="dxa"/>
            <w:noWrap/>
            <w:hideMark/>
          </w:tcPr>
          <w:p w14:paraId="3AA3A5F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$0.04</w:t>
            </w:r>
          </w:p>
        </w:tc>
        <w:tc>
          <w:tcPr>
            <w:tcW w:w="1099" w:type="dxa"/>
            <w:noWrap/>
            <w:hideMark/>
          </w:tcPr>
          <w:p w14:paraId="332284E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$3.72</w:t>
            </w:r>
          </w:p>
        </w:tc>
        <w:tc>
          <w:tcPr>
            <w:tcW w:w="1099" w:type="dxa"/>
            <w:noWrap/>
            <w:hideMark/>
          </w:tcPr>
          <w:p w14:paraId="4E51E7D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$0.19</w:t>
            </w:r>
          </w:p>
        </w:tc>
      </w:tr>
      <w:tr w:rsidR="004A5382" w:rsidRPr="004A5382" w14:paraId="67457B0D"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78B5D21" w14:textId="77777777" w:rsidR="004A5382" w:rsidRPr="00382EC0" w:rsidRDefault="004A5382" w:rsidP="001160BD">
            <w:pPr>
              <w:pStyle w:val="TableofAuthorities"/>
            </w:pPr>
            <w:r w:rsidRPr="00382EC0">
              <w:t>Contract services - outsourcing</w:t>
            </w:r>
          </w:p>
        </w:tc>
        <w:tc>
          <w:tcPr>
            <w:tcW w:w="1099" w:type="dxa"/>
            <w:noWrap/>
            <w:hideMark/>
          </w:tcPr>
          <w:p w14:paraId="3880B62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$2.62</w:t>
            </w:r>
          </w:p>
        </w:tc>
        <w:tc>
          <w:tcPr>
            <w:tcW w:w="1099" w:type="dxa"/>
            <w:noWrap/>
            <w:hideMark/>
          </w:tcPr>
          <w:p w14:paraId="3CD9812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$1.95</w:t>
            </w:r>
          </w:p>
        </w:tc>
        <w:tc>
          <w:tcPr>
            <w:tcW w:w="1099" w:type="dxa"/>
            <w:noWrap/>
            <w:hideMark/>
          </w:tcPr>
          <w:p w14:paraId="7F3BFCA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$1.20</w:t>
            </w:r>
          </w:p>
        </w:tc>
        <w:tc>
          <w:tcPr>
            <w:tcW w:w="1099" w:type="dxa"/>
            <w:noWrap/>
            <w:hideMark/>
          </w:tcPr>
          <w:p w14:paraId="3B592DF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$2.30</w:t>
            </w:r>
          </w:p>
        </w:tc>
      </w:tr>
      <w:tr w:rsidR="004A5382" w:rsidRPr="004564B5" w14:paraId="232859E2"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6F8E9A81" w14:textId="77777777" w:rsidR="004A5382" w:rsidRPr="004564B5" w:rsidRDefault="004A5382" w:rsidP="001160BD">
            <w:pPr>
              <w:pStyle w:val="TableParagraphbold"/>
            </w:pPr>
            <w:r w:rsidRPr="004564B5">
              <w:t>Total cleaning expenses</w:t>
            </w:r>
          </w:p>
        </w:tc>
        <w:tc>
          <w:tcPr>
            <w:tcW w:w="1099" w:type="dxa"/>
            <w:shd w:val="clear" w:color="auto" w:fill="D8DBDB" w:themeFill="background2" w:themeFillShade="E6"/>
            <w:noWrap/>
            <w:hideMark/>
          </w:tcPr>
          <w:p w14:paraId="4CCA3F93"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$10.68</w:t>
            </w:r>
          </w:p>
        </w:tc>
        <w:tc>
          <w:tcPr>
            <w:tcW w:w="1099" w:type="dxa"/>
            <w:shd w:val="clear" w:color="auto" w:fill="D8DBDB" w:themeFill="background2" w:themeFillShade="E6"/>
            <w:noWrap/>
            <w:hideMark/>
          </w:tcPr>
          <w:p w14:paraId="05F5B5DC"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$9.24</w:t>
            </w:r>
          </w:p>
        </w:tc>
        <w:tc>
          <w:tcPr>
            <w:tcW w:w="1099" w:type="dxa"/>
            <w:shd w:val="clear" w:color="auto" w:fill="D8DBDB" w:themeFill="background2" w:themeFillShade="E6"/>
            <w:noWrap/>
            <w:hideMark/>
          </w:tcPr>
          <w:p w14:paraId="3E4E6907"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$21.00</w:t>
            </w:r>
          </w:p>
        </w:tc>
        <w:tc>
          <w:tcPr>
            <w:tcW w:w="1099" w:type="dxa"/>
            <w:shd w:val="clear" w:color="auto" w:fill="D8DBDB" w:themeFill="background2" w:themeFillShade="E6"/>
            <w:noWrap/>
            <w:hideMark/>
          </w:tcPr>
          <w:p w14:paraId="611FFC8B"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$10.48</w:t>
            </w:r>
          </w:p>
        </w:tc>
      </w:tr>
      <w:tr w:rsidR="004A5382" w:rsidRPr="004564B5" w14:paraId="09F49BC0"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5E0CF077" w14:textId="77777777" w:rsidR="004A5382" w:rsidRPr="004564B5" w:rsidRDefault="004A5382" w:rsidP="001160BD">
            <w:pPr>
              <w:pStyle w:val="TableParagraphbold"/>
            </w:pPr>
            <w:r w:rsidRPr="004564B5">
              <w:t>Laundry expenses</w:t>
            </w:r>
          </w:p>
        </w:tc>
        <w:tc>
          <w:tcPr>
            <w:tcW w:w="1099" w:type="dxa"/>
            <w:shd w:val="clear" w:color="auto" w:fill="D8DBDB" w:themeFill="background2" w:themeFillShade="E6"/>
            <w:noWrap/>
            <w:hideMark/>
          </w:tcPr>
          <w:p w14:paraId="3171FC5E"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7CEB74A4"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6FE6B741"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0111263D"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5FB8B3E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807C0F6" w14:textId="77777777" w:rsidR="004A5382" w:rsidRPr="00382EC0" w:rsidRDefault="004A5382" w:rsidP="001160BD">
            <w:pPr>
              <w:pStyle w:val="TableofAuthorities"/>
            </w:pPr>
            <w:r w:rsidRPr="00382EC0">
              <w:t>Employee labour costs</w:t>
            </w:r>
          </w:p>
        </w:tc>
        <w:tc>
          <w:tcPr>
            <w:tcW w:w="1099" w:type="dxa"/>
            <w:noWrap/>
            <w:hideMark/>
          </w:tcPr>
          <w:p w14:paraId="2C8262C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$2.51</w:t>
            </w:r>
          </w:p>
        </w:tc>
        <w:tc>
          <w:tcPr>
            <w:tcW w:w="1099" w:type="dxa"/>
            <w:noWrap/>
            <w:hideMark/>
          </w:tcPr>
          <w:p w14:paraId="2114B12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$2.91</w:t>
            </w:r>
          </w:p>
        </w:tc>
        <w:tc>
          <w:tcPr>
            <w:tcW w:w="1099" w:type="dxa"/>
            <w:noWrap/>
            <w:hideMark/>
          </w:tcPr>
          <w:p w14:paraId="31DD8F4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$2.72</w:t>
            </w:r>
          </w:p>
        </w:tc>
        <w:tc>
          <w:tcPr>
            <w:tcW w:w="1099" w:type="dxa"/>
            <w:noWrap/>
            <w:hideMark/>
          </w:tcPr>
          <w:p w14:paraId="1BCE986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$2.68</w:t>
            </w:r>
          </w:p>
        </w:tc>
      </w:tr>
      <w:tr w:rsidR="004A5382" w:rsidRPr="004A5382" w14:paraId="624CD4B7"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BDB0511" w14:textId="77777777" w:rsidR="004A5382" w:rsidRPr="00382EC0" w:rsidRDefault="004A5382" w:rsidP="001160BD">
            <w:pPr>
              <w:pStyle w:val="TableofAuthorities"/>
            </w:pPr>
            <w:r w:rsidRPr="00382EC0">
              <w:t>Consumables</w:t>
            </w:r>
          </w:p>
        </w:tc>
        <w:tc>
          <w:tcPr>
            <w:tcW w:w="1099" w:type="dxa"/>
            <w:noWrap/>
            <w:hideMark/>
          </w:tcPr>
          <w:p w14:paraId="2C5E324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$0.55</w:t>
            </w:r>
          </w:p>
        </w:tc>
        <w:tc>
          <w:tcPr>
            <w:tcW w:w="1099" w:type="dxa"/>
            <w:noWrap/>
            <w:hideMark/>
          </w:tcPr>
          <w:p w14:paraId="34BC4E4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$0.56</w:t>
            </w:r>
          </w:p>
        </w:tc>
        <w:tc>
          <w:tcPr>
            <w:tcW w:w="1099" w:type="dxa"/>
            <w:noWrap/>
            <w:hideMark/>
          </w:tcPr>
          <w:p w14:paraId="3713A3E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$0.44</w:t>
            </w:r>
          </w:p>
        </w:tc>
        <w:tc>
          <w:tcPr>
            <w:tcW w:w="1099" w:type="dxa"/>
            <w:noWrap/>
            <w:hideMark/>
          </w:tcPr>
          <w:p w14:paraId="0783B1E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$0.55</w:t>
            </w:r>
          </w:p>
        </w:tc>
      </w:tr>
      <w:tr w:rsidR="004A5382" w:rsidRPr="004A5382" w14:paraId="5E3DC02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8895C9A" w14:textId="77777777" w:rsidR="004A5382" w:rsidRPr="00382EC0" w:rsidRDefault="004A5382" w:rsidP="001160BD">
            <w:pPr>
              <w:pStyle w:val="TableofAuthorities"/>
            </w:pPr>
            <w:r w:rsidRPr="00382EC0">
              <w:t>Contract services - internal</w:t>
            </w:r>
          </w:p>
        </w:tc>
        <w:tc>
          <w:tcPr>
            <w:tcW w:w="1099" w:type="dxa"/>
            <w:noWrap/>
            <w:hideMark/>
          </w:tcPr>
          <w:p w14:paraId="08B25DE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$0.23</w:t>
            </w:r>
          </w:p>
        </w:tc>
        <w:tc>
          <w:tcPr>
            <w:tcW w:w="1099" w:type="dxa"/>
            <w:noWrap/>
            <w:hideMark/>
          </w:tcPr>
          <w:p w14:paraId="3DC95E9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$0.02</w:t>
            </w:r>
          </w:p>
        </w:tc>
        <w:tc>
          <w:tcPr>
            <w:tcW w:w="1099" w:type="dxa"/>
            <w:noWrap/>
            <w:hideMark/>
          </w:tcPr>
          <w:p w14:paraId="713E30A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$1.68</w:t>
            </w:r>
          </w:p>
        </w:tc>
        <w:tc>
          <w:tcPr>
            <w:tcW w:w="1099" w:type="dxa"/>
            <w:noWrap/>
            <w:hideMark/>
          </w:tcPr>
          <w:p w14:paraId="79DE3FA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$0.20</w:t>
            </w:r>
          </w:p>
        </w:tc>
      </w:tr>
      <w:tr w:rsidR="004A5382" w:rsidRPr="004A5382" w14:paraId="2550081D"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201EFE4" w14:textId="77777777" w:rsidR="004A5382" w:rsidRPr="00382EC0" w:rsidRDefault="004A5382" w:rsidP="001160BD">
            <w:pPr>
              <w:pStyle w:val="TableofAuthorities"/>
            </w:pPr>
            <w:r w:rsidRPr="00382EC0">
              <w:t>Contract services - outsourcing</w:t>
            </w:r>
          </w:p>
        </w:tc>
        <w:tc>
          <w:tcPr>
            <w:tcW w:w="1099" w:type="dxa"/>
            <w:noWrap/>
            <w:hideMark/>
          </w:tcPr>
          <w:p w14:paraId="1F5CAF2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$1.25</w:t>
            </w:r>
          </w:p>
        </w:tc>
        <w:tc>
          <w:tcPr>
            <w:tcW w:w="1099" w:type="dxa"/>
            <w:noWrap/>
            <w:hideMark/>
          </w:tcPr>
          <w:p w14:paraId="41B772C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$0.77</w:t>
            </w:r>
          </w:p>
        </w:tc>
        <w:tc>
          <w:tcPr>
            <w:tcW w:w="1099" w:type="dxa"/>
            <w:noWrap/>
            <w:hideMark/>
          </w:tcPr>
          <w:p w14:paraId="35BA714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$2.39</w:t>
            </w:r>
          </w:p>
        </w:tc>
        <w:tc>
          <w:tcPr>
            <w:tcW w:w="1099" w:type="dxa"/>
            <w:noWrap/>
            <w:hideMark/>
          </w:tcPr>
          <w:p w14:paraId="4C99048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$1.10</w:t>
            </w:r>
          </w:p>
        </w:tc>
      </w:tr>
      <w:tr w:rsidR="004A5382" w:rsidRPr="004564B5" w14:paraId="04DE6C75"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0A53FC2F" w14:textId="77777777" w:rsidR="004A5382" w:rsidRPr="004564B5" w:rsidRDefault="004A5382" w:rsidP="001160BD">
            <w:pPr>
              <w:pStyle w:val="TableParagraphbold"/>
            </w:pPr>
            <w:r w:rsidRPr="004564B5">
              <w:t>Total laundry expenses</w:t>
            </w:r>
          </w:p>
        </w:tc>
        <w:tc>
          <w:tcPr>
            <w:tcW w:w="1099" w:type="dxa"/>
            <w:shd w:val="clear" w:color="auto" w:fill="D8DBDB" w:themeFill="background2" w:themeFillShade="E6"/>
            <w:noWrap/>
            <w:hideMark/>
          </w:tcPr>
          <w:p w14:paraId="52FE3AAA"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$4.54</w:t>
            </w:r>
          </w:p>
        </w:tc>
        <w:tc>
          <w:tcPr>
            <w:tcW w:w="1099" w:type="dxa"/>
            <w:shd w:val="clear" w:color="auto" w:fill="D8DBDB" w:themeFill="background2" w:themeFillShade="E6"/>
            <w:noWrap/>
            <w:hideMark/>
          </w:tcPr>
          <w:p w14:paraId="7E1D704F"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$4.27</w:t>
            </w:r>
          </w:p>
        </w:tc>
        <w:tc>
          <w:tcPr>
            <w:tcW w:w="1099" w:type="dxa"/>
            <w:shd w:val="clear" w:color="auto" w:fill="D8DBDB" w:themeFill="background2" w:themeFillShade="E6"/>
            <w:noWrap/>
            <w:hideMark/>
          </w:tcPr>
          <w:p w14:paraId="4A6A7DC3"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$7.23</w:t>
            </w:r>
          </w:p>
        </w:tc>
        <w:tc>
          <w:tcPr>
            <w:tcW w:w="1099" w:type="dxa"/>
            <w:shd w:val="clear" w:color="auto" w:fill="D8DBDB" w:themeFill="background2" w:themeFillShade="E6"/>
            <w:noWrap/>
            <w:hideMark/>
          </w:tcPr>
          <w:p w14:paraId="72676D71"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$4.53</w:t>
            </w:r>
          </w:p>
        </w:tc>
      </w:tr>
      <w:tr w:rsidR="004A5382" w:rsidRPr="004A5382" w14:paraId="2AF5AD4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3F38743" w14:textId="77777777" w:rsidR="004A5382" w:rsidRPr="00382EC0" w:rsidRDefault="004A5382" w:rsidP="001160BD">
            <w:pPr>
              <w:pStyle w:val="TableofAuthorities"/>
            </w:pPr>
            <w:r w:rsidRPr="00382EC0">
              <w:t>Utilities</w:t>
            </w:r>
          </w:p>
        </w:tc>
        <w:tc>
          <w:tcPr>
            <w:tcW w:w="1099" w:type="dxa"/>
            <w:noWrap/>
            <w:hideMark/>
          </w:tcPr>
          <w:p w14:paraId="10990F7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$6.96</w:t>
            </w:r>
          </w:p>
        </w:tc>
        <w:tc>
          <w:tcPr>
            <w:tcW w:w="1099" w:type="dxa"/>
            <w:noWrap/>
            <w:hideMark/>
          </w:tcPr>
          <w:p w14:paraId="5AF371A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$6.87</w:t>
            </w:r>
          </w:p>
        </w:tc>
        <w:tc>
          <w:tcPr>
            <w:tcW w:w="1099" w:type="dxa"/>
            <w:noWrap/>
            <w:hideMark/>
          </w:tcPr>
          <w:p w14:paraId="485B94D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$6.75</w:t>
            </w:r>
          </w:p>
        </w:tc>
        <w:tc>
          <w:tcPr>
            <w:tcW w:w="1099" w:type="dxa"/>
            <w:noWrap/>
            <w:hideMark/>
          </w:tcPr>
          <w:p w14:paraId="7C6ADEE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$6.91</w:t>
            </w:r>
          </w:p>
        </w:tc>
      </w:tr>
      <w:tr w:rsidR="004A5382" w:rsidRPr="004A5382" w14:paraId="4BF56E2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2E05CF6B" w14:textId="77777777" w:rsidR="004A5382" w:rsidRPr="00382EC0" w:rsidRDefault="004A5382" w:rsidP="001160BD">
            <w:pPr>
              <w:pStyle w:val="TableofAuthorities"/>
            </w:pPr>
            <w:r w:rsidRPr="00382EC0">
              <w:t>Motor vehicle expenses</w:t>
            </w:r>
          </w:p>
        </w:tc>
        <w:tc>
          <w:tcPr>
            <w:tcW w:w="1099" w:type="dxa"/>
            <w:noWrap/>
            <w:hideMark/>
          </w:tcPr>
          <w:p w14:paraId="2FF3060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$0.28</w:t>
            </w:r>
          </w:p>
        </w:tc>
        <w:tc>
          <w:tcPr>
            <w:tcW w:w="1099" w:type="dxa"/>
            <w:noWrap/>
            <w:hideMark/>
          </w:tcPr>
          <w:p w14:paraId="193BF3D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$0.14</w:t>
            </w:r>
          </w:p>
        </w:tc>
        <w:tc>
          <w:tcPr>
            <w:tcW w:w="1099" w:type="dxa"/>
            <w:noWrap/>
            <w:hideMark/>
          </w:tcPr>
          <w:p w14:paraId="2C0583A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$0.40</w:t>
            </w:r>
          </w:p>
        </w:tc>
        <w:tc>
          <w:tcPr>
            <w:tcW w:w="1099" w:type="dxa"/>
            <w:noWrap/>
            <w:hideMark/>
          </w:tcPr>
          <w:p w14:paraId="6A975DC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$0.23</w:t>
            </w:r>
          </w:p>
        </w:tc>
      </w:tr>
      <w:tr w:rsidR="004A5382" w:rsidRPr="004564B5" w14:paraId="42174A34"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2190170E" w14:textId="77777777" w:rsidR="004A5382" w:rsidRPr="004564B5" w:rsidRDefault="004A5382" w:rsidP="001160BD">
            <w:pPr>
              <w:pStyle w:val="TableParagraphbold"/>
            </w:pPr>
            <w:r w:rsidRPr="004564B5">
              <w:t>Other hotel expenses</w:t>
            </w:r>
          </w:p>
        </w:tc>
        <w:tc>
          <w:tcPr>
            <w:tcW w:w="1099" w:type="dxa"/>
            <w:shd w:val="clear" w:color="auto" w:fill="D8DBDB" w:themeFill="background2" w:themeFillShade="E6"/>
            <w:noWrap/>
            <w:hideMark/>
          </w:tcPr>
          <w:p w14:paraId="2FD126BD"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05C7F269"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62AB6023"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c>
          <w:tcPr>
            <w:tcW w:w="1099" w:type="dxa"/>
            <w:shd w:val="clear" w:color="auto" w:fill="D8DBDB" w:themeFill="background2" w:themeFillShade="E6"/>
            <w:noWrap/>
            <w:hideMark/>
          </w:tcPr>
          <w:p w14:paraId="63940F2E" w14:textId="77777777" w:rsidR="004A5382" w:rsidRPr="004564B5"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4564B5">
              <w:t> </w:t>
            </w:r>
          </w:p>
        </w:tc>
      </w:tr>
      <w:tr w:rsidR="004A5382" w:rsidRPr="004A5382" w14:paraId="404561D5"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2867559" w14:textId="77777777" w:rsidR="004A5382" w:rsidRPr="00382EC0" w:rsidRDefault="004A5382" w:rsidP="001160BD">
            <w:pPr>
              <w:pStyle w:val="TableofAuthorities"/>
            </w:pPr>
            <w:r w:rsidRPr="00382EC0">
              <w:t>Workcover premium (hotel services employee labour)</w:t>
            </w:r>
          </w:p>
        </w:tc>
        <w:tc>
          <w:tcPr>
            <w:tcW w:w="1099" w:type="dxa"/>
            <w:noWrap/>
            <w:hideMark/>
          </w:tcPr>
          <w:p w14:paraId="4B50A39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$0.55</w:t>
            </w:r>
          </w:p>
        </w:tc>
        <w:tc>
          <w:tcPr>
            <w:tcW w:w="1099" w:type="dxa"/>
            <w:noWrap/>
            <w:hideMark/>
          </w:tcPr>
          <w:p w14:paraId="6FA16E1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$0.62</w:t>
            </w:r>
          </w:p>
        </w:tc>
        <w:tc>
          <w:tcPr>
            <w:tcW w:w="1099" w:type="dxa"/>
            <w:noWrap/>
            <w:hideMark/>
          </w:tcPr>
          <w:p w14:paraId="1F08463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$0.35</w:t>
            </w:r>
          </w:p>
        </w:tc>
        <w:tc>
          <w:tcPr>
            <w:tcW w:w="1099" w:type="dxa"/>
            <w:noWrap/>
            <w:hideMark/>
          </w:tcPr>
          <w:p w14:paraId="1B7A5CC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$0.57</w:t>
            </w:r>
          </w:p>
        </w:tc>
      </w:tr>
      <w:tr w:rsidR="004A5382" w:rsidRPr="004A5382" w14:paraId="47C08B83"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0C6FCAC" w14:textId="77777777" w:rsidR="004A5382" w:rsidRPr="00382EC0" w:rsidRDefault="004A5382" w:rsidP="001160BD">
            <w:pPr>
              <w:pStyle w:val="TableofAuthorities"/>
            </w:pPr>
            <w:r w:rsidRPr="00382EC0">
              <w:t>Payroll tax (hotel services employee labour)</w:t>
            </w:r>
          </w:p>
        </w:tc>
        <w:tc>
          <w:tcPr>
            <w:tcW w:w="1099" w:type="dxa"/>
            <w:noWrap/>
            <w:hideMark/>
          </w:tcPr>
          <w:p w14:paraId="2CD8399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$0.01</w:t>
            </w:r>
          </w:p>
        </w:tc>
        <w:tc>
          <w:tcPr>
            <w:tcW w:w="1099" w:type="dxa"/>
            <w:noWrap/>
            <w:hideMark/>
          </w:tcPr>
          <w:p w14:paraId="7E2606E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$1.25</w:t>
            </w:r>
          </w:p>
        </w:tc>
        <w:tc>
          <w:tcPr>
            <w:tcW w:w="1099" w:type="dxa"/>
            <w:noWrap/>
            <w:hideMark/>
          </w:tcPr>
          <w:p w14:paraId="13E4D7B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$0.03</w:t>
            </w:r>
          </w:p>
        </w:tc>
        <w:tc>
          <w:tcPr>
            <w:tcW w:w="1099" w:type="dxa"/>
            <w:noWrap/>
            <w:hideMark/>
          </w:tcPr>
          <w:p w14:paraId="4D33654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$0.52</w:t>
            </w:r>
          </w:p>
        </w:tc>
      </w:tr>
      <w:tr w:rsidR="004A5382" w:rsidRPr="004A5382" w14:paraId="388E8FB4"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0B50811" w14:textId="77777777" w:rsidR="004A5382" w:rsidRPr="00382EC0" w:rsidRDefault="004A5382" w:rsidP="001160BD">
            <w:pPr>
              <w:pStyle w:val="TableofAuthorities"/>
            </w:pPr>
            <w:r w:rsidRPr="00382EC0">
              <w:t>Quality, compliance and training external costs</w:t>
            </w:r>
          </w:p>
        </w:tc>
        <w:tc>
          <w:tcPr>
            <w:tcW w:w="1099" w:type="dxa"/>
            <w:noWrap/>
            <w:hideMark/>
          </w:tcPr>
          <w:p w14:paraId="7C03481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c>
          <w:tcPr>
            <w:tcW w:w="1099" w:type="dxa"/>
            <w:noWrap/>
            <w:hideMark/>
          </w:tcPr>
          <w:p w14:paraId="24F1AB5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c>
          <w:tcPr>
            <w:tcW w:w="1099" w:type="dxa"/>
            <w:noWrap/>
            <w:hideMark/>
          </w:tcPr>
          <w:p w14:paraId="664714B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$0.02</w:t>
            </w:r>
          </w:p>
        </w:tc>
        <w:tc>
          <w:tcPr>
            <w:tcW w:w="1099" w:type="dxa"/>
            <w:noWrap/>
            <w:hideMark/>
          </w:tcPr>
          <w:p w14:paraId="4FF3018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r>
      <w:tr w:rsidR="004A5382" w:rsidRPr="004A5382" w14:paraId="0AF084C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02BC94D" w14:textId="77777777" w:rsidR="004A5382" w:rsidRPr="00382EC0" w:rsidRDefault="004A5382" w:rsidP="001160BD">
            <w:pPr>
              <w:pStyle w:val="TableofAuthorities"/>
            </w:pPr>
            <w:r w:rsidRPr="00382EC0">
              <w:t>Other hotel expenses</w:t>
            </w:r>
          </w:p>
        </w:tc>
        <w:tc>
          <w:tcPr>
            <w:tcW w:w="1099" w:type="dxa"/>
            <w:noWrap/>
            <w:hideMark/>
          </w:tcPr>
          <w:p w14:paraId="3AD671C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$0.20</w:t>
            </w:r>
          </w:p>
        </w:tc>
        <w:tc>
          <w:tcPr>
            <w:tcW w:w="1099" w:type="dxa"/>
            <w:noWrap/>
            <w:hideMark/>
          </w:tcPr>
          <w:p w14:paraId="4FD8B5B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$0.69</w:t>
            </w:r>
          </w:p>
        </w:tc>
        <w:tc>
          <w:tcPr>
            <w:tcW w:w="1099" w:type="dxa"/>
            <w:noWrap/>
            <w:hideMark/>
          </w:tcPr>
          <w:p w14:paraId="47C00B1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$0.59</w:t>
            </w:r>
          </w:p>
        </w:tc>
        <w:tc>
          <w:tcPr>
            <w:tcW w:w="1099" w:type="dxa"/>
            <w:noWrap/>
            <w:hideMark/>
          </w:tcPr>
          <w:p w14:paraId="2D755FF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$0.41</w:t>
            </w:r>
          </w:p>
        </w:tc>
      </w:tr>
      <w:tr w:rsidR="004A5382" w:rsidRPr="001160BD" w14:paraId="4FA370E3"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48231A57" w14:textId="77777777" w:rsidR="004A5382" w:rsidRPr="001160BD" w:rsidRDefault="004A5382" w:rsidP="001160BD">
            <w:pPr>
              <w:pStyle w:val="TableParagraphbold"/>
            </w:pPr>
            <w:r w:rsidRPr="001160BD">
              <w:t>Total other hotel expenses</w:t>
            </w:r>
          </w:p>
        </w:tc>
        <w:tc>
          <w:tcPr>
            <w:tcW w:w="1099" w:type="dxa"/>
            <w:shd w:val="clear" w:color="auto" w:fill="D8DBDB" w:themeFill="background2" w:themeFillShade="E6"/>
            <w:noWrap/>
            <w:hideMark/>
          </w:tcPr>
          <w:p w14:paraId="05B65719"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$0.84</w:t>
            </w:r>
          </w:p>
        </w:tc>
        <w:tc>
          <w:tcPr>
            <w:tcW w:w="1099" w:type="dxa"/>
            <w:shd w:val="clear" w:color="auto" w:fill="D8DBDB" w:themeFill="background2" w:themeFillShade="E6"/>
            <w:noWrap/>
            <w:hideMark/>
          </w:tcPr>
          <w:p w14:paraId="3F38053E"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$2.64</w:t>
            </w:r>
          </w:p>
        </w:tc>
        <w:tc>
          <w:tcPr>
            <w:tcW w:w="1099" w:type="dxa"/>
            <w:shd w:val="clear" w:color="auto" w:fill="D8DBDB" w:themeFill="background2" w:themeFillShade="E6"/>
            <w:noWrap/>
            <w:hideMark/>
          </w:tcPr>
          <w:p w14:paraId="632DE6F9"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$0.98</w:t>
            </w:r>
          </w:p>
        </w:tc>
        <w:tc>
          <w:tcPr>
            <w:tcW w:w="1099" w:type="dxa"/>
            <w:shd w:val="clear" w:color="auto" w:fill="D8DBDB" w:themeFill="background2" w:themeFillShade="E6"/>
            <w:noWrap/>
            <w:hideMark/>
          </w:tcPr>
          <w:p w14:paraId="7302DB49"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$1.57</w:t>
            </w:r>
          </w:p>
        </w:tc>
      </w:tr>
      <w:tr w:rsidR="004A5382" w:rsidRPr="001160BD" w14:paraId="280D3574"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4C2E878F" w14:textId="77777777" w:rsidR="004A5382" w:rsidRPr="001160BD" w:rsidRDefault="004A5382" w:rsidP="001160BD">
            <w:pPr>
              <w:pStyle w:val="TableParagraphbold"/>
            </w:pPr>
            <w:r w:rsidRPr="001160BD">
              <w:t>Total hotel expenses</w:t>
            </w:r>
          </w:p>
        </w:tc>
        <w:tc>
          <w:tcPr>
            <w:tcW w:w="1099" w:type="dxa"/>
            <w:shd w:val="clear" w:color="auto" w:fill="D8DBDB" w:themeFill="background2" w:themeFillShade="E6"/>
            <w:noWrap/>
            <w:hideMark/>
          </w:tcPr>
          <w:p w14:paraId="301363A6"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$58.11</w:t>
            </w:r>
          </w:p>
        </w:tc>
        <w:tc>
          <w:tcPr>
            <w:tcW w:w="1099" w:type="dxa"/>
            <w:shd w:val="clear" w:color="auto" w:fill="D8DBDB" w:themeFill="background2" w:themeFillShade="E6"/>
            <w:noWrap/>
            <w:hideMark/>
          </w:tcPr>
          <w:p w14:paraId="72E2A3F4"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$56.22</w:t>
            </w:r>
          </w:p>
        </w:tc>
        <w:tc>
          <w:tcPr>
            <w:tcW w:w="1099" w:type="dxa"/>
            <w:shd w:val="clear" w:color="auto" w:fill="D8DBDB" w:themeFill="background2" w:themeFillShade="E6"/>
            <w:noWrap/>
            <w:hideMark/>
          </w:tcPr>
          <w:p w14:paraId="7BB8C0DF"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$81.32</w:t>
            </w:r>
          </w:p>
        </w:tc>
        <w:tc>
          <w:tcPr>
            <w:tcW w:w="1099" w:type="dxa"/>
            <w:shd w:val="clear" w:color="auto" w:fill="D8DBDB" w:themeFill="background2" w:themeFillShade="E6"/>
            <w:noWrap/>
            <w:hideMark/>
          </w:tcPr>
          <w:p w14:paraId="79CC2751"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$58.20</w:t>
            </w:r>
          </w:p>
        </w:tc>
      </w:tr>
      <w:tr w:rsidR="004A5382" w:rsidRPr="001160BD" w14:paraId="47D194FA"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1DC873B1" w14:textId="77777777" w:rsidR="004A5382" w:rsidRPr="001160BD" w:rsidRDefault="004A5382" w:rsidP="001160BD">
            <w:pPr>
              <w:pStyle w:val="TableParagraphbold"/>
            </w:pPr>
            <w:r w:rsidRPr="001160BD">
              <w:t>Administration expenses</w:t>
            </w:r>
          </w:p>
        </w:tc>
        <w:tc>
          <w:tcPr>
            <w:tcW w:w="1099" w:type="dxa"/>
            <w:shd w:val="clear" w:color="auto" w:fill="D8DBDB" w:themeFill="background2" w:themeFillShade="E6"/>
            <w:noWrap/>
            <w:hideMark/>
          </w:tcPr>
          <w:p w14:paraId="2E0B0AE5"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 </w:t>
            </w:r>
          </w:p>
        </w:tc>
        <w:tc>
          <w:tcPr>
            <w:tcW w:w="1099" w:type="dxa"/>
            <w:shd w:val="clear" w:color="auto" w:fill="D8DBDB" w:themeFill="background2" w:themeFillShade="E6"/>
            <w:noWrap/>
            <w:hideMark/>
          </w:tcPr>
          <w:p w14:paraId="78ADB281"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 </w:t>
            </w:r>
          </w:p>
        </w:tc>
        <w:tc>
          <w:tcPr>
            <w:tcW w:w="1099" w:type="dxa"/>
            <w:shd w:val="clear" w:color="auto" w:fill="D8DBDB" w:themeFill="background2" w:themeFillShade="E6"/>
            <w:noWrap/>
            <w:hideMark/>
          </w:tcPr>
          <w:p w14:paraId="3AA5EB5C"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 </w:t>
            </w:r>
          </w:p>
        </w:tc>
        <w:tc>
          <w:tcPr>
            <w:tcW w:w="1099" w:type="dxa"/>
            <w:shd w:val="clear" w:color="auto" w:fill="D8DBDB" w:themeFill="background2" w:themeFillShade="E6"/>
            <w:noWrap/>
            <w:hideMark/>
          </w:tcPr>
          <w:p w14:paraId="0A4302DD" w14:textId="77777777" w:rsidR="004A5382" w:rsidRPr="001160BD"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pPr>
            <w:r w:rsidRPr="001160BD">
              <w:t> </w:t>
            </w:r>
          </w:p>
        </w:tc>
      </w:tr>
      <w:tr w:rsidR="004A5382" w:rsidRPr="004A5382" w14:paraId="0265DB2E"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E4D199B" w14:textId="77777777" w:rsidR="004A5382" w:rsidRPr="00382EC0" w:rsidRDefault="004A5382" w:rsidP="001160BD">
            <w:pPr>
              <w:pStyle w:val="TableofAuthorities"/>
            </w:pPr>
            <w:r w:rsidRPr="00382EC0">
              <w:t>Corporate recharge</w:t>
            </w:r>
          </w:p>
        </w:tc>
        <w:tc>
          <w:tcPr>
            <w:tcW w:w="1099" w:type="dxa"/>
            <w:noWrap/>
            <w:hideMark/>
          </w:tcPr>
          <w:p w14:paraId="7EDC208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$23.56</w:t>
            </w:r>
          </w:p>
        </w:tc>
        <w:tc>
          <w:tcPr>
            <w:tcW w:w="1099" w:type="dxa"/>
            <w:noWrap/>
            <w:hideMark/>
          </w:tcPr>
          <w:p w14:paraId="5DD8D75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$19.93</w:t>
            </w:r>
          </w:p>
        </w:tc>
        <w:tc>
          <w:tcPr>
            <w:tcW w:w="1099" w:type="dxa"/>
            <w:noWrap/>
            <w:hideMark/>
          </w:tcPr>
          <w:p w14:paraId="62CA585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$28.51</w:t>
            </w:r>
          </w:p>
        </w:tc>
        <w:tc>
          <w:tcPr>
            <w:tcW w:w="1099" w:type="dxa"/>
            <w:noWrap/>
            <w:hideMark/>
          </w:tcPr>
          <w:p w14:paraId="07AC91E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$22.27</w:t>
            </w:r>
          </w:p>
        </w:tc>
      </w:tr>
      <w:tr w:rsidR="004A5382" w:rsidRPr="004A5382" w14:paraId="695F55D6"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8963726" w14:textId="77777777" w:rsidR="004A5382" w:rsidRPr="00382EC0" w:rsidRDefault="004A5382" w:rsidP="001160BD">
            <w:pPr>
              <w:pStyle w:val="TableofAuthorities"/>
            </w:pPr>
            <w:r w:rsidRPr="00382EC0">
              <w:t>Employee labour costs</w:t>
            </w:r>
          </w:p>
        </w:tc>
        <w:tc>
          <w:tcPr>
            <w:tcW w:w="1099" w:type="dxa"/>
            <w:noWrap/>
            <w:hideMark/>
          </w:tcPr>
          <w:p w14:paraId="55CE729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$9.71</w:t>
            </w:r>
          </w:p>
        </w:tc>
        <w:tc>
          <w:tcPr>
            <w:tcW w:w="1099" w:type="dxa"/>
            <w:noWrap/>
            <w:hideMark/>
          </w:tcPr>
          <w:p w14:paraId="6C0DF34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$11.69</w:t>
            </w:r>
          </w:p>
        </w:tc>
        <w:tc>
          <w:tcPr>
            <w:tcW w:w="1099" w:type="dxa"/>
            <w:noWrap/>
            <w:hideMark/>
          </w:tcPr>
          <w:p w14:paraId="6E3AB30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$11.42</w:t>
            </w:r>
          </w:p>
        </w:tc>
        <w:tc>
          <w:tcPr>
            <w:tcW w:w="1099" w:type="dxa"/>
            <w:noWrap/>
            <w:hideMark/>
          </w:tcPr>
          <w:p w14:paraId="5CF2CAE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$10.58</w:t>
            </w:r>
          </w:p>
        </w:tc>
      </w:tr>
      <w:tr w:rsidR="004A5382" w:rsidRPr="004A5382" w14:paraId="6F08EC1E"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96CE2FD" w14:textId="77777777" w:rsidR="004A5382" w:rsidRPr="00382EC0" w:rsidRDefault="004A5382" w:rsidP="001160BD">
            <w:pPr>
              <w:pStyle w:val="TableofAuthorities"/>
            </w:pPr>
            <w:r w:rsidRPr="00382EC0">
              <w:t>Workcover premium (aged care home admin employee labour)</w:t>
            </w:r>
          </w:p>
        </w:tc>
        <w:tc>
          <w:tcPr>
            <w:tcW w:w="1099" w:type="dxa"/>
            <w:noWrap/>
            <w:hideMark/>
          </w:tcPr>
          <w:p w14:paraId="314CBB2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$0.56</w:t>
            </w:r>
          </w:p>
        </w:tc>
        <w:tc>
          <w:tcPr>
            <w:tcW w:w="1099" w:type="dxa"/>
            <w:noWrap/>
            <w:hideMark/>
          </w:tcPr>
          <w:p w14:paraId="67B3DC2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$0.47</w:t>
            </w:r>
          </w:p>
        </w:tc>
        <w:tc>
          <w:tcPr>
            <w:tcW w:w="1099" w:type="dxa"/>
            <w:noWrap/>
            <w:hideMark/>
          </w:tcPr>
          <w:p w14:paraId="7A124F2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$0.47</w:t>
            </w:r>
          </w:p>
        </w:tc>
        <w:tc>
          <w:tcPr>
            <w:tcW w:w="1099" w:type="dxa"/>
            <w:noWrap/>
            <w:hideMark/>
          </w:tcPr>
          <w:p w14:paraId="2B72D2A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$0.52</w:t>
            </w:r>
          </w:p>
        </w:tc>
      </w:tr>
      <w:tr w:rsidR="004A5382" w:rsidRPr="004A5382" w14:paraId="3A680CCC"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45740B8" w14:textId="77777777" w:rsidR="004A5382" w:rsidRPr="00382EC0" w:rsidRDefault="004A5382" w:rsidP="001160BD">
            <w:pPr>
              <w:pStyle w:val="TableofAuthorities"/>
            </w:pPr>
            <w:r w:rsidRPr="00382EC0">
              <w:t>Payroll tax (aged care home admin employee labour)</w:t>
            </w:r>
          </w:p>
        </w:tc>
        <w:tc>
          <w:tcPr>
            <w:tcW w:w="1099" w:type="dxa"/>
            <w:noWrap/>
            <w:hideMark/>
          </w:tcPr>
          <w:p w14:paraId="625ABC9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$0.01</w:t>
            </w:r>
          </w:p>
        </w:tc>
        <w:tc>
          <w:tcPr>
            <w:tcW w:w="1099" w:type="dxa"/>
            <w:noWrap/>
            <w:hideMark/>
          </w:tcPr>
          <w:p w14:paraId="4E00EBD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$0.65</w:t>
            </w:r>
          </w:p>
        </w:tc>
        <w:tc>
          <w:tcPr>
            <w:tcW w:w="1099" w:type="dxa"/>
            <w:noWrap/>
            <w:hideMark/>
          </w:tcPr>
          <w:p w14:paraId="1464061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$0.02</w:t>
            </w:r>
          </w:p>
        </w:tc>
        <w:tc>
          <w:tcPr>
            <w:tcW w:w="1099" w:type="dxa"/>
            <w:noWrap/>
            <w:hideMark/>
          </w:tcPr>
          <w:p w14:paraId="5C4ABE0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$0.27</w:t>
            </w:r>
          </w:p>
        </w:tc>
      </w:tr>
      <w:tr w:rsidR="004A5382" w:rsidRPr="004A5382" w14:paraId="5D2ED0C9"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4BFBF2F" w14:textId="77777777" w:rsidR="004A5382" w:rsidRPr="00382EC0" w:rsidRDefault="004A5382" w:rsidP="001160BD">
            <w:pPr>
              <w:pStyle w:val="TableofAuthorities"/>
            </w:pPr>
            <w:r w:rsidRPr="00382EC0">
              <w:t>Fringe benefits tax</w:t>
            </w:r>
          </w:p>
        </w:tc>
        <w:tc>
          <w:tcPr>
            <w:tcW w:w="1099" w:type="dxa"/>
            <w:noWrap/>
            <w:hideMark/>
          </w:tcPr>
          <w:p w14:paraId="0B16361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$0.01</w:t>
            </w:r>
          </w:p>
        </w:tc>
        <w:tc>
          <w:tcPr>
            <w:tcW w:w="1099" w:type="dxa"/>
            <w:noWrap/>
            <w:hideMark/>
          </w:tcPr>
          <w:p w14:paraId="6E258C7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$0.06</w:t>
            </w:r>
          </w:p>
        </w:tc>
        <w:tc>
          <w:tcPr>
            <w:tcW w:w="1099" w:type="dxa"/>
            <w:noWrap/>
            <w:hideMark/>
          </w:tcPr>
          <w:p w14:paraId="318A53A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$0.05</w:t>
            </w:r>
          </w:p>
        </w:tc>
        <w:tc>
          <w:tcPr>
            <w:tcW w:w="1099" w:type="dxa"/>
            <w:noWrap/>
            <w:hideMark/>
          </w:tcPr>
          <w:p w14:paraId="22B6E2F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$0.03</w:t>
            </w:r>
          </w:p>
        </w:tc>
      </w:tr>
      <w:tr w:rsidR="004A5382" w:rsidRPr="004A5382" w14:paraId="614CD546"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80C96CB" w14:textId="77777777" w:rsidR="004A5382" w:rsidRPr="00382EC0" w:rsidRDefault="004A5382" w:rsidP="001160BD">
            <w:pPr>
              <w:pStyle w:val="TableofAuthorities"/>
            </w:pPr>
            <w:r w:rsidRPr="00382EC0">
              <w:t>Quality, compliance and training external costs</w:t>
            </w:r>
          </w:p>
        </w:tc>
        <w:tc>
          <w:tcPr>
            <w:tcW w:w="1099" w:type="dxa"/>
            <w:noWrap/>
            <w:hideMark/>
          </w:tcPr>
          <w:p w14:paraId="4601D98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$0.56</w:t>
            </w:r>
          </w:p>
        </w:tc>
        <w:tc>
          <w:tcPr>
            <w:tcW w:w="1099" w:type="dxa"/>
            <w:noWrap/>
            <w:hideMark/>
          </w:tcPr>
          <w:p w14:paraId="50035D4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$0.21</w:t>
            </w:r>
          </w:p>
        </w:tc>
        <w:tc>
          <w:tcPr>
            <w:tcW w:w="1099" w:type="dxa"/>
            <w:noWrap/>
            <w:hideMark/>
          </w:tcPr>
          <w:p w14:paraId="2C1E0D9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$0.42</w:t>
            </w:r>
          </w:p>
        </w:tc>
        <w:tc>
          <w:tcPr>
            <w:tcW w:w="1099" w:type="dxa"/>
            <w:noWrap/>
            <w:hideMark/>
          </w:tcPr>
          <w:p w14:paraId="17FD08F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$0.41</w:t>
            </w:r>
          </w:p>
        </w:tc>
      </w:tr>
      <w:tr w:rsidR="004A5382" w:rsidRPr="004A5382" w14:paraId="671F2E0C"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B9EC275" w14:textId="77777777" w:rsidR="004A5382" w:rsidRPr="00382EC0" w:rsidRDefault="004A5382" w:rsidP="001160BD">
            <w:pPr>
              <w:pStyle w:val="TableofAuthorities"/>
            </w:pPr>
            <w:r w:rsidRPr="00382EC0">
              <w:t>Insurances</w:t>
            </w:r>
          </w:p>
        </w:tc>
        <w:tc>
          <w:tcPr>
            <w:tcW w:w="1099" w:type="dxa"/>
            <w:noWrap/>
            <w:hideMark/>
          </w:tcPr>
          <w:p w14:paraId="7496EF2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$1.50</w:t>
            </w:r>
          </w:p>
        </w:tc>
        <w:tc>
          <w:tcPr>
            <w:tcW w:w="1099" w:type="dxa"/>
            <w:noWrap/>
            <w:hideMark/>
          </w:tcPr>
          <w:p w14:paraId="5D616D2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$1.05</w:t>
            </w:r>
          </w:p>
        </w:tc>
        <w:tc>
          <w:tcPr>
            <w:tcW w:w="1099" w:type="dxa"/>
            <w:noWrap/>
            <w:hideMark/>
          </w:tcPr>
          <w:p w14:paraId="7DA6589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$0.79</w:t>
            </w:r>
          </w:p>
        </w:tc>
        <w:tc>
          <w:tcPr>
            <w:tcW w:w="1099" w:type="dxa"/>
            <w:noWrap/>
            <w:hideMark/>
          </w:tcPr>
          <w:p w14:paraId="71A1CC1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$1.29</w:t>
            </w:r>
          </w:p>
        </w:tc>
      </w:tr>
      <w:tr w:rsidR="004A5382" w:rsidRPr="004A5382" w14:paraId="5C4D0A11"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2367C45" w14:textId="77777777" w:rsidR="004A5382" w:rsidRPr="00382EC0" w:rsidRDefault="004A5382" w:rsidP="001160BD">
            <w:pPr>
              <w:pStyle w:val="TableofAuthorities"/>
            </w:pPr>
            <w:r w:rsidRPr="00382EC0">
              <w:t>Other administration costs</w:t>
            </w:r>
          </w:p>
        </w:tc>
        <w:tc>
          <w:tcPr>
            <w:tcW w:w="1099" w:type="dxa"/>
            <w:noWrap/>
            <w:hideMark/>
          </w:tcPr>
          <w:p w14:paraId="6F4A2AD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$7.03</w:t>
            </w:r>
          </w:p>
        </w:tc>
        <w:tc>
          <w:tcPr>
            <w:tcW w:w="1099" w:type="dxa"/>
            <w:noWrap/>
            <w:hideMark/>
          </w:tcPr>
          <w:p w14:paraId="0B5AA12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$8.29</w:t>
            </w:r>
          </w:p>
        </w:tc>
        <w:tc>
          <w:tcPr>
            <w:tcW w:w="1099" w:type="dxa"/>
            <w:noWrap/>
            <w:hideMark/>
          </w:tcPr>
          <w:p w14:paraId="2EE3F77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$9.63</w:t>
            </w:r>
          </w:p>
        </w:tc>
        <w:tc>
          <w:tcPr>
            <w:tcW w:w="1099" w:type="dxa"/>
            <w:noWrap/>
            <w:hideMark/>
          </w:tcPr>
          <w:p w14:paraId="7A990B2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$7.64</w:t>
            </w:r>
          </w:p>
        </w:tc>
      </w:tr>
      <w:tr w:rsidR="004A5382" w:rsidRPr="004A5382" w14:paraId="7512DC37"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12880B9D" w14:textId="77777777" w:rsidR="004A5382" w:rsidRPr="000F66FB" w:rsidRDefault="004A5382" w:rsidP="001160BD">
            <w:pPr>
              <w:pStyle w:val="TableParagraphbold"/>
              <w:rPr>
                <w:lang w:eastAsia="en-AU"/>
              </w:rPr>
            </w:pPr>
            <w:r w:rsidRPr="000F66FB">
              <w:rPr>
                <w:lang w:eastAsia="en-AU"/>
              </w:rPr>
              <w:t>Total administration expenses</w:t>
            </w:r>
          </w:p>
        </w:tc>
        <w:tc>
          <w:tcPr>
            <w:tcW w:w="1099" w:type="dxa"/>
            <w:shd w:val="clear" w:color="auto" w:fill="D8DBDB" w:themeFill="background2" w:themeFillShade="E6"/>
            <w:noWrap/>
            <w:hideMark/>
          </w:tcPr>
          <w:p w14:paraId="08324CEC"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$42.95</w:t>
            </w:r>
          </w:p>
        </w:tc>
        <w:tc>
          <w:tcPr>
            <w:tcW w:w="1099" w:type="dxa"/>
            <w:shd w:val="clear" w:color="auto" w:fill="D8DBDB" w:themeFill="background2" w:themeFillShade="E6"/>
            <w:noWrap/>
            <w:hideMark/>
          </w:tcPr>
          <w:p w14:paraId="0CBDA6C5"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$42.36</w:t>
            </w:r>
          </w:p>
        </w:tc>
        <w:tc>
          <w:tcPr>
            <w:tcW w:w="1099" w:type="dxa"/>
            <w:shd w:val="clear" w:color="auto" w:fill="D8DBDB" w:themeFill="background2" w:themeFillShade="E6"/>
            <w:noWrap/>
            <w:hideMark/>
          </w:tcPr>
          <w:p w14:paraId="62B38D69"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$51.30</w:t>
            </w:r>
          </w:p>
        </w:tc>
        <w:tc>
          <w:tcPr>
            <w:tcW w:w="1099" w:type="dxa"/>
            <w:shd w:val="clear" w:color="auto" w:fill="D8DBDB" w:themeFill="background2" w:themeFillShade="E6"/>
            <w:noWrap/>
            <w:hideMark/>
          </w:tcPr>
          <w:p w14:paraId="1D44D7AD"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$43.02</w:t>
            </w:r>
          </w:p>
        </w:tc>
      </w:tr>
      <w:tr w:rsidR="004A5382" w:rsidRPr="004A5382" w14:paraId="637C6EBA"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6F97180C" w14:textId="77777777" w:rsidR="004A5382" w:rsidRPr="000F66FB" w:rsidRDefault="004A5382" w:rsidP="001160BD">
            <w:pPr>
              <w:pStyle w:val="TableParagraphbold"/>
              <w:rPr>
                <w:lang w:eastAsia="en-AU"/>
              </w:rPr>
            </w:pPr>
            <w:r w:rsidRPr="000F66FB">
              <w:rPr>
                <w:lang w:eastAsia="en-AU"/>
              </w:rPr>
              <w:t>Accommodation and finance expenses</w:t>
            </w:r>
          </w:p>
        </w:tc>
        <w:tc>
          <w:tcPr>
            <w:tcW w:w="1099" w:type="dxa"/>
            <w:shd w:val="clear" w:color="auto" w:fill="D8DBDB" w:themeFill="background2" w:themeFillShade="E6"/>
            <w:noWrap/>
            <w:hideMark/>
          </w:tcPr>
          <w:p w14:paraId="12827E1F"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099" w:type="dxa"/>
            <w:shd w:val="clear" w:color="auto" w:fill="D8DBDB" w:themeFill="background2" w:themeFillShade="E6"/>
            <w:noWrap/>
            <w:hideMark/>
          </w:tcPr>
          <w:p w14:paraId="332D252F"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099" w:type="dxa"/>
            <w:shd w:val="clear" w:color="auto" w:fill="D8DBDB" w:themeFill="background2" w:themeFillShade="E6"/>
            <w:noWrap/>
            <w:hideMark/>
          </w:tcPr>
          <w:p w14:paraId="65F83F35"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099" w:type="dxa"/>
            <w:shd w:val="clear" w:color="auto" w:fill="D8DBDB" w:themeFill="background2" w:themeFillShade="E6"/>
            <w:noWrap/>
            <w:hideMark/>
          </w:tcPr>
          <w:p w14:paraId="7F9DCADD"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r>
      <w:tr w:rsidR="004A5382" w:rsidRPr="004A5382" w14:paraId="06E8C5AA"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37B0CBE2" w14:textId="77777777" w:rsidR="004A5382" w:rsidRPr="00382EC0" w:rsidRDefault="004A5382" w:rsidP="001160BD">
            <w:pPr>
              <w:pStyle w:val="TableofAuthorities"/>
            </w:pPr>
            <w:r w:rsidRPr="00382EC0">
              <w:t>Employee labour costs</w:t>
            </w:r>
          </w:p>
        </w:tc>
        <w:tc>
          <w:tcPr>
            <w:tcW w:w="1099" w:type="dxa"/>
            <w:noWrap/>
            <w:hideMark/>
          </w:tcPr>
          <w:p w14:paraId="148A6FA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$0.75</w:t>
            </w:r>
          </w:p>
        </w:tc>
        <w:tc>
          <w:tcPr>
            <w:tcW w:w="1099" w:type="dxa"/>
            <w:noWrap/>
            <w:hideMark/>
          </w:tcPr>
          <w:p w14:paraId="1DEAF9C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$0.43</w:t>
            </w:r>
          </w:p>
        </w:tc>
        <w:tc>
          <w:tcPr>
            <w:tcW w:w="1099" w:type="dxa"/>
            <w:noWrap/>
            <w:hideMark/>
          </w:tcPr>
          <w:p w14:paraId="5A7CBDB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$1.73</w:t>
            </w:r>
          </w:p>
        </w:tc>
        <w:tc>
          <w:tcPr>
            <w:tcW w:w="1099" w:type="dxa"/>
            <w:noWrap/>
            <w:hideMark/>
          </w:tcPr>
          <w:p w14:paraId="7E8672A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$0.66</w:t>
            </w:r>
          </w:p>
        </w:tc>
      </w:tr>
      <w:tr w:rsidR="004A5382" w:rsidRPr="004A5382" w14:paraId="54C4A2E7"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2AF3B458" w14:textId="77777777" w:rsidR="004A5382" w:rsidRPr="00382EC0" w:rsidRDefault="004A5382" w:rsidP="001160BD">
            <w:pPr>
              <w:pStyle w:val="TableofAuthorities"/>
            </w:pPr>
            <w:r w:rsidRPr="00382EC0">
              <w:t>Depreciation - building</w:t>
            </w:r>
          </w:p>
        </w:tc>
        <w:tc>
          <w:tcPr>
            <w:tcW w:w="1099" w:type="dxa"/>
            <w:noWrap/>
            <w:hideMark/>
          </w:tcPr>
          <w:p w14:paraId="625A668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$13.91</w:t>
            </w:r>
          </w:p>
        </w:tc>
        <w:tc>
          <w:tcPr>
            <w:tcW w:w="1099" w:type="dxa"/>
            <w:noWrap/>
            <w:hideMark/>
          </w:tcPr>
          <w:p w14:paraId="411C9C6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$5.41</w:t>
            </w:r>
          </w:p>
        </w:tc>
        <w:tc>
          <w:tcPr>
            <w:tcW w:w="1099" w:type="dxa"/>
            <w:noWrap/>
            <w:hideMark/>
          </w:tcPr>
          <w:p w14:paraId="01A9780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$25.52</w:t>
            </w:r>
          </w:p>
        </w:tc>
        <w:tc>
          <w:tcPr>
            <w:tcW w:w="1099" w:type="dxa"/>
            <w:noWrap/>
            <w:hideMark/>
          </w:tcPr>
          <w:p w14:paraId="5D6DB4F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$10.90</w:t>
            </w:r>
          </w:p>
        </w:tc>
      </w:tr>
      <w:tr w:rsidR="004A5382" w:rsidRPr="004A5382" w14:paraId="208714D5"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6AA532F" w14:textId="77777777" w:rsidR="004A5382" w:rsidRPr="00382EC0" w:rsidRDefault="004A5382" w:rsidP="001160BD">
            <w:pPr>
              <w:pStyle w:val="TableofAuthorities"/>
            </w:pPr>
            <w:r w:rsidRPr="00382EC0">
              <w:t>Depreciation - right of use assets AASB 16</w:t>
            </w:r>
          </w:p>
        </w:tc>
        <w:tc>
          <w:tcPr>
            <w:tcW w:w="1099" w:type="dxa"/>
            <w:noWrap/>
            <w:hideMark/>
          </w:tcPr>
          <w:p w14:paraId="1F45EEB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$0.74</w:t>
            </w:r>
          </w:p>
        </w:tc>
        <w:tc>
          <w:tcPr>
            <w:tcW w:w="1099" w:type="dxa"/>
            <w:noWrap/>
            <w:hideMark/>
          </w:tcPr>
          <w:p w14:paraId="58E2D41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$5.37</w:t>
            </w:r>
          </w:p>
        </w:tc>
        <w:tc>
          <w:tcPr>
            <w:tcW w:w="1099" w:type="dxa"/>
            <w:noWrap/>
            <w:hideMark/>
          </w:tcPr>
          <w:p w14:paraId="10F0583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$0.09</w:t>
            </w:r>
          </w:p>
        </w:tc>
        <w:tc>
          <w:tcPr>
            <w:tcW w:w="1099" w:type="dxa"/>
            <w:noWrap/>
            <w:hideMark/>
          </w:tcPr>
          <w:p w14:paraId="6F76181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$2.59</w:t>
            </w:r>
          </w:p>
        </w:tc>
      </w:tr>
      <w:tr w:rsidR="004A5382" w:rsidRPr="004A5382" w14:paraId="16C9F654"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936E733" w14:textId="77777777" w:rsidR="004A5382" w:rsidRPr="00382EC0" w:rsidRDefault="004A5382" w:rsidP="001160BD">
            <w:pPr>
              <w:pStyle w:val="TableofAuthorities"/>
            </w:pPr>
            <w:r w:rsidRPr="00382EC0">
              <w:t>Depreciation - other assets</w:t>
            </w:r>
          </w:p>
        </w:tc>
        <w:tc>
          <w:tcPr>
            <w:tcW w:w="1099" w:type="dxa"/>
            <w:noWrap/>
            <w:hideMark/>
          </w:tcPr>
          <w:p w14:paraId="4A5075B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$6.68</w:t>
            </w:r>
          </w:p>
        </w:tc>
        <w:tc>
          <w:tcPr>
            <w:tcW w:w="1099" w:type="dxa"/>
            <w:noWrap/>
            <w:hideMark/>
          </w:tcPr>
          <w:p w14:paraId="0BC1577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$8.35</w:t>
            </w:r>
          </w:p>
        </w:tc>
        <w:tc>
          <w:tcPr>
            <w:tcW w:w="1099" w:type="dxa"/>
            <w:noWrap/>
            <w:hideMark/>
          </w:tcPr>
          <w:p w14:paraId="1345EDA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$3.32</w:t>
            </w:r>
          </w:p>
        </w:tc>
        <w:tc>
          <w:tcPr>
            <w:tcW w:w="1099" w:type="dxa"/>
            <w:noWrap/>
            <w:hideMark/>
          </w:tcPr>
          <w:p w14:paraId="7CBA6BE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$7.23</w:t>
            </w:r>
          </w:p>
        </w:tc>
      </w:tr>
      <w:tr w:rsidR="004A5382" w:rsidRPr="004A5382" w14:paraId="318B1A68"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CFBA897" w14:textId="77777777" w:rsidR="004A5382" w:rsidRPr="00382EC0" w:rsidRDefault="004A5382" w:rsidP="001160BD">
            <w:pPr>
              <w:pStyle w:val="TableofAuthorities"/>
            </w:pPr>
            <w:r w:rsidRPr="00382EC0">
              <w:t>Amortisation</w:t>
            </w:r>
          </w:p>
        </w:tc>
        <w:tc>
          <w:tcPr>
            <w:tcW w:w="1099" w:type="dxa"/>
            <w:noWrap/>
            <w:hideMark/>
          </w:tcPr>
          <w:p w14:paraId="3D7F8BE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$6.36</w:t>
            </w:r>
          </w:p>
        </w:tc>
        <w:tc>
          <w:tcPr>
            <w:tcW w:w="1099" w:type="dxa"/>
            <w:noWrap/>
            <w:hideMark/>
          </w:tcPr>
          <w:p w14:paraId="6127486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$20.46</w:t>
            </w:r>
          </w:p>
        </w:tc>
        <w:tc>
          <w:tcPr>
            <w:tcW w:w="1099" w:type="dxa"/>
            <w:noWrap/>
            <w:hideMark/>
          </w:tcPr>
          <w:p w14:paraId="3B12752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c>
          <w:tcPr>
            <w:tcW w:w="1099" w:type="dxa"/>
            <w:noWrap/>
            <w:hideMark/>
          </w:tcPr>
          <w:p w14:paraId="4E26620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$11.84</w:t>
            </w:r>
          </w:p>
        </w:tc>
      </w:tr>
      <w:tr w:rsidR="004A5382" w:rsidRPr="004A5382" w14:paraId="4C5A9F99"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080D149" w14:textId="77777777" w:rsidR="004A5382" w:rsidRPr="00382EC0" w:rsidRDefault="004A5382" w:rsidP="001160BD">
            <w:pPr>
              <w:pStyle w:val="TableofAuthorities"/>
            </w:pPr>
            <w:r w:rsidRPr="00382EC0">
              <w:lastRenderedPageBreak/>
              <w:t>Refurbishment costs</w:t>
            </w:r>
          </w:p>
        </w:tc>
        <w:tc>
          <w:tcPr>
            <w:tcW w:w="1099" w:type="dxa"/>
            <w:noWrap/>
            <w:hideMark/>
          </w:tcPr>
          <w:p w14:paraId="28E9BEA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$0.59</w:t>
            </w:r>
          </w:p>
        </w:tc>
        <w:tc>
          <w:tcPr>
            <w:tcW w:w="1099" w:type="dxa"/>
            <w:noWrap/>
            <w:hideMark/>
          </w:tcPr>
          <w:p w14:paraId="2A42E98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$1.84</w:t>
            </w:r>
          </w:p>
        </w:tc>
        <w:tc>
          <w:tcPr>
            <w:tcW w:w="1099" w:type="dxa"/>
            <w:noWrap/>
            <w:hideMark/>
          </w:tcPr>
          <w:p w14:paraId="64068F8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$0.34</w:t>
            </w:r>
          </w:p>
        </w:tc>
        <w:tc>
          <w:tcPr>
            <w:tcW w:w="1099" w:type="dxa"/>
            <w:noWrap/>
            <w:hideMark/>
          </w:tcPr>
          <w:p w14:paraId="6ABC141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$1.09</w:t>
            </w:r>
          </w:p>
        </w:tc>
      </w:tr>
      <w:tr w:rsidR="004A5382" w:rsidRPr="004A5382" w14:paraId="7AA08D3D"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BA99F1A" w14:textId="77777777" w:rsidR="004A5382" w:rsidRPr="00382EC0" w:rsidRDefault="004A5382" w:rsidP="001160BD">
            <w:pPr>
              <w:pStyle w:val="TableofAuthorities"/>
            </w:pPr>
            <w:r w:rsidRPr="00382EC0">
              <w:t>Rent for buildings - not captured by AASB 16</w:t>
            </w:r>
          </w:p>
        </w:tc>
        <w:tc>
          <w:tcPr>
            <w:tcW w:w="1099" w:type="dxa"/>
            <w:noWrap/>
            <w:hideMark/>
          </w:tcPr>
          <w:p w14:paraId="45497F3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$0.27</w:t>
            </w:r>
          </w:p>
        </w:tc>
        <w:tc>
          <w:tcPr>
            <w:tcW w:w="1099" w:type="dxa"/>
            <w:noWrap/>
            <w:hideMark/>
          </w:tcPr>
          <w:p w14:paraId="2FA2217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$4.11</w:t>
            </w:r>
          </w:p>
        </w:tc>
        <w:tc>
          <w:tcPr>
            <w:tcW w:w="1099" w:type="dxa"/>
            <w:noWrap/>
            <w:hideMark/>
          </w:tcPr>
          <w:p w14:paraId="79EBC7A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$0.77</w:t>
            </w:r>
          </w:p>
        </w:tc>
        <w:tc>
          <w:tcPr>
            <w:tcW w:w="1099" w:type="dxa"/>
            <w:noWrap/>
            <w:hideMark/>
          </w:tcPr>
          <w:p w14:paraId="6557F6B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$1.85</w:t>
            </w:r>
          </w:p>
        </w:tc>
      </w:tr>
      <w:tr w:rsidR="004A5382" w:rsidRPr="004A5382" w14:paraId="5D36839F"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C57574A" w14:textId="77777777" w:rsidR="004A5382" w:rsidRPr="00382EC0" w:rsidRDefault="004A5382" w:rsidP="001160BD">
            <w:pPr>
              <w:pStyle w:val="TableofAuthorities"/>
            </w:pPr>
            <w:r w:rsidRPr="00382EC0">
              <w:t>Interest expense - lease liabilities AASB 16</w:t>
            </w:r>
          </w:p>
        </w:tc>
        <w:tc>
          <w:tcPr>
            <w:tcW w:w="1099" w:type="dxa"/>
            <w:noWrap/>
            <w:hideMark/>
          </w:tcPr>
          <w:p w14:paraId="3DBCB51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$0.55</w:t>
            </w:r>
          </w:p>
        </w:tc>
        <w:tc>
          <w:tcPr>
            <w:tcW w:w="1099" w:type="dxa"/>
            <w:noWrap/>
            <w:hideMark/>
          </w:tcPr>
          <w:p w14:paraId="0B7BC29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$2.94</w:t>
            </w:r>
          </w:p>
        </w:tc>
        <w:tc>
          <w:tcPr>
            <w:tcW w:w="1099" w:type="dxa"/>
            <w:noWrap/>
            <w:hideMark/>
          </w:tcPr>
          <w:p w14:paraId="25E409A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$0.00</w:t>
            </w:r>
          </w:p>
        </w:tc>
        <w:tc>
          <w:tcPr>
            <w:tcW w:w="1099" w:type="dxa"/>
            <w:noWrap/>
            <w:hideMark/>
          </w:tcPr>
          <w:p w14:paraId="3852D80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$1.50</w:t>
            </w:r>
          </w:p>
        </w:tc>
      </w:tr>
      <w:tr w:rsidR="004A5382" w:rsidRPr="004A5382" w14:paraId="0704EC96"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F644700" w14:textId="77777777" w:rsidR="004A5382" w:rsidRPr="00382EC0" w:rsidRDefault="004A5382" w:rsidP="001160BD">
            <w:pPr>
              <w:pStyle w:val="TableofAuthorities"/>
            </w:pPr>
            <w:r w:rsidRPr="00382EC0">
              <w:t>Interest paid (RAD / bond)</w:t>
            </w:r>
          </w:p>
        </w:tc>
        <w:tc>
          <w:tcPr>
            <w:tcW w:w="1099" w:type="dxa"/>
            <w:noWrap/>
            <w:hideMark/>
          </w:tcPr>
          <w:p w14:paraId="1504957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$1.04</w:t>
            </w:r>
          </w:p>
        </w:tc>
        <w:tc>
          <w:tcPr>
            <w:tcW w:w="1099" w:type="dxa"/>
            <w:noWrap/>
            <w:hideMark/>
          </w:tcPr>
          <w:p w14:paraId="6BE7584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$1.71</w:t>
            </w:r>
          </w:p>
        </w:tc>
        <w:tc>
          <w:tcPr>
            <w:tcW w:w="1099" w:type="dxa"/>
            <w:noWrap/>
            <w:hideMark/>
          </w:tcPr>
          <w:p w14:paraId="2532E91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$0.41</w:t>
            </w:r>
          </w:p>
        </w:tc>
        <w:tc>
          <w:tcPr>
            <w:tcW w:w="1099" w:type="dxa"/>
            <w:noWrap/>
            <w:hideMark/>
          </w:tcPr>
          <w:p w14:paraId="2D25323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$1.29</w:t>
            </w:r>
          </w:p>
        </w:tc>
      </w:tr>
      <w:tr w:rsidR="004A5382" w:rsidRPr="004A5382" w14:paraId="108CB5C4"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2F4E03A" w14:textId="77777777" w:rsidR="004A5382" w:rsidRPr="00382EC0" w:rsidRDefault="004A5382" w:rsidP="001160BD">
            <w:pPr>
              <w:pStyle w:val="TableofAuthorities"/>
            </w:pPr>
            <w:r w:rsidRPr="00382EC0">
              <w:t>Financing interest</w:t>
            </w:r>
          </w:p>
        </w:tc>
        <w:tc>
          <w:tcPr>
            <w:tcW w:w="1099" w:type="dxa"/>
            <w:noWrap/>
            <w:hideMark/>
          </w:tcPr>
          <w:p w14:paraId="674AF19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$0.36</w:t>
            </w:r>
          </w:p>
        </w:tc>
        <w:tc>
          <w:tcPr>
            <w:tcW w:w="1099" w:type="dxa"/>
            <w:noWrap/>
            <w:hideMark/>
          </w:tcPr>
          <w:p w14:paraId="412292C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$2.68</w:t>
            </w:r>
          </w:p>
        </w:tc>
        <w:tc>
          <w:tcPr>
            <w:tcW w:w="1099" w:type="dxa"/>
            <w:noWrap/>
            <w:hideMark/>
          </w:tcPr>
          <w:p w14:paraId="6666D31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$0.33</w:t>
            </w:r>
          </w:p>
        </w:tc>
        <w:tc>
          <w:tcPr>
            <w:tcW w:w="1099" w:type="dxa"/>
            <w:noWrap/>
            <w:hideMark/>
          </w:tcPr>
          <w:p w14:paraId="11BCBC3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$1.30</w:t>
            </w:r>
          </w:p>
        </w:tc>
      </w:tr>
      <w:tr w:rsidR="004A5382" w:rsidRPr="004A5382" w14:paraId="20C1CF62"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125CD64" w14:textId="77777777" w:rsidR="004A5382" w:rsidRPr="00382EC0" w:rsidRDefault="004A5382" w:rsidP="001160BD">
            <w:pPr>
              <w:pStyle w:val="TableofAuthorities"/>
            </w:pPr>
            <w:r w:rsidRPr="00382EC0">
              <w:t>Routine maintenance expenses</w:t>
            </w:r>
          </w:p>
        </w:tc>
        <w:tc>
          <w:tcPr>
            <w:tcW w:w="1099" w:type="dxa"/>
            <w:noWrap/>
            <w:hideMark/>
          </w:tcPr>
          <w:p w14:paraId="224516C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 </w:t>
            </w:r>
          </w:p>
        </w:tc>
        <w:tc>
          <w:tcPr>
            <w:tcW w:w="1099" w:type="dxa"/>
            <w:noWrap/>
            <w:hideMark/>
          </w:tcPr>
          <w:p w14:paraId="4F8677A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 </w:t>
            </w:r>
          </w:p>
        </w:tc>
        <w:tc>
          <w:tcPr>
            <w:tcW w:w="1099" w:type="dxa"/>
            <w:noWrap/>
            <w:hideMark/>
          </w:tcPr>
          <w:p w14:paraId="74AA087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 </w:t>
            </w:r>
          </w:p>
        </w:tc>
        <w:tc>
          <w:tcPr>
            <w:tcW w:w="1099" w:type="dxa"/>
            <w:noWrap/>
            <w:hideMark/>
          </w:tcPr>
          <w:p w14:paraId="3A13B2D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 </w:t>
            </w:r>
          </w:p>
        </w:tc>
      </w:tr>
      <w:tr w:rsidR="004A5382" w:rsidRPr="004A5382" w14:paraId="520B3AA9"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63DA92F" w14:textId="77777777" w:rsidR="004A5382" w:rsidRPr="00382EC0" w:rsidRDefault="004A5382" w:rsidP="001160BD">
            <w:pPr>
              <w:pStyle w:val="TableofAuthorities"/>
            </w:pPr>
            <w:r w:rsidRPr="00382EC0">
              <w:t>Employee labour costs</w:t>
            </w:r>
          </w:p>
        </w:tc>
        <w:tc>
          <w:tcPr>
            <w:tcW w:w="1099" w:type="dxa"/>
            <w:noWrap/>
            <w:hideMark/>
          </w:tcPr>
          <w:p w14:paraId="46904DF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$3.01</w:t>
            </w:r>
          </w:p>
        </w:tc>
        <w:tc>
          <w:tcPr>
            <w:tcW w:w="1099" w:type="dxa"/>
            <w:noWrap/>
            <w:hideMark/>
          </w:tcPr>
          <w:p w14:paraId="290BA0B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$2.37</w:t>
            </w:r>
          </w:p>
        </w:tc>
        <w:tc>
          <w:tcPr>
            <w:tcW w:w="1099" w:type="dxa"/>
            <w:noWrap/>
            <w:hideMark/>
          </w:tcPr>
          <w:p w14:paraId="3E20ADB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$3.40</w:t>
            </w:r>
          </w:p>
        </w:tc>
        <w:tc>
          <w:tcPr>
            <w:tcW w:w="1099" w:type="dxa"/>
            <w:noWrap/>
            <w:hideMark/>
          </w:tcPr>
          <w:p w14:paraId="06B4682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$2.76</w:t>
            </w:r>
          </w:p>
        </w:tc>
      </w:tr>
      <w:tr w:rsidR="004A5382" w:rsidRPr="004A5382" w14:paraId="31C26004"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3D65797" w14:textId="77777777" w:rsidR="004A5382" w:rsidRPr="00382EC0" w:rsidRDefault="004A5382" w:rsidP="001160BD">
            <w:pPr>
              <w:pStyle w:val="TableofAuthorities"/>
            </w:pPr>
            <w:r w:rsidRPr="00382EC0">
              <w:t>Repairs and maintenance</w:t>
            </w:r>
          </w:p>
        </w:tc>
        <w:tc>
          <w:tcPr>
            <w:tcW w:w="1099" w:type="dxa"/>
            <w:noWrap/>
            <w:hideMark/>
          </w:tcPr>
          <w:p w14:paraId="20EAE87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$6.84</w:t>
            </w:r>
          </w:p>
        </w:tc>
        <w:tc>
          <w:tcPr>
            <w:tcW w:w="1099" w:type="dxa"/>
            <w:noWrap/>
            <w:hideMark/>
          </w:tcPr>
          <w:p w14:paraId="6EE3ED7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$4.44</w:t>
            </w:r>
          </w:p>
        </w:tc>
        <w:tc>
          <w:tcPr>
            <w:tcW w:w="1099" w:type="dxa"/>
            <w:noWrap/>
            <w:hideMark/>
          </w:tcPr>
          <w:p w14:paraId="391929A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$5.60</w:t>
            </w:r>
          </w:p>
        </w:tc>
        <w:tc>
          <w:tcPr>
            <w:tcW w:w="1099" w:type="dxa"/>
            <w:noWrap/>
            <w:hideMark/>
          </w:tcPr>
          <w:p w14:paraId="15607DA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$5.82</w:t>
            </w:r>
          </w:p>
        </w:tc>
      </w:tr>
      <w:tr w:rsidR="004A5382" w:rsidRPr="004A5382" w14:paraId="7040D40E"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8EA5133" w14:textId="77777777" w:rsidR="004A5382" w:rsidRPr="00382EC0" w:rsidRDefault="004A5382" w:rsidP="001160BD">
            <w:pPr>
              <w:pStyle w:val="TableofAuthorities"/>
            </w:pPr>
            <w:r w:rsidRPr="00382EC0">
              <w:t>Contract services - internal</w:t>
            </w:r>
          </w:p>
        </w:tc>
        <w:tc>
          <w:tcPr>
            <w:tcW w:w="1099" w:type="dxa"/>
            <w:noWrap/>
            <w:hideMark/>
          </w:tcPr>
          <w:p w14:paraId="2039B98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$0.10</w:t>
            </w:r>
          </w:p>
        </w:tc>
        <w:tc>
          <w:tcPr>
            <w:tcW w:w="1099" w:type="dxa"/>
            <w:noWrap/>
            <w:hideMark/>
          </w:tcPr>
          <w:p w14:paraId="618FBCD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$0.17</w:t>
            </w:r>
          </w:p>
        </w:tc>
        <w:tc>
          <w:tcPr>
            <w:tcW w:w="1099" w:type="dxa"/>
            <w:noWrap/>
            <w:hideMark/>
          </w:tcPr>
          <w:p w14:paraId="624BAE6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$2.24</w:t>
            </w:r>
          </w:p>
        </w:tc>
        <w:tc>
          <w:tcPr>
            <w:tcW w:w="1099" w:type="dxa"/>
            <w:noWrap/>
            <w:hideMark/>
          </w:tcPr>
          <w:p w14:paraId="0C6DED9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$0.21</w:t>
            </w:r>
          </w:p>
        </w:tc>
      </w:tr>
      <w:tr w:rsidR="004A5382" w:rsidRPr="004A5382" w14:paraId="714EAD2F"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2141640" w14:textId="77777777" w:rsidR="004A5382" w:rsidRPr="00382EC0" w:rsidRDefault="004A5382" w:rsidP="001160BD">
            <w:pPr>
              <w:pStyle w:val="TableofAuthorities"/>
            </w:pPr>
            <w:r w:rsidRPr="00382EC0">
              <w:t>Contract services - outsourcing</w:t>
            </w:r>
          </w:p>
        </w:tc>
        <w:tc>
          <w:tcPr>
            <w:tcW w:w="1099" w:type="dxa"/>
            <w:noWrap/>
            <w:hideMark/>
          </w:tcPr>
          <w:p w14:paraId="57A63DC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$0.81</w:t>
            </w:r>
          </w:p>
        </w:tc>
        <w:tc>
          <w:tcPr>
            <w:tcW w:w="1099" w:type="dxa"/>
            <w:noWrap/>
            <w:hideMark/>
          </w:tcPr>
          <w:p w14:paraId="1F9D2C2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$0.56</w:t>
            </w:r>
          </w:p>
        </w:tc>
        <w:tc>
          <w:tcPr>
            <w:tcW w:w="1099" w:type="dxa"/>
            <w:noWrap/>
            <w:hideMark/>
          </w:tcPr>
          <w:p w14:paraId="6BB2ABE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$1.03</w:t>
            </w:r>
          </w:p>
        </w:tc>
        <w:tc>
          <w:tcPr>
            <w:tcW w:w="1099" w:type="dxa"/>
            <w:noWrap/>
            <w:hideMark/>
          </w:tcPr>
          <w:p w14:paraId="4078B1E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$0.71</w:t>
            </w:r>
          </w:p>
        </w:tc>
      </w:tr>
      <w:tr w:rsidR="004A5382" w:rsidRPr="004A5382" w14:paraId="25CF8E85"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256C6FA" w14:textId="77777777" w:rsidR="004A5382" w:rsidRPr="00382EC0" w:rsidRDefault="004A5382" w:rsidP="001160BD">
            <w:pPr>
              <w:pStyle w:val="TableofAuthorities"/>
            </w:pPr>
            <w:r w:rsidRPr="00382EC0">
              <w:t>Total routine maintenance expenses</w:t>
            </w:r>
          </w:p>
        </w:tc>
        <w:tc>
          <w:tcPr>
            <w:tcW w:w="1099" w:type="dxa"/>
            <w:noWrap/>
            <w:hideMark/>
          </w:tcPr>
          <w:p w14:paraId="061C5C0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$10.74</w:t>
            </w:r>
          </w:p>
        </w:tc>
        <w:tc>
          <w:tcPr>
            <w:tcW w:w="1099" w:type="dxa"/>
            <w:noWrap/>
            <w:hideMark/>
          </w:tcPr>
          <w:p w14:paraId="0903787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$7.53</w:t>
            </w:r>
          </w:p>
        </w:tc>
        <w:tc>
          <w:tcPr>
            <w:tcW w:w="1099" w:type="dxa"/>
            <w:noWrap/>
            <w:hideMark/>
          </w:tcPr>
          <w:p w14:paraId="6530899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$12.27</w:t>
            </w:r>
          </w:p>
        </w:tc>
        <w:tc>
          <w:tcPr>
            <w:tcW w:w="1099" w:type="dxa"/>
            <w:noWrap/>
            <w:hideMark/>
          </w:tcPr>
          <w:p w14:paraId="121AB64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$9.50</w:t>
            </w:r>
          </w:p>
        </w:tc>
      </w:tr>
      <w:tr w:rsidR="004A5382" w:rsidRPr="004A5382" w14:paraId="5B87801C"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269B5E28" w14:textId="77777777" w:rsidR="004A5382" w:rsidRPr="00382EC0" w:rsidRDefault="004A5382" w:rsidP="001160BD">
            <w:pPr>
              <w:pStyle w:val="TableofAuthorities"/>
            </w:pPr>
            <w:r w:rsidRPr="00382EC0">
              <w:t>Workcover premium (accommodation employee labour)</w:t>
            </w:r>
          </w:p>
        </w:tc>
        <w:tc>
          <w:tcPr>
            <w:tcW w:w="1099" w:type="dxa"/>
            <w:noWrap/>
            <w:hideMark/>
          </w:tcPr>
          <w:p w14:paraId="3177F63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$0.06</w:t>
            </w:r>
          </w:p>
        </w:tc>
        <w:tc>
          <w:tcPr>
            <w:tcW w:w="1099" w:type="dxa"/>
            <w:noWrap/>
            <w:hideMark/>
          </w:tcPr>
          <w:p w14:paraId="622D024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$0.14</w:t>
            </w:r>
          </w:p>
        </w:tc>
        <w:tc>
          <w:tcPr>
            <w:tcW w:w="1099" w:type="dxa"/>
            <w:noWrap/>
            <w:hideMark/>
          </w:tcPr>
          <w:p w14:paraId="73BD526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c>
          <w:tcPr>
            <w:tcW w:w="1099" w:type="dxa"/>
            <w:noWrap/>
            <w:hideMark/>
          </w:tcPr>
          <w:p w14:paraId="410E455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$0.09</w:t>
            </w:r>
          </w:p>
        </w:tc>
      </w:tr>
      <w:tr w:rsidR="004A5382" w:rsidRPr="004A5382" w14:paraId="4C3AF77D"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84A9A05" w14:textId="77777777" w:rsidR="004A5382" w:rsidRPr="00382EC0" w:rsidRDefault="004A5382" w:rsidP="001160BD">
            <w:pPr>
              <w:pStyle w:val="TableofAuthorities"/>
            </w:pPr>
            <w:r w:rsidRPr="00382EC0">
              <w:t>Payroll tax (accommodation employee labour)</w:t>
            </w:r>
          </w:p>
        </w:tc>
        <w:tc>
          <w:tcPr>
            <w:tcW w:w="1099" w:type="dxa"/>
            <w:noWrap/>
            <w:hideMark/>
          </w:tcPr>
          <w:p w14:paraId="6103A89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$0.00</w:t>
            </w:r>
          </w:p>
        </w:tc>
        <w:tc>
          <w:tcPr>
            <w:tcW w:w="1099" w:type="dxa"/>
            <w:noWrap/>
            <w:hideMark/>
          </w:tcPr>
          <w:p w14:paraId="64670BD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c>
          <w:tcPr>
            <w:tcW w:w="1099" w:type="dxa"/>
            <w:noWrap/>
            <w:hideMark/>
          </w:tcPr>
          <w:p w14:paraId="603EC57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$0.00</w:t>
            </w:r>
          </w:p>
        </w:tc>
        <w:tc>
          <w:tcPr>
            <w:tcW w:w="1099" w:type="dxa"/>
            <w:noWrap/>
            <w:hideMark/>
          </w:tcPr>
          <w:p w14:paraId="63298E0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$0.03</w:t>
            </w:r>
          </w:p>
        </w:tc>
      </w:tr>
      <w:tr w:rsidR="004A5382" w:rsidRPr="004A5382" w14:paraId="47B00B97"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D3558CB" w14:textId="77777777" w:rsidR="004A5382" w:rsidRPr="00382EC0" w:rsidRDefault="004A5382" w:rsidP="001160BD">
            <w:pPr>
              <w:pStyle w:val="TableofAuthorities"/>
            </w:pPr>
            <w:r w:rsidRPr="00382EC0">
              <w:t>Other accommodation expenses</w:t>
            </w:r>
          </w:p>
        </w:tc>
        <w:tc>
          <w:tcPr>
            <w:tcW w:w="1099" w:type="dxa"/>
            <w:noWrap/>
            <w:hideMark/>
          </w:tcPr>
          <w:p w14:paraId="529C2A2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$0.71</w:t>
            </w:r>
          </w:p>
        </w:tc>
        <w:tc>
          <w:tcPr>
            <w:tcW w:w="1099" w:type="dxa"/>
            <w:noWrap/>
            <w:hideMark/>
          </w:tcPr>
          <w:p w14:paraId="4C0AF6A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$2.27</w:t>
            </w:r>
          </w:p>
        </w:tc>
        <w:tc>
          <w:tcPr>
            <w:tcW w:w="1099" w:type="dxa"/>
            <w:noWrap/>
            <w:hideMark/>
          </w:tcPr>
          <w:p w14:paraId="5BA583F7"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$0.53</w:t>
            </w:r>
          </w:p>
        </w:tc>
        <w:tc>
          <w:tcPr>
            <w:tcW w:w="1099" w:type="dxa"/>
            <w:noWrap/>
            <w:hideMark/>
          </w:tcPr>
          <w:p w14:paraId="77C47B0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$1.33</w:t>
            </w:r>
          </w:p>
        </w:tc>
      </w:tr>
      <w:tr w:rsidR="004A5382" w:rsidRPr="004A5382" w14:paraId="2F4AE2C5"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47B9701B" w14:textId="77777777" w:rsidR="004A5382" w:rsidRPr="000F66FB" w:rsidRDefault="004A5382" w:rsidP="001160BD">
            <w:pPr>
              <w:pStyle w:val="TableParagraphbold"/>
              <w:rPr>
                <w:lang w:eastAsia="en-AU"/>
              </w:rPr>
            </w:pPr>
            <w:r w:rsidRPr="000F66FB">
              <w:rPr>
                <w:lang w:eastAsia="en-AU"/>
              </w:rPr>
              <w:t>Total accommodation and finance expenses</w:t>
            </w:r>
          </w:p>
        </w:tc>
        <w:tc>
          <w:tcPr>
            <w:tcW w:w="1099" w:type="dxa"/>
            <w:shd w:val="clear" w:color="auto" w:fill="D8DBDB" w:themeFill="background2" w:themeFillShade="E6"/>
            <w:noWrap/>
            <w:hideMark/>
          </w:tcPr>
          <w:p w14:paraId="300E83E4"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$42.76</w:t>
            </w:r>
          </w:p>
        </w:tc>
        <w:tc>
          <w:tcPr>
            <w:tcW w:w="1099" w:type="dxa"/>
            <w:shd w:val="clear" w:color="auto" w:fill="D8DBDB" w:themeFill="background2" w:themeFillShade="E6"/>
            <w:noWrap/>
            <w:hideMark/>
          </w:tcPr>
          <w:p w14:paraId="37E691A1"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$63.31</w:t>
            </w:r>
          </w:p>
        </w:tc>
        <w:tc>
          <w:tcPr>
            <w:tcW w:w="1099" w:type="dxa"/>
            <w:shd w:val="clear" w:color="auto" w:fill="D8DBDB" w:themeFill="background2" w:themeFillShade="E6"/>
            <w:noWrap/>
            <w:hideMark/>
          </w:tcPr>
          <w:p w14:paraId="236D9220"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$45.48</w:t>
            </w:r>
          </w:p>
        </w:tc>
        <w:tc>
          <w:tcPr>
            <w:tcW w:w="1099" w:type="dxa"/>
            <w:shd w:val="clear" w:color="auto" w:fill="D8DBDB" w:themeFill="background2" w:themeFillShade="E6"/>
            <w:noWrap/>
            <w:hideMark/>
          </w:tcPr>
          <w:p w14:paraId="3D8B97CA"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$51.19</w:t>
            </w:r>
          </w:p>
        </w:tc>
      </w:tr>
      <w:tr w:rsidR="004A5382" w:rsidRPr="004A5382" w14:paraId="24B1D778"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66EA76DB" w14:textId="77777777" w:rsidR="004A5382" w:rsidRPr="000F66FB" w:rsidRDefault="004A5382" w:rsidP="001160BD">
            <w:pPr>
              <w:pStyle w:val="TableParagraphbold"/>
              <w:rPr>
                <w:lang w:eastAsia="en-AU"/>
              </w:rPr>
            </w:pPr>
            <w:r w:rsidRPr="000F66FB">
              <w:rPr>
                <w:lang w:eastAsia="en-AU"/>
              </w:rPr>
              <w:t>COVID-19 expenses</w:t>
            </w:r>
          </w:p>
        </w:tc>
        <w:tc>
          <w:tcPr>
            <w:tcW w:w="1099" w:type="dxa"/>
            <w:shd w:val="clear" w:color="auto" w:fill="D8DBDB" w:themeFill="background2" w:themeFillShade="E6"/>
            <w:noWrap/>
            <w:hideMark/>
          </w:tcPr>
          <w:p w14:paraId="4BDEA0DA"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099" w:type="dxa"/>
            <w:shd w:val="clear" w:color="auto" w:fill="D8DBDB" w:themeFill="background2" w:themeFillShade="E6"/>
            <w:noWrap/>
            <w:hideMark/>
          </w:tcPr>
          <w:p w14:paraId="36CD9740"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099" w:type="dxa"/>
            <w:shd w:val="clear" w:color="auto" w:fill="D8DBDB" w:themeFill="background2" w:themeFillShade="E6"/>
            <w:noWrap/>
            <w:hideMark/>
          </w:tcPr>
          <w:p w14:paraId="083033BE"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c>
          <w:tcPr>
            <w:tcW w:w="1099" w:type="dxa"/>
            <w:shd w:val="clear" w:color="auto" w:fill="D8DBDB" w:themeFill="background2" w:themeFillShade="E6"/>
            <w:noWrap/>
            <w:hideMark/>
          </w:tcPr>
          <w:p w14:paraId="3C3DAA0F" w14:textId="77777777" w:rsidR="004A5382" w:rsidRPr="000F66FB" w:rsidRDefault="004A5382" w:rsidP="001160BD">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0F66FB">
              <w:rPr>
                <w:lang w:eastAsia="en-AU"/>
              </w:rPr>
              <w:t> </w:t>
            </w:r>
          </w:p>
        </w:tc>
      </w:tr>
      <w:tr w:rsidR="004A5382" w:rsidRPr="004A5382" w14:paraId="23AD4A99"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5A3DE26" w14:textId="77777777" w:rsidR="004A5382" w:rsidRPr="00382EC0" w:rsidRDefault="004A5382" w:rsidP="001160BD">
            <w:pPr>
              <w:pStyle w:val="TableofAuthorities"/>
            </w:pPr>
            <w:r w:rsidRPr="00382EC0">
              <w:t>Labour costs</w:t>
            </w:r>
          </w:p>
        </w:tc>
        <w:tc>
          <w:tcPr>
            <w:tcW w:w="1099" w:type="dxa"/>
            <w:noWrap/>
            <w:hideMark/>
          </w:tcPr>
          <w:p w14:paraId="0A8E438E"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$6.71</w:t>
            </w:r>
          </w:p>
        </w:tc>
        <w:tc>
          <w:tcPr>
            <w:tcW w:w="1099" w:type="dxa"/>
            <w:noWrap/>
            <w:hideMark/>
          </w:tcPr>
          <w:p w14:paraId="0EC259B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$7.55</w:t>
            </w:r>
          </w:p>
        </w:tc>
        <w:tc>
          <w:tcPr>
            <w:tcW w:w="1099" w:type="dxa"/>
            <w:noWrap/>
            <w:hideMark/>
          </w:tcPr>
          <w:p w14:paraId="50F8344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$5.39</w:t>
            </w:r>
          </w:p>
        </w:tc>
        <w:tc>
          <w:tcPr>
            <w:tcW w:w="1099" w:type="dxa"/>
            <w:noWrap/>
            <w:hideMark/>
          </w:tcPr>
          <w:p w14:paraId="5CFAFC4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$7.00</w:t>
            </w:r>
          </w:p>
        </w:tc>
      </w:tr>
      <w:tr w:rsidR="004A5382" w:rsidRPr="004A5382" w14:paraId="1E46A8BE"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A138D66" w14:textId="77777777" w:rsidR="004A5382" w:rsidRPr="00382EC0" w:rsidRDefault="004A5382" w:rsidP="001160BD">
            <w:pPr>
              <w:pStyle w:val="TableofAuthorities"/>
            </w:pPr>
            <w:r w:rsidRPr="00382EC0">
              <w:t>Resident support</w:t>
            </w:r>
          </w:p>
        </w:tc>
        <w:tc>
          <w:tcPr>
            <w:tcW w:w="1099" w:type="dxa"/>
            <w:noWrap/>
            <w:hideMark/>
          </w:tcPr>
          <w:p w14:paraId="6B24564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$0.57</w:t>
            </w:r>
          </w:p>
        </w:tc>
        <w:tc>
          <w:tcPr>
            <w:tcW w:w="1099" w:type="dxa"/>
            <w:noWrap/>
            <w:hideMark/>
          </w:tcPr>
          <w:p w14:paraId="6C0E9B8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$0.51</w:t>
            </w:r>
          </w:p>
        </w:tc>
        <w:tc>
          <w:tcPr>
            <w:tcW w:w="1099" w:type="dxa"/>
            <w:noWrap/>
            <w:hideMark/>
          </w:tcPr>
          <w:p w14:paraId="0772BEF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$0.08</w:t>
            </w:r>
          </w:p>
        </w:tc>
        <w:tc>
          <w:tcPr>
            <w:tcW w:w="1099" w:type="dxa"/>
            <w:noWrap/>
            <w:hideMark/>
          </w:tcPr>
          <w:p w14:paraId="58144FC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$0.53</w:t>
            </w:r>
          </w:p>
        </w:tc>
      </w:tr>
      <w:tr w:rsidR="004A5382" w:rsidRPr="004A5382" w14:paraId="7C20DA05"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7C4541F" w14:textId="77777777" w:rsidR="004A5382" w:rsidRPr="00382EC0" w:rsidRDefault="004A5382" w:rsidP="001160BD">
            <w:pPr>
              <w:pStyle w:val="TableofAuthorities"/>
            </w:pPr>
            <w:r w:rsidRPr="00382EC0">
              <w:t>Preventative measures</w:t>
            </w:r>
          </w:p>
        </w:tc>
        <w:tc>
          <w:tcPr>
            <w:tcW w:w="1099" w:type="dxa"/>
            <w:noWrap/>
            <w:hideMark/>
          </w:tcPr>
          <w:p w14:paraId="61DBED9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$2.12</w:t>
            </w:r>
          </w:p>
        </w:tc>
        <w:tc>
          <w:tcPr>
            <w:tcW w:w="1099" w:type="dxa"/>
            <w:noWrap/>
            <w:hideMark/>
          </w:tcPr>
          <w:p w14:paraId="4D36D33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$2.93</w:t>
            </w:r>
          </w:p>
        </w:tc>
        <w:tc>
          <w:tcPr>
            <w:tcW w:w="1099" w:type="dxa"/>
            <w:noWrap/>
            <w:hideMark/>
          </w:tcPr>
          <w:p w14:paraId="4B5277A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$1.04</w:t>
            </w:r>
          </w:p>
        </w:tc>
        <w:tc>
          <w:tcPr>
            <w:tcW w:w="1099" w:type="dxa"/>
            <w:noWrap/>
            <w:hideMark/>
          </w:tcPr>
          <w:p w14:paraId="35C5B0E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$2.41</w:t>
            </w:r>
          </w:p>
        </w:tc>
      </w:tr>
      <w:tr w:rsidR="004A5382" w:rsidRPr="004A5382" w14:paraId="58524D1B"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358E9EE" w14:textId="77777777" w:rsidR="004A5382" w:rsidRPr="00382EC0" w:rsidRDefault="004A5382" w:rsidP="001160BD">
            <w:pPr>
              <w:pStyle w:val="TableofAuthorities"/>
            </w:pPr>
            <w:r w:rsidRPr="00382EC0">
              <w:t>Infection prevention and control (IPC) lead expenses</w:t>
            </w:r>
          </w:p>
        </w:tc>
        <w:tc>
          <w:tcPr>
            <w:tcW w:w="1099" w:type="dxa"/>
            <w:noWrap/>
            <w:hideMark/>
          </w:tcPr>
          <w:p w14:paraId="5513098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$0.76</w:t>
            </w:r>
          </w:p>
        </w:tc>
        <w:tc>
          <w:tcPr>
            <w:tcW w:w="1099" w:type="dxa"/>
            <w:noWrap/>
            <w:hideMark/>
          </w:tcPr>
          <w:p w14:paraId="5661777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$0.51</w:t>
            </w:r>
          </w:p>
        </w:tc>
        <w:tc>
          <w:tcPr>
            <w:tcW w:w="1099" w:type="dxa"/>
            <w:noWrap/>
            <w:hideMark/>
          </w:tcPr>
          <w:p w14:paraId="743171B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$0.18</w:t>
            </w:r>
          </w:p>
        </w:tc>
        <w:tc>
          <w:tcPr>
            <w:tcW w:w="1099" w:type="dxa"/>
            <w:noWrap/>
            <w:hideMark/>
          </w:tcPr>
          <w:p w14:paraId="27E35C2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$0.64</w:t>
            </w:r>
          </w:p>
        </w:tc>
      </w:tr>
      <w:tr w:rsidR="004A5382" w:rsidRPr="004A5382" w14:paraId="18D26030"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864ECF5" w14:textId="77777777" w:rsidR="004A5382" w:rsidRPr="00382EC0" w:rsidRDefault="004A5382" w:rsidP="001160BD">
            <w:pPr>
              <w:pStyle w:val="TableofAuthorities"/>
            </w:pPr>
            <w:r w:rsidRPr="00382EC0">
              <w:t>Other COVID-19 expenses</w:t>
            </w:r>
          </w:p>
        </w:tc>
        <w:tc>
          <w:tcPr>
            <w:tcW w:w="1099" w:type="dxa"/>
            <w:noWrap/>
            <w:hideMark/>
          </w:tcPr>
          <w:p w14:paraId="02E35F4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$0.27</w:t>
            </w:r>
          </w:p>
        </w:tc>
        <w:tc>
          <w:tcPr>
            <w:tcW w:w="1099" w:type="dxa"/>
            <w:noWrap/>
            <w:hideMark/>
          </w:tcPr>
          <w:p w14:paraId="67CAEC53"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$0.24</w:t>
            </w:r>
          </w:p>
        </w:tc>
        <w:tc>
          <w:tcPr>
            <w:tcW w:w="1099" w:type="dxa"/>
            <w:noWrap/>
            <w:hideMark/>
          </w:tcPr>
          <w:p w14:paraId="6ED91B9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$0.11</w:t>
            </w:r>
          </w:p>
        </w:tc>
        <w:tc>
          <w:tcPr>
            <w:tcW w:w="1099" w:type="dxa"/>
            <w:noWrap/>
            <w:hideMark/>
          </w:tcPr>
          <w:p w14:paraId="1A03A4B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$0.26</w:t>
            </w:r>
          </w:p>
        </w:tc>
      </w:tr>
      <w:tr w:rsidR="004A5382" w:rsidRPr="00966B51" w14:paraId="00477E7E"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59C0E043" w14:textId="77777777" w:rsidR="004A5382" w:rsidRPr="00966B51" w:rsidRDefault="004A5382" w:rsidP="00966B51">
            <w:pPr>
              <w:pStyle w:val="TableParagraphbold"/>
            </w:pPr>
            <w:r w:rsidRPr="00966B51">
              <w:t>Total COVID-19 expenses</w:t>
            </w:r>
          </w:p>
        </w:tc>
        <w:tc>
          <w:tcPr>
            <w:tcW w:w="1099" w:type="dxa"/>
            <w:shd w:val="clear" w:color="auto" w:fill="D8DBDB" w:themeFill="background2" w:themeFillShade="E6"/>
            <w:noWrap/>
            <w:hideMark/>
          </w:tcPr>
          <w:p w14:paraId="57684779"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$10.43</w:t>
            </w:r>
          </w:p>
        </w:tc>
        <w:tc>
          <w:tcPr>
            <w:tcW w:w="1099" w:type="dxa"/>
            <w:shd w:val="clear" w:color="auto" w:fill="D8DBDB" w:themeFill="background2" w:themeFillShade="E6"/>
            <w:noWrap/>
            <w:hideMark/>
          </w:tcPr>
          <w:p w14:paraId="568AE4B1"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$11.75</w:t>
            </w:r>
          </w:p>
        </w:tc>
        <w:tc>
          <w:tcPr>
            <w:tcW w:w="1099" w:type="dxa"/>
            <w:shd w:val="clear" w:color="auto" w:fill="D8DBDB" w:themeFill="background2" w:themeFillShade="E6"/>
            <w:noWrap/>
            <w:hideMark/>
          </w:tcPr>
          <w:p w14:paraId="29743E2F"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$6.79</w:t>
            </w:r>
          </w:p>
        </w:tc>
        <w:tc>
          <w:tcPr>
            <w:tcW w:w="1099" w:type="dxa"/>
            <w:shd w:val="clear" w:color="auto" w:fill="D8DBDB" w:themeFill="background2" w:themeFillShade="E6"/>
            <w:noWrap/>
            <w:hideMark/>
          </w:tcPr>
          <w:p w14:paraId="6B82496B"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$10.83</w:t>
            </w:r>
          </w:p>
        </w:tc>
      </w:tr>
      <w:tr w:rsidR="004A5382" w:rsidRPr="00966B51" w14:paraId="0AE4A1D1"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51CC5B8C" w14:textId="77777777" w:rsidR="004A5382" w:rsidRPr="00966B51" w:rsidRDefault="004A5382" w:rsidP="00966B51">
            <w:pPr>
              <w:pStyle w:val="TableParagraphbold"/>
            </w:pPr>
            <w:r w:rsidRPr="00966B51">
              <w:t>Total recurrent expense</w:t>
            </w:r>
          </w:p>
        </w:tc>
        <w:tc>
          <w:tcPr>
            <w:tcW w:w="1099" w:type="dxa"/>
            <w:shd w:val="clear" w:color="auto" w:fill="D8DBDB" w:themeFill="background2" w:themeFillShade="E6"/>
            <w:noWrap/>
            <w:hideMark/>
          </w:tcPr>
          <w:p w14:paraId="27E0F768"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$332.56</w:t>
            </w:r>
          </w:p>
        </w:tc>
        <w:tc>
          <w:tcPr>
            <w:tcW w:w="1099" w:type="dxa"/>
            <w:shd w:val="clear" w:color="auto" w:fill="D8DBDB" w:themeFill="background2" w:themeFillShade="E6"/>
            <w:noWrap/>
            <w:hideMark/>
          </w:tcPr>
          <w:p w14:paraId="7C802812"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$343.54</w:t>
            </w:r>
          </w:p>
        </w:tc>
        <w:tc>
          <w:tcPr>
            <w:tcW w:w="1099" w:type="dxa"/>
            <w:shd w:val="clear" w:color="auto" w:fill="D8DBDB" w:themeFill="background2" w:themeFillShade="E6"/>
            <w:noWrap/>
            <w:hideMark/>
          </w:tcPr>
          <w:p w14:paraId="5B8E2BD4"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$458.27</w:t>
            </w:r>
          </w:p>
        </w:tc>
        <w:tc>
          <w:tcPr>
            <w:tcW w:w="1099" w:type="dxa"/>
            <w:shd w:val="clear" w:color="auto" w:fill="D8DBDB" w:themeFill="background2" w:themeFillShade="E6"/>
            <w:noWrap/>
            <w:hideMark/>
          </w:tcPr>
          <w:p w14:paraId="7834566E"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$341.68</w:t>
            </w:r>
          </w:p>
        </w:tc>
      </w:tr>
      <w:tr w:rsidR="004A5382" w:rsidRPr="00966B51" w14:paraId="35C7BEDC"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0020791D" w14:textId="77777777" w:rsidR="004A5382" w:rsidRPr="00966B51" w:rsidRDefault="004A5382" w:rsidP="00966B51">
            <w:pPr>
              <w:pStyle w:val="TableParagraphbold"/>
            </w:pPr>
            <w:r w:rsidRPr="00966B51">
              <w:t>Non-recurrent expenses</w:t>
            </w:r>
          </w:p>
        </w:tc>
        <w:tc>
          <w:tcPr>
            <w:tcW w:w="1099" w:type="dxa"/>
            <w:shd w:val="clear" w:color="auto" w:fill="D8DBDB" w:themeFill="background2" w:themeFillShade="E6"/>
            <w:noWrap/>
            <w:hideMark/>
          </w:tcPr>
          <w:p w14:paraId="78D30B20"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099" w:type="dxa"/>
            <w:shd w:val="clear" w:color="auto" w:fill="D8DBDB" w:themeFill="background2" w:themeFillShade="E6"/>
            <w:noWrap/>
            <w:hideMark/>
          </w:tcPr>
          <w:p w14:paraId="535EB04E"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099" w:type="dxa"/>
            <w:shd w:val="clear" w:color="auto" w:fill="D8DBDB" w:themeFill="background2" w:themeFillShade="E6"/>
            <w:noWrap/>
            <w:hideMark/>
          </w:tcPr>
          <w:p w14:paraId="729E74ED"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099" w:type="dxa"/>
            <w:shd w:val="clear" w:color="auto" w:fill="D8DBDB" w:themeFill="background2" w:themeFillShade="E6"/>
            <w:noWrap/>
            <w:hideMark/>
          </w:tcPr>
          <w:p w14:paraId="43F8AB13"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r>
      <w:tr w:rsidR="004A5382" w:rsidRPr="004A5382" w14:paraId="7E09BCE0"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4AF1D849" w14:textId="77777777" w:rsidR="004A5382" w:rsidRPr="00382EC0" w:rsidRDefault="004A5382" w:rsidP="001160BD">
            <w:pPr>
              <w:pStyle w:val="TableofAuthorities"/>
            </w:pPr>
            <w:r w:rsidRPr="00382EC0">
              <w:t>Fair value losses on financial assets</w:t>
            </w:r>
          </w:p>
        </w:tc>
        <w:tc>
          <w:tcPr>
            <w:tcW w:w="1099" w:type="dxa"/>
            <w:noWrap/>
            <w:hideMark/>
          </w:tcPr>
          <w:p w14:paraId="3B03449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$0.97</w:t>
            </w:r>
          </w:p>
        </w:tc>
        <w:tc>
          <w:tcPr>
            <w:tcW w:w="1099" w:type="dxa"/>
            <w:noWrap/>
            <w:hideMark/>
          </w:tcPr>
          <w:p w14:paraId="076BD13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$0.18</w:t>
            </w:r>
          </w:p>
        </w:tc>
        <w:tc>
          <w:tcPr>
            <w:tcW w:w="1099" w:type="dxa"/>
            <w:noWrap/>
            <w:hideMark/>
          </w:tcPr>
          <w:p w14:paraId="4E45FBD4"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$0.33</w:t>
            </w:r>
          </w:p>
        </w:tc>
        <w:tc>
          <w:tcPr>
            <w:tcW w:w="1099" w:type="dxa"/>
            <w:noWrap/>
            <w:hideMark/>
          </w:tcPr>
          <w:p w14:paraId="6DDACD7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$0.63</w:t>
            </w:r>
          </w:p>
        </w:tc>
      </w:tr>
      <w:tr w:rsidR="004A5382" w:rsidRPr="004A5382" w14:paraId="3AA25F08"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569FCB72" w14:textId="77777777" w:rsidR="004A5382" w:rsidRPr="00382EC0" w:rsidRDefault="004A5382" w:rsidP="001160BD">
            <w:pPr>
              <w:pStyle w:val="TableofAuthorities"/>
            </w:pPr>
            <w:r w:rsidRPr="00382EC0">
              <w:t>Fair value loss / asset revaluation decreases on other assets</w:t>
            </w:r>
          </w:p>
        </w:tc>
        <w:tc>
          <w:tcPr>
            <w:tcW w:w="1099" w:type="dxa"/>
            <w:noWrap/>
            <w:hideMark/>
          </w:tcPr>
          <w:p w14:paraId="4B4CA7C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$0.40</w:t>
            </w:r>
          </w:p>
        </w:tc>
        <w:tc>
          <w:tcPr>
            <w:tcW w:w="1099" w:type="dxa"/>
            <w:noWrap/>
            <w:hideMark/>
          </w:tcPr>
          <w:p w14:paraId="56CE9068"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$0.69</w:t>
            </w:r>
          </w:p>
        </w:tc>
        <w:tc>
          <w:tcPr>
            <w:tcW w:w="1099" w:type="dxa"/>
            <w:noWrap/>
            <w:hideMark/>
          </w:tcPr>
          <w:p w14:paraId="4D86C850"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$0.03</w:t>
            </w:r>
          </w:p>
        </w:tc>
        <w:tc>
          <w:tcPr>
            <w:tcW w:w="1099" w:type="dxa"/>
            <w:noWrap/>
            <w:hideMark/>
          </w:tcPr>
          <w:p w14:paraId="46BF796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$0.51</w:t>
            </w:r>
          </w:p>
        </w:tc>
      </w:tr>
      <w:tr w:rsidR="004A5382" w:rsidRPr="004A5382" w14:paraId="0947A369"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0224893B" w14:textId="77777777" w:rsidR="004A5382" w:rsidRPr="00382EC0" w:rsidRDefault="004A5382" w:rsidP="001160BD">
            <w:pPr>
              <w:pStyle w:val="TableofAuthorities"/>
            </w:pPr>
            <w:r w:rsidRPr="00382EC0">
              <w:t>Impairment loss</w:t>
            </w:r>
          </w:p>
        </w:tc>
        <w:tc>
          <w:tcPr>
            <w:tcW w:w="1099" w:type="dxa"/>
            <w:noWrap/>
            <w:hideMark/>
          </w:tcPr>
          <w:p w14:paraId="4EB14F4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$1.29</w:t>
            </w:r>
          </w:p>
        </w:tc>
        <w:tc>
          <w:tcPr>
            <w:tcW w:w="1099" w:type="dxa"/>
            <w:noWrap/>
            <w:hideMark/>
          </w:tcPr>
          <w:p w14:paraId="033C705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$2.02</w:t>
            </w:r>
          </w:p>
        </w:tc>
        <w:tc>
          <w:tcPr>
            <w:tcW w:w="1099" w:type="dxa"/>
            <w:noWrap/>
            <w:hideMark/>
          </w:tcPr>
          <w:p w14:paraId="40AF17B1"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$4.23</w:t>
            </w:r>
          </w:p>
        </w:tc>
        <w:tc>
          <w:tcPr>
            <w:tcW w:w="1099" w:type="dxa"/>
            <w:noWrap/>
            <w:hideMark/>
          </w:tcPr>
          <w:p w14:paraId="182CC9D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$1.69</w:t>
            </w:r>
          </w:p>
        </w:tc>
      </w:tr>
      <w:tr w:rsidR="004A5382" w:rsidRPr="004A5382" w14:paraId="67CB4B7C"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1C549B02" w14:textId="77777777" w:rsidR="004A5382" w:rsidRPr="00382EC0" w:rsidRDefault="004A5382" w:rsidP="001160BD">
            <w:pPr>
              <w:pStyle w:val="TableofAuthorities"/>
            </w:pPr>
            <w:r w:rsidRPr="00382EC0">
              <w:t>Realised losses on disposal of assets</w:t>
            </w:r>
          </w:p>
        </w:tc>
        <w:tc>
          <w:tcPr>
            <w:tcW w:w="1099" w:type="dxa"/>
            <w:noWrap/>
            <w:hideMark/>
          </w:tcPr>
          <w:p w14:paraId="74CB677A"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$0.29</w:t>
            </w:r>
          </w:p>
        </w:tc>
        <w:tc>
          <w:tcPr>
            <w:tcW w:w="1099" w:type="dxa"/>
            <w:noWrap/>
            <w:hideMark/>
          </w:tcPr>
          <w:p w14:paraId="3A4DA5A9"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$0.21</w:t>
            </w:r>
          </w:p>
        </w:tc>
        <w:tc>
          <w:tcPr>
            <w:tcW w:w="1099" w:type="dxa"/>
            <w:noWrap/>
            <w:hideMark/>
          </w:tcPr>
          <w:p w14:paraId="4FD9256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$0.04</w:t>
            </w:r>
          </w:p>
        </w:tc>
        <w:tc>
          <w:tcPr>
            <w:tcW w:w="1099" w:type="dxa"/>
            <w:noWrap/>
            <w:hideMark/>
          </w:tcPr>
          <w:p w14:paraId="587DA90D"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$0.25</w:t>
            </w:r>
          </w:p>
        </w:tc>
      </w:tr>
      <w:tr w:rsidR="004A5382" w:rsidRPr="004A5382" w14:paraId="4417E4F4"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7D1BC63C" w14:textId="77777777" w:rsidR="004A5382" w:rsidRPr="00382EC0" w:rsidRDefault="004A5382" w:rsidP="001160BD">
            <w:pPr>
              <w:pStyle w:val="TableofAuthorities"/>
            </w:pPr>
            <w:r w:rsidRPr="00382EC0">
              <w:t>Effect of adoption of AASB16 leases - RADs only</w:t>
            </w:r>
          </w:p>
        </w:tc>
        <w:tc>
          <w:tcPr>
            <w:tcW w:w="1099" w:type="dxa"/>
            <w:noWrap/>
            <w:hideMark/>
          </w:tcPr>
          <w:p w14:paraId="2D90E51B"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$4.15</w:t>
            </w:r>
          </w:p>
        </w:tc>
        <w:tc>
          <w:tcPr>
            <w:tcW w:w="1099" w:type="dxa"/>
            <w:noWrap/>
            <w:hideMark/>
          </w:tcPr>
          <w:p w14:paraId="2AB219A5"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$13.98</w:t>
            </w:r>
          </w:p>
        </w:tc>
        <w:tc>
          <w:tcPr>
            <w:tcW w:w="1099" w:type="dxa"/>
            <w:noWrap/>
            <w:hideMark/>
          </w:tcPr>
          <w:p w14:paraId="0D8EAACF"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$0.85</w:t>
            </w:r>
          </w:p>
        </w:tc>
        <w:tc>
          <w:tcPr>
            <w:tcW w:w="1099" w:type="dxa"/>
            <w:noWrap/>
            <w:hideMark/>
          </w:tcPr>
          <w:p w14:paraId="353B6ED6"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$8.01</w:t>
            </w:r>
          </w:p>
        </w:tc>
      </w:tr>
      <w:tr w:rsidR="004A5382" w:rsidRPr="004A5382" w14:paraId="4A7FE6D2" w14:textId="77777777" w:rsidTr="004564B5">
        <w:trPr>
          <w:trHeight w:val="300"/>
        </w:trPr>
        <w:tc>
          <w:tcPr>
            <w:cnfStyle w:val="001000000000" w:firstRow="0" w:lastRow="0" w:firstColumn="1" w:lastColumn="0" w:oddVBand="0" w:evenVBand="0" w:oddHBand="0" w:evenHBand="0" w:firstRowFirstColumn="0" w:firstRowLastColumn="0" w:lastRowFirstColumn="0" w:lastRowLastColumn="0"/>
            <w:tcW w:w="5952" w:type="dxa"/>
            <w:noWrap/>
            <w:hideMark/>
          </w:tcPr>
          <w:p w14:paraId="63B73CFB" w14:textId="77777777" w:rsidR="004A5382" w:rsidRPr="00382EC0" w:rsidRDefault="004A5382" w:rsidP="001160BD">
            <w:pPr>
              <w:pStyle w:val="TableofAuthorities"/>
            </w:pPr>
            <w:r w:rsidRPr="00382EC0">
              <w:t>Other non-recurrent expenses</w:t>
            </w:r>
          </w:p>
        </w:tc>
        <w:tc>
          <w:tcPr>
            <w:tcW w:w="1099" w:type="dxa"/>
            <w:noWrap/>
            <w:hideMark/>
          </w:tcPr>
          <w:p w14:paraId="07AB48F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$1.00</w:t>
            </w:r>
          </w:p>
        </w:tc>
        <w:tc>
          <w:tcPr>
            <w:tcW w:w="1099" w:type="dxa"/>
            <w:noWrap/>
            <w:hideMark/>
          </w:tcPr>
          <w:p w14:paraId="511A24A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$2.29</w:t>
            </w:r>
          </w:p>
        </w:tc>
        <w:tc>
          <w:tcPr>
            <w:tcW w:w="1099" w:type="dxa"/>
            <w:noWrap/>
            <w:hideMark/>
          </w:tcPr>
          <w:p w14:paraId="72FC47F2"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$4.87</w:t>
            </w:r>
          </w:p>
        </w:tc>
        <w:tc>
          <w:tcPr>
            <w:tcW w:w="1099" w:type="dxa"/>
            <w:noWrap/>
            <w:hideMark/>
          </w:tcPr>
          <w:p w14:paraId="5360FABC" w14:textId="77777777" w:rsidR="004A5382" w:rsidRPr="000F66FB" w:rsidRDefault="004A5382" w:rsidP="001160BD">
            <w:pPr>
              <w:pStyle w:val="TableofAuthorities"/>
              <w:cnfStyle w:val="000000000000" w:firstRow="0" w:lastRow="0" w:firstColumn="0" w:lastColumn="0" w:oddVBand="0" w:evenVBand="0" w:oddHBand="0" w:evenHBand="0" w:firstRowFirstColumn="0" w:firstRowLastColumn="0" w:lastRowFirstColumn="0" w:lastRowLastColumn="0"/>
              <w:rPr>
                <w:rFonts w:cs="Arial"/>
                <w:szCs w:val="20"/>
                <w:lang w:eastAsia="en-AU"/>
              </w:rPr>
            </w:pPr>
            <w:r w:rsidRPr="000F66FB">
              <w:rPr>
                <w:rFonts w:cs="Arial"/>
                <w:szCs w:val="20"/>
                <w:lang w:eastAsia="en-AU"/>
              </w:rPr>
              <w:t>$1.67</w:t>
            </w:r>
          </w:p>
        </w:tc>
      </w:tr>
      <w:tr w:rsidR="004A5382" w:rsidRPr="00966B51" w14:paraId="3C0091CF"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27C6EF0A" w14:textId="77777777" w:rsidR="004A5382" w:rsidRPr="00966B51" w:rsidRDefault="004A5382" w:rsidP="00966B51">
            <w:pPr>
              <w:pStyle w:val="TableParagraphbold"/>
            </w:pPr>
            <w:r w:rsidRPr="00966B51">
              <w:t>Total non-recurrent expenses</w:t>
            </w:r>
          </w:p>
        </w:tc>
        <w:tc>
          <w:tcPr>
            <w:tcW w:w="1099" w:type="dxa"/>
            <w:shd w:val="clear" w:color="auto" w:fill="D8DBDB" w:themeFill="background2" w:themeFillShade="E6"/>
            <w:noWrap/>
            <w:hideMark/>
          </w:tcPr>
          <w:p w14:paraId="15CD29ED"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$8.11</w:t>
            </w:r>
          </w:p>
        </w:tc>
        <w:tc>
          <w:tcPr>
            <w:tcW w:w="1099" w:type="dxa"/>
            <w:shd w:val="clear" w:color="auto" w:fill="D8DBDB" w:themeFill="background2" w:themeFillShade="E6"/>
            <w:noWrap/>
            <w:hideMark/>
          </w:tcPr>
          <w:p w14:paraId="7ACE3406"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$19.37</w:t>
            </w:r>
          </w:p>
        </w:tc>
        <w:tc>
          <w:tcPr>
            <w:tcW w:w="1099" w:type="dxa"/>
            <w:shd w:val="clear" w:color="auto" w:fill="D8DBDB" w:themeFill="background2" w:themeFillShade="E6"/>
            <w:noWrap/>
            <w:hideMark/>
          </w:tcPr>
          <w:p w14:paraId="53AEBC98"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$10.34</w:t>
            </w:r>
          </w:p>
        </w:tc>
        <w:tc>
          <w:tcPr>
            <w:tcW w:w="1099" w:type="dxa"/>
            <w:shd w:val="clear" w:color="auto" w:fill="D8DBDB" w:themeFill="background2" w:themeFillShade="E6"/>
            <w:noWrap/>
            <w:hideMark/>
          </w:tcPr>
          <w:p w14:paraId="7185FB24"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$12.75</w:t>
            </w:r>
          </w:p>
        </w:tc>
      </w:tr>
      <w:tr w:rsidR="004A5382" w:rsidRPr="00966B51" w14:paraId="23822437"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7CE6843E" w14:textId="77777777" w:rsidR="004A5382" w:rsidRPr="00966B51" w:rsidRDefault="004A5382" w:rsidP="00966B51">
            <w:pPr>
              <w:pStyle w:val="TableParagraphbold"/>
            </w:pPr>
            <w:r w:rsidRPr="00966B51">
              <w:t>Total expense</w:t>
            </w:r>
          </w:p>
        </w:tc>
        <w:tc>
          <w:tcPr>
            <w:tcW w:w="1099" w:type="dxa"/>
            <w:shd w:val="clear" w:color="auto" w:fill="D8DBDB" w:themeFill="background2" w:themeFillShade="E6"/>
            <w:noWrap/>
            <w:hideMark/>
          </w:tcPr>
          <w:p w14:paraId="326C3AC1"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$340.66</w:t>
            </w:r>
          </w:p>
        </w:tc>
        <w:tc>
          <w:tcPr>
            <w:tcW w:w="1099" w:type="dxa"/>
            <w:shd w:val="clear" w:color="auto" w:fill="D8DBDB" w:themeFill="background2" w:themeFillShade="E6"/>
            <w:noWrap/>
            <w:hideMark/>
          </w:tcPr>
          <w:p w14:paraId="7D16DE3E"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$362.91</w:t>
            </w:r>
          </w:p>
        </w:tc>
        <w:tc>
          <w:tcPr>
            <w:tcW w:w="1099" w:type="dxa"/>
            <w:shd w:val="clear" w:color="auto" w:fill="D8DBDB" w:themeFill="background2" w:themeFillShade="E6"/>
            <w:noWrap/>
            <w:hideMark/>
          </w:tcPr>
          <w:p w14:paraId="7158F272"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$468.61</w:t>
            </w:r>
          </w:p>
        </w:tc>
        <w:tc>
          <w:tcPr>
            <w:tcW w:w="1099" w:type="dxa"/>
            <w:shd w:val="clear" w:color="auto" w:fill="D8DBDB" w:themeFill="background2" w:themeFillShade="E6"/>
            <w:noWrap/>
            <w:hideMark/>
          </w:tcPr>
          <w:p w14:paraId="7C59FE6A"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$354.43</w:t>
            </w:r>
          </w:p>
        </w:tc>
      </w:tr>
      <w:tr w:rsidR="004A5382" w:rsidRPr="00966B51" w14:paraId="02B41BBD" w14:textId="77777777" w:rsidTr="007D3E8C">
        <w:trPr>
          <w:trHeight w:val="300"/>
        </w:trPr>
        <w:tc>
          <w:tcPr>
            <w:cnfStyle w:val="001000000000" w:firstRow="0" w:lastRow="0" w:firstColumn="1" w:lastColumn="0" w:oddVBand="0" w:evenVBand="0" w:oddHBand="0" w:evenHBand="0" w:firstRowFirstColumn="0" w:firstRowLastColumn="0" w:lastRowFirstColumn="0" w:lastRowLastColumn="0"/>
            <w:tcW w:w="5952" w:type="dxa"/>
            <w:shd w:val="clear" w:color="auto" w:fill="D8DBDB" w:themeFill="background2" w:themeFillShade="E6"/>
            <w:noWrap/>
            <w:hideMark/>
          </w:tcPr>
          <w:p w14:paraId="52B4279F" w14:textId="77777777" w:rsidR="004A5382" w:rsidRPr="00966B51" w:rsidRDefault="004A5382" w:rsidP="00966B51">
            <w:pPr>
              <w:pStyle w:val="TableParagraphbold"/>
            </w:pPr>
            <w:r w:rsidRPr="00966B51">
              <w:t>Net profit/(loss)</w:t>
            </w:r>
          </w:p>
        </w:tc>
        <w:tc>
          <w:tcPr>
            <w:tcW w:w="1099" w:type="dxa"/>
            <w:shd w:val="clear" w:color="auto" w:fill="D8DBDB" w:themeFill="background2" w:themeFillShade="E6"/>
            <w:noWrap/>
            <w:hideMark/>
          </w:tcPr>
          <w:p w14:paraId="6460F034"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($32.68)</w:t>
            </w:r>
          </w:p>
        </w:tc>
        <w:tc>
          <w:tcPr>
            <w:tcW w:w="1099" w:type="dxa"/>
            <w:shd w:val="clear" w:color="auto" w:fill="D8DBDB" w:themeFill="background2" w:themeFillShade="E6"/>
            <w:noWrap/>
            <w:hideMark/>
          </w:tcPr>
          <w:p w14:paraId="75EBD4E0"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($30.26)</w:t>
            </w:r>
          </w:p>
        </w:tc>
        <w:tc>
          <w:tcPr>
            <w:tcW w:w="1099" w:type="dxa"/>
            <w:shd w:val="clear" w:color="auto" w:fill="D8DBDB" w:themeFill="background2" w:themeFillShade="E6"/>
            <w:noWrap/>
            <w:hideMark/>
          </w:tcPr>
          <w:p w14:paraId="73529B58"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($66.83)</w:t>
            </w:r>
          </w:p>
        </w:tc>
        <w:tc>
          <w:tcPr>
            <w:tcW w:w="1099" w:type="dxa"/>
            <w:shd w:val="clear" w:color="auto" w:fill="D8DBDB" w:themeFill="background2" w:themeFillShade="E6"/>
            <w:noWrap/>
            <w:hideMark/>
          </w:tcPr>
          <w:p w14:paraId="431E767B" w14:textId="77777777" w:rsidR="004A5382" w:rsidRPr="00966B51" w:rsidRDefault="004A5382"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($32.97)</w:t>
            </w:r>
          </w:p>
        </w:tc>
      </w:tr>
    </w:tbl>
    <w:p w14:paraId="0992DBA0" w14:textId="0851EC83" w:rsidR="0025782A" w:rsidRPr="008E2604" w:rsidRDefault="0025782A" w:rsidP="004D63A5">
      <w:pPr>
        <w:pStyle w:val="Heading2nonumbers"/>
      </w:pPr>
      <w:r w:rsidRPr="008E2604">
        <w:br w:type="page"/>
      </w:r>
      <w:r w:rsidRPr="008E2604">
        <w:lastRenderedPageBreak/>
        <w:t xml:space="preserve">Appendix </w:t>
      </w:r>
      <w:r w:rsidR="008C5BE6" w:rsidRPr="008E2604">
        <w:t>C</w:t>
      </w:r>
    </w:p>
    <w:p w14:paraId="6AFE6276" w14:textId="64937B77" w:rsidR="005D1D6E" w:rsidRDefault="001F530A" w:rsidP="00CD20E2">
      <w:r w:rsidRPr="001F530A">
        <w:t xml:space="preserve">Financial performance results of home care providers per care recipient per day, by ownership type, by quartile, 2021-22 </w:t>
      </w:r>
    </w:p>
    <w:tbl>
      <w:tblPr>
        <w:tblStyle w:val="DepartmentofHealthtable"/>
        <w:tblW w:w="10187" w:type="dxa"/>
        <w:tblLayout w:type="fixed"/>
        <w:tblLook w:val="04A0" w:firstRow="1" w:lastRow="0" w:firstColumn="1" w:lastColumn="0" w:noHBand="0" w:noVBand="1"/>
      </w:tblPr>
      <w:tblGrid>
        <w:gridCol w:w="3119"/>
        <w:gridCol w:w="1442"/>
        <w:gridCol w:w="1442"/>
        <w:gridCol w:w="1442"/>
        <w:gridCol w:w="1442"/>
        <w:gridCol w:w="1300"/>
      </w:tblGrid>
      <w:tr w:rsidR="005D1D6E" w:rsidRPr="005D1D6E" w14:paraId="5BF329BA" w14:textId="77777777" w:rsidTr="002809E5">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119" w:type="dxa"/>
            <w:hideMark/>
          </w:tcPr>
          <w:p w14:paraId="3C144566" w14:textId="77777777" w:rsidR="005D1D6E" w:rsidRPr="002A2E5B" w:rsidRDefault="005D1D6E" w:rsidP="00CD20E2">
            <w:pPr>
              <w:pStyle w:val="TableHeaderWhite"/>
            </w:pPr>
            <w:r w:rsidRPr="002A2E5B">
              <w:t> </w:t>
            </w:r>
          </w:p>
        </w:tc>
        <w:tc>
          <w:tcPr>
            <w:tcW w:w="1442" w:type="dxa"/>
            <w:hideMark/>
          </w:tcPr>
          <w:p w14:paraId="70B72FB2" w14:textId="77777777" w:rsidR="005D1D6E" w:rsidRPr="005D1D6E" w:rsidRDefault="005D1D6E" w:rsidP="00CD20E2">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5D1D6E">
              <w:rPr>
                <w:lang w:eastAsia="en-AU"/>
              </w:rPr>
              <w:t>Top quartile</w:t>
            </w:r>
          </w:p>
        </w:tc>
        <w:tc>
          <w:tcPr>
            <w:tcW w:w="1442" w:type="dxa"/>
            <w:hideMark/>
          </w:tcPr>
          <w:p w14:paraId="3EADB11B" w14:textId="77777777" w:rsidR="005D1D6E" w:rsidRPr="005D1D6E" w:rsidRDefault="005D1D6E" w:rsidP="00CD20E2">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5D1D6E">
              <w:rPr>
                <w:lang w:eastAsia="en-AU"/>
              </w:rPr>
              <w:t>Next top</w:t>
            </w:r>
          </w:p>
        </w:tc>
        <w:tc>
          <w:tcPr>
            <w:tcW w:w="1442" w:type="dxa"/>
            <w:hideMark/>
          </w:tcPr>
          <w:p w14:paraId="287032F3" w14:textId="77777777" w:rsidR="005D1D6E" w:rsidRPr="005D1D6E" w:rsidRDefault="005D1D6E" w:rsidP="00CD20E2">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5D1D6E">
              <w:rPr>
                <w:lang w:eastAsia="en-AU"/>
              </w:rPr>
              <w:t>Next bottom</w:t>
            </w:r>
          </w:p>
        </w:tc>
        <w:tc>
          <w:tcPr>
            <w:tcW w:w="1442" w:type="dxa"/>
            <w:hideMark/>
          </w:tcPr>
          <w:p w14:paraId="735F5B75" w14:textId="77777777" w:rsidR="005D1D6E" w:rsidRPr="005D1D6E" w:rsidRDefault="005D1D6E" w:rsidP="00CD20E2">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5D1D6E">
              <w:rPr>
                <w:lang w:eastAsia="en-AU"/>
              </w:rPr>
              <w:t>Bottom</w:t>
            </w:r>
          </w:p>
        </w:tc>
        <w:tc>
          <w:tcPr>
            <w:tcW w:w="1300" w:type="dxa"/>
            <w:hideMark/>
          </w:tcPr>
          <w:p w14:paraId="2C4486C6" w14:textId="77777777" w:rsidR="005D1D6E" w:rsidRPr="005D1D6E" w:rsidRDefault="005D1D6E" w:rsidP="00CD20E2">
            <w:pPr>
              <w:pStyle w:val="TableHeaderWhite"/>
              <w:cnfStyle w:val="100000000000" w:firstRow="1" w:lastRow="0" w:firstColumn="0" w:lastColumn="0" w:oddVBand="0" w:evenVBand="0" w:oddHBand="0" w:evenHBand="0" w:firstRowFirstColumn="0" w:firstRowLastColumn="0" w:lastRowFirstColumn="0" w:lastRowLastColumn="0"/>
              <w:rPr>
                <w:lang w:eastAsia="en-AU"/>
              </w:rPr>
            </w:pPr>
            <w:r w:rsidRPr="005D1D6E">
              <w:rPr>
                <w:lang w:eastAsia="en-AU"/>
              </w:rPr>
              <w:t>Total</w:t>
            </w:r>
          </w:p>
        </w:tc>
      </w:tr>
      <w:tr w:rsidR="005D1D6E" w:rsidRPr="00966B51" w14:paraId="1728B3DF"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3119" w:type="dxa"/>
            <w:shd w:val="clear" w:color="auto" w:fill="D8DBDB" w:themeFill="background2" w:themeFillShade="E6"/>
            <w:noWrap/>
            <w:hideMark/>
          </w:tcPr>
          <w:p w14:paraId="1A94AF92" w14:textId="77777777" w:rsidR="005D1D6E" w:rsidRPr="00966B51" w:rsidRDefault="005D1D6E" w:rsidP="00966B51">
            <w:pPr>
              <w:pStyle w:val="TableParagraphbold"/>
            </w:pPr>
            <w:r w:rsidRPr="00966B51">
              <w:t>For-profit</w:t>
            </w:r>
          </w:p>
        </w:tc>
        <w:tc>
          <w:tcPr>
            <w:tcW w:w="1442" w:type="dxa"/>
            <w:shd w:val="clear" w:color="auto" w:fill="D8DBDB" w:themeFill="background2" w:themeFillShade="E6"/>
            <w:noWrap/>
            <w:hideMark/>
          </w:tcPr>
          <w:p w14:paraId="55203633"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442" w:type="dxa"/>
            <w:shd w:val="clear" w:color="auto" w:fill="D8DBDB" w:themeFill="background2" w:themeFillShade="E6"/>
            <w:noWrap/>
            <w:hideMark/>
          </w:tcPr>
          <w:p w14:paraId="4FCC2B47"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442" w:type="dxa"/>
            <w:shd w:val="clear" w:color="auto" w:fill="D8DBDB" w:themeFill="background2" w:themeFillShade="E6"/>
            <w:noWrap/>
            <w:hideMark/>
          </w:tcPr>
          <w:p w14:paraId="66A51A15"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442" w:type="dxa"/>
            <w:shd w:val="clear" w:color="auto" w:fill="D8DBDB" w:themeFill="background2" w:themeFillShade="E6"/>
            <w:noWrap/>
            <w:hideMark/>
          </w:tcPr>
          <w:p w14:paraId="66E688EB"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300" w:type="dxa"/>
            <w:shd w:val="clear" w:color="auto" w:fill="D8DBDB" w:themeFill="background2" w:themeFillShade="E6"/>
            <w:noWrap/>
            <w:hideMark/>
          </w:tcPr>
          <w:p w14:paraId="351F91CA"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r>
      <w:tr w:rsidR="005D1D6E" w:rsidRPr="005D1D6E" w14:paraId="2674D0DB"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0F89426A" w14:textId="77777777" w:rsidR="005D1D6E" w:rsidRPr="005D1D6E" w:rsidRDefault="005D1D6E" w:rsidP="00966B51">
            <w:pPr>
              <w:pStyle w:val="TableofAuthorities"/>
              <w:rPr>
                <w:lang w:eastAsia="en-AU"/>
              </w:rPr>
            </w:pPr>
            <w:r w:rsidRPr="005D1D6E">
              <w:rPr>
                <w:lang w:eastAsia="en-AU"/>
              </w:rPr>
              <w:t>Number of providers</w:t>
            </w:r>
          </w:p>
        </w:tc>
        <w:tc>
          <w:tcPr>
            <w:tcW w:w="1442" w:type="dxa"/>
            <w:noWrap/>
            <w:hideMark/>
          </w:tcPr>
          <w:p w14:paraId="1FC58C2A"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93</w:t>
            </w:r>
          </w:p>
        </w:tc>
        <w:tc>
          <w:tcPr>
            <w:tcW w:w="1442" w:type="dxa"/>
            <w:noWrap/>
            <w:hideMark/>
          </w:tcPr>
          <w:p w14:paraId="789EEED0"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67</w:t>
            </w:r>
          </w:p>
        </w:tc>
        <w:tc>
          <w:tcPr>
            <w:tcW w:w="1442" w:type="dxa"/>
            <w:noWrap/>
            <w:hideMark/>
          </w:tcPr>
          <w:p w14:paraId="043C8D50"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64</w:t>
            </w:r>
          </w:p>
        </w:tc>
        <w:tc>
          <w:tcPr>
            <w:tcW w:w="1442" w:type="dxa"/>
            <w:noWrap/>
            <w:hideMark/>
          </w:tcPr>
          <w:p w14:paraId="2205F155"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66</w:t>
            </w:r>
          </w:p>
        </w:tc>
        <w:tc>
          <w:tcPr>
            <w:tcW w:w="1300" w:type="dxa"/>
            <w:noWrap/>
            <w:hideMark/>
          </w:tcPr>
          <w:p w14:paraId="5908175B"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290</w:t>
            </w:r>
          </w:p>
        </w:tc>
      </w:tr>
      <w:tr w:rsidR="005D1D6E" w:rsidRPr="005D1D6E" w14:paraId="49645E80"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hideMark/>
          </w:tcPr>
          <w:p w14:paraId="6A7D3062" w14:textId="77777777" w:rsidR="005D1D6E" w:rsidRPr="005D1D6E" w:rsidRDefault="005D1D6E" w:rsidP="00966B51">
            <w:pPr>
              <w:pStyle w:val="TableofAuthorities"/>
              <w:rPr>
                <w:lang w:eastAsia="en-AU"/>
              </w:rPr>
            </w:pPr>
            <w:r w:rsidRPr="005D1D6E">
              <w:rPr>
                <w:lang w:eastAsia="en-AU"/>
              </w:rPr>
              <w:t>Provision of care / direct care services</w:t>
            </w:r>
          </w:p>
        </w:tc>
        <w:tc>
          <w:tcPr>
            <w:tcW w:w="1442" w:type="dxa"/>
            <w:noWrap/>
            <w:hideMark/>
          </w:tcPr>
          <w:p w14:paraId="5FB5FCBC" w14:textId="4F8ED0C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$55.91</w:t>
            </w:r>
          </w:p>
        </w:tc>
        <w:tc>
          <w:tcPr>
            <w:tcW w:w="1442" w:type="dxa"/>
            <w:noWrap/>
            <w:hideMark/>
          </w:tcPr>
          <w:p w14:paraId="63ADB008" w14:textId="34EC68D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$15.65</w:t>
            </w:r>
          </w:p>
        </w:tc>
        <w:tc>
          <w:tcPr>
            <w:tcW w:w="1442" w:type="dxa"/>
            <w:noWrap/>
            <w:hideMark/>
          </w:tcPr>
          <w:p w14:paraId="194706CA" w14:textId="15F9719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$23.86</w:t>
            </w:r>
          </w:p>
        </w:tc>
        <w:tc>
          <w:tcPr>
            <w:tcW w:w="1442" w:type="dxa"/>
            <w:noWrap/>
            <w:hideMark/>
          </w:tcPr>
          <w:p w14:paraId="54DC2BBA" w14:textId="1D8666EC"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$27.13</w:t>
            </w:r>
          </w:p>
        </w:tc>
        <w:tc>
          <w:tcPr>
            <w:tcW w:w="1300" w:type="dxa"/>
            <w:noWrap/>
            <w:hideMark/>
          </w:tcPr>
          <w:p w14:paraId="1D866F31" w14:textId="19C5BF3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$27.37</w:t>
            </w:r>
          </w:p>
        </w:tc>
      </w:tr>
      <w:tr w:rsidR="005D1D6E" w:rsidRPr="005D1D6E" w14:paraId="3BF2D900"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hideMark/>
          </w:tcPr>
          <w:p w14:paraId="2A8A3B14" w14:textId="77777777" w:rsidR="005D1D6E" w:rsidRPr="005D1D6E" w:rsidRDefault="005D1D6E" w:rsidP="00966B51">
            <w:pPr>
              <w:pStyle w:val="TableofAuthorities"/>
              <w:rPr>
                <w:lang w:eastAsia="en-AU"/>
              </w:rPr>
            </w:pPr>
            <w:r w:rsidRPr="005D1D6E">
              <w:rPr>
                <w:lang w:eastAsia="en-AU"/>
              </w:rPr>
              <w:t>Provision of care / sub-contracted services</w:t>
            </w:r>
          </w:p>
        </w:tc>
        <w:tc>
          <w:tcPr>
            <w:tcW w:w="1442" w:type="dxa"/>
            <w:noWrap/>
            <w:hideMark/>
          </w:tcPr>
          <w:p w14:paraId="14093B4B" w14:textId="4528F6B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$17.10</w:t>
            </w:r>
          </w:p>
        </w:tc>
        <w:tc>
          <w:tcPr>
            <w:tcW w:w="1442" w:type="dxa"/>
            <w:noWrap/>
            <w:hideMark/>
          </w:tcPr>
          <w:p w14:paraId="41347B98" w14:textId="6C7FC8D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$9.87</w:t>
            </w:r>
          </w:p>
        </w:tc>
        <w:tc>
          <w:tcPr>
            <w:tcW w:w="1442" w:type="dxa"/>
            <w:noWrap/>
            <w:hideMark/>
          </w:tcPr>
          <w:p w14:paraId="15765DC6" w14:textId="1AA062C2"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$18.39</w:t>
            </w:r>
          </w:p>
        </w:tc>
        <w:tc>
          <w:tcPr>
            <w:tcW w:w="1442" w:type="dxa"/>
            <w:noWrap/>
            <w:hideMark/>
          </w:tcPr>
          <w:p w14:paraId="78F82974" w14:textId="48273BC2"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$17.39</w:t>
            </w:r>
          </w:p>
        </w:tc>
        <w:tc>
          <w:tcPr>
            <w:tcW w:w="1300" w:type="dxa"/>
            <w:noWrap/>
            <w:hideMark/>
          </w:tcPr>
          <w:p w14:paraId="635B2DA4" w14:textId="26C2C9D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$15.36</w:t>
            </w:r>
          </w:p>
        </w:tc>
      </w:tr>
      <w:tr w:rsidR="005D1D6E" w:rsidRPr="005D1D6E" w14:paraId="4665D57B"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6E7BA878" w14:textId="77777777" w:rsidR="005D1D6E" w:rsidRPr="005D1D6E" w:rsidRDefault="005D1D6E" w:rsidP="00966B51">
            <w:pPr>
              <w:pStyle w:val="TableofAuthorities"/>
              <w:rPr>
                <w:lang w:eastAsia="en-AU"/>
              </w:rPr>
            </w:pPr>
            <w:r w:rsidRPr="005D1D6E">
              <w:rPr>
                <w:lang w:eastAsia="en-AU"/>
              </w:rPr>
              <w:t>Client/case management fees charged</w:t>
            </w:r>
          </w:p>
        </w:tc>
        <w:tc>
          <w:tcPr>
            <w:tcW w:w="1442" w:type="dxa"/>
            <w:noWrap/>
            <w:hideMark/>
          </w:tcPr>
          <w:p w14:paraId="18FAEAC6" w14:textId="5A88978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$9.63</w:t>
            </w:r>
          </w:p>
        </w:tc>
        <w:tc>
          <w:tcPr>
            <w:tcW w:w="1442" w:type="dxa"/>
            <w:noWrap/>
            <w:hideMark/>
          </w:tcPr>
          <w:p w14:paraId="6D0D660C" w14:textId="7D47CE4B"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$5.28</w:t>
            </w:r>
          </w:p>
        </w:tc>
        <w:tc>
          <w:tcPr>
            <w:tcW w:w="1442" w:type="dxa"/>
            <w:noWrap/>
            <w:hideMark/>
          </w:tcPr>
          <w:p w14:paraId="3610DC70" w14:textId="6969CB12"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$8.83</w:t>
            </w:r>
          </w:p>
        </w:tc>
        <w:tc>
          <w:tcPr>
            <w:tcW w:w="1442" w:type="dxa"/>
            <w:noWrap/>
            <w:hideMark/>
          </w:tcPr>
          <w:p w14:paraId="3FE574C0" w14:textId="242C5B0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$10.14</w:t>
            </w:r>
          </w:p>
        </w:tc>
        <w:tc>
          <w:tcPr>
            <w:tcW w:w="1300" w:type="dxa"/>
            <w:noWrap/>
            <w:hideMark/>
          </w:tcPr>
          <w:p w14:paraId="60BCCF34" w14:textId="5551309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$8.06</w:t>
            </w:r>
          </w:p>
        </w:tc>
      </w:tr>
      <w:tr w:rsidR="005D1D6E" w:rsidRPr="005D1D6E" w14:paraId="07665B81"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BBBB67C" w14:textId="77777777" w:rsidR="005D1D6E" w:rsidRPr="005D1D6E" w:rsidRDefault="005D1D6E" w:rsidP="00966B51">
            <w:pPr>
              <w:pStyle w:val="TableofAuthorities"/>
              <w:rPr>
                <w:lang w:eastAsia="en-AU"/>
              </w:rPr>
            </w:pPr>
            <w:r w:rsidRPr="005D1D6E">
              <w:rPr>
                <w:lang w:eastAsia="en-AU"/>
              </w:rPr>
              <w:t>Admin and management of packages</w:t>
            </w:r>
          </w:p>
        </w:tc>
        <w:tc>
          <w:tcPr>
            <w:tcW w:w="1442" w:type="dxa"/>
            <w:noWrap/>
            <w:hideMark/>
          </w:tcPr>
          <w:p w14:paraId="7B5494FA" w14:textId="1CFABF4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$7.35</w:t>
            </w:r>
          </w:p>
        </w:tc>
        <w:tc>
          <w:tcPr>
            <w:tcW w:w="1442" w:type="dxa"/>
            <w:noWrap/>
            <w:hideMark/>
          </w:tcPr>
          <w:p w14:paraId="76E4242B" w14:textId="46C201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$8.61</w:t>
            </w:r>
          </w:p>
        </w:tc>
        <w:tc>
          <w:tcPr>
            <w:tcW w:w="1442" w:type="dxa"/>
            <w:noWrap/>
            <w:hideMark/>
          </w:tcPr>
          <w:p w14:paraId="294C6E73" w14:textId="6EB3239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$5.03</w:t>
            </w:r>
          </w:p>
        </w:tc>
        <w:tc>
          <w:tcPr>
            <w:tcW w:w="1442" w:type="dxa"/>
            <w:noWrap/>
            <w:hideMark/>
          </w:tcPr>
          <w:p w14:paraId="7435E9BF" w14:textId="54AC849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$8.43</w:t>
            </w:r>
          </w:p>
        </w:tc>
        <w:tc>
          <w:tcPr>
            <w:tcW w:w="1300" w:type="dxa"/>
            <w:noWrap/>
            <w:hideMark/>
          </w:tcPr>
          <w:p w14:paraId="53553886" w14:textId="47CB177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$7.06</w:t>
            </w:r>
          </w:p>
        </w:tc>
      </w:tr>
      <w:tr w:rsidR="005D1D6E" w:rsidRPr="005D1D6E" w14:paraId="37A94B5C"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CD109C6" w14:textId="77777777" w:rsidR="005D1D6E" w:rsidRPr="005D1D6E" w:rsidRDefault="005D1D6E" w:rsidP="00966B51">
            <w:pPr>
              <w:pStyle w:val="TableofAuthorities"/>
              <w:rPr>
                <w:lang w:eastAsia="en-AU"/>
              </w:rPr>
            </w:pPr>
            <w:r w:rsidRPr="005D1D6E">
              <w:rPr>
                <w:lang w:eastAsia="en-AU"/>
              </w:rPr>
              <w:t>Exit amounts deducted</w:t>
            </w:r>
          </w:p>
        </w:tc>
        <w:tc>
          <w:tcPr>
            <w:tcW w:w="1442" w:type="dxa"/>
            <w:noWrap/>
            <w:hideMark/>
          </w:tcPr>
          <w:p w14:paraId="7A70EDAF" w14:textId="18234AD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$0.03</w:t>
            </w:r>
          </w:p>
        </w:tc>
        <w:tc>
          <w:tcPr>
            <w:tcW w:w="1442" w:type="dxa"/>
            <w:noWrap/>
            <w:hideMark/>
          </w:tcPr>
          <w:p w14:paraId="595B3D0C" w14:textId="1BBF1391"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$0.01</w:t>
            </w:r>
          </w:p>
        </w:tc>
        <w:tc>
          <w:tcPr>
            <w:tcW w:w="1442" w:type="dxa"/>
            <w:noWrap/>
            <w:hideMark/>
          </w:tcPr>
          <w:p w14:paraId="1C41D38C" w14:textId="52C8716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$0.01</w:t>
            </w:r>
          </w:p>
        </w:tc>
        <w:tc>
          <w:tcPr>
            <w:tcW w:w="1442" w:type="dxa"/>
            <w:noWrap/>
            <w:hideMark/>
          </w:tcPr>
          <w:p w14:paraId="245D61B3" w14:textId="796864E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$0.01</w:t>
            </w:r>
          </w:p>
        </w:tc>
        <w:tc>
          <w:tcPr>
            <w:tcW w:w="1300" w:type="dxa"/>
            <w:noWrap/>
            <w:hideMark/>
          </w:tcPr>
          <w:p w14:paraId="2D79E094" w14:textId="04C65582"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$0.01</w:t>
            </w:r>
          </w:p>
        </w:tc>
      </w:tr>
      <w:tr w:rsidR="005D1D6E" w:rsidRPr="005D1D6E" w14:paraId="4838DA1C"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4BCC7BC" w14:textId="77777777" w:rsidR="005D1D6E" w:rsidRPr="005D1D6E" w:rsidRDefault="005D1D6E" w:rsidP="00966B51">
            <w:pPr>
              <w:pStyle w:val="TableofAuthorities"/>
              <w:rPr>
                <w:lang w:eastAsia="en-AU"/>
              </w:rPr>
            </w:pPr>
            <w:r w:rsidRPr="005D1D6E">
              <w:rPr>
                <w:lang w:eastAsia="en-AU"/>
              </w:rPr>
              <w:t>COVID-19 funding</w:t>
            </w:r>
          </w:p>
        </w:tc>
        <w:tc>
          <w:tcPr>
            <w:tcW w:w="1442" w:type="dxa"/>
            <w:noWrap/>
            <w:hideMark/>
          </w:tcPr>
          <w:p w14:paraId="094763CC" w14:textId="4FB61A7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$0.62</w:t>
            </w:r>
          </w:p>
        </w:tc>
        <w:tc>
          <w:tcPr>
            <w:tcW w:w="1442" w:type="dxa"/>
            <w:noWrap/>
            <w:hideMark/>
          </w:tcPr>
          <w:p w14:paraId="12CC3D30" w14:textId="0C5E534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$0.21</w:t>
            </w:r>
          </w:p>
        </w:tc>
        <w:tc>
          <w:tcPr>
            <w:tcW w:w="1442" w:type="dxa"/>
            <w:noWrap/>
            <w:hideMark/>
          </w:tcPr>
          <w:p w14:paraId="40541721" w14:textId="4C0ABB83"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$0.15</w:t>
            </w:r>
          </w:p>
        </w:tc>
        <w:tc>
          <w:tcPr>
            <w:tcW w:w="1442" w:type="dxa"/>
            <w:noWrap/>
            <w:hideMark/>
          </w:tcPr>
          <w:p w14:paraId="75082BC5" w14:textId="34F40B5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$0.51</w:t>
            </w:r>
          </w:p>
        </w:tc>
        <w:tc>
          <w:tcPr>
            <w:tcW w:w="1300" w:type="dxa"/>
            <w:noWrap/>
            <w:hideMark/>
          </w:tcPr>
          <w:p w14:paraId="55841C27" w14:textId="5E94928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$0.30</w:t>
            </w:r>
          </w:p>
        </w:tc>
      </w:tr>
      <w:tr w:rsidR="005D1D6E" w:rsidRPr="005D1D6E" w14:paraId="66EDE191"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8144B20" w14:textId="77777777" w:rsidR="005D1D6E" w:rsidRPr="005D1D6E" w:rsidRDefault="005D1D6E" w:rsidP="00966B51">
            <w:pPr>
              <w:pStyle w:val="TableofAuthorities"/>
              <w:rPr>
                <w:lang w:eastAsia="en-AU"/>
              </w:rPr>
            </w:pPr>
            <w:r w:rsidRPr="005D1D6E">
              <w:rPr>
                <w:lang w:eastAsia="en-AU"/>
              </w:rPr>
              <w:t>Other income</w:t>
            </w:r>
          </w:p>
        </w:tc>
        <w:tc>
          <w:tcPr>
            <w:tcW w:w="1442" w:type="dxa"/>
            <w:noWrap/>
            <w:hideMark/>
          </w:tcPr>
          <w:p w14:paraId="4D92D421" w14:textId="0552ACA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$2.84</w:t>
            </w:r>
          </w:p>
        </w:tc>
        <w:tc>
          <w:tcPr>
            <w:tcW w:w="1442" w:type="dxa"/>
            <w:noWrap/>
            <w:hideMark/>
          </w:tcPr>
          <w:p w14:paraId="14E0D719" w14:textId="19ADAE13"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$24.46</w:t>
            </w:r>
          </w:p>
        </w:tc>
        <w:tc>
          <w:tcPr>
            <w:tcW w:w="1442" w:type="dxa"/>
            <w:noWrap/>
            <w:hideMark/>
          </w:tcPr>
          <w:p w14:paraId="10A89D25" w14:textId="6A0E922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$0.35</w:t>
            </w:r>
          </w:p>
        </w:tc>
        <w:tc>
          <w:tcPr>
            <w:tcW w:w="1442" w:type="dxa"/>
            <w:noWrap/>
            <w:hideMark/>
          </w:tcPr>
          <w:p w14:paraId="2FA15DB9" w14:textId="1165155B"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$2.03</w:t>
            </w:r>
          </w:p>
        </w:tc>
        <w:tc>
          <w:tcPr>
            <w:tcW w:w="1300" w:type="dxa"/>
            <w:noWrap/>
            <w:hideMark/>
          </w:tcPr>
          <w:p w14:paraId="5C954E68" w14:textId="494E5EB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$8.53</w:t>
            </w:r>
          </w:p>
        </w:tc>
      </w:tr>
      <w:tr w:rsidR="005D1D6E" w:rsidRPr="005D1D6E" w14:paraId="4FC468EA"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EF36632" w14:textId="77777777" w:rsidR="005D1D6E" w:rsidRPr="005D1D6E" w:rsidRDefault="005D1D6E" w:rsidP="00966B51">
            <w:pPr>
              <w:pStyle w:val="TableofAuthorities"/>
              <w:rPr>
                <w:lang w:eastAsia="en-AU"/>
              </w:rPr>
            </w:pPr>
            <w:r w:rsidRPr="005D1D6E">
              <w:rPr>
                <w:lang w:eastAsia="en-AU"/>
              </w:rPr>
              <w:t>Total expenses</w:t>
            </w:r>
          </w:p>
        </w:tc>
        <w:tc>
          <w:tcPr>
            <w:tcW w:w="1442" w:type="dxa"/>
            <w:noWrap/>
            <w:hideMark/>
          </w:tcPr>
          <w:p w14:paraId="6AA462EE" w14:textId="2A25C06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$75.04</w:t>
            </w:r>
          </w:p>
        </w:tc>
        <w:tc>
          <w:tcPr>
            <w:tcW w:w="1442" w:type="dxa"/>
            <w:noWrap/>
            <w:hideMark/>
          </w:tcPr>
          <w:p w14:paraId="3F742B56" w14:textId="36FBDC3B"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$60.05</w:t>
            </w:r>
          </w:p>
        </w:tc>
        <w:tc>
          <w:tcPr>
            <w:tcW w:w="1442" w:type="dxa"/>
            <w:noWrap/>
            <w:hideMark/>
          </w:tcPr>
          <w:p w14:paraId="66AF6B24" w14:textId="6499599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$56.38</w:t>
            </w:r>
          </w:p>
        </w:tc>
        <w:tc>
          <w:tcPr>
            <w:tcW w:w="1442" w:type="dxa"/>
            <w:noWrap/>
            <w:hideMark/>
          </w:tcPr>
          <w:p w14:paraId="72AE294E" w14:textId="6DF0EF5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$74.06</w:t>
            </w:r>
          </w:p>
        </w:tc>
        <w:tc>
          <w:tcPr>
            <w:tcW w:w="1300" w:type="dxa"/>
            <w:noWrap/>
            <w:hideMark/>
          </w:tcPr>
          <w:p w14:paraId="1E737E63" w14:textId="43B31C3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$63.45</w:t>
            </w:r>
          </w:p>
        </w:tc>
      </w:tr>
      <w:tr w:rsidR="005D1D6E" w:rsidRPr="00966B51" w14:paraId="7BE03A87"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D8DBDB" w:themeFill="background2" w:themeFillShade="E6"/>
            <w:noWrap/>
            <w:hideMark/>
          </w:tcPr>
          <w:p w14:paraId="3CF9C7C1" w14:textId="77777777" w:rsidR="005D1D6E" w:rsidRPr="00966B51" w:rsidRDefault="005D1D6E" w:rsidP="00966B51">
            <w:pPr>
              <w:pStyle w:val="TableParagraphbold"/>
            </w:pPr>
            <w:r w:rsidRPr="00966B51">
              <w:t>Net profit before tax</w:t>
            </w:r>
          </w:p>
        </w:tc>
        <w:tc>
          <w:tcPr>
            <w:tcW w:w="1442" w:type="dxa"/>
            <w:shd w:val="clear" w:color="auto" w:fill="D8DBDB" w:themeFill="background2" w:themeFillShade="E6"/>
            <w:noWrap/>
            <w:hideMark/>
          </w:tcPr>
          <w:p w14:paraId="5570FC6C" w14:textId="78CB4BBE"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$18.42</w:t>
            </w:r>
          </w:p>
        </w:tc>
        <w:tc>
          <w:tcPr>
            <w:tcW w:w="1442" w:type="dxa"/>
            <w:shd w:val="clear" w:color="auto" w:fill="D8DBDB" w:themeFill="background2" w:themeFillShade="E6"/>
            <w:noWrap/>
            <w:hideMark/>
          </w:tcPr>
          <w:p w14:paraId="6A9095BF"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xml:space="preserve">$4.04 </w:t>
            </w:r>
          </w:p>
        </w:tc>
        <w:tc>
          <w:tcPr>
            <w:tcW w:w="1442" w:type="dxa"/>
            <w:shd w:val="clear" w:color="auto" w:fill="D8DBDB" w:themeFill="background2" w:themeFillShade="E6"/>
            <w:noWrap/>
            <w:hideMark/>
          </w:tcPr>
          <w:p w14:paraId="47CDAA69" w14:textId="68D8EA1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$0.23</w:t>
            </w:r>
          </w:p>
        </w:tc>
        <w:tc>
          <w:tcPr>
            <w:tcW w:w="1442" w:type="dxa"/>
            <w:shd w:val="clear" w:color="auto" w:fill="D8DBDB" w:themeFill="background2" w:themeFillShade="E6"/>
            <w:noWrap/>
            <w:hideMark/>
          </w:tcPr>
          <w:p w14:paraId="380F58CF"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($8.42)</w:t>
            </w:r>
          </w:p>
        </w:tc>
        <w:tc>
          <w:tcPr>
            <w:tcW w:w="1300" w:type="dxa"/>
            <w:shd w:val="clear" w:color="auto" w:fill="D8DBDB" w:themeFill="background2" w:themeFillShade="E6"/>
            <w:noWrap/>
            <w:hideMark/>
          </w:tcPr>
          <w:p w14:paraId="3FCECECC" w14:textId="2D76DAC2"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$3.25</w:t>
            </w:r>
          </w:p>
        </w:tc>
      </w:tr>
      <w:tr w:rsidR="005D1D6E" w:rsidRPr="00966B51" w14:paraId="52650127"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D8DBDB" w:themeFill="background2" w:themeFillShade="E6"/>
            <w:noWrap/>
            <w:hideMark/>
          </w:tcPr>
          <w:p w14:paraId="643245C0" w14:textId="77777777" w:rsidR="005D1D6E" w:rsidRPr="00966B51" w:rsidRDefault="005D1D6E" w:rsidP="00966B51">
            <w:pPr>
              <w:pStyle w:val="TableParagraphbold"/>
            </w:pPr>
            <w:r w:rsidRPr="00966B51">
              <w:t>Not-for-profit</w:t>
            </w:r>
          </w:p>
        </w:tc>
        <w:tc>
          <w:tcPr>
            <w:tcW w:w="1442" w:type="dxa"/>
            <w:shd w:val="clear" w:color="auto" w:fill="D8DBDB" w:themeFill="background2" w:themeFillShade="E6"/>
            <w:noWrap/>
            <w:hideMark/>
          </w:tcPr>
          <w:p w14:paraId="77AAC890"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442" w:type="dxa"/>
            <w:shd w:val="clear" w:color="auto" w:fill="D8DBDB" w:themeFill="background2" w:themeFillShade="E6"/>
            <w:noWrap/>
            <w:hideMark/>
          </w:tcPr>
          <w:p w14:paraId="6DDD3924"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442" w:type="dxa"/>
            <w:shd w:val="clear" w:color="auto" w:fill="D8DBDB" w:themeFill="background2" w:themeFillShade="E6"/>
            <w:noWrap/>
            <w:hideMark/>
          </w:tcPr>
          <w:p w14:paraId="5AE60B98"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442" w:type="dxa"/>
            <w:shd w:val="clear" w:color="auto" w:fill="D8DBDB" w:themeFill="background2" w:themeFillShade="E6"/>
            <w:noWrap/>
            <w:hideMark/>
          </w:tcPr>
          <w:p w14:paraId="4657A740"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c>
          <w:tcPr>
            <w:tcW w:w="1300" w:type="dxa"/>
            <w:shd w:val="clear" w:color="auto" w:fill="D8DBDB" w:themeFill="background2" w:themeFillShade="E6"/>
            <w:noWrap/>
            <w:hideMark/>
          </w:tcPr>
          <w:p w14:paraId="2BB824B5" w14:textId="77777777" w:rsidR="005D1D6E" w:rsidRPr="00966B51"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pPr>
            <w:r w:rsidRPr="00966B51">
              <w:t> </w:t>
            </w:r>
          </w:p>
        </w:tc>
      </w:tr>
      <w:tr w:rsidR="005D1D6E" w:rsidRPr="005D1D6E" w14:paraId="43421F6D"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07EA275D" w14:textId="77777777" w:rsidR="005D1D6E" w:rsidRPr="005D1D6E" w:rsidRDefault="005D1D6E" w:rsidP="00966B51">
            <w:pPr>
              <w:pStyle w:val="TableofAuthorities"/>
              <w:rPr>
                <w:lang w:eastAsia="en-AU"/>
              </w:rPr>
            </w:pPr>
            <w:r w:rsidRPr="005D1D6E">
              <w:rPr>
                <w:lang w:eastAsia="en-AU"/>
              </w:rPr>
              <w:t>Number of providers</w:t>
            </w:r>
          </w:p>
        </w:tc>
        <w:tc>
          <w:tcPr>
            <w:tcW w:w="1442" w:type="dxa"/>
            <w:noWrap/>
            <w:hideMark/>
          </w:tcPr>
          <w:p w14:paraId="3CF4C75E"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93</w:t>
            </w:r>
          </w:p>
        </w:tc>
        <w:tc>
          <w:tcPr>
            <w:tcW w:w="1442" w:type="dxa"/>
            <w:noWrap/>
            <w:hideMark/>
          </w:tcPr>
          <w:p w14:paraId="15913DEA"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117</w:t>
            </w:r>
          </w:p>
        </w:tc>
        <w:tc>
          <w:tcPr>
            <w:tcW w:w="1442" w:type="dxa"/>
            <w:noWrap/>
            <w:hideMark/>
          </w:tcPr>
          <w:p w14:paraId="0000E88B"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115</w:t>
            </w:r>
          </w:p>
        </w:tc>
        <w:tc>
          <w:tcPr>
            <w:tcW w:w="1442" w:type="dxa"/>
            <w:noWrap/>
            <w:hideMark/>
          </w:tcPr>
          <w:p w14:paraId="3DE5C841"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105</w:t>
            </w:r>
          </w:p>
        </w:tc>
        <w:tc>
          <w:tcPr>
            <w:tcW w:w="1300" w:type="dxa"/>
            <w:noWrap/>
            <w:hideMark/>
          </w:tcPr>
          <w:p w14:paraId="33404274"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430</w:t>
            </w:r>
          </w:p>
        </w:tc>
      </w:tr>
      <w:tr w:rsidR="005D1D6E" w:rsidRPr="005D1D6E" w14:paraId="3C18BE24"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hideMark/>
          </w:tcPr>
          <w:p w14:paraId="5ABC76C8" w14:textId="77777777" w:rsidR="005D1D6E" w:rsidRPr="005D1D6E" w:rsidRDefault="005D1D6E" w:rsidP="00966B51">
            <w:pPr>
              <w:pStyle w:val="TableofAuthorities"/>
              <w:rPr>
                <w:lang w:eastAsia="en-AU"/>
              </w:rPr>
            </w:pPr>
            <w:r w:rsidRPr="005D1D6E">
              <w:rPr>
                <w:lang w:eastAsia="en-AU"/>
              </w:rPr>
              <w:t>Provision of care / direct care services</w:t>
            </w:r>
          </w:p>
        </w:tc>
        <w:tc>
          <w:tcPr>
            <w:tcW w:w="1442" w:type="dxa"/>
            <w:noWrap/>
            <w:hideMark/>
          </w:tcPr>
          <w:p w14:paraId="0B25BCDD" w14:textId="66377689"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$30.58</w:t>
            </w:r>
          </w:p>
        </w:tc>
        <w:tc>
          <w:tcPr>
            <w:tcW w:w="1442" w:type="dxa"/>
            <w:noWrap/>
            <w:hideMark/>
          </w:tcPr>
          <w:p w14:paraId="41CB1478" w14:textId="773C884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$30.61</w:t>
            </w:r>
          </w:p>
        </w:tc>
        <w:tc>
          <w:tcPr>
            <w:tcW w:w="1442" w:type="dxa"/>
            <w:noWrap/>
            <w:hideMark/>
          </w:tcPr>
          <w:p w14:paraId="26DD238D" w14:textId="6EC0786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$30.37</w:t>
            </w:r>
          </w:p>
        </w:tc>
        <w:tc>
          <w:tcPr>
            <w:tcW w:w="1442" w:type="dxa"/>
            <w:noWrap/>
            <w:hideMark/>
          </w:tcPr>
          <w:p w14:paraId="0CA9978A" w14:textId="4F1BC28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$31.47</w:t>
            </w:r>
          </w:p>
        </w:tc>
        <w:tc>
          <w:tcPr>
            <w:tcW w:w="1300" w:type="dxa"/>
            <w:noWrap/>
            <w:hideMark/>
          </w:tcPr>
          <w:p w14:paraId="61274F44" w14:textId="420DFB8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$30.72</w:t>
            </w:r>
          </w:p>
        </w:tc>
      </w:tr>
      <w:tr w:rsidR="005D1D6E" w:rsidRPr="005D1D6E" w14:paraId="4B730631"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hideMark/>
          </w:tcPr>
          <w:p w14:paraId="1C434E23" w14:textId="77777777" w:rsidR="005D1D6E" w:rsidRPr="005D1D6E" w:rsidRDefault="005D1D6E" w:rsidP="00966B51">
            <w:pPr>
              <w:pStyle w:val="TableofAuthorities"/>
              <w:rPr>
                <w:lang w:eastAsia="en-AU"/>
              </w:rPr>
            </w:pPr>
            <w:r w:rsidRPr="005D1D6E">
              <w:rPr>
                <w:lang w:eastAsia="en-AU"/>
              </w:rPr>
              <w:t>Provision of care / sub-contracted services</w:t>
            </w:r>
          </w:p>
        </w:tc>
        <w:tc>
          <w:tcPr>
            <w:tcW w:w="1442" w:type="dxa"/>
            <w:noWrap/>
            <w:hideMark/>
          </w:tcPr>
          <w:p w14:paraId="5D194D22" w14:textId="60E5AD5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$13.09</w:t>
            </w:r>
          </w:p>
        </w:tc>
        <w:tc>
          <w:tcPr>
            <w:tcW w:w="1442" w:type="dxa"/>
            <w:noWrap/>
            <w:hideMark/>
          </w:tcPr>
          <w:p w14:paraId="2EB108F0" w14:textId="68457C5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$13.15</w:t>
            </w:r>
          </w:p>
        </w:tc>
        <w:tc>
          <w:tcPr>
            <w:tcW w:w="1442" w:type="dxa"/>
            <w:noWrap/>
            <w:hideMark/>
          </w:tcPr>
          <w:p w14:paraId="58B0B521" w14:textId="191FA9C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$15.26</w:t>
            </w:r>
          </w:p>
        </w:tc>
        <w:tc>
          <w:tcPr>
            <w:tcW w:w="1442" w:type="dxa"/>
            <w:noWrap/>
            <w:hideMark/>
          </w:tcPr>
          <w:p w14:paraId="0E2199F1" w14:textId="7702F66E"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$12.75</w:t>
            </w:r>
          </w:p>
        </w:tc>
        <w:tc>
          <w:tcPr>
            <w:tcW w:w="1300" w:type="dxa"/>
            <w:noWrap/>
            <w:hideMark/>
          </w:tcPr>
          <w:p w14:paraId="3A1B7C0E" w14:textId="108E66E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$13.58</w:t>
            </w:r>
          </w:p>
        </w:tc>
      </w:tr>
      <w:tr w:rsidR="005D1D6E" w:rsidRPr="005D1D6E" w14:paraId="637ABF63"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6C16F3A" w14:textId="77777777" w:rsidR="005D1D6E" w:rsidRPr="005D1D6E" w:rsidRDefault="005D1D6E" w:rsidP="00966B51">
            <w:pPr>
              <w:pStyle w:val="TableofAuthorities"/>
              <w:rPr>
                <w:lang w:eastAsia="en-AU"/>
              </w:rPr>
            </w:pPr>
            <w:r w:rsidRPr="005D1D6E">
              <w:rPr>
                <w:lang w:eastAsia="en-AU"/>
              </w:rPr>
              <w:t>Client/case management fees charged</w:t>
            </w:r>
          </w:p>
        </w:tc>
        <w:tc>
          <w:tcPr>
            <w:tcW w:w="1442" w:type="dxa"/>
            <w:noWrap/>
            <w:hideMark/>
          </w:tcPr>
          <w:p w14:paraId="15D4CD5A" w14:textId="3B98684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$12.71</w:t>
            </w:r>
          </w:p>
        </w:tc>
        <w:tc>
          <w:tcPr>
            <w:tcW w:w="1442" w:type="dxa"/>
            <w:noWrap/>
            <w:hideMark/>
          </w:tcPr>
          <w:p w14:paraId="1FD6C1E6" w14:textId="4CBEE599"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$11.96</w:t>
            </w:r>
          </w:p>
        </w:tc>
        <w:tc>
          <w:tcPr>
            <w:tcW w:w="1442" w:type="dxa"/>
            <w:noWrap/>
            <w:hideMark/>
          </w:tcPr>
          <w:p w14:paraId="0CD963FB" w14:textId="006AB7F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$11.43</w:t>
            </w:r>
          </w:p>
        </w:tc>
        <w:tc>
          <w:tcPr>
            <w:tcW w:w="1442" w:type="dxa"/>
            <w:noWrap/>
            <w:hideMark/>
          </w:tcPr>
          <w:p w14:paraId="0ADD5C58" w14:textId="47B4D30B"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$13.10</w:t>
            </w:r>
          </w:p>
        </w:tc>
        <w:tc>
          <w:tcPr>
            <w:tcW w:w="1300" w:type="dxa"/>
            <w:noWrap/>
            <w:hideMark/>
          </w:tcPr>
          <w:p w14:paraId="692C4C5F" w14:textId="0268FBBE"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$12.21</w:t>
            </w:r>
          </w:p>
        </w:tc>
      </w:tr>
      <w:tr w:rsidR="005D1D6E" w:rsidRPr="005D1D6E" w14:paraId="0252F4C8"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70D21DD" w14:textId="77777777" w:rsidR="005D1D6E" w:rsidRPr="005D1D6E" w:rsidRDefault="005D1D6E" w:rsidP="00966B51">
            <w:pPr>
              <w:pStyle w:val="TableofAuthorities"/>
              <w:rPr>
                <w:lang w:eastAsia="en-AU"/>
              </w:rPr>
            </w:pPr>
            <w:r w:rsidRPr="005D1D6E">
              <w:rPr>
                <w:lang w:eastAsia="en-AU"/>
              </w:rPr>
              <w:t>Admin and management of packages</w:t>
            </w:r>
          </w:p>
        </w:tc>
        <w:tc>
          <w:tcPr>
            <w:tcW w:w="1442" w:type="dxa"/>
            <w:noWrap/>
            <w:hideMark/>
          </w:tcPr>
          <w:p w14:paraId="4DD90083" w14:textId="339022EB"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$9.60</w:t>
            </w:r>
          </w:p>
        </w:tc>
        <w:tc>
          <w:tcPr>
            <w:tcW w:w="1442" w:type="dxa"/>
            <w:noWrap/>
            <w:hideMark/>
          </w:tcPr>
          <w:p w14:paraId="18F58AB8" w14:textId="527B04E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$7.38</w:t>
            </w:r>
          </w:p>
        </w:tc>
        <w:tc>
          <w:tcPr>
            <w:tcW w:w="1442" w:type="dxa"/>
            <w:noWrap/>
            <w:hideMark/>
          </w:tcPr>
          <w:p w14:paraId="1ED76241" w14:textId="295A188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$7.83</w:t>
            </w:r>
          </w:p>
        </w:tc>
        <w:tc>
          <w:tcPr>
            <w:tcW w:w="1442" w:type="dxa"/>
            <w:noWrap/>
            <w:hideMark/>
          </w:tcPr>
          <w:p w14:paraId="47E10DF0" w14:textId="7F113B3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$6.28</w:t>
            </w:r>
          </w:p>
        </w:tc>
        <w:tc>
          <w:tcPr>
            <w:tcW w:w="1300" w:type="dxa"/>
            <w:noWrap/>
            <w:hideMark/>
          </w:tcPr>
          <w:p w14:paraId="1FE07E1D" w14:textId="2B58A2C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$7.68</w:t>
            </w:r>
          </w:p>
        </w:tc>
      </w:tr>
      <w:tr w:rsidR="005D1D6E" w:rsidRPr="005D1D6E" w14:paraId="18A25776"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38552C1" w14:textId="77777777" w:rsidR="005D1D6E" w:rsidRPr="005D1D6E" w:rsidRDefault="005D1D6E" w:rsidP="00966B51">
            <w:pPr>
              <w:pStyle w:val="TableofAuthorities"/>
              <w:rPr>
                <w:lang w:eastAsia="en-AU"/>
              </w:rPr>
            </w:pPr>
            <w:r w:rsidRPr="005D1D6E">
              <w:rPr>
                <w:lang w:eastAsia="en-AU"/>
              </w:rPr>
              <w:t>Exit amounts deducted</w:t>
            </w:r>
          </w:p>
        </w:tc>
        <w:tc>
          <w:tcPr>
            <w:tcW w:w="1442" w:type="dxa"/>
            <w:noWrap/>
            <w:hideMark/>
          </w:tcPr>
          <w:p w14:paraId="6CC4957F" w14:textId="1FC7157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$0.11</w:t>
            </w:r>
          </w:p>
        </w:tc>
        <w:tc>
          <w:tcPr>
            <w:tcW w:w="1442" w:type="dxa"/>
            <w:noWrap/>
            <w:hideMark/>
          </w:tcPr>
          <w:p w14:paraId="4CA822BF" w14:textId="5479234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$0.06</w:t>
            </w:r>
          </w:p>
        </w:tc>
        <w:tc>
          <w:tcPr>
            <w:tcW w:w="1442" w:type="dxa"/>
            <w:noWrap/>
            <w:hideMark/>
          </w:tcPr>
          <w:p w14:paraId="6949CBBB" w14:textId="531009F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$0.07</w:t>
            </w:r>
          </w:p>
        </w:tc>
        <w:tc>
          <w:tcPr>
            <w:tcW w:w="1442" w:type="dxa"/>
            <w:noWrap/>
            <w:hideMark/>
          </w:tcPr>
          <w:p w14:paraId="4F19B6AD" w14:textId="53198E3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$0.09</w:t>
            </w:r>
          </w:p>
        </w:tc>
        <w:tc>
          <w:tcPr>
            <w:tcW w:w="1300" w:type="dxa"/>
            <w:noWrap/>
            <w:hideMark/>
          </w:tcPr>
          <w:p w14:paraId="2881DA59" w14:textId="3530C74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$0.08</w:t>
            </w:r>
          </w:p>
        </w:tc>
      </w:tr>
      <w:tr w:rsidR="005D1D6E" w:rsidRPr="005D1D6E" w14:paraId="2FCC3703"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2701F627" w14:textId="77777777" w:rsidR="005D1D6E" w:rsidRPr="005D1D6E" w:rsidRDefault="005D1D6E" w:rsidP="00966B51">
            <w:pPr>
              <w:pStyle w:val="TableofAuthorities"/>
              <w:rPr>
                <w:lang w:eastAsia="en-AU"/>
              </w:rPr>
            </w:pPr>
            <w:r w:rsidRPr="005D1D6E">
              <w:rPr>
                <w:lang w:eastAsia="en-AU"/>
              </w:rPr>
              <w:t>COVID-19 funding</w:t>
            </w:r>
          </w:p>
        </w:tc>
        <w:tc>
          <w:tcPr>
            <w:tcW w:w="1442" w:type="dxa"/>
            <w:noWrap/>
            <w:hideMark/>
          </w:tcPr>
          <w:p w14:paraId="114CF70F" w14:textId="133628C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$0.26</w:t>
            </w:r>
          </w:p>
        </w:tc>
        <w:tc>
          <w:tcPr>
            <w:tcW w:w="1442" w:type="dxa"/>
            <w:noWrap/>
            <w:hideMark/>
          </w:tcPr>
          <w:p w14:paraId="50AEB977" w14:textId="464C6969"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$0.18</w:t>
            </w:r>
          </w:p>
        </w:tc>
        <w:tc>
          <w:tcPr>
            <w:tcW w:w="1442" w:type="dxa"/>
            <w:noWrap/>
            <w:hideMark/>
          </w:tcPr>
          <w:p w14:paraId="5A0DDADA" w14:textId="3DCF417C"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$0.29</w:t>
            </w:r>
          </w:p>
        </w:tc>
        <w:tc>
          <w:tcPr>
            <w:tcW w:w="1442" w:type="dxa"/>
            <w:noWrap/>
            <w:hideMark/>
          </w:tcPr>
          <w:p w14:paraId="6091C81E" w14:textId="16728B4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$0.27</w:t>
            </w:r>
          </w:p>
        </w:tc>
        <w:tc>
          <w:tcPr>
            <w:tcW w:w="1300" w:type="dxa"/>
            <w:noWrap/>
            <w:hideMark/>
          </w:tcPr>
          <w:p w14:paraId="53B70874" w14:textId="481A54B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$0.24</w:t>
            </w:r>
          </w:p>
        </w:tc>
      </w:tr>
      <w:tr w:rsidR="005D1D6E" w:rsidRPr="005D1D6E" w14:paraId="5D1D925A"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8674502" w14:textId="77777777" w:rsidR="005D1D6E" w:rsidRPr="005D1D6E" w:rsidRDefault="005D1D6E" w:rsidP="00966B51">
            <w:pPr>
              <w:pStyle w:val="TableofAuthorities"/>
              <w:rPr>
                <w:lang w:eastAsia="en-AU"/>
              </w:rPr>
            </w:pPr>
            <w:r w:rsidRPr="005D1D6E">
              <w:rPr>
                <w:lang w:eastAsia="en-AU"/>
              </w:rPr>
              <w:t>Other income</w:t>
            </w:r>
          </w:p>
        </w:tc>
        <w:tc>
          <w:tcPr>
            <w:tcW w:w="1442" w:type="dxa"/>
            <w:noWrap/>
            <w:hideMark/>
          </w:tcPr>
          <w:p w14:paraId="3CCF2C2D" w14:textId="247763A3"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$0.72</w:t>
            </w:r>
          </w:p>
        </w:tc>
        <w:tc>
          <w:tcPr>
            <w:tcW w:w="1442" w:type="dxa"/>
            <w:noWrap/>
            <w:hideMark/>
          </w:tcPr>
          <w:p w14:paraId="72DE9B01" w14:textId="7C74C791"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$1.52</w:t>
            </w:r>
          </w:p>
        </w:tc>
        <w:tc>
          <w:tcPr>
            <w:tcW w:w="1442" w:type="dxa"/>
            <w:noWrap/>
            <w:hideMark/>
          </w:tcPr>
          <w:p w14:paraId="60ED5B57" w14:textId="71FACE7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$1.28</w:t>
            </w:r>
          </w:p>
        </w:tc>
        <w:tc>
          <w:tcPr>
            <w:tcW w:w="1442" w:type="dxa"/>
            <w:noWrap/>
            <w:hideMark/>
          </w:tcPr>
          <w:p w14:paraId="0CD5FAB1" w14:textId="435724AC"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$2.09</w:t>
            </w:r>
          </w:p>
        </w:tc>
        <w:tc>
          <w:tcPr>
            <w:tcW w:w="1300" w:type="dxa"/>
            <w:noWrap/>
            <w:hideMark/>
          </w:tcPr>
          <w:p w14:paraId="07FF02DD" w14:textId="36FDF7DB"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$1.43</w:t>
            </w:r>
          </w:p>
        </w:tc>
      </w:tr>
      <w:tr w:rsidR="005D1D6E" w:rsidRPr="005D1D6E" w14:paraId="05670261"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52847E21" w14:textId="77777777" w:rsidR="005D1D6E" w:rsidRPr="005D1D6E" w:rsidRDefault="005D1D6E" w:rsidP="00966B51">
            <w:pPr>
              <w:pStyle w:val="TableofAuthorities"/>
              <w:rPr>
                <w:lang w:eastAsia="en-AU"/>
              </w:rPr>
            </w:pPr>
            <w:r w:rsidRPr="005D1D6E">
              <w:rPr>
                <w:lang w:eastAsia="en-AU"/>
              </w:rPr>
              <w:t>Total expenses</w:t>
            </w:r>
          </w:p>
        </w:tc>
        <w:tc>
          <w:tcPr>
            <w:tcW w:w="1442" w:type="dxa"/>
            <w:noWrap/>
            <w:hideMark/>
          </w:tcPr>
          <w:p w14:paraId="3FE7A65C" w14:textId="328B48D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$55.96</w:t>
            </w:r>
          </w:p>
        </w:tc>
        <w:tc>
          <w:tcPr>
            <w:tcW w:w="1442" w:type="dxa"/>
            <w:noWrap/>
            <w:hideMark/>
          </w:tcPr>
          <w:p w14:paraId="34E5E041" w14:textId="2719117E"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$59.46</w:t>
            </w:r>
          </w:p>
        </w:tc>
        <w:tc>
          <w:tcPr>
            <w:tcW w:w="1442" w:type="dxa"/>
            <w:noWrap/>
            <w:hideMark/>
          </w:tcPr>
          <w:p w14:paraId="71D8E65E" w14:textId="6E73F7E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$65.51</w:t>
            </w:r>
          </w:p>
        </w:tc>
        <w:tc>
          <w:tcPr>
            <w:tcW w:w="1442" w:type="dxa"/>
            <w:noWrap/>
            <w:hideMark/>
          </w:tcPr>
          <w:p w14:paraId="290A8C4D" w14:textId="0126C59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$73.82</w:t>
            </w:r>
          </w:p>
        </w:tc>
        <w:tc>
          <w:tcPr>
            <w:tcW w:w="1300" w:type="dxa"/>
            <w:noWrap/>
            <w:hideMark/>
          </w:tcPr>
          <w:p w14:paraId="14B52C09" w14:textId="7D36B65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$63.34</w:t>
            </w:r>
          </w:p>
        </w:tc>
      </w:tr>
      <w:tr w:rsidR="005D1D6E" w:rsidRPr="005D1D6E" w14:paraId="231BA7CC"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D8DBDB" w:themeFill="background2" w:themeFillShade="E6"/>
            <w:noWrap/>
            <w:hideMark/>
          </w:tcPr>
          <w:p w14:paraId="5BD3040D" w14:textId="77777777" w:rsidR="005D1D6E" w:rsidRPr="005D1D6E" w:rsidRDefault="005D1D6E" w:rsidP="00966B51">
            <w:pPr>
              <w:pStyle w:val="TableParagraphbold"/>
              <w:rPr>
                <w:lang w:eastAsia="en-AU"/>
              </w:rPr>
            </w:pPr>
            <w:r w:rsidRPr="005D1D6E">
              <w:rPr>
                <w:lang w:eastAsia="en-AU"/>
              </w:rPr>
              <w:t>Net profit before tax</w:t>
            </w:r>
          </w:p>
        </w:tc>
        <w:tc>
          <w:tcPr>
            <w:tcW w:w="1442" w:type="dxa"/>
            <w:shd w:val="clear" w:color="auto" w:fill="D8DBDB" w:themeFill="background2" w:themeFillShade="E6"/>
            <w:noWrap/>
            <w:hideMark/>
          </w:tcPr>
          <w:p w14:paraId="494F4522" w14:textId="6396FD96"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$11.11</w:t>
            </w:r>
          </w:p>
        </w:tc>
        <w:tc>
          <w:tcPr>
            <w:tcW w:w="1442" w:type="dxa"/>
            <w:shd w:val="clear" w:color="auto" w:fill="D8DBDB" w:themeFill="background2" w:themeFillShade="E6"/>
            <w:noWrap/>
            <w:hideMark/>
          </w:tcPr>
          <w:p w14:paraId="011BFE1A" w14:textId="07C0E685"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$5.40</w:t>
            </w:r>
          </w:p>
        </w:tc>
        <w:tc>
          <w:tcPr>
            <w:tcW w:w="1442" w:type="dxa"/>
            <w:shd w:val="clear" w:color="auto" w:fill="D8DBDB" w:themeFill="background2" w:themeFillShade="E6"/>
            <w:noWrap/>
            <w:hideMark/>
          </w:tcPr>
          <w:p w14:paraId="29EFC945" w14:textId="5A00DEE6"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$1.02</w:t>
            </w:r>
          </w:p>
        </w:tc>
        <w:tc>
          <w:tcPr>
            <w:tcW w:w="1442" w:type="dxa"/>
            <w:shd w:val="clear" w:color="auto" w:fill="D8DBDB" w:themeFill="background2" w:themeFillShade="E6"/>
            <w:noWrap/>
            <w:hideMark/>
          </w:tcPr>
          <w:p w14:paraId="6F091AC8"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($7.78)</w:t>
            </w:r>
          </w:p>
        </w:tc>
        <w:tc>
          <w:tcPr>
            <w:tcW w:w="1300" w:type="dxa"/>
            <w:shd w:val="clear" w:color="auto" w:fill="D8DBDB" w:themeFill="background2" w:themeFillShade="E6"/>
            <w:noWrap/>
            <w:hideMark/>
          </w:tcPr>
          <w:p w14:paraId="4B555145" w14:textId="45CDA4C3"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$2.60</w:t>
            </w:r>
          </w:p>
        </w:tc>
      </w:tr>
      <w:tr w:rsidR="005D1D6E" w:rsidRPr="005D1D6E" w14:paraId="1AF10ADC"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D8DBDB" w:themeFill="background2" w:themeFillShade="E6"/>
            <w:noWrap/>
            <w:hideMark/>
          </w:tcPr>
          <w:p w14:paraId="77010DE1" w14:textId="77777777" w:rsidR="005D1D6E" w:rsidRPr="005D1D6E" w:rsidRDefault="005D1D6E" w:rsidP="00966B51">
            <w:pPr>
              <w:pStyle w:val="TableParagraphbold"/>
              <w:rPr>
                <w:lang w:eastAsia="en-AU"/>
              </w:rPr>
            </w:pPr>
            <w:r w:rsidRPr="005D1D6E">
              <w:rPr>
                <w:lang w:eastAsia="en-AU"/>
              </w:rPr>
              <w:t>Local state or territory government</w:t>
            </w:r>
          </w:p>
        </w:tc>
        <w:tc>
          <w:tcPr>
            <w:tcW w:w="1442" w:type="dxa"/>
            <w:shd w:val="clear" w:color="auto" w:fill="D8DBDB" w:themeFill="background2" w:themeFillShade="E6"/>
            <w:noWrap/>
            <w:hideMark/>
          </w:tcPr>
          <w:p w14:paraId="7E7E6998"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c>
          <w:tcPr>
            <w:tcW w:w="1442" w:type="dxa"/>
            <w:shd w:val="clear" w:color="auto" w:fill="D8DBDB" w:themeFill="background2" w:themeFillShade="E6"/>
            <w:noWrap/>
            <w:hideMark/>
          </w:tcPr>
          <w:p w14:paraId="52A5EBF8"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c>
          <w:tcPr>
            <w:tcW w:w="1442" w:type="dxa"/>
            <w:shd w:val="clear" w:color="auto" w:fill="D8DBDB" w:themeFill="background2" w:themeFillShade="E6"/>
            <w:noWrap/>
            <w:hideMark/>
          </w:tcPr>
          <w:p w14:paraId="425A7DC2"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c>
          <w:tcPr>
            <w:tcW w:w="1442" w:type="dxa"/>
            <w:shd w:val="clear" w:color="auto" w:fill="D8DBDB" w:themeFill="background2" w:themeFillShade="E6"/>
            <w:noWrap/>
            <w:hideMark/>
          </w:tcPr>
          <w:p w14:paraId="24974E33"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c>
          <w:tcPr>
            <w:tcW w:w="1300" w:type="dxa"/>
            <w:shd w:val="clear" w:color="auto" w:fill="D8DBDB" w:themeFill="background2" w:themeFillShade="E6"/>
            <w:noWrap/>
            <w:hideMark/>
          </w:tcPr>
          <w:p w14:paraId="5B9FC262"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r>
      <w:tr w:rsidR="005D1D6E" w:rsidRPr="005D1D6E" w14:paraId="48553410"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2C3A6AEC" w14:textId="77777777" w:rsidR="005D1D6E" w:rsidRPr="005D1D6E" w:rsidRDefault="005D1D6E" w:rsidP="00966B51">
            <w:pPr>
              <w:pStyle w:val="TableofAuthorities"/>
              <w:rPr>
                <w:lang w:eastAsia="en-AU"/>
              </w:rPr>
            </w:pPr>
            <w:r w:rsidRPr="005D1D6E">
              <w:rPr>
                <w:lang w:eastAsia="en-AU"/>
              </w:rPr>
              <w:t>Number of providers</w:t>
            </w:r>
          </w:p>
        </w:tc>
        <w:tc>
          <w:tcPr>
            <w:tcW w:w="1442" w:type="dxa"/>
            <w:noWrap/>
            <w:hideMark/>
          </w:tcPr>
          <w:p w14:paraId="5824A0C5"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20</w:t>
            </w:r>
          </w:p>
        </w:tc>
        <w:tc>
          <w:tcPr>
            <w:tcW w:w="1442" w:type="dxa"/>
            <w:noWrap/>
            <w:hideMark/>
          </w:tcPr>
          <w:p w14:paraId="103898E2"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21</w:t>
            </w:r>
          </w:p>
        </w:tc>
        <w:tc>
          <w:tcPr>
            <w:tcW w:w="1442" w:type="dxa"/>
            <w:noWrap/>
            <w:hideMark/>
          </w:tcPr>
          <w:p w14:paraId="664DDE7B"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26</w:t>
            </w:r>
          </w:p>
        </w:tc>
        <w:tc>
          <w:tcPr>
            <w:tcW w:w="1442" w:type="dxa"/>
            <w:noWrap/>
            <w:hideMark/>
          </w:tcPr>
          <w:p w14:paraId="545D005B"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35</w:t>
            </w:r>
          </w:p>
        </w:tc>
        <w:tc>
          <w:tcPr>
            <w:tcW w:w="1300" w:type="dxa"/>
            <w:noWrap/>
            <w:hideMark/>
          </w:tcPr>
          <w:p w14:paraId="0EE37D93"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102</w:t>
            </w:r>
          </w:p>
        </w:tc>
      </w:tr>
      <w:tr w:rsidR="005D1D6E" w:rsidRPr="005D1D6E" w14:paraId="5DB87554"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hideMark/>
          </w:tcPr>
          <w:p w14:paraId="07BB247B" w14:textId="77777777" w:rsidR="005D1D6E" w:rsidRPr="005D1D6E" w:rsidRDefault="005D1D6E" w:rsidP="00966B51">
            <w:pPr>
              <w:pStyle w:val="TableofAuthorities"/>
              <w:rPr>
                <w:lang w:eastAsia="en-AU"/>
              </w:rPr>
            </w:pPr>
            <w:r w:rsidRPr="005D1D6E">
              <w:rPr>
                <w:lang w:eastAsia="en-AU"/>
              </w:rPr>
              <w:t>Provision of care / direct care services</w:t>
            </w:r>
          </w:p>
        </w:tc>
        <w:tc>
          <w:tcPr>
            <w:tcW w:w="1442" w:type="dxa"/>
            <w:noWrap/>
            <w:hideMark/>
          </w:tcPr>
          <w:p w14:paraId="31732DEB" w14:textId="25059E4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$27.06</w:t>
            </w:r>
          </w:p>
        </w:tc>
        <w:tc>
          <w:tcPr>
            <w:tcW w:w="1442" w:type="dxa"/>
            <w:noWrap/>
            <w:hideMark/>
          </w:tcPr>
          <w:p w14:paraId="2AB562CB" w14:textId="0E58245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$13.48</w:t>
            </w:r>
          </w:p>
        </w:tc>
        <w:tc>
          <w:tcPr>
            <w:tcW w:w="1442" w:type="dxa"/>
            <w:noWrap/>
            <w:hideMark/>
          </w:tcPr>
          <w:p w14:paraId="0B9BD819" w14:textId="2616F6A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$12.31</w:t>
            </w:r>
          </w:p>
        </w:tc>
        <w:tc>
          <w:tcPr>
            <w:tcW w:w="1442" w:type="dxa"/>
            <w:noWrap/>
            <w:hideMark/>
          </w:tcPr>
          <w:p w14:paraId="74BDDC18" w14:textId="4775C81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$17.03</w:t>
            </w:r>
          </w:p>
        </w:tc>
        <w:tc>
          <w:tcPr>
            <w:tcW w:w="1300" w:type="dxa"/>
            <w:noWrap/>
            <w:hideMark/>
          </w:tcPr>
          <w:p w14:paraId="32B17A95" w14:textId="653538B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$15.50</w:t>
            </w:r>
          </w:p>
        </w:tc>
      </w:tr>
      <w:tr w:rsidR="005D1D6E" w:rsidRPr="005D1D6E" w14:paraId="0ADE49AC"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hideMark/>
          </w:tcPr>
          <w:p w14:paraId="0879F122" w14:textId="77777777" w:rsidR="005D1D6E" w:rsidRPr="005D1D6E" w:rsidRDefault="005D1D6E" w:rsidP="00966B51">
            <w:pPr>
              <w:pStyle w:val="TableofAuthorities"/>
              <w:rPr>
                <w:lang w:eastAsia="en-AU"/>
              </w:rPr>
            </w:pPr>
            <w:r w:rsidRPr="005D1D6E">
              <w:rPr>
                <w:lang w:eastAsia="en-AU"/>
              </w:rPr>
              <w:t>Provision of care / sub-contracted services</w:t>
            </w:r>
          </w:p>
        </w:tc>
        <w:tc>
          <w:tcPr>
            <w:tcW w:w="1442" w:type="dxa"/>
            <w:noWrap/>
            <w:hideMark/>
          </w:tcPr>
          <w:p w14:paraId="4924621E" w14:textId="1D74CDB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$9.09</w:t>
            </w:r>
          </w:p>
        </w:tc>
        <w:tc>
          <w:tcPr>
            <w:tcW w:w="1442" w:type="dxa"/>
            <w:noWrap/>
            <w:hideMark/>
          </w:tcPr>
          <w:p w14:paraId="13D4FEA7" w14:textId="6676843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$25.53</w:t>
            </w:r>
          </w:p>
        </w:tc>
        <w:tc>
          <w:tcPr>
            <w:tcW w:w="1442" w:type="dxa"/>
            <w:noWrap/>
            <w:hideMark/>
          </w:tcPr>
          <w:p w14:paraId="6D3A19C4" w14:textId="422BD1A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$27.29</w:t>
            </w:r>
          </w:p>
        </w:tc>
        <w:tc>
          <w:tcPr>
            <w:tcW w:w="1442" w:type="dxa"/>
            <w:noWrap/>
            <w:hideMark/>
          </w:tcPr>
          <w:p w14:paraId="68FB70E2" w14:textId="0C898BE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$19.71</w:t>
            </w:r>
          </w:p>
        </w:tc>
        <w:tc>
          <w:tcPr>
            <w:tcW w:w="1300" w:type="dxa"/>
            <w:noWrap/>
            <w:hideMark/>
          </w:tcPr>
          <w:p w14:paraId="11267189" w14:textId="7B32C179"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$22.82</w:t>
            </w:r>
          </w:p>
        </w:tc>
      </w:tr>
      <w:tr w:rsidR="005D1D6E" w:rsidRPr="005D1D6E" w14:paraId="7BB114C3"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0CBD081B" w14:textId="77777777" w:rsidR="005D1D6E" w:rsidRPr="005D1D6E" w:rsidRDefault="005D1D6E" w:rsidP="00966B51">
            <w:pPr>
              <w:pStyle w:val="TableofAuthorities"/>
              <w:rPr>
                <w:lang w:eastAsia="en-AU"/>
              </w:rPr>
            </w:pPr>
            <w:r w:rsidRPr="005D1D6E">
              <w:rPr>
                <w:lang w:eastAsia="en-AU"/>
              </w:rPr>
              <w:t>Client/case management fees charged</w:t>
            </w:r>
          </w:p>
        </w:tc>
        <w:tc>
          <w:tcPr>
            <w:tcW w:w="1442" w:type="dxa"/>
            <w:noWrap/>
            <w:hideMark/>
          </w:tcPr>
          <w:p w14:paraId="4AECA543" w14:textId="7CFD5362"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$13.29</w:t>
            </w:r>
          </w:p>
        </w:tc>
        <w:tc>
          <w:tcPr>
            <w:tcW w:w="1442" w:type="dxa"/>
            <w:noWrap/>
            <w:hideMark/>
          </w:tcPr>
          <w:p w14:paraId="738CD0AE" w14:textId="6BBAA8F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$9.46</w:t>
            </w:r>
          </w:p>
        </w:tc>
        <w:tc>
          <w:tcPr>
            <w:tcW w:w="1442" w:type="dxa"/>
            <w:noWrap/>
            <w:hideMark/>
          </w:tcPr>
          <w:p w14:paraId="7C2E9F24" w14:textId="4C2F005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$16.24</w:t>
            </w:r>
          </w:p>
        </w:tc>
        <w:tc>
          <w:tcPr>
            <w:tcW w:w="1442" w:type="dxa"/>
            <w:noWrap/>
            <w:hideMark/>
          </w:tcPr>
          <w:p w14:paraId="239C12B4" w14:textId="13C8B353"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$13.18</w:t>
            </w:r>
          </w:p>
        </w:tc>
        <w:tc>
          <w:tcPr>
            <w:tcW w:w="1300" w:type="dxa"/>
            <w:noWrap/>
            <w:hideMark/>
          </w:tcPr>
          <w:p w14:paraId="35864926" w14:textId="55460B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$12.40</w:t>
            </w:r>
          </w:p>
        </w:tc>
      </w:tr>
      <w:tr w:rsidR="005D1D6E" w:rsidRPr="005D1D6E" w14:paraId="0A4EDC0E"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53767480" w14:textId="77777777" w:rsidR="005D1D6E" w:rsidRPr="005D1D6E" w:rsidRDefault="005D1D6E" w:rsidP="00966B51">
            <w:pPr>
              <w:pStyle w:val="TableofAuthorities"/>
              <w:rPr>
                <w:lang w:eastAsia="en-AU"/>
              </w:rPr>
            </w:pPr>
            <w:r w:rsidRPr="005D1D6E">
              <w:rPr>
                <w:lang w:eastAsia="en-AU"/>
              </w:rPr>
              <w:t>Admin and management of packages</w:t>
            </w:r>
          </w:p>
        </w:tc>
        <w:tc>
          <w:tcPr>
            <w:tcW w:w="1442" w:type="dxa"/>
            <w:noWrap/>
            <w:hideMark/>
          </w:tcPr>
          <w:p w14:paraId="02602F7D" w14:textId="6626E3C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$8.59</w:t>
            </w:r>
          </w:p>
        </w:tc>
        <w:tc>
          <w:tcPr>
            <w:tcW w:w="1442" w:type="dxa"/>
            <w:noWrap/>
            <w:hideMark/>
          </w:tcPr>
          <w:p w14:paraId="3F0A91D9" w14:textId="72F1D38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$12.90</w:t>
            </w:r>
          </w:p>
        </w:tc>
        <w:tc>
          <w:tcPr>
            <w:tcW w:w="1442" w:type="dxa"/>
            <w:noWrap/>
            <w:hideMark/>
          </w:tcPr>
          <w:p w14:paraId="1389F798" w14:textId="67A1FB3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$7.16</w:t>
            </w:r>
          </w:p>
        </w:tc>
        <w:tc>
          <w:tcPr>
            <w:tcW w:w="1442" w:type="dxa"/>
            <w:noWrap/>
            <w:hideMark/>
          </w:tcPr>
          <w:p w14:paraId="2EEC50D2" w14:textId="1594368B"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$8.48</w:t>
            </w:r>
          </w:p>
        </w:tc>
        <w:tc>
          <w:tcPr>
            <w:tcW w:w="1300" w:type="dxa"/>
            <w:noWrap/>
            <w:hideMark/>
          </w:tcPr>
          <w:p w14:paraId="3AE55085" w14:textId="227DF5A9"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$9.99</w:t>
            </w:r>
          </w:p>
        </w:tc>
      </w:tr>
      <w:tr w:rsidR="005D1D6E" w:rsidRPr="005D1D6E" w14:paraId="4251206E"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0E5CC17B" w14:textId="77777777" w:rsidR="005D1D6E" w:rsidRPr="005D1D6E" w:rsidRDefault="005D1D6E" w:rsidP="00966B51">
            <w:pPr>
              <w:pStyle w:val="TableofAuthorities"/>
              <w:rPr>
                <w:lang w:eastAsia="en-AU"/>
              </w:rPr>
            </w:pPr>
            <w:r w:rsidRPr="005D1D6E">
              <w:rPr>
                <w:lang w:eastAsia="en-AU"/>
              </w:rPr>
              <w:t>Exit amounts deducted</w:t>
            </w:r>
          </w:p>
        </w:tc>
        <w:tc>
          <w:tcPr>
            <w:tcW w:w="1442" w:type="dxa"/>
            <w:noWrap/>
            <w:hideMark/>
          </w:tcPr>
          <w:p w14:paraId="17774E99" w14:textId="54CD619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$0.12</w:t>
            </w:r>
          </w:p>
        </w:tc>
        <w:tc>
          <w:tcPr>
            <w:tcW w:w="1442" w:type="dxa"/>
            <w:noWrap/>
            <w:hideMark/>
          </w:tcPr>
          <w:p w14:paraId="570EFEED" w14:textId="424D490C"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$0.08</w:t>
            </w:r>
          </w:p>
        </w:tc>
        <w:tc>
          <w:tcPr>
            <w:tcW w:w="1442" w:type="dxa"/>
            <w:noWrap/>
            <w:hideMark/>
          </w:tcPr>
          <w:p w14:paraId="75569E8A" w14:textId="3599C832"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$0.15</w:t>
            </w:r>
          </w:p>
        </w:tc>
        <w:tc>
          <w:tcPr>
            <w:tcW w:w="1442" w:type="dxa"/>
            <w:noWrap/>
            <w:hideMark/>
          </w:tcPr>
          <w:p w14:paraId="170D092C" w14:textId="71FD3F9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$0.09</w:t>
            </w:r>
          </w:p>
        </w:tc>
        <w:tc>
          <w:tcPr>
            <w:tcW w:w="1300" w:type="dxa"/>
            <w:noWrap/>
            <w:hideMark/>
          </w:tcPr>
          <w:p w14:paraId="6A25AC55" w14:textId="0AACCE9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$0.10</w:t>
            </w:r>
          </w:p>
        </w:tc>
      </w:tr>
      <w:tr w:rsidR="005D1D6E" w:rsidRPr="005D1D6E" w14:paraId="4B921B6D"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D55F6D9" w14:textId="77777777" w:rsidR="005D1D6E" w:rsidRPr="005D1D6E" w:rsidRDefault="005D1D6E" w:rsidP="00966B51">
            <w:pPr>
              <w:pStyle w:val="TableofAuthorities"/>
              <w:rPr>
                <w:lang w:eastAsia="en-AU"/>
              </w:rPr>
            </w:pPr>
            <w:r w:rsidRPr="005D1D6E">
              <w:rPr>
                <w:lang w:eastAsia="en-AU"/>
              </w:rPr>
              <w:t>COVID-19 funding</w:t>
            </w:r>
          </w:p>
        </w:tc>
        <w:tc>
          <w:tcPr>
            <w:tcW w:w="1442" w:type="dxa"/>
            <w:noWrap/>
            <w:hideMark/>
          </w:tcPr>
          <w:p w14:paraId="25EBC956" w14:textId="22348B3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$0.12</w:t>
            </w:r>
          </w:p>
        </w:tc>
        <w:tc>
          <w:tcPr>
            <w:tcW w:w="1442" w:type="dxa"/>
            <w:noWrap/>
            <w:hideMark/>
          </w:tcPr>
          <w:p w14:paraId="6197AE4C" w14:textId="29F82B33"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$0.10</w:t>
            </w:r>
          </w:p>
        </w:tc>
        <w:tc>
          <w:tcPr>
            <w:tcW w:w="1442" w:type="dxa"/>
            <w:noWrap/>
            <w:hideMark/>
          </w:tcPr>
          <w:p w14:paraId="13069372" w14:textId="3FFF0619"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$0.10</w:t>
            </w:r>
          </w:p>
        </w:tc>
        <w:tc>
          <w:tcPr>
            <w:tcW w:w="1442" w:type="dxa"/>
            <w:noWrap/>
            <w:hideMark/>
          </w:tcPr>
          <w:p w14:paraId="7E533D39" w14:textId="1B7DA6E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$0.22</w:t>
            </w:r>
          </w:p>
        </w:tc>
        <w:tc>
          <w:tcPr>
            <w:tcW w:w="1300" w:type="dxa"/>
            <w:noWrap/>
            <w:hideMark/>
          </w:tcPr>
          <w:p w14:paraId="5A60B87B" w14:textId="5BEC1349"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$0.13</w:t>
            </w:r>
          </w:p>
        </w:tc>
      </w:tr>
      <w:tr w:rsidR="005D1D6E" w:rsidRPr="005D1D6E" w14:paraId="6DCC43A0"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F330F25" w14:textId="77777777" w:rsidR="005D1D6E" w:rsidRPr="005D1D6E" w:rsidRDefault="005D1D6E" w:rsidP="00966B51">
            <w:pPr>
              <w:pStyle w:val="TableofAuthorities"/>
              <w:rPr>
                <w:lang w:eastAsia="en-AU"/>
              </w:rPr>
            </w:pPr>
            <w:r w:rsidRPr="005D1D6E">
              <w:rPr>
                <w:lang w:eastAsia="en-AU"/>
              </w:rPr>
              <w:lastRenderedPageBreak/>
              <w:t>Other income</w:t>
            </w:r>
          </w:p>
        </w:tc>
        <w:tc>
          <w:tcPr>
            <w:tcW w:w="1442" w:type="dxa"/>
            <w:noWrap/>
            <w:hideMark/>
          </w:tcPr>
          <w:p w14:paraId="24D8E386" w14:textId="1505FFD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$1.38</w:t>
            </w:r>
          </w:p>
        </w:tc>
        <w:tc>
          <w:tcPr>
            <w:tcW w:w="1442" w:type="dxa"/>
            <w:noWrap/>
            <w:hideMark/>
          </w:tcPr>
          <w:p w14:paraId="2F9D406E" w14:textId="309E1533"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$0.96</w:t>
            </w:r>
          </w:p>
        </w:tc>
        <w:tc>
          <w:tcPr>
            <w:tcW w:w="1442" w:type="dxa"/>
            <w:noWrap/>
            <w:hideMark/>
          </w:tcPr>
          <w:p w14:paraId="3EBD9101" w14:textId="069FEAC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$0.04</w:t>
            </w:r>
          </w:p>
        </w:tc>
        <w:tc>
          <w:tcPr>
            <w:tcW w:w="1442" w:type="dxa"/>
            <w:noWrap/>
            <w:hideMark/>
          </w:tcPr>
          <w:p w14:paraId="0970B36D" w14:textId="3E78A8FC"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$0.87</w:t>
            </w:r>
          </w:p>
        </w:tc>
        <w:tc>
          <w:tcPr>
            <w:tcW w:w="1300" w:type="dxa"/>
            <w:noWrap/>
            <w:hideMark/>
          </w:tcPr>
          <w:p w14:paraId="43A00AD4" w14:textId="1CE0175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$0.76</w:t>
            </w:r>
          </w:p>
        </w:tc>
      </w:tr>
      <w:tr w:rsidR="005D1D6E" w:rsidRPr="005D1D6E" w14:paraId="0C77F5D7"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504B3E72" w14:textId="77777777" w:rsidR="005D1D6E" w:rsidRPr="005D1D6E" w:rsidRDefault="005D1D6E" w:rsidP="00966B51">
            <w:pPr>
              <w:pStyle w:val="TableofAuthorities"/>
              <w:rPr>
                <w:lang w:eastAsia="en-AU"/>
              </w:rPr>
            </w:pPr>
            <w:r w:rsidRPr="005D1D6E">
              <w:rPr>
                <w:lang w:eastAsia="en-AU"/>
              </w:rPr>
              <w:t>Total expenses</w:t>
            </w:r>
          </w:p>
        </w:tc>
        <w:tc>
          <w:tcPr>
            <w:tcW w:w="1442" w:type="dxa"/>
            <w:noWrap/>
            <w:hideMark/>
          </w:tcPr>
          <w:p w14:paraId="71A775DA" w14:textId="2DD9BBC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$45.36</w:t>
            </w:r>
          </w:p>
        </w:tc>
        <w:tc>
          <w:tcPr>
            <w:tcW w:w="1442" w:type="dxa"/>
            <w:noWrap/>
            <w:hideMark/>
          </w:tcPr>
          <w:p w14:paraId="40610F40" w14:textId="3BA01EEB"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$58.25</w:t>
            </w:r>
          </w:p>
        </w:tc>
        <w:tc>
          <w:tcPr>
            <w:tcW w:w="1442" w:type="dxa"/>
            <w:noWrap/>
            <w:hideMark/>
          </w:tcPr>
          <w:p w14:paraId="6692E92F" w14:textId="2C34F4CB"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$62.38</w:t>
            </w:r>
          </w:p>
        </w:tc>
        <w:tc>
          <w:tcPr>
            <w:tcW w:w="1442" w:type="dxa"/>
            <w:noWrap/>
            <w:hideMark/>
          </w:tcPr>
          <w:p w14:paraId="2D088F3C" w14:textId="35F7A6C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$66.18</w:t>
            </w:r>
          </w:p>
        </w:tc>
        <w:tc>
          <w:tcPr>
            <w:tcW w:w="1300" w:type="dxa"/>
            <w:noWrap/>
            <w:hideMark/>
          </w:tcPr>
          <w:p w14:paraId="3C6BBE80" w14:textId="033ED78E"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$59.71</w:t>
            </w:r>
          </w:p>
        </w:tc>
      </w:tr>
      <w:tr w:rsidR="005D1D6E" w:rsidRPr="005D1D6E" w14:paraId="32F2006D"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D8DBDB" w:themeFill="background2" w:themeFillShade="E6"/>
            <w:noWrap/>
            <w:hideMark/>
          </w:tcPr>
          <w:p w14:paraId="711EFB90" w14:textId="77777777" w:rsidR="005D1D6E" w:rsidRPr="005D1D6E" w:rsidRDefault="005D1D6E" w:rsidP="00966B51">
            <w:pPr>
              <w:pStyle w:val="TableParagraphbold"/>
              <w:rPr>
                <w:lang w:eastAsia="en-AU"/>
              </w:rPr>
            </w:pPr>
            <w:r w:rsidRPr="005D1D6E">
              <w:rPr>
                <w:lang w:eastAsia="en-AU"/>
              </w:rPr>
              <w:t>Net profit before tax</w:t>
            </w:r>
          </w:p>
        </w:tc>
        <w:tc>
          <w:tcPr>
            <w:tcW w:w="1442" w:type="dxa"/>
            <w:shd w:val="clear" w:color="auto" w:fill="D8DBDB" w:themeFill="background2" w:themeFillShade="E6"/>
            <w:noWrap/>
            <w:hideMark/>
          </w:tcPr>
          <w:p w14:paraId="4CA5C7EF" w14:textId="561CE714"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$14.29</w:t>
            </w:r>
          </w:p>
        </w:tc>
        <w:tc>
          <w:tcPr>
            <w:tcW w:w="1442" w:type="dxa"/>
            <w:shd w:val="clear" w:color="auto" w:fill="D8DBDB" w:themeFill="background2" w:themeFillShade="E6"/>
            <w:noWrap/>
            <w:hideMark/>
          </w:tcPr>
          <w:p w14:paraId="0EF40926" w14:textId="08CEEB9A"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$4.27</w:t>
            </w:r>
          </w:p>
        </w:tc>
        <w:tc>
          <w:tcPr>
            <w:tcW w:w="1442" w:type="dxa"/>
            <w:shd w:val="clear" w:color="auto" w:fill="D8DBDB" w:themeFill="background2" w:themeFillShade="E6"/>
            <w:noWrap/>
            <w:hideMark/>
          </w:tcPr>
          <w:p w14:paraId="430FAACE" w14:textId="02951435"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$0.91</w:t>
            </w:r>
          </w:p>
        </w:tc>
        <w:tc>
          <w:tcPr>
            <w:tcW w:w="1442" w:type="dxa"/>
            <w:shd w:val="clear" w:color="auto" w:fill="D8DBDB" w:themeFill="background2" w:themeFillShade="E6"/>
            <w:noWrap/>
            <w:hideMark/>
          </w:tcPr>
          <w:p w14:paraId="4B187CEC"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($6.61)</w:t>
            </w:r>
          </w:p>
        </w:tc>
        <w:tc>
          <w:tcPr>
            <w:tcW w:w="1300" w:type="dxa"/>
            <w:shd w:val="clear" w:color="auto" w:fill="D8DBDB" w:themeFill="background2" w:themeFillShade="E6"/>
            <w:noWrap/>
            <w:hideMark/>
          </w:tcPr>
          <w:p w14:paraId="057D4CA5" w14:textId="2D7882CE"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$2.00</w:t>
            </w:r>
          </w:p>
        </w:tc>
      </w:tr>
      <w:tr w:rsidR="005D1D6E" w:rsidRPr="005D1D6E" w14:paraId="61D9E969"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D8DBDB" w:themeFill="background2" w:themeFillShade="E6"/>
            <w:noWrap/>
            <w:hideMark/>
          </w:tcPr>
          <w:p w14:paraId="09072F11" w14:textId="77777777" w:rsidR="005D1D6E" w:rsidRPr="005D1D6E" w:rsidRDefault="005D1D6E" w:rsidP="00966B51">
            <w:pPr>
              <w:pStyle w:val="TableParagraphbold"/>
              <w:rPr>
                <w:lang w:eastAsia="en-AU"/>
              </w:rPr>
            </w:pPr>
            <w:r w:rsidRPr="005D1D6E">
              <w:rPr>
                <w:lang w:eastAsia="en-AU"/>
              </w:rPr>
              <w:t>All providers</w:t>
            </w:r>
          </w:p>
        </w:tc>
        <w:tc>
          <w:tcPr>
            <w:tcW w:w="1442" w:type="dxa"/>
            <w:shd w:val="clear" w:color="auto" w:fill="D8DBDB" w:themeFill="background2" w:themeFillShade="E6"/>
            <w:noWrap/>
            <w:hideMark/>
          </w:tcPr>
          <w:p w14:paraId="73A54E01"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c>
          <w:tcPr>
            <w:tcW w:w="1442" w:type="dxa"/>
            <w:shd w:val="clear" w:color="auto" w:fill="D8DBDB" w:themeFill="background2" w:themeFillShade="E6"/>
            <w:noWrap/>
            <w:hideMark/>
          </w:tcPr>
          <w:p w14:paraId="27AE6A5C"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c>
          <w:tcPr>
            <w:tcW w:w="1442" w:type="dxa"/>
            <w:shd w:val="clear" w:color="auto" w:fill="D8DBDB" w:themeFill="background2" w:themeFillShade="E6"/>
            <w:noWrap/>
            <w:hideMark/>
          </w:tcPr>
          <w:p w14:paraId="693317C6"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c>
          <w:tcPr>
            <w:tcW w:w="1442" w:type="dxa"/>
            <w:shd w:val="clear" w:color="auto" w:fill="D8DBDB" w:themeFill="background2" w:themeFillShade="E6"/>
            <w:noWrap/>
            <w:hideMark/>
          </w:tcPr>
          <w:p w14:paraId="6823E44A"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c>
          <w:tcPr>
            <w:tcW w:w="1300" w:type="dxa"/>
            <w:shd w:val="clear" w:color="auto" w:fill="D8DBDB" w:themeFill="background2" w:themeFillShade="E6"/>
            <w:noWrap/>
            <w:hideMark/>
          </w:tcPr>
          <w:p w14:paraId="43F9D129"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 </w:t>
            </w:r>
          </w:p>
        </w:tc>
      </w:tr>
      <w:tr w:rsidR="005D1D6E" w:rsidRPr="005D1D6E" w14:paraId="10EB45F4"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FDC40F9" w14:textId="77777777" w:rsidR="005D1D6E" w:rsidRPr="005D1D6E" w:rsidRDefault="005D1D6E" w:rsidP="00966B51">
            <w:pPr>
              <w:pStyle w:val="TableofAuthorities"/>
              <w:rPr>
                <w:lang w:eastAsia="en-AU"/>
              </w:rPr>
            </w:pPr>
            <w:r w:rsidRPr="005D1D6E">
              <w:rPr>
                <w:lang w:eastAsia="en-AU"/>
              </w:rPr>
              <w:t>Number of providers</w:t>
            </w:r>
          </w:p>
        </w:tc>
        <w:tc>
          <w:tcPr>
            <w:tcW w:w="1442" w:type="dxa"/>
            <w:noWrap/>
            <w:hideMark/>
          </w:tcPr>
          <w:p w14:paraId="3FB59CDF"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206</w:t>
            </w:r>
          </w:p>
        </w:tc>
        <w:tc>
          <w:tcPr>
            <w:tcW w:w="1442" w:type="dxa"/>
            <w:noWrap/>
            <w:hideMark/>
          </w:tcPr>
          <w:p w14:paraId="35500023"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205</w:t>
            </w:r>
          </w:p>
        </w:tc>
        <w:tc>
          <w:tcPr>
            <w:tcW w:w="1442" w:type="dxa"/>
            <w:noWrap/>
            <w:hideMark/>
          </w:tcPr>
          <w:p w14:paraId="5922127C"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205</w:t>
            </w:r>
          </w:p>
        </w:tc>
        <w:tc>
          <w:tcPr>
            <w:tcW w:w="1442" w:type="dxa"/>
            <w:noWrap/>
            <w:hideMark/>
          </w:tcPr>
          <w:p w14:paraId="0B2BFBBD"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206</w:t>
            </w:r>
          </w:p>
        </w:tc>
        <w:tc>
          <w:tcPr>
            <w:tcW w:w="1300" w:type="dxa"/>
            <w:noWrap/>
            <w:hideMark/>
          </w:tcPr>
          <w:p w14:paraId="31652939" w14:textId="7777777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822</w:t>
            </w:r>
          </w:p>
        </w:tc>
      </w:tr>
      <w:tr w:rsidR="005D1D6E" w:rsidRPr="005D1D6E" w14:paraId="7804BD52"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hideMark/>
          </w:tcPr>
          <w:p w14:paraId="2CE757BE" w14:textId="77777777" w:rsidR="005D1D6E" w:rsidRPr="005D1D6E" w:rsidRDefault="005D1D6E" w:rsidP="00966B51">
            <w:pPr>
              <w:pStyle w:val="TableofAuthorities"/>
              <w:rPr>
                <w:lang w:eastAsia="en-AU"/>
              </w:rPr>
            </w:pPr>
            <w:r w:rsidRPr="005D1D6E">
              <w:rPr>
                <w:lang w:eastAsia="en-AU"/>
              </w:rPr>
              <w:t>Provision of care / direct care services</w:t>
            </w:r>
          </w:p>
        </w:tc>
        <w:tc>
          <w:tcPr>
            <w:tcW w:w="1442" w:type="dxa"/>
            <w:noWrap/>
            <w:hideMark/>
          </w:tcPr>
          <w:p w14:paraId="421DCD0B" w14:textId="0513728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$38.29</w:t>
            </w:r>
          </w:p>
        </w:tc>
        <w:tc>
          <w:tcPr>
            <w:tcW w:w="1442" w:type="dxa"/>
            <w:noWrap/>
            <w:hideMark/>
          </w:tcPr>
          <w:p w14:paraId="0C50019B" w14:textId="31BFC9D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$25.03</w:t>
            </w:r>
          </w:p>
        </w:tc>
        <w:tc>
          <w:tcPr>
            <w:tcW w:w="1442" w:type="dxa"/>
            <w:noWrap/>
            <w:hideMark/>
          </w:tcPr>
          <w:p w14:paraId="745A4C48" w14:textId="25AF15AC"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$26.78</w:t>
            </w:r>
          </w:p>
        </w:tc>
        <w:tc>
          <w:tcPr>
            <w:tcW w:w="1442" w:type="dxa"/>
            <w:noWrap/>
            <w:hideMark/>
          </w:tcPr>
          <w:p w14:paraId="472D501B" w14:textId="48DF35C9"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$29.36</w:t>
            </w:r>
          </w:p>
        </w:tc>
        <w:tc>
          <w:tcPr>
            <w:tcW w:w="1300" w:type="dxa"/>
            <w:noWrap/>
            <w:hideMark/>
          </w:tcPr>
          <w:p w14:paraId="3066EFA8" w14:textId="6789D33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$28.75</w:t>
            </w:r>
          </w:p>
        </w:tc>
      </w:tr>
      <w:tr w:rsidR="005D1D6E" w:rsidRPr="005D1D6E" w14:paraId="6A23C4E7"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hideMark/>
          </w:tcPr>
          <w:p w14:paraId="68DFE2F4" w14:textId="77777777" w:rsidR="005D1D6E" w:rsidRPr="005D1D6E" w:rsidRDefault="005D1D6E" w:rsidP="00966B51">
            <w:pPr>
              <w:pStyle w:val="TableofAuthorities"/>
              <w:rPr>
                <w:lang w:eastAsia="en-AU"/>
              </w:rPr>
            </w:pPr>
            <w:r w:rsidRPr="005D1D6E">
              <w:rPr>
                <w:lang w:eastAsia="en-AU"/>
              </w:rPr>
              <w:t>Provision of care / sub-contracted services</w:t>
            </w:r>
          </w:p>
        </w:tc>
        <w:tc>
          <w:tcPr>
            <w:tcW w:w="1442" w:type="dxa"/>
            <w:noWrap/>
            <w:hideMark/>
          </w:tcPr>
          <w:p w14:paraId="7012A7B1" w14:textId="7894F1F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$14.19</w:t>
            </w:r>
          </w:p>
        </w:tc>
        <w:tc>
          <w:tcPr>
            <w:tcW w:w="1442" w:type="dxa"/>
            <w:noWrap/>
            <w:hideMark/>
          </w:tcPr>
          <w:p w14:paraId="16B83793" w14:textId="0531185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$13.08</w:t>
            </w:r>
          </w:p>
        </w:tc>
        <w:tc>
          <w:tcPr>
            <w:tcW w:w="1442" w:type="dxa"/>
            <w:noWrap/>
            <w:hideMark/>
          </w:tcPr>
          <w:p w14:paraId="3438C910" w14:textId="38BB400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$17.15</w:t>
            </w:r>
          </w:p>
        </w:tc>
        <w:tc>
          <w:tcPr>
            <w:tcW w:w="1442" w:type="dxa"/>
            <w:noWrap/>
            <w:hideMark/>
          </w:tcPr>
          <w:p w14:paraId="0186294F" w14:textId="78C7362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$14.41</w:t>
            </w:r>
          </w:p>
        </w:tc>
        <w:tc>
          <w:tcPr>
            <w:tcW w:w="1300" w:type="dxa"/>
            <w:noWrap/>
            <w:hideMark/>
          </w:tcPr>
          <w:p w14:paraId="12EB5B8C" w14:textId="56E342E3"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$14.69</w:t>
            </w:r>
          </w:p>
        </w:tc>
      </w:tr>
      <w:tr w:rsidR="005D1D6E" w:rsidRPr="005D1D6E" w14:paraId="22E18099"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945BC5A" w14:textId="77777777" w:rsidR="005D1D6E" w:rsidRPr="005D1D6E" w:rsidRDefault="005D1D6E" w:rsidP="00966B51">
            <w:pPr>
              <w:pStyle w:val="TableofAuthorities"/>
              <w:rPr>
                <w:lang w:eastAsia="en-AU"/>
              </w:rPr>
            </w:pPr>
            <w:r w:rsidRPr="005D1D6E">
              <w:rPr>
                <w:lang w:eastAsia="en-AU"/>
              </w:rPr>
              <w:t>Client/case management fees charged</w:t>
            </w:r>
          </w:p>
        </w:tc>
        <w:tc>
          <w:tcPr>
            <w:tcW w:w="1442" w:type="dxa"/>
            <w:noWrap/>
            <w:hideMark/>
          </w:tcPr>
          <w:p w14:paraId="0357B68B" w14:textId="79421E6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$11.77</w:t>
            </w:r>
          </w:p>
        </w:tc>
        <w:tc>
          <w:tcPr>
            <w:tcW w:w="1442" w:type="dxa"/>
            <w:noWrap/>
            <w:hideMark/>
          </w:tcPr>
          <w:p w14:paraId="5702B10F" w14:textId="477F673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$9.83</w:t>
            </w:r>
          </w:p>
        </w:tc>
        <w:tc>
          <w:tcPr>
            <w:tcW w:w="1442" w:type="dxa"/>
            <w:noWrap/>
            <w:hideMark/>
          </w:tcPr>
          <w:p w14:paraId="1D4F7FFE" w14:textId="492C04A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$10.60</w:t>
            </w:r>
          </w:p>
        </w:tc>
        <w:tc>
          <w:tcPr>
            <w:tcW w:w="1442" w:type="dxa"/>
            <w:noWrap/>
            <w:hideMark/>
          </w:tcPr>
          <w:p w14:paraId="0DEDEA33" w14:textId="0D765A8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$12.36</w:t>
            </w:r>
          </w:p>
        </w:tc>
        <w:tc>
          <w:tcPr>
            <w:tcW w:w="1300" w:type="dxa"/>
            <w:noWrap/>
            <w:hideMark/>
          </w:tcPr>
          <w:p w14:paraId="7B3E5F78" w14:textId="36257AC2"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$10.89</w:t>
            </w:r>
          </w:p>
        </w:tc>
      </w:tr>
      <w:tr w:rsidR="005D1D6E" w:rsidRPr="005D1D6E" w14:paraId="631D7E73"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00F26C1" w14:textId="77777777" w:rsidR="005D1D6E" w:rsidRPr="005D1D6E" w:rsidRDefault="005D1D6E" w:rsidP="00966B51">
            <w:pPr>
              <w:pStyle w:val="TableofAuthorities"/>
              <w:rPr>
                <w:lang w:eastAsia="en-AU"/>
              </w:rPr>
            </w:pPr>
            <w:r w:rsidRPr="005D1D6E">
              <w:rPr>
                <w:lang w:eastAsia="en-AU"/>
              </w:rPr>
              <w:t>Admin and management of packages</w:t>
            </w:r>
          </w:p>
        </w:tc>
        <w:tc>
          <w:tcPr>
            <w:tcW w:w="1442" w:type="dxa"/>
            <w:noWrap/>
            <w:hideMark/>
          </w:tcPr>
          <w:p w14:paraId="204E844B" w14:textId="3492A7F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$8.87</w:t>
            </w:r>
          </w:p>
        </w:tc>
        <w:tc>
          <w:tcPr>
            <w:tcW w:w="1442" w:type="dxa"/>
            <w:noWrap/>
            <w:hideMark/>
          </w:tcPr>
          <w:p w14:paraId="7F360457" w14:textId="7DA7B039"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$8.13</w:t>
            </w:r>
          </w:p>
        </w:tc>
        <w:tc>
          <w:tcPr>
            <w:tcW w:w="1442" w:type="dxa"/>
            <w:noWrap/>
            <w:hideMark/>
          </w:tcPr>
          <w:p w14:paraId="5651684D" w14:textId="15BB2FF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$6.65</w:t>
            </w:r>
          </w:p>
        </w:tc>
        <w:tc>
          <w:tcPr>
            <w:tcW w:w="1442" w:type="dxa"/>
            <w:noWrap/>
            <w:hideMark/>
          </w:tcPr>
          <w:p w14:paraId="0C1B44FE" w14:textId="107BC264"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$6.97</w:t>
            </w:r>
          </w:p>
        </w:tc>
        <w:tc>
          <w:tcPr>
            <w:tcW w:w="1300" w:type="dxa"/>
            <w:noWrap/>
            <w:hideMark/>
          </w:tcPr>
          <w:p w14:paraId="0D3270C9" w14:textId="2AE1DE9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$7.62</w:t>
            </w:r>
          </w:p>
        </w:tc>
      </w:tr>
      <w:tr w:rsidR="005D1D6E" w:rsidRPr="005D1D6E" w14:paraId="5E765037"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D88DACA" w14:textId="77777777" w:rsidR="005D1D6E" w:rsidRPr="005D1D6E" w:rsidRDefault="005D1D6E" w:rsidP="00966B51">
            <w:pPr>
              <w:pStyle w:val="TableofAuthorities"/>
              <w:rPr>
                <w:lang w:eastAsia="en-AU"/>
              </w:rPr>
            </w:pPr>
            <w:r w:rsidRPr="005D1D6E">
              <w:rPr>
                <w:lang w:eastAsia="en-AU"/>
              </w:rPr>
              <w:t>Exit amounts deducted</w:t>
            </w:r>
          </w:p>
        </w:tc>
        <w:tc>
          <w:tcPr>
            <w:tcW w:w="1442" w:type="dxa"/>
            <w:noWrap/>
            <w:hideMark/>
          </w:tcPr>
          <w:p w14:paraId="063E6F7F" w14:textId="4FD4DF9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$0.09</w:t>
            </w:r>
          </w:p>
        </w:tc>
        <w:tc>
          <w:tcPr>
            <w:tcW w:w="1442" w:type="dxa"/>
            <w:noWrap/>
            <w:hideMark/>
          </w:tcPr>
          <w:p w14:paraId="24481535" w14:textId="25207597"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$0.05</w:t>
            </w:r>
          </w:p>
        </w:tc>
        <w:tc>
          <w:tcPr>
            <w:tcW w:w="1442" w:type="dxa"/>
            <w:noWrap/>
            <w:hideMark/>
          </w:tcPr>
          <w:p w14:paraId="7C626353" w14:textId="7DC1FAB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$0.05</w:t>
            </w:r>
          </w:p>
        </w:tc>
        <w:tc>
          <w:tcPr>
            <w:tcW w:w="1442" w:type="dxa"/>
            <w:noWrap/>
            <w:hideMark/>
          </w:tcPr>
          <w:p w14:paraId="65895585" w14:textId="76DD2588"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$0.07</w:t>
            </w:r>
          </w:p>
        </w:tc>
        <w:tc>
          <w:tcPr>
            <w:tcW w:w="1300" w:type="dxa"/>
            <w:noWrap/>
            <w:hideMark/>
          </w:tcPr>
          <w:p w14:paraId="60A2BE95" w14:textId="0C802396"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$0.06</w:t>
            </w:r>
          </w:p>
        </w:tc>
      </w:tr>
      <w:tr w:rsidR="005D1D6E" w:rsidRPr="005D1D6E" w14:paraId="5F034F7F"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BF03202" w14:textId="77777777" w:rsidR="005D1D6E" w:rsidRPr="005D1D6E" w:rsidRDefault="005D1D6E" w:rsidP="00966B51">
            <w:pPr>
              <w:pStyle w:val="TableofAuthorities"/>
              <w:rPr>
                <w:lang w:eastAsia="en-AU"/>
              </w:rPr>
            </w:pPr>
            <w:r w:rsidRPr="005D1D6E">
              <w:rPr>
                <w:lang w:eastAsia="en-AU"/>
              </w:rPr>
              <w:t>COVID-19 funding</w:t>
            </w:r>
          </w:p>
        </w:tc>
        <w:tc>
          <w:tcPr>
            <w:tcW w:w="1442" w:type="dxa"/>
            <w:noWrap/>
            <w:hideMark/>
          </w:tcPr>
          <w:p w14:paraId="48BB635F" w14:textId="6F66A50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$0.36</w:t>
            </w:r>
          </w:p>
        </w:tc>
        <w:tc>
          <w:tcPr>
            <w:tcW w:w="1442" w:type="dxa"/>
            <w:noWrap/>
            <w:hideMark/>
          </w:tcPr>
          <w:p w14:paraId="57E01C09" w14:textId="694BF77F"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$0.19</w:t>
            </w:r>
          </w:p>
        </w:tc>
        <w:tc>
          <w:tcPr>
            <w:tcW w:w="1442" w:type="dxa"/>
            <w:noWrap/>
            <w:hideMark/>
          </w:tcPr>
          <w:p w14:paraId="4BA06E05" w14:textId="5F69ED50"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$0.22</w:t>
            </w:r>
          </w:p>
        </w:tc>
        <w:tc>
          <w:tcPr>
            <w:tcW w:w="1442" w:type="dxa"/>
            <w:noWrap/>
            <w:hideMark/>
          </w:tcPr>
          <w:p w14:paraId="64A98D1B" w14:textId="1CF5BCE2"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$0.33</w:t>
            </w:r>
          </w:p>
        </w:tc>
        <w:tc>
          <w:tcPr>
            <w:tcW w:w="1300" w:type="dxa"/>
            <w:noWrap/>
            <w:hideMark/>
          </w:tcPr>
          <w:p w14:paraId="57973619" w14:textId="4FEB2F3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$0.26</w:t>
            </w:r>
          </w:p>
        </w:tc>
      </w:tr>
      <w:tr w:rsidR="005D1D6E" w:rsidRPr="005D1D6E" w14:paraId="1141D14A"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D0DA2FD" w14:textId="77777777" w:rsidR="005D1D6E" w:rsidRPr="005D1D6E" w:rsidRDefault="005D1D6E" w:rsidP="00966B51">
            <w:pPr>
              <w:pStyle w:val="TableofAuthorities"/>
              <w:rPr>
                <w:lang w:eastAsia="en-AU"/>
              </w:rPr>
            </w:pPr>
            <w:r w:rsidRPr="005D1D6E">
              <w:rPr>
                <w:lang w:eastAsia="en-AU"/>
              </w:rPr>
              <w:t>Other income</w:t>
            </w:r>
          </w:p>
        </w:tc>
        <w:tc>
          <w:tcPr>
            <w:tcW w:w="1442" w:type="dxa"/>
            <w:noWrap/>
            <w:hideMark/>
          </w:tcPr>
          <w:p w14:paraId="2F32944F" w14:textId="1D981B93"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$1.40</w:t>
            </w:r>
          </w:p>
        </w:tc>
        <w:tc>
          <w:tcPr>
            <w:tcW w:w="1442" w:type="dxa"/>
            <w:noWrap/>
            <w:hideMark/>
          </w:tcPr>
          <w:p w14:paraId="427070B8" w14:textId="2262B495"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$8.17</w:t>
            </w:r>
          </w:p>
        </w:tc>
        <w:tc>
          <w:tcPr>
            <w:tcW w:w="1442" w:type="dxa"/>
            <w:noWrap/>
            <w:hideMark/>
          </w:tcPr>
          <w:p w14:paraId="6EA10A66" w14:textId="5FAF33FA"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$0.84</w:t>
            </w:r>
          </w:p>
        </w:tc>
        <w:tc>
          <w:tcPr>
            <w:tcW w:w="1442" w:type="dxa"/>
            <w:noWrap/>
            <w:hideMark/>
          </w:tcPr>
          <w:p w14:paraId="3318D6CD" w14:textId="1A5BE1ED"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$1.99</w:t>
            </w:r>
          </w:p>
        </w:tc>
        <w:tc>
          <w:tcPr>
            <w:tcW w:w="1300" w:type="dxa"/>
            <w:noWrap/>
            <w:hideMark/>
          </w:tcPr>
          <w:p w14:paraId="5AF5581A" w14:textId="32A3C5E2" w:rsidR="005D1D6E" w:rsidRPr="005D1D6E" w:rsidRDefault="005D1D6E"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5D1D6E">
              <w:rPr>
                <w:lang w:eastAsia="en-AU"/>
              </w:rPr>
              <w:t>$3.67</w:t>
            </w:r>
          </w:p>
        </w:tc>
      </w:tr>
      <w:tr w:rsidR="005D1D6E" w:rsidRPr="005D1D6E" w14:paraId="7C2FF57D"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D8DBDB" w:themeFill="background2" w:themeFillShade="E6"/>
            <w:noWrap/>
            <w:hideMark/>
          </w:tcPr>
          <w:p w14:paraId="2506B051" w14:textId="77777777" w:rsidR="005D1D6E" w:rsidRPr="005D1D6E" w:rsidRDefault="005D1D6E" w:rsidP="00966B51">
            <w:pPr>
              <w:pStyle w:val="TableParagraphbold"/>
              <w:rPr>
                <w:lang w:eastAsia="en-AU"/>
              </w:rPr>
            </w:pPr>
            <w:r w:rsidRPr="005D1D6E">
              <w:rPr>
                <w:lang w:eastAsia="en-AU"/>
              </w:rPr>
              <w:t>Total expenses</w:t>
            </w:r>
          </w:p>
        </w:tc>
        <w:tc>
          <w:tcPr>
            <w:tcW w:w="1442" w:type="dxa"/>
            <w:shd w:val="clear" w:color="auto" w:fill="D8DBDB" w:themeFill="background2" w:themeFillShade="E6"/>
            <w:noWrap/>
            <w:hideMark/>
          </w:tcPr>
          <w:p w14:paraId="0CA6E241" w14:textId="3F899EA6"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$61.49</w:t>
            </w:r>
          </w:p>
        </w:tc>
        <w:tc>
          <w:tcPr>
            <w:tcW w:w="1442" w:type="dxa"/>
            <w:shd w:val="clear" w:color="auto" w:fill="D8DBDB" w:themeFill="background2" w:themeFillShade="E6"/>
            <w:noWrap/>
            <w:hideMark/>
          </w:tcPr>
          <w:p w14:paraId="79428E62" w14:textId="3FB66BC1"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$59.54</w:t>
            </w:r>
          </w:p>
        </w:tc>
        <w:tc>
          <w:tcPr>
            <w:tcW w:w="1442" w:type="dxa"/>
            <w:shd w:val="clear" w:color="auto" w:fill="D8DBDB" w:themeFill="background2" w:themeFillShade="E6"/>
            <w:noWrap/>
            <w:hideMark/>
          </w:tcPr>
          <w:p w14:paraId="095D3D57" w14:textId="14280E09"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$61.61</w:t>
            </w:r>
          </w:p>
        </w:tc>
        <w:tc>
          <w:tcPr>
            <w:tcW w:w="1442" w:type="dxa"/>
            <w:shd w:val="clear" w:color="auto" w:fill="D8DBDB" w:themeFill="background2" w:themeFillShade="E6"/>
            <w:noWrap/>
            <w:hideMark/>
          </w:tcPr>
          <w:p w14:paraId="5906F045" w14:textId="51F700F0"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$73.34</w:t>
            </w:r>
          </w:p>
        </w:tc>
        <w:tc>
          <w:tcPr>
            <w:tcW w:w="1300" w:type="dxa"/>
            <w:shd w:val="clear" w:color="auto" w:fill="D8DBDB" w:themeFill="background2" w:themeFillShade="E6"/>
            <w:noWrap/>
            <w:hideMark/>
          </w:tcPr>
          <w:p w14:paraId="7A3C73B6" w14:textId="3F8A2B16"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$63.16</w:t>
            </w:r>
          </w:p>
        </w:tc>
      </w:tr>
      <w:tr w:rsidR="005D1D6E" w:rsidRPr="005D1D6E" w14:paraId="1D46328A"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3119" w:type="dxa"/>
            <w:shd w:val="clear" w:color="auto" w:fill="D8DBDB" w:themeFill="background2" w:themeFillShade="E6"/>
            <w:noWrap/>
            <w:hideMark/>
          </w:tcPr>
          <w:p w14:paraId="56E9BDA9" w14:textId="77777777" w:rsidR="005D1D6E" w:rsidRPr="005D1D6E" w:rsidRDefault="005D1D6E" w:rsidP="00966B51">
            <w:pPr>
              <w:pStyle w:val="TableParagraphbold"/>
              <w:rPr>
                <w:lang w:eastAsia="en-AU"/>
              </w:rPr>
            </w:pPr>
            <w:r w:rsidRPr="005D1D6E">
              <w:rPr>
                <w:lang w:eastAsia="en-AU"/>
              </w:rPr>
              <w:t>Net profit before tax</w:t>
            </w:r>
          </w:p>
        </w:tc>
        <w:tc>
          <w:tcPr>
            <w:tcW w:w="1442" w:type="dxa"/>
            <w:shd w:val="clear" w:color="auto" w:fill="D8DBDB" w:themeFill="background2" w:themeFillShade="E6"/>
            <w:noWrap/>
            <w:hideMark/>
          </w:tcPr>
          <w:p w14:paraId="601DE2F8" w14:textId="3D33480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$13.48</w:t>
            </w:r>
          </w:p>
        </w:tc>
        <w:tc>
          <w:tcPr>
            <w:tcW w:w="1442" w:type="dxa"/>
            <w:shd w:val="clear" w:color="auto" w:fill="D8DBDB" w:themeFill="background2" w:themeFillShade="E6"/>
            <w:noWrap/>
            <w:hideMark/>
          </w:tcPr>
          <w:p w14:paraId="7599377B" w14:textId="5450AAB9"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$4.92</w:t>
            </w:r>
          </w:p>
        </w:tc>
        <w:tc>
          <w:tcPr>
            <w:tcW w:w="1442" w:type="dxa"/>
            <w:shd w:val="clear" w:color="auto" w:fill="D8DBDB" w:themeFill="background2" w:themeFillShade="E6"/>
            <w:noWrap/>
            <w:hideMark/>
          </w:tcPr>
          <w:p w14:paraId="11F25F66" w14:textId="35B24C5B"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$0.69</w:t>
            </w:r>
          </w:p>
        </w:tc>
        <w:tc>
          <w:tcPr>
            <w:tcW w:w="1442" w:type="dxa"/>
            <w:shd w:val="clear" w:color="auto" w:fill="D8DBDB" w:themeFill="background2" w:themeFillShade="E6"/>
            <w:noWrap/>
            <w:hideMark/>
          </w:tcPr>
          <w:p w14:paraId="1A428D52" w14:textId="77777777"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($7.86)</w:t>
            </w:r>
          </w:p>
        </w:tc>
        <w:tc>
          <w:tcPr>
            <w:tcW w:w="1300" w:type="dxa"/>
            <w:shd w:val="clear" w:color="auto" w:fill="D8DBDB" w:themeFill="background2" w:themeFillShade="E6"/>
            <w:noWrap/>
            <w:hideMark/>
          </w:tcPr>
          <w:p w14:paraId="06343E49" w14:textId="5597E71D" w:rsidR="005D1D6E" w:rsidRPr="005D1D6E" w:rsidRDefault="005D1D6E" w:rsidP="00966B51">
            <w:pPr>
              <w:pStyle w:val="TableParagraphbold"/>
              <w:cnfStyle w:val="000000000000" w:firstRow="0" w:lastRow="0" w:firstColumn="0" w:lastColumn="0" w:oddVBand="0" w:evenVBand="0" w:oddHBand="0" w:evenHBand="0" w:firstRowFirstColumn="0" w:firstRowLastColumn="0" w:lastRowFirstColumn="0" w:lastRowLastColumn="0"/>
              <w:rPr>
                <w:rFonts w:cs="Arial"/>
                <w:bCs/>
                <w:color w:val="1E1545"/>
                <w:szCs w:val="16"/>
                <w:lang w:eastAsia="en-AU"/>
              </w:rPr>
            </w:pPr>
            <w:r w:rsidRPr="005D1D6E">
              <w:rPr>
                <w:rFonts w:cs="Arial"/>
                <w:bCs/>
                <w:color w:val="1E1545"/>
                <w:szCs w:val="16"/>
                <w:lang w:eastAsia="en-AU"/>
              </w:rPr>
              <w:t>$2.78</w:t>
            </w:r>
          </w:p>
        </w:tc>
      </w:tr>
    </w:tbl>
    <w:p w14:paraId="6937EAD8" w14:textId="378E5923" w:rsidR="00BB111C" w:rsidRDefault="00BB111C" w:rsidP="001F530A">
      <w:r>
        <w:br w:type="page"/>
      </w:r>
    </w:p>
    <w:p w14:paraId="31107A3A" w14:textId="49EB0B85" w:rsidR="00BB111C" w:rsidRDefault="00BB111C" w:rsidP="009A2881">
      <w:pPr>
        <w:pStyle w:val="Heading2nonumbers"/>
      </w:pPr>
      <w:r>
        <w:lastRenderedPageBreak/>
        <w:t xml:space="preserve">Appendix </w:t>
      </w:r>
      <w:r w:rsidR="008C5BE6">
        <w:t>D</w:t>
      </w:r>
    </w:p>
    <w:p w14:paraId="26E060D7" w14:textId="5E077E6B" w:rsidR="0015645C" w:rsidRPr="00C90695" w:rsidRDefault="00454290" w:rsidP="00C90695">
      <w:r w:rsidRPr="00454290">
        <w:t xml:space="preserve">Financial package results for home care providers per care recipient per </w:t>
      </w:r>
      <w:r w:rsidR="00FC711D">
        <w:t>year</w:t>
      </w:r>
      <w:r w:rsidRPr="00454290">
        <w:t>, by ownership type, by quartile, 2021-22</w:t>
      </w:r>
    </w:p>
    <w:tbl>
      <w:tblPr>
        <w:tblW w:w="10206" w:type="dxa"/>
        <w:tblLayout w:type="fixed"/>
        <w:tblLook w:val="04A0" w:firstRow="1" w:lastRow="0" w:firstColumn="1" w:lastColumn="0" w:noHBand="0" w:noVBand="1"/>
      </w:tblPr>
      <w:tblGrid>
        <w:gridCol w:w="2076"/>
        <w:gridCol w:w="455"/>
        <w:gridCol w:w="1620"/>
        <w:gridCol w:w="1569"/>
        <w:gridCol w:w="506"/>
        <w:gridCol w:w="1064"/>
        <w:gridCol w:w="1012"/>
        <w:gridCol w:w="557"/>
        <w:gridCol w:w="1347"/>
      </w:tblGrid>
      <w:tr w:rsidR="0015645C" w:rsidRPr="0015645C" w14:paraId="6FF2FD16" w14:textId="77777777" w:rsidTr="002809E5">
        <w:trPr>
          <w:trHeight w:val="310"/>
        </w:trPr>
        <w:tc>
          <w:tcPr>
            <w:tcW w:w="2531" w:type="dxa"/>
            <w:gridSpan w:val="2"/>
            <w:tcBorders>
              <w:top w:val="single" w:sz="12" w:space="0" w:color="1E1545"/>
              <w:left w:val="nil"/>
              <w:bottom w:val="single" w:sz="12" w:space="0" w:color="1E1545"/>
              <w:right w:val="nil"/>
            </w:tcBorders>
            <w:shd w:val="clear" w:color="000000" w:fill="1E1545"/>
            <w:vAlign w:val="center"/>
            <w:hideMark/>
          </w:tcPr>
          <w:p w14:paraId="08EFCD4F" w14:textId="77777777" w:rsidR="0015645C" w:rsidRPr="002A2E5B" w:rsidRDefault="0015645C" w:rsidP="00966B51">
            <w:pPr>
              <w:pStyle w:val="TableHeaderWhite"/>
            </w:pPr>
            <w:r w:rsidRPr="002A2E5B">
              <w:t> </w:t>
            </w:r>
          </w:p>
        </w:tc>
        <w:tc>
          <w:tcPr>
            <w:tcW w:w="1620" w:type="dxa"/>
            <w:tcBorders>
              <w:top w:val="single" w:sz="12" w:space="0" w:color="1E1545"/>
              <w:left w:val="nil"/>
              <w:bottom w:val="single" w:sz="12" w:space="0" w:color="1E1545"/>
              <w:right w:val="nil"/>
            </w:tcBorders>
            <w:shd w:val="clear" w:color="000000" w:fill="1E1545"/>
            <w:vAlign w:val="center"/>
            <w:hideMark/>
          </w:tcPr>
          <w:p w14:paraId="72A401D3" w14:textId="77777777" w:rsidR="0015645C" w:rsidRPr="0015645C" w:rsidRDefault="0015645C" w:rsidP="00966B51">
            <w:pPr>
              <w:pStyle w:val="TableHeaderWhite"/>
              <w:rPr>
                <w:lang w:eastAsia="en-AU"/>
              </w:rPr>
            </w:pPr>
            <w:r w:rsidRPr="0015645C">
              <w:rPr>
                <w:lang w:eastAsia="en-AU"/>
              </w:rPr>
              <w:t>Top quartile</w:t>
            </w:r>
          </w:p>
        </w:tc>
        <w:tc>
          <w:tcPr>
            <w:tcW w:w="1569" w:type="dxa"/>
            <w:tcBorders>
              <w:top w:val="single" w:sz="12" w:space="0" w:color="1E1545"/>
              <w:left w:val="nil"/>
              <w:bottom w:val="single" w:sz="12" w:space="0" w:color="1E1545"/>
              <w:right w:val="nil"/>
            </w:tcBorders>
            <w:shd w:val="clear" w:color="000000" w:fill="1E1545"/>
            <w:vAlign w:val="center"/>
            <w:hideMark/>
          </w:tcPr>
          <w:p w14:paraId="18E6E95A" w14:textId="77777777" w:rsidR="0015645C" w:rsidRPr="0015645C" w:rsidRDefault="0015645C" w:rsidP="00966B51">
            <w:pPr>
              <w:pStyle w:val="TableHeaderWhite"/>
              <w:rPr>
                <w:lang w:eastAsia="en-AU"/>
              </w:rPr>
            </w:pPr>
            <w:r w:rsidRPr="0015645C">
              <w:rPr>
                <w:lang w:eastAsia="en-AU"/>
              </w:rPr>
              <w:t>Next top</w:t>
            </w:r>
          </w:p>
        </w:tc>
        <w:tc>
          <w:tcPr>
            <w:tcW w:w="1570" w:type="dxa"/>
            <w:gridSpan w:val="2"/>
            <w:tcBorders>
              <w:top w:val="single" w:sz="12" w:space="0" w:color="1E1545"/>
              <w:left w:val="nil"/>
              <w:bottom w:val="single" w:sz="12" w:space="0" w:color="1E1545"/>
              <w:right w:val="nil"/>
            </w:tcBorders>
            <w:shd w:val="clear" w:color="000000" w:fill="1E1545"/>
            <w:vAlign w:val="center"/>
            <w:hideMark/>
          </w:tcPr>
          <w:p w14:paraId="6D92D22C" w14:textId="77777777" w:rsidR="0015645C" w:rsidRPr="0015645C" w:rsidRDefault="0015645C" w:rsidP="00966B51">
            <w:pPr>
              <w:pStyle w:val="TableHeaderWhite"/>
              <w:rPr>
                <w:lang w:eastAsia="en-AU"/>
              </w:rPr>
            </w:pPr>
            <w:r w:rsidRPr="0015645C">
              <w:rPr>
                <w:lang w:eastAsia="en-AU"/>
              </w:rPr>
              <w:t>Next bottom</w:t>
            </w:r>
          </w:p>
        </w:tc>
        <w:tc>
          <w:tcPr>
            <w:tcW w:w="1569" w:type="dxa"/>
            <w:gridSpan w:val="2"/>
            <w:tcBorders>
              <w:top w:val="single" w:sz="12" w:space="0" w:color="1E1545"/>
              <w:left w:val="nil"/>
              <w:bottom w:val="single" w:sz="12" w:space="0" w:color="1E1545"/>
              <w:right w:val="nil"/>
            </w:tcBorders>
            <w:shd w:val="clear" w:color="000000" w:fill="1E1545"/>
            <w:vAlign w:val="center"/>
            <w:hideMark/>
          </w:tcPr>
          <w:p w14:paraId="3495CFD5" w14:textId="77777777" w:rsidR="0015645C" w:rsidRPr="0015645C" w:rsidRDefault="0015645C" w:rsidP="00966B51">
            <w:pPr>
              <w:pStyle w:val="TableHeaderWhite"/>
              <w:rPr>
                <w:lang w:eastAsia="en-AU"/>
              </w:rPr>
            </w:pPr>
            <w:r w:rsidRPr="0015645C">
              <w:rPr>
                <w:lang w:eastAsia="en-AU"/>
              </w:rPr>
              <w:t>Bottom</w:t>
            </w:r>
          </w:p>
        </w:tc>
        <w:tc>
          <w:tcPr>
            <w:tcW w:w="1347" w:type="dxa"/>
            <w:tcBorders>
              <w:top w:val="single" w:sz="12" w:space="0" w:color="1E1545"/>
              <w:left w:val="nil"/>
              <w:bottom w:val="single" w:sz="12" w:space="0" w:color="1E1545"/>
              <w:right w:val="nil"/>
            </w:tcBorders>
            <w:shd w:val="clear" w:color="000000" w:fill="1E1545"/>
            <w:vAlign w:val="center"/>
            <w:hideMark/>
          </w:tcPr>
          <w:p w14:paraId="7252DCF1" w14:textId="77777777" w:rsidR="0015645C" w:rsidRPr="0015645C" w:rsidRDefault="0015645C" w:rsidP="00966B51">
            <w:pPr>
              <w:pStyle w:val="TableHeaderWhite"/>
              <w:rPr>
                <w:lang w:eastAsia="en-AU"/>
              </w:rPr>
            </w:pPr>
            <w:r w:rsidRPr="0015645C">
              <w:rPr>
                <w:lang w:eastAsia="en-AU"/>
              </w:rPr>
              <w:t>Total</w:t>
            </w:r>
          </w:p>
        </w:tc>
      </w:tr>
      <w:tr w:rsidR="0015645C" w:rsidRPr="0015645C" w14:paraId="03992474" w14:textId="77777777" w:rsidTr="002809E5">
        <w:trPr>
          <w:trHeight w:val="310"/>
        </w:trPr>
        <w:tc>
          <w:tcPr>
            <w:tcW w:w="2531" w:type="dxa"/>
            <w:gridSpan w:val="2"/>
            <w:tcBorders>
              <w:top w:val="nil"/>
              <w:left w:val="nil"/>
              <w:bottom w:val="single" w:sz="8" w:space="0" w:color="auto"/>
              <w:right w:val="nil"/>
            </w:tcBorders>
            <w:shd w:val="clear" w:color="auto" w:fill="D8DBDB" w:themeFill="background1" w:themeFillShade="E6"/>
            <w:noWrap/>
            <w:vAlign w:val="center"/>
            <w:hideMark/>
          </w:tcPr>
          <w:p w14:paraId="57E438CA" w14:textId="77777777" w:rsidR="0015645C" w:rsidRPr="0015645C" w:rsidRDefault="0015645C" w:rsidP="00966B51">
            <w:pPr>
              <w:pStyle w:val="TableParagraphbold"/>
              <w:rPr>
                <w:lang w:eastAsia="en-AU"/>
              </w:rPr>
            </w:pPr>
            <w:r w:rsidRPr="0015645C">
              <w:rPr>
                <w:lang w:eastAsia="en-AU"/>
              </w:rPr>
              <w:t>For-profit</w:t>
            </w:r>
          </w:p>
        </w:tc>
        <w:tc>
          <w:tcPr>
            <w:tcW w:w="1620" w:type="dxa"/>
            <w:tcBorders>
              <w:top w:val="nil"/>
              <w:left w:val="nil"/>
              <w:bottom w:val="single" w:sz="8" w:space="0" w:color="auto"/>
              <w:right w:val="nil"/>
            </w:tcBorders>
            <w:shd w:val="clear" w:color="auto" w:fill="D8DBDB" w:themeFill="background1" w:themeFillShade="E6"/>
            <w:noWrap/>
            <w:vAlign w:val="center"/>
            <w:hideMark/>
          </w:tcPr>
          <w:p w14:paraId="69638AB3" w14:textId="77777777" w:rsidR="0015645C" w:rsidRPr="0015645C" w:rsidRDefault="0015645C" w:rsidP="00966B51">
            <w:pPr>
              <w:pStyle w:val="TableParagraphbold"/>
              <w:rPr>
                <w:lang w:eastAsia="en-AU"/>
              </w:rPr>
            </w:pPr>
            <w:r w:rsidRPr="0015645C">
              <w:rPr>
                <w:lang w:eastAsia="en-AU"/>
              </w:rPr>
              <w:t> </w:t>
            </w:r>
          </w:p>
        </w:tc>
        <w:tc>
          <w:tcPr>
            <w:tcW w:w="1569" w:type="dxa"/>
            <w:tcBorders>
              <w:top w:val="nil"/>
              <w:left w:val="nil"/>
              <w:bottom w:val="single" w:sz="8" w:space="0" w:color="auto"/>
              <w:right w:val="nil"/>
            </w:tcBorders>
            <w:shd w:val="clear" w:color="auto" w:fill="D8DBDB" w:themeFill="background1" w:themeFillShade="E6"/>
            <w:noWrap/>
            <w:vAlign w:val="center"/>
            <w:hideMark/>
          </w:tcPr>
          <w:p w14:paraId="2ACCF5C1" w14:textId="77777777" w:rsidR="0015645C" w:rsidRPr="0015645C" w:rsidRDefault="0015645C" w:rsidP="00966B51">
            <w:pPr>
              <w:pStyle w:val="TableParagraphbold"/>
              <w:rPr>
                <w:lang w:eastAsia="en-AU"/>
              </w:rPr>
            </w:pPr>
            <w:r w:rsidRPr="0015645C">
              <w:rPr>
                <w:lang w:eastAsia="en-AU"/>
              </w:rPr>
              <w:t> </w:t>
            </w:r>
          </w:p>
        </w:tc>
        <w:tc>
          <w:tcPr>
            <w:tcW w:w="1570" w:type="dxa"/>
            <w:gridSpan w:val="2"/>
            <w:tcBorders>
              <w:top w:val="nil"/>
              <w:left w:val="nil"/>
              <w:bottom w:val="single" w:sz="8" w:space="0" w:color="auto"/>
              <w:right w:val="nil"/>
            </w:tcBorders>
            <w:shd w:val="clear" w:color="auto" w:fill="D8DBDB" w:themeFill="background1" w:themeFillShade="E6"/>
            <w:noWrap/>
            <w:vAlign w:val="center"/>
            <w:hideMark/>
          </w:tcPr>
          <w:p w14:paraId="13FCC934" w14:textId="77777777" w:rsidR="0015645C" w:rsidRPr="0015645C" w:rsidRDefault="0015645C" w:rsidP="00966B51">
            <w:pPr>
              <w:pStyle w:val="TableParagraphbold"/>
              <w:rPr>
                <w:lang w:eastAsia="en-AU"/>
              </w:rPr>
            </w:pPr>
            <w:r w:rsidRPr="0015645C">
              <w:rPr>
                <w:lang w:eastAsia="en-AU"/>
              </w:rPr>
              <w:t> </w:t>
            </w:r>
          </w:p>
        </w:tc>
        <w:tc>
          <w:tcPr>
            <w:tcW w:w="1569" w:type="dxa"/>
            <w:gridSpan w:val="2"/>
            <w:tcBorders>
              <w:top w:val="nil"/>
              <w:left w:val="nil"/>
              <w:bottom w:val="single" w:sz="8" w:space="0" w:color="auto"/>
              <w:right w:val="nil"/>
            </w:tcBorders>
            <w:shd w:val="clear" w:color="auto" w:fill="D8DBDB" w:themeFill="background1" w:themeFillShade="E6"/>
            <w:noWrap/>
            <w:vAlign w:val="center"/>
            <w:hideMark/>
          </w:tcPr>
          <w:p w14:paraId="63BF8C6E" w14:textId="77777777" w:rsidR="0015645C" w:rsidRPr="0015645C" w:rsidRDefault="0015645C" w:rsidP="00966B51">
            <w:pPr>
              <w:pStyle w:val="TableParagraphbold"/>
              <w:rPr>
                <w:lang w:eastAsia="en-AU"/>
              </w:rPr>
            </w:pPr>
            <w:r w:rsidRPr="0015645C">
              <w:rPr>
                <w:lang w:eastAsia="en-AU"/>
              </w:rPr>
              <w:t> </w:t>
            </w:r>
          </w:p>
        </w:tc>
        <w:tc>
          <w:tcPr>
            <w:tcW w:w="1347" w:type="dxa"/>
            <w:tcBorders>
              <w:top w:val="nil"/>
              <w:left w:val="nil"/>
              <w:bottom w:val="single" w:sz="8" w:space="0" w:color="auto"/>
              <w:right w:val="nil"/>
            </w:tcBorders>
            <w:shd w:val="clear" w:color="auto" w:fill="D8DBDB" w:themeFill="background1" w:themeFillShade="E6"/>
            <w:noWrap/>
            <w:vAlign w:val="center"/>
            <w:hideMark/>
          </w:tcPr>
          <w:p w14:paraId="467B4F2C" w14:textId="77777777" w:rsidR="0015645C" w:rsidRPr="0015645C" w:rsidRDefault="0015645C" w:rsidP="00966B51">
            <w:pPr>
              <w:pStyle w:val="TableParagraphbold"/>
              <w:rPr>
                <w:lang w:eastAsia="en-AU"/>
              </w:rPr>
            </w:pPr>
            <w:r w:rsidRPr="0015645C">
              <w:rPr>
                <w:lang w:eastAsia="en-AU"/>
              </w:rPr>
              <w:t> </w:t>
            </w:r>
          </w:p>
        </w:tc>
      </w:tr>
      <w:tr w:rsidR="0015645C" w:rsidRPr="0015645C" w14:paraId="250EEF1A" w14:textId="77777777" w:rsidTr="002809E5">
        <w:trPr>
          <w:trHeight w:val="300"/>
        </w:trPr>
        <w:tc>
          <w:tcPr>
            <w:tcW w:w="2531" w:type="dxa"/>
            <w:gridSpan w:val="2"/>
            <w:tcBorders>
              <w:top w:val="nil"/>
              <w:left w:val="nil"/>
              <w:bottom w:val="single" w:sz="8" w:space="0" w:color="auto"/>
              <w:right w:val="nil"/>
            </w:tcBorders>
            <w:shd w:val="clear" w:color="auto" w:fill="auto"/>
            <w:noWrap/>
            <w:vAlign w:val="center"/>
            <w:hideMark/>
          </w:tcPr>
          <w:p w14:paraId="251824F9" w14:textId="77777777" w:rsidR="0015645C" w:rsidRPr="0015645C" w:rsidRDefault="0015645C" w:rsidP="00966B51">
            <w:pPr>
              <w:pStyle w:val="TableofAuthorities"/>
              <w:rPr>
                <w:lang w:eastAsia="en-AU"/>
              </w:rPr>
            </w:pPr>
            <w:r w:rsidRPr="0015645C">
              <w:rPr>
                <w:lang w:eastAsia="en-AU"/>
              </w:rPr>
              <w:t>Number of providers</w:t>
            </w:r>
          </w:p>
        </w:tc>
        <w:tc>
          <w:tcPr>
            <w:tcW w:w="1620" w:type="dxa"/>
            <w:tcBorders>
              <w:top w:val="nil"/>
              <w:left w:val="nil"/>
              <w:bottom w:val="single" w:sz="8" w:space="0" w:color="auto"/>
              <w:right w:val="nil"/>
            </w:tcBorders>
            <w:shd w:val="clear" w:color="auto" w:fill="auto"/>
            <w:noWrap/>
            <w:vAlign w:val="center"/>
            <w:hideMark/>
          </w:tcPr>
          <w:p w14:paraId="2A4F2C17" w14:textId="77777777" w:rsidR="0015645C" w:rsidRPr="0015645C" w:rsidRDefault="0015645C" w:rsidP="00966B51">
            <w:pPr>
              <w:pStyle w:val="TableofAuthorities"/>
              <w:rPr>
                <w:lang w:eastAsia="en-AU"/>
              </w:rPr>
            </w:pPr>
            <w:r w:rsidRPr="0015645C">
              <w:rPr>
                <w:lang w:eastAsia="en-AU"/>
              </w:rPr>
              <w:t>93</w:t>
            </w:r>
          </w:p>
        </w:tc>
        <w:tc>
          <w:tcPr>
            <w:tcW w:w="1569" w:type="dxa"/>
            <w:tcBorders>
              <w:top w:val="nil"/>
              <w:left w:val="nil"/>
              <w:bottom w:val="single" w:sz="8" w:space="0" w:color="auto"/>
              <w:right w:val="nil"/>
            </w:tcBorders>
            <w:shd w:val="clear" w:color="auto" w:fill="auto"/>
            <w:noWrap/>
            <w:vAlign w:val="center"/>
            <w:hideMark/>
          </w:tcPr>
          <w:p w14:paraId="3A5B3AB5" w14:textId="77777777" w:rsidR="0015645C" w:rsidRPr="0015645C" w:rsidRDefault="0015645C" w:rsidP="00966B51">
            <w:pPr>
              <w:pStyle w:val="TableofAuthorities"/>
              <w:rPr>
                <w:lang w:eastAsia="en-AU"/>
              </w:rPr>
            </w:pPr>
            <w:r w:rsidRPr="0015645C">
              <w:rPr>
                <w:lang w:eastAsia="en-AU"/>
              </w:rPr>
              <w:t>67</w:t>
            </w:r>
          </w:p>
        </w:tc>
        <w:tc>
          <w:tcPr>
            <w:tcW w:w="1570" w:type="dxa"/>
            <w:gridSpan w:val="2"/>
            <w:tcBorders>
              <w:top w:val="nil"/>
              <w:left w:val="nil"/>
              <w:bottom w:val="single" w:sz="8" w:space="0" w:color="auto"/>
              <w:right w:val="nil"/>
            </w:tcBorders>
            <w:shd w:val="clear" w:color="auto" w:fill="auto"/>
            <w:noWrap/>
            <w:vAlign w:val="center"/>
            <w:hideMark/>
          </w:tcPr>
          <w:p w14:paraId="58E80F1D" w14:textId="77777777" w:rsidR="0015645C" w:rsidRPr="0015645C" w:rsidRDefault="0015645C" w:rsidP="00966B51">
            <w:pPr>
              <w:pStyle w:val="TableofAuthorities"/>
              <w:rPr>
                <w:lang w:eastAsia="en-AU"/>
              </w:rPr>
            </w:pPr>
            <w:r w:rsidRPr="0015645C">
              <w:rPr>
                <w:lang w:eastAsia="en-AU"/>
              </w:rPr>
              <w:t>64</w:t>
            </w:r>
          </w:p>
        </w:tc>
        <w:tc>
          <w:tcPr>
            <w:tcW w:w="1569" w:type="dxa"/>
            <w:gridSpan w:val="2"/>
            <w:tcBorders>
              <w:top w:val="nil"/>
              <w:left w:val="nil"/>
              <w:bottom w:val="single" w:sz="8" w:space="0" w:color="auto"/>
              <w:right w:val="nil"/>
            </w:tcBorders>
            <w:shd w:val="clear" w:color="auto" w:fill="auto"/>
            <w:noWrap/>
            <w:vAlign w:val="center"/>
            <w:hideMark/>
          </w:tcPr>
          <w:p w14:paraId="5998B1D0" w14:textId="77777777" w:rsidR="0015645C" w:rsidRPr="0015645C" w:rsidRDefault="0015645C" w:rsidP="00966B51">
            <w:pPr>
              <w:pStyle w:val="TableofAuthorities"/>
              <w:rPr>
                <w:lang w:eastAsia="en-AU"/>
              </w:rPr>
            </w:pPr>
            <w:r w:rsidRPr="0015645C">
              <w:rPr>
                <w:lang w:eastAsia="en-AU"/>
              </w:rPr>
              <w:t>66</w:t>
            </w:r>
          </w:p>
        </w:tc>
        <w:tc>
          <w:tcPr>
            <w:tcW w:w="1347" w:type="dxa"/>
            <w:tcBorders>
              <w:top w:val="nil"/>
              <w:left w:val="nil"/>
              <w:bottom w:val="single" w:sz="8" w:space="0" w:color="auto"/>
              <w:right w:val="nil"/>
            </w:tcBorders>
            <w:shd w:val="clear" w:color="auto" w:fill="auto"/>
            <w:noWrap/>
            <w:vAlign w:val="center"/>
            <w:hideMark/>
          </w:tcPr>
          <w:p w14:paraId="51EA5014" w14:textId="77777777" w:rsidR="0015645C" w:rsidRPr="0015645C" w:rsidRDefault="0015645C" w:rsidP="00966B51">
            <w:pPr>
              <w:pStyle w:val="TableofAuthorities"/>
              <w:rPr>
                <w:lang w:eastAsia="en-AU"/>
              </w:rPr>
            </w:pPr>
            <w:r w:rsidRPr="0015645C">
              <w:rPr>
                <w:lang w:eastAsia="en-AU"/>
              </w:rPr>
              <w:t>290</w:t>
            </w:r>
          </w:p>
        </w:tc>
      </w:tr>
      <w:tr w:rsidR="0015645C" w:rsidRPr="0015645C" w14:paraId="537EAB78" w14:textId="77777777" w:rsidTr="002809E5">
        <w:trPr>
          <w:trHeight w:val="300"/>
        </w:trPr>
        <w:tc>
          <w:tcPr>
            <w:tcW w:w="2531" w:type="dxa"/>
            <w:gridSpan w:val="2"/>
            <w:tcBorders>
              <w:top w:val="nil"/>
              <w:left w:val="nil"/>
              <w:bottom w:val="single" w:sz="8" w:space="0" w:color="auto"/>
              <w:right w:val="nil"/>
            </w:tcBorders>
            <w:shd w:val="clear" w:color="auto" w:fill="auto"/>
            <w:vAlign w:val="center"/>
            <w:hideMark/>
          </w:tcPr>
          <w:p w14:paraId="48F77822" w14:textId="77777777" w:rsidR="0015645C" w:rsidRPr="0015645C" w:rsidRDefault="0015645C" w:rsidP="00966B51">
            <w:pPr>
              <w:pStyle w:val="TableofAuthorities"/>
              <w:rPr>
                <w:lang w:eastAsia="en-AU"/>
              </w:rPr>
            </w:pPr>
            <w:r w:rsidRPr="0015645C">
              <w:rPr>
                <w:lang w:eastAsia="en-AU"/>
              </w:rPr>
              <w:t>Total revenue per recipient</w:t>
            </w:r>
          </w:p>
        </w:tc>
        <w:tc>
          <w:tcPr>
            <w:tcW w:w="1620" w:type="dxa"/>
            <w:tcBorders>
              <w:top w:val="nil"/>
              <w:left w:val="nil"/>
              <w:bottom w:val="single" w:sz="8" w:space="0" w:color="auto"/>
              <w:right w:val="nil"/>
            </w:tcBorders>
            <w:shd w:val="clear" w:color="auto" w:fill="auto"/>
            <w:noWrap/>
            <w:vAlign w:val="center"/>
            <w:hideMark/>
          </w:tcPr>
          <w:p w14:paraId="58C89953" w14:textId="77777777" w:rsidR="0015645C" w:rsidRPr="0015645C" w:rsidRDefault="0015645C" w:rsidP="00966B51">
            <w:pPr>
              <w:pStyle w:val="TableofAuthorities"/>
              <w:rPr>
                <w:lang w:eastAsia="en-AU"/>
              </w:rPr>
            </w:pPr>
            <w:r w:rsidRPr="0015645C">
              <w:rPr>
                <w:lang w:eastAsia="en-AU"/>
              </w:rPr>
              <w:t xml:space="preserve">$34,112.00 </w:t>
            </w:r>
          </w:p>
        </w:tc>
        <w:tc>
          <w:tcPr>
            <w:tcW w:w="1569" w:type="dxa"/>
            <w:tcBorders>
              <w:top w:val="nil"/>
              <w:left w:val="nil"/>
              <w:bottom w:val="single" w:sz="8" w:space="0" w:color="auto"/>
              <w:right w:val="nil"/>
            </w:tcBorders>
            <w:shd w:val="clear" w:color="auto" w:fill="auto"/>
            <w:noWrap/>
            <w:vAlign w:val="center"/>
            <w:hideMark/>
          </w:tcPr>
          <w:p w14:paraId="22AEF15A" w14:textId="77777777" w:rsidR="0015645C" w:rsidRPr="0015645C" w:rsidRDefault="0015645C" w:rsidP="00966B51">
            <w:pPr>
              <w:pStyle w:val="TableofAuthorities"/>
              <w:rPr>
                <w:lang w:eastAsia="en-AU"/>
              </w:rPr>
            </w:pPr>
            <w:r w:rsidRPr="0015645C">
              <w:rPr>
                <w:lang w:eastAsia="en-AU"/>
              </w:rPr>
              <w:t xml:space="preserve">$23,391.00 </w:t>
            </w:r>
          </w:p>
        </w:tc>
        <w:tc>
          <w:tcPr>
            <w:tcW w:w="1570" w:type="dxa"/>
            <w:gridSpan w:val="2"/>
            <w:tcBorders>
              <w:top w:val="nil"/>
              <w:left w:val="nil"/>
              <w:bottom w:val="single" w:sz="8" w:space="0" w:color="auto"/>
              <w:right w:val="nil"/>
            </w:tcBorders>
            <w:shd w:val="clear" w:color="auto" w:fill="auto"/>
            <w:noWrap/>
            <w:vAlign w:val="center"/>
            <w:hideMark/>
          </w:tcPr>
          <w:p w14:paraId="2C6DC843" w14:textId="77777777" w:rsidR="0015645C" w:rsidRPr="0015645C" w:rsidRDefault="0015645C" w:rsidP="00966B51">
            <w:pPr>
              <w:pStyle w:val="TableofAuthorities"/>
              <w:rPr>
                <w:lang w:eastAsia="en-AU"/>
              </w:rPr>
            </w:pPr>
            <w:r w:rsidRPr="0015645C">
              <w:rPr>
                <w:lang w:eastAsia="en-AU"/>
              </w:rPr>
              <w:t xml:space="preserve">$20,664.00 </w:t>
            </w:r>
          </w:p>
        </w:tc>
        <w:tc>
          <w:tcPr>
            <w:tcW w:w="1569" w:type="dxa"/>
            <w:gridSpan w:val="2"/>
            <w:tcBorders>
              <w:top w:val="nil"/>
              <w:left w:val="nil"/>
              <w:bottom w:val="single" w:sz="8" w:space="0" w:color="auto"/>
              <w:right w:val="nil"/>
            </w:tcBorders>
            <w:shd w:val="clear" w:color="auto" w:fill="auto"/>
            <w:noWrap/>
            <w:vAlign w:val="center"/>
            <w:hideMark/>
          </w:tcPr>
          <w:p w14:paraId="0AA87F85" w14:textId="77777777" w:rsidR="0015645C" w:rsidRPr="0015645C" w:rsidRDefault="0015645C" w:rsidP="00966B51">
            <w:pPr>
              <w:pStyle w:val="TableofAuthorities"/>
              <w:rPr>
                <w:lang w:eastAsia="en-AU"/>
              </w:rPr>
            </w:pPr>
            <w:r w:rsidRPr="0015645C">
              <w:rPr>
                <w:lang w:eastAsia="en-AU"/>
              </w:rPr>
              <w:t xml:space="preserve">$23,959.00 </w:t>
            </w:r>
          </w:p>
        </w:tc>
        <w:tc>
          <w:tcPr>
            <w:tcW w:w="1347" w:type="dxa"/>
            <w:tcBorders>
              <w:top w:val="nil"/>
              <w:left w:val="nil"/>
              <w:bottom w:val="single" w:sz="8" w:space="0" w:color="auto"/>
              <w:right w:val="nil"/>
            </w:tcBorders>
            <w:shd w:val="clear" w:color="auto" w:fill="auto"/>
            <w:noWrap/>
            <w:vAlign w:val="center"/>
            <w:hideMark/>
          </w:tcPr>
          <w:p w14:paraId="7D30C83C" w14:textId="77777777" w:rsidR="0015645C" w:rsidRPr="0015645C" w:rsidRDefault="0015645C" w:rsidP="00966B51">
            <w:pPr>
              <w:pStyle w:val="TableofAuthorities"/>
              <w:rPr>
                <w:lang w:eastAsia="en-AU"/>
              </w:rPr>
            </w:pPr>
            <w:r w:rsidRPr="0015645C">
              <w:rPr>
                <w:lang w:eastAsia="en-AU"/>
              </w:rPr>
              <w:t xml:space="preserve">$24,347.00 </w:t>
            </w:r>
          </w:p>
        </w:tc>
      </w:tr>
      <w:tr w:rsidR="0015645C" w:rsidRPr="0015645C" w14:paraId="30061ACB" w14:textId="77777777" w:rsidTr="002809E5">
        <w:trPr>
          <w:trHeight w:val="300"/>
        </w:trPr>
        <w:tc>
          <w:tcPr>
            <w:tcW w:w="2531" w:type="dxa"/>
            <w:gridSpan w:val="2"/>
            <w:tcBorders>
              <w:top w:val="nil"/>
              <w:left w:val="nil"/>
              <w:bottom w:val="single" w:sz="8" w:space="0" w:color="auto"/>
              <w:right w:val="nil"/>
            </w:tcBorders>
            <w:shd w:val="clear" w:color="auto" w:fill="auto"/>
            <w:vAlign w:val="center"/>
            <w:hideMark/>
          </w:tcPr>
          <w:p w14:paraId="3D84F63B" w14:textId="77777777" w:rsidR="0015645C" w:rsidRPr="0015645C" w:rsidRDefault="0015645C" w:rsidP="00966B51">
            <w:pPr>
              <w:pStyle w:val="TableofAuthorities"/>
              <w:rPr>
                <w:lang w:eastAsia="en-AU"/>
              </w:rPr>
            </w:pPr>
            <w:r w:rsidRPr="0015645C">
              <w:rPr>
                <w:lang w:eastAsia="en-AU"/>
              </w:rPr>
              <w:t>Total expenses per recipient</w:t>
            </w:r>
          </w:p>
        </w:tc>
        <w:tc>
          <w:tcPr>
            <w:tcW w:w="1620" w:type="dxa"/>
            <w:tcBorders>
              <w:top w:val="nil"/>
              <w:left w:val="nil"/>
              <w:bottom w:val="single" w:sz="8" w:space="0" w:color="auto"/>
              <w:right w:val="nil"/>
            </w:tcBorders>
            <w:shd w:val="clear" w:color="auto" w:fill="auto"/>
            <w:noWrap/>
            <w:vAlign w:val="center"/>
            <w:hideMark/>
          </w:tcPr>
          <w:p w14:paraId="30E714E5" w14:textId="77777777" w:rsidR="0015645C" w:rsidRPr="0015645C" w:rsidRDefault="0015645C" w:rsidP="00966B51">
            <w:pPr>
              <w:pStyle w:val="TableofAuthorities"/>
              <w:rPr>
                <w:lang w:eastAsia="en-AU"/>
              </w:rPr>
            </w:pPr>
            <w:r w:rsidRPr="0015645C">
              <w:rPr>
                <w:lang w:eastAsia="en-AU"/>
              </w:rPr>
              <w:t xml:space="preserve">$27,390.00 </w:t>
            </w:r>
          </w:p>
        </w:tc>
        <w:tc>
          <w:tcPr>
            <w:tcW w:w="1569" w:type="dxa"/>
            <w:tcBorders>
              <w:top w:val="nil"/>
              <w:left w:val="nil"/>
              <w:bottom w:val="single" w:sz="8" w:space="0" w:color="auto"/>
              <w:right w:val="nil"/>
            </w:tcBorders>
            <w:shd w:val="clear" w:color="auto" w:fill="auto"/>
            <w:noWrap/>
            <w:vAlign w:val="center"/>
            <w:hideMark/>
          </w:tcPr>
          <w:p w14:paraId="2C195867" w14:textId="77777777" w:rsidR="0015645C" w:rsidRPr="0015645C" w:rsidRDefault="0015645C" w:rsidP="00966B51">
            <w:pPr>
              <w:pStyle w:val="TableofAuthorities"/>
              <w:rPr>
                <w:lang w:eastAsia="en-AU"/>
              </w:rPr>
            </w:pPr>
            <w:r w:rsidRPr="0015645C">
              <w:rPr>
                <w:lang w:eastAsia="en-AU"/>
              </w:rPr>
              <w:t xml:space="preserve">$21,917.00 </w:t>
            </w:r>
          </w:p>
        </w:tc>
        <w:tc>
          <w:tcPr>
            <w:tcW w:w="1570" w:type="dxa"/>
            <w:gridSpan w:val="2"/>
            <w:tcBorders>
              <w:top w:val="nil"/>
              <w:left w:val="nil"/>
              <w:bottom w:val="single" w:sz="8" w:space="0" w:color="auto"/>
              <w:right w:val="nil"/>
            </w:tcBorders>
            <w:shd w:val="clear" w:color="auto" w:fill="auto"/>
            <w:noWrap/>
            <w:vAlign w:val="center"/>
            <w:hideMark/>
          </w:tcPr>
          <w:p w14:paraId="63613EA2" w14:textId="77777777" w:rsidR="0015645C" w:rsidRPr="0015645C" w:rsidRDefault="0015645C" w:rsidP="00966B51">
            <w:pPr>
              <w:pStyle w:val="TableofAuthorities"/>
              <w:rPr>
                <w:lang w:eastAsia="en-AU"/>
              </w:rPr>
            </w:pPr>
            <w:r w:rsidRPr="0015645C">
              <w:rPr>
                <w:lang w:eastAsia="en-AU"/>
              </w:rPr>
              <w:t xml:space="preserve">$20,580.00 </w:t>
            </w:r>
          </w:p>
        </w:tc>
        <w:tc>
          <w:tcPr>
            <w:tcW w:w="1569" w:type="dxa"/>
            <w:gridSpan w:val="2"/>
            <w:tcBorders>
              <w:top w:val="nil"/>
              <w:left w:val="nil"/>
              <w:bottom w:val="single" w:sz="8" w:space="0" w:color="auto"/>
              <w:right w:val="nil"/>
            </w:tcBorders>
            <w:shd w:val="clear" w:color="auto" w:fill="auto"/>
            <w:noWrap/>
            <w:vAlign w:val="center"/>
            <w:hideMark/>
          </w:tcPr>
          <w:p w14:paraId="24ACB72D" w14:textId="77777777" w:rsidR="0015645C" w:rsidRPr="0015645C" w:rsidRDefault="0015645C" w:rsidP="00966B51">
            <w:pPr>
              <w:pStyle w:val="TableofAuthorities"/>
              <w:rPr>
                <w:lang w:eastAsia="en-AU"/>
              </w:rPr>
            </w:pPr>
            <w:r w:rsidRPr="0015645C">
              <w:rPr>
                <w:lang w:eastAsia="en-AU"/>
              </w:rPr>
              <w:t xml:space="preserve">$27,031.00 </w:t>
            </w:r>
          </w:p>
        </w:tc>
        <w:tc>
          <w:tcPr>
            <w:tcW w:w="1347" w:type="dxa"/>
            <w:tcBorders>
              <w:top w:val="nil"/>
              <w:left w:val="nil"/>
              <w:bottom w:val="single" w:sz="8" w:space="0" w:color="auto"/>
              <w:right w:val="nil"/>
            </w:tcBorders>
            <w:shd w:val="clear" w:color="auto" w:fill="auto"/>
            <w:noWrap/>
            <w:vAlign w:val="center"/>
            <w:hideMark/>
          </w:tcPr>
          <w:p w14:paraId="10FC0986" w14:textId="77777777" w:rsidR="0015645C" w:rsidRPr="0015645C" w:rsidRDefault="0015645C" w:rsidP="00966B51">
            <w:pPr>
              <w:pStyle w:val="TableofAuthorities"/>
              <w:rPr>
                <w:lang w:eastAsia="en-AU"/>
              </w:rPr>
            </w:pPr>
            <w:r w:rsidRPr="0015645C">
              <w:rPr>
                <w:lang w:eastAsia="en-AU"/>
              </w:rPr>
              <w:t xml:space="preserve">$23,161.00 </w:t>
            </w:r>
          </w:p>
        </w:tc>
      </w:tr>
      <w:tr w:rsidR="0015645C" w:rsidRPr="0015645C" w14:paraId="27812F16" w14:textId="77777777" w:rsidTr="002809E5">
        <w:trPr>
          <w:trHeight w:val="300"/>
        </w:trPr>
        <w:tc>
          <w:tcPr>
            <w:tcW w:w="2531" w:type="dxa"/>
            <w:gridSpan w:val="2"/>
            <w:tcBorders>
              <w:top w:val="nil"/>
              <w:left w:val="nil"/>
              <w:bottom w:val="single" w:sz="8" w:space="0" w:color="auto"/>
              <w:right w:val="nil"/>
            </w:tcBorders>
            <w:shd w:val="clear" w:color="auto" w:fill="D8DBDB" w:themeFill="background1" w:themeFillShade="E6"/>
            <w:vAlign w:val="center"/>
            <w:hideMark/>
          </w:tcPr>
          <w:p w14:paraId="753EB1AA" w14:textId="77777777" w:rsidR="0015645C" w:rsidRPr="0015645C" w:rsidRDefault="0015645C" w:rsidP="00966B51">
            <w:pPr>
              <w:pStyle w:val="TableParagraphbold"/>
              <w:rPr>
                <w:lang w:eastAsia="en-AU"/>
              </w:rPr>
            </w:pPr>
            <w:r w:rsidRPr="0015645C">
              <w:rPr>
                <w:lang w:eastAsia="en-AU"/>
              </w:rPr>
              <w:t>NBPT per recipient</w:t>
            </w:r>
          </w:p>
        </w:tc>
        <w:tc>
          <w:tcPr>
            <w:tcW w:w="1620" w:type="dxa"/>
            <w:tcBorders>
              <w:top w:val="nil"/>
              <w:left w:val="nil"/>
              <w:bottom w:val="single" w:sz="8" w:space="0" w:color="auto"/>
              <w:right w:val="nil"/>
            </w:tcBorders>
            <w:shd w:val="clear" w:color="auto" w:fill="D8DBDB" w:themeFill="background1" w:themeFillShade="E6"/>
            <w:noWrap/>
            <w:vAlign w:val="center"/>
            <w:hideMark/>
          </w:tcPr>
          <w:p w14:paraId="0132B163" w14:textId="77777777" w:rsidR="0015645C" w:rsidRPr="0015645C" w:rsidRDefault="0015645C" w:rsidP="00966B51">
            <w:pPr>
              <w:pStyle w:val="TableParagraphbold"/>
              <w:rPr>
                <w:lang w:eastAsia="en-AU"/>
              </w:rPr>
            </w:pPr>
            <w:r w:rsidRPr="0015645C">
              <w:rPr>
                <w:lang w:eastAsia="en-AU"/>
              </w:rPr>
              <w:t xml:space="preserve">$6,722.00 </w:t>
            </w:r>
          </w:p>
        </w:tc>
        <w:tc>
          <w:tcPr>
            <w:tcW w:w="1569" w:type="dxa"/>
            <w:tcBorders>
              <w:top w:val="nil"/>
              <w:left w:val="nil"/>
              <w:bottom w:val="single" w:sz="8" w:space="0" w:color="auto"/>
              <w:right w:val="nil"/>
            </w:tcBorders>
            <w:shd w:val="clear" w:color="auto" w:fill="D8DBDB" w:themeFill="background1" w:themeFillShade="E6"/>
            <w:noWrap/>
            <w:vAlign w:val="center"/>
            <w:hideMark/>
          </w:tcPr>
          <w:p w14:paraId="10CBC25D" w14:textId="77777777" w:rsidR="0015645C" w:rsidRPr="0015645C" w:rsidRDefault="0015645C" w:rsidP="00966B51">
            <w:pPr>
              <w:pStyle w:val="TableParagraphbold"/>
              <w:rPr>
                <w:lang w:eastAsia="en-AU"/>
              </w:rPr>
            </w:pPr>
            <w:r w:rsidRPr="0015645C">
              <w:rPr>
                <w:lang w:eastAsia="en-AU"/>
              </w:rPr>
              <w:t xml:space="preserve">$1,474.00 </w:t>
            </w:r>
          </w:p>
        </w:tc>
        <w:tc>
          <w:tcPr>
            <w:tcW w:w="1570" w:type="dxa"/>
            <w:gridSpan w:val="2"/>
            <w:tcBorders>
              <w:top w:val="nil"/>
              <w:left w:val="nil"/>
              <w:bottom w:val="single" w:sz="8" w:space="0" w:color="auto"/>
              <w:right w:val="nil"/>
            </w:tcBorders>
            <w:shd w:val="clear" w:color="auto" w:fill="D8DBDB" w:themeFill="background1" w:themeFillShade="E6"/>
            <w:noWrap/>
            <w:vAlign w:val="center"/>
            <w:hideMark/>
          </w:tcPr>
          <w:p w14:paraId="73EC2161" w14:textId="77777777" w:rsidR="0015645C" w:rsidRPr="0015645C" w:rsidRDefault="0015645C" w:rsidP="00966B51">
            <w:pPr>
              <w:pStyle w:val="TableParagraphbold"/>
              <w:rPr>
                <w:lang w:eastAsia="en-AU"/>
              </w:rPr>
            </w:pPr>
            <w:r w:rsidRPr="0015645C">
              <w:rPr>
                <w:lang w:eastAsia="en-AU"/>
              </w:rPr>
              <w:t xml:space="preserve">$85.00 </w:t>
            </w:r>
          </w:p>
        </w:tc>
        <w:tc>
          <w:tcPr>
            <w:tcW w:w="1569" w:type="dxa"/>
            <w:gridSpan w:val="2"/>
            <w:tcBorders>
              <w:top w:val="nil"/>
              <w:left w:val="nil"/>
              <w:bottom w:val="single" w:sz="8" w:space="0" w:color="auto"/>
              <w:right w:val="nil"/>
            </w:tcBorders>
            <w:shd w:val="clear" w:color="auto" w:fill="D8DBDB" w:themeFill="background1" w:themeFillShade="E6"/>
            <w:noWrap/>
            <w:vAlign w:val="center"/>
            <w:hideMark/>
          </w:tcPr>
          <w:p w14:paraId="44C98966" w14:textId="77777777" w:rsidR="0015645C" w:rsidRPr="0015645C" w:rsidRDefault="0015645C" w:rsidP="00966B51">
            <w:pPr>
              <w:pStyle w:val="TableParagraphbold"/>
              <w:rPr>
                <w:lang w:eastAsia="en-AU"/>
              </w:rPr>
            </w:pPr>
            <w:r w:rsidRPr="0015645C">
              <w:rPr>
                <w:lang w:eastAsia="en-AU"/>
              </w:rPr>
              <w:t>($3,072.00)</w:t>
            </w:r>
          </w:p>
        </w:tc>
        <w:tc>
          <w:tcPr>
            <w:tcW w:w="1347" w:type="dxa"/>
            <w:tcBorders>
              <w:top w:val="nil"/>
              <w:left w:val="nil"/>
              <w:bottom w:val="single" w:sz="8" w:space="0" w:color="auto"/>
              <w:right w:val="nil"/>
            </w:tcBorders>
            <w:shd w:val="clear" w:color="auto" w:fill="D8DBDB" w:themeFill="background1" w:themeFillShade="E6"/>
            <w:noWrap/>
            <w:vAlign w:val="center"/>
            <w:hideMark/>
          </w:tcPr>
          <w:p w14:paraId="02A8F9BB" w14:textId="77777777" w:rsidR="0015645C" w:rsidRPr="0015645C" w:rsidRDefault="0015645C" w:rsidP="00966B51">
            <w:pPr>
              <w:pStyle w:val="TableParagraphbold"/>
              <w:rPr>
                <w:lang w:eastAsia="en-AU"/>
              </w:rPr>
            </w:pPr>
            <w:r w:rsidRPr="0015645C">
              <w:rPr>
                <w:lang w:eastAsia="en-AU"/>
              </w:rPr>
              <w:t xml:space="preserve">$1,187.00 </w:t>
            </w:r>
          </w:p>
        </w:tc>
      </w:tr>
      <w:tr w:rsidR="0015645C" w:rsidRPr="0015645C" w14:paraId="708AB39B" w14:textId="77777777" w:rsidTr="002809E5">
        <w:trPr>
          <w:trHeight w:val="300"/>
        </w:trPr>
        <w:tc>
          <w:tcPr>
            <w:tcW w:w="2531" w:type="dxa"/>
            <w:gridSpan w:val="2"/>
            <w:tcBorders>
              <w:top w:val="nil"/>
              <w:left w:val="nil"/>
              <w:bottom w:val="single" w:sz="8" w:space="0" w:color="auto"/>
              <w:right w:val="nil"/>
            </w:tcBorders>
            <w:shd w:val="clear" w:color="auto" w:fill="D8DBDB" w:themeFill="background1" w:themeFillShade="E6"/>
            <w:noWrap/>
            <w:vAlign w:val="center"/>
            <w:hideMark/>
          </w:tcPr>
          <w:p w14:paraId="21F822A8" w14:textId="77777777" w:rsidR="0015645C" w:rsidRPr="0015645C" w:rsidRDefault="0015645C" w:rsidP="00966B51">
            <w:pPr>
              <w:pStyle w:val="TableParagraphbold"/>
              <w:rPr>
                <w:lang w:eastAsia="en-AU"/>
              </w:rPr>
            </w:pPr>
            <w:r w:rsidRPr="0015645C">
              <w:rPr>
                <w:lang w:eastAsia="en-AU"/>
              </w:rPr>
              <w:t>Not-for-profit</w:t>
            </w:r>
          </w:p>
        </w:tc>
        <w:tc>
          <w:tcPr>
            <w:tcW w:w="1620" w:type="dxa"/>
            <w:tcBorders>
              <w:top w:val="nil"/>
              <w:left w:val="nil"/>
              <w:bottom w:val="single" w:sz="8" w:space="0" w:color="auto"/>
              <w:right w:val="nil"/>
            </w:tcBorders>
            <w:shd w:val="clear" w:color="auto" w:fill="D8DBDB" w:themeFill="background1" w:themeFillShade="E6"/>
            <w:noWrap/>
            <w:vAlign w:val="center"/>
            <w:hideMark/>
          </w:tcPr>
          <w:p w14:paraId="47565256" w14:textId="77777777" w:rsidR="0015645C" w:rsidRPr="0015645C" w:rsidRDefault="0015645C" w:rsidP="00966B51">
            <w:pPr>
              <w:pStyle w:val="TableParagraphbold"/>
              <w:rPr>
                <w:lang w:eastAsia="en-AU"/>
              </w:rPr>
            </w:pPr>
            <w:r w:rsidRPr="0015645C">
              <w:rPr>
                <w:lang w:eastAsia="en-AU"/>
              </w:rPr>
              <w:t xml:space="preserve"> </w:t>
            </w:r>
          </w:p>
        </w:tc>
        <w:tc>
          <w:tcPr>
            <w:tcW w:w="1569" w:type="dxa"/>
            <w:tcBorders>
              <w:top w:val="nil"/>
              <w:left w:val="nil"/>
              <w:bottom w:val="single" w:sz="8" w:space="0" w:color="auto"/>
              <w:right w:val="nil"/>
            </w:tcBorders>
            <w:shd w:val="clear" w:color="auto" w:fill="D8DBDB" w:themeFill="background1" w:themeFillShade="E6"/>
            <w:noWrap/>
            <w:vAlign w:val="center"/>
            <w:hideMark/>
          </w:tcPr>
          <w:p w14:paraId="55A175C6" w14:textId="77777777" w:rsidR="0015645C" w:rsidRPr="0015645C" w:rsidRDefault="0015645C" w:rsidP="00966B51">
            <w:pPr>
              <w:pStyle w:val="TableParagraphbold"/>
              <w:rPr>
                <w:lang w:eastAsia="en-AU"/>
              </w:rPr>
            </w:pPr>
            <w:r w:rsidRPr="0015645C">
              <w:rPr>
                <w:lang w:eastAsia="en-AU"/>
              </w:rPr>
              <w:t xml:space="preserve"> </w:t>
            </w:r>
          </w:p>
        </w:tc>
        <w:tc>
          <w:tcPr>
            <w:tcW w:w="1570" w:type="dxa"/>
            <w:gridSpan w:val="2"/>
            <w:tcBorders>
              <w:top w:val="nil"/>
              <w:left w:val="nil"/>
              <w:bottom w:val="single" w:sz="8" w:space="0" w:color="auto"/>
              <w:right w:val="nil"/>
            </w:tcBorders>
            <w:shd w:val="clear" w:color="auto" w:fill="D8DBDB" w:themeFill="background1" w:themeFillShade="E6"/>
            <w:noWrap/>
            <w:vAlign w:val="center"/>
            <w:hideMark/>
          </w:tcPr>
          <w:p w14:paraId="2E30002D" w14:textId="77777777" w:rsidR="0015645C" w:rsidRPr="0015645C" w:rsidRDefault="0015645C" w:rsidP="00966B51">
            <w:pPr>
              <w:pStyle w:val="TableParagraphbold"/>
              <w:rPr>
                <w:lang w:eastAsia="en-AU"/>
              </w:rPr>
            </w:pPr>
            <w:r w:rsidRPr="0015645C">
              <w:rPr>
                <w:lang w:eastAsia="en-AU"/>
              </w:rPr>
              <w:t xml:space="preserve"> </w:t>
            </w:r>
          </w:p>
        </w:tc>
        <w:tc>
          <w:tcPr>
            <w:tcW w:w="1569" w:type="dxa"/>
            <w:gridSpan w:val="2"/>
            <w:tcBorders>
              <w:top w:val="nil"/>
              <w:left w:val="nil"/>
              <w:bottom w:val="single" w:sz="8" w:space="0" w:color="auto"/>
              <w:right w:val="nil"/>
            </w:tcBorders>
            <w:shd w:val="clear" w:color="auto" w:fill="D8DBDB" w:themeFill="background1" w:themeFillShade="E6"/>
            <w:noWrap/>
            <w:vAlign w:val="center"/>
            <w:hideMark/>
          </w:tcPr>
          <w:p w14:paraId="0283909F" w14:textId="77777777" w:rsidR="0015645C" w:rsidRPr="0015645C" w:rsidRDefault="0015645C" w:rsidP="00966B51">
            <w:pPr>
              <w:pStyle w:val="TableParagraphbold"/>
              <w:rPr>
                <w:lang w:eastAsia="en-AU"/>
              </w:rPr>
            </w:pPr>
            <w:r w:rsidRPr="0015645C">
              <w:rPr>
                <w:lang w:eastAsia="en-AU"/>
              </w:rPr>
              <w:t xml:space="preserve"> </w:t>
            </w:r>
          </w:p>
        </w:tc>
        <w:tc>
          <w:tcPr>
            <w:tcW w:w="1347" w:type="dxa"/>
            <w:tcBorders>
              <w:top w:val="nil"/>
              <w:left w:val="nil"/>
              <w:bottom w:val="single" w:sz="8" w:space="0" w:color="auto"/>
              <w:right w:val="nil"/>
            </w:tcBorders>
            <w:shd w:val="clear" w:color="auto" w:fill="D8DBDB" w:themeFill="background1" w:themeFillShade="E6"/>
            <w:noWrap/>
            <w:vAlign w:val="center"/>
            <w:hideMark/>
          </w:tcPr>
          <w:p w14:paraId="0C4FE82D" w14:textId="77777777" w:rsidR="0015645C" w:rsidRPr="0015645C" w:rsidRDefault="0015645C" w:rsidP="00966B51">
            <w:pPr>
              <w:pStyle w:val="TableParagraphbold"/>
              <w:rPr>
                <w:lang w:eastAsia="en-AU"/>
              </w:rPr>
            </w:pPr>
            <w:r w:rsidRPr="0015645C">
              <w:rPr>
                <w:lang w:eastAsia="en-AU"/>
              </w:rPr>
              <w:t xml:space="preserve"> </w:t>
            </w:r>
          </w:p>
        </w:tc>
      </w:tr>
      <w:tr w:rsidR="0015645C" w:rsidRPr="0015645C" w14:paraId="233A7C4C" w14:textId="77777777" w:rsidTr="002809E5">
        <w:trPr>
          <w:trHeight w:val="300"/>
        </w:trPr>
        <w:tc>
          <w:tcPr>
            <w:tcW w:w="2531" w:type="dxa"/>
            <w:gridSpan w:val="2"/>
            <w:tcBorders>
              <w:top w:val="nil"/>
              <w:left w:val="nil"/>
              <w:bottom w:val="single" w:sz="8" w:space="0" w:color="auto"/>
              <w:right w:val="nil"/>
            </w:tcBorders>
            <w:shd w:val="clear" w:color="auto" w:fill="auto"/>
            <w:noWrap/>
            <w:vAlign w:val="center"/>
            <w:hideMark/>
          </w:tcPr>
          <w:p w14:paraId="1419270E" w14:textId="77777777" w:rsidR="0015645C" w:rsidRPr="0015645C" w:rsidRDefault="0015645C" w:rsidP="00966B51">
            <w:pPr>
              <w:pStyle w:val="TableofAuthorities"/>
              <w:rPr>
                <w:lang w:eastAsia="en-AU"/>
              </w:rPr>
            </w:pPr>
            <w:r w:rsidRPr="0015645C">
              <w:rPr>
                <w:lang w:eastAsia="en-AU"/>
              </w:rPr>
              <w:t>Number of providers</w:t>
            </w:r>
          </w:p>
        </w:tc>
        <w:tc>
          <w:tcPr>
            <w:tcW w:w="1620" w:type="dxa"/>
            <w:tcBorders>
              <w:top w:val="nil"/>
              <w:left w:val="nil"/>
              <w:bottom w:val="single" w:sz="8" w:space="0" w:color="auto"/>
              <w:right w:val="nil"/>
            </w:tcBorders>
            <w:shd w:val="clear" w:color="auto" w:fill="auto"/>
            <w:noWrap/>
            <w:vAlign w:val="center"/>
            <w:hideMark/>
          </w:tcPr>
          <w:p w14:paraId="23FC020E" w14:textId="77777777" w:rsidR="0015645C" w:rsidRPr="0015645C" w:rsidRDefault="0015645C" w:rsidP="00966B51">
            <w:pPr>
              <w:pStyle w:val="TableofAuthorities"/>
              <w:rPr>
                <w:lang w:eastAsia="en-AU"/>
              </w:rPr>
            </w:pPr>
            <w:r w:rsidRPr="0015645C">
              <w:rPr>
                <w:lang w:eastAsia="en-AU"/>
              </w:rPr>
              <w:t>93</w:t>
            </w:r>
          </w:p>
        </w:tc>
        <w:tc>
          <w:tcPr>
            <w:tcW w:w="1569" w:type="dxa"/>
            <w:tcBorders>
              <w:top w:val="nil"/>
              <w:left w:val="nil"/>
              <w:bottom w:val="single" w:sz="8" w:space="0" w:color="auto"/>
              <w:right w:val="nil"/>
            </w:tcBorders>
            <w:shd w:val="clear" w:color="auto" w:fill="auto"/>
            <w:noWrap/>
            <w:vAlign w:val="center"/>
            <w:hideMark/>
          </w:tcPr>
          <w:p w14:paraId="15E78EE2" w14:textId="77777777" w:rsidR="0015645C" w:rsidRPr="0015645C" w:rsidRDefault="0015645C" w:rsidP="00966B51">
            <w:pPr>
              <w:pStyle w:val="TableofAuthorities"/>
              <w:rPr>
                <w:lang w:eastAsia="en-AU"/>
              </w:rPr>
            </w:pPr>
            <w:r w:rsidRPr="0015645C">
              <w:rPr>
                <w:lang w:eastAsia="en-AU"/>
              </w:rPr>
              <w:t>117</w:t>
            </w:r>
          </w:p>
        </w:tc>
        <w:tc>
          <w:tcPr>
            <w:tcW w:w="1570" w:type="dxa"/>
            <w:gridSpan w:val="2"/>
            <w:tcBorders>
              <w:top w:val="nil"/>
              <w:left w:val="nil"/>
              <w:bottom w:val="single" w:sz="8" w:space="0" w:color="auto"/>
              <w:right w:val="nil"/>
            </w:tcBorders>
            <w:shd w:val="clear" w:color="auto" w:fill="auto"/>
            <w:noWrap/>
            <w:vAlign w:val="center"/>
            <w:hideMark/>
          </w:tcPr>
          <w:p w14:paraId="6F6125A0" w14:textId="77777777" w:rsidR="0015645C" w:rsidRPr="0015645C" w:rsidRDefault="0015645C" w:rsidP="00966B51">
            <w:pPr>
              <w:pStyle w:val="TableofAuthorities"/>
              <w:rPr>
                <w:lang w:eastAsia="en-AU"/>
              </w:rPr>
            </w:pPr>
            <w:r w:rsidRPr="0015645C">
              <w:rPr>
                <w:lang w:eastAsia="en-AU"/>
              </w:rPr>
              <w:t>115</w:t>
            </w:r>
          </w:p>
        </w:tc>
        <w:tc>
          <w:tcPr>
            <w:tcW w:w="1569" w:type="dxa"/>
            <w:gridSpan w:val="2"/>
            <w:tcBorders>
              <w:top w:val="nil"/>
              <w:left w:val="nil"/>
              <w:bottom w:val="single" w:sz="8" w:space="0" w:color="auto"/>
              <w:right w:val="nil"/>
            </w:tcBorders>
            <w:shd w:val="clear" w:color="auto" w:fill="auto"/>
            <w:noWrap/>
            <w:vAlign w:val="center"/>
            <w:hideMark/>
          </w:tcPr>
          <w:p w14:paraId="7CED6DCC" w14:textId="77777777" w:rsidR="0015645C" w:rsidRPr="0015645C" w:rsidRDefault="0015645C" w:rsidP="00966B51">
            <w:pPr>
              <w:pStyle w:val="TableofAuthorities"/>
              <w:rPr>
                <w:lang w:eastAsia="en-AU"/>
              </w:rPr>
            </w:pPr>
            <w:r w:rsidRPr="0015645C">
              <w:rPr>
                <w:lang w:eastAsia="en-AU"/>
              </w:rPr>
              <w:t>105</w:t>
            </w:r>
          </w:p>
        </w:tc>
        <w:tc>
          <w:tcPr>
            <w:tcW w:w="1347" w:type="dxa"/>
            <w:tcBorders>
              <w:top w:val="nil"/>
              <w:left w:val="nil"/>
              <w:bottom w:val="single" w:sz="8" w:space="0" w:color="auto"/>
              <w:right w:val="nil"/>
            </w:tcBorders>
            <w:shd w:val="clear" w:color="auto" w:fill="auto"/>
            <w:noWrap/>
            <w:vAlign w:val="center"/>
            <w:hideMark/>
          </w:tcPr>
          <w:p w14:paraId="3B9A22EC" w14:textId="77777777" w:rsidR="0015645C" w:rsidRPr="0015645C" w:rsidRDefault="0015645C" w:rsidP="00966B51">
            <w:pPr>
              <w:pStyle w:val="TableofAuthorities"/>
              <w:rPr>
                <w:lang w:eastAsia="en-AU"/>
              </w:rPr>
            </w:pPr>
            <w:r w:rsidRPr="0015645C">
              <w:rPr>
                <w:lang w:eastAsia="en-AU"/>
              </w:rPr>
              <w:t>430</w:t>
            </w:r>
          </w:p>
        </w:tc>
      </w:tr>
      <w:tr w:rsidR="0015645C" w:rsidRPr="0015645C" w14:paraId="4E0D0F58" w14:textId="77777777" w:rsidTr="002809E5">
        <w:trPr>
          <w:trHeight w:val="300"/>
        </w:trPr>
        <w:tc>
          <w:tcPr>
            <w:tcW w:w="2531" w:type="dxa"/>
            <w:gridSpan w:val="2"/>
            <w:tcBorders>
              <w:top w:val="nil"/>
              <w:left w:val="nil"/>
              <w:bottom w:val="single" w:sz="8" w:space="0" w:color="auto"/>
              <w:right w:val="nil"/>
            </w:tcBorders>
            <w:shd w:val="clear" w:color="auto" w:fill="auto"/>
            <w:vAlign w:val="center"/>
            <w:hideMark/>
          </w:tcPr>
          <w:p w14:paraId="15BF2ACE" w14:textId="77777777" w:rsidR="0015645C" w:rsidRPr="0015645C" w:rsidRDefault="0015645C" w:rsidP="00966B51">
            <w:pPr>
              <w:pStyle w:val="TableofAuthorities"/>
              <w:rPr>
                <w:lang w:eastAsia="en-AU"/>
              </w:rPr>
            </w:pPr>
            <w:r w:rsidRPr="0015645C">
              <w:rPr>
                <w:lang w:eastAsia="en-AU"/>
              </w:rPr>
              <w:t>Total revenue per recipient</w:t>
            </w:r>
          </w:p>
        </w:tc>
        <w:tc>
          <w:tcPr>
            <w:tcW w:w="1620" w:type="dxa"/>
            <w:tcBorders>
              <w:top w:val="nil"/>
              <w:left w:val="nil"/>
              <w:bottom w:val="single" w:sz="8" w:space="0" w:color="auto"/>
              <w:right w:val="nil"/>
            </w:tcBorders>
            <w:shd w:val="clear" w:color="auto" w:fill="auto"/>
            <w:noWrap/>
            <w:vAlign w:val="center"/>
            <w:hideMark/>
          </w:tcPr>
          <w:p w14:paraId="61D9E757" w14:textId="77777777" w:rsidR="0015645C" w:rsidRPr="0015645C" w:rsidRDefault="0015645C" w:rsidP="00966B51">
            <w:pPr>
              <w:pStyle w:val="TableofAuthorities"/>
              <w:rPr>
                <w:lang w:eastAsia="en-AU"/>
              </w:rPr>
            </w:pPr>
            <w:r w:rsidRPr="0015645C">
              <w:rPr>
                <w:lang w:eastAsia="en-AU"/>
              </w:rPr>
              <w:t xml:space="preserve">$24,480.00 </w:t>
            </w:r>
          </w:p>
        </w:tc>
        <w:tc>
          <w:tcPr>
            <w:tcW w:w="1569" w:type="dxa"/>
            <w:tcBorders>
              <w:top w:val="nil"/>
              <w:left w:val="nil"/>
              <w:bottom w:val="single" w:sz="8" w:space="0" w:color="auto"/>
              <w:right w:val="nil"/>
            </w:tcBorders>
            <w:shd w:val="clear" w:color="auto" w:fill="auto"/>
            <w:noWrap/>
            <w:vAlign w:val="center"/>
            <w:hideMark/>
          </w:tcPr>
          <w:p w14:paraId="7F8CF1E2" w14:textId="77777777" w:rsidR="0015645C" w:rsidRPr="0015645C" w:rsidRDefault="0015645C" w:rsidP="00966B51">
            <w:pPr>
              <w:pStyle w:val="TableofAuthorities"/>
              <w:rPr>
                <w:lang w:eastAsia="en-AU"/>
              </w:rPr>
            </w:pPr>
            <w:r w:rsidRPr="0015645C">
              <w:rPr>
                <w:lang w:eastAsia="en-AU"/>
              </w:rPr>
              <w:t xml:space="preserve">$23,675.00 </w:t>
            </w:r>
          </w:p>
        </w:tc>
        <w:tc>
          <w:tcPr>
            <w:tcW w:w="1570" w:type="dxa"/>
            <w:gridSpan w:val="2"/>
            <w:tcBorders>
              <w:top w:val="nil"/>
              <w:left w:val="nil"/>
              <w:bottom w:val="single" w:sz="8" w:space="0" w:color="auto"/>
              <w:right w:val="nil"/>
            </w:tcBorders>
            <w:shd w:val="clear" w:color="auto" w:fill="auto"/>
            <w:noWrap/>
            <w:vAlign w:val="center"/>
            <w:hideMark/>
          </w:tcPr>
          <w:p w14:paraId="5D285FEA" w14:textId="77777777" w:rsidR="0015645C" w:rsidRPr="0015645C" w:rsidRDefault="0015645C" w:rsidP="00966B51">
            <w:pPr>
              <w:pStyle w:val="TableofAuthorities"/>
              <w:rPr>
                <w:lang w:eastAsia="en-AU"/>
              </w:rPr>
            </w:pPr>
            <w:r w:rsidRPr="0015645C">
              <w:rPr>
                <w:lang w:eastAsia="en-AU"/>
              </w:rPr>
              <w:t xml:space="preserve">$24,284.00 </w:t>
            </w:r>
          </w:p>
        </w:tc>
        <w:tc>
          <w:tcPr>
            <w:tcW w:w="1569" w:type="dxa"/>
            <w:gridSpan w:val="2"/>
            <w:tcBorders>
              <w:top w:val="nil"/>
              <w:left w:val="nil"/>
              <w:bottom w:val="single" w:sz="8" w:space="0" w:color="auto"/>
              <w:right w:val="nil"/>
            </w:tcBorders>
            <w:shd w:val="clear" w:color="auto" w:fill="auto"/>
            <w:noWrap/>
            <w:vAlign w:val="center"/>
            <w:hideMark/>
          </w:tcPr>
          <w:p w14:paraId="70F474BD" w14:textId="77777777" w:rsidR="0015645C" w:rsidRPr="0015645C" w:rsidRDefault="0015645C" w:rsidP="00966B51">
            <w:pPr>
              <w:pStyle w:val="TableofAuthorities"/>
              <w:rPr>
                <w:lang w:eastAsia="en-AU"/>
              </w:rPr>
            </w:pPr>
            <w:r w:rsidRPr="0015645C">
              <w:rPr>
                <w:lang w:eastAsia="en-AU"/>
              </w:rPr>
              <w:t xml:space="preserve">$24,106.00 </w:t>
            </w:r>
          </w:p>
        </w:tc>
        <w:tc>
          <w:tcPr>
            <w:tcW w:w="1347" w:type="dxa"/>
            <w:tcBorders>
              <w:top w:val="nil"/>
              <w:left w:val="nil"/>
              <w:bottom w:val="single" w:sz="8" w:space="0" w:color="auto"/>
              <w:right w:val="nil"/>
            </w:tcBorders>
            <w:shd w:val="clear" w:color="auto" w:fill="auto"/>
            <w:noWrap/>
            <w:vAlign w:val="center"/>
            <w:hideMark/>
          </w:tcPr>
          <w:p w14:paraId="6D2F639A" w14:textId="77777777" w:rsidR="0015645C" w:rsidRPr="0015645C" w:rsidRDefault="0015645C" w:rsidP="00966B51">
            <w:pPr>
              <w:pStyle w:val="TableofAuthorities"/>
              <w:rPr>
                <w:lang w:eastAsia="en-AU"/>
              </w:rPr>
            </w:pPr>
            <w:r w:rsidRPr="0015645C">
              <w:rPr>
                <w:lang w:eastAsia="en-AU"/>
              </w:rPr>
              <w:t xml:space="preserve">$24,069.00 </w:t>
            </w:r>
          </w:p>
        </w:tc>
      </w:tr>
      <w:tr w:rsidR="0015645C" w:rsidRPr="0015645C" w14:paraId="5A41B593" w14:textId="77777777" w:rsidTr="002809E5">
        <w:trPr>
          <w:trHeight w:val="300"/>
        </w:trPr>
        <w:tc>
          <w:tcPr>
            <w:tcW w:w="2531" w:type="dxa"/>
            <w:gridSpan w:val="2"/>
            <w:tcBorders>
              <w:top w:val="nil"/>
              <w:left w:val="nil"/>
              <w:bottom w:val="single" w:sz="8" w:space="0" w:color="auto"/>
              <w:right w:val="nil"/>
            </w:tcBorders>
            <w:shd w:val="clear" w:color="auto" w:fill="auto"/>
            <w:vAlign w:val="center"/>
            <w:hideMark/>
          </w:tcPr>
          <w:p w14:paraId="66127B4F" w14:textId="77777777" w:rsidR="0015645C" w:rsidRPr="0015645C" w:rsidRDefault="0015645C" w:rsidP="00966B51">
            <w:pPr>
              <w:pStyle w:val="TableofAuthorities"/>
              <w:rPr>
                <w:lang w:eastAsia="en-AU"/>
              </w:rPr>
            </w:pPr>
            <w:r w:rsidRPr="0015645C">
              <w:rPr>
                <w:lang w:eastAsia="en-AU"/>
              </w:rPr>
              <w:t>Total expenses per recipient</w:t>
            </w:r>
          </w:p>
        </w:tc>
        <w:tc>
          <w:tcPr>
            <w:tcW w:w="1620" w:type="dxa"/>
            <w:tcBorders>
              <w:top w:val="nil"/>
              <w:left w:val="nil"/>
              <w:bottom w:val="single" w:sz="8" w:space="0" w:color="auto"/>
              <w:right w:val="nil"/>
            </w:tcBorders>
            <w:shd w:val="clear" w:color="auto" w:fill="auto"/>
            <w:noWrap/>
            <w:vAlign w:val="center"/>
            <w:hideMark/>
          </w:tcPr>
          <w:p w14:paraId="6E116575" w14:textId="77777777" w:rsidR="0015645C" w:rsidRPr="0015645C" w:rsidRDefault="0015645C" w:rsidP="00966B51">
            <w:pPr>
              <w:pStyle w:val="TableofAuthorities"/>
              <w:rPr>
                <w:lang w:eastAsia="en-AU"/>
              </w:rPr>
            </w:pPr>
            <w:r w:rsidRPr="0015645C">
              <w:rPr>
                <w:lang w:eastAsia="en-AU"/>
              </w:rPr>
              <w:t xml:space="preserve">$20,426.00 </w:t>
            </w:r>
          </w:p>
        </w:tc>
        <w:tc>
          <w:tcPr>
            <w:tcW w:w="1569" w:type="dxa"/>
            <w:tcBorders>
              <w:top w:val="nil"/>
              <w:left w:val="nil"/>
              <w:bottom w:val="single" w:sz="8" w:space="0" w:color="auto"/>
              <w:right w:val="nil"/>
            </w:tcBorders>
            <w:shd w:val="clear" w:color="auto" w:fill="auto"/>
            <w:noWrap/>
            <w:vAlign w:val="center"/>
            <w:hideMark/>
          </w:tcPr>
          <w:p w14:paraId="2C6E1897" w14:textId="77777777" w:rsidR="0015645C" w:rsidRPr="0015645C" w:rsidRDefault="0015645C" w:rsidP="00966B51">
            <w:pPr>
              <w:pStyle w:val="TableofAuthorities"/>
              <w:rPr>
                <w:lang w:eastAsia="en-AU"/>
              </w:rPr>
            </w:pPr>
            <w:r w:rsidRPr="0015645C">
              <w:rPr>
                <w:lang w:eastAsia="en-AU"/>
              </w:rPr>
              <w:t xml:space="preserve">$21,702.00 </w:t>
            </w:r>
          </w:p>
        </w:tc>
        <w:tc>
          <w:tcPr>
            <w:tcW w:w="1570" w:type="dxa"/>
            <w:gridSpan w:val="2"/>
            <w:tcBorders>
              <w:top w:val="nil"/>
              <w:left w:val="nil"/>
              <w:bottom w:val="single" w:sz="8" w:space="0" w:color="auto"/>
              <w:right w:val="nil"/>
            </w:tcBorders>
            <w:shd w:val="clear" w:color="auto" w:fill="auto"/>
            <w:noWrap/>
            <w:vAlign w:val="center"/>
            <w:hideMark/>
          </w:tcPr>
          <w:p w14:paraId="16B21FAA" w14:textId="77777777" w:rsidR="0015645C" w:rsidRPr="0015645C" w:rsidRDefault="0015645C" w:rsidP="00966B51">
            <w:pPr>
              <w:pStyle w:val="TableofAuthorities"/>
              <w:rPr>
                <w:lang w:eastAsia="en-AU"/>
              </w:rPr>
            </w:pPr>
            <w:r w:rsidRPr="0015645C">
              <w:rPr>
                <w:lang w:eastAsia="en-AU"/>
              </w:rPr>
              <w:t xml:space="preserve">$23,911.00 </w:t>
            </w:r>
          </w:p>
        </w:tc>
        <w:tc>
          <w:tcPr>
            <w:tcW w:w="1569" w:type="dxa"/>
            <w:gridSpan w:val="2"/>
            <w:tcBorders>
              <w:top w:val="nil"/>
              <w:left w:val="nil"/>
              <w:bottom w:val="single" w:sz="8" w:space="0" w:color="auto"/>
              <w:right w:val="nil"/>
            </w:tcBorders>
            <w:shd w:val="clear" w:color="auto" w:fill="auto"/>
            <w:noWrap/>
            <w:vAlign w:val="center"/>
            <w:hideMark/>
          </w:tcPr>
          <w:p w14:paraId="4A75892F" w14:textId="77777777" w:rsidR="0015645C" w:rsidRPr="0015645C" w:rsidRDefault="0015645C" w:rsidP="00966B51">
            <w:pPr>
              <w:pStyle w:val="TableofAuthorities"/>
              <w:rPr>
                <w:lang w:eastAsia="en-AU"/>
              </w:rPr>
            </w:pPr>
            <w:r w:rsidRPr="0015645C">
              <w:rPr>
                <w:lang w:eastAsia="en-AU"/>
              </w:rPr>
              <w:t xml:space="preserve">$26,946.00 </w:t>
            </w:r>
          </w:p>
        </w:tc>
        <w:tc>
          <w:tcPr>
            <w:tcW w:w="1347" w:type="dxa"/>
            <w:tcBorders>
              <w:top w:val="nil"/>
              <w:left w:val="nil"/>
              <w:bottom w:val="single" w:sz="8" w:space="0" w:color="auto"/>
              <w:right w:val="nil"/>
            </w:tcBorders>
            <w:shd w:val="clear" w:color="auto" w:fill="auto"/>
            <w:noWrap/>
            <w:vAlign w:val="center"/>
            <w:hideMark/>
          </w:tcPr>
          <w:p w14:paraId="1A1CB468" w14:textId="77777777" w:rsidR="0015645C" w:rsidRPr="0015645C" w:rsidRDefault="0015645C" w:rsidP="00966B51">
            <w:pPr>
              <w:pStyle w:val="TableofAuthorities"/>
              <w:rPr>
                <w:lang w:eastAsia="en-AU"/>
              </w:rPr>
            </w:pPr>
            <w:r w:rsidRPr="0015645C">
              <w:rPr>
                <w:lang w:eastAsia="en-AU"/>
              </w:rPr>
              <w:t xml:space="preserve">$23,119.00 </w:t>
            </w:r>
          </w:p>
        </w:tc>
      </w:tr>
      <w:tr w:rsidR="0015645C" w:rsidRPr="0015645C" w14:paraId="4496BC49" w14:textId="77777777" w:rsidTr="002809E5">
        <w:trPr>
          <w:trHeight w:val="300"/>
        </w:trPr>
        <w:tc>
          <w:tcPr>
            <w:tcW w:w="2531" w:type="dxa"/>
            <w:gridSpan w:val="2"/>
            <w:tcBorders>
              <w:top w:val="nil"/>
              <w:left w:val="nil"/>
              <w:bottom w:val="single" w:sz="8" w:space="0" w:color="auto"/>
              <w:right w:val="nil"/>
            </w:tcBorders>
            <w:shd w:val="clear" w:color="auto" w:fill="D8DBDB" w:themeFill="background1" w:themeFillShade="E6"/>
            <w:vAlign w:val="center"/>
            <w:hideMark/>
          </w:tcPr>
          <w:p w14:paraId="25DFA04C" w14:textId="77777777" w:rsidR="0015645C" w:rsidRPr="0015645C" w:rsidRDefault="0015645C" w:rsidP="00966B51">
            <w:pPr>
              <w:pStyle w:val="TableParagraphbold"/>
              <w:rPr>
                <w:lang w:eastAsia="en-AU"/>
              </w:rPr>
            </w:pPr>
            <w:r w:rsidRPr="0015645C">
              <w:rPr>
                <w:lang w:eastAsia="en-AU"/>
              </w:rPr>
              <w:t xml:space="preserve">NBPT per recipient </w:t>
            </w:r>
          </w:p>
        </w:tc>
        <w:tc>
          <w:tcPr>
            <w:tcW w:w="1620" w:type="dxa"/>
            <w:tcBorders>
              <w:top w:val="nil"/>
              <w:left w:val="nil"/>
              <w:bottom w:val="single" w:sz="8" w:space="0" w:color="auto"/>
              <w:right w:val="nil"/>
            </w:tcBorders>
            <w:shd w:val="clear" w:color="auto" w:fill="D8DBDB" w:themeFill="background1" w:themeFillShade="E6"/>
            <w:noWrap/>
            <w:vAlign w:val="center"/>
            <w:hideMark/>
          </w:tcPr>
          <w:p w14:paraId="0F153990" w14:textId="77777777" w:rsidR="0015645C" w:rsidRPr="0015645C" w:rsidRDefault="0015645C" w:rsidP="00966B51">
            <w:pPr>
              <w:pStyle w:val="TableParagraphbold"/>
              <w:rPr>
                <w:lang w:eastAsia="en-AU"/>
              </w:rPr>
            </w:pPr>
            <w:r w:rsidRPr="0015645C">
              <w:rPr>
                <w:lang w:eastAsia="en-AU"/>
              </w:rPr>
              <w:t xml:space="preserve">$4,054.00 </w:t>
            </w:r>
          </w:p>
        </w:tc>
        <w:tc>
          <w:tcPr>
            <w:tcW w:w="1569" w:type="dxa"/>
            <w:tcBorders>
              <w:top w:val="nil"/>
              <w:left w:val="nil"/>
              <w:bottom w:val="single" w:sz="8" w:space="0" w:color="auto"/>
              <w:right w:val="nil"/>
            </w:tcBorders>
            <w:shd w:val="clear" w:color="auto" w:fill="D8DBDB" w:themeFill="background1" w:themeFillShade="E6"/>
            <w:noWrap/>
            <w:vAlign w:val="center"/>
            <w:hideMark/>
          </w:tcPr>
          <w:p w14:paraId="3C4DF466" w14:textId="77777777" w:rsidR="0015645C" w:rsidRPr="0015645C" w:rsidRDefault="0015645C" w:rsidP="00966B51">
            <w:pPr>
              <w:pStyle w:val="TableParagraphbold"/>
              <w:rPr>
                <w:lang w:eastAsia="en-AU"/>
              </w:rPr>
            </w:pPr>
            <w:r w:rsidRPr="0015645C">
              <w:rPr>
                <w:lang w:eastAsia="en-AU"/>
              </w:rPr>
              <w:t xml:space="preserve">$1,972.00 </w:t>
            </w:r>
          </w:p>
        </w:tc>
        <w:tc>
          <w:tcPr>
            <w:tcW w:w="1570" w:type="dxa"/>
            <w:gridSpan w:val="2"/>
            <w:tcBorders>
              <w:top w:val="nil"/>
              <w:left w:val="nil"/>
              <w:bottom w:val="single" w:sz="8" w:space="0" w:color="auto"/>
              <w:right w:val="nil"/>
            </w:tcBorders>
            <w:shd w:val="clear" w:color="auto" w:fill="D8DBDB" w:themeFill="background1" w:themeFillShade="E6"/>
            <w:noWrap/>
            <w:vAlign w:val="center"/>
            <w:hideMark/>
          </w:tcPr>
          <w:p w14:paraId="15A5B18B" w14:textId="77777777" w:rsidR="0015645C" w:rsidRPr="0015645C" w:rsidRDefault="0015645C" w:rsidP="00966B51">
            <w:pPr>
              <w:pStyle w:val="TableParagraphbold"/>
              <w:rPr>
                <w:lang w:eastAsia="en-AU"/>
              </w:rPr>
            </w:pPr>
            <w:r w:rsidRPr="0015645C">
              <w:rPr>
                <w:lang w:eastAsia="en-AU"/>
              </w:rPr>
              <w:t xml:space="preserve">$373.00 </w:t>
            </w:r>
          </w:p>
        </w:tc>
        <w:tc>
          <w:tcPr>
            <w:tcW w:w="1569" w:type="dxa"/>
            <w:gridSpan w:val="2"/>
            <w:tcBorders>
              <w:top w:val="nil"/>
              <w:left w:val="nil"/>
              <w:bottom w:val="single" w:sz="8" w:space="0" w:color="auto"/>
              <w:right w:val="nil"/>
            </w:tcBorders>
            <w:shd w:val="clear" w:color="auto" w:fill="D8DBDB" w:themeFill="background1" w:themeFillShade="E6"/>
            <w:noWrap/>
            <w:vAlign w:val="center"/>
            <w:hideMark/>
          </w:tcPr>
          <w:p w14:paraId="1098D5B9" w14:textId="77777777" w:rsidR="0015645C" w:rsidRPr="0015645C" w:rsidRDefault="0015645C" w:rsidP="00966B51">
            <w:pPr>
              <w:pStyle w:val="TableParagraphbold"/>
              <w:rPr>
                <w:lang w:eastAsia="en-AU"/>
              </w:rPr>
            </w:pPr>
            <w:r w:rsidRPr="0015645C">
              <w:rPr>
                <w:lang w:eastAsia="en-AU"/>
              </w:rPr>
              <w:t>($2,840.00)</w:t>
            </w:r>
          </w:p>
        </w:tc>
        <w:tc>
          <w:tcPr>
            <w:tcW w:w="1347" w:type="dxa"/>
            <w:tcBorders>
              <w:top w:val="nil"/>
              <w:left w:val="nil"/>
              <w:bottom w:val="single" w:sz="8" w:space="0" w:color="auto"/>
              <w:right w:val="nil"/>
            </w:tcBorders>
            <w:shd w:val="clear" w:color="auto" w:fill="D8DBDB" w:themeFill="background1" w:themeFillShade="E6"/>
            <w:noWrap/>
            <w:vAlign w:val="center"/>
            <w:hideMark/>
          </w:tcPr>
          <w:p w14:paraId="524BE4D6" w14:textId="77777777" w:rsidR="0015645C" w:rsidRPr="0015645C" w:rsidRDefault="0015645C" w:rsidP="00966B51">
            <w:pPr>
              <w:pStyle w:val="TableParagraphbold"/>
              <w:rPr>
                <w:lang w:eastAsia="en-AU"/>
              </w:rPr>
            </w:pPr>
            <w:r w:rsidRPr="0015645C">
              <w:rPr>
                <w:lang w:eastAsia="en-AU"/>
              </w:rPr>
              <w:t xml:space="preserve">$950.00 </w:t>
            </w:r>
          </w:p>
        </w:tc>
      </w:tr>
      <w:tr w:rsidR="0015645C" w:rsidRPr="0015645C" w14:paraId="770CC6FF" w14:textId="77777777" w:rsidTr="002809E5">
        <w:trPr>
          <w:trHeight w:val="300"/>
        </w:trPr>
        <w:tc>
          <w:tcPr>
            <w:tcW w:w="2076" w:type="dxa"/>
            <w:tcBorders>
              <w:top w:val="nil"/>
              <w:left w:val="nil"/>
              <w:bottom w:val="single" w:sz="8" w:space="0" w:color="auto"/>
              <w:right w:val="nil"/>
            </w:tcBorders>
            <w:shd w:val="clear" w:color="auto" w:fill="D8DBDB" w:themeFill="background1" w:themeFillShade="E6"/>
            <w:noWrap/>
            <w:vAlign w:val="center"/>
            <w:hideMark/>
          </w:tcPr>
          <w:p w14:paraId="65C20E7D" w14:textId="77777777" w:rsidR="0015645C" w:rsidRPr="0015645C" w:rsidRDefault="0015645C" w:rsidP="00966B51">
            <w:pPr>
              <w:pStyle w:val="TableParagraphbold"/>
              <w:rPr>
                <w:lang w:eastAsia="en-AU"/>
              </w:rPr>
            </w:pPr>
            <w:r w:rsidRPr="0015645C">
              <w:rPr>
                <w:lang w:eastAsia="en-AU"/>
              </w:rPr>
              <w:t>Local state or territory government</w:t>
            </w:r>
          </w:p>
        </w:tc>
        <w:tc>
          <w:tcPr>
            <w:tcW w:w="2075" w:type="dxa"/>
            <w:gridSpan w:val="2"/>
            <w:tcBorders>
              <w:top w:val="nil"/>
              <w:left w:val="nil"/>
              <w:bottom w:val="single" w:sz="8" w:space="0" w:color="auto"/>
              <w:right w:val="nil"/>
            </w:tcBorders>
            <w:shd w:val="clear" w:color="auto" w:fill="D8DBDB" w:themeFill="background1" w:themeFillShade="E6"/>
            <w:noWrap/>
            <w:vAlign w:val="center"/>
            <w:hideMark/>
          </w:tcPr>
          <w:p w14:paraId="60B2C6AC" w14:textId="77777777" w:rsidR="0015645C" w:rsidRPr="0015645C" w:rsidRDefault="0015645C" w:rsidP="00966B51">
            <w:pPr>
              <w:pStyle w:val="TableParagraphbold"/>
              <w:rPr>
                <w:lang w:eastAsia="en-AU"/>
              </w:rPr>
            </w:pPr>
            <w:r w:rsidRPr="0015645C">
              <w:rPr>
                <w:lang w:eastAsia="en-AU"/>
              </w:rPr>
              <w:t> </w:t>
            </w:r>
          </w:p>
        </w:tc>
        <w:tc>
          <w:tcPr>
            <w:tcW w:w="2075" w:type="dxa"/>
            <w:gridSpan w:val="2"/>
            <w:tcBorders>
              <w:top w:val="nil"/>
              <w:left w:val="nil"/>
              <w:bottom w:val="single" w:sz="8" w:space="0" w:color="auto"/>
              <w:right w:val="nil"/>
            </w:tcBorders>
            <w:shd w:val="clear" w:color="auto" w:fill="D8DBDB" w:themeFill="background1" w:themeFillShade="E6"/>
            <w:noWrap/>
            <w:vAlign w:val="center"/>
            <w:hideMark/>
          </w:tcPr>
          <w:p w14:paraId="457C9897" w14:textId="77777777" w:rsidR="0015645C" w:rsidRPr="0015645C" w:rsidRDefault="0015645C" w:rsidP="00966B51">
            <w:pPr>
              <w:pStyle w:val="TableParagraphbold"/>
              <w:rPr>
                <w:lang w:eastAsia="en-AU"/>
              </w:rPr>
            </w:pPr>
            <w:r w:rsidRPr="0015645C">
              <w:rPr>
                <w:lang w:eastAsia="en-AU"/>
              </w:rPr>
              <w:t> </w:t>
            </w:r>
          </w:p>
        </w:tc>
        <w:tc>
          <w:tcPr>
            <w:tcW w:w="2076" w:type="dxa"/>
            <w:gridSpan w:val="2"/>
            <w:tcBorders>
              <w:top w:val="nil"/>
              <w:left w:val="nil"/>
              <w:bottom w:val="single" w:sz="8" w:space="0" w:color="auto"/>
              <w:right w:val="nil"/>
            </w:tcBorders>
            <w:shd w:val="clear" w:color="auto" w:fill="D8DBDB" w:themeFill="background1" w:themeFillShade="E6"/>
            <w:noWrap/>
            <w:vAlign w:val="center"/>
            <w:hideMark/>
          </w:tcPr>
          <w:p w14:paraId="57F6A61B" w14:textId="77777777" w:rsidR="0015645C" w:rsidRPr="0015645C" w:rsidRDefault="0015645C" w:rsidP="00966B51">
            <w:pPr>
              <w:pStyle w:val="TableParagraphbold"/>
              <w:rPr>
                <w:lang w:eastAsia="en-AU"/>
              </w:rPr>
            </w:pPr>
            <w:r w:rsidRPr="0015645C">
              <w:rPr>
                <w:lang w:eastAsia="en-AU"/>
              </w:rPr>
              <w:t> </w:t>
            </w:r>
          </w:p>
        </w:tc>
        <w:tc>
          <w:tcPr>
            <w:tcW w:w="1904" w:type="dxa"/>
            <w:gridSpan w:val="2"/>
            <w:tcBorders>
              <w:top w:val="nil"/>
              <w:left w:val="nil"/>
              <w:bottom w:val="single" w:sz="8" w:space="0" w:color="auto"/>
              <w:right w:val="nil"/>
            </w:tcBorders>
            <w:shd w:val="clear" w:color="auto" w:fill="D8DBDB" w:themeFill="background1" w:themeFillShade="E6"/>
            <w:noWrap/>
            <w:vAlign w:val="center"/>
            <w:hideMark/>
          </w:tcPr>
          <w:p w14:paraId="2C4F3E10" w14:textId="77777777" w:rsidR="0015645C" w:rsidRPr="0015645C" w:rsidRDefault="0015645C" w:rsidP="00966B51">
            <w:pPr>
              <w:pStyle w:val="TableParagraphbold"/>
              <w:rPr>
                <w:lang w:eastAsia="en-AU"/>
              </w:rPr>
            </w:pPr>
            <w:r w:rsidRPr="0015645C">
              <w:rPr>
                <w:lang w:eastAsia="en-AU"/>
              </w:rPr>
              <w:t> </w:t>
            </w:r>
          </w:p>
        </w:tc>
      </w:tr>
      <w:tr w:rsidR="0015645C" w:rsidRPr="0015645C" w14:paraId="689515B8" w14:textId="77777777" w:rsidTr="002809E5">
        <w:trPr>
          <w:trHeight w:val="300"/>
        </w:trPr>
        <w:tc>
          <w:tcPr>
            <w:tcW w:w="2531" w:type="dxa"/>
            <w:gridSpan w:val="2"/>
            <w:tcBorders>
              <w:top w:val="nil"/>
              <w:left w:val="nil"/>
              <w:bottom w:val="single" w:sz="8" w:space="0" w:color="auto"/>
              <w:right w:val="nil"/>
            </w:tcBorders>
            <w:shd w:val="clear" w:color="auto" w:fill="auto"/>
            <w:noWrap/>
            <w:vAlign w:val="center"/>
            <w:hideMark/>
          </w:tcPr>
          <w:p w14:paraId="403B2703" w14:textId="77777777" w:rsidR="0015645C" w:rsidRPr="0015645C" w:rsidRDefault="0015645C" w:rsidP="00966B51">
            <w:pPr>
              <w:pStyle w:val="TableofAuthorities"/>
              <w:rPr>
                <w:lang w:eastAsia="en-AU"/>
              </w:rPr>
            </w:pPr>
            <w:r w:rsidRPr="0015645C">
              <w:rPr>
                <w:lang w:eastAsia="en-AU"/>
              </w:rPr>
              <w:t>Number of providers</w:t>
            </w:r>
          </w:p>
        </w:tc>
        <w:tc>
          <w:tcPr>
            <w:tcW w:w="1620" w:type="dxa"/>
            <w:tcBorders>
              <w:top w:val="nil"/>
              <w:left w:val="nil"/>
              <w:bottom w:val="single" w:sz="8" w:space="0" w:color="auto"/>
              <w:right w:val="nil"/>
            </w:tcBorders>
            <w:shd w:val="clear" w:color="auto" w:fill="auto"/>
            <w:noWrap/>
            <w:vAlign w:val="center"/>
            <w:hideMark/>
          </w:tcPr>
          <w:p w14:paraId="38547A07" w14:textId="77777777" w:rsidR="0015645C" w:rsidRPr="0015645C" w:rsidRDefault="0015645C" w:rsidP="00966B51">
            <w:pPr>
              <w:pStyle w:val="TableofAuthorities"/>
              <w:rPr>
                <w:lang w:eastAsia="en-AU"/>
              </w:rPr>
            </w:pPr>
            <w:r w:rsidRPr="0015645C">
              <w:rPr>
                <w:lang w:eastAsia="en-AU"/>
              </w:rPr>
              <w:t>20</w:t>
            </w:r>
          </w:p>
        </w:tc>
        <w:tc>
          <w:tcPr>
            <w:tcW w:w="1569" w:type="dxa"/>
            <w:tcBorders>
              <w:top w:val="nil"/>
              <w:left w:val="nil"/>
              <w:bottom w:val="single" w:sz="8" w:space="0" w:color="auto"/>
              <w:right w:val="nil"/>
            </w:tcBorders>
            <w:shd w:val="clear" w:color="auto" w:fill="auto"/>
            <w:noWrap/>
            <w:vAlign w:val="center"/>
            <w:hideMark/>
          </w:tcPr>
          <w:p w14:paraId="1BDA3384" w14:textId="77777777" w:rsidR="0015645C" w:rsidRPr="0015645C" w:rsidRDefault="0015645C" w:rsidP="00966B51">
            <w:pPr>
              <w:pStyle w:val="TableofAuthorities"/>
              <w:rPr>
                <w:lang w:eastAsia="en-AU"/>
              </w:rPr>
            </w:pPr>
            <w:r w:rsidRPr="0015645C">
              <w:rPr>
                <w:lang w:eastAsia="en-AU"/>
              </w:rPr>
              <w:t>21</w:t>
            </w:r>
          </w:p>
        </w:tc>
        <w:tc>
          <w:tcPr>
            <w:tcW w:w="1570" w:type="dxa"/>
            <w:gridSpan w:val="2"/>
            <w:tcBorders>
              <w:top w:val="nil"/>
              <w:left w:val="nil"/>
              <w:bottom w:val="single" w:sz="8" w:space="0" w:color="auto"/>
              <w:right w:val="nil"/>
            </w:tcBorders>
            <w:shd w:val="clear" w:color="auto" w:fill="auto"/>
            <w:noWrap/>
            <w:vAlign w:val="center"/>
            <w:hideMark/>
          </w:tcPr>
          <w:p w14:paraId="1CF701AF" w14:textId="77777777" w:rsidR="0015645C" w:rsidRPr="0015645C" w:rsidRDefault="0015645C" w:rsidP="00966B51">
            <w:pPr>
              <w:pStyle w:val="TableofAuthorities"/>
              <w:rPr>
                <w:lang w:eastAsia="en-AU"/>
              </w:rPr>
            </w:pPr>
            <w:r w:rsidRPr="0015645C">
              <w:rPr>
                <w:lang w:eastAsia="en-AU"/>
              </w:rPr>
              <w:t>26</w:t>
            </w:r>
          </w:p>
        </w:tc>
        <w:tc>
          <w:tcPr>
            <w:tcW w:w="1569" w:type="dxa"/>
            <w:gridSpan w:val="2"/>
            <w:tcBorders>
              <w:top w:val="nil"/>
              <w:left w:val="nil"/>
              <w:bottom w:val="single" w:sz="8" w:space="0" w:color="auto"/>
              <w:right w:val="nil"/>
            </w:tcBorders>
            <w:shd w:val="clear" w:color="auto" w:fill="auto"/>
            <w:noWrap/>
            <w:vAlign w:val="center"/>
            <w:hideMark/>
          </w:tcPr>
          <w:p w14:paraId="4B0848ED" w14:textId="77777777" w:rsidR="0015645C" w:rsidRPr="0015645C" w:rsidRDefault="0015645C" w:rsidP="00966B51">
            <w:pPr>
              <w:pStyle w:val="TableofAuthorities"/>
              <w:rPr>
                <w:lang w:eastAsia="en-AU"/>
              </w:rPr>
            </w:pPr>
            <w:r w:rsidRPr="0015645C">
              <w:rPr>
                <w:lang w:eastAsia="en-AU"/>
              </w:rPr>
              <w:t>35</w:t>
            </w:r>
          </w:p>
        </w:tc>
        <w:tc>
          <w:tcPr>
            <w:tcW w:w="1347" w:type="dxa"/>
            <w:tcBorders>
              <w:top w:val="nil"/>
              <w:left w:val="nil"/>
              <w:bottom w:val="single" w:sz="8" w:space="0" w:color="auto"/>
              <w:right w:val="nil"/>
            </w:tcBorders>
            <w:shd w:val="clear" w:color="auto" w:fill="auto"/>
            <w:noWrap/>
            <w:vAlign w:val="center"/>
            <w:hideMark/>
          </w:tcPr>
          <w:p w14:paraId="17E28856" w14:textId="77777777" w:rsidR="0015645C" w:rsidRPr="0015645C" w:rsidRDefault="0015645C" w:rsidP="00966B51">
            <w:pPr>
              <w:pStyle w:val="TableofAuthorities"/>
              <w:rPr>
                <w:lang w:eastAsia="en-AU"/>
              </w:rPr>
            </w:pPr>
            <w:r w:rsidRPr="0015645C">
              <w:rPr>
                <w:lang w:eastAsia="en-AU"/>
              </w:rPr>
              <w:t>102</w:t>
            </w:r>
          </w:p>
        </w:tc>
      </w:tr>
      <w:tr w:rsidR="0015645C" w:rsidRPr="0015645C" w14:paraId="409039E5" w14:textId="77777777" w:rsidTr="002809E5">
        <w:trPr>
          <w:trHeight w:val="300"/>
        </w:trPr>
        <w:tc>
          <w:tcPr>
            <w:tcW w:w="2531" w:type="dxa"/>
            <w:gridSpan w:val="2"/>
            <w:tcBorders>
              <w:top w:val="nil"/>
              <w:left w:val="nil"/>
              <w:bottom w:val="single" w:sz="8" w:space="0" w:color="auto"/>
              <w:right w:val="nil"/>
            </w:tcBorders>
            <w:shd w:val="clear" w:color="auto" w:fill="auto"/>
            <w:vAlign w:val="center"/>
            <w:hideMark/>
          </w:tcPr>
          <w:p w14:paraId="3A6F22D0" w14:textId="77777777" w:rsidR="0015645C" w:rsidRPr="0015645C" w:rsidRDefault="0015645C" w:rsidP="00966B51">
            <w:pPr>
              <w:pStyle w:val="TableofAuthorities"/>
              <w:rPr>
                <w:lang w:eastAsia="en-AU"/>
              </w:rPr>
            </w:pPr>
            <w:r w:rsidRPr="0015645C">
              <w:rPr>
                <w:lang w:eastAsia="en-AU"/>
              </w:rPr>
              <w:t>Total revenue per recipient</w:t>
            </w:r>
          </w:p>
        </w:tc>
        <w:tc>
          <w:tcPr>
            <w:tcW w:w="1620" w:type="dxa"/>
            <w:tcBorders>
              <w:top w:val="nil"/>
              <w:left w:val="nil"/>
              <w:bottom w:val="single" w:sz="8" w:space="0" w:color="auto"/>
              <w:right w:val="nil"/>
            </w:tcBorders>
            <w:shd w:val="clear" w:color="auto" w:fill="auto"/>
            <w:noWrap/>
            <w:vAlign w:val="center"/>
            <w:hideMark/>
          </w:tcPr>
          <w:p w14:paraId="54975FC6" w14:textId="77777777" w:rsidR="0015645C" w:rsidRPr="0015645C" w:rsidRDefault="0015645C" w:rsidP="00966B51">
            <w:pPr>
              <w:pStyle w:val="TableofAuthorities"/>
              <w:rPr>
                <w:lang w:eastAsia="en-AU"/>
              </w:rPr>
            </w:pPr>
            <w:r w:rsidRPr="0015645C">
              <w:rPr>
                <w:lang w:eastAsia="en-AU"/>
              </w:rPr>
              <w:t xml:space="preserve">$21,772.00 </w:t>
            </w:r>
          </w:p>
        </w:tc>
        <w:tc>
          <w:tcPr>
            <w:tcW w:w="1569" w:type="dxa"/>
            <w:tcBorders>
              <w:top w:val="nil"/>
              <w:left w:val="nil"/>
              <w:bottom w:val="single" w:sz="8" w:space="0" w:color="auto"/>
              <w:right w:val="nil"/>
            </w:tcBorders>
            <w:shd w:val="clear" w:color="auto" w:fill="auto"/>
            <w:noWrap/>
            <w:vAlign w:val="center"/>
            <w:hideMark/>
          </w:tcPr>
          <w:p w14:paraId="4E422371" w14:textId="77777777" w:rsidR="0015645C" w:rsidRPr="0015645C" w:rsidRDefault="0015645C" w:rsidP="00966B51">
            <w:pPr>
              <w:pStyle w:val="TableofAuthorities"/>
              <w:rPr>
                <w:lang w:eastAsia="en-AU"/>
              </w:rPr>
            </w:pPr>
            <w:r w:rsidRPr="0015645C">
              <w:rPr>
                <w:lang w:eastAsia="en-AU"/>
              </w:rPr>
              <w:t xml:space="preserve">$22,817.00 </w:t>
            </w:r>
          </w:p>
        </w:tc>
        <w:tc>
          <w:tcPr>
            <w:tcW w:w="1570" w:type="dxa"/>
            <w:gridSpan w:val="2"/>
            <w:tcBorders>
              <w:top w:val="nil"/>
              <w:left w:val="nil"/>
              <w:bottom w:val="single" w:sz="8" w:space="0" w:color="auto"/>
              <w:right w:val="nil"/>
            </w:tcBorders>
            <w:shd w:val="clear" w:color="auto" w:fill="auto"/>
            <w:noWrap/>
            <w:vAlign w:val="center"/>
            <w:hideMark/>
          </w:tcPr>
          <w:p w14:paraId="5A569132" w14:textId="77777777" w:rsidR="0015645C" w:rsidRPr="0015645C" w:rsidRDefault="0015645C" w:rsidP="00966B51">
            <w:pPr>
              <w:pStyle w:val="TableofAuthorities"/>
              <w:rPr>
                <w:lang w:eastAsia="en-AU"/>
              </w:rPr>
            </w:pPr>
            <w:r w:rsidRPr="0015645C">
              <w:rPr>
                <w:lang w:eastAsia="en-AU"/>
              </w:rPr>
              <w:t xml:space="preserve">$23,103.00 </w:t>
            </w:r>
          </w:p>
        </w:tc>
        <w:tc>
          <w:tcPr>
            <w:tcW w:w="1569" w:type="dxa"/>
            <w:gridSpan w:val="2"/>
            <w:tcBorders>
              <w:top w:val="nil"/>
              <w:left w:val="nil"/>
              <w:bottom w:val="single" w:sz="8" w:space="0" w:color="auto"/>
              <w:right w:val="nil"/>
            </w:tcBorders>
            <w:shd w:val="clear" w:color="auto" w:fill="auto"/>
            <w:noWrap/>
            <w:vAlign w:val="center"/>
            <w:hideMark/>
          </w:tcPr>
          <w:p w14:paraId="460D21A0" w14:textId="77777777" w:rsidR="0015645C" w:rsidRPr="0015645C" w:rsidRDefault="0015645C" w:rsidP="00966B51">
            <w:pPr>
              <w:pStyle w:val="TableofAuthorities"/>
              <w:rPr>
                <w:lang w:eastAsia="en-AU"/>
              </w:rPr>
            </w:pPr>
            <w:r w:rsidRPr="0015645C">
              <w:rPr>
                <w:lang w:eastAsia="en-AU"/>
              </w:rPr>
              <w:t xml:space="preserve">$21,744.00 </w:t>
            </w:r>
          </w:p>
        </w:tc>
        <w:tc>
          <w:tcPr>
            <w:tcW w:w="1347" w:type="dxa"/>
            <w:tcBorders>
              <w:top w:val="nil"/>
              <w:left w:val="nil"/>
              <w:bottom w:val="single" w:sz="8" w:space="0" w:color="auto"/>
              <w:right w:val="nil"/>
            </w:tcBorders>
            <w:shd w:val="clear" w:color="auto" w:fill="auto"/>
            <w:noWrap/>
            <w:vAlign w:val="center"/>
            <w:hideMark/>
          </w:tcPr>
          <w:p w14:paraId="00CFD7A3" w14:textId="77777777" w:rsidR="0015645C" w:rsidRPr="0015645C" w:rsidRDefault="0015645C" w:rsidP="00966B51">
            <w:pPr>
              <w:pStyle w:val="TableofAuthorities"/>
              <w:rPr>
                <w:lang w:eastAsia="en-AU"/>
              </w:rPr>
            </w:pPr>
            <w:r w:rsidRPr="0015645C">
              <w:rPr>
                <w:lang w:eastAsia="en-AU"/>
              </w:rPr>
              <w:t xml:space="preserve">$22,523.00 </w:t>
            </w:r>
          </w:p>
        </w:tc>
      </w:tr>
      <w:tr w:rsidR="0015645C" w:rsidRPr="0015645C" w14:paraId="7F24FAF9" w14:textId="77777777" w:rsidTr="002809E5">
        <w:trPr>
          <w:trHeight w:val="300"/>
        </w:trPr>
        <w:tc>
          <w:tcPr>
            <w:tcW w:w="2531" w:type="dxa"/>
            <w:gridSpan w:val="2"/>
            <w:tcBorders>
              <w:top w:val="nil"/>
              <w:left w:val="nil"/>
              <w:bottom w:val="single" w:sz="8" w:space="0" w:color="auto"/>
              <w:right w:val="nil"/>
            </w:tcBorders>
            <w:shd w:val="clear" w:color="auto" w:fill="auto"/>
            <w:vAlign w:val="center"/>
            <w:hideMark/>
          </w:tcPr>
          <w:p w14:paraId="7809CA13" w14:textId="77777777" w:rsidR="0015645C" w:rsidRPr="0015645C" w:rsidRDefault="0015645C" w:rsidP="00966B51">
            <w:pPr>
              <w:pStyle w:val="TableofAuthorities"/>
              <w:rPr>
                <w:lang w:eastAsia="en-AU"/>
              </w:rPr>
            </w:pPr>
            <w:r w:rsidRPr="0015645C">
              <w:rPr>
                <w:lang w:eastAsia="en-AU"/>
              </w:rPr>
              <w:t>Total expenses per recipient</w:t>
            </w:r>
          </w:p>
        </w:tc>
        <w:tc>
          <w:tcPr>
            <w:tcW w:w="1620" w:type="dxa"/>
            <w:tcBorders>
              <w:top w:val="nil"/>
              <w:left w:val="nil"/>
              <w:bottom w:val="single" w:sz="8" w:space="0" w:color="auto"/>
              <w:right w:val="nil"/>
            </w:tcBorders>
            <w:shd w:val="clear" w:color="auto" w:fill="auto"/>
            <w:noWrap/>
            <w:vAlign w:val="center"/>
            <w:hideMark/>
          </w:tcPr>
          <w:p w14:paraId="2A9A35F0" w14:textId="77777777" w:rsidR="0015645C" w:rsidRPr="0015645C" w:rsidRDefault="0015645C" w:rsidP="00966B51">
            <w:pPr>
              <w:pStyle w:val="TableofAuthorities"/>
              <w:rPr>
                <w:lang w:eastAsia="en-AU"/>
              </w:rPr>
            </w:pPr>
            <w:r w:rsidRPr="0015645C">
              <w:rPr>
                <w:lang w:eastAsia="en-AU"/>
              </w:rPr>
              <w:t xml:space="preserve">$16,556.00 </w:t>
            </w:r>
          </w:p>
        </w:tc>
        <w:tc>
          <w:tcPr>
            <w:tcW w:w="1569" w:type="dxa"/>
            <w:tcBorders>
              <w:top w:val="nil"/>
              <w:left w:val="nil"/>
              <w:bottom w:val="single" w:sz="8" w:space="0" w:color="auto"/>
              <w:right w:val="nil"/>
            </w:tcBorders>
            <w:shd w:val="clear" w:color="auto" w:fill="auto"/>
            <w:noWrap/>
            <w:vAlign w:val="center"/>
            <w:hideMark/>
          </w:tcPr>
          <w:p w14:paraId="7913F58D" w14:textId="77777777" w:rsidR="0015645C" w:rsidRPr="0015645C" w:rsidRDefault="0015645C" w:rsidP="00966B51">
            <w:pPr>
              <w:pStyle w:val="TableofAuthorities"/>
              <w:rPr>
                <w:lang w:eastAsia="en-AU"/>
              </w:rPr>
            </w:pPr>
            <w:r w:rsidRPr="0015645C">
              <w:rPr>
                <w:lang w:eastAsia="en-AU"/>
              </w:rPr>
              <w:t xml:space="preserve">$21,260.00 </w:t>
            </w:r>
          </w:p>
        </w:tc>
        <w:tc>
          <w:tcPr>
            <w:tcW w:w="1570" w:type="dxa"/>
            <w:gridSpan w:val="2"/>
            <w:tcBorders>
              <w:top w:val="nil"/>
              <w:left w:val="nil"/>
              <w:bottom w:val="single" w:sz="8" w:space="0" w:color="auto"/>
              <w:right w:val="nil"/>
            </w:tcBorders>
            <w:shd w:val="clear" w:color="auto" w:fill="auto"/>
            <w:noWrap/>
            <w:vAlign w:val="center"/>
            <w:hideMark/>
          </w:tcPr>
          <w:p w14:paraId="0DC0195D" w14:textId="77777777" w:rsidR="0015645C" w:rsidRPr="0015645C" w:rsidRDefault="0015645C" w:rsidP="00966B51">
            <w:pPr>
              <w:pStyle w:val="TableofAuthorities"/>
              <w:rPr>
                <w:lang w:eastAsia="en-AU"/>
              </w:rPr>
            </w:pPr>
            <w:r w:rsidRPr="0015645C">
              <w:rPr>
                <w:lang w:eastAsia="en-AU"/>
              </w:rPr>
              <w:t xml:space="preserve">$22,770.00 </w:t>
            </w:r>
          </w:p>
        </w:tc>
        <w:tc>
          <w:tcPr>
            <w:tcW w:w="1569" w:type="dxa"/>
            <w:gridSpan w:val="2"/>
            <w:tcBorders>
              <w:top w:val="nil"/>
              <w:left w:val="nil"/>
              <w:bottom w:val="single" w:sz="8" w:space="0" w:color="auto"/>
              <w:right w:val="nil"/>
            </w:tcBorders>
            <w:shd w:val="clear" w:color="auto" w:fill="auto"/>
            <w:noWrap/>
            <w:vAlign w:val="center"/>
            <w:hideMark/>
          </w:tcPr>
          <w:p w14:paraId="1D99B112" w14:textId="77777777" w:rsidR="0015645C" w:rsidRPr="0015645C" w:rsidRDefault="0015645C" w:rsidP="00966B51">
            <w:pPr>
              <w:pStyle w:val="TableofAuthorities"/>
              <w:rPr>
                <w:lang w:eastAsia="en-AU"/>
              </w:rPr>
            </w:pPr>
            <w:r w:rsidRPr="0015645C">
              <w:rPr>
                <w:lang w:eastAsia="en-AU"/>
              </w:rPr>
              <w:t xml:space="preserve">$24,155.00 </w:t>
            </w:r>
          </w:p>
        </w:tc>
        <w:tc>
          <w:tcPr>
            <w:tcW w:w="1347" w:type="dxa"/>
            <w:tcBorders>
              <w:top w:val="nil"/>
              <w:left w:val="nil"/>
              <w:bottom w:val="single" w:sz="8" w:space="0" w:color="auto"/>
              <w:right w:val="nil"/>
            </w:tcBorders>
            <w:shd w:val="clear" w:color="auto" w:fill="auto"/>
            <w:noWrap/>
            <w:vAlign w:val="center"/>
            <w:hideMark/>
          </w:tcPr>
          <w:p w14:paraId="2C2AC06E" w14:textId="77777777" w:rsidR="0015645C" w:rsidRPr="0015645C" w:rsidRDefault="0015645C" w:rsidP="00966B51">
            <w:pPr>
              <w:pStyle w:val="TableofAuthorities"/>
              <w:rPr>
                <w:lang w:eastAsia="en-AU"/>
              </w:rPr>
            </w:pPr>
            <w:r w:rsidRPr="0015645C">
              <w:rPr>
                <w:lang w:eastAsia="en-AU"/>
              </w:rPr>
              <w:t xml:space="preserve">$21,793.00 </w:t>
            </w:r>
          </w:p>
        </w:tc>
      </w:tr>
      <w:tr w:rsidR="0015645C" w:rsidRPr="0015645C" w14:paraId="7D4967D3" w14:textId="77777777" w:rsidTr="002809E5">
        <w:trPr>
          <w:trHeight w:val="300"/>
        </w:trPr>
        <w:tc>
          <w:tcPr>
            <w:tcW w:w="2531" w:type="dxa"/>
            <w:gridSpan w:val="2"/>
            <w:tcBorders>
              <w:top w:val="nil"/>
              <w:left w:val="nil"/>
              <w:bottom w:val="single" w:sz="8" w:space="0" w:color="auto"/>
              <w:right w:val="nil"/>
            </w:tcBorders>
            <w:shd w:val="clear" w:color="auto" w:fill="D8DBDB" w:themeFill="background1" w:themeFillShade="E6"/>
            <w:vAlign w:val="center"/>
            <w:hideMark/>
          </w:tcPr>
          <w:p w14:paraId="48BD1971" w14:textId="77777777" w:rsidR="0015645C" w:rsidRPr="0015645C" w:rsidRDefault="0015645C" w:rsidP="00966B51">
            <w:pPr>
              <w:pStyle w:val="TableParagraphbold"/>
              <w:rPr>
                <w:lang w:eastAsia="en-AU"/>
              </w:rPr>
            </w:pPr>
            <w:r w:rsidRPr="0015645C">
              <w:rPr>
                <w:lang w:eastAsia="en-AU"/>
              </w:rPr>
              <w:t>NPBT per recipient</w:t>
            </w:r>
          </w:p>
        </w:tc>
        <w:tc>
          <w:tcPr>
            <w:tcW w:w="1620" w:type="dxa"/>
            <w:tcBorders>
              <w:top w:val="nil"/>
              <w:left w:val="nil"/>
              <w:bottom w:val="single" w:sz="8" w:space="0" w:color="auto"/>
              <w:right w:val="nil"/>
            </w:tcBorders>
            <w:shd w:val="clear" w:color="auto" w:fill="D8DBDB" w:themeFill="background1" w:themeFillShade="E6"/>
            <w:noWrap/>
            <w:vAlign w:val="center"/>
            <w:hideMark/>
          </w:tcPr>
          <w:p w14:paraId="1985EEFA" w14:textId="77777777" w:rsidR="0015645C" w:rsidRPr="0015645C" w:rsidRDefault="0015645C" w:rsidP="00966B51">
            <w:pPr>
              <w:pStyle w:val="TableParagraphbold"/>
              <w:rPr>
                <w:lang w:eastAsia="en-AU"/>
              </w:rPr>
            </w:pPr>
            <w:r w:rsidRPr="0015645C">
              <w:rPr>
                <w:lang w:eastAsia="en-AU"/>
              </w:rPr>
              <w:t xml:space="preserve">$5,216.00 </w:t>
            </w:r>
          </w:p>
        </w:tc>
        <w:tc>
          <w:tcPr>
            <w:tcW w:w="1569" w:type="dxa"/>
            <w:tcBorders>
              <w:top w:val="nil"/>
              <w:left w:val="nil"/>
              <w:bottom w:val="single" w:sz="8" w:space="0" w:color="auto"/>
              <w:right w:val="nil"/>
            </w:tcBorders>
            <w:shd w:val="clear" w:color="auto" w:fill="D8DBDB" w:themeFill="background1" w:themeFillShade="E6"/>
            <w:noWrap/>
            <w:vAlign w:val="center"/>
            <w:hideMark/>
          </w:tcPr>
          <w:p w14:paraId="422DA804" w14:textId="77777777" w:rsidR="0015645C" w:rsidRPr="0015645C" w:rsidRDefault="0015645C" w:rsidP="00966B51">
            <w:pPr>
              <w:pStyle w:val="TableParagraphbold"/>
              <w:rPr>
                <w:lang w:eastAsia="en-AU"/>
              </w:rPr>
            </w:pPr>
            <w:r w:rsidRPr="0015645C">
              <w:rPr>
                <w:lang w:eastAsia="en-AU"/>
              </w:rPr>
              <w:t xml:space="preserve">$1,557.00 </w:t>
            </w:r>
          </w:p>
        </w:tc>
        <w:tc>
          <w:tcPr>
            <w:tcW w:w="1570" w:type="dxa"/>
            <w:gridSpan w:val="2"/>
            <w:tcBorders>
              <w:top w:val="nil"/>
              <w:left w:val="nil"/>
              <w:bottom w:val="single" w:sz="8" w:space="0" w:color="auto"/>
              <w:right w:val="nil"/>
            </w:tcBorders>
            <w:shd w:val="clear" w:color="auto" w:fill="D8DBDB" w:themeFill="background1" w:themeFillShade="E6"/>
            <w:noWrap/>
            <w:vAlign w:val="center"/>
            <w:hideMark/>
          </w:tcPr>
          <w:p w14:paraId="6C9367F5" w14:textId="77777777" w:rsidR="0015645C" w:rsidRPr="0015645C" w:rsidRDefault="0015645C" w:rsidP="00966B51">
            <w:pPr>
              <w:pStyle w:val="TableParagraphbold"/>
              <w:rPr>
                <w:lang w:eastAsia="en-AU"/>
              </w:rPr>
            </w:pPr>
            <w:r w:rsidRPr="0015645C">
              <w:rPr>
                <w:lang w:eastAsia="en-AU"/>
              </w:rPr>
              <w:t xml:space="preserve">$333.00 </w:t>
            </w:r>
          </w:p>
        </w:tc>
        <w:tc>
          <w:tcPr>
            <w:tcW w:w="1569" w:type="dxa"/>
            <w:gridSpan w:val="2"/>
            <w:tcBorders>
              <w:top w:val="nil"/>
              <w:left w:val="nil"/>
              <w:bottom w:val="single" w:sz="8" w:space="0" w:color="auto"/>
              <w:right w:val="nil"/>
            </w:tcBorders>
            <w:shd w:val="clear" w:color="auto" w:fill="D8DBDB" w:themeFill="background1" w:themeFillShade="E6"/>
            <w:noWrap/>
            <w:vAlign w:val="center"/>
            <w:hideMark/>
          </w:tcPr>
          <w:p w14:paraId="6E081F48" w14:textId="77777777" w:rsidR="0015645C" w:rsidRPr="0015645C" w:rsidRDefault="0015645C" w:rsidP="00966B51">
            <w:pPr>
              <w:pStyle w:val="TableParagraphbold"/>
              <w:rPr>
                <w:lang w:eastAsia="en-AU"/>
              </w:rPr>
            </w:pPr>
            <w:r w:rsidRPr="0015645C">
              <w:rPr>
                <w:lang w:eastAsia="en-AU"/>
              </w:rPr>
              <w:t>($2,411.00)</w:t>
            </w:r>
          </w:p>
        </w:tc>
        <w:tc>
          <w:tcPr>
            <w:tcW w:w="1347" w:type="dxa"/>
            <w:tcBorders>
              <w:top w:val="nil"/>
              <w:left w:val="nil"/>
              <w:bottom w:val="single" w:sz="8" w:space="0" w:color="auto"/>
              <w:right w:val="nil"/>
            </w:tcBorders>
            <w:shd w:val="clear" w:color="auto" w:fill="D8DBDB" w:themeFill="background1" w:themeFillShade="E6"/>
            <w:noWrap/>
            <w:vAlign w:val="center"/>
            <w:hideMark/>
          </w:tcPr>
          <w:p w14:paraId="48A501F8" w14:textId="77777777" w:rsidR="0015645C" w:rsidRPr="0015645C" w:rsidRDefault="0015645C" w:rsidP="00966B51">
            <w:pPr>
              <w:pStyle w:val="TableParagraphbold"/>
              <w:rPr>
                <w:lang w:eastAsia="en-AU"/>
              </w:rPr>
            </w:pPr>
            <w:r w:rsidRPr="0015645C">
              <w:rPr>
                <w:lang w:eastAsia="en-AU"/>
              </w:rPr>
              <w:t xml:space="preserve">$730.00 </w:t>
            </w:r>
          </w:p>
        </w:tc>
      </w:tr>
      <w:tr w:rsidR="0015645C" w:rsidRPr="0015645C" w14:paraId="15662D28" w14:textId="77777777" w:rsidTr="002809E5">
        <w:trPr>
          <w:trHeight w:val="300"/>
        </w:trPr>
        <w:tc>
          <w:tcPr>
            <w:tcW w:w="2531" w:type="dxa"/>
            <w:gridSpan w:val="2"/>
            <w:tcBorders>
              <w:top w:val="nil"/>
              <w:left w:val="nil"/>
              <w:bottom w:val="single" w:sz="8" w:space="0" w:color="auto"/>
              <w:right w:val="nil"/>
            </w:tcBorders>
            <w:shd w:val="clear" w:color="auto" w:fill="D8DBDB" w:themeFill="background1" w:themeFillShade="E6"/>
            <w:noWrap/>
            <w:vAlign w:val="center"/>
            <w:hideMark/>
          </w:tcPr>
          <w:p w14:paraId="0420F69A" w14:textId="77777777" w:rsidR="0015645C" w:rsidRPr="0015645C" w:rsidRDefault="0015645C" w:rsidP="00966B51">
            <w:pPr>
              <w:pStyle w:val="TableParagraphbold"/>
              <w:rPr>
                <w:lang w:eastAsia="en-AU"/>
              </w:rPr>
            </w:pPr>
            <w:r w:rsidRPr="0015645C">
              <w:rPr>
                <w:lang w:eastAsia="en-AU"/>
              </w:rPr>
              <w:t>Total</w:t>
            </w:r>
          </w:p>
        </w:tc>
        <w:tc>
          <w:tcPr>
            <w:tcW w:w="1620" w:type="dxa"/>
            <w:tcBorders>
              <w:top w:val="nil"/>
              <w:left w:val="nil"/>
              <w:bottom w:val="single" w:sz="8" w:space="0" w:color="auto"/>
              <w:right w:val="nil"/>
            </w:tcBorders>
            <w:shd w:val="clear" w:color="auto" w:fill="D8DBDB" w:themeFill="background1" w:themeFillShade="E6"/>
            <w:noWrap/>
            <w:vAlign w:val="center"/>
            <w:hideMark/>
          </w:tcPr>
          <w:p w14:paraId="7FA1299D" w14:textId="77777777" w:rsidR="0015645C" w:rsidRPr="0015645C" w:rsidRDefault="0015645C" w:rsidP="00966B51">
            <w:pPr>
              <w:pStyle w:val="TableParagraphbold"/>
              <w:rPr>
                <w:lang w:eastAsia="en-AU"/>
              </w:rPr>
            </w:pPr>
            <w:r w:rsidRPr="0015645C">
              <w:rPr>
                <w:lang w:eastAsia="en-AU"/>
              </w:rPr>
              <w:t> </w:t>
            </w:r>
          </w:p>
        </w:tc>
        <w:tc>
          <w:tcPr>
            <w:tcW w:w="1569" w:type="dxa"/>
            <w:tcBorders>
              <w:top w:val="nil"/>
              <w:left w:val="nil"/>
              <w:bottom w:val="single" w:sz="8" w:space="0" w:color="auto"/>
              <w:right w:val="nil"/>
            </w:tcBorders>
            <w:shd w:val="clear" w:color="auto" w:fill="D8DBDB" w:themeFill="background1" w:themeFillShade="E6"/>
            <w:noWrap/>
            <w:vAlign w:val="center"/>
            <w:hideMark/>
          </w:tcPr>
          <w:p w14:paraId="64C66AA9" w14:textId="77777777" w:rsidR="0015645C" w:rsidRPr="0015645C" w:rsidRDefault="0015645C" w:rsidP="00966B51">
            <w:pPr>
              <w:pStyle w:val="TableParagraphbold"/>
              <w:rPr>
                <w:lang w:eastAsia="en-AU"/>
              </w:rPr>
            </w:pPr>
            <w:r w:rsidRPr="0015645C">
              <w:rPr>
                <w:lang w:eastAsia="en-AU"/>
              </w:rPr>
              <w:t> </w:t>
            </w:r>
          </w:p>
        </w:tc>
        <w:tc>
          <w:tcPr>
            <w:tcW w:w="1570" w:type="dxa"/>
            <w:gridSpan w:val="2"/>
            <w:tcBorders>
              <w:top w:val="nil"/>
              <w:left w:val="nil"/>
              <w:bottom w:val="single" w:sz="8" w:space="0" w:color="auto"/>
              <w:right w:val="nil"/>
            </w:tcBorders>
            <w:shd w:val="clear" w:color="auto" w:fill="D8DBDB" w:themeFill="background1" w:themeFillShade="E6"/>
            <w:noWrap/>
            <w:vAlign w:val="center"/>
            <w:hideMark/>
          </w:tcPr>
          <w:p w14:paraId="2AF6D4B3" w14:textId="77777777" w:rsidR="0015645C" w:rsidRPr="0015645C" w:rsidRDefault="0015645C" w:rsidP="00966B51">
            <w:pPr>
              <w:pStyle w:val="TableParagraphbold"/>
              <w:rPr>
                <w:lang w:eastAsia="en-AU"/>
              </w:rPr>
            </w:pPr>
            <w:r w:rsidRPr="0015645C">
              <w:rPr>
                <w:lang w:eastAsia="en-AU"/>
              </w:rPr>
              <w:t> </w:t>
            </w:r>
          </w:p>
        </w:tc>
        <w:tc>
          <w:tcPr>
            <w:tcW w:w="1569" w:type="dxa"/>
            <w:gridSpan w:val="2"/>
            <w:tcBorders>
              <w:top w:val="nil"/>
              <w:left w:val="nil"/>
              <w:bottom w:val="single" w:sz="8" w:space="0" w:color="auto"/>
              <w:right w:val="nil"/>
            </w:tcBorders>
            <w:shd w:val="clear" w:color="auto" w:fill="D8DBDB" w:themeFill="background1" w:themeFillShade="E6"/>
            <w:noWrap/>
            <w:vAlign w:val="center"/>
            <w:hideMark/>
          </w:tcPr>
          <w:p w14:paraId="5A4AA1CE" w14:textId="77777777" w:rsidR="0015645C" w:rsidRPr="0015645C" w:rsidRDefault="0015645C" w:rsidP="00966B51">
            <w:pPr>
              <w:pStyle w:val="TableParagraphbold"/>
              <w:rPr>
                <w:lang w:eastAsia="en-AU"/>
              </w:rPr>
            </w:pPr>
            <w:r w:rsidRPr="0015645C">
              <w:rPr>
                <w:lang w:eastAsia="en-AU"/>
              </w:rPr>
              <w:t> </w:t>
            </w:r>
          </w:p>
        </w:tc>
        <w:tc>
          <w:tcPr>
            <w:tcW w:w="1347" w:type="dxa"/>
            <w:tcBorders>
              <w:top w:val="nil"/>
              <w:left w:val="nil"/>
              <w:bottom w:val="single" w:sz="8" w:space="0" w:color="auto"/>
              <w:right w:val="nil"/>
            </w:tcBorders>
            <w:shd w:val="clear" w:color="auto" w:fill="D8DBDB" w:themeFill="background1" w:themeFillShade="E6"/>
            <w:noWrap/>
            <w:vAlign w:val="center"/>
            <w:hideMark/>
          </w:tcPr>
          <w:p w14:paraId="7C2E4050" w14:textId="77777777" w:rsidR="0015645C" w:rsidRPr="0015645C" w:rsidRDefault="0015645C" w:rsidP="00966B51">
            <w:pPr>
              <w:pStyle w:val="TableParagraphbold"/>
              <w:rPr>
                <w:lang w:eastAsia="en-AU"/>
              </w:rPr>
            </w:pPr>
            <w:r w:rsidRPr="0015645C">
              <w:rPr>
                <w:lang w:eastAsia="en-AU"/>
              </w:rPr>
              <w:t> </w:t>
            </w:r>
          </w:p>
        </w:tc>
      </w:tr>
      <w:tr w:rsidR="0015645C" w:rsidRPr="0015645C" w14:paraId="2410F585" w14:textId="77777777" w:rsidTr="002809E5">
        <w:trPr>
          <w:trHeight w:val="300"/>
        </w:trPr>
        <w:tc>
          <w:tcPr>
            <w:tcW w:w="2531" w:type="dxa"/>
            <w:gridSpan w:val="2"/>
            <w:tcBorders>
              <w:top w:val="nil"/>
              <w:left w:val="nil"/>
              <w:bottom w:val="single" w:sz="8" w:space="0" w:color="auto"/>
              <w:right w:val="nil"/>
            </w:tcBorders>
            <w:shd w:val="clear" w:color="auto" w:fill="auto"/>
            <w:noWrap/>
            <w:vAlign w:val="center"/>
            <w:hideMark/>
          </w:tcPr>
          <w:p w14:paraId="0BDF272F" w14:textId="77777777" w:rsidR="0015645C" w:rsidRPr="0015645C" w:rsidRDefault="0015645C" w:rsidP="00966B51">
            <w:pPr>
              <w:pStyle w:val="TableofAuthorities"/>
              <w:rPr>
                <w:lang w:eastAsia="en-AU"/>
              </w:rPr>
            </w:pPr>
            <w:r w:rsidRPr="0015645C">
              <w:rPr>
                <w:lang w:eastAsia="en-AU"/>
              </w:rPr>
              <w:t>Number of providers</w:t>
            </w:r>
          </w:p>
        </w:tc>
        <w:tc>
          <w:tcPr>
            <w:tcW w:w="1620" w:type="dxa"/>
            <w:tcBorders>
              <w:top w:val="nil"/>
              <w:left w:val="nil"/>
              <w:bottom w:val="single" w:sz="8" w:space="0" w:color="auto"/>
              <w:right w:val="nil"/>
            </w:tcBorders>
            <w:shd w:val="clear" w:color="auto" w:fill="auto"/>
            <w:noWrap/>
            <w:vAlign w:val="center"/>
            <w:hideMark/>
          </w:tcPr>
          <w:p w14:paraId="0AEEECC7" w14:textId="77777777" w:rsidR="0015645C" w:rsidRPr="0015645C" w:rsidRDefault="0015645C" w:rsidP="00966B51">
            <w:pPr>
              <w:pStyle w:val="TableofAuthorities"/>
              <w:rPr>
                <w:lang w:eastAsia="en-AU"/>
              </w:rPr>
            </w:pPr>
            <w:r w:rsidRPr="0015645C">
              <w:rPr>
                <w:lang w:eastAsia="en-AU"/>
              </w:rPr>
              <w:t>206</w:t>
            </w:r>
          </w:p>
        </w:tc>
        <w:tc>
          <w:tcPr>
            <w:tcW w:w="1569" w:type="dxa"/>
            <w:tcBorders>
              <w:top w:val="nil"/>
              <w:left w:val="nil"/>
              <w:bottom w:val="single" w:sz="8" w:space="0" w:color="auto"/>
              <w:right w:val="nil"/>
            </w:tcBorders>
            <w:shd w:val="clear" w:color="auto" w:fill="auto"/>
            <w:noWrap/>
            <w:vAlign w:val="center"/>
            <w:hideMark/>
          </w:tcPr>
          <w:p w14:paraId="0AFE3256" w14:textId="77777777" w:rsidR="0015645C" w:rsidRPr="0015645C" w:rsidRDefault="0015645C" w:rsidP="00966B51">
            <w:pPr>
              <w:pStyle w:val="TableofAuthorities"/>
              <w:rPr>
                <w:lang w:eastAsia="en-AU"/>
              </w:rPr>
            </w:pPr>
            <w:r w:rsidRPr="0015645C">
              <w:rPr>
                <w:lang w:eastAsia="en-AU"/>
              </w:rPr>
              <w:t>205</w:t>
            </w:r>
          </w:p>
        </w:tc>
        <w:tc>
          <w:tcPr>
            <w:tcW w:w="1570" w:type="dxa"/>
            <w:gridSpan w:val="2"/>
            <w:tcBorders>
              <w:top w:val="nil"/>
              <w:left w:val="nil"/>
              <w:bottom w:val="single" w:sz="8" w:space="0" w:color="auto"/>
              <w:right w:val="nil"/>
            </w:tcBorders>
            <w:shd w:val="clear" w:color="auto" w:fill="auto"/>
            <w:noWrap/>
            <w:vAlign w:val="center"/>
            <w:hideMark/>
          </w:tcPr>
          <w:p w14:paraId="54DDCEE1" w14:textId="77777777" w:rsidR="0015645C" w:rsidRPr="0015645C" w:rsidRDefault="0015645C" w:rsidP="00966B51">
            <w:pPr>
              <w:pStyle w:val="TableofAuthorities"/>
              <w:rPr>
                <w:lang w:eastAsia="en-AU"/>
              </w:rPr>
            </w:pPr>
            <w:r w:rsidRPr="0015645C">
              <w:rPr>
                <w:lang w:eastAsia="en-AU"/>
              </w:rPr>
              <w:t>205</w:t>
            </w:r>
          </w:p>
        </w:tc>
        <w:tc>
          <w:tcPr>
            <w:tcW w:w="1569" w:type="dxa"/>
            <w:gridSpan w:val="2"/>
            <w:tcBorders>
              <w:top w:val="nil"/>
              <w:left w:val="nil"/>
              <w:bottom w:val="single" w:sz="8" w:space="0" w:color="auto"/>
              <w:right w:val="nil"/>
            </w:tcBorders>
            <w:shd w:val="clear" w:color="auto" w:fill="auto"/>
            <w:noWrap/>
            <w:vAlign w:val="center"/>
            <w:hideMark/>
          </w:tcPr>
          <w:p w14:paraId="5C566C12" w14:textId="77777777" w:rsidR="0015645C" w:rsidRPr="0015645C" w:rsidRDefault="0015645C" w:rsidP="00966B51">
            <w:pPr>
              <w:pStyle w:val="TableofAuthorities"/>
              <w:rPr>
                <w:lang w:eastAsia="en-AU"/>
              </w:rPr>
            </w:pPr>
            <w:r w:rsidRPr="0015645C">
              <w:rPr>
                <w:lang w:eastAsia="en-AU"/>
              </w:rPr>
              <w:t>206</w:t>
            </w:r>
          </w:p>
        </w:tc>
        <w:tc>
          <w:tcPr>
            <w:tcW w:w="1347" w:type="dxa"/>
            <w:tcBorders>
              <w:top w:val="nil"/>
              <w:left w:val="nil"/>
              <w:bottom w:val="single" w:sz="8" w:space="0" w:color="auto"/>
              <w:right w:val="nil"/>
            </w:tcBorders>
            <w:shd w:val="clear" w:color="auto" w:fill="auto"/>
            <w:noWrap/>
            <w:vAlign w:val="center"/>
            <w:hideMark/>
          </w:tcPr>
          <w:p w14:paraId="7A7CE2AD" w14:textId="77777777" w:rsidR="0015645C" w:rsidRPr="0015645C" w:rsidRDefault="0015645C" w:rsidP="00966B51">
            <w:pPr>
              <w:pStyle w:val="TableofAuthorities"/>
              <w:rPr>
                <w:lang w:eastAsia="en-AU"/>
              </w:rPr>
            </w:pPr>
            <w:r w:rsidRPr="0015645C">
              <w:rPr>
                <w:lang w:eastAsia="en-AU"/>
              </w:rPr>
              <w:t>822</w:t>
            </w:r>
          </w:p>
        </w:tc>
      </w:tr>
      <w:tr w:rsidR="0015645C" w:rsidRPr="0015645C" w14:paraId="0E0FD054" w14:textId="77777777" w:rsidTr="002809E5">
        <w:trPr>
          <w:trHeight w:val="300"/>
        </w:trPr>
        <w:tc>
          <w:tcPr>
            <w:tcW w:w="2531" w:type="dxa"/>
            <w:gridSpan w:val="2"/>
            <w:tcBorders>
              <w:top w:val="nil"/>
              <w:left w:val="nil"/>
              <w:bottom w:val="single" w:sz="8" w:space="0" w:color="auto"/>
              <w:right w:val="nil"/>
            </w:tcBorders>
            <w:shd w:val="clear" w:color="auto" w:fill="auto"/>
            <w:vAlign w:val="center"/>
            <w:hideMark/>
          </w:tcPr>
          <w:p w14:paraId="39A7ADBB" w14:textId="77777777" w:rsidR="0015645C" w:rsidRPr="0015645C" w:rsidRDefault="0015645C" w:rsidP="00966B51">
            <w:pPr>
              <w:pStyle w:val="TableofAuthorities"/>
              <w:rPr>
                <w:lang w:eastAsia="en-AU"/>
              </w:rPr>
            </w:pPr>
            <w:r w:rsidRPr="0015645C">
              <w:rPr>
                <w:lang w:eastAsia="en-AU"/>
              </w:rPr>
              <w:t>Total revenue per recipient</w:t>
            </w:r>
          </w:p>
        </w:tc>
        <w:tc>
          <w:tcPr>
            <w:tcW w:w="1620" w:type="dxa"/>
            <w:tcBorders>
              <w:top w:val="nil"/>
              <w:left w:val="nil"/>
              <w:bottom w:val="single" w:sz="8" w:space="0" w:color="auto"/>
              <w:right w:val="nil"/>
            </w:tcBorders>
            <w:shd w:val="clear" w:color="auto" w:fill="auto"/>
            <w:noWrap/>
            <w:vAlign w:val="center"/>
            <w:hideMark/>
          </w:tcPr>
          <w:p w14:paraId="70C0C489" w14:textId="77777777" w:rsidR="0015645C" w:rsidRPr="0015645C" w:rsidRDefault="0015645C" w:rsidP="00966B51">
            <w:pPr>
              <w:pStyle w:val="TableofAuthorities"/>
              <w:rPr>
                <w:lang w:eastAsia="en-AU"/>
              </w:rPr>
            </w:pPr>
            <w:r w:rsidRPr="0015645C">
              <w:rPr>
                <w:lang w:eastAsia="en-AU"/>
              </w:rPr>
              <w:t xml:space="preserve">$27,362.00 </w:t>
            </w:r>
          </w:p>
        </w:tc>
        <w:tc>
          <w:tcPr>
            <w:tcW w:w="1569" w:type="dxa"/>
            <w:tcBorders>
              <w:top w:val="nil"/>
              <w:left w:val="nil"/>
              <w:bottom w:val="single" w:sz="8" w:space="0" w:color="auto"/>
              <w:right w:val="nil"/>
            </w:tcBorders>
            <w:shd w:val="clear" w:color="auto" w:fill="auto"/>
            <w:noWrap/>
            <w:vAlign w:val="center"/>
            <w:hideMark/>
          </w:tcPr>
          <w:p w14:paraId="2E40A14C" w14:textId="77777777" w:rsidR="0015645C" w:rsidRPr="0015645C" w:rsidRDefault="0015645C" w:rsidP="00966B51">
            <w:pPr>
              <w:pStyle w:val="TableofAuthorities"/>
              <w:rPr>
                <w:lang w:eastAsia="en-AU"/>
              </w:rPr>
            </w:pPr>
            <w:r w:rsidRPr="0015645C">
              <w:rPr>
                <w:lang w:eastAsia="en-AU"/>
              </w:rPr>
              <w:t xml:space="preserve">$23,531.00 </w:t>
            </w:r>
          </w:p>
        </w:tc>
        <w:tc>
          <w:tcPr>
            <w:tcW w:w="1570" w:type="dxa"/>
            <w:gridSpan w:val="2"/>
            <w:tcBorders>
              <w:top w:val="nil"/>
              <w:left w:val="nil"/>
              <w:bottom w:val="single" w:sz="8" w:space="0" w:color="auto"/>
              <w:right w:val="nil"/>
            </w:tcBorders>
            <w:shd w:val="clear" w:color="auto" w:fill="auto"/>
            <w:noWrap/>
            <w:vAlign w:val="center"/>
            <w:hideMark/>
          </w:tcPr>
          <w:p w14:paraId="0078BF3F" w14:textId="77777777" w:rsidR="0015645C" w:rsidRPr="0015645C" w:rsidRDefault="0015645C" w:rsidP="00966B51">
            <w:pPr>
              <w:pStyle w:val="TableofAuthorities"/>
              <w:rPr>
                <w:lang w:eastAsia="en-AU"/>
              </w:rPr>
            </w:pPr>
            <w:r w:rsidRPr="0015645C">
              <w:rPr>
                <w:lang w:eastAsia="en-AU"/>
              </w:rPr>
              <w:t xml:space="preserve">$22,740.00 </w:t>
            </w:r>
          </w:p>
        </w:tc>
        <w:tc>
          <w:tcPr>
            <w:tcW w:w="1569" w:type="dxa"/>
            <w:gridSpan w:val="2"/>
            <w:tcBorders>
              <w:top w:val="nil"/>
              <w:left w:val="nil"/>
              <w:bottom w:val="single" w:sz="8" w:space="0" w:color="auto"/>
              <w:right w:val="nil"/>
            </w:tcBorders>
            <w:shd w:val="clear" w:color="auto" w:fill="auto"/>
            <w:noWrap/>
            <w:vAlign w:val="center"/>
            <w:hideMark/>
          </w:tcPr>
          <w:p w14:paraId="334D972C" w14:textId="77777777" w:rsidR="0015645C" w:rsidRPr="0015645C" w:rsidRDefault="0015645C" w:rsidP="00966B51">
            <w:pPr>
              <w:pStyle w:val="TableofAuthorities"/>
              <w:rPr>
                <w:lang w:eastAsia="en-AU"/>
              </w:rPr>
            </w:pPr>
            <w:r w:rsidRPr="0015645C">
              <w:rPr>
                <w:lang w:eastAsia="en-AU"/>
              </w:rPr>
              <w:t xml:space="preserve">$23,902.00 </w:t>
            </w:r>
          </w:p>
        </w:tc>
        <w:tc>
          <w:tcPr>
            <w:tcW w:w="1347" w:type="dxa"/>
            <w:tcBorders>
              <w:top w:val="nil"/>
              <w:left w:val="nil"/>
              <w:bottom w:val="single" w:sz="8" w:space="0" w:color="auto"/>
              <w:right w:val="nil"/>
            </w:tcBorders>
            <w:shd w:val="clear" w:color="auto" w:fill="auto"/>
            <w:noWrap/>
            <w:vAlign w:val="center"/>
            <w:hideMark/>
          </w:tcPr>
          <w:p w14:paraId="42AD512C" w14:textId="77777777" w:rsidR="0015645C" w:rsidRPr="0015645C" w:rsidRDefault="0015645C" w:rsidP="00966B51">
            <w:pPr>
              <w:pStyle w:val="TableofAuthorities"/>
              <w:rPr>
                <w:lang w:eastAsia="en-AU"/>
              </w:rPr>
            </w:pPr>
            <w:r w:rsidRPr="0015645C">
              <w:rPr>
                <w:lang w:eastAsia="en-AU"/>
              </w:rPr>
              <w:t xml:space="preserve">$24,068.00 </w:t>
            </w:r>
          </w:p>
        </w:tc>
      </w:tr>
      <w:tr w:rsidR="0015645C" w:rsidRPr="0015645C" w14:paraId="619CFD04" w14:textId="77777777" w:rsidTr="002809E5">
        <w:trPr>
          <w:trHeight w:val="300"/>
        </w:trPr>
        <w:tc>
          <w:tcPr>
            <w:tcW w:w="2531" w:type="dxa"/>
            <w:gridSpan w:val="2"/>
            <w:tcBorders>
              <w:top w:val="nil"/>
              <w:left w:val="nil"/>
              <w:bottom w:val="single" w:sz="8" w:space="0" w:color="auto"/>
              <w:right w:val="nil"/>
            </w:tcBorders>
            <w:shd w:val="clear" w:color="auto" w:fill="auto"/>
            <w:vAlign w:val="center"/>
            <w:hideMark/>
          </w:tcPr>
          <w:p w14:paraId="0FB7DF51" w14:textId="77777777" w:rsidR="0015645C" w:rsidRPr="0015645C" w:rsidRDefault="0015645C" w:rsidP="00966B51">
            <w:pPr>
              <w:pStyle w:val="TableofAuthorities"/>
              <w:rPr>
                <w:lang w:eastAsia="en-AU"/>
              </w:rPr>
            </w:pPr>
            <w:r w:rsidRPr="0015645C">
              <w:rPr>
                <w:lang w:eastAsia="en-AU"/>
              </w:rPr>
              <w:t>Total expenses per recipient</w:t>
            </w:r>
          </w:p>
        </w:tc>
        <w:tc>
          <w:tcPr>
            <w:tcW w:w="1620" w:type="dxa"/>
            <w:tcBorders>
              <w:top w:val="nil"/>
              <w:left w:val="nil"/>
              <w:bottom w:val="single" w:sz="8" w:space="0" w:color="auto"/>
              <w:right w:val="nil"/>
            </w:tcBorders>
            <w:shd w:val="clear" w:color="auto" w:fill="auto"/>
            <w:noWrap/>
            <w:vAlign w:val="center"/>
            <w:hideMark/>
          </w:tcPr>
          <w:p w14:paraId="1BFECDC4" w14:textId="77777777" w:rsidR="0015645C" w:rsidRPr="0015645C" w:rsidRDefault="0015645C" w:rsidP="00966B51">
            <w:pPr>
              <w:pStyle w:val="TableofAuthorities"/>
              <w:rPr>
                <w:lang w:eastAsia="en-AU"/>
              </w:rPr>
            </w:pPr>
            <w:r w:rsidRPr="0015645C">
              <w:rPr>
                <w:lang w:eastAsia="en-AU"/>
              </w:rPr>
              <w:t xml:space="preserve">$22,442.00 </w:t>
            </w:r>
          </w:p>
        </w:tc>
        <w:tc>
          <w:tcPr>
            <w:tcW w:w="1569" w:type="dxa"/>
            <w:tcBorders>
              <w:top w:val="nil"/>
              <w:left w:val="nil"/>
              <w:bottom w:val="single" w:sz="8" w:space="0" w:color="auto"/>
              <w:right w:val="nil"/>
            </w:tcBorders>
            <w:shd w:val="clear" w:color="auto" w:fill="auto"/>
            <w:noWrap/>
            <w:vAlign w:val="center"/>
            <w:hideMark/>
          </w:tcPr>
          <w:p w14:paraId="1928998B" w14:textId="77777777" w:rsidR="0015645C" w:rsidRPr="0015645C" w:rsidRDefault="0015645C" w:rsidP="00966B51">
            <w:pPr>
              <w:pStyle w:val="TableofAuthorities"/>
              <w:rPr>
                <w:lang w:eastAsia="en-AU"/>
              </w:rPr>
            </w:pPr>
            <w:r w:rsidRPr="0015645C">
              <w:rPr>
                <w:lang w:eastAsia="en-AU"/>
              </w:rPr>
              <w:t xml:space="preserve">$21,733.00 </w:t>
            </w:r>
          </w:p>
        </w:tc>
        <w:tc>
          <w:tcPr>
            <w:tcW w:w="1570" w:type="dxa"/>
            <w:gridSpan w:val="2"/>
            <w:tcBorders>
              <w:top w:val="nil"/>
              <w:left w:val="nil"/>
              <w:bottom w:val="single" w:sz="8" w:space="0" w:color="auto"/>
              <w:right w:val="nil"/>
            </w:tcBorders>
            <w:shd w:val="clear" w:color="auto" w:fill="auto"/>
            <w:noWrap/>
            <w:vAlign w:val="center"/>
            <w:hideMark/>
          </w:tcPr>
          <w:p w14:paraId="45972BF5" w14:textId="77777777" w:rsidR="0015645C" w:rsidRPr="0015645C" w:rsidRDefault="0015645C" w:rsidP="00966B51">
            <w:pPr>
              <w:pStyle w:val="TableofAuthorities"/>
              <w:rPr>
                <w:lang w:eastAsia="en-AU"/>
              </w:rPr>
            </w:pPr>
            <w:r w:rsidRPr="0015645C">
              <w:rPr>
                <w:lang w:eastAsia="en-AU"/>
              </w:rPr>
              <w:t xml:space="preserve">$22,487.00 </w:t>
            </w:r>
          </w:p>
        </w:tc>
        <w:tc>
          <w:tcPr>
            <w:tcW w:w="1569" w:type="dxa"/>
            <w:gridSpan w:val="2"/>
            <w:tcBorders>
              <w:top w:val="nil"/>
              <w:left w:val="nil"/>
              <w:bottom w:val="single" w:sz="8" w:space="0" w:color="auto"/>
              <w:right w:val="nil"/>
            </w:tcBorders>
            <w:shd w:val="clear" w:color="auto" w:fill="auto"/>
            <w:noWrap/>
            <w:vAlign w:val="center"/>
            <w:hideMark/>
          </w:tcPr>
          <w:p w14:paraId="537E3443" w14:textId="77777777" w:rsidR="0015645C" w:rsidRPr="0015645C" w:rsidRDefault="0015645C" w:rsidP="00966B51">
            <w:pPr>
              <w:pStyle w:val="TableofAuthorities"/>
              <w:rPr>
                <w:lang w:eastAsia="en-AU"/>
              </w:rPr>
            </w:pPr>
            <w:r w:rsidRPr="0015645C">
              <w:rPr>
                <w:lang w:eastAsia="en-AU"/>
              </w:rPr>
              <w:t xml:space="preserve">$26,771.00 </w:t>
            </w:r>
          </w:p>
        </w:tc>
        <w:tc>
          <w:tcPr>
            <w:tcW w:w="1347" w:type="dxa"/>
            <w:tcBorders>
              <w:top w:val="nil"/>
              <w:left w:val="nil"/>
              <w:bottom w:val="single" w:sz="8" w:space="0" w:color="auto"/>
              <w:right w:val="nil"/>
            </w:tcBorders>
            <w:shd w:val="clear" w:color="auto" w:fill="auto"/>
            <w:noWrap/>
            <w:vAlign w:val="center"/>
            <w:hideMark/>
          </w:tcPr>
          <w:p w14:paraId="2BA7DB83" w14:textId="77777777" w:rsidR="0015645C" w:rsidRPr="0015645C" w:rsidRDefault="0015645C" w:rsidP="00966B51">
            <w:pPr>
              <w:pStyle w:val="TableofAuthorities"/>
              <w:rPr>
                <w:lang w:eastAsia="en-AU"/>
              </w:rPr>
            </w:pPr>
            <w:r w:rsidRPr="0015645C">
              <w:rPr>
                <w:lang w:eastAsia="en-AU"/>
              </w:rPr>
              <w:t xml:space="preserve">$23,054.00 </w:t>
            </w:r>
          </w:p>
        </w:tc>
      </w:tr>
      <w:tr w:rsidR="0015645C" w:rsidRPr="0015645C" w14:paraId="2B141158" w14:textId="77777777" w:rsidTr="002809E5">
        <w:trPr>
          <w:trHeight w:val="300"/>
        </w:trPr>
        <w:tc>
          <w:tcPr>
            <w:tcW w:w="2531" w:type="dxa"/>
            <w:gridSpan w:val="2"/>
            <w:tcBorders>
              <w:top w:val="nil"/>
              <w:left w:val="nil"/>
              <w:bottom w:val="single" w:sz="8" w:space="0" w:color="auto"/>
              <w:right w:val="nil"/>
            </w:tcBorders>
            <w:shd w:val="clear" w:color="auto" w:fill="D8DBDB" w:themeFill="background1" w:themeFillShade="E6"/>
            <w:vAlign w:val="center"/>
            <w:hideMark/>
          </w:tcPr>
          <w:p w14:paraId="5EA366C8" w14:textId="77777777" w:rsidR="0015645C" w:rsidRPr="0015645C" w:rsidRDefault="0015645C" w:rsidP="00966B51">
            <w:pPr>
              <w:pStyle w:val="TableParagraphbold"/>
              <w:rPr>
                <w:lang w:eastAsia="en-AU"/>
              </w:rPr>
            </w:pPr>
            <w:r w:rsidRPr="0015645C">
              <w:rPr>
                <w:lang w:eastAsia="en-AU"/>
              </w:rPr>
              <w:t>NPBT per recipient</w:t>
            </w:r>
          </w:p>
        </w:tc>
        <w:tc>
          <w:tcPr>
            <w:tcW w:w="1620" w:type="dxa"/>
            <w:tcBorders>
              <w:top w:val="nil"/>
              <w:left w:val="nil"/>
              <w:bottom w:val="single" w:sz="8" w:space="0" w:color="auto"/>
              <w:right w:val="nil"/>
            </w:tcBorders>
            <w:shd w:val="clear" w:color="auto" w:fill="D8DBDB" w:themeFill="background1" w:themeFillShade="E6"/>
            <w:noWrap/>
            <w:vAlign w:val="center"/>
            <w:hideMark/>
          </w:tcPr>
          <w:p w14:paraId="3DAAE8D0" w14:textId="77777777" w:rsidR="0015645C" w:rsidRPr="0015645C" w:rsidRDefault="0015645C" w:rsidP="00966B51">
            <w:pPr>
              <w:pStyle w:val="TableParagraphbold"/>
              <w:rPr>
                <w:lang w:eastAsia="en-AU"/>
              </w:rPr>
            </w:pPr>
            <w:r w:rsidRPr="0015645C">
              <w:rPr>
                <w:lang w:eastAsia="en-AU"/>
              </w:rPr>
              <w:t xml:space="preserve">$4,920.00 </w:t>
            </w:r>
          </w:p>
        </w:tc>
        <w:tc>
          <w:tcPr>
            <w:tcW w:w="1569" w:type="dxa"/>
            <w:tcBorders>
              <w:top w:val="nil"/>
              <w:left w:val="nil"/>
              <w:bottom w:val="single" w:sz="8" w:space="0" w:color="auto"/>
              <w:right w:val="nil"/>
            </w:tcBorders>
            <w:shd w:val="clear" w:color="auto" w:fill="D8DBDB" w:themeFill="background1" w:themeFillShade="E6"/>
            <w:noWrap/>
            <w:vAlign w:val="center"/>
            <w:hideMark/>
          </w:tcPr>
          <w:p w14:paraId="60B24B74" w14:textId="77777777" w:rsidR="0015645C" w:rsidRPr="0015645C" w:rsidRDefault="0015645C" w:rsidP="00966B51">
            <w:pPr>
              <w:pStyle w:val="TableParagraphbold"/>
              <w:rPr>
                <w:lang w:eastAsia="en-AU"/>
              </w:rPr>
            </w:pPr>
            <w:r w:rsidRPr="0015645C">
              <w:rPr>
                <w:lang w:eastAsia="en-AU"/>
              </w:rPr>
              <w:t xml:space="preserve">$1,798.00 </w:t>
            </w:r>
          </w:p>
        </w:tc>
        <w:tc>
          <w:tcPr>
            <w:tcW w:w="1570" w:type="dxa"/>
            <w:gridSpan w:val="2"/>
            <w:tcBorders>
              <w:top w:val="nil"/>
              <w:left w:val="nil"/>
              <w:bottom w:val="single" w:sz="8" w:space="0" w:color="auto"/>
              <w:right w:val="nil"/>
            </w:tcBorders>
            <w:shd w:val="clear" w:color="auto" w:fill="D8DBDB" w:themeFill="background1" w:themeFillShade="E6"/>
            <w:noWrap/>
            <w:vAlign w:val="center"/>
            <w:hideMark/>
          </w:tcPr>
          <w:p w14:paraId="33057D74" w14:textId="77777777" w:rsidR="0015645C" w:rsidRPr="0015645C" w:rsidRDefault="0015645C" w:rsidP="00966B51">
            <w:pPr>
              <w:pStyle w:val="TableParagraphbold"/>
              <w:rPr>
                <w:lang w:eastAsia="en-AU"/>
              </w:rPr>
            </w:pPr>
            <w:r w:rsidRPr="0015645C">
              <w:rPr>
                <w:lang w:eastAsia="en-AU"/>
              </w:rPr>
              <w:t xml:space="preserve">$253.00 </w:t>
            </w:r>
          </w:p>
        </w:tc>
        <w:tc>
          <w:tcPr>
            <w:tcW w:w="1569" w:type="dxa"/>
            <w:gridSpan w:val="2"/>
            <w:tcBorders>
              <w:top w:val="nil"/>
              <w:left w:val="nil"/>
              <w:bottom w:val="single" w:sz="8" w:space="0" w:color="auto"/>
              <w:right w:val="nil"/>
            </w:tcBorders>
            <w:shd w:val="clear" w:color="auto" w:fill="D8DBDB" w:themeFill="background1" w:themeFillShade="E6"/>
            <w:noWrap/>
            <w:vAlign w:val="center"/>
            <w:hideMark/>
          </w:tcPr>
          <w:p w14:paraId="74AA9C96" w14:textId="77777777" w:rsidR="0015645C" w:rsidRPr="0015645C" w:rsidRDefault="0015645C" w:rsidP="00966B51">
            <w:pPr>
              <w:pStyle w:val="TableParagraphbold"/>
              <w:rPr>
                <w:lang w:eastAsia="en-AU"/>
              </w:rPr>
            </w:pPr>
            <w:r w:rsidRPr="0015645C">
              <w:rPr>
                <w:lang w:eastAsia="en-AU"/>
              </w:rPr>
              <w:t>($2,868.00)</w:t>
            </w:r>
          </w:p>
        </w:tc>
        <w:tc>
          <w:tcPr>
            <w:tcW w:w="1347" w:type="dxa"/>
            <w:tcBorders>
              <w:top w:val="nil"/>
              <w:left w:val="nil"/>
              <w:bottom w:val="single" w:sz="8" w:space="0" w:color="auto"/>
              <w:right w:val="nil"/>
            </w:tcBorders>
            <w:shd w:val="clear" w:color="auto" w:fill="D8DBDB" w:themeFill="background1" w:themeFillShade="E6"/>
            <w:noWrap/>
            <w:vAlign w:val="center"/>
            <w:hideMark/>
          </w:tcPr>
          <w:p w14:paraId="50461157" w14:textId="77777777" w:rsidR="0015645C" w:rsidRPr="0015645C" w:rsidRDefault="0015645C" w:rsidP="00966B51">
            <w:pPr>
              <w:pStyle w:val="TableParagraphbold"/>
              <w:rPr>
                <w:lang w:eastAsia="en-AU"/>
              </w:rPr>
            </w:pPr>
            <w:r w:rsidRPr="0015645C">
              <w:rPr>
                <w:lang w:eastAsia="en-AU"/>
              </w:rPr>
              <w:t xml:space="preserve">$1,013.00 </w:t>
            </w:r>
          </w:p>
        </w:tc>
      </w:tr>
    </w:tbl>
    <w:p w14:paraId="210936B9" w14:textId="61B99044" w:rsidR="00BB111C" w:rsidRPr="002A2E5B" w:rsidRDefault="00BB111C" w:rsidP="002A2E5B">
      <w:r w:rsidRPr="002A2E5B">
        <w:br w:type="page"/>
      </w:r>
    </w:p>
    <w:p w14:paraId="033C279E" w14:textId="5925D46B" w:rsidR="00BB111C" w:rsidRDefault="00BB111C" w:rsidP="009A2881">
      <w:pPr>
        <w:pStyle w:val="Heading2nonumbers"/>
      </w:pPr>
      <w:r>
        <w:lastRenderedPageBreak/>
        <w:t xml:space="preserve">Appendix </w:t>
      </w:r>
      <w:r w:rsidR="008C5BE6">
        <w:t>E</w:t>
      </w:r>
    </w:p>
    <w:p w14:paraId="69B9C1D7" w14:textId="6D4A3A16" w:rsidR="00BB111C" w:rsidRDefault="00F3796C" w:rsidP="00F3796C">
      <w:r w:rsidRPr="00F3796C">
        <w:t>Home Care segment income and expense statement, 2021-22</w:t>
      </w:r>
    </w:p>
    <w:tbl>
      <w:tblPr>
        <w:tblStyle w:val="DepartmentofHealthtable"/>
        <w:tblW w:w="10540" w:type="dxa"/>
        <w:tblLayout w:type="fixed"/>
        <w:tblLook w:val="04A0" w:firstRow="1" w:lastRow="0" w:firstColumn="1" w:lastColumn="0" w:noHBand="0" w:noVBand="1"/>
      </w:tblPr>
      <w:tblGrid>
        <w:gridCol w:w="2599"/>
        <w:gridCol w:w="866"/>
        <w:gridCol w:w="504"/>
        <w:gridCol w:w="426"/>
        <w:gridCol w:w="377"/>
        <w:gridCol w:w="697"/>
        <w:gridCol w:w="426"/>
        <w:gridCol w:w="1036"/>
        <w:gridCol w:w="39"/>
        <w:gridCol w:w="401"/>
        <w:gridCol w:w="25"/>
        <w:gridCol w:w="1074"/>
        <w:gridCol w:w="426"/>
        <w:gridCol w:w="1027"/>
        <w:gridCol w:w="617"/>
      </w:tblGrid>
      <w:tr w:rsidR="00817D35" w:rsidRPr="00817D35" w14:paraId="469A32A0" w14:textId="77777777" w:rsidTr="002809E5">
        <w:trPr>
          <w:gridAfter w:val="1"/>
          <w:cnfStyle w:val="100000000000" w:firstRow="1" w:lastRow="0" w:firstColumn="0" w:lastColumn="0" w:oddVBand="0" w:evenVBand="0" w:oddHBand="0" w:evenHBand="0" w:firstRowFirstColumn="0" w:firstRowLastColumn="0" w:lastRowFirstColumn="0" w:lastRowLastColumn="0"/>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hideMark/>
          </w:tcPr>
          <w:p w14:paraId="3A332CB0" w14:textId="77777777" w:rsidR="00817D35" w:rsidRPr="002A2E5B" w:rsidRDefault="00817D35" w:rsidP="000F6E2B">
            <w:pPr>
              <w:pStyle w:val="TableHeaderWhite"/>
            </w:pPr>
            <w:r w:rsidRPr="002A2E5B">
              <w:t> </w:t>
            </w:r>
          </w:p>
        </w:tc>
        <w:tc>
          <w:tcPr>
            <w:tcW w:w="1500" w:type="dxa"/>
            <w:gridSpan w:val="3"/>
            <w:hideMark/>
          </w:tcPr>
          <w:p w14:paraId="58462EBB" w14:textId="77777777" w:rsidR="00817D35" w:rsidRPr="00817D35" w:rsidRDefault="00817D35" w:rsidP="000F6E2B">
            <w:pPr>
              <w:pStyle w:val="TableHeaderWhite"/>
              <w:cnfStyle w:val="100000000000" w:firstRow="1" w:lastRow="0" w:firstColumn="0" w:lastColumn="0" w:oddVBand="0" w:evenVBand="0" w:oddHBand="0" w:evenHBand="0" w:firstRowFirstColumn="0" w:firstRowLastColumn="0" w:lastRowFirstColumn="0" w:lastRowLastColumn="0"/>
              <w:rPr>
                <w:rFonts w:cs="Arial"/>
                <w:bCs/>
                <w:color w:val="F1F2F2"/>
                <w:szCs w:val="20"/>
                <w:lang w:eastAsia="en-AU"/>
              </w:rPr>
            </w:pPr>
            <w:r w:rsidRPr="00817D35">
              <w:rPr>
                <w:rFonts w:cs="Arial"/>
                <w:bCs/>
                <w:color w:val="F1F2F2"/>
                <w:szCs w:val="20"/>
                <w:lang w:eastAsia="en-AU"/>
              </w:rPr>
              <w:t>For Profit</w:t>
            </w:r>
          </w:p>
        </w:tc>
        <w:tc>
          <w:tcPr>
            <w:tcW w:w="1501" w:type="dxa"/>
            <w:gridSpan w:val="3"/>
            <w:hideMark/>
          </w:tcPr>
          <w:p w14:paraId="177BB120" w14:textId="77777777" w:rsidR="00817D35" w:rsidRPr="00817D35" w:rsidRDefault="00817D35" w:rsidP="000F6E2B">
            <w:pPr>
              <w:pStyle w:val="TableHeaderWhite"/>
              <w:cnfStyle w:val="100000000000" w:firstRow="1" w:lastRow="0" w:firstColumn="0" w:lastColumn="0" w:oddVBand="0" w:evenVBand="0" w:oddHBand="0" w:evenHBand="0" w:firstRowFirstColumn="0" w:firstRowLastColumn="0" w:lastRowFirstColumn="0" w:lastRowLastColumn="0"/>
              <w:rPr>
                <w:rFonts w:cs="Arial"/>
                <w:bCs/>
                <w:color w:val="F1F2F2"/>
                <w:szCs w:val="20"/>
                <w:lang w:eastAsia="en-AU"/>
              </w:rPr>
            </w:pPr>
            <w:r w:rsidRPr="00817D35">
              <w:rPr>
                <w:rFonts w:cs="Arial"/>
                <w:bCs/>
                <w:color w:val="F1F2F2"/>
                <w:szCs w:val="20"/>
                <w:lang w:eastAsia="en-AU"/>
              </w:rPr>
              <w:t>Not For Profit</w:t>
            </w:r>
          </w:p>
        </w:tc>
        <w:tc>
          <w:tcPr>
            <w:tcW w:w="1500" w:type="dxa"/>
            <w:gridSpan w:val="3"/>
            <w:hideMark/>
          </w:tcPr>
          <w:p w14:paraId="7F46CF65" w14:textId="77777777" w:rsidR="00817D35" w:rsidRPr="00817D35" w:rsidRDefault="00817D35" w:rsidP="000F6E2B">
            <w:pPr>
              <w:pStyle w:val="TableHeaderWhite"/>
              <w:cnfStyle w:val="100000000000" w:firstRow="1" w:lastRow="0" w:firstColumn="0" w:lastColumn="0" w:oddVBand="0" w:evenVBand="0" w:oddHBand="0" w:evenHBand="0" w:firstRowFirstColumn="0" w:firstRowLastColumn="0" w:lastRowFirstColumn="0" w:lastRowLastColumn="0"/>
              <w:rPr>
                <w:rFonts w:cs="Arial"/>
                <w:bCs/>
                <w:color w:val="F1F2F2"/>
                <w:szCs w:val="20"/>
                <w:lang w:eastAsia="en-AU"/>
              </w:rPr>
            </w:pPr>
            <w:r w:rsidRPr="00817D35">
              <w:rPr>
                <w:rFonts w:cs="Arial"/>
                <w:bCs/>
                <w:color w:val="F1F2F2"/>
                <w:szCs w:val="20"/>
                <w:lang w:eastAsia="en-AU"/>
              </w:rPr>
              <w:t>LST</w:t>
            </w:r>
          </w:p>
        </w:tc>
        <w:tc>
          <w:tcPr>
            <w:tcW w:w="1453" w:type="dxa"/>
            <w:gridSpan w:val="2"/>
            <w:hideMark/>
          </w:tcPr>
          <w:p w14:paraId="5A8F4D6D" w14:textId="77777777" w:rsidR="00817D35" w:rsidRPr="00817D35" w:rsidRDefault="00817D35" w:rsidP="000F6E2B">
            <w:pPr>
              <w:pStyle w:val="TableHeaderWhite"/>
              <w:cnfStyle w:val="100000000000" w:firstRow="1" w:lastRow="0" w:firstColumn="0" w:lastColumn="0" w:oddVBand="0" w:evenVBand="0" w:oddHBand="0" w:evenHBand="0" w:firstRowFirstColumn="0" w:firstRowLastColumn="0" w:lastRowFirstColumn="0" w:lastRowLastColumn="0"/>
              <w:rPr>
                <w:rFonts w:cs="Arial"/>
                <w:bCs/>
                <w:color w:val="F1F2F2"/>
                <w:szCs w:val="20"/>
                <w:lang w:eastAsia="en-AU"/>
              </w:rPr>
            </w:pPr>
            <w:r w:rsidRPr="00817D35">
              <w:rPr>
                <w:rFonts w:cs="Arial"/>
                <w:bCs/>
                <w:color w:val="F1F2F2"/>
                <w:szCs w:val="20"/>
                <w:lang w:eastAsia="en-AU"/>
              </w:rPr>
              <w:t>All Providers</w:t>
            </w:r>
          </w:p>
        </w:tc>
      </w:tr>
      <w:tr w:rsidR="00817D35" w:rsidRPr="00817D35" w14:paraId="76F4F00F" w14:textId="77777777" w:rsidTr="00EC6496">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shd w:val="clear" w:color="auto" w:fill="D8DBDB" w:themeFill="background2" w:themeFillShade="E6"/>
            <w:noWrap/>
            <w:hideMark/>
          </w:tcPr>
          <w:p w14:paraId="249510C6" w14:textId="77777777" w:rsidR="00817D35" w:rsidRPr="00817D35" w:rsidRDefault="00817D35" w:rsidP="008653A1">
            <w:pPr>
              <w:pStyle w:val="TableParagraphbold"/>
              <w:rPr>
                <w:lang w:eastAsia="en-AU"/>
              </w:rPr>
            </w:pPr>
            <w:r w:rsidRPr="00817D35">
              <w:rPr>
                <w:lang w:eastAsia="en-AU"/>
              </w:rPr>
              <w:t>Income</w:t>
            </w:r>
          </w:p>
        </w:tc>
        <w:tc>
          <w:tcPr>
            <w:tcW w:w="1500" w:type="dxa"/>
            <w:gridSpan w:val="3"/>
            <w:shd w:val="clear" w:color="auto" w:fill="D8DBDB" w:themeFill="background2" w:themeFillShade="E6"/>
            <w:noWrap/>
            <w:hideMark/>
          </w:tcPr>
          <w:p w14:paraId="05B13DF2"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($m)</w:t>
            </w:r>
          </w:p>
        </w:tc>
        <w:tc>
          <w:tcPr>
            <w:tcW w:w="1501" w:type="dxa"/>
            <w:gridSpan w:val="3"/>
            <w:shd w:val="clear" w:color="auto" w:fill="D8DBDB" w:themeFill="background2" w:themeFillShade="E6"/>
            <w:noWrap/>
            <w:hideMark/>
          </w:tcPr>
          <w:p w14:paraId="7BA2215C"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($m)</w:t>
            </w:r>
          </w:p>
        </w:tc>
        <w:tc>
          <w:tcPr>
            <w:tcW w:w="1500" w:type="dxa"/>
            <w:gridSpan w:val="3"/>
            <w:shd w:val="clear" w:color="auto" w:fill="D8DBDB" w:themeFill="background2" w:themeFillShade="E6"/>
            <w:noWrap/>
            <w:hideMark/>
          </w:tcPr>
          <w:p w14:paraId="15E6CC52"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($m)</w:t>
            </w:r>
          </w:p>
        </w:tc>
        <w:tc>
          <w:tcPr>
            <w:tcW w:w="1453" w:type="dxa"/>
            <w:gridSpan w:val="2"/>
            <w:shd w:val="clear" w:color="auto" w:fill="D8DBDB" w:themeFill="background2" w:themeFillShade="E6"/>
            <w:noWrap/>
            <w:hideMark/>
          </w:tcPr>
          <w:p w14:paraId="5239300B"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($m)</w:t>
            </w:r>
          </w:p>
        </w:tc>
      </w:tr>
      <w:tr w:rsidR="00817D35" w:rsidRPr="00817D35" w14:paraId="66A96BF9" w14:textId="77777777" w:rsidTr="00EC6496">
        <w:trPr>
          <w:gridAfter w:val="1"/>
          <w:wAfter w:w="617" w:type="dxa"/>
          <w:trHeight w:val="300"/>
        </w:trPr>
        <w:tc>
          <w:tcPr>
            <w:cnfStyle w:val="001000000000" w:firstRow="0" w:lastRow="0" w:firstColumn="1" w:lastColumn="0" w:oddVBand="0" w:evenVBand="0" w:oddHBand="0" w:evenHBand="0" w:firstRowFirstColumn="0" w:firstRowLastColumn="0" w:lastRowFirstColumn="0" w:lastRowLastColumn="0"/>
            <w:tcW w:w="3969" w:type="dxa"/>
            <w:gridSpan w:val="3"/>
            <w:shd w:val="clear" w:color="auto" w:fill="D8DBDB" w:themeFill="background2" w:themeFillShade="E6"/>
            <w:noWrap/>
            <w:hideMark/>
          </w:tcPr>
          <w:p w14:paraId="2DAA5607" w14:textId="77777777" w:rsidR="00817D35" w:rsidRPr="00817D35" w:rsidRDefault="00817D35" w:rsidP="008653A1">
            <w:pPr>
              <w:pStyle w:val="TableParagraphbold"/>
              <w:rPr>
                <w:lang w:eastAsia="en-AU"/>
              </w:rPr>
            </w:pPr>
            <w:r w:rsidRPr="00817D35">
              <w:rPr>
                <w:lang w:eastAsia="en-AU"/>
              </w:rPr>
              <w:t xml:space="preserve">  ◦ Direct care services</w:t>
            </w:r>
          </w:p>
        </w:tc>
        <w:tc>
          <w:tcPr>
            <w:tcW w:w="1500" w:type="dxa"/>
            <w:gridSpan w:val="3"/>
            <w:shd w:val="clear" w:color="auto" w:fill="D8DBDB" w:themeFill="background2" w:themeFillShade="E6"/>
            <w:noWrap/>
            <w:hideMark/>
          </w:tcPr>
          <w:p w14:paraId="7AB317A4"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$624.0 </w:t>
            </w:r>
          </w:p>
        </w:tc>
        <w:tc>
          <w:tcPr>
            <w:tcW w:w="1501" w:type="dxa"/>
            <w:gridSpan w:val="3"/>
            <w:shd w:val="clear" w:color="auto" w:fill="D8DBDB" w:themeFill="background2" w:themeFillShade="E6"/>
            <w:noWrap/>
            <w:hideMark/>
          </w:tcPr>
          <w:p w14:paraId="439EEB42"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$1,356.0 </w:t>
            </w:r>
          </w:p>
        </w:tc>
        <w:tc>
          <w:tcPr>
            <w:tcW w:w="1500" w:type="dxa"/>
            <w:gridSpan w:val="3"/>
            <w:shd w:val="clear" w:color="auto" w:fill="D8DBDB" w:themeFill="background2" w:themeFillShade="E6"/>
            <w:noWrap/>
            <w:hideMark/>
          </w:tcPr>
          <w:p w14:paraId="42B42668"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$65.0 </w:t>
            </w:r>
          </w:p>
        </w:tc>
        <w:tc>
          <w:tcPr>
            <w:tcW w:w="1453" w:type="dxa"/>
            <w:gridSpan w:val="2"/>
            <w:shd w:val="clear" w:color="auto" w:fill="D8DBDB" w:themeFill="background2" w:themeFillShade="E6"/>
            <w:noWrap/>
            <w:hideMark/>
          </w:tcPr>
          <w:p w14:paraId="14323F0C"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$2,045.0 </w:t>
            </w:r>
          </w:p>
        </w:tc>
      </w:tr>
      <w:tr w:rsidR="00817D35" w:rsidRPr="00817D35" w14:paraId="3849F5C5"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0CA02DA4" w14:textId="77777777" w:rsidR="00817D35" w:rsidRPr="00817D35" w:rsidRDefault="00817D35" w:rsidP="00966B51">
            <w:pPr>
              <w:pStyle w:val="TableofAuthorities"/>
              <w:rPr>
                <w:lang w:eastAsia="en-AU"/>
              </w:rPr>
            </w:pPr>
            <w:r w:rsidRPr="00817D35">
              <w:rPr>
                <w:lang w:eastAsia="en-AU"/>
              </w:rPr>
              <w:t>- Domestic</w:t>
            </w:r>
          </w:p>
        </w:tc>
        <w:tc>
          <w:tcPr>
            <w:tcW w:w="1500" w:type="dxa"/>
            <w:gridSpan w:val="3"/>
            <w:noWrap/>
            <w:hideMark/>
          </w:tcPr>
          <w:p w14:paraId="78039B8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$379.0 </w:t>
            </w:r>
          </w:p>
        </w:tc>
        <w:tc>
          <w:tcPr>
            <w:tcW w:w="1501" w:type="dxa"/>
            <w:gridSpan w:val="3"/>
            <w:noWrap/>
            <w:hideMark/>
          </w:tcPr>
          <w:p w14:paraId="3D73928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$899.0 </w:t>
            </w:r>
          </w:p>
        </w:tc>
        <w:tc>
          <w:tcPr>
            <w:tcW w:w="1500" w:type="dxa"/>
            <w:gridSpan w:val="3"/>
            <w:noWrap/>
            <w:hideMark/>
          </w:tcPr>
          <w:p w14:paraId="15C8BC9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$44.0 </w:t>
            </w:r>
          </w:p>
        </w:tc>
        <w:tc>
          <w:tcPr>
            <w:tcW w:w="1453" w:type="dxa"/>
            <w:gridSpan w:val="2"/>
            <w:noWrap/>
            <w:hideMark/>
          </w:tcPr>
          <w:p w14:paraId="50F73F7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$1,322.0 </w:t>
            </w:r>
          </w:p>
        </w:tc>
      </w:tr>
      <w:tr w:rsidR="00817D35" w:rsidRPr="00817D35" w14:paraId="120E29CF"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08665BFD" w14:textId="77777777" w:rsidR="00817D35" w:rsidRPr="00817D35" w:rsidRDefault="00817D35" w:rsidP="00966B51">
            <w:pPr>
              <w:pStyle w:val="TableofAuthorities"/>
              <w:rPr>
                <w:lang w:eastAsia="en-AU"/>
              </w:rPr>
            </w:pPr>
            <w:r w:rsidRPr="00817D35">
              <w:rPr>
                <w:lang w:eastAsia="en-AU"/>
              </w:rPr>
              <w:t>- Nursing</w:t>
            </w:r>
          </w:p>
        </w:tc>
        <w:tc>
          <w:tcPr>
            <w:tcW w:w="1500" w:type="dxa"/>
            <w:gridSpan w:val="3"/>
            <w:noWrap/>
            <w:hideMark/>
          </w:tcPr>
          <w:p w14:paraId="59E3AF1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$72.0 </w:t>
            </w:r>
          </w:p>
        </w:tc>
        <w:tc>
          <w:tcPr>
            <w:tcW w:w="1501" w:type="dxa"/>
            <w:gridSpan w:val="3"/>
            <w:noWrap/>
            <w:hideMark/>
          </w:tcPr>
          <w:p w14:paraId="0EC09EF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$49.0 </w:t>
            </w:r>
          </w:p>
        </w:tc>
        <w:tc>
          <w:tcPr>
            <w:tcW w:w="1500" w:type="dxa"/>
            <w:gridSpan w:val="3"/>
            <w:noWrap/>
            <w:hideMark/>
          </w:tcPr>
          <w:p w14:paraId="0E9FE1A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$5.0 </w:t>
            </w:r>
          </w:p>
        </w:tc>
        <w:tc>
          <w:tcPr>
            <w:tcW w:w="1453" w:type="dxa"/>
            <w:gridSpan w:val="2"/>
            <w:noWrap/>
            <w:hideMark/>
          </w:tcPr>
          <w:p w14:paraId="26A138D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$126.0 </w:t>
            </w:r>
          </w:p>
        </w:tc>
      </w:tr>
      <w:tr w:rsidR="00817D35" w:rsidRPr="00817D35" w14:paraId="7AA77CA9"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4466A94A" w14:textId="77777777" w:rsidR="00817D35" w:rsidRPr="00817D35" w:rsidRDefault="00817D35" w:rsidP="00966B51">
            <w:pPr>
              <w:pStyle w:val="TableofAuthorities"/>
              <w:rPr>
                <w:lang w:eastAsia="en-AU"/>
              </w:rPr>
            </w:pPr>
            <w:r w:rsidRPr="00817D35">
              <w:rPr>
                <w:lang w:eastAsia="en-AU"/>
              </w:rPr>
              <w:t>- Allied health</w:t>
            </w:r>
          </w:p>
        </w:tc>
        <w:tc>
          <w:tcPr>
            <w:tcW w:w="1500" w:type="dxa"/>
            <w:gridSpan w:val="3"/>
            <w:noWrap/>
            <w:hideMark/>
          </w:tcPr>
          <w:p w14:paraId="3179537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 </w:t>
            </w:r>
          </w:p>
        </w:tc>
        <w:tc>
          <w:tcPr>
            <w:tcW w:w="1501" w:type="dxa"/>
            <w:gridSpan w:val="3"/>
            <w:noWrap/>
            <w:hideMark/>
          </w:tcPr>
          <w:p w14:paraId="16842FC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$42.0 </w:t>
            </w:r>
          </w:p>
        </w:tc>
        <w:tc>
          <w:tcPr>
            <w:tcW w:w="1500" w:type="dxa"/>
            <w:gridSpan w:val="3"/>
            <w:noWrap/>
            <w:hideMark/>
          </w:tcPr>
          <w:p w14:paraId="6829076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453" w:type="dxa"/>
            <w:gridSpan w:val="2"/>
            <w:noWrap/>
            <w:hideMark/>
          </w:tcPr>
          <w:p w14:paraId="090E0A22"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$49.0 </w:t>
            </w:r>
          </w:p>
        </w:tc>
      </w:tr>
      <w:tr w:rsidR="00817D35" w:rsidRPr="00817D35" w14:paraId="6099A088"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06665616" w14:textId="77777777" w:rsidR="00817D35" w:rsidRPr="00817D35" w:rsidRDefault="00817D35" w:rsidP="00966B51">
            <w:pPr>
              <w:pStyle w:val="TableofAuthorities"/>
              <w:rPr>
                <w:lang w:eastAsia="en-AU"/>
              </w:rPr>
            </w:pPr>
            <w:r w:rsidRPr="00817D35">
              <w:rPr>
                <w:lang w:eastAsia="en-AU"/>
              </w:rPr>
              <w:t>- Other</w:t>
            </w:r>
          </w:p>
        </w:tc>
        <w:tc>
          <w:tcPr>
            <w:tcW w:w="1500" w:type="dxa"/>
            <w:gridSpan w:val="3"/>
            <w:noWrap/>
            <w:hideMark/>
          </w:tcPr>
          <w:p w14:paraId="1F0132A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$169.0 </w:t>
            </w:r>
          </w:p>
        </w:tc>
        <w:tc>
          <w:tcPr>
            <w:tcW w:w="1501" w:type="dxa"/>
            <w:gridSpan w:val="3"/>
            <w:noWrap/>
            <w:hideMark/>
          </w:tcPr>
          <w:p w14:paraId="0C0208E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$366.0 </w:t>
            </w:r>
          </w:p>
        </w:tc>
        <w:tc>
          <w:tcPr>
            <w:tcW w:w="1500" w:type="dxa"/>
            <w:gridSpan w:val="3"/>
            <w:noWrap/>
            <w:hideMark/>
          </w:tcPr>
          <w:p w14:paraId="451BD7D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$14.0 </w:t>
            </w:r>
          </w:p>
        </w:tc>
        <w:tc>
          <w:tcPr>
            <w:tcW w:w="1453" w:type="dxa"/>
            <w:gridSpan w:val="2"/>
            <w:noWrap/>
            <w:hideMark/>
          </w:tcPr>
          <w:p w14:paraId="583411B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$548.0 </w:t>
            </w:r>
          </w:p>
        </w:tc>
      </w:tr>
      <w:tr w:rsidR="00817D35" w:rsidRPr="00817D35" w14:paraId="1B14ED65" w14:textId="77777777" w:rsidTr="00EC6496">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shd w:val="clear" w:color="auto" w:fill="D8DBDB" w:themeFill="background2" w:themeFillShade="E6"/>
            <w:noWrap/>
            <w:hideMark/>
          </w:tcPr>
          <w:p w14:paraId="00B05A93" w14:textId="77777777" w:rsidR="00817D35" w:rsidRPr="00817D35" w:rsidRDefault="00817D35" w:rsidP="008653A1">
            <w:pPr>
              <w:pStyle w:val="TableParagraphbold"/>
              <w:rPr>
                <w:lang w:eastAsia="en-AU"/>
              </w:rPr>
            </w:pPr>
            <w:r w:rsidRPr="00817D35">
              <w:rPr>
                <w:lang w:eastAsia="en-AU"/>
              </w:rPr>
              <w:t xml:space="preserve">  ◦ Sub-contracted services</w:t>
            </w:r>
          </w:p>
        </w:tc>
        <w:tc>
          <w:tcPr>
            <w:tcW w:w="1500" w:type="dxa"/>
            <w:gridSpan w:val="3"/>
            <w:shd w:val="clear" w:color="auto" w:fill="D8DBDB" w:themeFill="background2" w:themeFillShade="E6"/>
            <w:noWrap/>
            <w:hideMark/>
          </w:tcPr>
          <w:p w14:paraId="088F72BA"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$350.0 </w:t>
            </w:r>
          </w:p>
        </w:tc>
        <w:tc>
          <w:tcPr>
            <w:tcW w:w="1501" w:type="dxa"/>
            <w:gridSpan w:val="3"/>
            <w:shd w:val="clear" w:color="auto" w:fill="D8DBDB" w:themeFill="background2" w:themeFillShade="E6"/>
            <w:noWrap/>
            <w:hideMark/>
          </w:tcPr>
          <w:p w14:paraId="0230FB54"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$599.0 </w:t>
            </w:r>
          </w:p>
        </w:tc>
        <w:tc>
          <w:tcPr>
            <w:tcW w:w="1500" w:type="dxa"/>
            <w:gridSpan w:val="3"/>
            <w:shd w:val="clear" w:color="auto" w:fill="D8DBDB" w:themeFill="background2" w:themeFillShade="E6"/>
            <w:noWrap/>
            <w:hideMark/>
          </w:tcPr>
          <w:p w14:paraId="2C267582"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$95.0 </w:t>
            </w:r>
          </w:p>
        </w:tc>
        <w:tc>
          <w:tcPr>
            <w:tcW w:w="1453" w:type="dxa"/>
            <w:gridSpan w:val="2"/>
            <w:shd w:val="clear" w:color="auto" w:fill="D8DBDB" w:themeFill="background2" w:themeFillShade="E6"/>
            <w:noWrap/>
            <w:hideMark/>
          </w:tcPr>
          <w:p w14:paraId="5A76CFF6"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$1,045.0 </w:t>
            </w:r>
          </w:p>
        </w:tc>
      </w:tr>
      <w:tr w:rsidR="00817D35" w:rsidRPr="00817D35" w14:paraId="0370BC89"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0CE3EF65" w14:textId="77777777" w:rsidR="00817D35" w:rsidRPr="00817D35" w:rsidRDefault="00817D35" w:rsidP="00966B51">
            <w:pPr>
              <w:pStyle w:val="TableofAuthorities"/>
              <w:rPr>
                <w:lang w:eastAsia="en-AU"/>
              </w:rPr>
            </w:pPr>
            <w:r w:rsidRPr="00817D35">
              <w:rPr>
                <w:lang w:eastAsia="en-AU"/>
              </w:rPr>
              <w:t>- Domestic</w:t>
            </w:r>
          </w:p>
        </w:tc>
        <w:tc>
          <w:tcPr>
            <w:tcW w:w="1500" w:type="dxa"/>
            <w:gridSpan w:val="3"/>
            <w:noWrap/>
            <w:hideMark/>
          </w:tcPr>
          <w:p w14:paraId="1F63B5E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$107.0 </w:t>
            </w:r>
          </w:p>
        </w:tc>
        <w:tc>
          <w:tcPr>
            <w:tcW w:w="1501" w:type="dxa"/>
            <w:gridSpan w:val="3"/>
            <w:noWrap/>
            <w:hideMark/>
          </w:tcPr>
          <w:p w14:paraId="4F46524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$159.0 </w:t>
            </w:r>
          </w:p>
        </w:tc>
        <w:tc>
          <w:tcPr>
            <w:tcW w:w="1500" w:type="dxa"/>
            <w:gridSpan w:val="3"/>
            <w:noWrap/>
            <w:hideMark/>
          </w:tcPr>
          <w:p w14:paraId="57D0700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$34.0 </w:t>
            </w:r>
          </w:p>
        </w:tc>
        <w:tc>
          <w:tcPr>
            <w:tcW w:w="1453" w:type="dxa"/>
            <w:gridSpan w:val="2"/>
            <w:noWrap/>
            <w:hideMark/>
          </w:tcPr>
          <w:p w14:paraId="726763E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$299.0 </w:t>
            </w:r>
          </w:p>
        </w:tc>
      </w:tr>
      <w:tr w:rsidR="00817D35" w:rsidRPr="00817D35" w14:paraId="55249C3D"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16FD93FC" w14:textId="77777777" w:rsidR="00817D35" w:rsidRPr="00817D35" w:rsidRDefault="00817D35" w:rsidP="00966B51">
            <w:pPr>
              <w:pStyle w:val="TableofAuthorities"/>
              <w:rPr>
                <w:lang w:eastAsia="en-AU"/>
              </w:rPr>
            </w:pPr>
            <w:r w:rsidRPr="00817D35">
              <w:rPr>
                <w:lang w:eastAsia="en-AU"/>
              </w:rPr>
              <w:t>- Nursing</w:t>
            </w:r>
          </w:p>
        </w:tc>
        <w:tc>
          <w:tcPr>
            <w:tcW w:w="1500" w:type="dxa"/>
            <w:gridSpan w:val="3"/>
            <w:noWrap/>
            <w:hideMark/>
          </w:tcPr>
          <w:p w14:paraId="1922F79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$11.0 </w:t>
            </w:r>
          </w:p>
        </w:tc>
        <w:tc>
          <w:tcPr>
            <w:tcW w:w="1501" w:type="dxa"/>
            <w:gridSpan w:val="3"/>
            <w:noWrap/>
            <w:hideMark/>
          </w:tcPr>
          <w:p w14:paraId="6D8091C0"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$19.0 </w:t>
            </w:r>
          </w:p>
        </w:tc>
        <w:tc>
          <w:tcPr>
            <w:tcW w:w="1500" w:type="dxa"/>
            <w:gridSpan w:val="3"/>
            <w:noWrap/>
            <w:hideMark/>
          </w:tcPr>
          <w:p w14:paraId="78645A4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453" w:type="dxa"/>
            <w:gridSpan w:val="2"/>
            <w:noWrap/>
            <w:hideMark/>
          </w:tcPr>
          <w:p w14:paraId="3CE9170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$33.0 </w:t>
            </w:r>
          </w:p>
        </w:tc>
      </w:tr>
      <w:tr w:rsidR="00817D35" w:rsidRPr="00817D35" w14:paraId="1C6C707D"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788ABB4E" w14:textId="77777777" w:rsidR="00817D35" w:rsidRPr="00817D35" w:rsidRDefault="00817D35" w:rsidP="00966B51">
            <w:pPr>
              <w:pStyle w:val="TableofAuthorities"/>
              <w:rPr>
                <w:lang w:eastAsia="en-AU"/>
              </w:rPr>
            </w:pPr>
            <w:r w:rsidRPr="00817D35">
              <w:rPr>
                <w:lang w:eastAsia="en-AU"/>
              </w:rPr>
              <w:t>- Allied health</w:t>
            </w:r>
          </w:p>
        </w:tc>
        <w:tc>
          <w:tcPr>
            <w:tcW w:w="1500" w:type="dxa"/>
            <w:gridSpan w:val="3"/>
            <w:noWrap/>
            <w:hideMark/>
          </w:tcPr>
          <w:p w14:paraId="7D4095C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$42.0 </w:t>
            </w:r>
          </w:p>
        </w:tc>
        <w:tc>
          <w:tcPr>
            <w:tcW w:w="1501" w:type="dxa"/>
            <w:gridSpan w:val="3"/>
            <w:noWrap/>
            <w:hideMark/>
          </w:tcPr>
          <w:p w14:paraId="31BF93B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$77.0 </w:t>
            </w:r>
          </w:p>
        </w:tc>
        <w:tc>
          <w:tcPr>
            <w:tcW w:w="1500" w:type="dxa"/>
            <w:gridSpan w:val="3"/>
            <w:noWrap/>
            <w:hideMark/>
          </w:tcPr>
          <w:p w14:paraId="1D91CC6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$8.0 </w:t>
            </w:r>
          </w:p>
        </w:tc>
        <w:tc>
          <w:tcPr>
            <w:tcW w:w="1453" w:type="dxa"/>
            <w:gridSpan w:val="2"/>
            <w:noWrap/>
            <w:hideMark/>
          </w:tcPr>
          <w:p w14:paraId="7D5AB8B2"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$127.0 </w:t>
            </w:r>
          </w:p>
        </w:tc>
      </w:tr>
      <w:tr w:rsidR="00817D35" w:rsidRPr="00817D35" w14:paraId="10107AD3"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07242D93" w14:textId="77777777" w:rsidR="00817D35" w:rsidRPr="00817D35" w:rsidRDefault="00817D35" w:rsidP="00966B51">
            <w:pPr>
              <w:pStyle w:val="TableofAuthorities"/>
              <w:rPr>
                <w:lang w:eastAsia="en-AU"/>
              </w:rPr>
            </w:pPr>
            <w:r w:rsidRPr="00817D35">
              <w:rPr>
                <w:lang w:eastAsia="en-AU"/>
              </w:rPr>
              <w:t>- Other</w:t>
            </w:r>
          </w:p>
        </w:tc>
        <w:tc>
          <w:tcPr>
            <w:tcW w:w="1500" w:type="dxa"/>
            <w:gridSpan w:val="3"/>
            <w:noWrap/>
            <w:hideMark/>
          </w:tcPr>
          <w:p w14:paraId="11F522C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$191.0 </w:t>
            </w:r>
          </w:p>
        </w:tc>
        <w:tc>
          <w:tcPr>
            <w:tcW w:w="1501" w:type="dxa"/>
            <w:gridSpan w:val="3"/>
            <w:noWrap/>
            <w:hideMark/>
          </w:tcPr>
          <w:p w14:paraId="044476A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$345.0 </w:t>
            </w:r>
          </w:p>
        </w:tc>
        <w:tc>
          <w:tcPr>
            <w:tcW w:w="1500" w:type="dxa"/>
            <w:gridSpan w:val="3"/>
            <w:noWrap/>
            <w:hideMark/>
          </w:tcPr>
          <w:p w14:paraId="518995C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$50.0 </w:t>
            </w:r>
          </w:p>
        </w:tc>
        <w:tc>
          <w:tcPr>
            <w:tcW w:w="1453" w:type="dxa"/>
            <w:gridSpan w:val="2"/>
            <w:noWrap/>
            <w:hideMark/>
          </w:tcPr>
          <w:p w14:paraId="2643BF59"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$586.0 </w:t>
            </w:r>
          </w:p>
        </w:tc>
      </w:tr>
      <w:tr w:rsidR="00817D35" w:rsidRPr="00817D35" w14:paraId="79893557"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63449AAF" w14:textId="77777777" w:rsidR="00817D35" w:rsidRPr="00817D35" w:rsidRDefault="00817D35" w:rsidP="00966B51">
            <w:pPr>
              <w:pStyle w:val="TableofAuthorities"/>
              <w:rPr>
                <w:lang w:eastAsia="en-AU"/>
              </w:rPr>
            </w:pPr>
            <w:r w:rsidRPr="00817D35">
              <w:rPr>
                <w:lang w:eastAsia="en-AU"/>
              </w:rPr>
              <w:t xml:space="preserve">  ◦ Care management service fees</w:t>
            </w:r>
          </w:p>
        </w:tc>
        <w:tc>
          <w:tcPr>
            <w:tcW w:w="1500" w:type="dxa"/>
            <w:gridSpan w:val="3"/>
            <w:noWrap/>
            <w:hideMark/>
          </w:tcPr>
          <w:p w14:paraId="59EF27F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$184.0 </w:t>
            </w:r>
          </w:p>
        </w:tc>
        <w:tc>
          <w:tcPr>
            <w:tcW w:w="1501" w:type="dxa"/>
            <w:gridSpan w:val="3"/>
            <w:noWrap/>
            <w:hideMark/>
          </w:tcPr>
          <w:p w14:paraId="46DCA98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$539.0 </w:t>
            </w:r>
          </w:p>
        </w:tc>
        <w:tc>
          <w:tcPr>
            <w:tcW w:w="1500" w:type="dxa"/>
            <w:gridSpan w:val="3"/>
            <w:noWrap/>
            <w:hideMark/>
          </w:tcPr>
          <w:p w14:paraId="1A61BEB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$52.0 </w:t>
            </w:r>
          </w:p>
        </w:tc>
        <w:tc>
          <w:tcPr>
            <w:tcW w:w="1453" w:type="dxa"/>
            <w:gridSpan w:val="2"/>
            <w:noWrap/>
            <w:hideMark/>
          </w:tcPr>
          <w:p w14:paraId="32DD942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$775.0 </w:t>
            </w:r>
          </w:p>
        </w:tc>
      </w:tr>
      <w:tr w:rsidR="00817D35" w:rsidRPr="00817D35" w14:paraId="3CD84084"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1FD04C02" w14:textId="77777777" w:rsidR="00817D35" w:rsidRPr="00817D35" w:rsidRDefault="00817D35" w:rsidP="00966B51">
            <w:pPr>
              <w:pStyle w:val="TableofAuthorities"/>
              <w:rPr>
                <w:lang w:eastAsia="en-AU"/>
              </w:rPr>
            </w:pPr>
            <w:r w:rsidRPr="00817D35">
              <w:rPr>
                <w:lang w:eastAsia="en-AU"/>
              </w:rPr>
              <w:t xml:space="preserve">  ◦ Package management service fees</w:t>
            </w:r>
          </w:p>
        </w:tc>
        <w:tc>
          <w:tcPr>
            <w:tcW w:w="1500" w:type="dxa"/>
            <w:gridSpan w:val="3"/>
            <w:noWrap/>
            <w:hideMark/>
          </w:tcPr>
          <w:p w14:paraId="1500B6E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$161.0 </w:t>
            </w:r>
          </w:p>
        </w:tc>
        <w:tc>
          <w:tcPr>
            <w:tcW w:w="1501" w:type="dxa"/>
            <w:gridSpan w:val="3"/>
            <w:noWrap/>
            <w:hideMark/>
          </w:tcPr>
          <w:p w14:paraId="57749A8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$339.0 </w:t>
            </w:r>
          </w:p>
        </w:tc>
        <w:tc>
          <w:tcPr>
            <w:tcW w:w="1500" w:type="dxa"/>
            <w:gridSpan w:val="3"/>
            <w:noWrap/>
            <w:hideMark/>
          </w:tcPr>
          <w:p w14:paraId="2F58D6C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$42.0 </w:t>
            </w:r>
          </w:p>
        </w:tc>
        <w:tc>
          <w:tcPr>
            <w:tcW w:w="1453" w:type="dxa"/>
            <w:gridSpan w:val="2"/>
            <w:noWrap/>
            <w:hideMark/>
          </w:tcPr>
          <w:p w14:paraId="7E3470C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$542.0 </w:t>
            </w:r>
          </w:p>
        </w:tc>
      </w:tr>
      <w:tr w:rsidR="00817D35" w:rsidRPr="00817D35" w14:paraId="331D36A7"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4F2FCBEA" w14:textId="77777777" w:rsidR="00817D35" w:rsidRPr="00817D35" w:rsidRDefault="00817D35" w:rsidP="00966B51">
            <w:pPr>
              <w:pStyle w:val="TableofAuthorities"/>
              <w:rPr>
                <w:lang w:eastAsia="en-AU"/>
              </w:rPr>
            </w:pPr>
            <w:r w:rsidRPr="00817D35">
              <w:rPr>
                <w:lang w:eastAsia="en-AU"/>
              </w:rPr>
              <w:t xml:space="preserve">  ◦ Exit amounts deducted</w:t>
            </w:r>
          </w:p>
        </w:tc>
        <w:tc>
          <w:tcPr>
            <w:tcW w:w="1500" w:type="dxa"/>
            <w:gridSpan w:val="3"/>
            <w:noWrap/>
            <w:hideMark/>
          </w:tcPr>
          <w:p w14:paraId="77AEA02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501" w:type="dxa"/>
            <w:gridSpan w:val="3"/>
            <w:noWrap/>
            <w:hideMark/>
          </w:tcPr>
          <w:p w14:paraId="0143EC3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500" w:type="dxa"/>
            <w:gridSpan w:val="3"/>
            <w:noWrap/>
            <w:hideMark/>
          </w:tcPr>
          <w:p w14:paraId="25C8C16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453" w:type="dxa"/>
            <w:gridSpan w:val="2"/>
            <w:noWrap/>
            <w:hideMark/>
          </w:tcPr>
          <w:p w14:paraId="21B18A8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 </w:t>
            </w:r>
          </w:p>
        </w:tc>
      </w:tr>
      <w:tr w:rsidR="00817D35" w:rsidRPr="00817D35" w14:paraId="19389FED"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02C66453" w14:textId="77777777" w:rsidR="00817D35" w:rsidRPr="00817D35" w:rsidRDefault="00817D35" w:rsidP="00966B51">
            <w:pPr>
              <w:pStyle w:val="TableofAuthorities"/>
              <w:rPr>
                <w:lang w:eastAsia="en-AU"/>
              </w:rPr>
            </w:pPr>
            <w:r w:rsidRPr="00817D35">
              <w:rPr>
                <w:lang w:eastAsia="en-AU"/>
              </w:rPr>
              <w:t xml:space="preserve">  ◦ Handling fee</w:t>
            </w:r>
          </w:p>
        </w:tc>
        <w:tc>
          <w:tcPr>
            <w:tcW w:w="1500" w:type="dxa"/>
            <w:gridSpan w:val="3"/>
            <w:noWrap/>
            <w:hideMark/>
          </w:tcPr>
          <w:p w14:paraId="1003701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 </w:t>
            </w:r>
          </w:p>
        </w:tc>
        <w:tc>
          <w:tcPr>
            <w:tcW w:w="1501" w:type="dxa"/>
            <w:gridSpan w:val="3"/>
            <w:noWrap/>
            <w:hideMark/>
          </w:tcPr>
          <w:p w14:paraId="6EF04A2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$17.0 </w:t>
            </w:r>
          </w:p>
        </w:tc>
        <w:tc>
          <w:tcPr>
            <w:tcW w:w="1500" w:type="dxa"/>
            <w:gridSpan w:val="3"/>
            <w:noWrap/>
            <w:hideMark/>
          </w:tcPr>
          <w:p w14:paraId="1359DC4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 </w:t>
            </w:r>
          </w:p>
        </w:tc>
        <w:tc>
          <w:tcPr>
            <w:tcW w:w="1453" w:type="dxa"/>
            <w:gridSpan w:val="2"/>
            <w:noWrap/>
            <w:hideMark/>
          </w:tcPr>
          <w:p w14:paraId="796455B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$23.0 </w:t>
            </w:r>
          </w:p>
        </w:tc>
      </w:tr>
      <w:tr w:rsidR="00817D35" w:rsidRPr="00817D35" w14:paraId="107C2827"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2C5C1027" w14:textId="77777777" w:rsidR="00817D35" w:rsidRPr="00817D35" w:rsidRDefault="00817D35" w:rsidP="00966B51">
            <w:pPr>
              <w:pStyle w:val="TableofAuthorities"/>
              <w:rPr>
                <w:lang w:eastAsia="en-AU"/>
              </w:rPr>
            </w:pPr>
            <w:r w:rsidRPr="00817D35">
              <w:rPr>
                <w:lang w:eastAsia="en-AU"/>
              </w:rPr>
              <w:t xml:space="preserve">  ◦ COVID-19 funding</w:t>
            </w:r>
          </w:p>
        </w:tc>
        <w:tc>
          <w:tcPr>
            <w:tcW w:w="1500" w:type="dxa"/>
            <w:gridSpan w:val="3"/>
            <w:noWrap/>
            <w:hideMark/>
          </w:tcPr>
          <w:p w14:paraId="62E485D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$7.0 </w:t>
            </w:r>
          </w:p>
        </w:tc>
        <w:tc>
          <w:tcPr>
            <w:tcW w:w="1501" w:type="dxa"/>
            <w:gridSpan w:val="3"/>
            <w:noWrap/>
            <w:hideMark/>
          </w:tcPr>
          <w:p w14:paraId="73EEF1CD"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$11.0 </w:t>
            </w:r>
          </w:p>
        </w:tc>
        <w:tc>
          <w:tcPr>
            <w:tcW w:w="1500" w:type="dxa"/>
            <w:gridSpan w:val="3"/>
            <w:noWrap/>
            <w:hideMark/>
          </w:tcPr>
          <w:p w14:paraId="30BF32D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453" w:type="dxa"/>
            <w:gridSpan w:val="2"/>
            <w:noWrap/>
            <w:hideMark/>
          </w:tcPr>
          <w:p w14:paraId="320F4FF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$18.0 </w:t>
            </w:r>
          </w:p>
        </w:tc>
      </w:tr>
      <w:tr w:rsidR="00817D35" w:rsidRPr="00817D35" w14:paraId="422F3EF8"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061D1D17" w14:textId="77777777" w:rsidR="00817D35" w:rsidRPr="00817D35" w:rsidRDefault="00817D35" w:rsidP="00966B51">
            <w:pPr>
              <w:pStyle w:val="TableofAuthorities"/>
              <w:rPr>
                <w:lang w:eastAsia="en-AU"/>
              </w:rPr>
            </w:pPr>
            <w:r w:rsidRPr="00817D35">
              <w:rPr>
                <w:lang w:eastAsia="en-AU"/>
              </w:rPr>
              <w:t xml:space="preserve">  ◦ Other income</w:t>
            </w:r>
          </w:p>
        </w:tc>
        <w:tc>
          <w:tcPr>
            <w:tcW w:w="1500" w:type="dxa"/>
            <w:gridSpan w:val="3"/>
            <w:noWrap/>
            <w:hideMark/>
          </w:tcPr>
          <w:p w14:paraId="25F1A252"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$191.0 </w:t>
            </w:r>
          </w:p>
        </w:tc>
        <w:tc>
          <w:tcPr>
            <w:tcW w:w="1501" w:type="dxa"/>
            <w:gridSpan w:val="3"/>
            <w:noWrap/>
            <w:hideMark/>
          </w:tcPr>
          <w:p w14:paraId="41ECE8A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$46.0 </w:t>
            </w:r>
          </w:p>
        </w:tc>
        <w:tc>
          <w:tcPr>
            <w:tcW w:w="1500" w:type="dxa"/>
            <w:gridSpan w:val="3"/>
            <w:noWrap/>
            <w:hideMark/>
          </w:tcPr>
          <w:p w14:paraId="38A5FF5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453" w:type="dxa"/>
            <w:gridSpan w:val="2"/>
            <w:noWrap/>
            <w:hideMark/>
          </w:tcPr>
          <w:p w14:paraId="5342BBE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$238.0 </w:t>
            </w:r>
          </w:p>
        </w:tc>
      </w:tr>
      <w:tr w:rsidR="00817D35" w:rsidRPr="00817D35" w14:paraId="54B11F2C" w14:textId="77777777" w:rsidTr="00EC6496">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shd w:val="clear" w:color="auto" w:fill="D8DBDB" w:themeFill="background2" w:themeFillShade="E6"/>
            <w:noWrap/>
            <w:hideMark/>
          </w:tcPr>
          <w:p w14:paraId="298F96D2" w14:textId="77777777" w:rsidR="00817D35" w:rsidRPr="00817D35" w:rsidRDefault="00817D35" w:rsidP="008653A1">
            <w:pPr>
              <w:pStyle w:val="TableParagraphbold"/>
              <w:rPr>
                <w:lang w:eastAsia="en-AU"/>
              </w:rPr>
            </w:pPr>
            <w:r w:rsidRPr="00817D35">
              <w:rPr>
                <w:lang w:eastAsia="en-AU"/>
              </w:rPr>
              <w:t>Total income:</w:t>
            </w:r>
          </w:p>
        </w:tc>
        <w:tc>
          <w:tcPr>
            <w:tcW w:w="1500" w:type="dxa"/>
            <w:gridSpan w:val="3"/>
            <w:shd w:val="clear" w:color="auto" w:fill="D8DBDB" w:themeFill="background2" w:themeFillShade="E6"/>
            <w:noWrap/>
            <w:hideMark/>
          </w:tcPr>
          <w:p w14:paraId="0499D142"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$1,521.0 </w:t>
            </w:r>
          </w:p>
        </w:tc>
        <w:tc>
          <w:tcPr>
            <w:tcW w:w="1501" w:type="dxa"/>
            <w:gridSpan w:val="3"/>
            <w:shd w:val="clear" w:color="auto" w:fill="D8DBDB" w:themeFill="background2" w:themeFillShade="E6"/>
            <w:noWrap/>
            <w:hideMark/>
          </w:tcPr>
          <w:p w14:paraId="1BFD71B9"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$2,911.0 </w:t>
            </w:r>
          </w:p>
        </w:tc>
        <w:tc>
          <w:tcPr>
            <w:tcW w:w="1500" w:type="dxa"/>
            <w:gridSpan w:val="3"/>
            <w:shd w:val="clear" w:color="auto" w:fill="D8DBDB" w:themeFill="background2" w:themeFillShade="E6"/>
            <w:noWrap/>
            <w:hideMark/>
          </w:tcPr>
          <w:p w14:paraId="65008824"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$258.0 </w:t>
            </w:r>
          </w:p>
        </w:tc>
        <w:tc>
          <w:tcPr>
            <w:tcW w:w="1453" w:type="dxa"/>
            <w:gridSpan w:val="2"/>
            <w:shd w:val="clear" w:color="auto" w:fill="D8DBDB" w:themeFill="background2" w:themeFillShade="E6"/>
            <w:noWrap/>
            <w:hideMark/>
          </w:tcPr>
          <w:p w14:paraId="6073C749"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$4,690.0 </w:t>
            </w:r>
          </w:p>
        </w:tc>
      </w:tr>
      <w:tr w:rsidR="00817D35" w:rsidRPr="00817D35" w14:paraId="36E8F235" w14:textId="77777777" w:rsidTr="00EC6496">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shd w:val="clear" w:color="auto" w:fill="D8DBDB" w:themeFill="background2" w:themeFillShade="E6"/>
            <w:noWrap/>
            <w:hideMark/>
          </w:tcPr>
          <w:p w14:paraId="2A05CB27" w14:textId="77777777" w:rsidR="00817D35" w:rsidRPr="00817D35" w:rsidRDefault="00817D35" w:rsidP="00966B51">
            <w:pPr>
              <w:pStyle w:val="TableParagraphbold"/>
              <w:rPr>
                <w:lang w:eastAsia="en-AU"/>
              </w:rPr>
            </w:pPr>
            <w:r w:rsidRPr="00817D35">
              <w:rPr>
                <w:lang w:eastAsia="en-AU"/>
              </w:rPr>
              <w:t>Expenses</w:t>
            </w:r>
          </w:p>
        </w:tc>
        <w:tc>
          <w:tcPr>
            <w:tcW w:w="1500" w:type="dxa"/>
            <w:gridSpan w:val="3"/>
            <w:shd w:val="clear" w:color="auto" w:fill="D8DBDB" w:themeFill="background2" w:themeFillShade="E6"/>
            <w:noWrap/>
            <w:hideMark/>
          </w:tcPr>
          <w:p w14:paraId="3B4F6DC9"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1" w:type="dxa"/>
            <w:gridSpan w:val="3"/>
            <w:shd w:val="clear" w:color="auto" w:fill="D8DBDB" w:themeFill="background2" w:themeFillShade="E6"/>
            <w:noWrap/>
            <w:hideMark/>
          </w:tcPr>
          <w:p w14:paraId="713390F5"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0" w:type="dxa"/>
            <w:gridSpan w:val="3"/>
            <w:shd w:val="clear" w:color="auto" w:fill="D8DBDB" w:themeFill="background2" w:themeFillShade="E6"/>
            <w:noWrap/>
            <w:hideMark/>
          </w:tcPr>
          <w:p w14:paraId="624CF825"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453" w:type="dxa"/>
            <w:gridSpan w:val="2"/>
            <w:shd w:val="clear" w:color="auto" w:fill="D8DBDB" w:themeFill="background2" w:themeFillShade="E6"/>
            <w:noWrap/>
            <w:hideMark/>
          </w:tcPr>
          <w:p w14:paraId="3DD88812"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r>
      <w:tr w:rsidR="00817D35" w:rsidRPr="00817D35" w14:paraId="2032B0FC" w14:textId="77777777" w:rsidTr="00EC6496">
        <w:trPr>
          <w:gridAfter w:val="1"/>
          <w:wAfter w:w="617" w:type="dxa"/>
          <w:trHeight w:val="300"/>
        </w:trPr>
        <w:tc>
          <w:tcPr>
            <w:cnfStyle w:val="001000000000" w:firstRow="0" w:lastRow="0" w:firstColumn="1" w:lastColumn="0" w:oddVBand="0" w:evenVBand="0" w:oddHBand="0" w:evenHBand="0" w:firstRowFirstColumn="0" w:firstRowLastColumn="0" w:lastRowFirstColumn="0" w:lastRowLastColumn="0"/>
            <w:tcW w:w="3969" w:type="dxa"/>
            <w:gridSpan w:val="3"/>
            <w:shd w:val="clear" w:color="auto" w:fill="D8DBDB" w:themeFill="background2" w:themeFillShade="E6"/>
            <w:noWrap/>
            <w:hideMark/>
          </w:tcPr>
          <w:p w14:paraId="21A0A2AA" w14:textId="77777777" w:rsidR="00817D35" w:rsidRPr="00817D35" w:rsidRDefault="00817D35" w:rsidP="00966B51">
            <w:pPr>
              <w:pStyle w:val="TableParagraphbold"/>
              <w:rPr>
                <w:lang w:eastAsia="en-AU"/>
              </w:rPr>
            </w:pPr>
            <w:r w:rsidRPr="00817D35">
              <w:rPr>
                <w:lang w:eastAsia="en-AU"/>
              </w:rPr>
              <w:t>Internal direct service costs</w:t>
            </w:r>
          </w:p>
        </w:tc>
        <w:tc>
          <w:tcPr>
            <w:tcW w:w="1500" w:type="dxa"/>
            <w:gridSpan w:val="3"/>
            <w:shd w:val="clear" w:color="auto" w:fill="D8DBDB" w:themeFill="background2" w:themeFillShade="E6"/>
            <w:noWrap/>
            <w:hideMark/>
          </w:tcPr>
          <w:p w14:paraId="2A8D0B35"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1" w:type="dxa"/>
            <w:gridSpan w:val="3"/>
            <w:shd w:val="clear" w:color="auto" w:fill="D8DBDB" w:themeFill="background2" w:themeFillShade="E6"/>
            <w:noWrap/>
            <w:hideMark/>
          </w:tcPr>
          <w:p w14:paraId="7FF3B39C"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0" w:type="dxa"/>
            <w:gridSpan w:val="3"/>
            <w:shd w:val="clear" w:color="auto" w:fill="D8DBDB" w:themeFill="background2" w:themeFillShade="E6"/>
            <w:noWrap/>
            <w:hideMark/>
          </w:tcPr>
          <w:p w14:paraId="433E7330"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453" w:type="dxa"/>
            <w:gridSpan w:val="2"/>
            <w:shd w:val="clear" w:color="auto" w:fill="D8DBDB" w:themeFill="background2" w:themeFillShade="E6"/>
            <w:noWrap/>
            <w:hideMark/>
          </w:tcPr>
          <w:p w14:paraId="4DD5DAAB"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r>
      <w:tr w:rsidR="00817D35" w:rsidRPr="00817D35" w14:paraId="00006783" w14:textId="77777777" w:rsidTr="00EC6496">
        <w:trPr>
          <w:gridAfter w:val="1"/>
          <w:wAfter w:w="617" w:type="dxa"/>
          <w:trHeight w:val="300"/>
        </w:trPr>
        <w:tc>
          <w:tcPr>
            <w:cnfStyle w:val="001000000000" w:firstRow="0" w:lastRow="0" w:firstColumn="1" w:lastColumn="0" w:oddVBand="0" w:evenVBand="0" w:oddHBand="0" w:evenHBand="0" w:firstRowFirstColumn="0" w:firstRowLastColumn="0" w:lastRowFirstColumn="0" w:lastRowLastColumn="0"/>
            <w:tcW w:w="3969" w:type="dxa"/>
            <w:gridSpan w:val="3"/>
            <w:shd w:val="clear" w:color="auto" w:fill="D8DBDB" w:themeFill="background2" w:themeFillShade="E6"/>
            <w:noWrap/>
            <w:hideMark/>
          </w:tcPr>
          <w:p w14:paraId="53BC6560" w14:textId="77777777" w:rsidR="00817D35" w:rsidRPr="00817D35" w:rsidRDefault="00817D35" w:rsidP="00966B51">
            <w:pPr>
              <w:pStyle w:val="TableParagraphbold"/>
              <w:rPr>
                <w:lang w:eastAsia="en-AU"/>
              </w:rPr>
            </w:pPr>
            <w:proofErr w:type="spellStart"/>
            <w:r w:rsidRPr="00817D35">
              <w:rPr>
                <w:lang w:eastAsia="en-AU"/>
              </w:rPr>
              <w:t>Labour</w:t>
            </w:r>
            <w:proofErr w:type="spellEnd"/>
            <w:r w:rsidRPr="00817D35">
              <w:rPr>
                <w:lang w:eastAsia="en-AU"/>
              </w:rPr>
              <w:t xml:space="preserve"> cost - internal direct Care - employee</w:t>
            </w:r>
          </w:p>
        </w:tc>
        <w:tc>
          <w:tcPr>
            <w:tcW w:w="1500" w:type="dxa"/>
            <w:gridSpan w:val="3"/>
            <w:shd w:val="clear" w:color="auto" w:fill="D8DBDB" w:themeFill="background2" w:themeFillShade="E6"/>
            <w:noWrap/>
            <w:hideMark/>
          </w:tcPr>
          <w:p w14:paraId="7D89E5B1"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1" w:type="dxa"/>
            <w:gridSpan w:val="3"/>
            <w:shd w:val="clear" w:color="auto" w:fill="D8DBDB" w:themeFill="background2" w:themeFillShade="E6"/>
            <w:noWrap/>
            <w:hideMark/>
          </w:tcPr>
          <w:p w14:paraId="2E3DC4FE"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0" w:type="dxa"/>
            <w:gridSpan w:val="3"/>
            <w:shd w:val="clear" w:color="auto" w:fill="D8DBDB" w:themeFill="background2" w:themeFillShade="E6"/>
            <w:noWrap/>
            <w:hideMark/>
          </w:tcPr>
          <w:p w14:paraId="12BB0A56"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453" w:type="dxa"/>
            <w:gridSpan w:val="2"/>
            <w:shd w:val="clear" w:color="auto" w:fill="D8DBDB" w:themeFill="background2" w:themeFillShade="E6"/>
            <w:noWrap/>
            <w:hideMark/>
          </w:tcPr>
          <w:p w14:paraId="2C88325A" w14:textId="77777777" w:rsidR="00817D35" w:rsidRPr="00817D35" w:rsidRDefault="00817D35" w:rsidP="00966B5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r>
      <w:tr w:rsidR="00817D35" w:rsidRPr="00817D35" w14:paraId="5142D758" w14:textId="77777777" w:rsidTr="002809E5">
        <w:trPr>
          <w:gridAfter w:val="1"/>
          <w:wAfter w:w="617" w:type="dxa"/>
          <w:trHeight w:val="30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2A8FC4A3" w14:textId="77777777" w:rsidR="00817D35" w:rsidRPr="00817D35" w:rsidRDefault="00817D35" w:rsidP="00966B51">
            <w:pPr>
              <w:pStyle w:val="TableofAuthorities"/>
              <w:rPr>
                <w:lang w:eastAsia="en-AU"/>
              </w:rPr>
            </w:pPr>
            <w:r w:rsidRPr="00817D35">
              <w:rPr>
                <w:lang w:eastAsia="en-AU"/>
              </w:rPr>
              <w:t>◦ Registered nurses</w:t>
            </w:r>
          </w:p>
        </w:tc>
        <w:tc>
          <w:tcPr>
            <w:tcW w:w="1500" w:type="dxa"/>
            <w:gridSpan w:val="3"/>
            <w:noWrap/>
            <w:hideMark/>
          </w:tcPr>
          <w:p w14:paraId="687775F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$19.0 </w:t>
            </w:r>
          </w:p>
        </w:tc>
        <w:tc>
          <w:tcPr>
            <w:tcW w:w="1501" w:type="dxa"/>
            <w:gridSpan w:val="3"/>
            <w:noWrap/>
            <w:hideMark/>
          </w:tcPr>
          <w:p w14:paraId="49F5305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$47.0 </w:t>
            </w:r>
          </w:p>
        </w:tc>
        <w:tc>
          <w:tcPr>
            <w:tcW w:w="1500" w:type="dxa"/>
            <w:gridSpan w:val="3"/>
            <w:noWrap/>
            <w:hideMark/>
          </w:tcPr>
          <w:p w14:paraId="5E4C488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453" w:type="dxa"/>
            <w:gridSpan w:val="2"/>
            <w:noWrap/>
            <w:hideMark/>
          </w:tcPr>
          <w:p w14:paraId="2F8660F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$69.0 </w:t>
            </w:r>
          </w:p>
        </w:tc>
      </w:tr>
      <w:tr w:rsidR="00817D35" w:rsidRPr="00817D35" w14:paraId="0E1A60A4"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0C4C2F3A" w14:textId="77777777" w:rsidR="00817D35" w:rsidRPr="00817D35" w:rsidRDefault="00817D35" w:rsidP="00966B51">
            <w:pPr>
              <w:pStyle w:val="TableofAuthorities"/>
              <w:rPr>
                <w:lang w:eastAsia="en-AU"/>
              </w:rPr>
            </w:pPr>
            <w:r w:rsidRPr="00817D35">
              <w:rPr>
                <w:lang w:eastAsia="en-AU"/>
              </w:rPr>
              <w:t xml:space="preserve">◦ Enrolled and licensed nurses (registered with the NMBA) </w:t>
            </w:r>
          </w:p>
        </w:tc>
        <w:tc>
          <w:tcPr>
            <w:tcW w:w="1500" w:type="dxa"/>
            <w:gridSpan w:val="3"/>
            <w:noWrap/>
            <w:hideMark/>
          </w:tcPr>
          <w:p w14:paraId="61BC78E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$6.0 </w:t>
            </w:r>
          </w:p>
        </w:tc>
        <w:tc>
          <w:tcPr>
            <w:tcW w:w="1501" w:type="dxa"/>
            <w:gridSpan w:val="3"/>
            <w:noWrap/>
            <w:hideMark/>
          </w:tcPr>
          <w:p w14:paraId="1676C53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$10.0 </w:t>
            </w:r>
          </w:p>
        </w:tc>
        <w:tc>
          <w:tcPr>
            <w:tcW w:w="1500" w:type="dxa"/>
            <w:gridSpan w:val="3"/>
            <w:noWrap/>
            <w:hideMark/>
          </w:tcPr>
          <w:p w14:paraId="657837D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453" w:type="dxa"/>
            <w:gridSpan w:val="2"/>
            <w:noWrap/>
            <w:hideMark/>
          </w:tcPr>
          <w:p w14:paraId="500294F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$16.0 </w:t>
            </w:r>
          </w:p>
        </w:tc>
      </w:tr>
      <w:tr w:rsidR="00817D35" w:rsidRPr="00817D35" w14:paraId="292687C2"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24FA25EF" w14:textId="77777777" w:rsidR="00817D35" w:rsidRPr="00817D35" w:rsidRDefault="00817D35" w:rsidP="00966B51">
            <w:pPr>
              <w:pStyle w:val="TableofAuthorities"/>
              <w:rPr>
                <w:lang w:eastAsia="en-AU"/>
              </w:rPr>
            </w:pPr>
            <w:r w:rsidRPr="00817D35">
              <w:rPr>
                <w:lang w:eastAsia="en-AU"/>
              </w:rPr>
              <w:t>◦ Personal care staff / other unlicensed nurses</w:t>
            </w:r>
          </w:p>
        </w:tc>
        <w:tc>
          <w:tcPr>
            <w:tcW w:w="1500" w:type="dxa"/>
            <w:gridSpan w:val="3"/>
            <w:noWrap/>
            <w:hideMark/>
          </w:tcPr>
          <w:p w14:paraId="2B8DF7B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$341.0 </w:t>
            </w:r>
          </w:p>
        </w:tc>
        <w:tc>
          <w:tcPr>
            <w:tcW w:w="1501" w:type="dxa"/>
            <w:gridSpan w:val="3"/>
            <w:noWrap/>
            <w:hideMark/>
          </w:tcPr>
          <w:p w14:paraId="0064588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$654.0 </w:t>
            </w:r>
          </w:p>
        </w:tc>
        <w:tc>
          <w:tcPr>
            <w:tcW w:w="1500" w:type="dxa"/>
            <w:gridSpan w:val="3"/>
            <w:noWrap/>
            <w:hideMark/>
          </w:tcPr>
          <w:p w14:paraId="24A43BD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$34.0 </w:t>
            </w:r>
          </w:p>
        </w:tc>
        <w:tc>
          <w:tcPr>
            <w:tcW w:w="1453" w:type="dxa"/>
            <w:gridSpan w:val="2"/>
            <w:noWrap/>
            <w:hideMark/>
          </w:tcPr>
          <w:p w14:paraId="4B98349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$1,028.0 </w:t>
            </w:r>
          </w:p>
        </w:tc>
      </w:tr>
      <w:tr w:rsidR="00817D35" w:rsidRPr="00817D35" w14:paraId="60683C45"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4632DD77" w14:textId="77777777" w:rsidR="00817D35" w:rsidRPr="00817D35" w:rsidRDefault="00817D35" w:rsidP="00966B51">
            <w:pPr>
              <w:pStyle w:val="TableofAuthorities"/>
              <w:rPr>
                <w:lang w:eastAsia="en-AU"/>
              </w:rPr>
            </w:pPr>
            <w:r w:rsidRPr="00817D35">
              <w:rPr>
                <w:lang w:eastAsia="en-AU"/>
              </w:rPr>
              <w:t xml:space="preserve">◦ Allied health </w:t>
            </w:r>
          </w:p>
        </w:tc>
        <w:tc>
          <w:tcPr>
            <w:tcW w:w="1500" w:type="dxa"/>
            <w:gridSpan w:val="3"/>
            <w:noWrap/>
            <w:hideMark/>
          </w:tcPr>
          <w:p w14:paraId="2866FCB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501" w:type="dxa"/>
            <w:gridSpan w:val="3"/>
            <w:noWrap/>
            <w:hideMark/>
          </w:tcPr>
          <w:p w14:paraId="11F9D432"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$26.0 </w:t>
            </w:r>
          </w:p>
        </w:tc>
        <w:tc>
          <w:tcPr>
            <w:tcW w:w="1500" w:type="dxa"/>
            <w:gridSpan w:val="3"/>
            <w:noWrap/>
            <w:hideMark/>
          </w:tcPr>
          <w:p w14:paraId="384E423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453" w:type="dxa"/>
            <w:gridSpan w:val="2"/>
            <w:noWrap/>
            <w:hideMark/>
          </w:tcPr>
          <w:p w14:paraId="2D4F908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$29.0 </w:t>
            </w:r>
          </w:p>
        </w:tc>
      </w:tr>
      <w:tr w:rsidR="00817D35" w:rsidRPr="00817D35" w14:paraId="5377AE99"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19DD09DF" w14:textId="77777777" w:rsidR="00817D35" w:rsidRPr="00817D35" w:rsidRDefault="00817D35" w:rsidP="00966B51">
            <w:pPr>
              <w:pStyle w:val="TableofAuthorities"/>
              <w:rPr>
                <w:lang w:eastAsia="en-AU"/>
              </w:rPr>
            </w:pPr>
            <w:r w:rsidRPr="00817D35">
              <w:rPr>
                <w:lang w:eastAsia="en-AU"/>
              </w:rPr>
              <w:t>◦ Other employee staff</w:t>
            </w:r>
          </w:p>
        </w:tc>
        <w:tc>
          <w:tcPr>
            <w:tcW w:w="1500" w:type="dxa"/>
            <w:gridSpan w:val="3"/>
            <w:noWrap/>
            <w:hideMark/>
          </w:tcPr>
          <w:p w14:paraId="4FD06B9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$22.0 </w:t>
            </w:r>
          </w:p>
        </w:tc>
        <w:tc>
          <w:tcPr>
            <w:tcW w:w="1501" w:type="dxa"/>
            <w:gridSpan w:val="3"/>
            <w:noWrap/>
            <w:hideMark/>
          </w:tcPr>
          <w:p w14:paraId="09BBF61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$108.0 </w:t>
            </w:r>
          </w:p>
        </w:tc>
        <w:tc>
          <w:tcPr>
            <w:tcW w:w="1500" w:type="dxa"/>
            <w:gridSpan w:val="3"/>
            <w:noWrap/>
            <w:hideMark/>
          </w:tcPr>
          <w:p w14:paraId="0ADD9F3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 </w:t>
            </w:r>
          </w:p>
        </w:tc>
        <w:tc>
          <w:tcPr>
            <w:tcW w:w="1453" w:type="dxa"/>
            <w:gridSpan w:val="2"/>
            <w:noWrap/>
            <w:hideMark/>
          </w:tcPr>
          <w:p w14:paraId="7331AAF0"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$135.0 </w:t>
            </w:r>
          </w:p>
        </w:tc>
      </w:tr>
      <w:tr w:rsidR="00817D35" w:rsidRPr="00817D35" w14:paraId="288CCBF0" w14:textId="77777777" w:rsidTr="00EC6496">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shd w:val="clear" w:color="auto" w:fill="D8DBDB" w:themeFill="background2" w:themeFillShade="E6"/>
            <w:noWrap/>
            <w:hideMark/>
          </w:tcPr>
          <w:p w14:paraId="317215B3" w14:textId="77777777" w:rsidR="00817D35" w:rsidRPr="00817D35" w:rsidRDefault="00817D35" w:rsidP="008653A1">
            <w:pPr>
              <w:pStyle w:val="TableParagraphbold"/>
              <w:rPr>
                <w:lang w:eastAsia="en-AU"/>
              </w:rPr>
            </w:pPr>
            <w:r w:rsidRPr="00817D35">
              <w:rPr>
                <w:lang w:eastAsia="en-AU"/>
              </w:rPr>
              <w:t xml:space="preserve">Total </w:t>
            </w:r>
            <w:proofErr w:type="spellStart"/>
            <w:r w:rsidRPr="00817D35">
              <w:rPr>
                <w:lang w:eastAsia="en-AU"/>
              </w:rPr>
              <w:t>labour</w:t>
            </w:r>
            <w:proofErr w:type="spellEnd"/>
            <w:r w:rsidRPr="00817D35">
              <w:rPr>
                <w:lang w:eastAsia="en-AU"/>
              </w:rPr>
              <w:t xml:space="preserve"> Costs - internal direct Care - employee</w:t>
            </w:r>
          </w:p>
        </w:tc>
        <w:tc>
          <w:tcPr>
            <w:tcW w:w="1500" w:type="dxa"/>
            <w:gridSpan w:val="3"/>
            <w:shd w:val="clear" w:color="auto" w:fill="D8DBDB" w:themeFill="background2" w:themeFillShade="E6"/>
            <w:noWrap/>
            <w:hideMark/>
          </w:tcPr>
          <w:p w14:paraId="00B74002"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$391.0 </w:t>
            </w:r>
          </w:p>
        </w:tc>
        <w:tc>
          <w:tcPr>
            <w:tcW w:w="1501" w:type="dxa"/>
            <w:gridSpan w:val="3"/>
            <w:shd w:val="clear" w:color="auto" w:fill="D8DBDB" w:themeFill="background2" w:themeFillShade="E6"/>
            <w:noWrap/>
            <w:hideMark/>
          </w:tcPr>
          <w:p w14:paraId="111F4740"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$845.0 </w:t>
            </w:r>
          </w:p>
        </w:tc>
        <w:tc>
          <w:tcPr>
            <w:tcW w:w="1500" w:type="dxa"/>
            <w:gridSpan w:val="3"/>
            <w:shd w:val="clear" w:color="auto" w:fill="D8DBDB" w:themeFill="background2" w:themeFillShade="E6"/>
            <w:noWrap/>
            <w:hideMark/>
          </w:tcPr>
          <w:p w14:paraId="77FD1067"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$42.0 </w:t>
            </w:r>
          </w:p>
        </w:tc>
        <w:tc>
          <w:tcPr>
            <w:tcW w:w="1453" w:type="dxa"/>
            <w:gridSpan w:val="2"/>
            <w:shd w:val="clear" w:color="auto" w:fill="D8DBDB" w:themeFill="background2" w:themeFillShade="E6"/>
            <w:noWrap/>
            <w:hideMark/>
          </w:tcPr>
          <w:p w14:paraId="426B46ED"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$1,278.0 </w:t>
            </w:r>
          </w:p>
        </w:tc>
      </w:tr>
      <w:tr w:rsidR="00817D35" w:rsidRPr="00817D35" w14:paraId="5A990244" w14:textId="77777777" w:rsidTr="00EC6496">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2599" w:type="dxa"/>
            <w:shd w:val="clear" w:color="auto" w:fill="D8DBDB" w:themeFill="background2" w:themeFillShade="E6"/>
            <w:noWrap/>
            <w:hideMark/>
          </w:tcPr>
          <w:p w14:paraId="3C7887DC" w14:textId="77777777" w:rsidR="00817D35" w:rsidRPr="00817D35" w:rsidRDefault="00817D35" w:rsidP="008653A1">
            <w:pPr>
              <w:pStyle w:val="TableParagraphbold"/>
              <w:rPr>
                <w:lang w:eastAsia="en-AU"/>
              </w:rPr>
            </w:pPr>
            <w:proofErr w:type="spellStart"/>
            <w:r w:rsidRPr="00817D35">
              <w:rPr>
                <w:lang w:eastAsia="en-AU"/>
              </w:rPr>
              <w:t>Labour</w:t>
            </w:r>
            <w:proofErr w:type="spellEnd"/>
            <w:r w:rsidRPr="00817D35">
              <w:rPr>
                <w:lang w:eastAsia="en-AU"/>
              </w:rPr>
              <w:t xml:space="preserve"> cost - internal direct care - agency care staff</w:t>
            </w:r>
          </w:p>
        </w:tc>
        <w:tc>
          <w:tcPr>
            <w:tcW w:w="2173" w:type="dxa"/>
            <w:gridSpan w:val="4"/>
            <w:shd w:val="clear" w:color="auto" w:fill="D8DBDB" w:themeFill="background2" w:themeFillShade="E6"/>
            <w:noWrap/>
            <w:hideMark/>
          </w:tcPr>
          <w:p w14:paraId="7700DC4F"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2599" w:type="dxa"/>
            <w:gridSpan w:val="5"/>
            <w:shd w:val="clear" w:color="auto" w:fill="D8DBDB" w:themeFill="background2" w:themeFillShade="E6"/>
            <w:noWrap/>
            <w:hideMark/>
          </w:tcPr>
          <w:p w14:paraId="7710B749"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2552" w:type="dxa"/>
            <w:gridSpan w:val="4"/>
            <w:shd w:val="clear" w:color="auto" w:fill="D8DBDB" w:themeFill="background2" w:themeFillShade="E6"/>
            <w:noWrap/>
            <w:hideMark/>
          </w:tcPr>
          <w:p w14:paraId="57545DA2"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r>
      <w:tr w:rsidR="00817D35" w:rsidRPr="00817D35" w14:paraId="6A2CDD31"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3AF8D28E" w14:textId="77777777" w:rsidR="00817D35" w:rsidRPr="00817D35" w:rsidRDefault="00817D35" w:rsidP="00966B51">
            <w:pPr>
              <w:pStyle w:val="TableofAuthorities"/>
              <w:rPr>
                <w:lang w:eastAsia="en-AU"/>
              </w:rPr>
            </w:pPr>
            <w:r w:rsidRPr="00817D35">
              <w:rPr>
                <w:lang w:eastAsia="en-AU"/>
              </w:rPr>
              <w:t>◦ Registered nurses</w:t>
            </w:r>
          </w:p>
        </w:tc>
        <w:tc>
          <w:tcPr>
            <w:tcW w:w="1500" w:type="dxa"/>
            <w:gridSpan w:val="3"/>
            <w:noWrap/>
            <w:hideMark/>
          </w:tcPr>
          <w:p w14:paraId="76B261F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501" w:type="dxa"/>
            <w:gridSpan w:val="3"/>
            <w:noWrap/>
            <w:hideMark/>
          </w:tcPr>
          <w:p w14:paraId="3465D69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 </w:t>
            </w:r>
          </w:p>
        </w:tc>
        <w:tc>
          <w:tcPr>
            <w:tcW w:w="1500" w:type="dxa"/>
            <w:gridSpan w:val="3"/>
            <w:noWrap/>
            <w:hideMark/>
          </w:tcPr>
          <w:p w14:paraId="41E5403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453" w:type="dxa"/>
            <w:gridSpan w:val="2"/>
            <w:noWrap/>
            <w:hideMark/>
          </w:tcPr>
          <w:p w14:paraId="12DE032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 </w:t>
            </w:r>
          </w:p>
        </w:tc>
      </w:tr>
      <w:tr w:rsidR="00817D35" w:rsidRPr="00817D35" w14:paraId="503C02C5"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562E86B4" w14:textId="77777777" w:rsidR="00817D35" w:rsidRPr="00817D35" w:rsidRDefault="00817D35" w:rsidP="00966B51">
            <w:pPr>
              <w:pStyle w:val="TableofAuthorities"/>
              <w:rPr>
                <w:lang w:eastAsia="en-AU"/>
              </w:rPr>
            </w:pPr>
            <w:r w:rsidRPr="00817D35">
              <w:rPr>
                <w:lang w:eastAsia="en-AU"/>
              </w:rPr>
              <w:t xml:space="preserve">◦ Enrolled and licensed nurses (registered with the NMBA) </w:t>
            </w:r>
          </w:p>
        </w:tc>
        <w:tc>
          <w:tcPr>
            <w:tcW w:w="1500" w:type="dxa"/>
            <w:gridSpan w:val="3"/>
            <w:noWrap/>
            <w:hideMark/>
          </w:tcPr>
          <w:p w14:paraId="51F2826D"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501" w:type="dxa"/>
            <w:gridSpan w:val="3"/>
            <w:noWrap/>
            <w:hideMark/>
          </w:tcPr>
          <w:p w14:paraId="5F828409"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500" w:type="dxa"/>
            <w:gridSpan w:val="3"/>
            <w:noWrap/>
            <w:hideMark/>
          </w:tcPr>
          <w:p w14:paraId="2D10317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453" w:type="dxa"/>
            <w:gridSpan w:val="2"/>
            <w:noWrap/>
            <w:hideMark/>
          </w:tcPr>
          <w:p w14:paraId="6145DCF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r>
      <w:tr w:rsidR="00817D35" w:rsidRPr="00817D35" w14:paraId="0502DD23"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29431B21" w14:textId="77777777" w:rsidR="00817D35" w:rsidRPr="00817D35" w:rsidRDefault="00817D35" w:rsidP="00966B51">
            <w:pPr>
              <w:pStyle w:val="TableofAuthorities"/>
              <w:rPr>
                <w:lang w:eastAsia="en-AU"/>
              </w:rPr>
            </w:pPr>
            <w:r w:rsidRPr="00817D35">
              <w:rPr>
                <w:lang w:eastAsia="en-AU"/>
              </w:rPr>
              <w:t>◦ Personal care staff / other unlicensed nurses</w:t>
            </w:r>
          </w:p>
        </w:tc>
        <w:tc>
          <w:tcPr>
            <w:tcW w:w="1500" w:type="dxa"/>
            <w:gridSpan w:val="3"/>
            <w:noWrap/>
            <w:hideMark/>
          </w:tcPr>
          <w:p w14:paraId="0E74997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$9.0 </w:t>
            </w:r>
          </w:p>
        </w:tc>
        <w:tc>
          <w:tcPr>
            <w:tcW w:w="1501" w:type="dxa"/>
            <w:gridSpan w:val="3"/>
            <w:noWrap/>
            <w:hideMark/>
          </w:tcPr>
          <w:p w14:paraId="2A30CB0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$20.0 </w:t>
            </w:r>
          </w:p>
        </w:tc>
        <w:tc>
          <w:tcPr>
            <w:tcW w:w="1500" w:type="dxa"/>
            <w:gridSpan w:val="3"/>
            <w:noWrap/>
            <w:hideMark/>
          </w:tcPr>
          <w:p w14:paraId="2CE92F4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453" w:type="dxa"/>
            <w:gridSpan w:val="2"/>
            <w:noWrap/>
            <w:hideMark/>
          </w:tcPr>
          <w:p w14:paraId="08C83E1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$31.0 </w:t>
            </w:r>
          </w:p>
        </w:tc>
      </w:tr>
      <w:tr w:rsidR="00817D35" w:rsidRPr="00817D35" w14:paraId="31B1C5AE" w14:textId="77777777" w:rsidTr="002809E5">
        <w:trPr>
          <w:gridAfter w:val="1"/>
          <w:wAfter w:w="617" w:type="dxa"/>
          <w:trHeight w:val="310"/>
        </w:trPr>
        <w:tc>
          <w:tcPr>
            <w:cnfStyle w:val="001000000000" w:firstRow="0" w:lastRow="0" w:firstColumn="1" w:lastColumn="0" w:oddVBand="0" w:evenVBand="0" w:oddHBand="0" w:evenHBand="0" w:firstRowFirstColumn="0" w:firstRowLastColumn="0" w:lastRowFirstColumn="0" w:lastRowLastColumn="0"/>
            <w:tcW w:w="3969" w:type="dxa"/>
            <w:gridSpan w:val="3"/>
            <w:noWrap/>
            <w:hideMark/>
          </w:tcPr>
          <w:p w14:paraId="59EA46F4" w14:textId="77777777" w:rsidR="00817D35" w:rsidRPr="00817D35" w:rsidRDefault="00817D35" w:rsidP="00966B51">
            <w:pPr>
              <w:pStyle w:val="TableofAuthorities"/>
              <w:rPr>
                <w:lang w:eastAsia="en-AU"/>
              </w:rPr>
            </w:pPr>
            <w:r w:rsidRPr="00817D35">
              <w:rPr>
                <w:lang w:eastAsia="en-AU"/>
              </w:rPr>
              <w:t xml:space="preserve">◦ Allied health </w:t>
            </w:r>
          </w:p>
        </w:tc>
        <w:tc>
          <w:tcPr>
            <w:tcW w:w="1500" w:type="dxa"/>
            <w:gridSpan w:val="3"/>
            <w:noWrap/>
            <w:hideMark/>
          </w:tcPr>
          <w:p w14:paraId="0BB0E42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501" w:type="dxa"/>
            <w:gridSpan w:val="3"/>
            <w:noWrap/>
            <w:hideMark/>
          </w:tcPr>
          <w:p w14:paraId="1C2E242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500" w:type="dxa"/>
            <w:gridSpan w:val="3"/>
            <w:noWrap/>
            <w:hideMark/>
          </w:tcPr>
          <w:p w14:paraId="312EDB6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453" w:type="dxa"/>
            <w:gridSpan w:val="2"/>
            <w:noWrap/>
            <w:hideMark/>
          </w:tcPr>
          <w:p w14:paraId="6DA36DA2"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 </w:t>
            </w:r>
          </w:p>
        </w:tc>
      </w:tr>
      <w:tr w:rsidR="00817D35" w:rsidRPr="00817D35" w14:paraId="15AA9FEB"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0BF9785C" w14:textId="77777777" w:rsidR="00817D35" w:rsidRPr="00817D35" w:rsidRDefault="00817D35" w:rsidP="00966B51">
            <w:pPr>
              <w:pStyle w:val="TableofAuthorities"/>
              <w:rPr>
                <w:lang w:eastAsia="en-AU"/>
              </w:rPr>
            </w:pPr>
            <w:r w:rsidRPr="00817D35">
              <w:rPr>
                <w:lang w:eastAsia="en-AU"/>
              </w:rPr>
              <w:t>◦ Other agency staff</w:t>
            </w:r>
          </w:p>
        </w:tc>
        <w:tc>
          <w:tcPr>
            <w:tcW w:w="1500" w:type="dxa"/>
            <w:gridSpan w:val="3"/>
            <w:noWrap/>
            <w:hideMark/>
          </w:tcPr>
          <w:p w14:paraId="7C8B143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501" w:type="dxa"/>
            <w:gridSpan w:val="4"/>
            <w:noWrap/>
            <w:hideMark/>
          </w:tcPr>
          <w:p w14:paraId="7E93AE6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 </w:t>
            </w:r>
          </w:p>
        </w:tc>
        <w:tc>
          <w:tcPr>
            <w:tcW w:w="1500" w:type="dxa"/>
            <w:gridSpan w:val="2"/>
            <w:noWrap/>
            <w:hideMark/>
          </w:tcPr>
          <w:p w14:paraId="02960A8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644" w:type="dxa"/>
            <w:gridSpan w:val="2"/>
            <w:noWrap/>
            <w:hideMark/>
          </w:tcPr>
          <w:p w14:paraId="511E623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$5.0 </w:t>
            </w:r>
          </w:p>
        </w:tc>
      </w:tr>
      <w:tr w:rsidR="00817D35" w:rsidRPr="00817D35" w14:paraId="1E55DD1E"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4DC5ACDF" w14:textId="77777777" w:rsidR="00817D35" w:rsidRPr="00817D35" w:rsidRDefault="00817D35" w:rsidP="008653A1">
            <w:pPr>
              <w:pStyle w:val="TableParagraphbold"/>
              <w:rPr>
                <w:lang w:eastAsia="en-AU"/>
              </w:rPr>
            </w:pPr>
            <w:r w:rsidRPr="00817D35">
              <w:rPr>
                <w:lang w:eastAsia="en-AU"/>
              </w:rPr>
              <w:lastRenderedPageBreak/>
              <w:t xml:space="preserve">Total </w:t>
            </w:r>
            <w:proofErr w:type="spellStart"/>
            <w:r w:rsidRPr="00817D35">
              <w:rPr>
                <w:lang w:eastAsia="en-AU"/>
              </w:rPr>
              <w:t>labour</w:t>
            </w:r>
            <w:proofErr w:type="spellEnd"/>
            <w:r w:rsidRPr="00817D35">
              <w:rPr>
                <w:lang w:eastAsia="en-AU"/>
              </w:rPr>
              <w:t xml:space="preserve"> costs - internal direct care - agency care staff</w:t>
            </w:r>
          </w:p>
        </w:tc>
        <w:tc>
          <w:tcPr>
            <w:tcW w:w="1500" w:type="dxa"/>
            <w:gridSpan w:val="3"/>
            <w:shd w:val="clear" w:color="auto" w:fill="D8DBDB" w:themeFill="background2" w:themeFillShade="E6"/>
            <w:hideMark/>
          </w:tcPr>
          <w:p w14:paraId="3385D130"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$12</w:t>
            </w:r>
          </w:p>
        </w:tc>
        <w:tc>
          <w:tcPr>
            <w:tcW w:w="1501" w:type="dxa"/>
            <w:gridSpan w:val="4"/>
            <w:shd w:val="clear" w:color="auto" w:fill="D8DBDB" w:themeFill="background2" w:themeFillShade="E6"/>
            <w:hideMark/>
          </w:tcPr>
          <w:p w14:paraId="2FB6E0AD"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$28</w:t>
            </w:r>
          </w:p>
        </w:tc>
        <w:tc>
          <w:tcPr>
            <w:tcW w:w="1500" w:type="dxa"/>
            <w:gridSpan w:val="2"/>
            <w:shd w:val="clear" w:color="auto" w:fill="D8DBDB" w:themeFill="background2" w:themeFillShade="E6"/>
            <w:hideMark/>
          </w:tcPr>
          <w:p w14:paraId="15D61635"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$1</w:t>
            </w:r>
          </w:p>
        </w:tc>
        <w:tc>
          <w:tcPr>
            <w:tcW w:w="1644" w:type="dxa"/>
            <w:gridSpan w:val="2"/>
            <w:shd w:val="clear" w:color="auto" w:fill="D8DBDB" w:themeFill="background2" w:themeFillShade="E6"/>
            <w:hideMark/>
          </w:tcPr>
          <w:p w14:paraId="511E9C0F"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$42</w:t>
            </w:r>
          </w:p>
        </w:tc>
      </w:tr>
      <w:tr w:rsidR="00817D35" w:rsidRPr="00817D35" w14:paraId="2DB81D97"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5F10906D" w14:textId="77777777" w:rsidR="00817D35" w:rsidRPr="00817D35" w:rsidRDefault="00817D35" w:rsidP="00966B51">
            <w:pPr>
              <w:pStyle w:val="TableofAuthorities"/>
              <w:rPr>
                <w:lang w:eastAsia="en-AU"/>
              </w:rPr>
            </w:pPr>
            <w:r w:rsidRPr="00817D35">
              <w:rPr>
                <w:lang w:eastAsia="en-AU"/>
              </w:rPr>
              <w:t xml:space="preserve">  ◦ Payroll tax - care staff</w:t>
            </w:r>
          </w:p>
        </w:tc>
        <w:tc>
          <w:tcPr>
            <w:tcW w:w="1500" w:type="dxa"/>
            <w:gridSpan w:val="3"/>
            <w:noWrap/>
            <w:hideMark/>
          </w:tcPr>
          <w:p w14:paraId="19819F3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$16.0 </w:t>
            </w:r>
          </w:p>
        </w:tc>
        <w:tc>
          <w:tcPr>
            <w:tcW w:w="1501" w:type="dxa"/>
            <w:gridSpan w:val="4"/>
            <w:noWrap/>
            <w:hideMark/>
          </w:tcPr>
          <w:p w14:paraId="1CC5868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 </w:t>
            </w:r>
          </w:p>
        </w:tc>
        <w:tc>
          <w:tcPr>
            <w:tcW w:w="1500" w:type="dxa"/>
            <w:gridSpan w:val="2"/>
            <w:noWrap/>
            <w:hideMark/>
          </w:tcPr>
          <w:p w14:paraId="60C6AD7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644" w:type="dxa"/>
            <w:gridSpan w:val="2"/>
            <w:noWrap/>
            <w:hideMark/>
          </w:tcPr>
          <w:p w14:paraId="40F90EC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$18.0 </w:t>
            </w:r>
          </w:p>
        </w:tc>
      </w:tr>
      <w:tr w:rsidR="00817D35" w:rsidRPr="00817D35" w14:paraId="66434A87"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0B540007" w14:textId="77777777" w:rsidR="00817D35" w:rsidRPr="00817D35" w:rsidRDefault="00817D35" w:rsidP="00966B51">
            <w:pPr>
              <w:pStyle w:val="TableofAuthorities"/>
              <w:rPr>
                <w:lang w:eastAsia="en-AU"/>
              </w:rPr>
            </w:pPr>
            <w:r w:rsidRPr="00817D35">
              <w:rPr>
                <w:lang w:eastAsia="en-AU"/>
              </w:rPr>
              <w:t xml:space="preserve">  ◦ Care related expenses</w:t>
            </w:r>
          </w:p>
        </w:tc>
        <w:tc>
          <w:tcPr>
            <w:tcW w:w="1500" w:type="dxa"/>
            <w:gridSpan w:val="3"/>
            <w:noWrap/>
            <w:hideMark/>
          </w:tcPr>
          <w:p w14:paraId="3091BBAD"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$27.0 </w:t>
            </w:r>
          </w:p>
        </w:tc>
        <w:tc>
          <w:tcPr>
            <w:tcW w:w="1501" w:type="dxa"/>
            <w:gridSpan w:val="4"/>
            <w:noWrap/>
            <w:hideMark/>
          </w:tcPr>
          <w:p w14:paraId="61D998FD"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$60.0 </w:t>
            </w:r>
          </w:p>
        </w:tc>
        <w:tc>
          <w:tcPr>
            <w:tcW w:w="1500" w:type="dxa"/>
            <w:gridSpan w:val="2"/>
            <w:noWrap/>
            <w:hideMark/>
          </w:tcPr>
          <w:p w14:paraId="73CF042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$9.0 </w:t>
            </w:r>
          </w:p>
        </w:tc>
        <w:tc>
          <w:tcPr>
            <w:tcW w:w="1644" w:type="dxa"/>
            <w:gridSpan w:val="2"/>
            <w:noWrap/>
            <w:hideMark/>
          </w:tcPr>
          <w:p w14:paraId="67DEB7E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$96.0 </w:t>
            </w:r>
          </w:p>
        </w:tc>
      </w:tr>
      <w:tr w:rsidR="00817D35" w:rsidRPr="00817D35" w14:paraId="4C2F21D7"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3E8EFCCD" w14:textId="77777777" w:rsidR="00817D35" w:rsidRPr="00817D35" w:rsidRDefault="00817D35" w:rsidP="00966B51">
            <w:pPr>
              <w:pStyle w:val="TableofAuthorities"/>
              <w:rPr>
                <w:lang w:eastAsia="en-AU"/>
              </w:rPr>
            </w:pPr>
            <w:r w:rsidRPr="00817D35">
              <w:rPr>
                <w:lang w:eastAsia="en-AU"/>
              </w:rPr>
              <w:t xml:space="preserve">  ◦ Motor vehicle expenses</w:t>
            </w:r>
          </w:p>
        </w:tc>
        <w:tc>
          <w:tcPr>
            <w:tcW w:w="1500" w:type="dxa"/>
            <w:gridSpan w:val="3"/>
            <w:noWrap/>
            <w:hideMark/>
          </w:tcPr>
          <w:p w14:paraId="0E85238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$8.0 </w:t>
            </w:r>
          </w:p>
        </w:tc>
        <w:tc>
          <w:tcPr>
            <w:tcW w:w="1501" w:type="dxa"/>
            <w:gridSpan w:val="4"/>
            <w:noWrap/>
            <w:hideMark/>
          </w:tcPr>
          <w:p w14:paraId="24B1EBA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$40.0 </w:t>
            </w:r>
          </w:p>
        </w:tc>
        <w:tc>
          <w:tcPr>
            <w:tcW w:w="1500" w:type="dxa"/>
            <w:gridSpan w:val="2"/>
            <w:noWrap/>
            <w:hideMark/>
          </w:tcPr>
          <w:p w14:paraId="58AB5E0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644" w:type="dxa"/>
            <w:gridSpan w:val="2"/>
            <w:noWrap/>
            <w:hideMark/>
          </w:tcPr>
          <w:p w14:paraId="4143415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$49.0 </w:t>
            </w:r>
          </w:p>
        </w:tc>
      </w:tr>
      <w:tr w:rsidR="00817D35" w:rsidRPr="00817D35" w14:paraId="148D0015"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47321085" w14:textId="77777777" w:rsidR="00817D35" w:rsidRPr="00817D35" w:rsidRDefault="00817D35" w:rsidP="00966B51">
            <w:pPr>
              <w:pStyle w:val="TableofAuthorities"/>
              <w:rPr>
                <w:lang w:eastAsia="en-AU"/>
              </w:rPr>
            </w:pPr>
            <w:r w:rsidRPr="00817D35">
              <w:rPr>
                <w:lang w:eastAsia="en-AU"/>
              </w:rPr>
              <w:t xml:space="preserve">  ◦ Other internal direct service costs</w:t>
            </w:r>
          </w:p>
        </w:tc>
        <w:tc>
          <w:tcPr>
            <w:tcW w:w="1500" w:type="dxa"/>
            <w:gridSpan w:val="3"/>
            <w:noWrap/>
            <w:hideMark/>
          </w:tcPr>
          <w:p w14:paraId="66B088D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$6.0 </w:t>
            </w:r>
          </w:p>
        </w:tc>
        <w:tc>
          <w:tcPr>
            <w:tcW w:w="1501" w:type="dxa"/>
            <w:gridSpan w:val="4"/>
            <w:noWrap/>
            <w:hideMark/>
          </w:tcPr>
          <w:p w14:paraId="1D7FA29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$38.0 </w:t>
            </w:r>
          </w:p>
        </w:tc>
        <w:tc>
          <w:tcPr>
            <w:tcW w:w="1500" w:type="dxa"/>
            <w:gridSpan w:val="2"/>
            <w:noWrap/>
            <w:hideMark/>
          </w:tcPr>
          <w:p w14:paraId="448D2A9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644" w:type="dxa"/>
            <w:gridSpan w:val="2"/>
            <w:noWrap/>
            <w:hideMark/>
          </w:tcPr>
          <w:p w14:paraId="76A78B0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$46.0 </w:t>
            </w:r>
          </w:p>
        </w:tc>
      </w:tr>
      <w:tr w:rsidR="00817D35" w:rsidRPr="00817D35" w14:paraId="3DC08AB7"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0048E133" w14:textId="77777777" w:rsidR="00817D35" w:rsidRPr="00817D35" w:rsidRDefault="00817D35" w:rsidP="008653A1">
            <w:pPr>
              <w:pStyle w:val="TableParagraphbold"/>
              <w:rPr>
                <w:lang w:eastAsia="en-AU"/>
              </w:rPr>
            </w:pPr>
            <w:r w:rsidRPr="00817D35">
              <w:rPr>
                <w:lang w:eastAsia="en-AU"/>
              </w:rPr>
              <w:t>Total internal direct service costs expenses</w:t>
            </w:r>
          </w:p>
        </w:tc>
        <w:tc>
          <w:tcPr>
            <w:tcW w:w="1500" w:type="dxa"/>
            <w:gridSpan w:val="3"/>
            <w:shd w:val="clear" w:color="auto" w:fill="D8DBDB" w:themeFill="background2" w:themeFillShade="E6"/>
            <w:hideMark/>
          </w:tcPr>
          <w:p w14:paraId="06F42484"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$460</w:t>
            </w:r>
          </w:p>
        </w:tc>
        <w:tc>
          <w:tcPr>
            <w:tcW w:w="1501" w:type="dxa"/>
            <w:gridSpan w:val="4"/>
            <w:shd w:val="clear" w:color="auto" w:fill="D8DBDB" w:themeFill="background2" w:themeFillShade="E6"/>
            <w:hideMark/>
          </w:tcPr>
          <w:p w14:paraId="5F299E44"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$1,013</w:t>
            </w:r>
          </w:p>
        </w:tc>
        <w:tc>
          <w:tcPr>
            <w:tcW w:w="1500" w:type="dxa"/>
            <w:gridSpan w:val="2"/>
            <w:shd w:val="clear" w:color="auto" w:fill="D8DBDB" w:themeFill="background2" w:themeFillShade="E6"/>
            <w:hideMark/>
          </w:tcPr>
          <w:p w14:paraId="5AA97567"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$56</w:t>
            </w:r>
          </w:p>
        </w:tc>
        <w:tc>
          <w:tcPr>
            <w:tcW w:w="1644" w:type="dxa"/>
            <w:gridSpan w:val="2"/>
            <w:shd w:val="clear" w:color="auto" w:fill="D8DBDB" w:themeFill="background2" w:themeFillShade="E6"/>
            <w:hideMark/>
          </w:tcPr>
          <w:p w14:paraId="3209D1C0"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$1,529</w:t>
            </w:r>
          </w:p>
        </w:tc>
      </w:tr>
      <w:tr w:rsidR="00817D35" w:rsidRPr="00817D35" w14:paraId="7F47AF20"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1E9671C3" w14:textId="77777777" w:rsidR="00817D35" w:rsidRPr="00817D35" w:rsidRDefault="00817D35" w:rsidP="008653A1">
            <w:pPr>
              <w:pStyle w:val="TableParagraphbold"/>
              <w:rPr>
                <w:lang w:eastAsia="en-AU"/>
              </w:rPr>
            </w:pPr>
            <w:r w:rsidRPr="00817D35">
              <w:rPr>
                <w:lang w:eastAsia="en-AU"/>
              </w:rPr>
              <w:t>External direct service costs</w:t>
            </w:r>
          </w:p>
        </w:tc>
        <w:tc>
          <w:tcPr>
            <w:tcW w:w="1500" w:type="dxa"/>
            <w:gridSpan w:val="3"/>
            <w:shd w:val="clear" w:color="auto" w:fill="D8DBDB" w:themeFill="background2" w:themeFillShade="E6"/>
            <w:hideMark/>
          </w:tcPr>
          <w:p w14:paraId="0C97132B"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1" w:type="dxa"/>
            <w:gridSpan w:val="4"/>
            <w:shd w:val="clear" w:color="auto" w:fill="D8DBDB" w:themeFill="background2" w:themeFillShade="E6"/>
            <w:hideMark/>
          </w:tcPr>
          <w:p w14:paraId="1AC71D7C"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0" w:type="dxa"/>
            <w:gridSpan w:val="2"/>
            <w:shd w:val="clear" w:color="auto" w:fill="D8DBDB" w:themeFill="background2" w:themeFillShade="E6"/>
            <w:hideMark/>
          </w:tcPr>
          <w:p w14:paraId="63C2CEC0"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644" w:type="dxa"/>
            <w:gridSpan w:val="2"/>
            <w:shd w:val="clear" w:color="auto" w:fill="D8DBDB" w:themeFill="background2" w:themeFillShade="E6"/>
            <w:hideMark/>
          </w:tcPr>
          <w:p w14:paraId="43827823"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r>
      <w:tr w:rsidR="00817D35" w:rsidRPr="00817D35" w14:paraId="7AFDE261"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3465" w:type="dxa"/>
            <w:gridSpan w:val="2"/>
            <w:shd w:val="clear" w:color="auto" w:fill="D8DBDB" w:themeFill="background2" w:themeFillShade="E6"/>
            <w:noWrap/>
            <w:hideMark/>
          </w:tcPr>
          <w:p w14:paraId="7C166BB6" w14:textId="77777777" w:rsidR="00817D35" w:rsidRPr="00817D35" w:rsidRDefault="00817D35" w:rsidP="008653A1">
            <w:pPr>
              <w:pStyle w:val="TableParagraphbold"/>
              <w:rPr>
                <w:lang w:eastAsia="en-AU"/>
              </w:rPr>
            </w:pPr>
            <w:r w:rsidRPr="00817D35">
              <w:rPr>
                <w:lang w:eastAsia="en-AU"/>
              </w:rPr>
              <w:t>Sub-contracted or brokered client services - external direct care service cost</w:t>
            </w:r>
          </w:p>
        </w:tc>
        <w:tc>
          <w:tcPr>
            <w:tcW w:w="3466" w:type="dxa"/>
            <w:gridSpan w:val="6"/>
            <w:shd w:val="clear" w:color="auto" w:fill="D8DBDB" w:themeFill="background2" w:themeFillShade="E6"/>
            <w:hideMark/>
          </w:tcPr>
          <w:p w14:paraId="032F2686"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3609" w:type="dxa"/>
            <w:gridSpan w:val="7"/>
            <w:shd w:val="clear" w:color="auto" w:fill="D8DBDB" w:themeFill="background2" w:themeFillShade="E6"/>
            <w:hideMark/>
          </w:tcPr>
          <w:p w14:paraId="42E58A77" w14:textId="77777777" w:rsidR="00817D35" w:rsidRPr="00817D35" w:rsidRDefault="00817D35" w:rsidP="008653A1">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r>
      <w:tr w:rsidR="00817D35" w:rsidRPr="00817D35" w14:paraId="447D033D"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78E28A56" w14:textId="77777777" w:rsidR="00817D35" w:rsidRPr="00817D35" w:rsidRDefault="00817D35" w:rsidP="00966B51">
            <w:pPr>
              <w:pStyle w:val="TableofAuthorities"/>
              <w:rPr>
                <w:lang w:eastAsia="en-AU"/>
              </w:rPr>
            </w:pPr>
            <w:r w:rsidRPr="00817D35">
              <w:rPr>
                <w:lang w:eastAsia="en-AU"/>
              </w:rPr>
              <w:t>◦ Registered nurses</w:t>
            </w:r>
          </w:p>
        </w:tc>
        <w:tc>
          <w:tcPr>
            <w:tcW w:w="1500" w:type="dxa"/>
            <w:gridSpan w:val="3"/>
            <w:noWrap/>
            <w:hideMark/>
          </w:tcPr>
          <w:p w14:paraId="25E2030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$9.0 </w:t>
            </w:r>
          </w:p>
        </w:tc>
        <w:tc>
          <w:tcPr>
            <w:tcW w:w="1501" w:type="dxa"/>
            <w:gridSpan w:val="4"/>
            <w:noWrap/>
            <w:hideMark/>
          </w:tcPr>
          <w:p w14:paraId="6A9BBC4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$13.0 </w:t>
            </w:r>
          </w:p>
        </w:tc>
        <w:tc>
          <w:tcPr>
            <w:tcW w:w="1500" w:type="dxa"/>
            <w:gridSpan w:val="2"/>
            <w:noWrap/>
            <w:hideMark/>
          </w:tcPr>
          <w:p w14:paraId="7393A0C0"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644" w:type="dxa"/>
            <w:gridSpan w:val="2"/>
            <w:noWrap/>
            <w:hideMark/>
          </w:tcPr>
          <w:p w14:paraId="018ACA3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$24.0 </w:t>
            </w:r>
          </w:p>
        </w:tc>
      </w:tr>
      <w:tr w:rsidR="00817D35" w:rsidRPr="00817D35" w14:paraId="59D8E07C"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0AF211C8" w14:textId="77777777" w:rsidR="00817D35" w:rsidRPr="00817D35" w:rsidRDefault="00817D35" w:rsidP="00966B51">
            <w:pPr>
              <w:pStyle w:val="TableofAuthorities"/>
              <w:rPr>
                <w:lang w:eastAsia="en-AU"/>
              </w:rPr>
            </w:pPr>
            <w:r w:rsidRPr="00817D35">
              <w:rPr>
                <w:lang w:eastAsia="en-AU"/>
              </w:rPr>
              <w:t xml:space="preserve">◦ Enrolled and licensed nurses (registered with the NMBA) </w:t>
            </w:r>
          </w:p>
        </w:tc>
        <w:tc>
          <w:tcPr>
            <w:tcW w:w="1500" w:type="dxa"/>
            <w:gridSpan w:val="3"/>
            <w:noWrap/>
            <w:hideMark/>
          </w:tcPr>
          <w:p w14:paraId="03A0E3B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501" w:type="dxa"/>
            <w:gridSpan w:val="4"/>
            <w:noWrap/>
            <w:hideMark/>
          </w:tcPr>
          <w:p w14:paraId="4E4C0CC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500" w:type="dxa"/>
            <w:gridSpan w:val="2"/>
            <w:noWrap/>
            <w:hideMark/>
          </w:tcPr>
          <w:p w14:paraId="5693752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644" w:type="dxa"/>
            <w:gridSpan w:val="2"/>
            <w:noWrap/>
            <w:hideMark/>
          </w:tcPr>
          <w:p w14:paraId="720235D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 </w:t>
            </w:r>
          </w:p>
        </w:tc>
      </w:tr>
      <w:tr w:rsidR="00817D35" w:rsidRPr="00817D35" w14:paraId="5FC84620"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7028CB49" w14:textId="77777777" w:rsidR="00817D35" w:rsidRPr="00817D35" w:rsidRDefault="00817D35" w:rsidP="00966B51">
            <w:pPr>
              <w:pStyle w:val="TableofAuthorities"/>
              <w:rPr>
                <w:lang w:eastAsia="en-AU"/>
              </w:rPr>
            </w:pPr>
            <w:r w:rsidRPr="00817D35">
              <w:rPr>
                <w:lang w:eastAsia="en-AU"/>
              </w:rPr>
              <w:t>◦ Personal care staff / other unlicensed nurses</w:t>
            </w:r>
          </w:p>
        </w:tc>
        <w:tc>
          <w:tcPr>
            <w:tcW w:w="1500" w:type="dxa"/>
            <w:gridSpan w:val="3"/>
            <w:noWrap/>
            <w:hideMark/>
          </w:tcPr>
          <w:p w14:paraId="680BB25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$152.0 </w:t>
            </w:r>
          </w:p>
        </w:tc>
        <w:tc>
          <w:tcPr>
            <w:tcW w:w="1501" w:type="dxa"/>
            <w:gridSpan w:val="4"/>
            <w:noWrap/>
            <w:hideMark/>
          </w:tcPr>
          <w:p w14:paraId="23C5B98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$150.0 </w:t>
            </w:r>
          </w:p>
        </w:tc>
        <w:tc>
          <w:tcPr>
            <w:tcW w:w="1500" w:type="dxa"/>
            <w:gridSpan w:val="2"/>
            <w:noWrap/>
            <w:hideMark/>
          </w:tcPr>
          <w:p w14:paraId="736A540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$25.0 </w:t>
            </w:r>
          </w:p>
        </w:tc>
        <w:tc>
          <w:tcPr>
            <w:tcW w:w="1644" w:type="dxa"/>
            <w:gridSpan w:val="2"/>
            <w:noWrap/>
            <w:hideMark/>
          </w:tcPr>
          <w:p w14:paraId="5126FD1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$327.0 </w:t>
            </w:r>
          </w:p>
        </w:tc>
      </w:tr>
      <w:tr w:rsidR="00817D35" w:rsidRPr="00817D35" w14:paraId="54E47D09"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2137339C" w14:textId="77777777" w:rsidR="00817D35" w:rsidRPr="00817D35" w:rsidRDefault="00817D35" w:rsidP="00966B51">
            <w:pPr>
              <w:pStyle w:val="TableofAuthorities"/>
              <w:rPr>
                <w:lang w:eastAsia="en-AU"/>
              </w:rPr>
            </w:pPr>
            <w:r w:rsidRPr="00817D35">
              <w:rPr>
                <w:lang w:eastAsia="en-AU"/>
              </w:rPr>
              <w:t xml:space="preserve">◦ Allied health </w:t>
            </w:r>
          </w:p>
        </w:tc>
        <w:tc>
          <w:tcPr>
            <w:tcW w:w="1500" w:type="dxa"/>
            <w:gridSpan w:val="3"/>
            <w:noWrap/>
            <w:hideMark/>
          </w:tcPr>
          <w:p w14:paraId="5DC3B66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$66.0 </w:t>
            </w:r>
          </w:p>
        </w:tc>
        <w:tc>
          <w:tcPr>
            <w:tcW w:w="1501" w:type="dxa"/>
            <w:gridSpan w:val="4"/>
            <w:noWrap/>
            <w:hideMark/>
          </w:tcPr>
          <w:p w14:paraId="383A236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$79.0 </w:t>
            </w:r>
          </w:p>
        </w:tc>
        <w:tc>
          <w:tcPr>
            <w:tcW w:w="1500" w:type="dxa"/>
            <w:gridSpan w:val="2"/>
            <w:noWrap/>
            <w:hideMark/>
          </w:tcPr>
          <w:p w14:paraId="296CFBE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$7.0 </w:t>
            </w:r>
          </w:p>
        </w:tc>
        <w:tc>
          <w:tcPr>
            <w:tcW w:w="1644" w:type="dxa"/>
            <w:gridSpan w:val="2"/>
            <w:noWrap/>
            <w:hideMark/>
          </w:tcPr>
          <w:p w14:paraId="5508FD2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$152.0 </w:t>
            </w:r>
          </w:p>
        </w:tc>
      </w:tr>
      <w:tr w:rsidR="00817D35" w:rsidRPr="00817D35" w14:paraId="03B58DA9"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5C9DA121" w14:textId="77777777" w:rsidR="00817D35" w:rsidRPr="00817D35" w:rsidRDefault="00817D35" w:rsidP="00966B51">
            <w:pPr>
              <w:pStyle w:val="TableofAuthorities"/>
              <w:rPr>
                <w:lang w:eastAsia="en-AU"/>
              </w:rPr>
            </w:pPr>
            <w:r w:rsidRPr="00817D35">
              <w:rPr>
                <w:lang w:eastAsia="en-AU"/>
              </w:rPr>
              <w:t>◦ Other sub-contracted/brokered staff</w:t>
            </w:r>
          </w:p>
        </w:tc>
        <w:tc>
          <w:tcPr>
            <w:tcW w:w="1500" w:type="dxa"/>
            <w:gridSpan w:val="3"/>
            <w:noWrap/>
            <w:hideMark/>
          </w:tcPr>
          <w:p w14:paraId="263B472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$123.0 </w:t>
            </w:r>
          </w:p>
        </w:tc>
        <w:tc>
          <w:tcPr>
            <w:tcW w:w="1501" w:type="dxa"/>
            <w:gridSpan w:val="4"/>
            <w:noWrap/>
            <w:hideMark/>
          </w:tcPr>
          <w:p w14:paraId="4B26818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$122.0 </w:t>
            </w:r>
          </w:p>
        </w:tc>
        <w:tc>
          <w:tcPr>
            <w:tcW w:w="1500" w:type="dxa"/>
            <w:gridSpan w:val="2"/>
            <w:noWrap/>
            <w:hideMark/>
          </w:tcPr>
          <w:p w14:paraId="1F4425B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$20.0 </w:t>
            </w:r>
          </w:p>
        </w:tc>
        <w:tc>
          <w:tcPr>
            <w:tcW w:w="1644" w:type="dxa"/>
            <w:gridSpan w:val="2"/>
            <w:noWrap/>
            <w:hideMark/>
          </w:tcPr>
          <w:p w14:paraId="1468634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$265.0 </w:t>
            </w:r>
          </w:p>
        </w:tc>
      </w:tr>
      <w:tr w:rsidR="00817D35" w:rsidRPr="00817D35" w14:paraId="3C8BBFA8"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67085154" w14:textId="77777777" w:rsidR="00817D35" w:rsidRPr="00817D35" w:rsidRDefault="00817D35" w:rsidP="00966B51">
            <w:pPr>
              <w:pStyle w:val="TableofAuthorities"/>
              <w:rPr>
                <w:lang w:eastAsia="en-AU"/>
              </w:rPr>
            </w:pPr>
            <w:r w:rsidRPr="00817D35">
              <w:rPr>
                <w:lang w:eastAsia="en-AU"/>
              </w:rPr>
              <w:t>External direct care service cost - sub-contracted or brokered client services</w:t>
            </w:r>
          </w:p>
        </w:tc>
        <w:tc>
          <w:tcPr>
            <w:tcW w:w="1500" w:type="dxa"/>
            <w:gridSpan w:val="3"/>
            <w:noWrap/>
            <w:hideMark/>
          </w:tcPr>
          <w:p w14:paraId="4524E18D"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$350.0 </w:t>
            </w:r>
          </w:p>
        </w:tc>
        <w:tc>
          <w:tcPr>
            <w:tcW w:w="1501" w:type="dxa"/>
            <w:gridSpan w:val="4"/>
            <w:noWrap/>
            <w:hideMark/>
          </w:tcPr>
          <w:p w14:paraId="32EDB67D"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$366.0 </w:t>
            </w:r>
          </w:p>
        </w:tc>
        <w:tc>
          <w:tcPr>
            <w:tcW w:w="1500" w:type="dxa"/>
            <w:gridSpan w:val="2"/>
            <w:noWrap/>
            <w:hideMark/>
          </w:tcPr>
          <w:p w14:paraId="647EB23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$54.0 </w:t>
            </w:r>
          </w:p>
        </w:tc>
        <w:tc>
          <w:tcPr>
            <w:tcW w:w="1644" w:type="dxa"/>
            <w:gridSpan w:val="2"/>
            <w:noWrap/>
            <w:hideMark/>
          </w:tcPr>
          <w:p w14:paraId="6B8731B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$770.0 </w:t>
            </w:r>
          </w:p>
        </w:tc>
      </w:tr>
      <w:tr w:rsidR="00817D35" w:rsidRPr="00817D35" w14:paraId="0D893CE1"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58445916" w14:textId="77777777" w:rsidR="00817D35" w:rsidRPr="00817D35" w:rsidRDefault="00817D35" w:rsidP="00966B51">
            <w:pPr>
              <w:pStyle w:val="TableofAuthorities"/>
              <w:rPr>
                <w:lang w:eastAsia="en-AU"/>
              </w:rPr>
            </w:pPr>
            <w:r w:rsidRPr="00817D35">
              <w:rPr>
                <w:lang w:eastAsia="en-AU"/>
              </w:rPr>
              <w:t xml:space="preserve">  ◦ Consumables</w:t>
            </w:r>
          </w:p>
        </w:tc>
        <w:tc>
          <w:tcPr>
            <w:tcW w:w="1500" w:type="dxa"/>
            <w:gridSpan w:val="3"/>
            <w:noWrap/>
            <w:hideMark/>
          </w:tcPr>
          <w:p w14:paraId="511A7EA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$31.0 </w:t>
            </w:r>
          </w:p>
        </w:tc>
        <w:tc>
          <w:tcPr>
            <w:tcW w:w="1501" w:type="dxa"/>
            <w:gridSpan w:val="4"/>
            <w:noWrap/>
            <w:hideMark/>
          </w:tcPr>
          <w:p w14:paraId="0079A876"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$112.0 </w:t>
            </w:r>
          </w:p>
        </w:tc>
        <w:tc>
          <w:tcPr>
            <w:tcW w:w="1500" w:type="dxa"/>
            <w:gridSpan w:val="2"/>
            <w:noWrap/>
            <w:hideMark/>
          </w:tcPr>
          <w:p w14:paraId="56405789"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$5.0 </w:t>
            </w:r>
          </w:p>
        </w:tc>
        <w:tc>
          <w:tcPr>
            <w:tcW w:w="1644" w:type="dxa"/>
            <w:gridSpan w:val="2"/>
            <w:noWrap/>
            <w:hideMark/>
          </w:tcPr>
          <w:p w14:paraId="7D6B0419"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$148.0 </w:t>
            </w:r>
          </w:p>
        </w:tc>
      </w:tr>
      <w:tr w:rsidR="00817D35" w:rsidRPr="00817D35" w14:paraId="1B97B10E"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64F138B6" w14:textId="77777777" w:rsidR="00817D35" w:rsidRPr="00817D35" w:rsidRDefault="00817D35" w:rsidP="00966B51">
            <w:pPr>
              <w:pStyle w:val="TableofAuthorities"/>
              <w:rPr>
                <w:lang w:eastAsia="en-AU"/>
              </w:rPr>
            </w:pPr>
            <w:r w:rsidRPr="00817D35">
              <w:rPr>
                <w:lang w:eastAsia="en-AU"/>
              </w:rPr>
              <w:t xml:space="preserve">  ◦ Home modifications</w:t>
            </w:r>
          </w:p>
        </w:tc>
        <w:tc>
          <w:tcPr>
            <w:tcW w:w="1500" w:type="dxa"/>
            <w:gridSpan w:val="3"/>
            <w:noWrap/>
            <w:hideMark/>
          </w:tcPr>
          <w:p w14:paraId="15198812"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$25.0 </w:t>
            </w:r>
          </w:p>
        </w:tc>
        <w:tc>
          <w:tcPr>
            <w:tcW w:w="1501" w:type="dxa"/>
            <w:gridSpan w:val="4"/>
            <w:noWrap/>
            <w:hideMark/>
          </w:tcPr>
          <w:p w14:paraId="0F85C7E0"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$33.0 </w:t>
            </w:r>
          </w:p>
        </w:tc>
        <w:tc>
          <w:tcPr>
            <w:tcW w:w="1500" w:type="dxa"/>
            <w:gridSpan w:val="2"/>
            <w:noWrap/>
            <w:hideMark/>
          </w:tcPr>
          <w:p w14:paraId="1A518BB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$5.0 </w:t>
            </w:r>
          </w:p>
        </w:tc>
        <w:tc>
          <w:tcPr>
            <w:tcW w:w="1644" w:type="dxa"/>
            <w:gridSpan w:val="2"/>
            <w:noWrap/>
            <w:hideMark/>
          </w:tcPr>
          <w:p w14:paraId="456A56F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$64.0 </w:t>
            </w:r>
          </w:p>
        </w:tc>
      </w:tr>
      <w:tr w:rsidR="00817D35" w:rsidRPr="00817D35" w14:paraId="798ACDA4"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25701FB5" w14:textId="77777777" w:rsidR="00817D35" w:rsidRPr="00817D35" w:rsidRDefault="00817D35" w:rsidP="00966B51">
            <w:pPr>
              <w:pStyle w:val="TableofAuthorities"/>
              <w:rPr>
                <w:lang w:eastAsia="en-AU"/>
              </w:rPr>
            </w:pPr>
            <w:r w:rsidRPr="00817D35">
              <w:rPr>
                <w:lang w:eastAsia="en-AU"/>
              </w:rPr>
              <w:t xml:space="preserve">  ◦ Client capital purchases</w:t>
            </w:r>
          </w:p>
        </w:tc>
        <w:tc>
          <w:tcPr>
            <w:tcW w:w="1500" w:type="dxa"/>
            <w:gridSpan w:val="3"/>
            <w:noWrap/>
            <w:hideMark/>
          </w:tcPr>
          <w:p w14:paraId="597D306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$62.0 </w:t>
            </w:r>
          </w:p>
        </w:tc>
        <w:tc>
          <w:tcPr>
            <w:tcW w:w="1501" w:type="dxa"/>
            <w:gridSpan w:val="4"/>
            <w:noWrap/>
            <w:hideMark/>
          </w:tcPr>
          <w:p w14:paraId="32B5D9F9"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$94.0 </w:t>
            </w:r>
          </w:p>
        </w:tc>
        <w:tc>
          <w:tcPr>
            <w:tcW w:w="1500" w:type="dxa"/>
            <w:gridSpan w:val="2"/>
            <w:noWrap/>
            <w:hideMark/>
          </w:tcPr>
          <w:p w14:paraId="0577EC0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$11.0 </w:t>
            </w:r>
          </w:p>
        </w:tc>
        <w:tc>
          <w:tcPr>
            <w:tcW w:w="1644" w:type="dxa"/>
            <w:gridSpan w:val="2"/>
            <w:noWrap/>
            <w:hideMark/>
          </w:tcPr>
          <w:p w14:paraId="64A7198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$167.0 </w:t>
            </w:r>
          </w:p>
        </w:tc>
      </w:tr>
      <w:tr w:rsidR="00817D35" w:rsidRPr="00817D35" w14:paraId="24B4988D"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5D0013F9" w14:textId="77777777" w:rsidR="00817D35" w:rsidRPr="00817D35" w:rsidRDefault="00817D35" w:rsidP="00966B51">
            <w:pPr>
              <w:pStyle w:val="TableofAuthorities"/>
              <w:rPr>
                <w:lang w:eastAsia="en-AU"/>
              </w:rPr>
            </w:pPr>
            <w:r w:rsidRPr="00817D35">
              <w:rPr>
                <w:lang w:eastAsia="en-AU"/>
              </w:rPr>
              <w:t xml:space="preserve">  ◦ Transport services</w:t>
            </w:r>
          </w:p>
        </w:tc>
        <w:tc>
          <w:tcPr>
            <w:tcW w:w="1500" w:type="dxa"/>
            <w:gridSpan w:val="3"/>
            <w:noWrap/>
            <w:hideMark/>
          </w:tcPr>
          <w:p w14:paraId="670B19F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$13.0 </w:t>
            </w:r>
          </w:p>
        </w:tc>
        <w:tc>
          <w:tcPr>
            <w:tcW w:w="1501" w:type="dxa"/>
            <w:gridSpan w:val="4"/>
            <w:noWrap/>
            <w:hideMark/>
          </w:tcPr>
          <w:p w14:paraId="2FF0D34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$19.0 </w:t>
            </w:r>
          </w:p>
        </w:tc>
        <w:tc>
          <w:tcPr>
            <w:tcW w:w="1500" w:type="dxa"/>
            <w:gridSpan w:val="2"/>
            <w:noWrap/>
            <w:hideMark/>
          </w:tcPr>
          <w:p w14:paraId="44E638DD"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 </w:t>
            </w:r>
          </w:p>
        </w:tc>
        <w:tc>
          <w:tcPr>
            <w:tcW w:w="1644" w:type="dxa"/>
            <w:gridSpan w:val="2"/>
            <w:noWrap/>
            <w:hideMark/>
          </w:tcPr>
          <w:p w14:paraId="4F20499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$35.0 </w:t>
            </w:r>
          </w:p>
        </w:tc>
      </w:tr>
      <w:tr w:rsidR="00817D35" w:rsidRPr="00817D35" w14:paraId="7DFCDBB8"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3F4D1983" w14:textId="77777777" w:rsidR="00817D35" w:rsidRPr="00817D35" w:rsidRDefault="00817D35" w:rsidP="00966B51">
            <w:pPr>
              <w:pStyle w:val="TableofAuthorities"/>
              <w:rPr>
                <w:lang w:eastAsia="en-AU"/>
              </w:rPr>
            </w:pPr>
            <w:r w:rsidRPr="00817D35">
              <w:rPr>
                <w:lang w:eastAsia="en-AU"/>
              </w:rPr>
              <w:t>◦ Commission/brokerage fee/franchisee fee</w:t>
            </w:r>
          </w:p>
        </w:tc>
        <w:tc>
          <w:tcPr>
            <w:tcW w:w="1500" w:type="dxa"/>
            <w:gridSpan w:val="3"/>
            <w:noWrap/>
            <w:hideMark/>
          </w:tcPr>
          <w:p w14:paraId="0BD88A9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$14.0 </w:t>
            </w:r>
          </w:p>
        </w:tc>
        <w:tc>
          <w:tcPr>
            <w:tcW w:w="1501" w:type="dxa"/>
            <w:gridSpan w:val="4"/>
            <w:noWrap/>
            <w:hideMark/>
          </w:tcPr>
          <w:p w14:paraId="0D4967B9"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$7.0 </w:t>
            </w:r>
          </w:p>
        </w:tc>
        <w:tc>
          <w:tcPr>
            <w:tcW w:w="1500" w:type="dxa"/>
            <w:gridSpan w:val="2"/>
            <w:noWrap/>
            <w:hideMark/>
          </w:tcPr>
          <w:p w14:paraId="541CE5C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644" w:type="dxa"/>
            <w:gridSpan w:val="2"/>
            <w:noWrap/>
            <w:hideMark/>
          </w:tcPr>
          <w:p w14:paraId="73A78DE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$22.0 </w:t>
            </w:r>
          </w:p>
        </w:tc>
      </w:tr>
      <w:tr w:rsidR="00817D35" w:rsidRPr="00817D35" w14:paraId="0A40EDC1"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68861036" w14:textId="77777777" w:rsidR="00817D35" w:rsidRPr="00817D35" w:rsidRDefault="00817D35" w:rsidP="00966B51">
            <w:pPr>
              <w:pStyle w:val="TableofAuthorities"/>
              <w:rPr>
                <w:lang w:eastAsia="en-AU"/>
              </w:rPr>
            </w:pPr>
            <w:r w:rsidRPr="00817D35">
              <w:rPr>
                <w:lang w:eastAsia="en-AU"/>
              </w:rPr>
              <w:t xml:space="preserve">  ◦ Other external direct service costs</w:t>
            </w:r>
          </w:p>
        </w:tc>
        <w:tc>
          <w:tcPr>
            <w:tcW w:w="1500" w:type="dxa"/>
            <w:gridSpan w:val="3"/>
            <w:noWrap/>
            <w:hideMark/>
          </w:tcPr>
          <w:p w14:paraId="7A28D6E2"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$35.0 </w:t>
            </w:r>
          </w:p>
        </w:tc>
        <w:tc>
          <w:tcPr>
            <w:tcW w:w="1501" w:type="dxa"/>
            <w:gridSpan w:val="4"/>
            <w:noWrap/>
            <w:hideMark/>
          </w:tcPr>
          <w:p w14:paraId="0BC8923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$111.0 </w:t>
            </w:r>
          </w:p>
        </w:tc>
        <w:tc>
          <w:tcPr>
            <w:tcW w:w="1500" w:type="dxa"/>
            <w:gridSpan w:val="2"/>
            <w:noWrap/>
            <w:hideMark/>
          </w:tcPr>
          <w:p w14:paraId="289D1F7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$25.0 </w:t>
            </w:r>
          </w:p>
        </w:tc>
        <w:tc>
          <w:tcPr>
            <w:tcW w:w="1644" w:type="dxa"/>
            <w:gridSpan w:val="2"/>
            <w:noWrap/>
            <w:hideMark/>
          </w:tcPr>
          <w:p w14:paraId="2ECD04E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$171.0 </w:t>
            </w:r>
          </w:p>
        </w:tc>
      </w:tr>
      <w:tr w:rsidR="00817D35" w:rsidRPr="00817D35" w14:paraId="6464DCAC"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77EDB98F" w14:textId="77777777" w:rsidR="00817D35" w:rsidRPr="00817D35" w:rsidRDefault="00817D35" w:rsidP="000F6E2B">
            <w:pPr>
              <w:pStyle w:val="TableParagraphbold"/>
              <w:rPr>
                <w:lang w:eastAsia="en-AU"/>
              </w:rPr>
            </w:pPr>
            <w:r w:rsidRPr="00817D35">
              <w:rPr>
                <w:lang w:eastAsia="en-AU"/>
              </w:rPr>
              <w:t>Total external direct service costs expenses</w:t>
            </w:r>
          </w:p>
        </w:tc>
        <w:tc>
          <w:tcPr>
            <w:tcW w:w="1500" w:type="dxa"/>
            <w:gridSpan w:val="3"/>
            <w:shd w:val="clear" w:color="auto" w:fill="D8DBDB" w:themeFill="background2" w:themeFillShade="E6"/>
            <w:hideMark/>
          </w:tcPr>
          <w:p w14:paraId="75F4A8D8"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$531</w:t>
            </w:r>
          </w:p>
        </w:tc>
        <w:tc>
          <w:tcPr>
            <w:tcW w:w="1501" w:type="dxa"/>
            <w:gridSpan w:val="4"/>
            <w:shd w:val="clear" w:color="auto" w:fill="D8DBDB" w:themeFill="background2" w:themeFillShade="E6"/>
            <w:hideMark/>
          </w:tcPr>
          <w:p w14:paraId="45FE5716"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$743</w:t>
            </w:r>
          </w:p>
        </w:tc>
        <w:tc>
          <w:tcPr>
            <w:tcW w:w="1500" w:type="dxa"/>
            <w:gridSpan w:val="2"/>
            <w:shd w:val="clear" w:color="auto" w:fill="D8DBDB" w:themeFill="background2" w:themeFillShade="E6"/>
            <w:hideMark/>
          </w:tcPr>
          <w:p w14:paraId="495FC121"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$103</w:t>
            </w:r>
          </w:p>
        </w:tc>
        <w:tc>
          <w:tcPr>
            <w:tcW w:w="1644" w:type="dxa"/>
            <w:gridSpan w:val="2"/>
            <w:shd w:val="clear" w:color="auto" w:fill="D8DBDB" w:themeFill="background2" w:themeFillShade="E6"/>
            <w:hideMark/>
          </w:tcPr>
          <w:p w14:paraId="7980FC88"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$1,377</w:t>
            </w:r>
          </w:p>
        </w:tc>
      </w:tr>
      <w:tr w:rsidR="00817D35" w:rsidRPr="00817D35" w14:paraId="5CDD9C8D"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0C72A8A6" w14:textId="77777777" w:rsidR="00817D35" w:rsidRPr="00817D35" w:rsidRDefault="00817D35" w:rsidP="000F6E2B">
            <w:pPr>
              <w:pStyle w:val="TableParagraphbold"/>
              <w:rPr>
                <w:lang w:eastAsia="en-AU"/>
              </w:rPr>
            </w:pPr>
            <w:r w:rsidRPr="00817D35">
              <w:rPr>
                <w:lang w:eastAsia="en-AU"/>
              </w:rPr>
              <w:t>Care management</w:t>
            </w:r>
          </w:p>
        </w:tc>
        <w:tc>
          <w:tcPr>
            <w:tcW w:w="1500" w:type="dxa"/>
            <w:gridSpan w:val="3"/>
            <w:shd w:val="clear" w:color="auto" w:fill="D8DBDB" w:themeFill="background2" w:themeFillShade="E6"/>
            <w:hideMark/>
          </w:tcPr>
          <w:p w14:paraId="25BCACF1"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1" w:type="dxa"/>
            <w:gridSpan w:val="4"/>
            <w:shd w:val="clear" w:color="auto" w:fill="D8DBDB" w:themeFill="background2" w:themeFillShade="E6"/>
            <w:hideMark/>
          </w:tcPr>
          <w:p w14:paraId="52435BB6"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0" w:type="dxa"/>
            <w:gridSpan w:val="2"/>
            <w:shd w:val="clear" w:color="auto" w:fill="D8DBDB" w:themeFill="background2" w:themeFillShade="E6"/>
            <w:hideMark/>
          </w:tcPr>
          <w:p w14:paraId="7D223DDD"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644" w:type="dxa"/>
            <w:gridSpan w:val="2"/>
            <w:shd w:val="clear" w:color="auto" w:fill="D8DBDB" w:themeFill="background2" w:themeFillShade="E6"/>
            <w:hideMark/>
          </w:tcPr>
          <w:p w14:paraId="25AC44F1"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r>
      <w:tr w:rsidR="00817D35" w:rsidRPr="00817D35" w14:paraId="3E2E3A5C"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3CCBC69B" w14:textId="77777777" w:rsidR="00817D35" w:rsidRPr="00817D35" w:rsidRDefault="00817D35" w:rsidP="00966B51">
            <w:pPr>
              <w:pStyle w:val="TableofAuthorities"/>
              <w:rPr>
                <w:lang w:eastAsia="en-AU"/>
              </w:rPr>
            </w:pPr>
            <w:r w:rsidRPr="00817D35">
              <w:rPr>
                <w:lang w:eastAsia="en-AU"/>
              </w:rPr>
              <w:t xml:space="preserve">  ◦ Wages and salaries - care management staff</w:t>
            </w:r>
          </w:p>
        </w:tc>
        <w:tc>
          <w:tcPr>
            <w:tcW w:w="1500" w:type="dxa"/>
            <w:gridSpan w:val="3"/>
            <w:noWrap/>
            <w:hideMark/>
          </w:tcPr>
          <w:p w14:paraId="708F0C09"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$131.0 </w:t>
            </w:r>
          </w:p>
        </w:tc>
        <w:tc>
          <w:tcPr>
            <w:tcW w:w="1501" w:type="dxa"/>
            <w:gridSpan w:val="4"/>
            <w:noWrap/>
            <w:hideMark/>
          </w:tcPr>
          <w:p w14:paraId="3ACDAC6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$324.0 </w:t>
            </w:r>
          </w:p>
        </w:tc>
        <w:tc>
          <w:tcPr>
            <w:tcW w:w="1500" w:type="dxa"/>
            <w:gridSpan w:val="2"/>
            <w:noWrap/>
            <w:hideMark/>
          </w:tcPr>
          <w:p w14:paraId="7F5BE46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$40.0 </w:t>
            </w:r>
          </w:p>
        </w:tc>
        <w:tc>
          <w:tcPr>
            <w:tcW w:w="1644" w:type="dxa"/>
            <w:gridSpan w:val="2"/>
            <w:noWrap/>
            <w:hideMark/>
          </w:tcPr>
          <w:p w14:paraId="035710D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$495.0 </w:t>
            </w:r>
          </w:p>
        </w:tc>
      </w:tr>
      <w:tr w:rsidR="00817D35" w:rsidRPr="00817D35" w14:paraId="14426F24"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0E81B9FC" w14:textId="77777777" w:rsidR="00817D35" w:rsidRPr="00817D35" w:rsidRDefault="00817D35" w:rsidP="00966B51">
            <w:pPr>
              <w:pStyle w:val="TableofAuthorities"/>
              <w:rPr>
                <w:lang w:eastAsia="en-AU"/>
              </w:rPr>
            </w:pPr>
            <w:r w:rsidRPr="00817D35">
              <w:rPr>
                <w:lang w:eastAsia="en-AU"/>
              </w:rPr>
              <w:t xml:space="preserve">  ◦ Payroll tax - care management staff</w:t>
            </w:r>
          </w:p>
        </w:tc>
        <w:tc>
          <w:tcPr>
            <w:tcW w:w="1500" w:type="dxa"/>
            <w:gridSpan w:val="3"/>
            <w:noWrap/>
            <w:hideMark/>
          </w:tcPr>
          <w:p w14:paraId="21C8B4D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$6.0 </w:t>
            </w:r>
          </w:p>
        </w:tc>
        <w:tc>
          <w:tcPr>
            <w:tcW w:w="1501" w:type="dxa"/>
            <w:gridSpan w:val="4"/>
            <w:noWrap/>
            <w:hideMark/>
          </w:tcPr>
          <w:p w14:paraId="2BCF649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500" w:type="dxa"/>
            <w:gridSpan w:val="2"/>
            <w:noWrap/>
            <w:hideMark/>
          </w:tcPr>
          <w:p w14:paraId="4E52DAA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644" w:type="dxa"/>
            <w:gridSpan w:val="2"/>
            <w:noWrap/>
            <w:hideMark/>
          </w:tcPr>
          <w:p w14:paraId="5B9C3FA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$7.0 </w:t>
            </w:r>
          </w:p>
        </w:tc>
      </w:tr>
      <w:tr w:rsidR="00817D35" w:rsidRPr="00817D35" w14:paraId="32769206"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53AE7585" w14:textId="77777777" w:rsidR="00817D35" w:rsidRPr="00817D35" w:rsidRDefault="00817D35" w:rsidP="00966B51">
            <w:pPr>
              <w:pStyle w:val="TableofAuthorities"/>
              <w:rPr>
                <w:lang w:eastAsia="en-AU"/>
              </w:rPr>
            </w:pPr>
            <w:r w:rsidRPr="00817D35">
              <w:rPr>
                <w:lang w:eastAsia="en-AU"/>
              </w:rPr>
              <w:t xml:space="preserve">  ◦ Motor vehicle expenses</w:t>
            </w:r>
          </w:p>
        </w:tc>
        <w:tc>
          <w:tcPr>
            <w:tcW w:w="1500" w:type="dxa"/>
            <w:gridSpan w:val="3"/>
            <w:noWrap/>
            <w:hideMark/>
          </w:tcPr>
          <w:p w14:paraId="66DF470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 </w:t>
            </w:r>
          </w:p>
        </w:tc>
        <w:tc>
          <w:tcPr>
            <w:tcW w:w="1501" w:type="dxa"/>
            <w:gridSpan w:val="4"/>
            <w:noWrap/>
            <w:hideMark/>
          </w:tcPr>
          <w:p w14:paraId="1EB5D8D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$9.0 </w:t>
            </w:r>
          </w:p>
        </w:tc>
        <w:tc>
          <w:tcPr>
            <w:tcW w:w="1500" w:type="dxa"/>
            <w:gridSpan w:val="2"/>
            <w:noWrap/>
            <w:hideMark/>
          </w:tcPr>
          <w:p w14:paraId="414BF05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644" w:type="dxa"/>
            <w:gridSpan w:val="2"/>
            <w:noWrap/>
            <w:hideMark/>
          </w:tcPr>
          <w:p w14:paraId="195023B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$13.0 </w:t>
            </w:r>
          </w:p>
        </w:tc>
      </w:tr>
      <w:tr w:rsidR="00817D35" w:rsidRPr="00817D35" w14:paraId="3ECE67F1"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09CCBDA9" w14:textId="77777777" w:rsidR="00817D35" w:rsidRPr="00817D35" w:rsidRDefault="00817D35" w:rsidP="000F6E2B">
            <w:pPr>
              <w:pStyle w:val="TableParagraphbold"/>
              <w:rPr>
                <w:lang w:eastAsia="en-AU"/>
              </w:rPr>
            </w:pPr>
            <w:r w:rsidRPr="00817D35">
              <w:rPr>
                <w:lang w:eastAsia="en-AU"/>
              </w:rPr>
              <w:t>Total care management expenses</w:t>
            </w:r>
          </w:p>
        </w:tc>
        <w:tc>
          <w:tcPr>
            <w:tcW w:w="1500" w:type="dxa"/>
            <w:gridSpan w:val="3"/>
            <w:shd w:val="clear" w:color="auto" w:fill="D8DBDB" w:themeFill="background2" w:themeFillShade="E6"/>
            <w:hideMark/>
          </w:tcPr>
          <w:p w14:paraId="0E94A8D5"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$140</w:t>
            </w:r>
          </w:p>
        </w:tc>
        <w:tc>
          <w:tcPr>
            <w:tcW w:w="1501" w:type="dxa"/>
            <w:gridSpan w:val="4"/>
            <w:shd w:val="clear" w:color="auto" w:fill="D8DBDB" w:themeFill="background2" w:themeFillShade="E6"/>
            <w:hideMark/>
          </w:tcPr>
          <w:p w14:paraId="781D9BD6"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$334</w:t>
            </w:r>
          </w:p>
        </w:tc>
        <w:tc>
          <w:tcPr>
            <w:tcW w:w="1500" w:type="dxa"/>
            <w:gridSpan w:val="2"/>
            <w:shd w:val="clear" w:color="auto" w:fill="D8DBDB" w:themeFill="background2" w:themeFillShade="E6"/>
            <w:hideMark/>
          </w:tcPr>
          <w:p w14:paraId="22F0643E"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$41</w:t>
            </w:r>
          </w:p>
        </w:tc>
        <w:tc>
          <w:tcPr>
            <w:tcW w:w="1644" w:type="dxa"/>
            <w:gridSpan w:val="2"/>
            <w:shd w:val="clear" w:color="auto" w:fill="D8DBDB" w:themeFill="background2" w:themeFillShade="E6"/>
            <w:hideMark/>
          </w:tcPr>
          <w:p w14:paraId="7B426FF8"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$515</w:t>
            </w:r>
          </w:p>
        </w:tc>
      </w:tr>
      <w:tr w:rsidR="00817D35" w:rsidRPr="00817D35" w14:paraId="46F99E76"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0F76634B" w14:textId="77777777" w:rsidR="00817D35" w:rsidRPr="00817D35" w:rsidRDefault="00817D35" w:rsidP="000F6E2B">
            <w:pPr>
              <w:pStyle w:val="TableParagraphbold"/>
              <w:rPr>
                <w:lang w:eastAsia="en-AU"/>
              </w:rPr>
            </w:pPr>
            <w:r w:rsidRPr="00817D35">
              <w:rPr>
                <w:lang w:eastAsia="en-AU"/>
              </w:rPr>
              <w:t>Administration and support</w:t>
            </w:r>
          </w:p>
        </w:tc>
        <w:tc>
          <w:tcPr>
            <w:tcW w:w="1500" w:type="dxa"/>
            <w:gridSpan w:val="3"/>
            <w:shd w:val="clear" w:color="auto" w:fill="D8DBDB" w:themeFill="background2" w:themeFillShade="E6"/>
            <w:hideMark/>
          </w:tcPr>
          <w:p w14:paraId="4BCBE673"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1" w:type="dxa"/>
            <w:gridSpan w:val="4"/>
            <w:shd w:val="clear" w:color="auto" w:fill="D8DBDB" w:themeFill="background2" w:themeFillShade="E6"/>
            <w:hideMark/>
          </w:tcPr>
          <w:p w14:paraId="68549813"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500" w:type="dxa"/>
            <w:gridSpan w:val="2"/>
            <w:shd w:val="clear" w:color="auto" w:fill="D8DBDB" w:themeFill="background2" w:themeFillShade="E6"/>
            <w:hideMark/>
          </w:tcPr>
          <w:p w14:paraId="105B09FD"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c>
          <w:tcPr>
            <w:tcW w:w="1644" w:type="dxa"/>
            <w:gridSpan w:val="2"/>
            <w:shd w:val="clear" w:color="auto" w:fill="D8DBDB" w:themeFill="background2" w:themeFillShade="E6"/>
            <w:hideMark/>
          </w:tcPr>
          <w:p w14:paraId="0F9AF6C5"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w:t>
            </w:r>
          </w:p>
        </w:tc>
      </w:tr>
      <w:tr w:rsidR="00817D35" w:rsidRPr="00817D35" w14:paraId="3AAEC76E"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7140E5DD" w14:textId="77777777" w:rsidR="00817D35" w:rsidRPr="00817D35" w:rsidRDefault="00817D35" w:rsidP="00966B51">
            <w:pPr>
              <w:pStyle w:val="TableofAuthorities"/>
              <w:rPr>
                <w:lang w:eastAsia="en-AU"/>
              </w:rPr>
            </w:pPr>
            <w:r w:rsidRPr="00817D35">
              <w:rPr>
                <w:lang w:eastAsia="en-AU"/>
              </w:rPr>
              <w:t xml:space="preserve">  ◦ Wages and salaries - administration &amp; non-care staff</w:t>
            </w:r>
          </w:p>
        </w:tc>
        <w:tc>
          <w:tcPr>
            <w:tcW w:w="1500" w:type="dxa"/>
            <w:gridSpan w:val="3"/>
            <w:noWrap/>
            <w:hideMark/>
          </w:tcPr>
          <w:p w14:paraId="61BF36A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$150.0 </w:t>
            </w:r>
          </w:p>
        </w:tc>
        <w:tc>
          <w:tcPr>
            <w:tcW w:w="1501" w:type="dxa"/>
            <w:gridSpan w:val="4"/>
            <w:noWrap/>
            <w:hideMark/>
          </w:tcPr>
          <w:p w14:paraId="7FA1CAE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$246.0 </w:t>
            </w:r>
          </w:p>
        </w:tc>
        <w:tc>
          <w:tcPr>
            <w:tcW w:w="1500" w:type="dxa"/>
            <w:gridSpan w:val="2"/>
            <w:noWrap/>
            <w:hideMark/>
          </w:tcPr>
          <w:p w14:paraId="7CF1553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$25.0 </w:t>
            </w:r>
          </w:p>
        </w:tc>
        <w:tc>
          <w:tcPr>
            <w:tcW w:w="1644" w:type="dxa"/>
            <w:gridSpan w:val="2"/>
            <w:noWrap/>
            <w:hideMark/>
          </w:tcPr>
          <w:p w14:paraId="515EBE1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$420.0 </w:t>
            </w:r>
          </w:p>
        </w:tc>
      </w:tr>
      <w:tr w:rsidR="00817D35" w:rsidRPr="00817D35" w14:paraId="7B969112"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5E258959" w14:textId="77777777" w:rsidR="00817D35" w:rsidRPr="00817D35" w:rsidRDefault="00817D35" w:rsidP="00966B51">
            <w:pPr>
              <w:pStyle w:val="TableofAuthorities"/>
              <w:rPr>
                <w:lang w:eastAsia="en-AU"/>
              </w:rPr>
            </w:pPr>
            <w:r w:rsidRPr="00817D35">
              <w:rPr>
                <w:lang w:eastAsia="en-AU"/>
              </w:rPr>
              <w:t xml:space="preserve">  ◦ Workers compensation insurance</w:t>
            </w:r>
          </w:p>
        </w:tc>
        <w:tc>
          <w:tcPr>
            <w:tcW w:w="1500" w:type="dxa"/>
            <w:gridSpan w:val="3"/>
            <w:noWrap/>
            <w:hideMark/>
          </w:tcPr>
          <w:p w14:paraId="6112F29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$15.0 </w:t>
            </w:r>
          </w:p>
        </w:tc>
        <w:tc>
          <w:tcPr>
            <w:tcW w:w="1501" w:type="dxa"/>
            <w:gridSpan w:val="4"/>
            <w:noWrap/>
            <w:hideMark/>
          </w:tcPr>
          <w:p w14:paraId="2EF2AF0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$30.0 </w:t>
            </w:r>
          </w:p>
        </w:tc>
        <w:tc>
          <w:tcPr>
            <w:tcW w:w="1500" w:type="dxa"/>
            <w:gridSpan w:val="2"/>
            <w:noWrap/>
            <w:hideMark/>
          </w:tcPr>
          <w:p w14:paraId="2F32782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644" w:type="dxa"/>
            <w:gridSpan w:val="2"/>
            <w:noWrap/>
            <w:hideMark/>
          </w:tcPr>
          <w:p w14:paraId="3E37BE9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$45.0 </w:t>
            </w:r>
          </w:p>
        </w:tc>
      </w:tr>
      <w:tr w:rsidR="00817D35" w:rsidRPr="00817D35" w14:paraId="7D70CBAC"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5A485BEB" w14:textId="77777777" w:rsidR="00817D35" w:rsidRPr="00817D35" w:rsidRDefault="00817D35" w:rsidP="00966B51">
            <w:pPr>
              <w:pStyle w:val="TableofAuthorities"/>
              <w:rPr>
                <w:lang w:eastAsia="en-AU"/>
              </w:rPr>
            </w:pPr>
            <w:r w:rsidRPr="00817D35">
              <w:rPr>
                <w:lang w:eastAsia="en-AU"/>
              </w:rPr>
              <w:t xml:space="preserve">  ◦ Payroll tax - administration and non-care staff</w:t>
            </w:r>
          </w:p>
        </w:tc>
        <w:tc>
          <w:tcPr>
            <w:tcW w:w="1500" w:type="dxa"/>
            <w:gridSpan w:val="3"/>
            <w:noWrap/>
            <w:hideMark/>
          </w:tcPr>
          <w:p w14:paraId="24FB344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$6.0 </w:t>
            </w:r>
          </w:p>
        </w:tc>
        <w:tc>
          <w:tcPr>
            <w:tcW w:w="1501" w:type="dxa"/>
            <w:gridSpan w:val="4"/>
            <w:noWrap/>
            <w:hideMark/>
          </w:tcPr>
          <w:p w14:paraId="5411E6A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500" w:type="dxa"/>
            <w:gridSpan w:val="2"/>
            <w:noWrap/>
            <w:hideMark/>
          </w:tcPr>
          <w:p w14:paraId="4DC98FF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644" w:type="dxa"/>
            <w:gridSpan w:val="2"/>
            <w:noWrap/>
            <w:hideMark/>
          </w:tcPr>
          <w:p w14:paraId="48A502F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$7.0 </w:t>
            </w:r>
          </w:p>
        </w:tc>
      </w:tr>
      <w:tr w:rsidR="00817D35" w:rsidRPr="00817D35" w14:paraId="29DC5977"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6B4279EC" w14:textId="77777777" w:rsidR="00817D35" w:rsidRPr="00817D35" w:rsidRDefault="00817D35" w:rsidP="000F6E2B">
            <w:pPr>
              <w:pStyle w:val="TableParagraphbold"/>
              <w:rPr>
                <w:lang w:eastAsia="en-AU"/>
              </w:rPr>
            </w:pPr>
            <w:r w:rsidRPr="00817D35">
              <w:rPr>
                <w:lang w:eastAsia="en-AU"/>
              </w:rPr>
              <w:t xml:space="preserve">  ◦ Administration costs and management fees</w:t>
            </w:r>
          </w:p>
        </w:tc>
        <w:tc>
          <w:tcPr>
            <w:tcW w:w="1500" w:type="dxa"/>
            <w:gridSpan w:val="3"/>
            <w:shd w:val="clear" w:color="auto" w:fill="D8DBDB" w:themeFill="background2" w:themeFillShade="E6"/>
            <w:hideMark/>
          </w:tcPr>
          <w:p w14:paraId="704C3710"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$101</w:t>
            </w:r>
          </w:p>
        </w:tc>
        <w:tc>
          <w:tcPr>
            <w:tcW w:w="1501" w:type="dxa"/>
            <w:gridSpan w:val="4"/>
            <w:shd w:val="clear" w:color="auto" w:fill="D8DBDB" w:themeFill="background2" w:themeFillShade="E6"/>
            <w:hideMark/>
          </w:tcPr>
          <w:p w14:paraId="36E9430B"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$367</w:t>
            </w:r>
          </w:p>
        </w:tc>
        <w:tc>
          <w:tcPr>
            <w:tcW w:w="1500" w:type="dxa"/>
            <w:gridSpan w:val="2"/>
            <w:shd w:val="clear" w:color="auto" w:fill="D8DBDB" w:themeFill="background2" w:themeFillShade="E6"/>
            <w:hideMark/>
          </w:tcPr>
          <w:p w14:paraId="2DBDDBEF"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$21</w:t>
            </w:r>
          </w:p>
        </w:tc>
        <w:tc>
          <w:tcPr>
            <w:tcW w:w="1644" w:type="dxa"/>
            <w:gridSpan w:val="2"/>
            <w:shd w:val="clear" w:color="auto" w:fill="D8DBDB" w:themeFill="background2" w:themeFillShade="E6"/>
            <w:hideMark/>
          </w:tcPr>
          <w:p w14:paraId="67AB189E"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$488</w:t>
            </w:r>
          </w:p>
        </w:tc>
      </w:tr>
      <w:tr w:rsidR="00817D35" w:rsidRPr="00817D35" w14:paraId="4F534F0B"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0560EB92" w14:textId="77777777" w:rsidR="00817D35" w:rsidRPr="00817D35" w:rsidRDefault="00817D35" w:rsidP="00966B51">
            <w:pPr>
              <w:pStyle w:val="TableofAuthorities"/>
              <w:rPr>
                <w:lang w:eastAsia="en-AU"/>
              </w:rPr>
            </w:pPr>
            <w:r w:rsidRPr="00817D35">
              <w:rPr>
                <w:lang w:eastAsia="en-AU"/>
              </w:rPr>
              <w:t>- Education/training &amp; quality control expense</w:t>
            </w:r>
          </w:p>
        </w:tc>
        <w:tc>
          <w:tcPr>
            <w:tcW w:w="1500" w:type="dxa"/>
            <w:gridSpan w:val="3"/>
            <w:noWrap/>
            <w:hideMark/>
          </w:tcPr>
          <w:p w14:paraId="723A027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$6.0 </w:t>
            </w:r>
          </w:p>
        </w:tc>
        <w:tc>
          <w:tcPr>
            <w:tcW w:w="1501" w:type="dxa"/>
            <w:gridSpan w:val="4"/>
            <w:noWrap/>
            <w:hideMark/>
          </w:tcPr>
          <w:p w14:paraId="367EC6C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$9.0 </w:t>
            </w:r>
          </w:p>
        </w:tc>
        <w:tc>
          <w:tcPr>
            <w:tcW w:w="1500" w:type="dxa"/>
            <w:gridSpan w:val="2"/>
            <w:noWrap/>
            <w:hideMark/>
          </w:tcPr>
          <w:p w14:paraId="389BEDC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644" w:type="dxa"/>
            <w:gridSpan w:val="2"/>
            <w:noWrap/>
            <w:hideMark/>
          </w:tcPr>
          <w:p w14:paraId="50FE8579"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$15.0 </w:t>
            </w:r>
          </w:p>
        </w:tc>
      </w:tr>
      <w:tr w:rsidR="00817D35" w:rsidRPr="00817D35" w14:paraId="7BC5CCCC"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4A0C3BE7" w14:textId="77777777" w:rsidR="00817D35" w:rsidRPr="00817D35" w:rsidRDefault="00817D35" w:rsidP="00966B51">
            <w:pPr>
              <w:pStyle w:val="TableofAuthorities"/>
              <w:rPr>
                <w:lang w:eastAsia="en-AU"/>
              </w:rPr>
            </w:pPr>
            <w:r w:rsidRPr="00817D35">
              <w:rPr>
                <w:lang w:eastAsia="en-AU"/>
              </w:rPr>
              <w:t>- General insurances</w:t>
            </w:r>
          </w:p>
        </w:tc>
        <w:tc>
          <w:tcPr>
            <w:tcW w:w="1500" w:type="dxa"/>
            <w:gridSpan w:val="3"/>
            <w:noWrap/>
            <w:hideMark/>
          </w:tcPr>
          <w:p w14:paraId="5262DDC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$5.0 </w:t>
            </w:r>
          </w:p>
        </w:tc>
        <w:tc>
          <w:tcPr>
            <w:tcW w:w="1501" w:type="dxa"/>
            <w:gridSpan w:val="4"/>
            <w:noWrap/>
            <w:hideMark/>
          </w:tcPr>
          <w:p w14:paraId="35E281A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$4.0 </w:t>
            </w:r>
          </w:p>
        </w:tc>
        <w:tc>
          <w:tcPr>
            <w:tcW w:w="1500" w:type="dxa"/>
            <w:gridSpan w:val="2"/>
            <w:noWrap/>
            <w:hideMark/>
          </w:tcPr>
          <w:p w14:paraId="4D955250"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644" w:type="dxa"/>
            <w:gridSpan w:val="2"/>
            <w:noWrap/>
            <w:hideMark/>
          </w:tcPr>
          <w:p w14:paraId="7483B50E"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$10.0 </w:t>
            </w:r>
          </w:p>
        </w:tc>
      </w:tr>
      <w:tr w:rsidR="00817D35" w:rsidRPr="00817D35" w14:paraId="2BAFC839"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6E4EB1E8" w14:textId="77777777" w:rsidR="00817D35" w:rsidRPr="00817D35" w:rsidRDefault="00817D35" w:rsidP="00966B51">
            <w:pPr>
              <w:pStyle w:val="TableofAuthorities"/>
              <w:rPr>
                <w:lang w:eastAsia="en-AU"/>
              </w:rPr>
            </w:pPr>
            <w:r w:rsidRPr="00817D35">
              <w:rPr>
                <w:lang w:eastAsia="en-AU"/>
              </w:rPr>
              <w:t>- Rent, utilities, and property outgoings</w:t>
            </w:r>
          </w:p>
        </w:tc>
        <w:tc>
          <w:tcPr>
            <w:tcW w:w="1500" w:type="dxa"/>
            <w:gridSpan w:val="3"/>
            <w:noWrap/>
            <w:hideMark/>
          </w:tcPr>
          <w:p w14:paraId="5C0BFE9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$15.0 </w:t>
            </w:r>
          </w:p>
        </w:tc>
        <w:tc>
          <w:tcPr>
            <w:tcW w:w="1501" w:type="dxa"/>
            <w:gridSpan w:val="4"/>
            <w:noWrap/>
            <w:hideMark/>
          </w:tcPr>
          <w:p w14:paraId="53333462"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$24.0 </w:t>
            </w:r>
          </w:p>
        </w:tc>
        <w:tc>
          <w:tcPr>
            <w:tcW w:w="1500" w:type="dxa"/>
            <w:gridSpan w:val="2"/>
            <w:noWrap/>
            <w:hideMark/>
          </w:tcPr>
          <w:p w14:paraId="6E6D76A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 </w:t>
            </w:r>
          </w:p>
        </w:tc>
        <w:tc>
          <w:tcPr>
            <w:tcW w:w="1644" w:type="dxa"/>
            <w:gridSpan w:val="2"/>
            <w:noWrap/>
            <w:hideMark/>
          </w:tcPr>
          <w:p w14:paraId="786DE9D0"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$41.0 </w:t>
            </w:r>
          </w:p>
        </w:tc>
      </w:tr>
      <w:tr w:rsidR="00817D35" w:rsidRPr="00817D35" w14:paraId="56E0C6B9"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11A10FB2" w14:textId="77777777" w:rsidR="00817D35" w:rsidRPr="00817D35" w:rsidRDefault="00817D35" w:rsidP="00966B51">
            <w:pPr>
              <w:pStyle w:val="TableofAuthorities"/>
              <w:rPr>
                <w:lang w:eastAsia="en-AU"/>
              </w:rPr>
            </w:pPr>
            <w:r w:rsidRPr="00817D35">
              <w:rPr>
                <w:lang w:eastAsia="en-AU"/>
              </w:rPr>
              <w:lastRenderedPageBreak/>
              <w:t>- IT and communication expenses</w:t>
            </w:r>
          </w:p>
        </w:tc>
        <w:tc>
          <w:tcPr>
            <w:tcW w:w="1500" w:type="dxa"/>
            <w:gridSpan w:val="3"/>
            <w:noWrap/>
            <w:hideMark/>
          </w:tcPr>
          <w:p w14:paraId="6AE3E319"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$19.0 </w:t>
            </w:r>
          </w:p>
        </w:tc>
        <w:tc>
          <w:tcPr>
            <w:tcW w:w="1501" w:type="dxa"/>
            <w:gridSpan w:val="4"/>
            <w:noWrap/>
            <w:hideMark/>
          </w:tcPr>
          <w:p w14:paraId="438C223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$26.0 </w:t>
            </w:r>
          </w:p>
        </w:tc>
        <w:tc>
          <w:tcPr>
            <w:tcW w:w="1500" w:type="dxa"/>
            <w:gridSpan w:val="2"/>
            <w:noWrap/>
            <w:hideMark/>
          </w:tcPr>
          <w:p w14:paraId="720902E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 </w:t>
            </w:r>
          </w:p>
        </w:tc>
        <w:tc>
          <w:tcPr>
            <w:tcW w:w="1644" w:type="dxa"/>
            <w:gridSpan w:val="2"/>
            <w:noWrap/>
            <w:hideMark/>
          </w:tcPr>
          <w:p w14:paraId="5EC2165D"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$48.0 </w:t>
            </w:r>
          </w:p>
        </w:tc>
      </w:tr>
      <w:tr w:rsidR="00817D35" w:rsidRPr="00817D35" w14:paraId="3B1F852B"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0834985A" w14:textId="77777777" w:rsidR="00817D35" w:rsidRPr="00817D35" w:rsidRDefault="00817D35" w:rsidP="00966B51">
            <w:pPr>
              <w:pStyle w:val="TableofAuthorities"/>
              <w:rPr>
                <w:lang w:eastAsia="en-AU"/>
              </w:rPr>
            </w:pPr>
            <w:r w:rsidRPr="00817D35">
              <w:rPr>
                <w:lang w:eastAsia="en-AU"/>
              </w:rPr>
              <w:t>- Corporate recharge</w:t>
            </w:r>
          </w:p>
        </w:tc>
        <w:tc>
          <w:tcPr>
            <w:tcW w:w="1500" w:type="dxa"/>
            <w:gridSpan w:val="3"/>
            <w:noWrap/>
            <w:hideMark/>
          </w:tcPr>
          <w:p w14:paraId="64C572C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$10.0 </w:t>
            </w:r>
          </w:p>
        </w:tc>
        <w:tc>
          <w:tcPr>
            <w:tcW w:w="1501" w:type="dxa"/>
            <w:gridSpan w:val="4"/>
            <w:noWrap/>
            <w:hideMark/>
          </w:tcPr>
          <w:p w14:paraId="05D25F4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$257.0 </w:t>
            </w:r>
          </w:p>
        </w:tc>
        <w:tc>
          <w:tcPr>
            <w:tcW w:w="1500" w:type="dxa"/>
            <w:gridSpan w:val="2"/>
            <w:noWrap/>
            <w:hideMark/>
          </w:tcPr>
          <w:p w14:paraId="729E8FE4"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$10.0 </w:t>
            </w:r>
          </w:p>
        </w:tc>
        <w:tc>
          <w:tcPr>
            <w:tcW w:w="1644" w:type="dxa"/>
            <w:gridSpan w:val="2"/>
            <w:noWrap/>
            <w:hideMark/>
          </w:tcPr>
          <w:p w14:paraId="48032141"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$278.0 </w:t>
            </w:r>
          </w:p>
        </w:tc>
      </w:tr>
      <w:tr w:rsidR="00817D35" w:rsidRPr="00817D35" w14:paraId="1641A838"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43449232" w14:textId="77777777" w:rsidR="00817D35" w:rsidRPr="00817D35" w:rsidRDefault="00817D35" w:rsidP="00966B51">
            <w:pPr>
              <w:pStyle w:val="TableofAuthorities"/>
              <w:rPr>
                <w:lang w:eastAsia="en-AU"/>
              </w:rPr>
            </w:pPr>
            <w:r w:rsidRPr="00817D35">
              <w:rPr>
                <w:lang w:eastAsia="en-AU"/>
              </w:rPr>
              <w:t>- Other administration costs</w:t>
            </w:r>
          </w:p>
        </w:tc>
        <w:tc>
          <w:tcPr>
            <w:tcW w:w="1500" w:type="dxa"/>
            <w:gridSpan w:val="3"/>
            <w:noWrap/>
            <w:hideMark/>
          </w:tcPr>
          <w:p w14:paraId="38A95E42"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$44.0 </w:t>
            </w:r>
          </w:p>
        </w:tc>
        <w:tc>
          <w:tcPr>
            <w:tcW w:w="1501" w:type="dxa"/>
            <w:gridSpan w:val="4"/>
            <w:noWrap/>
            <w:hideMark/>
          </w:tcPr>
          <w:p w14:paraId="5491D880"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$47.0 </w:t>
            </w:r>
          </w:p>
        </w:tc>
        <w:tc>
          <w:tcPr>
            <w:tcW w:w="1500" w:type="dxa"/>
            <w:gridSpan w:val="2"/>
            <w:noWrap/>
            <w:hideMark/>
          </w:tcPr>
          <w:p w14:paraId="7A2B8E1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$6.0 </w:t>
            </w:r>
          </w:p>
        </w:tc>
        <w:tc>
          <w:tcPr>
            <w:tcW w:w="1644" w:type="dxa"/>
            <w:gridSpan w:val="2"/>
            <w:noWrap/>
            <w:hideMark/>
          </w:tcPr>
          <w:p w14:paraId="73F8437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$97.0 </w:t>
            </w:r>
          </w:p>
        </w:tc>
      </w:tr>
      <w:tr w:rsidR="00817D35" w:rsidRPr="00817D35" w14:paraId="66DC71A2"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6FDF1A6C" w14:textId="77777777" w:rsidR="00817D35" w:rsidRPr="00817D35" w:rsidRDefault="00817D35" w:rsidP="00966B51">
            <w:pPr>
              <w:pStyle w:val="TableofAuthorities"/>
              <w:rPr>
                <w:lang w:eastAsia="en-AU"/>
              </w:rPr>
            </w:pPr>
            <w:r w:rsidRPr="00817D35">
              <w:rPr>
                <w:lang w:eastAsia="en-AU"/>
              </w:rPr>
              <w:t xml:space="preserve">  ◦ Depreciation expenses</w:t>
            </w:r>
          </w:p>
        </w:tc>
        <w:tc>
          <w:tcPr>
            <w:tcW w:w="1500" w:type="dxa"/>
            <w:gridSpan w:val="3"/>
            <w:noWrap/>
            <w:hideMark/>
          </w:tcPr>
          <w:p w14:paraId="5D05964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$11.0 </w:t>
            </w:r>
          </w:p>
        </w:tc>
        <w:tc>
          <w:tcPr>
            <w:tcW w:w="1501" w:type="dxa"/>
            <w:gridSpan w:val="4"/>
            <w:noWrap/>
            <w:hideMark/>
          </w:tcPr>
          <w:p w14:paraId="3A62CAC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$23.0 </w:t>
            </w:r>
          </w:p>
        </w:tc>
        <w:tc>
          <w:tcPr>
            <w:tcW w:w="1500" w:type="dxa"/>
            <w:gridSpan w:val="2"/>
            <w:noWrap/>
            <w:hideMark/>
          </w:tcPr>
          <w:p w14:paraId="7B0A1BD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644" w:type="dxa"/>
            <w:gridSpan w:val="2"/>
            <w:noWrap/>
            <w:hideMark/>
          </w:tcPr>
          <w:p w14:paraId="4DDB085B"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$34.0 </w:t>
            </w:r>
          </w:p>
        </w:tc>
      </w:tr>
      <w:tr w:rsidR="00817D35" w:rsidRPr="00817D35" w14:paraId="38995CF7"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3200473E" w14:textId="77777777" w:rsidR="00817D35" w:rsidRPr="00817D35" w:rsidRDefault="00817D35" w:rsidP="00966B51">
            <w:pPr>
              <w:pStyle w:val="TableofAuthorities"/>
              <w:rPr>
                <w:lang w:eastAsia="en-AU"/>
              </w:rPr>
            </w:pPr>
            <w:r w:rsidRPr="00817D35">
              <w:rPr>
                <w:lang w:eastAsia="en-AU"/>
              </w:rPr>
              <w:t xml:space="preserve">  ◦ Interest expenses</w:t>
            </w:r>
          </w:p>
        </w:tc>
        <w:tc>
          <w:tcPr>
            <w:tcW w:w="1500" w:type="dxa"/>
            <w:gridSpan w:val="3"/>
            <w:noWrap/>
            <w:hideMark/>
          </w:tcPr>
          <w:p w14:paraId="4FB9E4D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$7.0 </w:t>
            </w:r>
          </w:p>
        </w:tc>
        <w:tc>
          <w:tcPr>
            <w:tcW w:w="1501" w:type="dxa"/>
            <w:gridSpan w:val="4"/>
            <w:noWrap/>
            <w:hideMark/>
          </w:tcPr>
          <w:p w14:paraId="298E2690"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500" w:type="dxa"/>
            <w:gridSpan w:val="2"/>
            <w:noWrap/>
            <w:hideMark/>
          </w:tcPr>
          <w:p w14:paraId="4D6A3D33"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$0.0 </w:t>
            </w:r>
          </w:p>
        </w:tc>
        <w:tc>
          <w:tcPr>
            <w:tcW w:w="1644" w:type="dxa"/>
            <w:gridSpan w:val="2"/>
            <w:noWrap/>
            <w:hideMark/>
          </w:tcPr>
          <w:p w14:paraId="7FBAB407"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$8.0 </w:t>
            </w:r>
          </w:p>
        </w:tc>
      </w:tr>
      <w:tr w:rsidR="00817D35" w:rsidRPr="00817D35" w14:paraId="073DF570"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6E904346" w14:textId="77777777" w:rsidR="00817D35" w:rsidRPr="00817D35" w:rsidRDefault="00817D35" w:rsidP="000F6E2B">
            <w:pPr>
              <w:pStyle w:val="TableParagraphbold"/>
              <w:rPr>
                <w:lang w:eastAsia="en-AU"/>
              </w:rPr>
            </w:pPr>
            <w:r w:rsidRPr="00817D35">
              <w:rPr>
                <w:lang w:eastAsia="en-AU"/>
              </w:rPr>
              <w:t>Total administration and support expenses</w:t>
            </w:r>
          </w:p>
        </w:tc>
        <w:tc>
          <w:tcPr>
            <w:tcW w:w="1500" w:type="dxa"/>
            <w:gridSpan w:val="3"/>
            <w:shd w:val="clear" w:color="auto" w:fill="D8DBDB" w:themeFill="background2" w:themeFillShade="E6"/>
            <w:hideMark/>
          </w:tcPr>
          <w:p w14:paraId="2F71C293"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$290</w:t>
            </w:r>
          </w:p>
        </w:tc>
        <w:tc>
          <w:tcPr>
            <w:tcW w:w="1501" w:type="dxa"/>
            <w:gridSpan w:val="4"/>
            <w:shd w:val="clear" w:color="auto" w:fill="D8DBDB" w:themeFill="background2" w:themeFillShade="E6"/>
            <w:hideMark/>
          </w:tcPr>
          <w:p w14:paraId="3A425BD7"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$666</w:t>
            </w:r>
          </w:p>
        </w:tc>
        <w:tc>
          <w:tcPr>
            <w:tcW w:w="1500" w:type="dxa"/>
            <w:gridSpan w:val="2"/>
            <w:shd w:val="clear" w:color="auto" w:fill="D8DBDB" w:themeFill="background2" w:themeFillShade="E6"/>
            <w:hideMark/>
          </w:tcPr>
          <w:p w14:paraId="1ECA2A2A"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$47</w:t>
            </w:r>
          </w:p>
        </w:tc>
        <w:tc>
          <w:tcPr>
            <w:tcW w:w="1644" w:type="dxa"/>
            <w:gridSpan w:val="2"/>
            <w:shd w:val="clear" w:color="auto" w:fill="D8DBDB" w:themeFill="background2" w:themeFillShade="E6"/>
            <w:hideMark/>
          </w:tcPr>
          <w:p w14:paraId="4CC045AE"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$1,003</w:t>
            </w:r>
          </w:p>
        </w:tc>
      </w:tr>
      <w:tr w:rsidR="00817D35" w:rsidRPr="00817D35" w14:paraId="545875E6" w14:textId="77777777" w:rsidTr="002809E5">
        <w:trPr>
          <w:trHeight w:val="30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6EFD7944" w14:textId="77777777" w:rsidR="00817D35" w:rsidRPr="00817D35" w:rsidRDefault="00817D35" w:rsidP="00966B51">
            <w:pPr>
              <w:pStyle w:val="TableofAuthorities"/>
              <w:rPr>
                <w:lang w:eastAsia="en-AU"/>
              </w:rPr>
            </w:pPr>
            <w:r w:rsidRPr="00817D35">
              <w:rPr>
                <w:lang w:eastAsia="en-AU"/>
              </w:rPr>
              <w:t xml:space="preserve">  ◦ COVID-19 expenses</w:t>
            </w:r>
          </w:p>
        </w:tc>
        <w:tc>
          <w:tcPr>
            <w:tcW w:w="1500" w:type="dxa"/>
            <w:gridSpan w:val="3"/>
            <w:noWrap/>
            <w:hideMark/>
          </w:tcPr>
          <w:p w14:paraId="0D220CA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$7.0 </w:t>
            </w:r>
          </w:p>
        </w:tc>
        <w:tc>
          <w:tcPr>
            <w:tcW w:w="1501" w:type="dxa"/>
            <w:gridSpan w:val="4"/>
            <w:noWrap/>
            <w:hideMark/>
          </w:tcPr>
          <w:p w14:paraId="6E4C52A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$21.0 </w:t>
            </w:r>
          </w:p>
        </w:tc>
        <w:tc>
          <w:tcPr>
            <w:tcW w:w="1500" w:type="dxa"/>
            <w:gridSpan w:val="2"/>
            <w:noWrap/>
            <w:hideMark/>
          </w:tcPr>
          <w:p w14:paraId="010CF29F"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644" w:type="dxa"/>
            <w:gridSpan w:val="2"/>
            <w:noWrap/>
            <w:hideMark/>
          </w:tcPr>
          <w:p w14:paraId="68C478B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$29.0 </w:t>
            </w:r>
          </w:p>
        </w:tc>
      </w:tr>
      <w:tr w:rsidR="00817D35" w:rsidRPr="00817D35" w14:paraId="0BBCD369" w14:textId="77777777" w:rsidTr="002809E5">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noWrap/>
            <w:hideMark/>
          </w:tcPr>
          <w:p w14:paraId="60AFE74C" w14:textId="77777777" w:rsidR="00817D35" w:rsidRPr="00817D35" w:rsidRDefault="00817D35" w:rsidP="00966B51">
            <w:pPr>
              <w:pStyle w:val="TableofAuthorities"/>
              <w:rPr>
                <w:lang w:eastAsia="en-AU"/>
              </w:rPr>
            </w:pPr>
            <w:r w:rsidRPr="00817D35">
              <w:rPr>
                <w:lang w:eastAsia="en-AU"/>
              </w:rPr>
              <w:t xml:space="preserve">  ◦ Other expenses</w:t>
            </w:r>
          </w:p>
        </w:tc>
        <w:tc>
          <w:tcPr>
            <w:tcW w:w="1500" w:type="dxa"/>
            <w:gridSpan w:val="3"/>
            <w:noWrap/>
            <w:hideMark/>
          </w:tcPr>
          <w:p w14:paraId="57493A48"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$18.0 </w:t>
            </w:r>
          </w:p>
        </w:tc>
        <w:tc>
          <w:tcPr>
            <w:tcW w:w="1501" w:type="dxa"/>
            <w:gridSpan w:val="4"/>
            <w:noWrap/>
            <w:hideMark/>
          </w:tcPr>
          <w:p w14:paraId="2F4DB6AC"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$20.0 </w:t>
            </w:r>
          </w:p>
        </w:tc>
        <w:tc>
          <w:tcPr>
            <w:tcW w:w="1500" w:type="dxa"/>
            <w:gridSpan w:val="2"/>
            <w:noWrap/>
            <w:hideMark/>
          </w:tcPr>
          <w:p w14:paraId="5365A825"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$1.0 </w:t>
            </w:r>
          </w:p>
        </w:tc>
        <w:tc>
          <w:tcPr>
            <w:tcW w:w="1644" w:type="dxa"/>
            <w:gridSpan w:val="2"/>
            <w:noWrap/>
            <w:hideMark/>
          </w:tcPr>
          <w:p w14:paraId="7DF06E1A" w14:textId="77777777" w:rsidR="00817D35" w:rsidRPr="00817D35" w:rsidRDefault="00817D35" w:rsidP="00966B51">
            <w:pPr>
              <w:pStyle w:val="TableofAuthorities"/>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$39.0 </w:t>
            </w:r>
          </w:p>
        </w:tc>
      </w:tr>
      <w:tr w:rsidR="00817D35" w:rsidRPr="00817D35" w14:paraId="0E7ACD1E"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66070F46" w14:textId="77777777" w:rsidR="00817D35" w:rsidRPr="00817D35" w:rsidRDefault="00817D35" w:rsidP="000F6E2B">
            <w:pPr>
              <w:pStyle w:val="TableParagraphbold"/>
              <w:rPr>
                <w:lang w:eastAsia="en-AU"/>
              </w:rPr>
            </w:pPr>
            <w:r w:rsidRPr="00817D35">
              <w:rPr>
                <w:lang w:eastAsia="en-AU"/>
              </w:rPr>
              <w:t>Total expenses:</w:t>
            </w:r>
          </w:p>
        </w:tc>
        <w:tc>
          <w:tcPr>
            <w:tcW w:w="1500" w:type="dxa"/>
            <w:gridSpan w:val="3"/>
            <w:shd w:val="clear" w:color="auto" w:fill="D8DBDB" w:themeFill="background2" w:themeFillShade="E6"/>
            <w:noWrap/>
            <w:hideMark/>
          </w:tcPr>
          <w:p w14:paraId="37E1F01C"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$1,447.0 </w:t>
            </w:r>
          </w:p>
        </w:tc>
        <w:tc>
          <w:tcPr>
            <w:tcW w:w="1501" w:type="dxa"/>
            <w:gridSpan w:val="4"/>
            <w:shd w:val="clear" w:color="auto" w:fill="D8DBDB" w:themeFill="background2" w:themeFillShade="E6"/>
            <w:noWrap/>
            <w:hideMark/>
          </w:tcPr>
          <w:p w14:paraId="71C5296D"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$2,796.0 </w:t>
            </w:r>
          </w:p>
        </w:tc>
        <w:tc>
          <w:tcPr>
            <w:tcW w:w="1500" w:type="dxa"/>
            <w:gridSpan w:val="2"/>
            <w:shd w:val="clear" w:color="auto" w:fill="D8DBDB" w:themeFill="background2" w:themeFillShade="E6"/>
            <w:noWrap/>
            <w:hideMark/>
          </w:tcPr>
          <w:p w14:paraId="33D330D6"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$250.0 </w:t>
            </w:r>
          </w:p>
        </w:tc>
        <w:tc>
          <w:tcPr>
            <w:tcW w:w="1644" w:type="dxa"/>
            <w:gridSpan w:val="2"/>
            <w:shd w:val="clear" w:color="auto" w:fill="D8DBDB" w:themeFill="background2" w:themeFillShade="E6"/>
            <w:noWrap/>
            <w:hideMark/>
          </w:tcPr>
          <w:p w14:paraId="48054D7F"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$4,492.0 </w:t>
            </w:r>
          </w:p>
        </w:tc>
      </w:tr>
      <w:tr w:rsidR="00817D35" w:rsidRPr="00817D35" w14:paraId="5FE9F7D8"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395" w:type="dxa"/>
            <w:gridSpan w:val="4"/>
            <w:shd w:val="clear" w:color="auto" w:fill="D8DBDB" w:themeFill="background2" w:themeFillShade="E6"/>
            <w:noWrap/>
            <w:hideMark/>
          </w:tcPr>
          <w:p w14:paraId="181BB26C" w14:textId="77777777" w:rsidR="00817D35" w:rsidRPr="00817D35" w:rsidRDefault="00817D35" w:rsidP="000F6E2B">
            <w:pPr>
              <w:pStyle w:val="TableParagraphbold"/>
              <w:rPr>
                <w:lang w:eastAsia="en-AU"/>
              </w:rPr>
            </w:pPr>
            <w:r w:rsidRPr="00817D35">
              <w:rPr>
                <w:lang w:eastAsia="en-AU"/>
              </w:rPr>
              <w:t>Net profit/(loss) before tax:</w:t>
            </w:r>
          </w:p>
        </w:tc>
        <w:tc>
          <w:tcPr>
            <w:tcW w:w="1500" w:type="dxa"/>
            <w:gridSpan w:val="3"/>
            <w:shd w:val="clear" w:color="auto" w:fill="D8DBDB" w:themeFill="background2" w:themeFillShade="E6"/>
            <w:noWrap/>
            <w:hideMark/>
          </w:tcPr>
          <w:p w14:paraId="79988763"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$74.0 </w:t>
            </w:r>
          </w:p>
        </w:tc>
        <w:tc>
          <w:tcPr>
            <w:tcW w:w="1501" w:type="dxa"/>
            <w:gridSpan w:val="4"/>
            <w:shd w:val="clear" w:color="auto" w:fill="D8DBDB" w:themeFill="background2" w:themeFillShade="E6"/>
            <w:noWrap/>
            <w:hideMark/>
          </w:tcPr>
          <w:p w14:paraId="6B8EDCF8"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$115.0 </w:t>
            </w:r>
          </w:p>
        </w:tc>
        <w:tc>
          <w:tcPr>
            <w:tcW w:w="1500" w:type="dxa"/>
            <w:gridSpan w:val="2"/>
            <w:shd w:val="clear" w:color="auto" w:fill="D8DBDB" w:themeFill="background2" w:themeFillShade="E6"/>
            <w:noWrap/>
            <w:hideMark/>
          </w:tcPr>
          <w:p w14:paraId="62C0079C"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$8.0 </w:t>
            </w:r>
          </w:p>
        </w:tc>
        <w:tc>
          <w:tcPr>
            <w:tcW w:w="1644" w:type="dxa"/>
            <w:gridSpan w:val="2"/>
            <w:shd w:val="clear" w:color="auto" w:fill="D8DBDB" w:themeFill="background2" w:themeFillShade="E6"/>
            <w:noWrap/>
            <w:hideMark/>
          </w:tcPr>
          <w:p w14:paraId="7BF0CCB3" w14:textId="77777777" w:rsidR="00817D35" w:rsidRPr="00817D35" w:rsidRDefault="00817D35" w:rsidP="000F6E2B">
            <w:pPr>
              <w:pStyle w:val="TableParagraphbold"/>
              <w:cnfStyle w:val="000000000000" w:firstRow="0" w:lastRow="0" w:firstColumn="0" w:lastColumn="0" w:oddVBand="0" w:evenVBand="0" w:oddHBand="0" w:evenHBand="0" w:firstRowFirstColumn="0" w:firstRowLastColumn="0" w:lastRowFirstColumn="0" w:lastRowLastColumn="0"/>
              <w:rPr>
                <w:lang w:eastAsia="en-AU"/>
              </w:rPr>
            </w:pPr>
            <w:r w:rsidRPr="00817D35">
              <w:rPr>
                <w:lang w:eastAsia="en-AU"/>
              </w:rPr>
              <w:t xml:space="preserve">$197.0 </w:t>
            </w:r>
          </w:p>
        </w:tc>
      </w:tr>
    </w:tbl>
    <w:p w14:paraId="51128416" w14:textId="638A309B" w:rsidR="00BB111C" w:rsidRPr="002A2E5B" w:rsidRDefault="00BB111C" w:rsidP="002A2E5B">
      <w:r w:rsidRPr="002A2E5B">
        <w:br w:type="page"/>
      </w:r>
    </w:p>
    <w:p w14:paraId="4777977B" w14:textId="1B52E451" w:rsidR="00BB111C" w:rsidRDefault="00BB111C" w:rsidP="009A2881">
      <w:pPr>
        <w:pStyle w:val="Heading2nonumbers"/>
      </w:pPr>
      <w:r>
        <w:lastRenderedPageBreak/>
        <w:t xml:space="preserve">Appendix </w:t>
      </w:r>
      <w:r w:rsidR="008C5BE6">
        <w:t>F</w:t>
      </w:r>
    </w:p>
    <w:p w14:paraId="4246A45E" w14:textId="7ACE95C5" w:rsidR="00640C25" w:rsidRDefault="001D39D3" w:rsidP="001D39D3">
      <w:r w:rsidRPr="001D39D3">
        <w:t xml:space="preserve">Home Care segment income and expense statement, per </w:t>
      </w:r>
      <w:r w:rsidR="00DD1EC4">
        <w:t xml:space="preserve">care </w:t>
      </w:r>
      <w:r w:rsidR="00E61D3A">
        <w:t xml:space="preserve">recipient </w:t>
      </w:r>
      <w:r w:rsidRPr="001D39D3">
        <w:t xml:space="preserve">per day, 2021-22 </w:t>
      </w:r>
    </w:p>
    <w:tbl>
      <w:tblPr>
        <w:tblStyle w:val="DepartmentofHealthtable"/>
        <w:tblW w:w="9923" w:type="dxa"/>
        <w:tblLayout w:type="fixed"/>
        <w:tblLook w:val="04A0" w:firstRow="1" w:lastRow="0" w:firstColumn="1" w:lastColumn="0" w:noHBand="0" w:noVBand="1"/>
      </w:tblPr>
      <w:tblGrid>
        <w:gridCol w:w="2366"/>
        <w:gridCol w:w="2367"/>
        <w:gridCol w:w="69"/>
        <w:gridCol w:w="1166"/>
        <w:gridCol w:w="1167"/>
        <w:gridCol w:w="1167"/>
        <w:gridCol w:w="1621"/>
      </w:tblGrid>
      <w:tr w:rsidR="00640C25" w:rsidRPr="000F2921" w14:paraId="0D0C3FA4" w14:textId="77777777" w:rsidTr="00EC6496">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802" w:type="dxa"/>
            <w:gridSpan w:val="3"/>
            <w:hideMark/>
          </w:tcPr>
          <w:p w14:paraId="2B1C72C1" w14:textId="0245D66E" w:rsidR="00640C25" w:rsidRPr="000F2921" w:rsidRDefault="00640C25" w:rsidP="000F2921">
            <w:pPr>
              <w:pStyle w:val="TableHeaderWhite"/>
            </w:pPr>
          </w:p>
        </w:tc>
        <w:tc>
          <w:tcPr>
            <w:tcW w:w="1166" w:type="dxa"/>
            <w:hideMark/>
          </w:tcPr>
          <w:p w14:paraId="7D6B3053" w14:textId="77777777" w:rsidR="00640C25" w:rsidRPr="000F2921" w:rsidRDefault="00640C25" w:rsidP="000F2921">
            <w:pPr>
              <w:pStyle w:val="TableHeaderWhite"/>
              <w:cnfStyle w:val="100000000000" w:firstRow="1" w:lastRow="0" w:firstColumn="0" w:lastColumn="0" w:oddVBand="0" w:evenVBand="0" w:oddHBand="0" w:evenHBand="0" w:firstRowFirstColumn="0" w:firstRowLastColumn="0" w:lastRowFirstColumn="0" w:lastRowLastColumn="0"/>
            </w:pPr>
            <w:r w:rsidRPr="000F2921">
              <w:t>For Profit</w:t>
            </w:r>
          </w:p>
        </w:tc>
        <w:tc>
          <w:tcPr>
            <w:tcW w:w="1167" w:type="dxa"/>
            <w:hideMark/>
          </w:tcPr>
          <w:p w14:paraId="1429D4AB" w14:textId="77777777" w:rsidR="00640C25" w:rsidRPr="000F2921" w:rsidRDefault="00640C25" w:rsidP="000F2921">
            <w:pPr>
              <w:pStyle w:val="TableHeaderWhite"/>
              <w:cnfStyle w:val="100000000000" w:firstRow="1" w:lastRow="0" w:firstColumn="0" w:lastColumn="0" w:oddVBand="0" w:evenVBand="0" w:oddHBand="0" w:evenHBand="0" w:firstRowFirstColumn="0" w:firstRowLastColumn="0" w:lastRowFirstColumn="0" w:lastRowLastColumn="0"/>
            </w:pPr>
            <w:r w:rsidRPr="000F2921">
              <w:t>Not For Profit</w:t>
            </w:r>
          </w:p>
        </w:tc>
        <w:tc>
          <w:tcPr>
            <w:tcW w:w="1167" w:type="dxa"/>
            <w:hideMark/>
          </w:tcPr>
          <w:p w14:paraId="23D068FB" w14:textId="77777777" w:rsidR="00640C25" w:rsidRPr="000F2921" w:rsidRDefault="00640C25" w:rsidP="000F2921">
            <w:pPr>
              <w:pStyle w:val="TableHeaderWhite"/>
              <w:cnfStyle w:val="100000000000" w:firstRow="1" w:lastRow="0" w:firstColumn="0" w:lastColumn="0" w:oddVBand="0" w:evenVBand="0" w:oddHBand="0" w:evenHBand="0" w:firstRowFirstColumn="0" w:firstRowLastColumn="0" w:lastRowFirstColumn="0" w:lastRowLastColumn="0"/>
            </w:pPr>
            <w:r w:rsidRPr="000F2921">
              <w:t>LST</w:t>
            </w:r>
          </w:p>
        </w:tc>
        <w:tc>
          <w:tcPr>
            <w:tcW w:w="1621" w:type="dxa"/>
            <w:hideMark/>
          </w:tcPr>
          <w:p w14:paraId="0D583C41" w14:textId="77777777" w:rsidR="00640C25" w:rsidRPr="000F2921" w:rsidRDefault="00640C25" w:rsidP="000F2921">
            <w:pPr>
              <w:pStyle w:val="TableHeaderWhite"/>
              <w:cnfStyle w:val="100000000000" w:firstRow="1" w:lastRow="0" w:firstColumn="0" w:lastColumn="0" w:oddVBand="0" w:evenVBand="0" w:oddHBand="0" w:evenHBand="0" w:firstRowFirstColumn="0" w:firstRowLastColumn="0" w:lastRowFirstColumn="0" w:lastRowLastColumn="0"/>
            </w:pPr>
            <w:r w:rsidRPr="000F2921">
              <w:t>All Providers</w:t>
            </w:r>
          </w:p>
        </w:tc>
      </w:tr>
      <w:tr w:rsidR="00640C25" w:rsidRPr="00640C25" w14:paraId="4D5C34BE"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29F228A2" w14:textId="77777777" w:rsidR="00640C25" w:rsidRPr="000F2921" w:rsidRDefault="00640C25" w:rsidP="000F2921">
            <w:pPr>
              <w:pStyle w:val="TableParagraphbold"/>
            </w:pPr>
            <w:r w:rsidRPr="000F2921">
              <w:t>Income</w:t>
            </w:r>
          </w:p>
        </w:tc>
        <w:tc>
          <w:tcPr>
            <w:tcW w:w="1166" w:type="dxa"/>
            <w:shd w:val="clear" w:color="auto" w:fill="D8DBDB" w:themeFill="background2" w:themeFillShade="E6"/>
            <w:noWrap/>
            <w:hideMark/>
          </w:tcPr>
          <w:p w14:paraId="4A0D8F37" w14:textId="6254A93D"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053C0BF3" w14:textId="64ED80F8"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6BA30A05" w14:textId="067994F2"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621" w:type="dxa"/>
            <w:shd w:val="clear" w:color="auto" w:fill="D8DBDB" w:themeFill="background2" w:themeFillShade="E6"/>
            <w:noWrap/>
            <w:hideMark/>
          </w:tcPr>
          <w:p w14:paraId="68C44A1D" w14:textId="0153BC25"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r>
      <w:tr w:rsidR="00640C25" w:rsidRPr="00640C25" w14:paraId="53434858"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656040AD" w14:textId="77777777" w:rsidR="00640C25" w:rsidRPr="000F2921" w:rsidRDefault="00640C25" w:rsidP="000F2921">
            <w:pPr>
              <w:pStyle w:val="TableofAuthorities"/>
            </w:pPr>
            <w:r w:rsidRPr="000F2921">
              <w:t xml:space="preserve">  ◦ Direct care services</w:t>
            </w:r>
          </w:p>
        </w:tc>
        <w:tc>
          <w:tcPr>
            <w:tcW w:w="1166" w:type="dxa"/>
            <w:noWrap/>
            <w:hideMark/>
          </w:tcPr>
          <w:p w14:paraId="389E1D04" w14:textId="04657BB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$27.4</w:t>
            </w:r>
          </w:p>
        </w:tc>
        <w:tc>
          <w:tcPr>
            <w:tcW w:w="1167" w:type="dxa"/>
            <w:noWrap/>
            <w:hideMark/>
          </w:tcPr>
          <w:p w14:paraId="24CBF912" w14:textId="4447A54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$30.7</w:t>
            </w:r>
          </w:p>
        </w:tc>
        <w:tc>
          <w:tcPr>
            <w:tcW w:w="1167" w:type="dxa"/>
            <w:noWrap/>
            <w:hideMark/>
          </w:tcPr>
          <w:p w14:paraId="401F007B" w14:textId="0B9D321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$15.5</w:t>
            </w:r>
          </w:p>
        </w:tc>
        <w:tc>
          <w:tcPr>
            <w:tcW w:w="1621" w:type="dxa"/>
            <w:noWrap/>
            <w:hideMark/>
          </w:tcPr>
          <w:p w14:paraId="00623977" w14:textId="2896FF3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$28.8</w:t>
            </w:r>
          </w:p>
        </w:tc>
      </w:tr>
      <w:tr w:rsidR="00640C25" w:rsidRPr="00640C25" w14:paraId="78B43BB3"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573B4810" w14:textId="77777777" w:rsidR="00640C25" w:rsidRPr="000F2921" w:rsidRDefault="00640C25" w:rsidP="000F2921">
            <w:pPr>
              <w:pStyle w:val="TableofAuthorities"/>
            </w:pPr>
            <w:r w:rsidRPr="000F2921">
              <w:t>- Domestic</w:t>
            </w:r>
          </w:p>
        </w:tc>
        <w:tc>
          <w:tcPr>
            <w:tcW w:w="1166" w:type="dxa"/>
            <w:noWrap/>
            <w:hideMark/>
          </w:tcPr>
          <w:p w14:paraId="18486BDA" w14:textId="43C97B3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$16.6</w:t>
            </w:r>
          </w:p>
        </w:tc>
        <w:tc>
          <w:tcPr>
            <w:tcW w:w="1167" w:type="dxa"/>
            <w:noWrap/>
            <w:hideMark/>
          </w:tcPr>
          <w:p w14:paraId="2D5E3C19" w14:textId="238869C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$20.4</w:t>
            </w:r>
          </w:p>
        </w:tc>
        <w:tc>
          <w:tcPr>
            <w:tcW w:w="1167" w:type="dxa"/>
            <w:noWrap/>
            <w:hideMark/>
          </w:tcPr>
          <w:p w14:paraId="133463E0" w14:textId="434E189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$10.5</w:t>
            </w:r>
          </w:p>
        </w:tc>
        <w:tc>
          <w:tcPr>
            <w:tcW w:w="1621" w:type="dxa"/>
            <w:noWrap/>
            <w:hideMark/>
          </w:tcPr>
          <w:p w14:paraId="5BE84537" w14:textId="2611F58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$18.6</w:t>
            </w:r>
          </w:p>
        </w:tc>
      </w:tr>
      <w:tr w:rsidR="00640C25" w:rsidRPr="00640C25" w14:paraId="195E7A6B"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3563315F" w14:textId="77777777" w:rsidR="00640C25" w:rsidRPr="000F2921" w:rsidRDefault="00640C25" w:rsidP="000F2921">
            <w:pPr>
              <w:pStyle w:val="TableofAuthorities"/>
            </w:pPr>
            <w:r w:rsidRPr="000F2921">
              <w:t>- Nursing</w:t>
            </w:r>
          </w:p>
        </w:tc>
        <w:tc>
          <w:tcPr>
            <w:tcW w:w="1166" w:type="dxa"/>
            <w:noWrap/>
            <w:hideMark/>
          </w:tcPr>
          <w:p w14:paraId="3969E05B" w14:textId="1A0611D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$3.2</w:t>
            </w:r>
          </w:p>
        </w:tc>
        <w:tc>
          <w:tcPr>
            <w:tcW w:w="1167" w:type="dxa"/>
            <w:noWrap/>
            <w:hideMark/>
          </w:tcPr>
          <w:p w14:paraId="2DD0CA8B" w14:textId="75E83DD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$1.1</w:t>
            </w:r>
          </w:p>
        </w:tc>
        <w:tc>
          <w:tcPr>
            <w:tcW w:w="1167" w:type="dxa"/>
            <w:noWrap/>
            <w:hideMark/>
          </w:tcPr>
          <w:p w14:paraId="3DF6F4E9" w14:textId="6999A39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$1.1</w:t>
            </w:r>
          </w:p>
        </w:tc>
        <w:tc>
          <w:tcPr>
            <w:tcW w:w="1621" w:type="dxa"/>
            <w:noWrap/>
            <w:hideMark/>
          </w:tcPr>
          <w:p w14:paraId="461E743F" w14:textId="4626D2E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$1.8</w:t>
            </w:r>
          </w:p>
        </w:tc>
      </w:tr>
      <w:tr w:rsidR="00640C25" w:rsidRPr="00640C25" w14:paraId="1F4A1082"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588B1311" w14:textId="77777777" w:rsidR="00640C25" w:rsidRPr="000F2921" w:rsidRDefault="00640C25" w:rsidP="000F2921">
            <w:pPr>
              <w:pStyle w:val="TableofAuthorities"/>
            </w:pPr>
            <w:r w:rsidRPr="000F2921">
              <w:t>- Allied health</w:t>
            </w:r>
          </w:p>
        </w:tc>
        <w:tc>
          <w:tcPr>
            <w:tcW w:w="1166" w:type="dxa"/>
            <w:noWrap/>
            <w:hideMark/>
          </w:tcPr>
          <w:p w14:paraId="6A6755DB" w14:textId="5A76582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167" w:type="dxa"/>
            <w:noWrap/>
            <w:hideMark/>
          </w:tcPr>
          <w:p w14:paraId="195594DE" w14:textId="09201D9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$1.0</w:t>
            </w:r>
          </w:p>
        </w:tc>
        <w:tc>
          <w:tcPr>
            <w:tcW w:w="1167" w:type="dxa"/>
            <w:noWrap/>
            <w:hideMark/>
          </w:tcPr>
          <w:p w14:paraId="033CC81E" w14:textId="301C12C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c>
          <w:tcPr>
            <w:tcW w:w="1621" w:type="dxa"/>
            <w:noWrap/>
            <w:hideMark/>
          </w:tcPr>
          <w:p w14:paraId="4DD5D49B" w14:textId="40085B5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r>
      <w:tr w:rsidR="00640C25" w:rsidRPr="00640C25" w14:paraId="7EABDAB8"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77681FAB" w14:textId="77777777" w:rsidR="00640C25" w:rsidRPr="000F2921" w:rsidRDefault="00640C25" w:rsidP="000F2921">
            <w:pPr>
              <w:pStyle w:val="TableofAuthorities"/>
            </w:pPr>
            <w:r w:rsidRPr="000F2921">
              <w:t>- Other</w:t>
            </w:r>
          </w:p>
        </w:tc>
        <w:tc>
          <w:tcPr>
            <w:tcW w:w="1166" w:type="dxa"/>
            <w:noWrap/>
            <w:hideMark/>
          </w:tcPr>
          <w:p w14:paraId="7093D828" w14:textId="1BA501A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$7.4</w:t>
            </w:r>
          </w:p>
        </w:tc>
        <w:tc>
          <w:tcPr>
            <w:tcW w:w="1167" w:type="dxa"/>
            <w:noWrap/>
            <w:hideMark/>
          </w:tcPr>
          <w:p w14:paraId="72D86C3E" w14:textId="243D56D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$8.3</w:t>
            </w:r>
          </w:p>
        </w:tc>
        <w:tc>
          <w:tcPr>
            <w:tcW w:w="1167" w:type="dxa"/>
            <w:noWrap/>
            <w:hideMark/>
          </w:tcPr>
          <w:p w14:paraId="73BD6E25" w14:textId="60390A2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$3.3</w:t>
            </w:r>
          </w:p>
        </w:tc>
        <w:tc>
          <w:tcPr>
            <w:tcW w:w="1621" w:type="dxa"/>
            <w:noWrap/>
            <w:hideMark/>
          </w:tcPr>
          <w:p w14:paraId="453789BC" w14:textId="0748A0F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$7.7</w:t>
            </w:r>
          </w:p>
        </w:tc>
      </w:tr>
      <w:tr w:rsidR="00640C25" w:rsidRPr="00640C25" w14:paraId="777FF14F"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1F2B47D" w14:textId="77777777" w:rsidR="00640C25" w:rsidRPr="000F2921" w:rsidRDefault="00640C25" w:rsidP="000F2921">
            <w:pPr>
              <w:pStyle w:val="TableofAuthorities"/>
            </w:pPr>
            <w:r w:rsidRPr="000F2921">
              <w:t xml:space="preserve">  ◦ Sub-contracted services</w:t>
            </w:r>
          </w:p>
        </w:tc>
        <w:tc>
          <w:tcPr>
            <w:tcW w:w="1166" w:type="dxa"/>
            <w:noWrap/>
            <w:hideMark/>
          </w:tcPr>
          <w:p w14:paraId="7702EBC2" w14:textId="0854E3A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$15.4</w:t>
            </w:r>
          </w:p>
        </w:tc>
        <w:tc>
          <w:tcPr>
            <w:tcW w:w="1167" w:type="dxa"/>
            <w:noWrap/>
            <w:hideMark/>
          </w:tcPr>
          <w:p w14:paraId="461B7533" w14:textId="3BAF2E8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$13.6</w:t>
            </w:r>
          </w:p>
        </w:tc>
        <w:tc>
          <w:tcPr>
            <w:tcW w:w="1167" w:type="dxa"/>
            <w:noWrap/>
            <w:hideMark/>
          </w:tcPr>
          <w:p w14:paraId="266C0BF5" w14:textId="4A99B4B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$22.8</w:t>
            </w:r>
          </w:p>
        </w:tc>
        <w:tc>
          <w:tcPr>
            <w:tcW w:w="1621" w:type="dxa"/>
            <w:noWrap/>
            <w:hideMark/>
          </w:tcPr>
          <w:p w14:paraId="1A137519" w14:textId="05B75E2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$14.7</w:t>
            </w:r>
          </w:p>
        </w:tc>
      </w:tr>
      <w:tr w:rsidR="00640C25" w:rsidRPr="00640C25" w14:paraId="1C837903"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2594A81" w14:textId="77777777" w:rsidR="00640C25" w:rsidRPr="000F2921" w:rsidRDefault="00640C25" w:rsidP="000F2921">
            <w:pPr>
              <w:pStyle w:val="TableofAuthorities"/>
            </w:pPr>
            <w:r w:rsidRPr="000F2921">
              <w:t>- Domestic</w:t>
            </w:r>
          </w:p>
        </w:tc>
        <w:tc>
          <w:tcPr>
            <w:tcW w:w="1166" w:type="dxa"/>
            <w:noWrap/>
            <w:hideMark/>
          </w:tcPr>
          <w:p w14:paraId="368BF26F" w14:textId="66A3A714"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$4.7</w:t>
            </w:r>
          </w:p>
        </w:tc>
        <w:tc>
          <w:tcPr>
            <w:tcW w:w="1167" w:type="dxa"/>
            <w:noWrap/>
            <w:hideMark/>
          </w:tcPr>
          <w:p w14:paraId="31E04F50" w14:textId="2F4D8AD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$3.6</w:t>
            </w:r>
          </w:p>
        </w:tc>
        <w:tc>
          <w:tcPr>
            <w:tcW w:w="1167" w:type="dxa"/>
            <w:noWrap/>
            <w:hideMark/>
          </w:tcPr>
          <w:p w14:paraId="054F8962" w14:textId="4CD485D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$8.1</w:t>
            </w:r>
          </w:p>
        </w:tc>
        <w:tc>
          <w:tcPr>
            <w:tcW w:w="1621" w:type="dxa"/>
            <w:noWrap/>
            <w:hideMark/>
          </w:tcPr>
          <w:p w14:paraId="5756157E" w14:textId="101F6F3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$4.2</w:t>
            </w:r>
          </w:p>
        </w:tc>
      </w:tr>
      <w:tr w:rsidR="00640C25" w:rsidRPr="00640C25" w14:paraId="21301E1E"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7AC633B0" w14:textId="77777777" w:rsidR="00640C25" w:rsidRPr="000F2921" w:rsidRDefault="00640C25" w:rsidP="000F2921">
            <w:pPr>
              <w:pStyle w:val="TableofAuthorities"/>
            </w:pPr>
            <w:r w:rsidRPr="000F2921">
              <w:t>- Nursing</w:t>
            </w:r>
          </w:p>
        </w:tc>
        <w:tc>
          <w:tcPr>
            <w:tcW w:w="1166" w:type="dxa"/>
            <w:noWrap/>
            <w:hideMark/>
          </w:tcPr>
          <w:p w14:paraId="20B9F1B5" w14:textId="20FB1A6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167" w:type="dxa"/>
            <w:noWrap/>
            <w:hideMark/>
          </w:tcPr>
          <w:p w14:paraId="187A6F85" w14:textId="5C2FBCF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$0.4</w:t>
            </w:r>
          </w:p>
        </w:tc>
        <w:tc>
          <w:tcPr>
            <w:tcW w:w="1167" w:type="dxa"/>
            <w:noWrap/>
            <w:hideMark/>
          </w:tcPr>
          <w:p w14:paraId="2C14EEB9" w14:textId="2E709B9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c>
          <w:tcPr>
            <w:tcW w:w="1621" w:type="dxa"/>
            <w:noWrap/>
            <w:hideMark/>
          </w:tcPr>
          <w:p w14:paraId="3A170BE5" w14:textId="310D6CC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r>
      <w:tr w:rsidR="00640C25" w:rsidRPr="00640C25" w14:paraId="3E38B45C"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4E003B24" w14:textId="77777777" w:rsidR="00640C25" w:rsidRPr="000F2921" w:rsidRDefault="00640C25" w:rsidP="000F2921">
            <w:pPr>
              <w:pStyle w:val="TableofAuthorities"/>
            </w:pPr>
            <w:r w:rsidRPr="000F2921">
              <w:t>- Allied health</w:t>
            </w:r>
          </w:p>
        </w:tc>
        <w:tc>
          <w:tcPr>
            <w:tcW w:w="1166" w:type="dxa"/>
            <w:noWrap/>
            <w:hideMark/>
          </w:tcPr>
          <w:p w14:paraId="79E9B089" w14:textId="6B1323B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$1.8</w:t>
            </w:r>
          </w:p>
        </w:tc>
        <w:tc>
          <w:tcPr>
            <w:tcW w:w="1167" w:type="dxa"/>
            <w:noWrap/>
            <w:hideMark/>
          </w:tcPr>
          <w:p w14:paraId="15267D85" w14:textId="584D6B3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$1.7</w:t>
            </w:r>
          </w:p>
        </w:tc>
        <w:tc>
          <w:tcPr>
            <w:tcW w:w="1167" w:type="dxa"/>
            <w:noWrap/>
            <w:hideMark/>
          </w:tcPr>
          <w:p w14:paraId="00AA13A3" w14:textId="2D16C0B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$1.9</w:t>
            </w:r>
          </w:p>
        </w:tc>
        <w:tc>
          <w:tcPr>
            <w:tcW w:w="1621" w:type="dxa"/>
            <w:noWrap/>
            <w:hideMark/>
          </w:tcPr>
          <w:p w14:paraId="17C01029" w14:textId="5CEC455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$1.8</w:t>
            </w:r>
          </w:p>
        </w:tc>
      </w:tr>
      <w:tr w:rsidR="00640C25" w:rsidRPr="00640C25" w14:paraId="36C2DE95"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06C0CFF" w14:textId="77777777" w:rsidR="00640C25" w:rsidRPr="000F2921" w:rsidRDefault="00640C25" w:rsidP="000F2921">
            <w:pPr>
              <w:pStyle w:val="TableofAuthorities"/>
            </w:pPr>
            <w:r w:rsidRPr="000F2921">
              <w:t>- Other</w:t>
            </w:r>
          </w:p>
        </w:tc>
        <w:tc>
          <w:tcPr>
            <w:tcW w:w="1166" w:type="dxa"/>
            <w:noWrap/>
            <w:hideMark/>
          </w:tcPr>
          <w:p w14:paraId="6C3B4D14" w14:textId="6F2CBCB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$8.4</w:t>
            </w:r>
          </w:p>
        </w:tc>
        <w:tc>
          <w:tcPr>
            <w:tcW w:w="1167" w:type="dxa"/>
            <w:noWrap/>
            <w:hideMark/>
          </w:tcPr>
          <w:p w14:paraId="3A08EC2E" w14:textId="224FEB4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$7.8</w:t>
            </w:r>
          </w:p>
        </w:tc>
        <w:tc>
          <w:tcPr>
            <w:tcW w:w="1167" w:type="dxa"/>
            <w:noWrap/>
            <w:hideMark/>
          </w:tcPr>
          <w:p w14:paraId="03597A8E" w14:textId="6F02E5E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$12.1</w:t>
            </w:r>
          </w:p>
        </w:tc>
        <w:tc>
          <w:tcPr>
            <w:tcW w:w="1621" w:type="dxa"/>
            <w:noWrap/>
            <w:hideMark/>
          </w:tcPr>
          <w:p w14:paraId="1ABF44E6" w14:textId="5D39BAB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$8.2</w:t>
            </w:r>
          </w:p>
        </w:tc>
      </w:tr>
      <w:tr w:rsidR="00640C25" w:rsidRPr="00640C25" w14:paraId="3A091F4E"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6CE1C85A" w14:textId="77777777" w:rsidR="00640C25" w:rsidRPr="000F2921" w:rsidRDefault="00640C25" w:rsidP="000F2921">
            <w:pPr>
              <w:pStyle w:val="TableofAuthorities"/>
            </w:pPr>
            <w:r w:rsidRPr="000F2921">
              <w:t xml:space="preserve">  ◦ Care management service fees</w:t>
            </w:r>
          </w:p>
        </w:tc>
        <w:tc>
          <w:tcPr>
            <w:tcW w:w="1166" w:type="dxa"/>
            <w:noWrap/>
            <w:hideMark/>
          </w:tcPr>
          <w:p w14:paraId="2CD016D0" w14:textId="0ABCA72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$8.1</w:t>
            </w:r>
          </w:p>
        </w:tc>
        <w:tc>
          <w:tcPr>
            <w:tcW w:w="1167" w:type="dxa"/>
            <w:noWrap/>
            <w:hideMark/>
          </w:tcPr>
          <w:p w14:paraId="4607F59D" w14:textId="0265E84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$12.2</w:t>
            </w:r>
          </w:p>
        </w:tc>
        <w:tc>
          <w:tcPr>
            <w:tcW w:w="1167" w:type="dxa"/>
            <w:noWrap/>
            <w:hideMark/>
          </w:tcPr>
          <w:p w14:paraId="3A666FE3" w14:textId="1A8D96F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$12.4</w:t>
            </w:r>
          </w:p>
        </w:tc>
        <w:tc>
          <w:tcPr>
            <w:tcW w:w="1621" w:type="dxa"/>
            <w:noWrap/>
            <w:hideMark/>
          </w:tcPr>
          <w:p w14:paraId="06DF27DE" w14:textId="44E6003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$10.9</w:t>
            </w:r>
          </w:p>
        </w:tc>
      </w:tr>
      <w:tr w:rsidR="00640C25" w:rsidRPr="00640C25" w14:paraId="0131A6CB"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B02BAE5" w14:textId="77777777" w:rsidR="00640C25" w:rsidRPr="000F2921" w:rsidRDefault="00640C25" w:rsidP="000F2921">
            <w:pPr>
              <w:pStyle w:val="TableofAuthorities"/>
            </w:pPr>
            <w:r w:rsidRPr="000F2921">
              <w:t xml:space="preserve">  ◦ Package management service fees</w:t>
            </w:r>
          </w:p>
        </w:tc>
        <w:tc>
          <w:tcPr>
            <w:tcW w:w="1166" w:type="dxa"/>
            <w:noWrap/>
            <w:hideMark/>
          </w:tcPr>
          <w:p w14:paraId="02C8A894" w14:textId="46A21C9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$7.1</w:t>
            </w:r>
          </w:p>
        </w:tc>
        <w:tc>
          <w:tcPr>
            <w:tcW w:w="1167" w:type="dxa"/>
            <w:noWrap/>
            <w:hideMark/>
          </w:tcPr>
          <w:p w14:paraId="66F7F0E2" w14:textId="542F769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$7.7</w:t>
            </w:r>
          </w:p>
        </w:tc>
        <w:tc>
          <w:tcPr>
            <w:tcW w:w="1167" w:type="dxa"/>
            <w:noWrap/>
            <w:hideMark/>
          </w:tcPr>
          <w:p w14:paraId="50E0F401" w14:textId="3BE55F5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$10.0</w:t>
            </w:r>
          </w:p>
        </w:tc>
        <w:tc>
          <w:tcPr>
            <w:tcW w:w="1621" w:type="dxa"/>
            <w:noWrap/>
            <w:hideMark/>
          </w:tcPr>
          <w:p w14:paraId="60FDBC67" w14:textId="69884AD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$7.6</w:t>
            </w:r>
          </w:p>
        </w:tc>
      </w:tr>
      <w:tr w:rsidR="00640C25" w:rsidRPr="00640C25" w14:paraId="2FCDCEDC"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68D87862" w14:textId="77777777" w:rsidR="00640C25" w:rsidRPr="000F2921" w:rsidRDefault="00640C25" w:rsidP="000F2921">
            <w:pPr>
              <w:pStyle w:val="TableofAuthorities"/>
            </w:pPr>
            <w:r w:rsidRPr="000F2921">
              <w:t xml:space="preserve">  ◦ Exit amounts deducted</w:t>
            </w:r>
          </w:p>
        </w:tc>
        <w:tc>
          <w:tcPr>
            <w:tcW w:w="1166" w:type="dxa"/>
            <w:noWrap/>
            <w:hideMark/>
          </w:tcPr>
          <w:p w14:paraId="538F421C" w14:textId="2CAB6AE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39E810CD" w14:textId="4730E91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167" w:type="dxa"/>
            <w:noWrap/>
            <w:hideMark/>
          </w:tcPr>
          <w:p w14:paraId="16D96024" w14:textId="3A6C35D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621" w:type="dxa"/>
            <w:noWrap/>
            <w:hideMark/>
          </w:tcPr>
          <w:p w14:paraId="2C4A0C7C" w14:textId="645B0C7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r>
      <w:tr w:rsidR="00640C25" w:rsidRPr="00640C25" w14:paraId="41457A7E"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5859149" w14:textId="77777777" w:rsidR="00640C25" w:rsidRPr="000F2921" w:rsidRDefault="00640C25" w:rsidP="000F2921">
            <w:pPr>
              <w:pStyle w:val="TableofAuthorities"/>
            </w:pPr>
            <w:r w:rsidRPr="000F2921">
              <w:t xml:space="preserve">  ◦ Handling fee</w:t>
            </w:r>
          </w:p>
        </w:tc>
        <w:tc>
          <w:tcPr>
            <w:tcW w:w="1166" w:type="dxa"/>
            <w:noWrap/>
            <w:hideMark/>
          </w:tcPr>
          <w:p w14:paraId="70235C4F" w14:textId="13FA1F6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167" w:type="dxa"/>
            <w:noWrap/>
            <w:hideMark/>
          </w:tcPr>
          <w:p w14:paraId="179924C8" w14:textId="7D92802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$0.4</w:t>
            </w:r>
          </w:p>
        </w:tc>
        <w:tc>
          <w:tcPr>
            <w:tcW w:w="1167" w:type="dxa"/>
            <w:noWrap/>
            <w:hideMark/>
          </w:tcPr>
          <w:p w14:paraId="6924DDA7" w14:textId="784BA06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621" w:type="dxa"/>
            <w:noWrap/>
            <w:hideMark/>
          </w:tcPr>
          <w:p w14:paraId="46583712" w14:textId="085469E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r>
      <w:tr w:rsidR="00640C25" w:rsidRPr="00640C25" w14:paraId="790FF626"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178FC28" w14:textId="77777777" w:rsidR="00640C25" w:rsidRPr="000F2921" w:rsidRDefault="00640C25" w:rsidP="000F2921">
            <w:pPr>
              <w:pStyle w:val="TableofAuthorities"/>
            </w:pPr>
            <w:r w:rsidRPr="000F2921">
              <w:t xml:space="preserve">  ◦ COVID-19 funding</w:t>
            </w:r>
          </w:p>
        </w:tc>
        <w:tc>
          <w:tcPr>
            <w:tcW w:w="1166" w:type="dxa"/>
            <w:noWrap/>
            <w:hideMark/>
          </w:tcPr>
          <w:p w14:paraId="396E4FD7" w14:textId="296F937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57F9C59E" w14:textId="3879203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167" w:type="dxa"/>
            <w:noWrap/>
            <w:hideMark/>
          </w:tcPr>
          <w:p w14:paraId="241F286D" w14:textId="19D490C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621" w:type="dxa"/>
            <w:noWrap/>
            <w:hideMark/>
          </w:tcPr>
          <w:p w14:paraId="5A5E91E5" w14:textId="0AC2024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r>
      <w:tr w:rsidR="00640C25" w:rsidRPr="00640C25" w14:paraId="43EFAF52"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74630896" w14:textId="77777777" w:rsidR="00640C25" w:rsidRPr="000F2921" w:rsidRDefault="00640C25" w:rsidP="000F2921">
            <w:pPr>
              <w:pStyle w:val="TableofAuthorities"/>
            </w:pPr>
            <w:r w:rsidRPr="000F2921">
              <w:t xml:space="preserve">  ◦ Other income</w:t>
            </w:r>
          </w:p>
        </w:tc>
        <w:tc>
          <w:tcPr>
            <w:tcW w:w="1166" w:type="dxa"/>
            <w:noWrap/>
            <w:hideMark/>
          </w:tcPr>
          <w:p w14:paraId="164D5B34" w14:textId="4FDD055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$8.4</w:t>
            </w:r>
          </w:p>
        </w:tc>
        <w:tc>
          <w:tcPr>
            <w:tcW w:w="1167" w:type="dxa"/>
            <w:noWrap/>
            <w:hideMark/>
          </w:tcPr>
          <w:p w14:paraId="30B0A558" w14:textId="6D22243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$1.0</w:t>
            </w:r>
          </w:p>
        </w:tc>
        <w:tc>
          <w:tcPr>
            <w:tcW w:w="1167" w:type="dxa"/>
            <w:noWrap/>
            <w:hideMark/>
          </w:tcPr>
          <w:p w14:paraId="03C3F771" w14:textId="51D3E40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621" w:type="dxa"/>
            <w:noWrap/>
            <w:hideMark/>
          </w:tcPr>
          <w:p w14:paraId="0FF84EB2" w14:textId="48E024E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$3.4</w:t>
            </w:r>
          </w:p>
        </w:tc>
      </w:tr>
      <w:tr w:rsidR="00640C25" w:rsidRPr="00640C25" w14:paraId="228CC3B5"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5D25C084" w14:textId="77777777" w:rsidR="00640C25" w:rsidRPr="000F2921" w:rsidRDefault="00640C25" w:rsidP="000F2921">
            <w:pPr>
              <w:pStyle w:val="TableParagraphbold"/>
            </w:pPr>
            <w:r w:rsidRPr="000F2921">
              <w:t>Total income:</w:t>
            </w:r>
          </w:p>
        </w:tc>
        <w:tc>
          <w:tcPr>
            <w:tcW w:w="1166" w:type="dxa"/>
            <w:shd w:val="clear" w:color="auto" w:fill="D8DBDB" w:themeFill="background2" w:themeFillShade="E6"/>
            <w:noWrap/>
            <w:hideMark/>
          </w:tcPr>
          <w:p w14:paraId="0C577F18" w14:textId="59F59B5F"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$66.7</w:t>
            </w:r>
          </w:p>
        </w:tc>
        <w:tc>
          <w:tcPr>
            <w:tcW w:w="1167" w:type="dxa"/>
            <w:shd w:val="clear" w:color="auto" w:fill="D8DBDB" w:themeFill="background2" w:themeFillShade="E6"/>
            <w:noWrap/>
            <w:hideMark/>
          </w:tcPr>
          <w:p w14:paraId="13B367DB" w14:textId="3E566E58"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$65.9</w:t>
            </w:r>
          </w:p>
        </w:tc>
        <w:tc>
          <w:tcPr>
            <w:tcW w:w="1167" w:type="dxa"/>
            <w:shd w:val="clear" w:color="auto" w:fill="D8DBDB" w:themeFill="background2" w:themeFillShade="E6"/>
            <w:noWrap/>
            <w:hideMark/>
          </w:tcPr>
          <w:p w14:paraId="64A3EF82" w14:textId="14D3EFDA"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$61.7</w:t>
            </w:r>
          </w:p>
        </w:tc>
        <w:tc>
          <w:tcPr>
            <w:tcW w:w="1621" w:type="dxa"/>
            <w:shd w:val="clear" w:color="auto" w:fill="D8DBDB" w:themeFill="background2" w:themeFillShade="E6"/>
            <w:noWrap/>
            <w:hideMark/>
          </w:tcPr>
          <w:p w14:paraId="00283BDA" w14:textId="21A5356B"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$65.9</w:t>
            </w:r>
          </w:p>
        </w:tc>
      </w:tr>
      <w:tr w:rsidR="00640C25" w:rsidRPr="00640C25" w14:paraId="522AFA63"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0D3CC25D" w14:textId="77777777" w:rsidR="00640C25" w:rsidRPr="000F2921" w:rsidRDefault="00640C25" w:rsidP="000F2921">
            <w:pPr>
              <w:pStyle w:val="TableParagraphbold"/>
            </w:pPr>
            <w:r w:rsidRPr="000F2921">
              <w:t>Expenses</w:t>
            </w:r>
          </w:p>
        </w:tc>
        <w:tc>
          <w:tcPr>
            <w:tcW w:w="1166" w:type="dxa"/>
            <w:shd w:val="clear" w:color="auto" w:fill="D8DBDB" w:themeFill="background2" w:themeFillShade="E6"/>
            <w:noWrap/>
            <w:hideMark/>
          </w:tcPr>
          <w:p w14:paraId="6EF90FD9" w14:textId="59FF1EB0"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63E1DC29" w14:textId="2B493775"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6AC7F320" w14:textId="32E13E19"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621" w:type="dxa"/>
            <w:shd w:val="clear" w:color="auto" w:fill="D8DBDB" w:themeFill="background2" w:themeFillShade="E6"/>
            <w:noWrap/>
            <w:hideMark/>
          </w:tcPr>
          <w:p w14:paraId="13C6F17D" w14:textId="06182093"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r>
      <w:tr w:rsidR="00640C25" w:rsidRPr="00640C25" w14:paraId="41FE0E53"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55D487B9" w14:textId="77777777" w:rsidR="00640C25" w:rsidRPr="000F2921" w:rsidRDefault="00640C25" w:rsidP="000F2921">
            <w:pPr>
              <w:pStyle w:val="TableParagraphbold"/>
            </w:pPr>
            <w:r w:rsidRPr="000F2921">
              <w:t>Internal direct service costs</w:t>
            </w:r>
          </w:p>
        </w:tc>
        <w:tc>
          <w:tcPr>
            <w:tcW w:w="1166" w:type="dxa"/>
            <w:shd w:val="clear" w:color="auto" w:fill="D8DBDB" w:themeFill="background2" w:themeFillShade="E6"/>
            <w:noWrap/>
            <w:hideMark/>
          </w:tcPr>
          <w:p w14:paraId="5567A34A" w14:textId="66A6528F"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03F03AFB" w14:textId="15BA29C5"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321374A5" w14:textId="21E11AAC"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621" w:type="dxa"/>
            <w:shd w:val="clear" w:color="auto" w:fill="D8DBDB" w:themeFill="background2" w:themeFillShade="E6"/>
            <w:noWrap/>
            <w:hideMark/>
          </w:tcPr>
          <w:p w14:paraId="2F6EA008" w14:textId="53C9037D"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r>
      <w:tr w:rsidR="00640C25" w:rsidRPr="00640C25" w14:paraId="6252D830"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4A786191" w14:textId="77777777" w:rsidR="00640C25" w:rsidRPr="000F2921" w:rsidRDefault="00640C25" w:rsidP="000F2921">
            <w:pPr>
              <w:pStyle w:val="TableParagraphbold"/>
            </w:pPr>
            <w:proofErr w:type="spellStart"/>
            <w:r w:rsidRPr="000F2921">
              <w:t>Labour</w:t>
            </w:r>
            <w:proofErr w:type="spellEnd"/>
            <w:r w:rsidRPr="000F2921">
              <w:t xml:space="preserve"> cost - internal direct care - employee</w:t>
            </w:r>
          </w:p>
        </w:tc>
        <w:tc>
          <w:tcPr>
            <w:tcW w:w="1166" w:type="dxa"/>
            <w:shd w:val="clear" w:color="auto" w:fill="D8DBDB" w:themeFill="background2" w:themeFillShade="E6"/>
            <w:noWrap/>
            <w:hideMark/>
          </w:tcPr>
          <w:p w14:paraId="0743C23C" w14:textId="6197A56E"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4D7F2102" w14:textId="11B250B2"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21221FD2" w14:textId="00CE6714"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621" w:type="dxa"/>
            <w:shd w:val="clear" w:color="auto" w:fill="D8DBDB" w:themeFill="background2" w:themeFillShade="E6"/>
            <w:noWrap/>
            <w:hideMark/>
          </w:tcPr>
          <w:p w14:paraId="352B89D1" w14:textId="0955166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r>
      <w:tr w:rsidR="00640C25" w:rsidRPr="00640C25" w14:paraId="3CCC7898"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1F3C8B4C" w14:textId="77777777" w:rsidR="00640C25" w:rsidRPr="000F2921" w:rsidRDefault="00640C25" w:rsidP="000F2921">
            <w:pPr>
              <w:pStyle w:val="TableofAuthorities"/>
            </w:pPr>
            <w:r w:rsidRPr="000F2921">
              <w:t>◦ Registered nurses</w:t>
            </w:r>
          </w:p>
        </w:tc>
        <w:tc>
          <w:tcPr>
            <w:tcW w:w="1166" w:type="dxa"/>
            <w:noWrap/>
            <w:hideMark/>
          </w:tcPr>
          <w:p w14:paraId="70B89EA0" w14:textId="2049205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$0.8</w:t>
            </w:r>
          </w:p>
        </w:tc>
        <w:tc>
          <w:tcPr>
            <w:tcW w:w="1167" w:type="dxa"/>
            <w:noWrap/>
            <w:hideMark/>
          </w:tcPr>
          <w:p w14:paraId="75AA4CEB" w14:textId="306BAF4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$1.1</w:t>
            </w:r>
          </w:p>
        </w:tc>
        <w:tc>
          <w:tcPr>
            <w:tcW w:w="1167" w:type="dxa"/>
            <w:noWrap/>
            <w:hideMark/>
          </w:tcPr>
          <w:p w14:paraId="2155C9AF" w14:textId="2E2FC89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c>
          <w:tcPr>
            <w:tcW w:w="1621" w:type="dxa"/>
            <w:noWrap/>
            <w:hideMark/>
          </w:tcPr>
          <w:p w14:paraId="73271138" w14:textId="7A2F14D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$1.0</w:t>
            </w:r>
          </w:p>
        </w:tc>
      </w:tr>
      <w:tr w:rsidR="00640C25" w:rsidRPr="00640C25" w14:paraId="64E2DB0E"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B3B44C0" w14:textId="77777777" w:rsidR="00640C25" w:rsidRPr="000F2921" w:rsidRDefault="00640C25" w:rsidP="000F2921">
            <w:pPr>
              <w:pStyle w:val="TableofAuthorities"/>
            </w:pPr>
            <w:r w:rsidRPr="000F2921">
              <w:t xml:space="preserve">◦ Enrolled and licensed nurses (registered with the NMBA) </w:t>
            </w:r>
          </w:p>
        </w:tc>
        <w:tc>
          <w:tcPr>
            <w:tcW w:w="1166" w:type="dxa"/>
            <w:noWrap/>
            <w:hideMark/>
          </w:tcPr>
          <w:p w14:paraId="7BC931F1" w14:textId="7B40803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708DF398" w14:textId="7482E3D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167" w:type="dxa"/>
            <w:noWrap/>
            <w:hideMark/>
          </w:tcPr>
          <w:p w14:paraId="10C6F09A" w14:textId="5C6B9BA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621" w:type="dxa"/>
            <w:noWrap/>
            <w:hideMark/>
          </w:tcPr>
          <w:p w14:paraId="3B090A74" w14:textId="27401D5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r>
      <w:tr w:rsidR="00640C25" w:rsidRPr="00640C25" w14:paraId="782D0023"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6DFA9CE6" w14:textId="77777777" w:rsidR="00640C25" w:rsidRPr="000F2921" w:rsidRDefault="00640C25" w:rsidP="000F2921">
            <w:pPr>
              <w:pStyle w:val="TableofAuthorities"/>
            </w:pPr>
            <w:r w:rsidRPr="000F2921">
              <w:t>◦ Personal care staff / other unlicensed nurses</w:t>
            </w:r>
          </w:p>
        </w:tc>
        <w:tc>
          <w:tcPr>
            <w:tcW w:w="1166" w:type="dxa"/>
            <w:noWrap/>
            <w:hideMark/>
          </w:tcPr>
          <w:p w14:paraId="42620436" w14:textId="61B2056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$14.9</w:t>
            </w:r>
          </w:p>
        </w:tc>
        <w:tc>
          <w:tcPr>
            <w:tcW w:w="1167" w:type="dxa"/>
            <w:noWrap/>
            <w:hideMark/>
          </w:tcPr>
          <w:p w14:paraId="454871BF" w14:textId="0586B4E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$14.8</w:t>
            </w:r>
          </w:p>
        </w:tc>
        <w:tc>
          <w:tcPr>
            <w:tcW w:w="1167" w:type="dxa"/>
            <w:noWrap/>
            <w:hideMark/>
          </w:tcPr>
          <w:p w14:paraId="074075F8" w14:textId="1BD71CB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$8.1</w:t>
            </w:r>
          </w:p>
        </w:tc>
        <w:tc>
          <w:tcPr>
            <w:tcW w:w="1621" w:type="dxa"/>
            <w:noWrap/>
            <w:hideMark/>
          </w:tcPr>
          <w:p w14:paraId="4EFA6CCE" w14:textId="2675A30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$14.5</w:t>
            </w:r>
          </w:p>
        </w:tc>
      </w:tr>
      <w:tr w:rsidR="00640C25" w:rsidRPr="00640C25" w14:paraId="02387C59"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716B2EBB" w14:textId="77777777" w:rsidR="00640C25" w:rsidRPr="000F2921" w:rsidRDefault="00640C25" w:rsidP="000F2921">
            <w:pPr>
              <w:pStyle w:val="TableofAuthorities"/>
            </w:pPr>
            <w:r w:rsidRPr="000F2921">
              <w:t xml:space="preserve">◦ Allied health </w:t>
            </w:r>
          </w:p>
        </w:tc>
        <w:tc>
          <w:tcPr>
            <w:tcW w:w="1166" w:type="dxa"/>
            <w:noWrap/>
            <w:hideMark/>
          </w:tcPr>
          <w:p w14:paraId="37ECAB0E" w14:textId="09FBF16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167" w:type="dxa"/>
            <w:noWrap/>
            <w:hideMark/>
          </w:tcPr>
          <w:p w14:paraId="0D6AF9F4" w14:textId="2168B63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c>
          <w:tcPr>
            <w:tcW w:w="1167" w:type="dxa"/>
            <w:noWrap/>
            <w:hideMark/>
          </w:tcPr>
          <w:p w14:paraId="5C03AC27" w14:textId="49222B0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621" w:type="dxa"/>
            <w:noWrap/>
            <w:hideMark/>
          </w:tcPr>
          <w:p w14:paraId="13F03BF2" w14:textId="3ED8777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$0.4</w:t>
            </w:r>
          </w:p>
        </w:tc>
      </w:tr>
      <w:tr w:rsidR="00640C25" w:rsidRPr="00640C25" w14:paraId="6BBE6384"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4C07161B" w14:textId="77777777" w:rsidR="00640C25" w:rsidRPr="000F2921" w:rsidRDefault="00640C25" w:rsidP="000F2921">
            <w:pPr>
              <w:pStyle w:val="TableofAuthorities"/>
            </w:pPr>
            <w:r w:rsidRPr="000F2921">
              <w:t>◦ Other employee staff</w:t>
            </w:r>
          </w:p>
        </w:tc>
        <w:tc>
          <w:tcPr>
            <w:tcW w:w="1166" w:type="dxa"/>
            <w:noWrap/>
            <w:hideMark/>
          </w:tcPr>
          <w:p w14:paraId="46E7F75B" w14:textId="116CE41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$1.0</w:t>
            </w:r>
          </w:p>
        </w:tc>
        <w:tc>
          <w:tcPr>
            <w:tcW w:w="1167" w:type="dxa"/>
            <w:noWrap/>
            <w:hideMark/>
          </w:tcPr>
          <w:p w14:paraId="4C093DF7" w14:textId="1977B6A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$2.5</w:t>
            </w:r>
          </w:p>
        </w:tc>
        <w:tc>
          <w:tcPr>
            <w:tcW w:w="1167" w:type="dxa"/>
            <w:noWrap/>
            <w:hideMark/>
          </w:tcPr>
          <w:p w14:paraId="199B19C1" w14:textId="20A6EC2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$1.0</w:t>
            </w:r>
          </w:p>
        </w:tc>
        <w:tc>
          <w:tcPr>
            <w:tcW w:w="1621" w:type="dxa"/>
            <w:noWrap/>
            <w:hideMark/>
          </w:tcPr>
          <w:p w14:paraId="6E37BF9A" w14:textId="3EBE529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$1.9</w:t>
            </w:r>
          </w:p>
        </w:tc>
      </w:tr>
      <w:tr w:rsidR="00640C25" w:rsidRPr="00640C25" w14:paraId="3734F933" w14:textId="77777777" w:rsidTr="007C6ACF">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01FCA070" w14:textId="77777777" w:rsidR="00640C25" w:rsidRPr="000F2921" w:rsidRDefault="00640C25" w:rsidP="007C6ACF">
            <w:pPr>
              <w:pStyle w:val="TableParagraphbold"/>
            </w:pPr>
            <w:r w:rsidRPr="000F2921">
              <w:t>Total labour costs - internal direct care - employee</w:t>
            </w:r>
          </w:p>
        </w:tc>
        <w:tc>
          <w:tcPr>
            <w:tcW w:w="1166" w:type="dxa"/>
            <w:shd w:val="clear" w:color="auto" w:fill="D8DBDB" w:themeFill="background2" w:themeFillShade="E6"/>
            <w:noWrap/>
            <w:hideMark/>
          </w:tcPr>
          <w:p w14:paraId="53A3A84D" w14:textId="267303BC"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$17.2</w:t>
            </w:r>
          </w:p>
        </w:tc>
        <w:tc>
          <w:tcPr>
            <w:tcW w:w="1167" w:type="dxa"/>
            <w:shd w:val="clear" w:color="auto" w:fill="D8DBDB" w:themeFill="background2" w:themeFillShade="E6"/>
            <w:noWrap/>
            <w:hideMark/>
          </w:tcPr>
          <w:p w14:paraId="487C73FB" w14:textId="256302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$19.1</w:t>
            </w:r>
          </w:p>
        </w:tc>
        <w:tc>
          <w:tcPr>
            <w:tcW w:w="1167" w:type="dxa"/>
            <w:shd w:val="clear" w:color="auto" w:fill="D8DBDB" w:themeFill="background2" w:themeFillShade="E6"/>
            <w:noWrap/>
            <w:hideMark/>
          </w:tcPr>
          <w:p w14:paraId="697A4523" w14:textId="6262476D"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$10.1</w:t>
            </w:r>
          </w:p>
        </w:tc>
        <w:tc>
          <w:tcPr>
            <w:tcW w:w="1621" w:type="dxa"/>
            <w:shd w:val="clear" w:color="auto" w:fill="D8DBDB" w:themeFill="background2" w:themeFillShade="E6"/>
            <w:noWrap/>
            <w:hideMark/>
          </w:tcPr>
          <w:p w14:paraId="12BB5192" w14:textId="6F5B034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$18.0</w:t>
            </w:r>
          </w:p>
        </w:tc>
      </w:tr>
      <w:tr w:rsidR="00640C25" w:rsidRPr="00640C25" w14:paraId="3CD01D11"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0648E4FC" w14:textId="77777777" w:rsidR="00640C25" w:rsidRPr="000F2921" w:rsidRDefault="00640C25" w:rsidP="000F2921">
            <w:pPr>
              <w:pStyle w:val="TableParagraphbold"/>
            </w:pPr>
            <w:proofErr w:type="spellStart"/>
            <w:r w:rsidRPr="000F2921">
              <w:t>Labour</w:t>
            </w:r>
            <w:proofErr w:type="spellEnd"/>
            <w:r w:rsidRPr="000F2921">
              <w:t xml:space="preserve"> cost - internal direct care - agency care staff</w:t>
            </w:r>
          </w:p>
        </w:tc>
        <w:tc>
          <w:tcPr>
            <w:tcW w:w="1166" w:type="dxa"/>
            <w:shd w:val="clear" w:color="auto" w:fill="D8DBDB" w:themeFill="background2" w:themeFillShade="E6"/>
            <w:noWrap/>
            <w:hideMark/>
          </w:tcPr>
          <w:p w14:paraId="358547A7" w14:textId="11999D1A"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551A9CAC" w14:textId="4D2CADE9"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noWrap/>
            <w:hideMark/>
          </w:tcPr>
          <w:p w14:paraId="78F94580" w14:textId="461897B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621" w:type="dxa"/>
            <w:shd w:val="clear" w:color="auto" w:fill="D8DBDB" w:themeFill="background2" w:themeFillShade="E6"/>
            <w:noWrap/>
            <w:hideMark/>
          </w:tcPr>
          <w:p w14:paraId="0DEC4999" w14:textId="388119AD"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r>
      <w:tr w:rsidR="00640C25" w:rsidRPr="00640C25" w14:paraId="4323DD2D"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16F7EEA5" w14:textId="77777777" w:rsidR="00640C25" w:rsidRPr="000F2921" w:rsidRDefault="00640C25" w:rsidP="000F2921">
            <w:pPr>
              <w:pStyle w:val="TableofAuthorities"/>
            </w:pPr>
            <w:r w:rsidRPr="000F2921">
              <w:t>◦ Registered nurses</w:t>
            </w:r>
          </w:p>
        </w:tc>
        <w:tc>
          <w:tcPr>
            <w:tcW w:w="1166" w:type="dxa"/>
            <w:noWrap/>
            <w:hideMark/>
          </w:tcPr>
          <w:p w14:paraId="408ADEC6" w14:textId="4BC2E5A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2A911990" w14:textId="0EF10F6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1B8E75AB" w14:textId="50E8FD8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621" w:type="dxa"/>
            <w:noWrap/>
            <w:hideMark/>
          </w:tcPr>
          <w:p w14:paraId="4344D81E" w14:textId="1552B10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r>
      <w:tr w:rsidR="00640C25" w:rsidRPr="00640C25" w14:paraId="0E1E6821"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51E8DEDD" w14:textId="77777777" w:rsidR="00640C25" w:rsidRPr="000F2921" w:rsidRDefault="00640C25" w:rsidP="000F2921">
            <w:pPr>
              <w:pStyle w:val="TableofAuthorities"/>
            </w:pPr>
            <w:r w:rsidRPr="000F2921">
              <w:t xml:space="preserve">◦ Enrolled and licensed nurses (registered with the NMBA) </w:t>
            </w:r>
          </w:p>
        </w:tc>
        <w:tc>
          <w:tcPr>
            <w:tcW w:w="1166" w:type="dxa"/>
            <w:noWrap/>
            <w:hideMark/>
          </w:tcPr>
          <w:p w14:paraId="6DBAA41E" w14:textId="205D5D7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2C36F8F4" w14:textId="38D7598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53F96B67" w14:textId="389150F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621" w:type="dxa"/>
            <w:noWrap/>
            <w:hideMark/>
          </w:tcPr>
          <w:p w14:paraId="229A2231" w14:textId="39DC599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r>
      <w:tr w:rsidR="00640C25" w:rsidRPr="00640C25" w14:paraId="360C220D"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3F8D618D" w14:textId="77777777" w:rsidR="00640C25" w:rsidRPr="000F2921" w:rsidRDefault="00640C25" w:rsidP="000F2921">
            <w:pPr>
              <w:pStyle w:val="TableofAuthorities"/>
            </w:pPr>
            <w:r w:rsidRPr="000F2921">
              <w:t>◦ Personal care staff / other unlicensed nurses</w:t>
            </w:r>
          </w:p>
        </w:tc>
        <w:tc>
          <w:tcPr>
            <w:tcW w:w="1166" w:type="dxa"/>
            <w:noWrap/>
            <w:hideMark/>
          </w:tcPr>
          <w:p w14:paraId="2DE43477" w14:textId="5566D13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$0.4</w:t>
            </w:r>
          </w:p>
        </w:tc>
        <w:tc>
          <w:tcPr>
            <w:tcW w:w="1167" w:type="dxa"/>
            <w:noWrap/>
            <w:hideMark/>
          </w:tcPr>
          <w:p w14:paraId="26BD95B2" w14:textId="647554D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167" w:type="dxa"/>
            <w:noWrap/>
            <w:hideMark/>
          </w:tcPr>
          <w:p w14:paraId="522486AF" w14:textId="0444B3D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621" w:type="dxa"/>
            <w:noWrap/>
            <w:hideMark/>
          </w:tcPr>
          <w:p w14:paraId="5E4FCA2E" w14:textId="5AB422F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$0.4</w:t>
            </w:r>
          </w:p>
        </w:tc>
      </w:tr>
      <w:tr w:rsidR="00640C25" w:rsidRPr="00640C25" w14:paraId="3054C91B"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A831050" w14:textId="77777777" w:rsidR="00640C25" w:rsidRPr="000F2921" w:rsidRDefault="00640C25" w:rsidP="000F2921">
            <w:pPr>
              <w:pStyle w:val="TableofAuthorities"/>
            </w:pPr>
            <w:r w:rsidRPr="000F2921">
              <w:t xml:space="preserve">◦ Allied health </w:t>
            </w:r>
          </w:p>
        </w:tc>
        <w:tc>
          <w:tcPr>
            <w:tcW w:w="1166" w:type="dxa"/>
            <w:noWrap/>
            <w:hideMark/>
          </w:tcPr>
          <w:p w14:paraId="61157A64" w14:textId="4BAEFC4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167" w:type="dxa"/>
            <w:noWrap/>
            <w:hideMark/>
          </w:tcPr>
          <w:p w14:paraId="10054A6A" w14:textId="13103A3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167" w:type="dxa"/>
            <w:noWrap/>
            <w:hideMark/>
          </w:tcPr>
          <w:p w14:paraId="36047031" w14:textId="7096C37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621" w:type="dxa"/>
            <w:noWrap/>
            <w:hideMark/>
          </w:tcPr>
          <w:p w14:paraId="6350DDAB" w14:textId="62D6C5B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r>
      <w:tr w:rsidR="00640C25" w:rsidRPr="00640C25" w14:paraId="5D8252B7"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3FB3DE6F" w14:textId="77777777" w:rsidR="00640C25" w:rsidRPr="000F2921" w:rsidRDefault="00640C25" w:rsidP="000F2921">
            <w:pPr>
              <w:pStyle w:val="TableofAuthorities"/>
            </w:pPr>
            <w:r w:rsidRPr="000F2921">
              <w:t>◦ Other Agency staff</w:t>
            </w:r>
          </w:p>
        </w:tc>
        <w:tc>
          <w:tcPr>
            <w:tcW w:w="1166" w:type="dxa"/>
            <w:noWrap/>
            <w:hideMark/>
          </w:tcPr>
          <w:p w14:paraId="7269290E" w14:textId="646BCA94"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4758EB08" w14:textId="16478C7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167" w:type="dxa"/>
            <w:noWrap/>
            <w:hideMark/>
          </w:tcPr>
          <w:p w14:paraId="393D6FF1" w14:textId="51E3D4D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621" w:type="dxa"/>
            <w:noWrap/>
            <w:hideMark/>
          </w:tcPr>
          <w:p w14:paraId="04FC48D2" w14:textId="2C693DB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r>
      <w:tr w:rsidR="00640C25" w:rsidRPr="00640C25" w14:paraId="2E9A446E" w14:textId="77777777" w:rsidTr="007C6ACF">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6BAC19AF" w14:textId="77777777" w:rsidR="00640C25" w:rsidRPr="000F2921" w:rsidRDefault="00640C25" w:rsidP="007C6ACF">
            <w:pPr>
              <w:pStyle w:val="TableParagraphbold"/>
            </w:pPr>
            <w:r w:rsidRPr="000F2921">
              <w:t>Total labour costs - internal direct care - agency care staff</w:t>
            </w:r>
          </w:p>
        </w:tc>
        <w:tc>
          <w:tcPr>
            <w:tcW w:w="1166" w:type="dxa"/>
            <w:shd w:val="clear" w:color="auto" w:fill="D8DBDB" w:themeFill="background2" w:themeFillShade="E6"/>
            <w:hideMark/>
          </w:tcPr>
          <w:p w14:paraId="44623B4C"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w:t>
            </w:r>
          </w:p>
        </w:tc>
        <w:tc>
          <w:tcPr>
            <w:tcW w:w="1167" w:type="dxa"/>
            <w:shd w:val="clear" w:color="auto" w:fill="D8DBDB" w:themeFill="background2" w:themeFillShade="E6"/>
            <w:hideMark/>
          </w:tcPr>
          <w:p w14:paraId="07899BAB"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w:t>
            </w:r>
          </w:p>
        </w:tc>
        <w:tc>
          <w:tcPr>
            <w:tcW w:w="1167" w:type="dxa"/>
            <w:shd w:val="clear" w:color="auto" w:fill="D8DBDB" w:themeFill="background2" w:themeFillShade="E6"/>
            <w:hideMark/>
          </w:tcPr>
          <w:p w14:paraId="4525A66B"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$0</w:t>
            </w:r>
          </w:p>
        </w:tc>
        <w:tc>
          <w:tcPr>
            <w:tcW w:w="1621" w:type="dxa"/>
            <w:shd w:val="clear" w:color="auto" w:fill="D8DBDB" w:themeFill="background2" w:themeFillShade="E6"/>
            <w:hideMark/>
          </w:tcPr>
          <w:p w14:paraId="506E32A8"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w:t>
            </w:r>
          </w:p>
        </w:tc>
      </w:tr>
      <w:tr w:rsidR="00640C25" w:rsidRPr="00640C25" w14:paraId="1EA4FF0B"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6F3FEAED" w14:textId="77777777" w:rsidR="00640C25" w:rsidRPr="000F2921" w:rsidRDefault="00640C25" w:rsidP="000F2921">
            <w:pPr>
              <w:pStyle w:val="TableofAuthorities"/>
            </w:pPr>
            <w:r w:rsidRPr="000F2921">
              <w:lastRenderedPageBreak/>
              <w:t xml:space="preserve">  ◦ Payroll tax - care staff</w:t>
            </w:r>
          </w:p>
        </w:tc>
        <w:tc>
          <w:tcPr>
            <w:tcW w:w="1166" w:type="dxa"/>
            <w:noWrap/>
            <w:hideMark/>
          </w:tcPr>
          <w:p w14:paraId="0224846E" w14:textId="5C7211E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c>
          <w:tcPr>
            <w:tcW w:w="1167" w:type="dxa"/>
            <w:noWrap/>
            <w:hideMark/>
          </w:tcPr>
          <w:p w14:paraId="4DF92D07" w14:textId="1F2615D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167" w:type="dxa"/>
            <w:noWrap/>
            <w:hideMark/>
          </w:tcPr>
          <w:p w14:paraId="6B4140CE" w14:textId="1320150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621" w:type="dxa"/>
            <w:noWrap/>
            <w:hideMark/>
          </w:tcPr>
          <w:p w14:paraId="416018D2" w14:textId="50D25034"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r>
      <w:tr w:rsidR="00640C25" w:rsidRPr="00640C25" w14:paraId="2951BE9C"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3AD8F8CD" w14:textId="77777777" w:rsidR="00640C25" w:rsidRPr="000F2921" w:rsidRDefault="00640C25" w:rsidP="000F2921">
            <w:pPr>
              <w:pStyle w:val="TableofAuthorities"/>
            </w:pPr>
            <w:r w:rsidRPr="000F2921">
              <w:t xml:space="preserve">  ◦ Care related expenses</w:t>
            </w:r>
          </w:p>
        </w:tc>
        <w:tc>
          <w:tcPr>
            <w:tcW w:w="1166" w:type="dxa"/>
            <w:noWrap/>
            <w:hideMark/>
          </w:tcPr>
          <w:p w14:paraId="30CDA5F8" w14:textId="2F5BC55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$1.2</w:t>
            </w:r>
          </w:p>
        </w:tc>
        <w:tc>
          <w:tcPr>
            <w:tcW w:w="1167" w:type="dxa"/>
            <w:noWrap/>
            <w:hideMark/>
          </w:tcPr>
          <w:p w14:paraId="5C64D83C" w14:textId="6EAF5EE4"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$1.4</w:t>
            </w:r>
          </w:p>
        </w:tc>
        <w:tc>
          <w:tcPr>
            <w:tcW w:w="1167" w:type="dxa"/>
            <w:noWrap/>
            <w:hideMark/>
          </w:tcPr>
          <w:p w14:paraId="23C85808" w14:textId="58D8566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$2.1</w:t>
            </w:r>
          </w:p>
        </w:tc>
        <w:tc>
          <w:tcPr>
            <w:tcW w:w="1621" w:type="dxa"/>
            <w:noWrap/>
            <w:hideMark/>
          </w:tcPr>
          <w:p w14:paraId="57E5E367" w14:textId="7E78685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$1.4</w:t>
            </w:r>
          </w:p>
        </w:tc>
      </w:tr>
      <w:tr w:rsidR="00640C25" w:rsidRPr="00640C25" w14:paraId="0785EB4C"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400A387E" w14:textId="77777777" w:rsidR="00640C25" w:rsidRPr="000F2921" w:rsidRDefault="00640C25" w:rsidP="000F2921">
            <w:pPr>
              <w:pStyle w:val="TableofAuthorities"/>
            </w:pPr>
            <w:r w:rsidRPr="000F2921">
              <w:t xml:space="preserve">  ◦ Motor vehicle expenses</w:t>
            </w:r>
          </w:p>
        </w:tc>
        <w:tc>
          <w:tcPr>
            <w:tcW w:w="1166" w:type="dxa"/>
            <w:noWrap/>
            <w:hideMark/>
          </w:tcPr>
          <w:p w14:paraId="63262119" w14:textId="6C47BC2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48D0A86E" w14:textId="170A096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$0.9</w:t>
            </w:r>
          </w:p>
        </w:tc>
        <w:tc>
          <w:tcPr>
            <w:tcW w:w="1167" w:type="dxa"/>
            <w:noWrap/>
            <w:hideMark/>
          </w:tcPr>
          <w:p w14:paraId="07DA5077" w14:textId="771750D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621" w:type="dxa"/>
            <w:noWrap/>
            <w:hideMark/>
          </w:tcPr>
          <w:p w14:paraId="5D4DAA2A" w14:textId="548435B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r>
      <w:tr w:rsidR="00640C25" w:rsidRPr="00640C25" w14:paraId="1C34D236"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37A07483" w14:textId="77777777" w:rsidR="00640C25" w:rsidRPr="000F2921" w:rsidRDefault="00640C25" w:rsidP="000F2921">
            <w:pPr>
              <w:pStyle w:val="TableofAuthorities"/>
            </w:pPr>
            <w:r w:rsidRPr="000F2921">
              <w:t xml:space="preserve">  ◦ Other internal direct service costs</w:t>
            </w:r>
          </w:p>
        </w:tc>
        <w:tc>
          <w:tcPr>
            <w:tcW w:w="1166" w:type="dxa"/>
            <w:noWrap/>
            <w:hideMark/>
          </w:tcPr>
          <w:p w14:paraId="21A29E62" w14:textId="6F0CCA7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76A2D271" w14:textId="58C16C5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$0.9</w:t>
            </w:r>
          </w:p>
        </w:tc>
        <w:tc>
          <w:tcPr>
            <w:tcW w:w="1167" w:type="dxa"/>
            <w:noWrap/>
            <w:hideMark/>
          </w:tcPr>
          <w:p w14:paraId="5F7025C5" w14:textId="0F66F9F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c>
          <w:tcPr>
            <w:tcW w:w="1621" w:type="dxa"/>
            <w:noWrap/>
            <w:hideMark/>
          </w:tcPr>
          <w:p w14:paraId="6C65E5FB" w14:textId="7C8F30F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r>
      <w:tr w:rsidR="00640C25" w:rsidRPr="00640C25" w14:paraId="08096D9C" w14:textId="77777777" w:rsidTr="007C6ACF">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31711731" w14:textId="77777777" w:rsidR="00640C25" w:rsidRPr="000F2921" w:rsidRDefault="00640C25" w:rsidP="007C6ACF">
            <w:pPr>
              <w:pStyle w:val="TableParagraphbold"/>
            </w:pPr>
            <w:r w:rsidRPr="000F2921">
              <w:t>Total internal direct service costs expenses</w:t>
            </w:r>
          </w:p>
        </w:tc>
        <w:tc>
          <w:tcPr>
            <w:tcW w:w="1166" w:type="dxa"/>
            <w:shd w:val="clear" w:color="auto" w:fill="D8DBDB" w:themeFill="background2" w:themeFillShade="E6"/>
            <w:hideMark/>
          </w:tcPr>
          <w:p w14:paraId="5A9387C5"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$20</w:t>
            </w:r>
          </w:p>
        </w:tc>
        <w:tc>
          <w:tcPr>
            <w:tcW w:w="1167" w:type="dxa"/>
            <w:shd w:val="clear" w:color="auto" w:fill="D8DBDB" w:themeFill="background2" w:themeFillShade="E6"/>
            <w:hideMark/>
          </w:tcPr>
          <w:p w14:paraId="68CC69A7"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$23</w:t>
            </w:r>
          </w:p>
        </w:tc>
        <w:tc>
          <w:tcPr>
            <w:tcW w:w="1167" w:type="dxa"/>
            <w:shd w:val="clear" w:color="auto" w:fill="D8DBDB" w:themeFill="background2" w:themeFillShade="E6"/>
            <w:hideMark/>
          </w:tcPr>
          <w:p w14:paraId="04FE2AC0"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$13</w:t>
            </w:r>
          </w:p>
        </w:tc>
        <w:tc>
          <w:tcPr>
            <w:tcW w:w="1621" w:type="dxa"/>
            <w:shd w:val="clear" w:color="auto" w:fill="D8DBDB" w:themeFill="background2" w:themeFillShade="E6"/>
            <w:hideMark/>
          </w:tcPr>
          <w:p w14:paraId="25BABDA0"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$22</w:t>
            </w:r>
          </w:p>
        </w:tc>
      </w:tr>
      <w:tr w:rsidR="00640C25" w:rsidRPr="00640C25" w14:paraId="5AFE0CC7" w14:textId="77777777" w:rsidTr="007C6ACF">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6CBE9BE9" w14:textId="77777777" w:rsidR="00640C25" w:rsidRPr="000F2921" w:rsidRDefault="00640C25" w:rsidP="007C6ACF">
            <w:pPr>
              <w:pStyle w:val="TableParagraphbold"/>
            </w:pPr>
            <w:r w:rsidRPr="000F2921">
              <w:t>External direct service costs</w:t>
            </w:r>
          </w:p>
        </w:tc>
        <w:tc>
          <w:tcPr>
            <w:tcW w:w="1166" w:type="dxa"/>
            <w:shd w:val="clear" w:color="auto" w:fill="D8DBDB" w:themeFill="background2" w:themeFillShade="E6"/>
            <w:hideMark/>
          </w:tcPr>
          <w:p w14:paraId="67703A38" w14:textId="1C56908F"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hideMark/>
          </w:tcPr>
          <w:p w14:paraId="57766ADB" w14:textId="3FF4782B"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hideMark/>
          </w:tcPr>
          <w:p w14:paraId="74EE3EB4" w14:textId="20B2E8A2"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p>
        </w:tc>
        <w:tc>
          <w:tcPr>
            <w:tcW w:w="1621" w:type="dxa"/>
            <w:shd w:val="clear" w:color="auto" w:fill="D8DBDB" w:themeFill="background2" w:themeFillShade="E6"/>
            <w:hideMark/>
          </w:tcPr>
          <w:p w14:paraId="72E875D9" w14:textId="0A934E9E"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p>
        </w:tc>
      </w:tr>
      <w:tr w:rsidR="00640C25" w:rsidRPr="00640C25" w14:paraId="04A8844A" w14:textId="77777777" w:rsidTr="007C6ACF">
        <w:trPr>
          <w:trHeight w:val="300"/>
        </w:trPr>
        <w:tc>
          <w:tcPr>
            <w:cnfStyle w:val="001000000000" w:firstRow="0" w:lastRow="0" w:firstColumn="1" w:lastColumn="0" w:oddVBand="0" w:evenVBand="0" w:oddHBand="0" w:evenHBand="0" w:firstRowFirstColumn="0" w:firstRowLastColumn="0" w:lastRowFirstColumn="0" w:lastRowLastColumn="0"/>
            <w:tcW w:w="2366" w:type="dxa"/>
            <w:shd w:val="clear" w:color="auto" w:fill="D8DBDB" w:themeFill="background2" w:themeFillShade="E6"/>
            <w:noWrap/>
            <w:hideMark/>
          </w:tcPr>
          <w:p w14:paraId="5F3D0D60" w14:textId="77777777" w:rsidR="00640C25" w:rsidRPr="000F2921" w:rsidRDefault="00640C25" w:rsidP="007C6ACF">
            <w:pPr>
              <w:pStyle w:val="TableParagraphbold"/>
            </w:pPr>
            <w:r w:rsidRPr="000F2921">
              <w:t>Sub-contracted or brokered client services- external direct Care service cost</w:t>
            </w:r>
          </w:p>
        </w:tc>
        <w:tc>
          <w:tcPr>
            <w:tcW w:w="2367" w:type="dxa"/>
            <w:shd w:val="clear" w:color="auto" w:fill="D8DBDB" w:themeFill="background2" w:themeFillShade="E6"/>
            <w:hideMark/>
          </w:tcPr>
          <w:p w14:paraId="443708F8"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 </w:t>
            </w:r>
          </w:p>
        </w:tc>
        <w:tc>
          <w:tcPr>
            <w:tcW w:w="2402" w:type="dxa"/>
            <w:gridSpan w:val="3"/>
            <w:shd w:val="clear" w:color="auto" w:fill="D8DBDB" w:themeFill="background2" w:themeFillShade="E6"/>
            <w:hideMark/>
          </w:tcPr>
          <w:p w14:paraId="0E5FFDEB" w14:textId="503BCCFA"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p>
        </w:tc>
        <w:tc>
          <w:tcPr>
            <w:tcW w:w="2788" w:type="dxa"/>
            <w:gridSpan w:val="2"/>
            <w:shd w:val="clear" w:color="auto" w:fill="D8DBDB" w:themeFill="background2" w:themeFillShade="E6"/>
            <w:hideMark/>
          </w:tcPr>
          <w:p w14:paraId="139CE276" w14:textId="21337AE6"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p>
        </w:tc>
      </w:tr>
      <w:tr w:rsidR="00640C25" w:rsidRPr="00640C25" w14:paraId="359E3D36"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4FE7BFEE" w14:textId="77777777" w:rsidR="00640C25" w:rsidRPr="000F2921" w:rsidRDefault="00640C25" w:rsidP="000F2921">
            <w:pPr>
              <w:pStyle w:val="TableofAuthorities"/>
            </w:pPr>
            <w:r w:rsidRPr="000F2921">
              <w:t>◦ Registered nurses</w:t>
            </w:r>
          </w:p>
        </w:tc>
        <w:tc>
          <w:tcPr>
            <w:tcW w:w="1166" w:type="dxa"/>
            <w:noWrap/>
            <w:hideMark/>
          </w:tcPr>
          <w:p w14:paraId="08BAFE62" w14:textId="4EFE887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$0.4</w:t>
            </w:r>
          </w:p>
        </w:tc>
        <w:tc>
          <w:tcPr>
            <w:tcW w:w="1167" w:type="dxa"/>
            <w:noWrap/>
            <w:hideMark/>
          </w:tcPr>
          <w:p w14:paraId="08BD9ED1" w14:textId="15C739C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6D8267A7" w14:textId="1700E96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c>
          <w:tcPr>
            <w:tcW w:w="1621" w:type="dxa"/>
            <w:noWrap/>
            <w:hideMark/>
          </w:tcPr>
          <w:p w14:paraId="3ECF668E" w14:textId="1907DBC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r>
      <w:tr w:rsidR="00640C25" w:rsidRPr="00640C25" w14:paraId="6559564F"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129F227A" w14:textId="77777777" w:rsidR="00640C25" w:rsidRPr="000F2921" w:rsidRDefault="00640C25" w:rsidP="000F2921">
            <w:pPr>
              <w:pStyle w:val="TableofAuthorities"/>
            </w:pPr>
            <w:r w:rsidRPr="000F2921">
              <w:t xml:space="preserve">◦ Enrolled and licensed nurses (registered with the NMBA) </w:t>
            </w:r>
          </w:p>
        </w:tc>
        <w:tc>
          <w:tcPr>
            <w:tcW w:w="1166" w:type="dxa"/>
            <w:noWrap/>
            <w:hideMark/>
          </w:tcPr>
          <w:p w14:paraId="7DFA5E56" w14:textId="5D8751A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0901F60B" w14:textId="2B55921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167" w:type="dxa"/>
            <w:noWrap/>
            <w:hideMark/>
          </w:tcPr>
          <w:p w14:paraId="2B48AD95" w14:textId="0CD295A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621" w:type="dxa"/>
            <w:noWrap/>
            <w:hideMark/>
          </w:tcPr>
          <w:p w14:paraId="1E37FFB4" w14:textId="05C4404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r>
      <w:tr w:rsidR="00640C25" w:rsidRPr="00640C25" w14:paraId="61C1A214"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F50FE33" w14:textId="77777777" w:rsidR="00640C25" w:rsidRPr="000F2921" w:rsidRDefault="00640C25" w:rsidP="000F2921">
            <w:pPr>
              <w:pStyle w:val="TableofAuthorities"/>
            </w:pPr>
            <w:r w:rsidRPr="000F2921">
              <w:t>◦ Personal care staff / other unlicensed nurses</w:t>
            </w:r>
          </w:p>
        </w:tc>
        <w:tc>
          <w:tcPr>
            <w:tcW w:w="1166" w:type="dxa"/>
            <w:noWrap/>
            <w:hideMark/>
          </w:tcPr>
          <w:p w14:paraId="5134BAC6" w14:textId="54E37D8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$6.7</w:t>
            </w:r>
          </w:p>
        </w:tc>
        <w:tc>
          <w:tcPr>
            <w:tcW w:w="1167" w:type="dxa"/>
            <w:noWrap/>
            <w:hideMark/>
          </w:tcPr>
          <w:p w14:paraId="6EEE2C5F" w14:textId="3653565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$3.4</w:t>
            </w:r>
          </w:p>
        </w:tc>
        <w:tc>
          <w:tcPr>
            <w:tcW w:w="1167" w:type="dxa"/>
            <w:noWrap/>
            <w:hideMark/>
          </w:tcPr>
          <w:p w14:paraId="42292EAD" w14:textId="36235D0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$6.0</w:t>
            </w:r>
          </w:p>
        </w:tc>
        <w:tc>
          <w:tcPr>
            <w:tcW w:w="1621" w:type="dxa"/>
            <w:noWrap/>
            <w:hideMark/>
          </w:tcPr>
          <w:p w14:paraId="40F0678F" w14:textId="05B5D70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$4.6</w:t>
            </w:r>
          </w:p>
        </w:tc>
      </w:tr>
      <w:tr w:rsidR="00640C25" w:rsidRPr="00640C25" w14:paraId="3CE03B87"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5C73BDE5" w14:textId="77777777" w:rsidR="00640C25" w:rsidRPr="000F2921" w:rsidRDefault="00640C25" w:rsidP="000F2921">
            <w:pPr>
              <w:pStyle w:val="TableofAuthorities"/>
            </w:pPr>
            <w:r w:rsidRPr="000F2921">
              <w:t xml:space="preserve">◦ Allied health </w:t>
            </w:r>
          </w:p>
        </w:tc>
        <w:tc>
          <w:tcPr>
            <w:tcW w:w="1166" w:type="dxa"/>
            <w:noWrap/>
            <w:hideMark/>
          </w:tcPr>
          <w:p w14:paraId="5F48D1DB" w14:textId="2C07D5F4"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$2.9</w:t>
            </w:r>
          </w:p>
        </w:tc>
        <w:tc>
          <w:tcPr>
            <w:tcW w:w="1167" w:type="dxa"/>
            <w:noWrap/>
            <w:hideMark/>
          </w:tcPr>
          <w:p w14:paraId="07A7AC55" w14:textId="43A7CF6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$1.8</w:t>
            </w:r>
          </w:p>
        </w:tc>
        <w:tc>
          <w:tcPr>
            <w:tcW w:w="1167" w:type="dxa"/>
            <w:noWrap/>
            <w:hideMark/>
          </w:tcPr>
          <w:p w14:paraId="468AF053" w14:textId="17CB78A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$1.6</w:t>
            </w:r>
          </w:p>
        </w:tc>
        <w:tc>
          <w:tcPr>
            <w:tcW w:w="1621" w:type="dxa"/>
            <w:noWrap/>
            <w:hideMark/>
          </w:tcPr>
          <w:p w14:paraId="5B3289E0" w14:textId="73DFA1C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$2.1</w:t>
            </w:r>
          </w:p>
        </w:tc>
      </w:tr>
      <w:tr w:rsidR="00640C25" w:rsidRPr="00640C25" w14:paraId="26CCEE15"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1588C21" w14:textId="77777777" w:rsidR="00640C25" w:rsidRPr="000F2921" w:rsidRDefault="00640C25" w:rsidP="000F2921">
            <w:pPr>
              <w:pStyle w:val="TableofAuthorities"/>
            </w:pPr>
            <w:r w:rsidRPr="000F2921">
              <w:t>◦ Other sub-contracted/brokered staff</w:t>
            </w:r>
          </w:p>
        </w:tc>
        <w:tc>
          <w:tcPr>
            <w:tcW w:w="1166" w:type="dxa"/>
            <w:noWrap/>
            <w:hideMark/>
          </w:tcPr>
          <w:p w14:paraId="3D04788C" w14:textId="654D978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$5.4</w:t>
            </w:r>
          </w:p>
        </w:tc>
        <w:tc>
          <w:tcPr>
            <w:tcW w:w="1167" w:type="dxa"/>
            <w:noWrap/>
            <w:hideMark/>
          </w:tcPr>
          <w:p w14:paraId="6F91734A" w14:textId="6CBBAA4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$2.8</w:t>
            </w:r>
          </w:p>
        </w:tc>
        <w:tc>
          <w:tcPr>
            <w:tcW w:w="1167" w:type="dxa"/>
            <w:noWrap/>
            <w:hideMark/>
          </w:tcPr>
          <w:p w14:paraId="3A00E0C9" w14:textId="7681410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$4.7</w:t>
            </w:r>
          </w:p>
        </w:tc>
        <w:tc>
          <w:tcPr>
            <w:tcW w:w="1621" w:type="dxa"/>
            <w:noWrap/>
            <w:hideMark/>
          </w:tcPr>
          <w:p w14:paraId="4EBC3F15" w14:textId="57A7DF7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$3.7</w:t>
            </w:r>
          </w:p>
        </w:tc>
      </w:tr>
      <w:tr w:rsidR="00640C25" w:rsidRPr="00640C25" w14:paraId="3BC4BDA6"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1ED67339" w14:textId="77777777" w:rsidR="00640C25" w:rsidRPr="000F2921" w:rsidRDefault="00640C25" w:rsidP="000F2921">
            <w:pPr>
              <w:pStyle w:val="TableofAuthorities"/>
            </w:pPr>
            <w:r w:rsidRPr="000F2921">
              <w:t>External direct care service cost - sub-contracted or brokered client services</w:t>
            </w:r>
          </w:p>
        </w:tc>
        <w:tc>
          <w:tcPr>
            <w:tcW w:w="1166" w:type="dxa"/>
            <w:noWrap/>
            <w:hideMark/>
          </w:tcPr>
          <w:p w14:paraId="240F1226" w14:textId="5E33B35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$15.4</w:t>
            </w:r>
          </w:p>
        </w:tc>
        <w:tc>
          <w:tcPr>
            <w:tcW w:w="1167" w:type="dxa"/>
            <w:noWrap/>
            <w:hideMark/>
          </w:tcPr>
          <w:p w14:paraId="7137F75F" w14:textId="0072E5E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$8.3</w:t>
            </w:r>
          </w:p>
        </w:tc>
        <w:tc>
          <w:tcPr>
            <w:tcW w:w="1167" w:type="dxa"/>
            <w:noWrap/>
            <w:hideMark/>
          </w:tcPr>
          <w:p w14:paraId="0B19E0DD" w14:textId="52EB4AC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$13.0</w:t>
            </w:r>
          </w:p>
        </w:tc>
        <w:tc>
          <w:tcPr>
            <w:tcW w:w="1621" w:type="dxa"/>
            <w:noWrap/>
            <w:hideMark/>
          </w:tcPr>
          <w:p w14:paraId="7AD440BE" w14:textId="279F948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$10.8</w:t>
            </w:r>
          </w:p>
        </w:tc>
      </w:tr>
      <w:tr w:rsidR="00640C25" w:rsidRPr="00640C25" w14:paraId="3A3F0DD6"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5AC5044" w14:textId="77777777" w:rsidR="00640C25" w:rsidRPr="000F2921" w:rsidRDefault="00640C25" w:rsidP="000F2921">
            <w:pPr>
              <w:pStyle w:val="TableofAuthorities"/>
            </w:pPr>
            <w:r w:rsidRPr="000F2921">
              <w:t xml:space="preserve">  ◦ Consumables</w:t>
            </w:r>
          </w:p>
        </w:tc>
        <w:tc>
          <w:tcPr>
            <w:tcW w:w="1166" w:type="dxa"/>
            <w:noWrap/>
            <w:hideMark/>
          </w:tcPr>
          <w:p w14:paraId="3E8FF4B4" w14:textId="30129A4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$1.4</w:t>
            </w:r>
          </w:p>
        </w:tc>
        <w:tc>
          <w:tcPr>
            <w:tcW w:w="1167" w:type="dxa"/>
            <w:noWrap/>
            <w:hideMark/>
          </w:tcPr>
          <w:p w14:paraId="33AB797B" w14:textId="54B539F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$2.5</w:t>
            </w:r>
          </w:p>
        </w:tc>
        <w:tc>
          <w:tcPr>
            <w:tcW w:w="1167" w:type="dxa"/>
            <w:noWrap/>
            <w:hideMark/>
          </w:tcPr>
          <w:p w14:paraId="5460203A" w14:textId="477E481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$1.2</w:t>
            </w:r>
          </w:p>
        </w:tc>
        <w:tc>
          <w:tcPr>
            <w:tcW w:w="1621" w:type="dxa"/>
            <w:noWrap/>
            <w:hideMark/>
          </w:tcPr>
          <w:p w14:paraId="06C121EC" w14:textId="52A1A35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$2.1</w:t>
            </w:r>
          </w:p>
        </w:tc>
      </w:tr>
      <w:tr w:rsidR="00640C25" w:rsidRPr="00640C25" w14:paraId="1A2D8AC0"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0029FF0" w14:textId="77777777" w:rsidR="00640C25" w:rsidRPr="000F2921" w:rsidRDefault="00640C25" w:rsidP="000F2921">
            <w:pPr>
              <w:pStyle w:val="TableofAuthorities"/>
            </w:pPr>
            <w:r w:rsidRPr="000F2921">
              <w:t xml:space="preserve">  ◦ Home modifications</w:t>
            </w:r>
          </w:p>
        </w:tc>
        <w:tc>
          <w:tcPr>
            <w:tcW w:w="1166" w:type="dxa"/>
            <w:noWrap/>
            <w:hideMark/>
          </w:tcPr>
          <w:p w14:paraId="1FBE81D2" w14:textId="1E04A89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$1.1</w:t>
            </w:r>
          </w:p>
        </w:tc>
        <w:tc>
          <w:tcPr>
            <w:tcW w:w="1167" w:type="dxa"/>
            <w:noWrap/>
            <w:hideMark/>
          </w:tcPr>
          <w:p w14:paraId="6A8721A4" w14:textId="33C443C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$0.8</w:t>
            </w:r>
          </w:p>
        </w:tc>
        <w:tc>
          <w:tcPr>
            <w:tcW w:w="1167" w:type="dxa"/>
            <w:noWrap/>
            <w:hideMark/>
          </w:tcPr>
          <w:p w14:paraId="5D226DF0" w14:textId="0B6824F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$1.2</w:t>
            </w:r>
          </w:p>
        </w:tc>
        <w:tc>
          <w:tcPr>
            <w:tcW w:w="1621" w:type="dxa"/>
            <w:noWrap/>
            <w:hideMark/>
          </w:tcPr>
          <w:p w14:paraId="0CE07678" w14:textId="355F207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$0.9</w:t>
            </w:r>
          </w:p>
        </w:tc>
      </w:tr>
      <w:tr w:rsidR="00640C25" w:rsidRPr="00640C25" w14:paraId="77BB2A36"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6030A138" w14:textId="77777777" w:rsidR="00640C25" w:rsidRPr="000F2921" w:rsidRDefault="00640C25" w:rsidP="000F2921">
            <w:pPr>
              <w:pStyle w:val="TableofAuthorities"/>
            </w:pPr>
            <w:r w:rsidRPr="000F2921">
              <w:t xml:space="preserve">  ◦ Client capital purchases</w:t>
            </w:r>
          </w:p>
        </w:tc>
        <w:tc>
          <w:tcPr>
            <w:tcW w:w="1166" w:type="dxa"/>
            <w:noWrap/>
            <w:hideMark/>
          </w:tcPr>
          <w:p w14:paraId="44A5C765" w14:textId="1D6DAEC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$2.7</w:t>
            </w:r>
          </w:p>
        </w:tc>
        <w:tc>
          <w:tcPr>
            <w:tcW w:w="1167" w:type="dxa"/>
            <w:noWrap/>
            <w:hideMark/>
          </w:tcPr>
          <w:p w14:paraId="26DF56AB" w14:textId="13D5F21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$2.1</w:t>
            </w:r>
          </w:p>
        </w:tc>
        <w:tc>
          <w:tcPr>
            <w:tcW w:w="1167" w:type="dxa"/>
            <w:noWrap/>
            <w:hideMark/>
          </w:tcPr>
          <w:p w14:paraId="610CA3F4" w14:textId="11B4226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$2.6</w:t>
            </w:r>
          </w:p>
        </w:tc>
        <w:tc>
          <w:tcPr>
            <w:tcW w:w="1621" w:type="dxa"/>
            <w:noWrap/>
            <w:hideMark/>
          </w:tcPr>
          <w:p w14:paraId="3CFAAC92" w14:textId="4697E9E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$2.4</w:t>
            </w:r>
          </w:p>
        </w:tc>
      </w:tr>
      <w:tr w:rsidR="00640C25" w:rsidRPr="00640C25" w14:paraId="0E85317D"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624F5D44" w14:textId="77777777" w:rsidR="00640C25" w:rsidRPr="000F2921" w:rsidRDefault="00640C25" w:rsidP="000F2921">
            <w:pPr>
              <w:pStyle w:val="TableofAuthorities"/>
            </w:pPr>
            <w:r w:rsidRPr="000F2921">
              <w:t xml:space="preserve">  ◦ Transport services</w:t>
            </w:r>
          </w:p>
        </w:tc>
        <w:tc>
          <w:tcPr>
            <w:tcW w:w="1166" w:type="dxa"/>
            <w:noWrap/>
            <w:hideMark/>
          </w:tcPr>
          <w:p w14:paraId="19B9D917" w14:textId="4CF46C9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c>
          <w:tcPr>
            <w:tcW w:w="1167" w:type="dxa"/>
            <w:noWrap/>
            <w:hideMark/>
          </w:tcPr>
          <w:p w14:paraId="09CA039A" w14:textId="57F7203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$0.4</w:t>
            </w:r>
          </w:p>
        </w:tc>
        <w:tc>
          <w:tcPr>
            <w:tcW w:w="1167" w:type="dxa"/>
            <w:noWrap/>
            <w:hideMark/>
          </w:tcPr>
          <w:p w14:paraId="25F8DFEC" w14:textId="3E9AE63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c>
          <w:tcPr>
            <w:tcW w:w="1621" w:type="dxa"/>
            <w:noWrap/>
            <w:hideMark/>
          </w:tcPr>
          <w:p w14:paraId="57B32452" w14:textId="577FCEA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r>
      <w:tr w:rsidR="00640C25" w:rsidRPr="00640C25" w14:paraId="1A07BA4E"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6C837C4" w14:textId="77777777" w:rsidR="00640C25" w:rsidRPr="000F2921" w:rsidRDefault="00640C25" w:rsidP="000F2921">
            <w:pPr>
              <w:pStyle w:val="TableofAuthorities"/>
            </w:pPr>
            <w:r w:rsidRPr="000F2921">
              <w:t>◦ Commission/brokerage fee/franchisee fee</w:t>
            </w:r>
          </w:p>
        </w:tc>
        <w:tc>
          <w:tcPr>
            <w:tcW w:w="1166" w:type="dxa"/>
            <w:noWrap/>
            <w:hideMark/>
          </w:tcPr>
          <w:p w14:paraId="6A102C3F" w14:textId="5D28FA9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c>
          <w:tcPr>
            <w:tcW w:w="1167" w:type="dxa"/>
            <w:noWrap/>
            <w:hideMark/>
          </w:tcPr>
          <w:p w14:paraId="097E691F" w14:textId="08219B9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167" w:type="dxa"/>
            <w:noWrap/>
            <w:hideMark/>
          </w:tcPr>
          <w:p w14:paraId="519383E1" w14:textId="0C59CC1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621" w:type="dxa"/>
            <w:noWrap/>
            <w:hideMark/>
          </w:tcPr>
          <w:p w14:paraId="233742BB" w14:textId="6BF6591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r>
      <w:tr w:rsidR="00640C25" w:rsidRPr="00640C25" w14:paraId="155AEBB6"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358308EB" w14:textId="77777777" w:rsidR="00640C25" w:rsidRPr="000F2921" w:rsidRDefault="00640C25" w:rsidP="000F2921">
            <w:pPr>
              <w:pStyle w:val="TableofAuthorities"/>
            </w:pPr>
            <w:r w:rsidRPr="000F2921">
              <w:t xml:space="preserve">  ◦ Other external direct service costs</w:t>
            </w:r>
          </w:p>
        </w:tc>
        <w:tc>
          <w:tcPr>
            <w:tcW w:w="1166" w:type="dxa"/>
            <w:noWrap/>
            <w:hideMark/>
          </w:tcPr>
          <w:p w14:paraId="7EF9FD41" w14:textId="64C52BB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$1.5</w:t>
            </w:r>
          </w:p>
        </w:tc>
        <w:tc>
          <w:tcPr>
            <w:tcW w:w="1167" w:type="dxa"/>
            <w:noWrap/>
            <w:hideMark/>
          </w:tcPr>
          <w:p w14:paraId="5775974E" w14:textId="7B2BBDB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$2.5</w:t>
            </w:r>
          </w:p>
        </w:tc>
        <w:tc>
          <w:tcPr>
            <w:tcW w:w="1167" w:type="dxa"/>
            <w:noWrap/>
            <w:hideMark/>
          </w:tcPr>
          <w:p w14:paraId="553A6C5E" w14:textId="5819D6F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$5.9</w:t>
            </w:r>
          </w:p>
        </w:tc>
        <w:tc>
          <w:tcPr>
            <w:tcW w:w="1621" w:type="dxa"/>
            <w:noWrap/>
            <w:hideMark/>
          </w:tcPr>
          <w:p w14:paraId="3D5C349B" w14:textId="7258B8A4"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$2.4</w:t>
            </w:r>
          </w:p>
        </w:tc>
      </w:tr>
      <w:tr w:rsidR="00640C25" w:rsidRPr="00640C25" w14:paraId="0FA06A31" w14:textId="77777777" w:rsidTr="007C6ACF">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5C1170F1" w14:textId="77777777" w:rsidR="00640C25" w:rsidRPr="000F2921" w:rsidRDefault="00640C25" w:rsidP="000F2921">
            <w:pPr>
              <w:pStyle w:val="TableParagraphbold"/>
            </w:pPr>
            <w:r w:rsidRPr="000F2921">
              <w:t>Total external direct service costs expenses</w:t>
            </w:r>
          </w:p>
        </w:tc>
        <w:tc>
          <w:tcPr>
            <w:tcW w:w="1166" w:type="dxa"/>
            <w:shd w:val="clear" w:color="auto" w:fill="D8DBDB" w:themeFill="background2" w:themeFillShade="E6"/>
            <w:hideMark/>
          </w:tcPr>
          <w:p w14:paraId="2426C6DD" w14:textId="7777777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$23</w:t>
            </w:r>
          </w:p>
        </w:tc>
        <w:tc>
          <w:tcPr>
            <w:tcW w:w="1167" w:type="dxa"/>
            <w:shd w:val="clear" w:color="auto" w:fill="D8DBDB" w:themeFill="background2" w:themeFillShade="E6"/>
            <w:hideMark/>
          </w:tcPr>
          <w:p w14:paraId="7EA7C2AE" w14:textId="7777777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$17</w:t>
            </w:r>
          </w:p>
        </w:tc>
        <w:tc>
          <w:tcPr>
            <w:tcW w:w="1167" w:type="dxa"/>
            <w:shd w:val="clear" w:color="auto" w:fill="D8DBDB" w:themeFill="background2" w:themeFillShade="E6"/>
            <w:hideMark/>
          </w:tcPr>
          <w:p w14:paraId="04E48879" w14:textId="7777777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$25</w:t>
            </w:r>
          </w:p>
        </w:tc>
        <w:tc>
          <w:tcPr>
            <w:tcW w:w="1621" w:type="dxa"/>
            <w:shd w:val="clear" w:color="auto" w:fill="D8DBDB" w:themeFill="background2" w:themeFillShade="E6"/>
            <w:hideMark/>
          </w:tcPr>
          <w:p w14:paraId="4E5435CA" w14:textId="7777777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$19</w:t>
            </w:r>
          </w:p>
        </w:tc>
      </w:tr>
      <w:tr w:rsidR="00640C25" w:rsidRPr="00640C25" w14:paraId="5C0F925A" w14:textId="77777777" w:rsidTr="007C6ACF">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18168B2E" w14:textId="77777777" w:rsidR="00640C25" w:rsidRPr="000F2921" w:rsidRDefault="00640C25" w:rsidP="000F2921">
            <w:pPr>
              <w:pStyle w:val="TableParagraphbold"/>
            </w:pPr>
            <w:r w:rsidRPr="000F2921">
              <w:t>Care management</w:t>
            </w:r>
          </w:p>
        </w:tc>
        <w:tc>
          <w:tcPr>
            <w:tcW w:w="1166" w:type="dxa"/>
            <w:shd w:val="clear" w:color="auto" w:fill="D8DBDB" w:themeFill="background2" w:themeFillShade="E6"/>
            <w:hideMark/>
          </w:tcPr>
          <w:p w14:paraId="33E63216" w14:textId="50B04F88"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hideMark/>
          </w:tcPr>
          <w:p w14:paraId="211C4FAF" w14:textId="16E7FA3D"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hideMark/>
          </w:tcPr>
          <w:p w14:paraId="5629B04F" w14:textId="5C77A3DD"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621" w:type="dxa"/>
            <w:shd w:val="clear" w:color="auto" w:fill="D8DBDB" w:themeFill="background2" w:themeFillShade="E6"/>
            <w:hideMark/>
          </w:tcPr>
          <w:p w14:paraId="185DA855" w14:textId="74D64DD8"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r>
      <w:tr w:rsidR="00640C25" w:rsidRPr="00640C25" w14:paraId="1B872EBB"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5C6E7FDA" w14:textId="77777777" w:rsidR="00640C25" w:rsidRPr="000F2921" w:rsidRDefault="00640C25" w:rsidP="000F2921">
            <w:pPr>
              <w:pStyle w:val="TableofAuthorities"/>
            </w:pPr>
            <w:r w:rsidRPr="000F2921">
              <w:t xml:space="preserve">  ◦ Wages and salaries – care management staff</w:t>
            </w:r>
          </w:p>
        </w:tc>
        <w:tc>
          <w:tcPr>
            <w:tcW w:w="1166" w:type="dxa"/>
            <w:noWrap/>
            <w:hideMark/>
          </w:tcPr>
          <w:p w14:paraId="162BC363" w14:textId="5C753B4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$5.7</w:t>
            </w:r>
          </w:p>
        </w:tc>
        <w:tc>
          <w:tcPr>
            <w:tcW w:w="1167" w:type="dxa"/>
            <w:noWrap/>
            <w:hideMark/>
          </w:tcPr>
          <w:p w14:paraId="27F363BD" w14:textId="186FC42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$7.4</w:t>
            </w:r>
          </w:p>
        </w:tc>
        <w:tc>
          <w:tcPr>
            <w:tcW w:w="1167" w:type="dxa"/>
            <w:noWrap/>
            <w:hideMark/>
          </w:tcPr>
          <w:p w14:paraId="3F461B08" w14:textId="12C59A5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$9.6</w:t>
            </w:r>
          </w:p>
        </w:tc>
        <w:tc>
          <w:tcPr>
            <w:tcW w:w="1621" w:type="dxa"/>
            <w:noWrap/>
            <w:hideMark/>
          </w:tcPr>
          <w:p w14:paraId="7F87E5C8" w14:textId="41BF951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$7.0</w:t>
            </w:r>
          </w:p>
        </w:tc>
      </w:tr>
      <w:tr w:rsidR="00640C25" w:rsidRPr="00640C25" w14:paraId="7D99A8D7"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C188630" w14:textId="77777777" w:rsidR="00640C25" w:rsidRPr="000F2921" w:rsidRDefault="00640C25" w:rsidP="000F2921">
            <w:pPr>
              <w:pStyle w:val="TableofAuthorities"/>
            </w:pPr>
            <w:r w:rsidRPr="000F2921">
              <w:t xml:space="preserve">  ◦ Payroll tax - care management staff</w:t>
            </w:r>
          </w:p>
        </w:tc>
        <w:tc>
          <w:tcPr>
            <w:tcW w:w="1166" w:type="dxa"/>
            <w:noWrap/>
            <w:hideMark/>
          </w:tcPr>
          <w:p w14:paraId="43E0B980" w14:textId="6DC83D4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1F394A14" w14:textId="35E361B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73DBAE4A" w14:textId="6F27DD9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621" w:type="dxa"/>
            <w:noWrap/>
            <w:hideMark/>
          </w:tcPr>
          <w:p w14:paraId="4DBA4298" w14:textId="676C5087"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r>
      <w:tr w:rsidR="00640C25" w:rsidRPr="00640C25" w14:paraId="44C627DE"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AEF4854" w14:textId="77777777" w:rsidR="00640C25" w:rsidRPr="000F2921" w:rsidRDefault="00640C25" w:rsidP="000F2921">
            <w:pPr>
              <w:pStyle w:val="TableofAuthorities"/>
            </w:pPr>
            <w:r w:rsidRPr="000F2921">
              <w:t xml:space="preserve">  ◦ Motor vehicle expenses</w:t>
            </w:r>
          </w:p>
        </w:tc>
        <w:tc>
          <w:tcPr>
            <w:tcW w:w="1166" w:type="dxa"/>
            <w:noWrap/>
            <w:hideMark/>
          </w:tcPr>
          <w:p w14:paraId="18B67AB0" w14:textId="415A3C4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167" w:type="dxa"/>
            <w:noWrap/>
            <w:hideMark/>
          </w:tcPr>
          <w:p w14:paraId="2B8D5FF2" w14:textId="3DC69B6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167" w:type="dxa"/>
            <w:noWrap/>
            <w:hideMark/>
          </w:tcPr>
          <w:p w14:paraId="69A68E9E" w14:textId="07456A3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621" w:type="dxa"/>
            <w:noWrap/>
            <w:hideMark/>
          </w:tcPr>
          <w:p w14:paraId="35BA3D15" w14:textId="0D08434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r>
      <w:tr w:rsidR="00640C25" w:rsidRPr="00640C25" w14:paraId="19D5C401" w14:textId="77777777" w:rsidTr="007C6ACF">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00F4564E" w14:textId="77777777" w:rsidR="00640C25" w:rsidRPr="000F2921" w:rsidRDefault="00640C25" w:rsidP="000F2921">
            <w:pPr>
              <w:pStyle w:val="TableParagraphbold"/>
            </w:pPr>
            <w:r w:rsidRPr="000F2921">
              <w:t>Total care management expenses</w:t>
            </w:r>
          </w:p>
        </w:tc>
        <w:tc>
          <w:tcPr>
            <w:tcW w:w="1166" w:type="dxa"/>
            <w:shd w:val="clear" w:color="auto" w:fill="D8DBDB" w:themeFill="background2" w:themeFillShade="E6"/>
            <w:hideMark/>
          </w:tcPr>
          <w:p w14:paraId="389F9BF8" w14:textId="7777777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$6</w:t>
            </w:r>
          </w:p>
        </w:tc>
        <w:tc>
          <w:tcPr>
            <w:tcW w:w="1167" w:type="dxa"/>
            <w:shd w:val="clear" w:color="auto" w:fill="D8DBDB" w:themeFill="background2" w:themeFillShade="E6"/>
            <w:hideMark/>
          </w:tcPr>
          <w:p w14:paraId="5E2F4452" w14:textId="7777777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$8</w:t>
            </w:r>
          </w:p>
        </w:tc>
        <w:tc>
          <w:tcPr>
            <w:tcW w:w="1167" w:type="dxa"/>
            <w:shd w:val="clear" w:color="auto" w:fill="D8DBDB" w:themeFill="background2" w:themeFillShade="E6"/>
            <w:hideMark/>
          </w:tcPr>
          <w:p w14:paraId="565CF12D" w14:textId="7777777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$10</w:t>
            </w:r>
          </w:p>
        </w:tc>
        <w:tc>
          <w:tcPr>
            <w:tcW w:w="1621" w:type="dxa"/>
            <w:shd w:val="clear" w:color="auto" w:fill="D8DBDB" w:themeFill="background2" w:themeFillShade="E6"/>
            <w:hideMark/>
          </w:tcPr>
          <w:p w14:paraId="469D410F" w14:textId="7777777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$7</w:t>
            </w:r>
          </w:p>
        </w:tc>
      </w:tr>
      <w:tr w:rsidR="00640C25" w:rsidRPr="00640C25" w14:paraId="7E1551BC" w14:textId="77777777" w:rsidTr="007C6ACF">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38CD0EE4" w14:textId="77777777" w:rsidR="00640C25" w:rsidRPr="000F2921" w:rsidRDefault="00640C25" w:rsidP="000F2921">
            <w:pPr>
              <w:pStyle w:val="TableParagraphbold"/>
            </w:pPr>
            <w:r w:rsidRPr="000F2921">
              <w:t>Administration and support</w:t>
            </w:r>
          </w:p>
        </w:tc>
        <w:tc>
          <w:tcPr>
            <w:tcW w:w="1166" w:type="dxa"/>
            <w:shd w:val="clear" w:color="auto" w:fill="D8DBDB" w:themeFill="background2" w:themeFillShade="E6"/>
            <w:hideMark/>
          </w:tcPr>
          <w:p w14:paraId="2DC100F8" w14:textId="1109D456"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hideMark/>
          </w:tcPr>
          <w:p w14:paraId="604EF026" w14:textId="41239D0A"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167" w:type="dxa"/>
            <w:shd w:val="clear" w:color="auto" w:fill="D8DBDB" w:themeFill="background2" w:themeFillShade="E6"/>
            <w:hideMark/>
          </w:tcPr>
          <w:p w14:paraId="4F5FDBA3" w14:textId="0E4C7283"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c>
          <w:tcPr>
            <w:tcW w:w="1621" w:type="dxa"/>
            <w:shd w:val="clear" w:color="auto" w:fill="D8DBDB" w:themeFill="background2" w:themeFillShade="E6"/>
            <w:hideMark/>
          </w:tcPr>
          <w:p w14:paraId="2B79E365" w14:textId="25D1B1F4"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p>
        </w:tc>
      </w:tr>
      <w:tr w:rsidR="00640C25" w:rsidRPr="00640C25" w14:paraId="0084223D"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12ED9468" w14:textId="77777777" w:rsidR="00640C25" w:rsidRPr="000F2921" w:rsidRDefault="00640C25" w:rsidP="000F2921">
            <w:pPr>
              <w:pStyle w:val="TableofAuthorities"/>
            </w:pPr>
            <w:r w:rsidRPr="000F2921">
              <w:t xml:space="preserve">  ◦ Wages and salaries - administration &amp; non-care staff</w:t>
            </w:r>
          </w:p>
        </w:tc>
        <w:tc>
          <w:tcPr>
            <w:tcW w:w="1166" w:type="dxa"/>
            <w:noWrap/>
            <w:hideMark/>
          </w:tcPr>
          <w:p w14:paraId="3F631E0B" w14:textId="78A4B77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$6.6</w:t>
            </w:r>
          </w:p>
        </w:tc>
        <w:tc>
          <w:tcPr>
            <w:tcW w:w="1167" w:type="dxa"/>
            <w:noWrap/>
            <w:hideMark/>
          </w:tcPr>
          <w:p w14:paraId="588451AE" w14:textId="621FBB5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$5.6</w:t>
            </w:r>
          </w:p>
        </w:tc>
        <w:tc>
          <w:tcPr>
            <w:tcW w:w="1167" w:type="dxa"/>
            <w:noWrap/>
            <w:hideMark/>
          </w:tcPr>
          <w:p w14:paraId="673E5733" w14:textId="76636B9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$6.0</w:t>
            </w:r>
          </w:p>
        </w:tc>
        <w:tc>
          <w:tcPr>
            <w:tcW w:w="1621" w:type="dxa"/>
            <w:noWrap/>
            <w:hideMark/>
          </w:tcPr>
          <w:p w14:paraId="5DA43B4F" w14:textId="5F23A8B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$5.9</w:t>
            </w:r>
          </w:p>
        </w:tc>
      </w:tr>
      <w:tr w:rsidR="00640C25" w:rsidRPr="00640C25" w14:paraId="3493314F"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68223E26" w14:textId="77777777" w:rsidR="00640C25" w:rsidRPr="000F2921" w:rsidRDefault="00640C25" w:rsidP="000F2921">
            <w:pPr>
              <w:pStyle w:val="TableofAuthorities"/>
            </w:pPr>
            <w:r w:rsidRPr="000F2921">
              <w:t xml:space="preserve">  ◦ Workers compensation insurance</w:t>
            </w:r>
          </w:p>
        </w:tc>
        <w:tc>
          <w:tcPr>
            <w:tcW w:w="1166" w:type="dxa"/>
            <w:noWrap/>
            <w:hideMark/>
          </w:tcPr>
          <w:p w14:paraId="04B7164B" w14:textId="760D6B0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c>
          <w:tcPr>
            <w:tcW w:w="1167" w:type="dxa"/>
            <w:noWrap/>
            <w:hideMark/>
          </w:tcPr>
          <w:p w14:paraId="7EDEFC0E" w14:textId="7BD0860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c>
          <w:tcPr>
            <w:tcW w:w="1167" w:type="dxa"/>
            <w:noWrap/>
            <w:hideMark/>
          </w:tcPr>
          <w:p w14:paraId="4B78A9DC" w14:textId="09B265E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621" w:type="dxa"/>
            <w:noWrap/>
            <w:hideMark/>
          </w:tcPr>
          <w:p w14:paraId="6F1931AA" w14:textId="1BFD158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r>
      <w:tr w:rsidR="00640C25" w:rsidRPr="00640C25" w14:paraId="7C0A6F71"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DD76291" w14:textId="77777777" w:rsidR="00640C25" w:rsidRPr="000F2921" w:rsidRDefault="00640C25" w:rsidP="000F2921">
            <w:pPr>
              <w:pStyle w:val="TableofAuthorities"/>
            </w:pPr>
            <w:r w:rsidRPr="000F2921">
              <w:t xml:space="preserve">  ◦ Payroll tax – administration &amp; non-care staff</w:t>
            </w:r>
          </w:p>
        </w:tc>
        <w:tc>
          <w:tcPr>
            <w:tcW w:w="1166" w:type="dxa"/>
            <w:noWrap/>
            <w:hideMark/>
          </w:tcPr>
          <w:p w14:paraId="1AED175D" w14:textId="572FD37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14A61797" w14:textId="60D0DDB0"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42E3B64D" w14:textId="47D5982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621" w:type="dxa"/>
            <w:noWrap/>
            <w:hideMark/>
          </w:tcPr>
          <w:p w14:paraId="34D57586" w14:textId="683A191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r>
      <w:tr w:rsidR="00640C25" w:rsidRPr="00640C25" w14:paraId="3B191373" w14:textId="77777777" w:rsidTr="007C6ACF">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3762331E" w14:textId="77777777" w:rsidR="00640C25" w:rsidRPr="000F2921" w:rsidRDefault="00640C25" w:rsidP="007C6ACF">
            <w:pPr>
              <w:pStyle w:val="TableParagraphbold"/>
            </w:pPr>
            <w:r w:rsidRPr="000F2921">
              <w:t xml:space="preserve">  ◦ Administration costs and management fees</w:t>
            </w:r>
          </w:p>
        </w:tc>
        <w:tc>
          <w:tcPr>
            <w:tcW w:w="1166" w:type="dxa"/>
            <w:shd w:val="clear" w:color="auto" w:fill="D8DBDB" w:themeFill="background2" w:themeFillShade="E6"/>
            <w:hideMark/>
          </w:tcPr>
          <w:p w14:paraId="4D4FE37C"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$4</w:t>
            </w:r>
          </w:p>
        </w:tc>
        <w:tc>
          <w:tcPr>
            <w:tcW w:w="1167" w:type="dxa"/>
            <w:shd w:val="clear" w:color="auto" w:fill="D8DBDB" w:themeFill="background2" w:themeFillShade="E6"/>
            <w:hideMark/>
          </w:tcPr>
          <w:p w14:paraId="0CD6E0DF"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$8</w:t>
            </w:r>
          </w:p>
        </w:tc>
        <w:tc>
          <w:tcPr>
            <w:tcW w:w="1167" w:type="dxa"/>
            <w:shd w:val="clear" w:color="auto" w:fill="D8DBDB" w:themeFill="background2" w:themeFillShade="E6"/>
            <w:hideMark/>
          </w:tcPr>
          <w:p w14:paraId="2A7D6FCE"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$5</w:t>
            </w:r>
          </w:p>
        </w:tc>
        <w:tc>
          <w:tcPr>
            <w:tcW w:w="1621" w:type="dxa"/>
            <w:shd w:val="clear" w:color="auto" w:fill="D8DBDB" w:themeFill="background2" w:themeFillShade="E6"/>
            <w:hideMark/>
          </w:tcPr>
          <w:p w14:paraId="2936EC6E"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$7</w:t>
            </w:r>
          </w:p>
        </w:tc>
      </w:tr>
      <w:tr w:rsidR="00640C25" w:rsidRPr="00640C25" w14:paraId="00BF14C7"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4C0BF44D" w14:textId="77777777" w:rsidR="00640C25" w:rsidRPr="000F2921" w:rsidRDefault="00640C25" w:rsidP="000F2921">
            <w:pPr>
              <w:pStyle w:val="TableofAuthorities"/>
            </w:pPr>
            <w:r w:rsidRPr="000F2921">
              <w:t>- Education/training &amp; quality control expense</w:t>
            </w:r>
          </w:p>
        </w:tc>
        <w:tc>
          <w:tcPr>
            <w:tcW w:w="1166" w:type="dxa"/>
            <w:noWrap/>
            <w:hideMark/>
          </w:tcPr>
          <w:p w14:paraId="01A7F96E" w14:textId="17E208F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2418A111" w14:textId="557E8B4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167" w:type="dxa"/>
            <w:noWrap/>
            <w:hideMark/>
          </w:tcPr>
          <w:p w14:paraId="5FE7D42E" w14:textId="72B1E85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621" w:type="dxa"/>
            <w:noWrap/>
            <w:hideMark/>
          </w:tcPr>
          <w:p w14:paraId="5BC3C73B" w14:textId="2E2AA79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r>
      <w:tr w:rsidR="00640C25" w:rsidRPr="00640C25" w14:paraId="73F0CC7B"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3D8CD0D0" w14:textId="77777777" w:rsidR="00640C25" w:rsidRPr="000F2921" w:rsidRDefault="00640C25" w:rsidP="000F2921">
            <w:pPr>
              <w:pStyle w:val="TableofAuthorities"/>
            </w:pPr>
            <w:r w:rsidRPr="000F2921">
              <w:t>- General insurances</w:t>
            </w:r>
          </w:p>
        </w:tc>
        <w:tc>
          <w:tcPr>
            <w:tcW w:w="1166" w:type="dxa"/>
            <w:noWrap/>
            <w:hideMark/>
          </w:tcPr>
          <w:p w14:paraId="5E339015" w14:textId="356B69C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167" w:type="dxa"/>
            <w:noWrap/>
            <w:hideMark/>
          </w:tcPr>
          <w:p w14:paraId="7B2B56BC" w14:textId="74C5B3A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167" w:type="dxa"/>
            <w:noWrap/>
            <w:hideMark/>
          </w:tcPr>
          <w:p w14:paraId="48AB53B9" w14:textId="5F8B29D9"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621" w:type="dxa"/>
            <w:noWrap/>
            <w:hideMark/>
          </w:tcPr>
          <w:p w14:paraId="6FB7A98F" w14:textId="78D14B9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r>
      <w:tr w:rsidR="00640C25" w:rsidRPr="00640C25" w14:paraId="41AD36C4"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77E17C7F" w14:textId="77777777" w:rsidR="00640C25" w:rsidRPr="000F2921" w:rsidRDefault="00640C25" w:rsidP="000F2921">
            <w:pPr>
              <w:pStyle w:val="TableofAuthorities"/>
            </w:pPr>
            <w:r w:rsidRPr="000F2921">
              <w:t xml:space="preserve">- Rent, </w:t>
            </w:r>
            <w:proofErr w:type="gramStart"/>
            <w:r w:rsidRPr="000F2921">
              <w:t>utilities</w:t>
            </w:r>
            <w:proofErr w:type="gramEnd"/>
            <w:r w:rsidRPr="000F2921">
              <w:t xml:space="preserve"> and property outgoings</w:t>
            </w:r>
          </w:p>
        </w:tc>
        <w:tc>
          <w:tcPr>
            <w:tcW w:w="1166" w:type="dxa"/>
            <w:noWrap/>
            <w:hideMark/>
          </w:tcPr>
          <w:p w14:paraId="2072110B" w14:textId="104EA17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c>
          <w:tcPr>
            <w:tcW w:w="1167" w:type="dxa"/>
            <w:noWrap/>
            <w:hideMark/>
          </w:tcPr>
          <w:p w14:paraId="5304A50B" w14:textId="3394835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167" w:type="dxa"/>
            <w:noWrap/>
            <w:hideMark/>
          </w:tcPr>
          <w:p w14:paraId="743C6CDC" w14:textId="637F237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621" w:type="dxa"/>
            <w:noWrap/>
            <w:hideMark/>
          </w:tcPr>
          <w:p w14:paraId="4D293A45" w14:textId="1F7FEF3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r>
      <w:tr w:rsidR="00640C25" w:rsidRPr="00640C25" w14:paraId="780E4BA8"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D1AE4E8" w14:textId="77777777" w:rsidR="00640C25" w:rsidRPr="000F2921" w:rsidRDefault="00640C25" w:rsidP="000F2921">
            <w:pPr>
              <w:pStyle w:val="TableofAuthorities"/>
            </w:pPr>
            <w:r w:rsidRPr="000F2921">
              <w:t>- IT and communication expenses</w:t>
            </w:r>
          </w:p>
        </w:tc>
        <w:tc>
          <w:tcPr>
            <w:tcW w:w="1166" w:type="dxa"/>
            <w:noWrap/>
            <w:hideMark/>
          </w:tcPr>
          <w:p w14:paraId="7BCC5ABD" w14:textId="0A099F5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$0.9</w:t>
            </w:r>
          </w:p>
        </w:tc>
        <w:tc>
          <w:tcPr>
            <w:tcW w:w="1167" w:type="dxa"/>
            <w:noWrap/>
            <w:hideMark/>
          </w:tcPr>
          <w:p w14:paraId="69C20948" w14:textId="2E31F46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c>
          <w:tcPr>
            <w:tcW w:w="1167" w:type="dxa"/>
            <w:noWrap/>
            <w:hideMark/>
          </w:tcPr>
          <w:p w14:paraId="53EAFC7A" w14:textId="4D7A685D"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621" w:type="dxa"/>
            <w:noWrap/>
            <w:hideMark/>
          </w:tcPr>
          <w:p w14:paraId="78E4AEAE" w14:textId="6C029A2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$0.7</w:t>
            </w:r>
          </w:p>
        </w:tc>
      </w:tr>
      <w:tr w:rsidR="00640C25" w:rsidRPr="00640C25" w14:paraId="5865F2A8"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57797560" w14:textId="77777777" w:rsidR="00640C25" w:rsidRPr="000F2921" w:rsidRDefault="00640C25" w:rsidP="000F2921">
            <w:pPr>
              <w:pStyle w:val="TableofAuthorities"/>
            </w:pPr>
            <w:r w:rsidRPr="000F2921">
              <w:t>- Corporate recharge</w:t>
            </w:r>
          </w:p>
        </w:tc>
        <w:tc>
          <w:tcPr>
            <w:tcW w:w="1166" w:type="dxa"/>
            <w:noWrap/>
            <w:hideMark/>
          </w:tcPr>
          <w:p w14:paraId="6998BBC4" w14:textId="3AE12A0E"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167" w:type="dxa"/>
            <w:noWrap/>
            <w:hideMark/>
          </w:tcPr>
          <w:p w14:paraId="23682A84" w14:textId="6B172B0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$5.8</w:t>
            </w:r>
          </w:p>
        </w:tc>
        <w:tc>
          <w:tcPr>
            <w:tcW w:w="1167" w:type="dxa"/>
            <w:noWrap/>
            <w:hideMark/>
          </w:tcPr>
          <w:p w14:paraId="6E33DB66" w14:textId="72DACAD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$2.5</w:t>
            </w:r>
          </w:p>
        </w:tc>
        <w:tc>
          <w:tcPr>
            <w:tcW w:w="1621" w:type="dxa"/>
            <w:noWrap/>
            <w:hideMark/>
          </w:tcPr>
          <w:p w14:paraId="5674C2E7" w14:textId="4EA47A8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$3.9</w:t>
            </w:r>
          </w:p>
        </w:tc>
      </w:tr>
      <w:tr w:rsidR="00640C25" w:rsidRPr="00640C25" w14:paraId="18F8460C"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5A1AEF98" w14:textId="77777777" w:rsidR="00640C25" w:rsidRPr="000F2921" w:rsidRDefault="00640C25" w:rsidP="000F2921">
            <w:pPr>
              <w:pStyle w:val="TableofAuthorities"/>
            </w:pPr>
            <w:r w:rsidRPr="000F2921">
              <w:t>- Other administration costs</w:t>
            </w:r>
          </w:p>
        </w:tc>
        <w:tc>
          <w:tcPr>
            <w:tcW w:w="1166" w:type="dxa"/>
            <w:noWrap/>
            <w:hideMark/>
          </w:tcPr>
          <w:p w14:paraId="56668EE2" w14:textId="16FDD14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$2.0</w:t>
            </w:r>
          </w:p>
        </w:tc>
        <w:tc>
          <w:tcPr>
            <w:tcW w:w="1167" w:type="dxa"/>
            <w:noWrap/>
            <w:hideMark/>
          </w:tcPr>
          <w:p w14:paraId="378446D3" w14:textId="2252862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$1.1</w:t>
            </w:r>
          </w:p>
        </w:tc>
        <w:tc>
          <w:tcPr>
            <w:tcW w:w="1167" w:type="dxa"/>
            <w:noWrap/>
            <w:hideMark/>
          </w:tcPr>
          <w:p w14:paraId="689DD482" w14:textId="52F08B0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$1.4</w:t>
            </w:r>
          </w:p>
        </w:tc>
        <w:tc>
          <w:tcPr>
            <w:tcW w:w="1621" w:type="dxa"/>
            <w:noWrap/>
            <w:hideMark/>
          </w:tcPr>
          <w:p w14:paraId="09EE607D" w14:textId="7113ADF1"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$1.4</w:t>
            </w:r>
          </w:p>
        </w:tc>
      </w:tr>
      <w:tr w:rsidR="00640C25" w:rsidRPr="00640C25" w14:paraId="008C7A23"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07A3FB67" w14:textId="77777777" w:rsidR="00640C25" w:rsidRPr="000F2921" w:rsidRDefault="00640C25" w:rsidP="000F2921">
            <w:pPr>
              <w:pStyle w:val="TableofAuthorities"/>
            </w:pPr>
            <w:r w:rsidRPr="000F2921">
              <w:lastRenderedPageBreak/>
              <w:t xml:space="preserve">  ◦ Depreciation expenses</w:t>
            </w:r>
          </w:p>
        </w:tc>
        <w:tc>
          <w:tcPr>
            <w:tcW w:w="1166" w:type="dxa"/>
            <w:noWrap/>
            <w:hideMark/>
          </w:tcPr>
          <w:p w14:paraId="38F04502" w14:textId="1B04DB2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167" w:type="dxa"/>
            <w:noWrap/>
            <w:hideMark/>
          </w:tcPr>
          <w:p w14:paraId="7494261B" w14:textId="24594B74"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167" w:type="dxa"/>
            <w:noWrap/>
            <w:hideMark/>
          </w:tcPr>
          <w:p w14:paraId="7286C57A" w14:textId="10B06F85"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621" w:type="dxa"/>
            <w:noWrap/>
            <w:hideMark/>
          </w:tcPr>
          <w:p w14:paraId="3752DA46" w14:textId="5BB2F4A4"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r>
      <w:tr w:rsidR="00640C25" w:rsidRPr="00640C25" w14:paraId="1AACC2F7"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83647DD" w14:textId="77777777" w:rsidR="00640C25" w:rsidRPr="000F2921" w:rsidRDefault="00640C25" w:rsidP="000F2921">
            <w:pPr>
              <w:pStyle w:val="TableofAuthorities"/>
            </w:pPr>
            <w:r w:rsidRPr="000F2921">
              <w:t xml:space="preserve">  ◦ Interest expenses</w:t>
            </w:r>
          </w:p>
        </w:tc>
        <w:tc>
          <w:tcPr>
            <w:tcW w:w="1166" w:type="dxa"/>
            <w:noWrap/>
            <w:hideMark/>
          </w:tcPr>
          <w:p w14:paraId="456FB723" w14:textId="7B6021A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69D1947D" w14:textId="31F8CB7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$0.0</w:t>
            </w:r>
          </w:p>
        </w:tc>
        <w:tc>
          <w:tcPr>
            <w:tcW w:w="1167" w:type="dxa"/>
            <w:noWrap/>
            <w:hideMark/>
          </w:tcPr>
          <w:p w14:paraId="283A6E9B" w14:textId="30A2FB3C"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c>
          <w:tcPr>
            <w:tcW w:w="1621" w:type="dxa"/>
            <w:noWrap/>
            <w:hideMark/>
          </w:tcPr>
          <w:p w14:paraId="64B1F910" w14:textId="778D068F"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$0.1</w:t>
            </w:r>
          </w:p>
        </w:tc>
      </w:tr>
      <w:tr w:rsidR="00640C25" w:rsidRPr="00640C25" w14:paraId="5CBC79CC" w14:textId="77777777" w:rsidTr="007C6ACF">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70C043A3" w14:textId="77777777" w:rsidR="00640C25" w:rsidRPr="000F2921" w:rsidRDefault="00640C25" w:rsidP="007C6ACF">
            <w:pPr>
              <w:pStyle w:val="TableParagraphbold"/>
            </w:pPr>
            <w:r w:rsidRPr="000F2921">
              <w:t>Total administration &amp; support expenses</w:t>
            </w:r>
          </w:p>
        </w:tc>
        <w:tc>
          <w:tcPr>
            <w:tcW w:w="1166" w:type="dxa"/>
            <w:shd w:val="clear" w:color="auto" w:fill="D8DBDB" w:themeFill="background2" w:themeFillShade="E6"/>
            <w:hideMark/>
          </w:tcPr>
          <w:p w14:paraId="1AEFB01D"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$13</w:t>
            </w:r>
          </w:p>
        </w:tc>
        <w:tc>
          <w:tcPr>
            <w:tcW w:w="1167" w:type="dxa"/>
            <w:shd w:val="clear" w:color="auto" w:fill="D8DBDB" w:themeFill="background2" w:themeFillShade="E6"/>
            <w:hideMark/>
          </w:tcPr>
          <w:p w14:paraId="78441196"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$15</w:t>
            </w:r>
          </w:p>
        </w:tc>
        <w:tc>
          <w:tcPr>
            <w:tcW w:w="1167" w:type="dxa"/>
            <w:shd w:val="clear" w:color="auto" w:fill="D8DBDB" w:themeFill="background2" w:themeFillShade="E6"/>
            <w:hideMark/>
          </w:tcPr>
          <w:p w14:paraId="6663AB84"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$11</w:t>
            </w:r>
          </w:p>
        </w:tc>
        <w:tc>
          <w:tcPr>
            <w:tcW w:w="1621" w:type="dxa"/>
            <w:shd w:val="clear" w:color="auto" w:fill="D8DBDB" w:themeFill="background2" w:themeFillShade="E6"/>
            <w:hideMark/>
          </w:tcPr>
          <w:p w14:paraId="18B7C2E5" w14:textId="77777777" w:rsidR="00640C25" w:rsidRPr="000F2921" w:rsidRDefault="00640C25" w:rsidP="007C6ACF">
            <w:pPr>
              <w:pStyle w:val="TableParagraphbold"/>
              <w:cnfStyle w:val="000000000000" w:firstRow="0" w:lastRow="0" w:firstColumn="0" w:lastColumn="0" w:oddVBand="0" w:evenVBand="0" w:oddHBand="0" w:evenHBand="0" w:firstRowFirstColumn="0" w:firstRowLastColumn="0" w:lastRowFirstColumn="0" w:lastRowLastColumn="0"/>
            </w:pPr>
            <w:r w:rsidRPr="000F2921">
              <w:t>$14</w:t>
            </w:r>
          </w:p>
        </w:tc>
      </w:tr>
      <w:tr w:rsidR="00640C25" w:rsidRPr="00640C25" w14:paraId="33BE4CA6" w14:textId="77777777" w:rsidTr="00EC6496">
        <w:trPr>
          <w:trHeight w:val="30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45996033" w14:textId="77777777" w:rsidR="00640C25" w:rsidRPr="000F2921" w:rsidRDefault="00640C25" w:rsidP="000F2921">
            <w:pPr>
              <w:pStyle w:val="TableofAuthorities"/>
            </w:pPr>
            <w:r w:rsidRPr="000F2921">
              <w:t xml:space="preserve">  ◦ COVID-19 expenses</w:t>
            </w:r>
          </w:p>
        </w:tc>
        <w:tc>
          <w:tcPr>
            <w:tcW w:w="1166" w:type="dxa"/>
            <w:noWrap/>
            <w:hideMark/>
          </w:tcPr>
          <w:p w14:paraId="280C5D3F" w14:textId="78418D0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167" w:type="dxa"/>
            <w:noWrap/>
            <w:hideMark/>
          </w:tcPr>
          <w:p w14:paraId="7D61EFC2" w14:textId="05CBB00B"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167" w:type="dxa"/>
            <w:noWrap/>
            <w:hideMark/>
          </w:tcPr>
          <w:p w14:paraId="3137D652" w14:textId="722D4486"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$0.2</w:t>
            </w:r>
          </w:p>
        </w:tc>
        <w:tc>
          <w:tcPr>
            <w:tcW w:w="1621" w:type="dxa"/>
            <w:noWrap/>
            <w:hideMark/>
          </w:tcPr>
          <w:p w14:paraId="4625D08B" w14:textId="4DAAC12A"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$0.4</w:t>
            </w:r>
          </w:p>
        </w:tc>
      </w:tr>
      <w:tr w:rsidR="00640C25" w:rsidRPr="00640C25" w14:paraId="0B365C26" w14:textId="77777777" w:rsidTr="00EC6496">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noWrap/>
            <w:hideMark/>
          </w:tcPr>
          <w:p w14:paraId="268F4237" w14:textId="77777777" w:rsidR="00640C25" w:rsidRPr="000F2921" w:rsidRDefault="00640C25" w:rsidP="000F2921">
            <w:pPr>
              <w:pStyle w:val="TableofAuthorities"/>
            </w:pPr>
            <w:r w:rsidRPr="000F2921">
              <w:t xml:space="preserve">  ◦ Other expenses</w:t>
            </w:r>
          </w:p>
        </w:tc>
        <w:tc>
          <w:tcPr>
            <w:tcW w:w="1166" w:type="dxa"/>
            <w:noWrap/>
            <w:hideMark/>
          </w:tcPr>
          <w:p w14:paraId="60EBFD83" w14:textId="2AC14518"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$0.8</w:t>
            </w:r>
          </w:p>
        </w:tc>
        <w:tc>
          <w:tcPr>
            <w:tcW w:w="1167" w:type="dxa"/>
            <w:noWrap/>
            <w:hideMark/>
          </w:tcPr>
          <w:p w14:paraId="58697A02" w14:textId="53848594"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$0.5</w:t>
            </w:r>
          </w:p>
        </w:tc>
        <w:tc>
          <w:tcPr>
            <w:tcW w:w="1167" w:type="dxa"/>
            <w:noWrap/>
            <w:hideMark/>
          </w:tcPr>
          <w:p w14:paraId="617A7C63" w14:textId="1E057322"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$0.3</w:t>
            </w:r>
          </w:p>
        </w:tc>
        <w:tc>
          <w:tcPr>
            <w:tcW w:w="1621" w:type="dxa"/>
            <w:noWrap/>
            <w:hideMark/>
          </w:tcPr>
          <w:p w14:paraId="3302BDC1" w14:textId="521E9633" w:rsidR="00640C25" w:rsidRPr="000F2921" w:rsidRDefault="00640C25" w:rsidP="000F2921">
            <w:pPr>
              <w:pStyle w:val="TableofAuthorities"/>
              <w:cnfStyle w:val="000000000000" w:firstRow="0" w:lastRow="0" w:firstColumn="0" w:lastColumn="0" w:oddVBand="0" w:evenVBand="0" w:oddHBand="0" w:evenHBand="0" w:firstRowFirstColumn="0" w:firstRowLastColumn="0" w:lastRowFirstColumn="0" w:lastRowLastColumn="0"/>
            </w:pPr>
            <w:r w:rsidRPr="000F2921">
              <w:t>$0.6</w:t>
            </w:r>
          </w:p>
        </w:tc>
      </w:tr>
      <w:tr w:rsidR="00640C25" w:rsidRPr="00640C25" w14:paraId="65B5B74E" w14:textId="77777777" w:rsidTr="007C6ACF">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3F79D8C6" w14:textId="77777777" w:rsidR="00640C25" w:rsidRPr="000F2921" w:rsidRDefault="00640C25" w:rsidP="000F2921">
            <w:pPr>
              <w:pStyle w:val="TableParagraphbold"/>
            </w:pPr>
            <w:r w:rsidRPr="000F2921">
              <w:t>Total expenses:</w:t>
            </w:r>
          </w:p>
        </w:tc>
        <w:tc>
          <w:tcPr>
            <w:tcW w:w="1166" w:type="dxa"/>
            <w:shd w:val="clear" w:color="auto" w:fill="D8DBDB" w:themeFill="background2" w:themeFillShade="E6"/>
            <w:noWrap/>
            <w:hideMark/>
          </w:tcPr>
          <w:p w14:paraId="407DFBE5" w14:textId="7A74FADD"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$63.5</w:t>
            </w:r>
          </w:p>
        </w:tc>
        <w:tc>
          <w:tcPr>
            <w:tcW w:w="1167" w:type="dxa"/>
            <w:shd w:val="clear" w:color="auto" w:fill="D8DBDB" w:themeFill="background2" w:themeFillShade="E6"/>
            <w:noWrap/>
            <w:hideMark/>
          </w:tcPr>
          <w:p w14:paraId="3C356379" w14:textId="74C8F66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$63.3</w:t>
            </w:r>
          </w:p>
        </w:tc>
        <w:tc>
          <w:tcPr>
            <w:tcW w:w="1167" w:type="dxa"/>
            <w:shd w:val="clear" w:color="auto" w:fill="D8DBDB" w:themeFill="background2" w:themeFillShade="E6"/>
            <w:noWrap/>
            <w:hideMark/>
          </w:tcPr>
          <w:p w14:paraId="6735E648" w14:textId="5CA1D304"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$59.7</w:t>
            </w:r>
          </w:p>
        </w:tc>
        <w:tc>
          <w:tcPr>
            <w:tcW w:w="1621" w:type="dxa"/>
            <w:shd w:val="clear" w:color="auto" w:fill="D8DBDB" w:themeFill="background2" w:themeFillShade="E6"/>
            <w:noWrap/>
            <w:hideMark/>
          </w:tcPr>
          <w:p w14:paraId="19D04362" w14:textId="47291532"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$63.2</w:t>
            </w:r>
          </w:p>
        </w:tc>
      </w:tr>
      <w:tr w:rsidR="00640C25" w:rsidRPr="00640C25" w14:paraId="1426AE90" w14:textId="77777777" w:rsidTr="007C6ACF">
        <w:trPr>
          <w:trHeight w:val="310"/>
        </w:trPr>
        <w:tc>
          <w:tcPr>
            <w:cnfStyle w:val="001000000000" w:firstRow="0" w:lastRow="0" w:firstColumn="1" w:lastColumn="0" w:oddVBand="0" w:evenVBand="0" w:oddHBand="0" w:evenHBand="0" w:firstRowFirstColumn="0" w:firstRowLastColumn="0" w:lastRowFirstColumn="0" w:lastRowLastColumn="0"/>
            <w:tcW w:w="4802" w:type="dxa"/>
            <w:gridSpan w:val="3"/>
            <w:shd w:val="clear" w:color="auto" w:fill="D8DBDB" w:themeFill="background2" w:themeFillShade="E6"/>
            <w:noWrap/>
            <w:hideMark/>
          </w:tcPr>
          <w:p w14:paraId="074607BA" w14:textId="77777777" w:rsidR="00640C25" w:rsidRPr="000F2921" w:rsidRDefault="00640C25" w:rsidP="000F2921">
            <w:pPr>
              <w:pStyle w:val="TableParagraphbold"/>
            </w:pPr>
            <w:r w:rsidRPr="000F2921">
              <w:t>Net profit/(loss) before tax:</w:t>
            </w:r>
          </w:p>
        </w:tc>
        <w:tc>
          <w:tcPr>
            <w:tcW w:w="1166" w:type="dxa"/>
            <w:shd w:val="clear" w:color="auto" w:fill="D8DBDB" w:themeFill="background2" w:themeFillShade="E6"/>
            <w:noWrap/>
            <w:hideMark/>
          </w:tcPr>
          <w:p w14:paraId="24A31CA0" w14:textId="0E1F09B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$3.3</w:t>
            </w:r>
          </w:p>
        </w:tc>
        <w:tc>
          <w:tcPr>
            <w:tcW w:w="1167" w:type="dxa"/>
            <w:shd w:val="clear" w:color="auto" w:fill="D8DBDB" w:themeFill="background2" w:themeFillShade="E6"/>
            <w:noWrap/>
            <w:hideMark/>
          </w:tcPr>
          <w:p w14:paraId="208DE67E" w14:textId="57C47032"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$2.6</w:t>
            </w:r>
          </w:p>
        </w:tc>
        <w:tc>
          <w:tcPr>
            <w:tcW w:w="1167" w:type="dxa"/>
            <w:shd w:val="clear" w:color="auto" w:fill="D8DBDB" w:themeFill="background2" w:themeFillShade="E6"/>
            <w:noWrap/>
            <w:hideMark/>
          </w:tcPr>
          <w:p w14:paraId="7ED0245F" w14:textId="26110947"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$2.0</w:t>
            </w:r>
          </w:p>
        </w:tc>
        <w:tc>
          <w:tcPr>
            <w:tcW w:w="1621" w:type="dxa"/>
            <w:shd w:val="clear" w:color="auto" w:fill="D8DBDB" w:themeFill="background2" w:themeFillShade="E6"/>
            <w:noWrap/>
            <w:hideMark/>
          </w:tcPr>
          <w:p w14:paraId="12103DFC" w14:textId="769DBDD5" w:rsidR="00640C25" w:rsidRPr="000F2921" w:rsidRDefault="00640C25" w:rsidP="000F2921">
            <w:pPr>
              <w:pStyle w:val="TableParagraphbold"/>
              <w:cnfStyle w:val="000000000000" w:firstRow="0" w:lastRow="0" w:firstColumn="0" w:lastColumn="0" w:oddVBand="0" w:evenVBand="0" w:oddHBand="0" w:evenHBand="0" w:firstRowFirstColumn="0" w:firstRowLastColumn="0" w:lastRowFirstColumn="0" w:lastRowLastColumn="0"/>
            </w:pPr>
            <w:r w:rsidRPr="000F2921">
              <w:t>$2.8</w:t>
            </w:r>
          </w:p>
        </w:tc>
      </w:tr>
    </w:tbl>
    <w:p w14:paraId="35816DAF" w14:textId="71CF8C4F" w:rsidR="008B44EA" w:rsidRDefault="008B44EA" w:rsidP="001D39D3">
      <w:r>
        <w:br w:type="page"/>
      </w:r>
    </w:p>
    <w:p w14:paraId="2749A94D" w14:textId="29C0DF5D" w:rsidR="008B44EA" w:rsidRPr="007C6ACF" w:rsidRDefault="007C39C0" w:rsidP="007C6ACF">
      <w:pPr>
        <w:pStyle w:val="Heading1nonumber"/>
      </w:pPr>
      <w:bookmarkStart w:id="347" w:name="_Toc149245331"/>
      <w:r w:rsidRPr="007C6ACF">
        <w:lastRenderedPageBreak/>
        <w:t>Glossary</w:t>
      </w:r>
      <w:bookmarkEnd w:id="347"/>
    </w:p>
    <w:tbl>
      <w:tblPr>
        <w:tblStyle w:val="PHNGreyTable"/>
        <w:tblpPr w:leftFromText="180" w:rightFromText="180" w:vertAnchor="text" w:tblpY="1"/>
        <w:tblW w:w="0" w:type="auto"/>
        <w:tblLook w:val="04A0" w:firstRow="1" w:lastRow="0" w:firstColumn="1" w:lastColumn="0" w:noHBand="0" w:noVBand="1"/>
      </w:tblPr>
      <w:tblGrid>
        <w:gridCol w:w="1650"/>
        <w:gridCol w:w="7283"/>
      </w:tblGrid>
      <w:tr w:rsidR="005C49AB" w:rsidRPr="00814391" w14:paraId="1DB2D7E8" w14:textId="77777777" w:rsidTr="00DA38C5">
        <w:trPr>
          <w:cnfStyle w:val="100000000000" w:firstRow="1" w:lastRow="0" w:firstColumn="0" w:lastColumn="0" w:oddVBand="0" w:evenVBand="0" w:oddHBand="0" w:evenHBand="0" w:firstRowFirstColumn="0" w:firstRowLastColumn="0" w:lastRowFirstColumn="0" w:lastRowLastColumn="0"/>
          <w:trHeight w:val="559"/>
          <w:tblHeader/>
        </w:trPr>
        <w:tc>
          <w:tcPr>
            <w:tcW w:w="1364" w:type="dxa"/>
          </w:tcPr>
          <w:p w14:paraId="6BEE93BE" w14:textId="30FBCBD9" w:rsidR="005C49AB" w:rsidRPr="00814391" w:rsidRDefault="005C49AB" w:rsidP="00814391">
            <w:pPr>
              <w:pStyle w:val="TableHeaderWhite"/>
              <w:rPr>
                <w:b/>
                <w:bCs/>
              </w:rPr>
            </w:pPr>
            <w:r w:rsidRPr="00814391">
              <w:rPr>
                <w:b/>
                <w:bCs/>
              </w:rPr>
              <w:t>Term</w:t>
            </w:r>
          </w:p>
        </w:tc>
        <w:tc>
          <w:tcPr>
            <w:tcW w:w="7283" w:type="dxa"/>
          </w:tcPr>
          <w:p w14:paraId="3AA6BF7C" w14:textId="6AFE64DC" w:rsidR="005C49AB" w:rsidRPr="00814391" w:rsidRDefault="005C49AB" w:rsidP="00814391">
            <w:pPr>
              <w:pStyle w:val="TableHeaderWhite"/>
              <w:rPr>
                <w:b/>
                <w:bCs/>
              </w:rPr>
            </w:pPr>
            <w:r w:rsidRPr="00814391">
              <w:rPr>
                <w:b/>
                <w:bCs/>
              </w:rPr>
              <w:t>Definition</w:t>
            </w:r>
          </w:p>
        </w:tc>
      </w:tr>
      <w:tr w:rsidR="003C2B2B" w:rsidRPr="00DA76B8" w14:paraId="659DB155" w14:textId="77777777" w:rsidTr="00FD08AF">
        <w:trPr>
          <w:trHeight w:val="328"/>
        </w:trPr>
        <w:tc>
          <w:tcPr>
            <w:tcW w:w="1364" w:type="dxa"/>
          </w:tcPr>
          <w:p w14:paraId="688F20F1" w14:textId="6A6D4054" w:rsidR="003C2B2B" w:rsidRPr="00FD08AF" w:rsidRDefault="003C2B2B" w:rsidP="00FD08AF">
            <w:pPr>
              <w:pStyle w:val="TableofAuthorities"/>
            </w:pPr>
            <w:r w:rsidRPr="00FD08AF">
              <w:t>AASB</w:t>
            </w:r>
          </w:p>
        </w:tc>
        <w:tc>
          <w:tcPr>
            <w:tcW w:w="7283" w:type="dxa"/>
          </w:tcPr>
          <w:p w14:paraId="55EFA51A" w14:textId="7C4A6023" w:rsidR="003C2B2B" w:rsidRPr="00FD08AF" w:rsidRDefault="003C2B2B" w:rsidP="00FD08AF">
            <w:pPr>
              <w:pStyle w:val="TableofAuthorities"/>
            </w:pPr>
            <w:r w:rsidRPr="00FD08AF">
              <w:t>Australian Accounting Standards Board</w:t>
            </w:r>
          </w:p>
        </w:tc>
      </w:tr>
      <w:tr w:rsidR="00DA76B8" w:rsidRPr="00DA76B8" w14:paraId="062A36FE" w14:textId="77777777" w:rsidTr="00FD08AF">
        <w:trPr>
          <w:trHeight w:val="328"/>
        </w:trPr>
        <w:tc>
          <w:tcPr>
            <w:tcW w:w="1364" w:type="dxa"/>
          </w:tcPr>
          <w:p w14:paraId="7111B033" w14:textId="25731B3A" w:rsidR="005C49AB" w:rsidRPr="00982E7B" w:rsidRDefault="00F052EF" w:rsidP="00C90695">
            <w:pPr>
              <w:pStyle w:val="TableofAuthorities"/>
            </w:pPr>
            <w:r w:rsidRPr="00982E7B">
              <w:t>Accommodation supplement</w:t>
            </w:r>
          </w:p>
        </w:tc>
        <w:tc>
          <w:tcPr>
            <w:tcW w:w="7283" w:type="dxa"/>
          </w:tcPr>
          <w:p w14:paraId="4EA19B53" w14:textId="4BE85929" w:rsidR="005C49AB" w:rsidRPr="00982E7B" w:rsidRDefault="00F052EF" w:rsidP="00C90695">
            <w:pPr>
              <w:pStyle w:val="TableofAuthorities"/>
            </w:pPr>
            <w:r w:rsidRPr="00982E7B">
              <w:t>The accommodation supplement is payable on behalf of residents receiving permanent residential aged care who do not have the capacity to contribute to all or part of the cost of their accommodation.</w:t>
            </w:r>
          </w:p>
        </w:tc>
      </w:tr>
      <w:tr w:rsidR="00DA76B8" w:rsidRPr="00DA76B8" w14:paraId="051CA7D0" w14:textId="77777777" w:rsidTr="00FD08AF">
        <w:trPr>
          <w:trHeight w:val="109"/>
        </w:trPr>
        <w:tc>
          <w:tcPr>
            <w:tcW w:w="1364" w:type="dxa"/>
          </w:tcPr>
          <w:p w14:paraId="74136DEF" w14:textId="03D153F5" w:rsidR="000C048F" w:rsidRPr="00982E7B" w:rsidRDefault="00F052EF" w:rsidP="00C90695">
            <w:pPr>
              <w:pStyle w:val="TableofAuthorities"/>
            </w:pPr>
            <w:r w:rsidRPr="00982E7B">
              <w:t>Aged Care Act 1997</w:t>
            </w:r>
            <w:r w:rsidR="0012122F" w:rsidRPr="00982E7B">
              <w:t xml:space="preserve"> </w:t>
            </w:r>
            <w:r w:rsidRPr="00982E7B">
              <w:t>(the Act)</w:t>
            </w:r>
          </w:p>
        </w:tc>
        <w:tc>
          <w:tcPr>
            <w:tcW w:w="7283" w:type="dxa"/>
          </w:tcPr>
          <w:p w14:paraId="286D532D" w14:textId="649F08D1" w:rsidR="000C048F" w:rsidRPr="00982E7B" w:rsidRDefault="00F052EF" w:rsidP="00C90695">
            <w:pPr>
              <w:pStyle w:val="TableofAuthorities"/>
            </w:pPr>
            <w:r w:rsidRPr="00982E7B">
              <w:t>The primary legislation governing the provision of aged care services. In May 2021 the Government announced that a new act would be written to be operational by July 2023.</w:t>
            </w:r>
            <w:r w:rsidR="00655700" w:rsidRPr="00982E7B">
              <w:t xml:space="preserve"> Work is underway on the </w:t>
            </w:r>
            <w:r w:rsidR="00804324" w:rsidRPr="00982E7B">
              <w:t>New Aged Care Act.</w:t>
            </w:r>
          </w:p>
        </w:tc>
      </w:tr>
      <w:tr w:rsidR="00DA76B8" w:rsidRPr="00DA76B8" w14:paraId="1B5EA9A3" w14:textId="77777777" w:rsidTr="00FD08AF">
        <w:trPr>
          <w:trHeight w:val="1410"/>
        </w:trPr>
        <w:tc>
          <w:tcPr>
            <w:tcW w:w="1364" w:type="dxa"/>
          </w:tcPr>
          <w:p w14:paraId="34A8B847" w14:textId="71CE9E74" w:rsidR="000C048F" w:rsidRPr="00982E7B" w:rsidRDefault="00F052EF" w:rsidP="00C90695">
            <w:pPr>
              <w:pStyle w:val="TableofAuthorities"/>
            </w:pPr>
            <w:r w:rsidRPr="00982E7B">
              <w:t>Aged Care Approvals Round (ACAR)</w:t>
            </w:r>
          </w:p>
        </w:tc>
        <w:tc>
          <w:tcPr>
            <w:tcW w:w="7283" w:type="dxa"/>
          </w:tcPr>
          <w:p w14:paraId="47B239C2" w14:textId="103BEA26" w:rsidR="000C048F" w:rsidRPr="00982E7B" w:rsidRDefault="00F052EF" w:rsidP="00C90695">
            <w:pPr>
              <w:pStyle w:val="TableofAuthorities"/>
            </w:pPr>
            <w:r w:rsidRPr="00982E7B">
              <w:t xml:space="preserve">A competitive application process that enables prospective and existing approved providers of residential aged care to apply for a range of new Australian Government funded aged care places and financial assistance in the form of a capital grant. In May 2021, the former Government announced that the 2021 ACAR would be the last round held and from 1 July 2024, residential care places will be allocated directly to </w:t>
            </w:r>
            <w:r w:rsidR="008F66AB" w:rsidRPr="00982E7B">
              <w:t>re</w:t>
            </w:r>
            <w:r w:rsidR="000504EB" w:rsidRPr="00982E7B">
              <w:t>cipients</w:t>
            </w:r>
            <w:r w:rsidRPr="00982E7B">
              <w:t>.</w:t>
            </w:r>
          </w:p>
        </w:tc>
      </w:tr>
      <w:tr w:rsidR="00DA76B8" w:rsidRPr="00DA76B8" w14:paraId="4CD6AB8E" w14:textId="77777777" w:rsidTr="00FD08AF">
        <w:trPr>
          <w:trHeight w:val="109"/>
        </w:trPr>
        <w:tc>
          <w:tcPr>
            <w:tcW w:w="1364" w:type="dxa"/>
          </w:tcPr>
          <w:p w14:paraId="7CE770B0" w14:textId="3C67EE22" w:rsidR="000C048F" w:rsidRPr="00982E7B" w:rsidRDefault="00F052EF" w:rsidP="00C90695">
            <w:pPr>
              <w:pStyle w:val="TableofAuthorities"/>
            </w:pPr>
            <w:r w:rsidRPr="00982E7B">
              <w:t>Aged Care Assessment Team (ACAT)</w:t>
            </w:r>
          </w:p>
        </w:tc>
        <w:tc>
          <w:tcPr>
            <w:tcW w:w="7283" w:type="dxa"/>
          </w:tcPr>
          <w:p w14:paraId="55DAFADC" w14:textId="7A27566E" w:rsidR="000C048F" w:rsidRPr="00982E7B" w:rsidRDefault="00F052EF" w:rsidP="00C90695">
            <w:pPr>
              <w:pStyle w:val="TableofAuthorities"/>
            </w:pPr>
            <w:r w:rsidRPr="00982E7B">
              <w:t>ACATs are teams of medical and allied health professionals who assess the physical, psychological, medical, restorative, cultural and social needs of frail older people and help them and their carers to access appropriate levels of support.</w:t>
            </w:r>
          </w:p>
        </w:tc>
      </w:tr>
      <w:tr w:rsidR="00DA76B8" w:rsidRPr="00DA76B8" w14:paraId="5B69F2E0" w14:textId="77777777" w:rsidTr="00FD08AF">
        <w:trPr>
          <w:trHeight w:val="1410"/>
        </w:trPr>
        <w:tc>
          <w:tcPr>
            <w:tcW w:w="1364" w:type="dxa"/>
          </w:tcPr>
          <w:p w14:paraId="7B085B7E" w14:textId="522BB01F" w:rsidR="000C048F" w:rsidRPr="00982E7B" w:rsidRDefault="00F052EF" w:rsidP="00C90695">
            <w:pPr>
              <w:pStyle w:val="TableofAuthorities"/>
            </w:pPr>
            <w:r w:rsidRPr="00982E7B">
              <w:t>Aged Care Financial Report (ACFR)</w:t>
            </w:r>
          </w:p>
        </w:tc>
        <w:tc>
          <w:tcPr>
            <w:tcW w:w="7283" w:type="dxa"/>
          </w:tcPr>
          <w:p w14:paraId="0AAAF447" w14:textId="7291C1F6" w:rsidR="000C048F" w:rsidRPr="00982E7B" w:rsidRDefault="00F052EF" w:rsidP="00C90695">
            <w:pPr>
              <w:pStyle w:val="TableofAuthorities"/>
            </w:pPr>
            <w:r w:rsidRPr="00982E7B">
              <w:t xml:space="preserve">A reporting template introduced for the 2016–17 reporting year that consolidates prudential and financial reporting information that was previously separately reported. The ACFR consolidates information previously reported through the Annual Prudential Compliance Statement, the Survey of Aged Care Homes, the Home Care Financial </w:t>
            </w:r>
            <w:proofErr w:type="gramStart"/>
            <w:r w:rsidRPr="00982E7B">
              <w:t>Report</w:t>
            </w:r>
            <w:proofErr w:type="gramEnd"/>
            <w:r w:rsidRPr="00982E7B">
              <w:t xml:space="preserve"> and the Short</w:t>
            </w:r>
            <w:r w:rsidR="008B204D" w:rsidRPr="00982E7B">
              <w:t>-Term</w:t>
            </w:r>
            <w:r w:rsidRPr="00982E7B">
              <w:t xml:space="preserve"> Restorative Care Financial Report.</w:t>
            </w:r>
          </w:p>
        </w:tc>
      </w:tr>
      <w:tr w:rsidR="00DA76B8" w:rsidRPr="00DA76B8" w14:paraId="7428FA5C" w14:textId="77777777" w:rsidTr="00FD08AF">
        <w:trPr>
          <w:trHeight w:val="334"/>
        </w:trPr>
        <w:tc>
          <w:tcPr>
            <w:tcW w:w="1364" w:type="dxa"/>
          </w:tcPr>
          <w:p w14:paraId="5008F53D" w14:textId="21182C60" w:rsidR="000C048F" w:rsidRPr="00982E7B" w:rsidRDefault="00F052EF" w:rsidP="00C90695">
            <w:pPr>
              <w:pStyle w:val="TableofAuthorities"/>
            </w:pPr>
            <w:r w:rsidRPr="00982E7B">
              <w:t>Aged Care Financing Authority (ACFA)</w:t>
            </w:r>
          </w:p>
        </w:tc>
        <w:tc>
          <w:tcPr>
            <w:tcW w:w="7283" w:type="dxa"/>
          </w:tcPr>
          <w:p w14:paraId="02B4FBB5" w14:textId="53BC0F16" w:rsidR="000C048F" w:rsidRPr="00982E7B" w:rsidRDefault="00F052EF" w:rsidP="00C90695">
            <w:pPr>
              <w:pStyle w:val="TableofAuthorities"/>
            </w:pPr>
            <w:r w:rsidRPr="00982E7B">
              <w:t>ACFA was a statutory committee that provided independent advice to the Australian Government on funding and financing issues. ACFA operated from 2012 following the L</w:t>
            </w:r>
            <w:r w:rsidR="00215F03">
              <w:t>iving Longer Living Better (</w:t>
            </w:r>
            <w:r w:rsidRPr="00982E7B">
              <w:t>LLLB</w:t>
            </w:r>
            <w:r w:rsidR="00215F03">
              <w:t>)</w:t>
            </w:r>
            <w:r w:rsidRPr="00982E7B">
              <w:t xml:space="preserve"> reforms until 30 June 2021 when it was discontinued.</w:t>
            </w:r>
          </w:p>
        </w:tc>
      </w:tr>
      <w:tr w:rsidR="00DA76B8" w:rsidRPr="00DA76B8" w14:paraId="46A316B3" w14:textId="77777777" w:rsidTr="00FD08AF">
        <w:trPr>
          <w:trHeight w:val="136"/>
        </w:trPr>
        <w:tc>
          <w:tcPr>
            <w:tcW w:w="1364" w:type="dxa"/>
          </w:tcPr>
          <w:p w14:paraId="687EF1C2" w14:textId="2349C5BF" w:rsidR="000C048F" w:rsidRPr="00982E7B" w:rsidRDefault="00F052EF" w:rsidP="00C90695">
            <w:pPr>
              <w:pStyle w:val="TableofAuthorities"/>
            </w:pPr>
            <w:r w:rsidRPr="00982E7B">
              <w:t>Aged Care Funding Instrument (ACFI)</w:t>
            </w:r>
          </w:p>
        </w:tc>
        <w:tc>
          <w:tcPr>
            <w:tcW w:w="7283" w:type="dxa"/>
          </w:tcPr>
          <w:p w14:paraId="690D848D" w14:textId="624453A1" w:rsidR="000C048F" w:rsidRPr="00982E7B" w:rsidRDefault="00F052EF" w:rsidP="00C90695">
            <w:pPr>
              <w:pStyle w:val="TableofAuthorities"/>
            </w:pPr>
            <w:r w:rsidRPr="00982E7B">
              <w:t xml:space="preserve">The classification instrument used </w:t>
            </w:r>
            <w:r w:rsidR="00690340">
              <w:t xml:space="preserve">in 2021-22 </w:t>
            </w:r>
            <w:r w:rsidRPr="00982E7B">
              <w:t xml:space="preserve">to calculate subsidies to residential aged care facilities. The Government announced in May 2021 that the ACFI </w:t>
            </w:r>
            <w:r w:rsidR="00CC4FDE" w:rsidRPr="00982E7B">
              <w:t xml:space="preserve">would replace </w:t>
            </w:r>
            <w:r w:rsidRPr="00982E7B">
              <w:t>be replaced by the Australian National Aged Care Classification (AN-ACC) from October 2022.</w:t>
            </w:r>
          </w:p>
        </w:tc>
      </w:tr>
      <w:tr w:rsidR="00DA76B8" w:rsidRPr="00DA76B8" w14:paraId="4033B9B7" w14:textId="77777777" w:rsidTr="00FD08AF">
        <w:trPr>
          <w:trHeight w:val="1137"/>
        </w:trPr>
        <w:tc>
          <w:tcPr>
            <w:tcW w:w="1364" w:type="dxa"/>
          </w:tcPr>
          <w:p w14:paraId="59A7ACDA" w14:textId="1B6881EA" w:rsidR="00F052EF" w:rsidRPr="00982E7B" w:rsidRDefault="00F052EF" w:rsidP="00C90695">
            <w:pPr>
              <w:pStyle w:val="TableofAuthorities"/>
            </w:pPr>
            <w:r w:rsidRPr="00982E7B">
              <w:t>Aged Care Pricing Commissioner (ACPC)</w:t>
            </w:r>
          </w:p>
        </w:tc>
        <w:tc>
          <w:tcPr>
            <w:tcW w:w="7283" w:type="dxa"/>
          </w:tcPr>
          <w:p w14:paraId="109F0948" w14:textId="567BE652" w:rsidR="00F052EF" w:rsidRPr="00982E7B" w:rsidRDefault="00F052EF" w:rsidP="00C90695">
            <w:pPr>
              <w:pStyle w:val="TableofAuthorities"/>
            </w:pPr>
            <w:r w:rsidRPr="00982E7B">
              <w:t xml:space="preserve">The Aged Care Pricing Commissioner is an independent, statutory office holder appointed in 2012 following the </w:t>
            </w:r>
            <w:r w:rsidR="002C2295" w:rsidRPr="00982E7B">
              <w:t>Living Longer Living Better (</w:t>
            </w:r>
            <w:r w:rsidRPr="00982E7B">
              <w:t>LLLB</w:t>
            </w:r>
            <w:r w:rsidR="002C2295" w:rsidRPr="00982E7B">
              <w:t>)</w:t>
            </w:r>
            <w:r w:rsidRPr="00982E7B">
              <w:t xml:space="preserve"> reforms under the Aged Care Act 1997 and reported to the Minister for Aged Care.</w:t>
            </w:r>
          </w:p>
        </w:tc>
      </w:tr>
      <w:tr w:rsidR="00DA76B8" w:rsidRPr="00DA76B8" w14:paraId="79683924" w14:textId="77777777" w:rsidTr="00FD08AF">
        <w:trPr>
          <w:trHeight w:val="1000"/>
        </w:trPr>
        <w:tc>
          <w:tcPr>
            <w:tcW w:w="1364" w:type="dxa"/>
          </w:tcPr>
          <w:p w14:paraId="14C9031F" w14:textId="2E6506CD" w:rsidR="00F052EF" w:rsidRPr="00982E7B" w:rsidRDefault="00F052EF" w:rsidP="00C90695">
            <w:pPr>
              <w:pStyle w:val="TableofAuthorities"/>
            </w:pPr>
            <w:r w:rsidRPr="00982E7B">
              <w:t>Agreed accommodation price</w:t>
            </w:r>
          </w:p>
        </w:tc>
        <w:tc>
          <w:tcPr>
            <w:tcW w:w="7283" w:type="dxa"/>
          </w:tcPr>
          <w:p w14:paraId="7E896EAF" w14:textId="74C2AF86" w:rsidR="00F052EF" w:rsidRPr="00982E7B" w:rsidRDefault="00F052EF" w:rsidP="00C90695">
            <w:pPr>
              <w:pStyle w:val="TableofAuthorities"/>
            </w:pPr>
            <w:r w:rsidRPr="00982E7B">
              <w:t>Accommodation prices agreed between providers and prospective residents prior to entry, as reported by providers through the Aged Care Entry Record.</w:t>
            </w:r>
          </w:p>
        </w:tc>
      </w:tr>
      <w:tr w:rsidR="00DA76B8" w:rsidRPr="00DA76B8" w14:paraId="1CA73E53" w14:textId="77777777" w:rsidTr="00FD08AF">
        <w:trPr>
          <w:trHeight w:val="501"/>
        </w:trPr>
        <w:tc>
          <w:tcPr>
            <w:tcW w:w="1364" w:type="dxa"/>
          </w:tcPr>
          <w:p w14:paraId="23690F90" w14:textId="570EAC66" w:rsidR="00F052EF" w:rsidRPr="00982E7B" w:rsidRDefault="00F052EF" w:rsidP="00C90695">
            <w:pPr>
              <w:pStyle w:val="TableofAuthorities"/>
            </w:pPr>
            <w:r w:rsidRPr="00982E7B">
              <w:t>Approved provider</w:t>
            </w:r>
          </w:p>
        </w:tc>
        <w:tc>
          <w:tcPr>
            <w:tcW w:w="7283" w:type="dxa"/>
          </w:tcPr>
          <w:p w14:paraId="1086C103" w14:textId="68F8B25F" w:rsidR="00F052EF" w:rsidRPr="00982E7B" w:rsidRDefault="00F052EF" w:rsidP="00C90695">
            <w:pPr>
              <w:pStyle w:val="TableofAuthorities"/>
            </w:pPr>
            <w:r w:rsidRPr="00982E7B">
              <w:t>An approved provider of aged care is an organisation that has been approved by the Secretary of the department to provide residential care, home care or flexible care under the Aged Care Act 1997.</w:t>
            </w:r>
          </w:p>
        </w:tc>
      </w:tr>
      <w:tr w:rsidR="00DA76B8" w:rsidRPr="00DA76B8" w14:paraId="4CB92EAF" w14:textId="77777777" w:rsidTr="00FD08AF">
        <w:trPr>
          <w:trHeight w:val="1309"/>
        </w:trPr>
        <w:tc>
          <w:tcPr>
            <w:tcW w:w="1364" w:type="dxa"/>
          </w:tcPr>
          <w:p w14:paraId="2B6BB2CB" w14:textId="7740C4C4" w:rsidR="00F052EF" w:rsidRPr="00982E7B" w:rsidRDefault="00F052EF" w:rsidP="00C90695">
            <w:pPr>
              <w:pStyle w:val="TableofAuthorities"/>
            </w:pPr>
            <w:r w:rsidRPr="00982E7B">
              <w:t>Assistance with Care and Housing for the Aged (ACHA)</w:t>
            </w:r>
          </w:p>
        </w:tc>
        <w:tc>
          <w:tcPr>
            <w:tcW w:w="7283" w:type="dxa"/>
          </w:tcPr>
          <w:p w14:paraId="5DB6E698" w14:textId="0AC98134" w:rsidR="00F052EF" w:rsidRPr="00982E7B" w:rsidRDefault="00F052EF" w:rsidP="00C90695">
            <w:pPr>
              <w:pStyle w:val="TableofAuthorities"/>
            </w:pPr>
            <w:r w:rsidRPr="00982E7B">
              <w:t xml:space="preserve">ACHA is a program which provides a range of supports for eligible clients, who are at risk of becoming homeless or are homeless, to remain in the community through accessing appropriate, </w:t>
            </w:r>
            <w:proofErr w:type="gramStart"/>
            <w:r w:rsidRPr="00982E7B">
              <w:t>sustainable</w:t>
            </w:r>
            <w:proofErr w:type="gramEnd"/>
            <w:r w:rsidRPr="00982E7B">
              <w:t xml:space="preserve"> and affordable housing and linking them to community care. From 1 July 2015 the ACHA program was incorporated into the new Commonwealth Home Support Programme.</w:t>
            </w:r>
          </w:p>
        </w:tc>
      </w:tr>
      <w:tr w:rsidR="00401405" w:rsidRPr="00DA76B8" w14:paraId="436A023C" w14:textId="77777777" w:rsidTr="00FD08AF">
        <w:trPr>
          <w:trHeight w:val="1309"/>
        </w:trPr>
        <w:tc>
          <w:tcPr>
            <w:tcW w:w="1364" w:type="dxa"/>
          </w:tcPr>
          <w:p w14:paraId="581F34DA" w14:textId="7554CA94" w:rsidR="00401405" w:rsidRPr="00982E7B" w:rsidRDefault="00401405" w:rsidP="00C90695">
            <w:pPr>
              <w:pStyle w:val="TableofAuthorities"/>
            </w:pPr>
            <w:r>
              <w:lastRenderedPageBreak/>
              <w:t>Australian National Aged Care Classification (AN-ACC)</w:t>
            </w:r>
          </w:p>
        </w:tc>
        <w:tc>
          <w:tcPr>
            <w:tcW w:w="7283" w:type="dxa"/>
          </w:tcPr>
          <w:p w14:paraId="403B70FA" w14:textId="30B5456F" w:rsidR="00401405" w:rsidRPr="00982E7B" w:rsidRDefault="008E355A" w:rsidP="00C90695">
            <w:pPr>
              <w:pStyle w:val="TableofAuthorities"/>
            </w:pPr>
            <w:r w:rsidRPr="008E355A">
              <w:t>The Australian Government provides subsidies to approved residential aged care providers through the Australian National Aged Care Classification (AN-ACC) funding model</w:t>
            </w:r>
            <w:r>
              <w:t>. The AN-ACC model commenced in October 2022.</w:t>
            </w:r>
          </w:p>
        </w:tc>
      </w:tr>
      <w:tr w:rsidR="00DA76B8" w:rsidRPr="00DA76B8" w14:paraId="1E67FDAD" w14:textId="77777777" w:rsidTr="00FD08AF">
        <w:trPr>
          <w:trHeight w:val="109"/>
        </w:trPr>
        <w:tc>
          <w:tcPr>
            <w:tcW w:w="1364" w:type="dxa"/>
          </w:tcPr>
          <w:p w14:paraId="448E3B82" w14:textId="167B922B" w:rsidR="00F052EF" w:rsidRPr="00982E7B" w:rsidRDefault="00F052EF" w:rsidP="00C90695">
            <w:pPr>
              <w:pStyle w:val="TableofAuthorities"/>
            </w:pPr>
            <w:r w:rsidRPr="00982E7B">
              <w:t>Bed days</w:t>
            </w:r>
          </w:p>
        </w:tc>
        <w:tc>
          <w:tcPr>
            <w:tcW w:w="7283" w:type="dxa"/>
          </w:tcPr>
          <w:p w14:paraId="1F8DCFC2" w14:textId="1DA33791" w:rsidR="00F052EF" w:rsidRPr="00982E7B" w:rsidRDefault="00F052EF" w:rsidP="00C90695">
            <w:pPr>
              <w:pStyle w:val="TableofAuthorities"/>
            </w:pPr>
            <w:r w:rsidRPr="00982E7B">
              <w:t>The number of days for which a residential care place was available to be occupied by care recipients.</w:t>
            </w:r>
          </w:p>
        </w:tc>
      </w:tr>
      <w:tr w:rsidR="00DA76B8" w:rsidRPr="00DA76B8" w14:paraId="75267393" w14:textId="77777777" w:rsidTr="00FD08AF">
        <w:trPr>
          <w:trHeight w:val="109"/>
        </w:trPr>
        <w:tc>
          <w:tcPr>
            <w:tcW w:w="1364" w:type="dxa"/>
          </w:tcPr>
          <w:p w14:paraId="59731600" w14:textId="5F2CC324" w:rsidR="00F052EF" w:rsidRPr="00982E7B" w:rsidRDefault="00F052EF" w:rsidP="00C90695">
            <w:pPr>
              <w:pStyle w:val="TableofAuthorities"/>
            </w:pPr>
            <w:r w:rsidRPr="00982E7B">
              <w:t>Bond Asset Cover</w:t>
            </w:r>
          </w:p>
        </w:tc>
        <w:tc>
          <w:tcPr>
            <w:tcW w:w="7283" w:type="dxa"/>
          </w:tcPr>
          <w:p w14:paraId="2F1FE1CE" w14:textId="534715EB" w:rsidR="00F052EF" w:rsidRPr="00982E7B" w:rsidRDefault="00F052EF" w:rsidP="00C90695">
            <w:pPr>
              <w:pStyle w:val="TableofAuthorities"/>
            </w:pPr>
            <w:r w:rsidRPr="00982E7B">
              <w:t>Provides an indication of the extent to which the accommodation bond liability is covered by assets. It is calculated as Total Assets/Total Accommodation Bonds.</w:t>
            </w:r>
          </w:p>
        </w:tc>
      </w:tr>
      <w:tr w:rsidR="00DA76B8" w:rsidRPr="00DA76B8" w14:paraId="3AFDD390" w14:textId="77777777" w:rsidTr="00FD08AF">
        <w:trPr>
          <w:trHeight w:val="109"/>
        </w:trPr>
        <w:tc>
          <w:tcPr>
            <w:tcW w:w="1364" w:type="dxa"/>
          </w:tcPr>
          <w:p w14:paraId="14614131" w14:textId="36AA1C58" w:rsidR="00F052EF" w:rsidRPr="00982E7B" w:rsidRDefault="00F052EF" w:rsidP="00C90695">
            <w:pPr>
              <w:pStyle w:val="TableofAuthorities"/>
            </w:pPr>
            <w:r w:rsidRPr="00982E7B">
              <w:t>Care days</w:t>
            </w:r>
          </w:p>
        </w:tc>
        <w:tc>
          <w:tcPr>
            <w:tcW w:w="7283" w:type="dxa"/>
          </w:tcPr>
          <w:p w14:paraId="720EC08D" w14:textId="370E3E6D" w:rsidR="00F052EF" w:rsidRPr="00982E7B" w:rsidRDefault="00F052EF" w:rsidP="00C90695">
            <w:pPr>
              <w:pStyle w:val="TableofAuthorities"/>
            </w:pPr>
            <w:r w:rsidRPr="00982E7B">
              <w:t xml:space="preserve">The number of days for which care was </w:t>
            </w:r>
            <w:proofErr w:type="gramStart"/>
            <w:r w:rsidRPr="00982E7B">
              <w:t>actually provided</w:t>
            </w:r>
            <w:proofErr w:type="gramEnd"/>
            <w:r w:rsidRPr="00982E7B">
              <w:t xml:space="preserve"> to a care recipient in an aged care place.</w:t>
            </w:r>
          </w:p>
        </w:tc>
      </w:tr>
      <w:tr w:rsidR="00DA76B8" w:rsidRPr="00DA76B8" w14:paraId="58376BFC" w14:textId="77777777" w:rsidTr="00FD08AF">
        <w:trPr>
          <w:trHeight w:val="120"/>
        </w:trPr>
        <w:tc>
          <w:tcPr>
            <w:tcW w:w="1364" w:type="dxa"/>
          </w:tcPr>
          <w:p w14:paraId="4F78B7C6" w14:textId="747078EB" w:rsidR="00211B4E" w:rsidRPr="00982E7B" w:rsidRDefault="00211B4E" w:rsidP="00C90695">
            <w:pPr>
              <w:pStyle w:val="TableofAuthorities"/>
            </w:pPr>
            <w:r w:rsidRPr="00982E7B">
              <w:t>Cash as a proportion of accommodation deposits</w:t>
            </w:r>
          </w:p>
        </w:tc>
        <w:tc>
          <w:tcPr>
            <w:tcW w:w="7283" w:type="dxa"/>
          </w:tcPr>
          <w:p w14:paraId="652F0749" w14:textId="19DBCCE1" w:rsidR="00211B4E" w:rsidRPr="00982E7B" w:rsidRDefault="00211B4E" w:rsidP="00C90695">
            <w:pPr>
              <w:pStyle w:val="TableofAuthorities"/>
            </w:pPr>
            <w:r w:rsidRPr="00982E7B">
              <w:t>Cash and cash equivalents in the form of financial assets, as a proportion of refundable accommodation deposit balances provides an indication of an organisation’s capacity to repay the accommodation deposit balances with liquid resources.</w:t>
            </w:r>
          </w:p>
        </w:tc>
      </w:tr>
      <w:tr w:rsidR="00DA76B8" w:rsidRPr="00DA76B8" w14:paraId="7B7482D4" w14:textId="77777777" w:rsidTr="00FD08AF">
        <w:trPr>
          <w:trHeight w:val="1410"/>
        </w:trPr>
        <w:tc>
          <w:tcPr>
            <w:tcW w:w="1364" w:type="dxa"/>
          </w:tcPr>
          <w:p w14:paraId="03574411" w14:textId="3FCBFAF3" w:rsidR="00211B4E" w:rsidRPr="00982E7B" w:rsidRDefault="00211B4E" w:rsidP="00C90695">
            <w:pPr>
              <w:pStyle w:val="TableofAuthorities"/>
            </w:pPr>
            <w:r w:rsidRPr="00982E7B">
              <w:t>Commonwealth Home Support Programme (CHSP)</w:t>
            </w:r>
          </w:p>
        </w:tc>
        <w:tc>
          <w:tcPr>
            <w:tcW w:w="7283" w:type="dxa"/>
          </w:tcPr>
          <w:p w14:paraId="45DAF1A1" w14:textId="6ED95737" w:rsidR="00211B4E" w:rsidRPr="00982E7B" w:rsidRDefault="00211B4E" w:rsidP="00C90695">
            <w:pPr>
              <w:pStyle w:val="TableofAuthorities"/>
            </w:pPr>
            <w:r w:rsidRPr="00982E7B">
              <w:t>This program provides entry-level support services designed to help frail older people stay in their homes. It was introduced on 1 July 2015, consolidating four former programs: Commonwealth Home and</w:t>
            </w:r>
            <w:r w:rsidR="003D0BE3" w:rsidRPr="00982E7B">
              <w:t xml:space="preserve"> </w:t>
            </w:r>
            <w:r w:rsidRPr="00982E7B">
              <w:t>Community Care (HACC); the National Respite for Carers Program (NRCP); Day Therapy Centres (DTC); and Assistance with Care and Housing for the Aged (ACHA).</w:t>
            </w:r>
          </w:p>
        </w:tc>
      </w:tr>
      <w:tr w:rsidR="00DA76B8" w:rsidRPr="00DA76B8" w14:paraId="6066B4E5" w14:textId="77777777" w:rsidTr="00FD08AF">
        <w:trPr>
          <w:trHeight w:val="1410"/>
        </w:trPr>
        <w:tc>
          <w:tcPr>
            <w:tcW w:w="1364" w:type="dxa"/>
          </w:tcPr>
          <w:p w14:paraId="5B3404CA" w14:textId="5F368D88" w:rsidR="00211B4E" w:rsidRPr="00982E7B" w:rsidRDefault="00211B4E" w:rsidP="00C90695">
            <w:pPr>
              <w:pStyle w:val="TableofAuthorities"/>
            </w:pPr>
            <w:r w:rsidRPr="00982E7B">
              <w:t>Community Aged Care Package (CACP)</w:t>
            </w:r>
          </w:p>
        </w:tc>
        <w:tc>
          <w:tcPr>
            <w:tcW w:w="7283" w:type="dxa"/>
          </w:tcPr>
          <w:p w14:paraId="75A89B9C" w14:textId="4AE07A2A" w:rsidR="00211B4E" w:rsidRPr="00982E7B" w:rsidRDefault="00211B4E" w:rsidP="00C90695">
            <w:pPr>
              <w:pStyle w:val="TableofAuthorities"/>
            </w:pPr>
            <w:r w:rsidRPr="00982E7B">
              <w:t>A package of services provided to a person in their own home. This type of care was replaced on 1 August 2013 when the new home care package levels 1–4 were introduced. A CACP package is generally consistent with the level of care provided in a level 2 home care package.</w:t>
            </w:r>
          </w:p>
        </w:tc>
      </w:tr>
      <w:tr w:rsidR="00DA76B8" w:rsidRPr="00DA76B8" w14:paraId="5DE67D16" w14:textId="77777777" w:rsidTr="00FD08AF">
        <w:trPr>
          <w:trHeight w:val="109"/>
        </w:trPr>
        <w:tc>
          <w:tcPr>
            <w:tcW w:w="1364" w:type="dxa"/>
          </w:tcPr>
          <w:p w14:paraId="6FDA78D9" w14:textId="6E599E57" w:rsidR="00211B4E" w:rsidRPr="00982E7B" w:rsidRDefault="00211B4E" w:rsidP="00C90695">
            <w:pPr>
              <w:pStyle w:val="TableofAuthorities"/>
            </w:pPr>
            <w:r w:rsidRPr="00982E7B">
              <w:t>Consumer Directed Care (CDC)</w:t>
            </w:r>
          </w:p>
        </w:tc>
        <w:tc>
          <w:tcPr>
            <w:tcW w:w="7283" w:type="dxa"/>
          </w:tcPr>
          <w:p w14:paraId="2B5B0549" w14:textId="2D437713" w:rsidR="00211B4E" w:rsidRPr="00982E7B" w:rsidRDefault="00211B4E" w:rsidP="00C90695">
            <w:pPr>
              <w:pStyle w:val="TableofAuthorities"/>
            </w:pPr>
            <w:r w:rsidRPr="00982E7B">
              <w:t xml:space="preserve">Consumer Directed Care in home care gives </w:t>
            </w:r>
            <w:r w:rsidR="003C55AC" w:rsidRPr="00982E7B">
              <w:t xml:space="preserve">older Australians </w:t>
            </w:r>
            <w:r w:rsidRPr="00982E7B">
              <w:t>greater choice over their own lives by allowing them to decide what types of care and services they access and how those services are delivered.</w:t>
            </w:r>
          </w:p>
        </w:tc>
      </w:tr>
      <w:tr w:rsidR="00DA76B8" w:rsidRPr="00DA76B8" w14:paraId="2542FC7C" w14:textId="77777777" w:rsidTr="00FD08AF">
        <w:trPr>
          <w:trHeight w:val="1133"/>
        </w:trPr>
        <w:tc>
          <w:tcPr>
            <w:tcW w:w="1364" w:type="dxa"/>
          </w:tcPr>
          <w:p w14:paraId="47610CD0" w14:textId="15DCDD84" w:rsidR="00211B4E" w:rsidRPr="00982E7B" w:rsidRDefault="00211B4E" w:rsidP="00C90695">
            <w:pPr>
              <w:pStyle w:val="TableofAuthorities"/>
            </w:pPr>
            <w:r w:rsidRPr="00982E7B">
              <w:t>Consumer Price Index (CPI)</w:t>
            </w:r>
          </w:p>
        </w:tc>
        <w:tc>
          <w:tcPr>
            <w:tcW w:w="7283" w:type="dxa"/>
          </w:tcPr>
          <w:p w14:paraId="71354FCA" w14:textId="528518A6" w:rsidR="00211B4E" w:rsidRPr="00982E7B" w:rsidRDefault="00211B4E" w:rsidP="00C90695">
            <w:pPr>
              <w:pStyle w:val="TableofAuthorities"/>
            </w:pPr>
            <w:r w:rsidRPr="00982E7B">
              <w:t xml:space="preserve">CPI measures the changes in the price of a fixed basket of goods and services, acquired by household </w:t>
            </w:r>
            <w:r w:rsidR="00287D77" w:rsidRPr="00982E7B">
              <w:t>residents</w:t>
            </w:r>
            <w:r w:rsidR="00986D59" w:rsidRPr="00982E7B">
              <w:t xml:space="preserve"> </w:t>
            </w:r>
            <w:r w:rsidRPr="00982E7B">
              <w:t>who are resident in the eight state and territory capital cities.</w:t>
            </w:r>
          </w:p>
        </w:tc>
      </w:tr>
      <w:tr w:rsidR="00DA76B8" w:rsidRPr="00DA76B8" w14:paraId="1E68BBDE" w14:textId="77777777" w:rsidTr="00FD08AF">
        <w:trPr>
          <w:trHeight w:val="853"/>
        </w:trPr>
        <w:tc>
          <w:tcPr>
            <w:tcW w:w="1364" w:type="dxa"/>
          </w:tcPr>
          <w:p w14:paraId="5244AE60" w14:textId="32FC052C" w:rsidR="00211B4E" w:rsidRPr="00982E7B" w:rsidRDefault="00211B4E" w:rsidP="00C90695">
            <w:pPr>
              <w:pStyle w:val="TableofAuthorities"/>
            </w:pPr>
            <w:r w:rsidRPr="00982E7B">
              <w:t>Culturally and Linguistically Diverse (CALD)</w:t>
            </w:r>
          </w:p>
        </w:tc>
        <w:tc>
          <w:tcPr>
            <w:tcW w:w="7283" w:type="dxa"/>
          </w:tcPr>
          <w:p w14:paraId="095F3471" w14:textId="1ABBAF5E" w:rsidR="00211B4E" w:rsidRPr="00982E7B" w:rsidRDefault="00DA0148" w:rsidP="00C90695">
            <w:pPr>
              <w:pStyle w:val="TableofAuthorities"/>
            </w:pPr>
            <w:r w:rsidRPr="00982E7B">
              <w:t xml:space="preserve">Older Australians </w:t>
            </w:r>
            <w:r w:rsidR="00211B4E" w:rsidRPr="00982E7B">
              <w:t xml:space="preserve">who have </w:t>
            </w:r>
            <w:proofErr w:type="gramStart"/>
            <w:r w:rsidR="00211B4E" w:rsidRPr="00982E7B">
              <w:t>particular cultural</w:t>
            </w:r>
            <w:proofErr w:type="gramEnd"/>
            <w:r w:rsidR="00211B4E" w:rsidRPr="00982E7B">
              <w:t xml:space="preserve"> or linguistic affiliations due to their:</w:t>
            </w:r>
          </w:p>
          <w:p w14:paraId="246B8328" w14:textId="77777777" w:rsidR="00211B4E" w:rsidRPr="00982E7B" w:rsidRDefault="00211B4E" w:rsidP="00C90695">
            <w:pPr>
              <w:pStyle w:val="TableofAuthorities"/>
            </w:pPr>
            <w:r w:rsidRPr="00982E7B">
              <w:t xml:space="preserve">place of birth or ethnic </w:t>
            </w:r>
            <w:proofErr w:type="gramStart"/>
            <w:r w:rsidRPr="00982E7B">
              <w:t>origin;</w:t>
            </w:r>
            <w:proofErr w:type="gramEnd"/>
          </w:p>
          <w:p w14:paraId="4B936089" w14:textId="77777777" w:rsidR="00211B4E" w:rsidRPr="00982E7B" w:rsidRDefault="00211B4E" w:rsidP="00C90695">
            <w:pPr>
              <w:pStyle w:val="TableofAuthorities"/>
            </w:pPr>
            <w:r w:rsidRPr="00982E7B">
              <w:t>main language other than English spoken at home; or</w:t>
            </w:r>
          </w:p>
          <w:p w14:paraId="2FE279D5" w14:textId="6FEB3ACA" w:rsidR="00211B4E" w:rsidRPr="00982E7B" w:rsidRDefault="00211B4E" w:rsidP="00C90695">
            <w:pPr>
              <w:pStyle w:val="TableofAuthorities"/>
            </w:pPr>
            <w:r w:rsidRPr="00982E7B">
              <w:t>proficiency in spoken English.</w:t>
            </w:r>
          </w:p>
        </w:tc>
      </w:tr>
      <w:tr w:rsidR="00DA76B8" w:rsidRPr="00DA76B8" w14:paraId="3950CA25" w14:textId="77777777" w:rsidTr="00FD08AF">
        <w:trPr>
          <w:trHeight w:val="693"/>
        </w:trPr>
        <w:tc>
          <w:tcPr>
            <w:tcW w:w="1364" w:type="dxa"/>
          </w:tcPr>
          <w:p w14:paraId="087DC112" w14:textId="6B67B9CA" w:rsidR="00211B4E" w:rsidRPr="00982E7B" w:rsidRDefault="00211B4E" w:rsidP="00C90695">
            <w:pPr>
              <w:pStyle w:val="TableofAuthorities"/>
            </w:pPr>
            <w:r w:rsidRPr="00982E7B">
              <w:t>Current Ratio</w:t>
            </w:r>
          </w:p>
        </w:tc>
        <w:tc>
          <w:tcPr>
            <w:tcW w:w="7283" w:type="dxa"/>
          </w:tcPr>
          <w:p w14:paraId="5B647E5E" w14:textId="054F7E1C" w:rsidR="00211B4E" w:rsidRPr="00982E7B" w:rsidRDefault="00211B4E" w:rsidP="00C90695">
            <w:pPr>
              <w:pStyle w:val="TableofAuthorities"/>
            </w:pPr>
            <w:r w:rsidRPr="00982E7B">
              <w:t>Represents the ability to meet short–term debt through current assets. A current ratio of more than one indicates that an organisation’s current assets exceed its current liabilities. It is calculated as Current Assets/Current Liabilities.</w:t>
            </w:r>
          </w:p>
        </w:tc>
      </w:tr>
      <w:tr w:rsidR="00DA76B8" w:rsidRPr="00DA76B8" w14:paraId="65F29136" w14:textId="77777777" w:rsidTr="00FD08AF">
        <w:trPr>
          <w:trHeight w:val="399"/>
        </w:trPr>
        <w:tc>
          <w:tcPr>
            <w:tcW w:w="1364" w:type="dxa"/>
          </w:tcPr>
          <w:p w14:paraId="11B15DD8" w14:textId="25B9ADF8" w:rsidR="00211B4E" w:rsidRPr="00982E7B" w:rsidRDefault="00211B4E" w:rsidP="00C90695">
            <w:pPr>
              <w:pStyle w:val="TableofAuthorities"/>
            </w:pPr>
            <w:r w:rsidRPr="00982E7B">
              <w:t>Daily Accommodation Contribution (DAC)</w:t>
            </w:r>
          </w:p>
        </w:tc>
        <w:tc>
          <w:tcPr>
            <w:tcW w:w="7283" w:type="dxa"/>
          </w:tcPr>
          <w:p w14:paraId="5C69E7E8" w14:textId="5F53C567" w:rsidR="00211B4E" w:rsidRPr="00982E7B" w:rsidRDefault="00211B4E" w:rsidP="00C90695">
            <w:pPr>
              <w:pStyle w:val="TableofAuthorities"/>
            </w:pPr>
            <w:r w:rsidRPr="00982E7B">
              <w:t xml:space="preserve">An amount paid by a partially supported resident as a contribution toward their accommodation costs in a residential aged care facility, calculated </w:t>
            </w:r>
            <w:proofErr w:type="gramStart"/>
            <w:r w:rsidRPr="00982E7B">
              <w:t>on a daily basis</w:t>
            </w:r>
            <w:proofErr w:type="gramEnd"/>
            <w:r w:rsidRPr="00982E7B">
              <w:t xml:space="preserve"> and paid periodically.</w:t>
            </w:r>
          </w:p>
        </w:tc>
      </w:tr>
      <w:tr w:rsidR="00DA76B8" w:rsidRPr="00DA76B8" w14:paraId="4042F1B8" w14:textId="77777777" w:rsidTr="00FD08AF">
        <w:trPr>
          <w:trHeight w:val="109"/>
        </w:trPr>
        <w:tc>
          <w:tcPr>
            <w:tcW w:w="1364" w:type="dxa"/>
          </w:tcPr>
          <w:p w14:paraId="78CDE499" w14:textId="633FFAF4" w:rsidR="00211B4E" w:rsidRPr="00982E7B" w:rsidRDefault="00211B4E" w:rsidP="00C90695">
            <w:pPr>
              <w:pStyle w:val="TableofAuthorities"/>
            </w:pPr>
            <w:r w:rsidRPr="00982E7B">
              <w:t>Daily Accommodation Payment (DAP)</w:t>
            </w:r>
          </w:p>
        </w:tc>
        <w:tc>
          <w:tcPr>
            <w:tcW w:w="7283" w:type="dxa"/>
          </w:tcPr>
          <w:p w14:paraId="0DC7ACF5" w14:textId="288B5E0D" w:rsidR="00211B4E" w:rsidRPr="00982E7B" w:rsidRDefault="00211B4E" w:rsidP="00C90695">
            <w:pPr>
              <w:pStyle w:val="TableofAuthorities"/>
            </w:pPr>
            <w:r w:rsidRPr="00982E7B">
              <w:t xml:space="preserve">An amount paid by a non-supported resident towards their accommodation costs in a residential aged care facility calculated </w:t>
            </w:r>
            <w:proofErr w:type="gramStart"/>
            <w:r w:rsidRPr="00982E7B">
              <w:t>on a daily basis</w:t>
            </w:r>
            <w:proofErr w:type="gramEnd"/>
            <w:r w:rsidRPr="00982E7B">
              <w:t xml:space="preserve"> and paid periodically.</w:t>
            </w:r>
          </w:p>
        </w:tc>
      </w:tr>
      <w:tr w:rsidR="00DA76B8" w:rsidRPr="00DA76B8" w14:paraId="303C5CF6" w14:textId="77777777" w:rsidTr="00FD08AF">
        <w:trPr>
          <w:trHeight w:val="1410"/>
        </w:trPr>
        <w:tc>
          <w:tcPr>
            <w:tcW w:w="1364" w:type="dxa"/>
          </w:tcPr>
          <w:p w14:paraId="4B12DCD7" w14:textId="16C72575" w:rsidR="00211B4E" w:rsidRPr="00982E7B" w:rsidRDefault="00211B4E" w:rsidP="00C90695">
            <w:pPr>
              <w:pStyle w:val="TableofAuthorities"/>
            </w:pPr>
            <w:r w:rsidRPr="00982E7B">
              <w:lastRenderedPageBreak/>
              <w:t>Debt Ratio</w:t>
            </w:r>
          </w:p>
        </w:tc>
        <w:tc>
          <w:tcPr>
            <w:tcW w:w="7283" w:type="dxa"/>
          </w:tcPr>
          <w:p w14:paraId="2DAF116D" w14:textId="491ADDCE" w:rsidR="00211B4E" w:rsidRPr="00982E7B" w:rsidRDefault="00211B4E" w:rsidP="00C90695">
            <w:pPr>
              <w:pStyle w:val="TableofAuthorities"/>
            </w:pPr>
            <w:r w:rsidRPr="00982E7B">
              <w:t>The debt ratio is calculated by dividing an organisation’s total liabilities by its total assets and provides an indication of the degree of financing of an organisation. Within the aged care sector, total liabilities will consist of an organisation’s refundable accommodation deposits as well as other secured and</w:t>
            </w:r>
            <w:r w:rsidR="003D0BE3" w:rsidRPr="00982E7B">
              <w:t xml:space="preserve"> </w:t>
            </w:r>
            <w:r w:rsidRPr="00982E7B">
              <w:t>unsecured debt balances. An organisation’s total assets will include cash and asset balances to which the refundable accommodation deposits may have been applied. As total liabilities increase as a proportion of total assets, the higher levels of debt could reflect the use of additional borrowings used to fund an organisation’s improvements and expansions.</w:t>
            </w:r>
          </w:p>
        </w:tc>
      </w:tr>
      <w:tr w:rsidR="00DA76B8" w:rsidRPr="00DA76B8" w14:paraId="1966D719" w14:textId="77777777" w:rsidTr="00FD08AF">
        <w:trPr>
          <w:trHeight w:val="372"/>
        </w:trPr>
        <w:tc>
          <w:tcPr>
            <w:tcW w:w="1364" w:type="dxa"/>
          </w:tcPr>
          <w:p w14:paraId="7EDD9A06" w14:textId="195688D7" w:rsidR="00211B4E" w:rsidRPr="00982E7B" w:rsidRDefault="00211B4E" w:rsidP="00C90695">
            <w:pPr>
              <w:pStyle w:val="TableofAuthorities"/>
            </w:pPr>
            <w:r w:rsidRPr="00982E7B">
              <w:t>Department of Health and Aged Care</w:t>
            </w:r>
          </w:p>
        </w:tc>
        <w:tc>
          <w:tcPr>
            <w:tcW w:w="7283" w:type="dxa"/>
          </w:tcPr>
          <w:p w14:paraId="166AC727" w14:textId="27CC60C5" w:rsidR="00211B4E" w:rsidRPr="00982E7B" w:rsidRDefault="00211B4E" w:rsidP="00C90695">
            <w:pPr>
              <w:pStyle w:val="TableofAuthorities"/>
            </w:pPr>
            <w:r w:rsidRPr="00982E7B">
              <w:t>The department that administers the Aged Care Act 1997 and regulates the aged care industry on behalf of the Australian Government.</w:t>
            </w:r>
          </w:p>
        </w:tc>
      </w:tr>
      <w:tr w:rsidR="00DA76B8" w:rsidRPr="00DA76B8" w14:paraId="2D7AC17B" w14:textId="77777777" w:rsidTr="00FD08AF">
        <w:trPr>
          <w:trHeight w:val="1410"/>
        </w:trPr>
        <w:tc>
          <w:tcPr>
            <w:tcW w:w="1364" w:type="dxa"/>
          </w:tcPr>
          <w:p w14:paraId="62BD6932" w14:textId="595D5CFB" w:rsidR="00211B4E" w:rsidRPr="00982E7B" w:rsidRDefault="00211B4E" w:rsidP="00C90695">
            <w:pPr>
              <w:pStyle w:val="TableofAuthorities"/>
            </w:pPr>
            <w:r w:rsidRPr="00982E7B">
              <w:t>Earnings Before Interest, Tax, Depreciation and Amortisation (EBITDA)</w:t>
            </w:r>
          </w:p>
        </w:tc>
        <w:tc>
          <w:tcPr>
            <w:tcW w:w="7283" w:type="dxa"/>
          </w:tcPr>
          <w:p w14:paraId="17798F4A" w14:textId="6DC4E618" w:rsidR="00211B4E" w:rsidRPr="00982E7B" w:rsidRDefault="00211B4E" w:rsidP="00C90695">
            <w:pPr>
              <w:pStyle w:val="TableofAuthorities"/>
            </w:pPr>
            <w:r w:rsidRPr="00982E7B">
              <w:t>Net profit after tax with interest, tax, depreciation, and amortisation added back to it, and can be used to analyse and compare profitability between companies and industries because it eliminates the effects of financing and accounting decisions.</w:t>
            </w:r>
          </w:p>
        </w:tc>
      </w:tr>
      <w:tr w:rsidR="00DA76B8" w:rsidRPr="00DA76B8" w14:paraId="031B90EE" w14:textId="77777777" w:rsidTr="00FD08AF">
        <w:trPr>
          <w:trHeight w:val="109"/>
        </w:trPr>
        <w:tc>
          <w:tcPr>
            <w:tcW w:w="1364" w:type="dxa"/>
          </w:tcPr>
          <w:p w14:paraId="399012E7" w14:textId="5393B188" w:rsidR="00211B4E" w:rsidRPr="00982E7B" w:rsidRDefault="00211B4E" w:rsidP="00C90695">
            <w:pPr>
              <w:pStyle w:val="TableofAuthorities"/>
            </w:pPr>
            <w:r w:rsidRPr="00982E7B">
              <w:t>EBITDA margin</w:t>
            </w:r>
          </w:p>
        </w:tc>
        <w:tc>
          <w:tcPr>
            <w:tcW w:w="7283" w:type="dxa"/>
          </w:tcPr>
          <w:p w14:paraId="6731F89D" w14:textId="640E9BA7" w:rsidR="00211B4E" w:rsidRPr="00982E7B" w:rsidRDefault="00211B4E" w:rsidP="00C90695">
            <w:pPr>
              <w:pStyle w:val="TableofAuthorities"/>
            </w:pPr>
            <w:r w:rsidRPr="00982E7B">
              <w:t xml:space="preserve">EBITDA margin shows the average net profit after tax (with interest, taxes, </w:t>
            </w:r>
            <w:proofErr w:type="gramStart"/>
            <w:r w:rsidRPr="00982E7B">
              <w:t>depreciation</w:t>
            </w:r>
            <w:proofErr w:type="gramEnd"/>
            <w:r w:rsidRPr="00982E7B">
              <w:t xml:space="preserve"> and amortisation added back into it) generated for each $1 of revenue earned. It’s calculated as EBITDA/total revenue.</w:t>
            </w:r>
          </w:p>
        </w:tc>
      </w:tr>
      <w:tr w:rsidR="00DA76B8" w:rsidRPr="00DA76B8" w14:paraId="182F683C" w14:textId="77777777" w:rsidTr="00FD08AF">
        <w:trPr>
          <w:trHeight w:val="109"/>
        </w:trPr>
        <w:tc>
          <w:tcPr>
            <w:tcW w:w="1364" w:type="dxa"/>
          </w:tcPr>
          <w:p w14:paraId="3711B860" w14:textId="2396E0C0" w:rsidR="000F2089" w:rsidRPr="00982E7B" w:rsidRDefault="000F2089" w:rsidP="00C90695">
            <w:pPr>
              <w:pStyle w:val="TableofAuthorities"/>
            </w:pPr>
            <w:r w:rsidRPr="00982E7B">
              <w:t>Equity to total assets ratio</w:t>
            </w:r>
          </w:p>
        </w:tc>
        <w:tc>
          <w:tcPr>
            <w:tcW w:w="7283" w:type="dxa"/>
          </w:tcPr>
          <w:p w14:paraId="3DDB1131" w14:textId="6E38EA3B" w:rsidR="000F2089" w:rsidRPr="00982E7B" w:rsidRDefault="000F2089" w:rsidP="00C90695">
            <w:pPr>
              <w:pStyle w:val="TableofAuthorities"/>
            </w:pPr>
            <w:r w:rsidRPr="00982E7B">
              <w:t>Net worth/total equity as a proportion of total assets provides an indication of solvency. For the for-profit providers, it shows the proportion of an organisation’s assets which have been contributed by the owners/ shareholders. For the not-for-profit and government providers, equity typically consists of retained earnings and revaluation reserves. The lower the ratio suggests that an organisation has used more debt to fund its asset balances.</w:t>
            </w:r>
          </w:p>
        </w:tc>
      </w:tr>
      <w:tr w:rsidR="00DA76B8" w:rsidRPr="00DA76B8" w14:paraId="66E0C721" w14:textId="77777777" w:rsidTr="00FD08AF">
        <w:trPr>
          <w:trHeight w:val="174"/>
        </w:trPr>
        <w:tc>
          <w:tcPr>
            <w:tcW w:w="1364" w:type="dxa"/>
          </w:tcPr>
          <w:p w14:paraId="4F77C765" w14:textId="58442A4F" w:rsidR="000F2089" w:rsidRPr="00982E7B" w:rsidRDefault="000F2089" w:rsidP="00C90695">
            <w:pPr>
              <w:pStyle w:val="TableofAuthorities"/>
            </w:pPr>
            <w:r w:rsidRPr="00982E7B">
              <w:t>Facility</w:t>
            </w:r>
          </w:p>
        </w:tc>
        <w:tc>
          <w:tcPr>
            <w:tcW w:w="7283" w:type="dxa"/>
          </w:tcPr>
          <w:p w14:paraId="41294249" w14:textId="4A17F310" w:rsidR="000F2089" w:rsidRPr="00982E7B" w:rsidRDefault="000F2089" w:rsidP="00C90695">
            <w:pPr>
              <w:pStyle w:val="TableofAuthorities"/>
            </w:pPr>
            <w:r w:rsidRPr="00982E7B">
              <w:t>A residential aged care facility, approved under the Aged Care Act 1997 to provide government subsidised accommodation and care.</w:t>
            </w:r>
          </w:p>
        </w:tc>
      </w:tr>
      <w:tr w:rsidR="00DA76B8" w:rsidRPr="00DA76B8" w14:paraId="6A3CAB41" w14:textId="77777777" w:rsidTr="00FD08AF">
        <w:trPr>
          <w:trHeight w:val="109"/>
        </w:trPr>
        <w:tc>
          <w:tcPr>
            <w:tcW w:w="1364" w:type="dxa"/>
          </w:tcPr>
          <w:p w14:paraId="74F4F9B6" w14:textId="3482D89F" w:rsidR="000F2089" w:rsidRPr="00982E7B" w:rsidRDefault="000F2089" w:rsidP="00C90695">
            <w:pPr>
              <w:pStyle w:val="TableofAuthorities"/>
            </w:pPr>
            <w:r w:rsidRPr="00982E7B">
              <w:t>Flexible care</w:t>
            </w:r>
          </w:p>
        </w:tc>
        <w:tc>
          <w:tcPr>
            <w:tcW w:w="7283" w:type="dxa"/>
          </w:tcPr>
          <w:p w14:paraId="751CBAF1" w14:textId="1ABD16D8" w:rsidR="000F2089" w:rsidRPr="00982E7B" w:rsidRDefault="000F2089" w:rsidP="00C90695">
            <w:pPr>
              <w:pStyle w:val="TableofAuthorities"/>
            </w:pPr>
            <w:r w:rsidRPr="00982E7B">
              <w:t>For those in either a residential or home care setting, that may require a different care approach than that provided through mainstream residential and home care.</w:t>
            </w:r>
          </w:p>
        </w:tc>
      </w:tr>
      <w:tr w:rsidR="00DA76B8" w:rsidRPr="00DA76B8" w14:paraId="780F6001" w14:textId="77777777" w:rsidTr="00FD08AF">
        <w:trPr>
          <w:trHeight w:val="355"/>
        </w:trPr>
        <w:tc>
          <w:tcPr>
            <w:tcW w:w="1364" w:type="dxa"/>
          </w:tcPr>
          <w:p w14:paraId="4D738FAA" w14:textId="00E2F5DC" w:rsidR="000F2089" w:rsidRPr="00982E7B" w:rsidRDefault="000F2089" w:rsidP="00C90695">
            <w:pPr>
              <w:pStyle w:val="TableofAuthorities"/>
            </w:pPr>
            <w:r w:rsidRPr="00982E7B">
              <w:t>General Purpose Financial Report (GPFR)</w:t>
            </w:r>
          </w:p>
        </w:tc>
        <w:tc>
          <w:tcPr>
            <w:tcW w:w="7283" w:type="dxa"/>
          </w:tcPr>
          <w:p w14:paraId="655B3BBB" w14:textId="1DFEB731" w:rsidR="000F2089" w:rsidRPr="00982E7B" w:rsidRDefault="000F2089" w:rsidP="00C90695">
            <w:pPr>
              <w:pStyle w:val="TableofAuthorities"/>
            </w:pPr>
            <w:r w:rsidRPr="00982E7B">
              <w:t>An audited financial report that is submitted by providers with their unaudited Aged Care Financial Report (ACFR). While the ACFR provides a greater level of detail the GPFR is the only audited report and is used to verify information provided.</w:t>
            </w:r>
          </w:p>
        </w:tc>
      </w:tr>
      <w:tr w:rsidR="00DA76B8" w:rsidRPr="00DA76B8" w14:paraId="66FB6608" w14:textId="77777777" w:rsidTr="00FD08AF">
        <w:trPr>
          <w:trHeight w:val="109"/>
        </w:trPr>
        <w:tc>
          <w:tcPr>
            <w:tcW w:w="1364" w:type="dxa"/>
          </w:tcPr>
          <w:p w14:paraId="1F8EA2FB" w14:textId="55861FB1" w:rsidR="000F2089" w:rsidRPr="00982E7B" w:rsidRDefault="000F2089" w:rsidP="00C90695">
            <w:pPr>
              <w:pStyle w:val="TableofAuthorities"/>
            </w:pPr>
            <w:r w:rsidRPr="00982E7B">
              <w:t>Government provider</w:t>
            </w:r>
          </w:p>
        </w:tc>
        <w:tc>
          <w:tcPr>
            <w:tcW w:w="7283" w:type="dxa"/>
          </w:tcPr>
          <w:p w14:paraId="3E0F2B42" w14:textId="157A9A87" w:rsidR="000F2089" w:rsidRPr="00982E7B" w:rsidRDefault="000F2089" w:rsidP="00C90695">
            <w:pPr>
              <w:pStyle w:val="TableofAuthorities"/>
            </w:pPr>
            <w:r w:rsidRPr="00982E7B">
              <w:t>In the context of this report, the term references a provider that is owned by a local, state or territory government.</w:t>
            </w:r>
          </w:p>
        </w:tc>
      </w:tr>
      <w:tr w:rsidR="00DA76B8" w:rsidRPr="00DA76B8" w14:paraId="503B5F17" w14:textId="77777777" w:rsidTr="00FD08AF">
        <w:trPr>
          <w:trHeight w:val="109"/>
        </w:trPr>
        <w:tc>
          <w:tcPr>
            <w:tcW w:w="1364" w:type="dxa"/>
          </w:tcPr>
          <w:p w14:paraId="3C6A83FC" w14:textId="10BBE500" w:rsidR="000F2089" w:rsidRPr="00982E7B" w:rsidRDefault="000F2089" w:rsidP="00C90695">
            <w:pPr>
              <w:pStyle w:val="TableofAuthorities"/>
            </w:pPr>
            <w:r w:rsidRPr="00982E7B">
              <w:t>Gross Domestic Product (GDP)</w:t>
            </w:r>
          </w:p>
        </w:tc>
        <w:tc>
          <w:tcPr>
            <w:tcW w:w="7283" w:type="dxa"/>
          </w:tcPr>
          <w:p w14:paraId="5D563BA7" w14:textId="134CFD35" w:rsidR="000F2089" w:rsidRPr="00982E7B" w:rsidRDefault="000F2089" w:rsidP="00C90695">
            <w:pPr>
              <w:pStyle w:val="TableofAuthorities"/>
            </w:pPr>
            <w:r w:rsidRPr="00982E7B">
              <w:t xml:space="preserve">GDP is the market value of all officially recognised final goods and services produced within a country in a year, or over a given </w:t>
            </w:r>
            <w:proofErr w:type="gramStart"/>
            <w:r w:rsidRPr="00982E7B">
              <w:t>period of time</w:t>
            </w:r>
            <w:proofErr w:type="gramEnd"/>
            <w:r w:rsidRPr="00982E7B">
              <w:t>.</w:t>
            </w:r>
          </w:p>
        </w:tc>
      </w:tr>
      <w:tr w:rsidR="00DA76B8" w:rsidRPr="00DA76B8" w14:paraId="4C135113" w14:textId="77777777" w:rsidTr="00FD08AF">
        <w:trPr>
          <w:trHeight w:val="109"/>
        </w:trPr>
        <w:tc>
          <w:tcPr>
            <w:tcW w:w="1364" w:type="dxa"/>
          </w:tcPr>
          <w:p w14:paraId="121A64E6" w14:textId="1C1A2B22" w:rsidR="000F2089" w:rsidRPr="00982E7B" w:rsidRDefault="000F2089" w:rsidP="00C90695">
            <w:pPr>
              <w:pStyle w:val="TableofAuthorities"/>
            </w:pPr>
            <w:r w:rsidRPr="00982E7B">
              <w:t>High care facility</w:t>
            </w:r>
          </w:p>
        </w:tc>
        <w:tc>
          <w:tcPr>
            <w:tcW w:w="7283" w:type="dxa"/>
          </w:tcPr>
          <w:p w14:paraId="199D8C12" w14:textId="32F57A0A" w:rsidR="000F2089" w:rsidRPr="00982E7B" w:rsidRDefault="000F2089" w:rsidP="00C90695">
            <w:pPr>
              <w:pStyle w:val="TableofAuthorities"/>
            </w:pPr>
            <w:r w:rsidRPr="00982E7B">
              <w:t>A facility where over 80 per cent of residents were classified as ‘high care’. The distinction between high care and low care in permanent residential care was removed from 1 July 2014.</w:t>
            </w:r>
          </w:p>
        </w:tc>
      </w:tr>
      <w:tr w:rsidR="00DA76B8" w:rsidRPr="00DA76B8" w14:paraId="1E329948" w14:textId="77777777" w:rsidTr="00FD08AF">
        <w:trPr>
          <w:trHeight w:val="109"/>
        </w:trPr>
        <w:tc>
          <w:tcPr>
            <w:tcW w:w="1364" w:type="dxa"/>
          </w:tcPr>
          <w:p w14:paraId="2AAD8AE7" w14:textId="162F164E" w:rsidR="000F2089" w:rsidRPr="00982E7B" w:rsidRDefault="000F2089" w:rsidP="00C90695">
            <w:pPr>
              <w:pStyle w:val="TableofAuthorities"/>
            </w:pPr>
            <w:r w:rsidRPr="00982E7B">
              <w:t>Higher accommodation supplement</w:t>
            </w:r>
          </w:p>
        </w:tc>
        <w:tc>
          <w:tcPr>
            <w:tcW w:w="7283" w:type="dxa"/>
          </w:tcPr>
          <w:p w14:paraId="5EB699AE" w14:textId="27777C30" w:rsidR="000F2089" w:rsidRPr="00982E7B" w:rsidRDefault="000F2089" w:rsidP="00C90695">
            <w:pPr>
              <w:pStyle w:val="TableofAuthorities"/>
            </w:pPr>
            <w:r w:rsidRPr="00982E7B">
              <w:t>A higher maximum accommodation supplement was introduced on 1 July 2014 for aged care facilities that have been built or significantly refurbished since 20 April 2012.</w:t>
            </w:r>
          </w:p>
        </w:tc>
      </w:tr>
      <w:tr w:rsidR="00DA76B8" w:rsidRPr="00DA76B8" w14:paraId="6AB241A2" w14:textId="77777777" w:rsidTr="00FD08AF">
        <w:trPr>
          <w:trHeight w:val="1410"/>
        </w:trPr>
        <w:tc>
          <w:tcPr>
            <w:tcW w:w="1364" w:type="dxa"/>
          </w:tcPr>
          <w:p w14:paraId="474AEC09" w14:textId="538CCBED" w:rsidR="000F2089" w:rsidRPr="00982E7B" w:rsidRDefault="000F2089" w:rsidP="00C90695">
            <w:pPr>
              <w:pStyle w:val="TableofAuthorities"/>
            </w:pPr>
            <w:r w:rsidRPr="00982E7B">
              <w:t>Home and Community Care (HACC)</w:t>
            </w:r>
          </w:p>
        </w:tc>
        <w:tc>
          <w:tcPr>
            <w:tcW w:w="7283" w:type="dxa"/>
          </w:tcPr>
          <w:p w14:paraId="204DFB66" w14:textId="5933C183" w:rsidR="000F2089" w:rsidRPr="00982E7B" w:rsidRDefault="000F2089" w:rsidP="00C90695">
            <w:pPr>
              <w:pStyle w:val="TableofAuthorities"/>
            </w:pPr>
            <w:r w:rsidRPr="00982E7B">
              <w:t xml:space="preserve">A previous program that provided basic support and maintenance to people living at home to help avoid premature or inappropriate admission to long-term residential care. The former </w:t>
            </w:r>
            <w:r w:rsidR="00287D77" w:rsidRPr="00982E7B">
              <w:t>Australian Government</w:t>
            </w:r>
            <w:r w:rsidR="001B4873" w:rsidRPr="00982E7B">
              <w:t xml:space="preserve"> </w:t>
            </w:r>
            <w:r w:rsidRPr="00982E7B">
              <w:t>HACC program was consolidated into the new CHSP from 1 July 2015.</w:t>
            </w:r>
          </w:p>
        </w:tc>
      </w:tr>
      <w:tr w:rsidR="00DA76B8" w:rsidRPr="00DA76B8" w14:paraId="210CFBE1" w14:textId="77777777" w:rsidTr="00FD08AF">
        <w:trPr>
          <w:trHeight w:val="109"/>
        </w:trPr>
        <w:tc>
          <w:tcPr>
            <w:tcW w:w="1364" w:type="dxa"/>
          </w:tcPr>
          <w:p w14:paraId="088D3B51" w14:textId="0A27B352" w:rsidR="000F2089" w:rsidRPr="00982E7B" w:rsidRDefault="000F2089" w:rsidP="00C90695">
            <w:pPr>
              <w:pStyle w:val="TableofAuthorities"/>
            </w:pPr>
            <w:r w:rsidRPr="00982E7B">
              <w:lastRenderedPageBreak/>
              <w:t>Home care</w:t>
            </w:r>
          </w:p>
        </w:tc>
        <w:tc>
          <w:tcPr>
            <w:tcW w:w="7283" w:type="dxa"/>
          </w:tcPr>
          <w:p w14:paraId="2D293618" w14:textId="3016F654" w:rsidR="000F2089" w:rsidRPr="00982E7B" w:rsidRDefault="000F2089" w:rsidP="00C90695">
            <w:pPr>
              <w:pStyle w:val="TableofAuthorities"/>
            </w:pPr>
            <w:r w:rsidRPr="00982E7B">
              <w:t>Home based care provided through a home care package to help older Australians to remain in their own homes. Home care is provided through the Home Care Packages Program.</w:t>
            </w:r>
          </w:p>
        </w:tc>
      </w:tr>
      <w:tr w:rsidR="00DA76B8" w:rsidRPr="00DA76B8" w14:paraId="4801851F" w14:textId="77777777" w:rsidTr="00FD08AF">
        <w:trPr>
          <w:trHeight w:val="1410"/>
        </w:trPr>
        <w:tc>
          <w:tcPr>
            <w:tcW w:w="1364" w:type="dxa"/>
          </w:tcPr>
          <w:p w14:paraId="108F2B4B" w14:textId="7D5CD03F" w:rsidR="000F2089" w:rsidRPr="00982E7B" w:rsidRDefault="000F2089" w:rsidP="00C90695">
            <w:pPr>
              <w:pStyle w:val="TableofAuthorities"/>
            </w:pPr>
            <w:r w:rsidRPr="00982E7B">
              <w:t>Home care package</w:t>
            </w:r>
          </w:p>
        </w:tc>
        <w:tc>
          <w:tcPr>
            <w:tcW w:w="7283" w:type="dxa"/>
          </w:tcPr>
          <w:p w14:paraId="5F7C8B86" w14:textId="36493FB5" w:rsidR="000F2089" w:rsidRPr="00982E7B" w:rsidRDefault="000F2089" w:rsidP="00C90695">
            <w:pPr>
              <w:pStyle w:val="TableofAuthorities"/>
            </w:pPr>
            <w:r w:rsidRPr="00982E7B">
              <w:t xml:space="preserve">A package of services, delivered though the Home Care Packages Program, tailored to meet the care needs of a person living at home. The package is coordinated by an approved home care provider, with funding provided by the Australian Government (with some contributions from the </w:t>
            </w:r>
            <w:r w:rsidR="00661246" w:rsidRPr="00982E7B">
              <w:t>recipient</w:t>
            </w:r>
            <w:r w:rsidRPr="00982E7B">
              <w:t xml:space="preserve">). Home care packages range from level 1 to 4 depending on the care needs of the </w:t>
            </w:r>
            <w:r w:rsidR="00661246" w:rsidRPr="00982E7B">
              <w:t>recipient</w:t>
            </w:r>
            <w:r w:rsidRPr="00982E7B">
              <w:t>.</w:t>
            </w:r>
          </w:p>
        </w:tc>
      </w:tr>
      <w:tr w:rsidR="00DA76B8" w:rsidRPr="00DA76B8" w14:paraId="1036B531" w14:textId="77777777" w:rsidTr="00FD08AF">
        <w:trPr>
          <w:trHeight w:val="1410"/>
        </w:trPr>
        <w:tc>
          <w:tcPr>
            <w:tcW w:w="1364" w:type="dxa"/>
          </w:tcPr>
          <w:p w14:paraId="5E59389B" w14:textId="1DD1C6F6" w:rsidR="000F2089" w:rsidRPr="00982E7B" w:rsidRDefault="000F2089" w:rsidP="00C90695">
            <w:pPr>
              <w:pStyle w:val="TableofAuthorities"/>
            </w:pPr>
            <w:r w:rsidRPr="00982E7B">
              <w:t>Home Care Packages Program</w:t>
            </w:r>
          </w:p>
        </w:tc>
        <w:tc>
          <w:tcPr>
            <w:tcW w:w="7283" w:type="dxa"/>
          </w:tcPr>
          <w:p w14:paraId="1FDD84A7" w14:textId="331DD686" w:rsidR="000F2089" w:rsidRPr="00982E7B" w:rsidRDefault="000F2089" w:rsidP="00C90695">
            <w:pPr>
              <w:pStyle w:val="TableofAuthorities"/>
            </w:pPr>
            <w:r w:rsidRPr="00982E7B">
              <w:t xml:space="preserve">An Australian Government funded program which has as its objectives to assist people to remain living at home and enable </w:t>
            </w:r>
            <w:r w:rsidR="00661246" w:rsidRPr="00982E7B">
              <w:t xml:space="preserve">recipients </w:t>
            </w:r>
            <w:r w:rsidRPr="00982E7B">
              <w:t xml:space="preserve">to have choice and flexibility in the way that </w:t>
            </w:r>
            <w:proofErr w:type="gramStart"/>
            <w:r w:rsidRPr="00982E7B">
              <w:t>care</w:t>
            </w:r>
            <w:proofErr w:type="gramEnd"/>
            <w:r w:rsidRPr="00982E7B">
              <w:t xml:space="preserve"> and support is provided at home. The Home Care Packages Program commenced on 1 August 2013.</w:t>
            </w:r>
          </w:p>
        </w:tc>
      </w:tr>
      <w:tr w:rsidR="00DA76B8" w:rsidRPr="00DA76B8" w14:paraId="1D6B6037" w14:textId="77777777" w:rsidTr="00FD08AF">
        <w:trPr>
          <w:trHeight w:val="234"/>
        </w:trPr>
        <w:tc>
          <w:tcPr>
            <w:tcW w:w="1364" w:type="dxa"/>
          </w:tcPr>
          <w:p w14:paraId="5F90EA76" w14:textId="3B56E2B1" w:rsidR="000F2089" w:rsidRPr="00982E7B" w:rsidRDefault="000F2089" w:rsidP="00C90695">
            <w:pPr>
              <w:pStyle w:val="TableofAuthorities"/>
            </w:pPr>
            <w:r w:rsidRPr="00982E7B">
              <w:t>Homeless supplement</w:t>
            </w:r>
          </w:p>
        </w:tc>
        <w:tc>
          <w:tcPr>
            <w:tcW w:w="7283" w:type="dxa"/>
          </w:tcPr>
          <w:p w14:paraId="557FA860" w14:textId="0F43696F" w:rsidR="000F2089" w:rsidRPr="00982E7B" w:rsidRDefault="000F2089" w:rsidP="00C90695">
            <w:pPr>
              <w:pStyle w:val="TableofAuthorities"/>
            </w:pPr>
            <w:r w:rsidRPr="00982E7B">
              <w:t>A supplement paid to better support residential aged care facilities that specialise in caring for people with a history of, or at risk of, homelessness. This funding is in addition to the funding provided under the viability supplement.</w:t>
            </w:r>
          </w:p>
        </w:tc>
      </w:tr>
      <w:tr w:rsidR="00DA76B8" w:rsidRPr="00DA76B8" w14:paraId="6E90CBC6" w14:textId="77777777" w:rsidTr="00FD08AF">
        <w:trPr>
          <w:trHeight w:val="1410"/>
        </w:trPr>
        <w:tc>
          <w:tcPr>
            <w:tcW w:w="1364" w:type="dxa"/>
          </w:tcPr>
          <w:p w14:paraId="033460AA" w14:textId="7768C62A" w:rsidR="00AE20A2" w:rsidRPr="00982E7B" w:rsidRDefault="00AE20A2" w:rsidP="00C90695">
            <w:pPr>
              <w:pStyle w:val="TableofAuthorities"/>
            </w:pPr>
            <w:r w:rsidRPr="00982E7B">
              <w:t>Improved Payment Arrangements for home care</w:t>
            </w:r>
          </w:p>
        </w:tc>
        <w:tc>
          <w:tcPr>
            <w:tcW w:w="7283" w:type="dxa"/>
          </w:tcPr>
          <w:p w14:paraId="0B6CF8C8" w14:textId="55F7F0CC" w:rsidR="00AE20A2" w:rsidRPr="00982E7B" w:rsidRDefault="00AE20A2" w:rsidP="00C90695">
            <w:pPr>
              <w:pStyle w:val="TableofAuthorities"/>
            </w:pPr>
            <w:r w:rsidRPr="00982E7B">
              <w:t>In Phase 1 (implemented on 1 February 2021), home care providers began receiving the full amount of funding in arrears each month, regardless of the services provided to the care recipient in the claim period. In Phase 2 (from 1 September 2021), home care providers began receiving funding based on the actual services delivered to care recipients in the previous month. This aligns home care with other Australian Government funded programs like the National Disability Insurance Scheme, as well as modern</w:t>
            </w:r>
            <w:r w:rsidR="0012122F" w:rsidRPr="00982E7B">
              <w:t xml:space="preserve"> </w:t>
            </w:r>
            <w:r w:rsidRPr="00982E7B">
              <w:t>business practices.</w:t>
            </w:r>
          </w:p>
        </w:tc>
      </w:tr>
      <w:tr w:rsidR="00DA76B8" w:rsidRPr="00DA76B8" w14:paraId="22C6AF95" w14:textId="77777777" w:rsidTr="00FD08AF">
        <w:trPr>
          <w:trHeight w:val="109"/>
        </w:trPr>
        <w:tc>
          <w:tcPr>
            <w:tcW w:w="1364" w:type="dxa"/>
          </w:tcPr>
          <w:p w14:paraId="42E1C4AC" w14:textId="3B4AAE3D" w:rsidR="00AE20A2" w:rsidRPr="00982E7B" w:rsidRDefault="00AE20A2" w:rsidP="00C90695">
            <w:pPr>
              <w:pStyle w:val="TableofAuthorities"/>
            </w:pPr>
            <w:r w:rsidRPr="00982E7B">
              <w:t>Increasing choice in home care</w:t>
            </w:r>
          </w:p>
        </w:tc>
        <w:tc>
          <w:tcPr>
            <w:tcW w:w="7283" w:type="dxa"/>
          </w:tcPr>
          <w:p w14:paraId="6A42E135" w14:textId="756DC6DA" w:rsidR="00AE20A2" w:rsidRPr="00982E7B" w:rsidRDefault="00AE20A2" w:rsidP="00C90695">
            <w:pPr>
              <w:pStyle w:val="TableofAuthorities"/>
            </w:pPr>
            <w:r w:rsidRPr="00982E7B">
              <w:t xml:space="preserve">From 27 February 2017, funding for a home care package followed the </w:t>
            </w:r>
            <w:r w:rsidR="00661246" w:rsidRPr="00982E7B">
              <w:t>recipient</w:t>
            </w:r>
            <w:r w:rsidRPr="00982E7B">
              <w:t>, replacing the former system where home care places were allocated to individual approved providers to deliver services in a particular location or region.</w:t>
            </w:r>
          </w:p>
        </w:tc>
      </w:tr>
      <w:tr w:rsidR="00DA76B8" w:rsidRPr="00DA76B8" w14:paraId="617DB9D9" w14:textId="77777777" w:rsidTr="00FD08AF">
        <w:trPr>
          <w:trHeight w:val="109"/>
        </w:trPr>
        <w:tc>
          <w:tcPr>
            <w:tcW w:w="1364" w:type="dxa"/>
          </w:tcPr>
          <w:p w14:paraId="7DED4EEA" w14:textId="2F4FAAFA" w:rsidR="00AE20A2" w:rsidRPr="00982E7B" w:rsidRDefault="00AE20A2" w:rsidP="00C90695">
            <w:pPr>
              <w:pStyle w:val="TableofAuthorities"/>
            </w:pPr>
            <w:r w:rsidRPr="00982E7B">
              <w:t>Interest Coverage</w:t>
            </w:r>
          </w:p>
        </w:tc>
        <w:tc>
          <w:tcPr>
            <w:tcW w:w="7283" w:type="dxa"/>
          </w:tcPr>
          <w:p w14:paraId="13F963FE" w14:textId="1E5EF6F0" w:rsidR="00AE20A2" w:rsidRPr="00982E7B" w:rsidRDefault="00AE20A2" w:rsidP="00C90695">
            <w:pPr>
              <w:pStyle w:val="TableofAuthorities"/>
            </w:pPr>
            <w:r w:rsidRPr="00982E7B">
              <w:t>Shows the number of times that EBITDA will cover interest expense. Indicates an organisation’s ability to service the interest on its debt. It is calculated as EBITDA/Interest Expense.</w:t>
            </w:r>
          </w:p>
        </w:tc>
      </w:tr>
      <w:tr w:rsidR="00DA76B8" w:rsidRPr="00DA76B8" w14:paraId="4125A414" w14:textId="77777777" w:rsidTr="00FD08AF">
        <w:trPr>
          <w:trHeight w:val="1410"/>
        </w:trPr>
        <w:tc>
          <w:tcPr>
            <w:tcW w:w="1364" w:type="dxa"/>
          </w:tcPr>
          <w:p w14:paraId="3D9BB5E1" w14:textId="5C147199" w:rsidR="00AE20A2" w:rsidRPr="00982E7B" w:rsidRDefault="00AE20A2" w:rsidP="00C90695">
            <w:pPr>
              <w:pStyle w:val="TableofAuthorities"/>
            </w:pPr>
            <w:r w:rsidRPr="00982E7B">
              <w:t>Location</w:t>
            </w:r>
          </w:p>
        </w:tc>
        <w:tc>
          <w:tcPr>
            <w:tcW w:w="7283" w:type="dxa"/>
          </w:tcPr>
          <w:p w14:paraId="199D4325" w14:textId="4AF6B440" w:rsidR="00AE20A2" w:rsidRPr="00982E7B" w:rsidRDefault="00AE20A2" w:rsidP="00C90695">
            <w:pPr>
              <w:pStyle w:val="TableofAuthorities"/>
            </w:pPr>
            <w:r w:rsidRPr="00982E7B">
              <w:t xml:space="preserve">Indicates where a provider, service or </w:t>
            </w:r>
            <w:r w:rsidR="00654585" w:rsidRPr="00982E7B">
              <w:t xml:space="preserve">resident/recipient </w:t>
            </w:r>
            <w:r w:rsidRPr="00982E7B">
              <w:t xml:space="preserve">is located based on whether they are metropolitan or regional areas. Metropolitan is all major cities and regional is any area outside of a major city. A provider is classified as metropolitan if more than 70 per cent of its services </w:t>
            </w:r>
            <w:proofErr w:type="gramStart"/>
            <w:r w:rsidRPr="00982E7B">
              <w:t>are located in</w:t>
            </w:r>
            <w:proofErr w:type="gramEnd"/>
            <w:r w:rsidRPr="00982E7B">
              <w:t xml:space="preserve"> metropolitan areas and similarly classified as regional if more than 70 per cent of its services are located in regional areas.</w:t>
            </w:r>
          </w:p>
        </w:tc>
      </w:tr>
      <w:tr w:rsidR="00DA76B8" w:rsidRPr="00DA76B8" w14:paraId="4E5BA926" w14:textId="77777777" w:rsidTr="00FD08AF">
        <w:trPr>
          <w:trHeight w:val="109"/>
        </w:trPr>
        <w:tc>
          <w:tcPr>
            <w:tcW w:w="1364" w:type="dxa"/>
          </w:tcPr>
          <w:p w14:paraId="4B79B8E1" w14:textId="2D74FD02" w:rsidR="00AE20A2" w:rsidRPr="00982E7B" w:rsidRDefault="00AE20A2" w:rsidP="00C90695">
            <w:pPr>
              <w:pStyle w:val="TableofAuthorities"/>
            </w:pPr>
            <w:r w:rsidRPr="00982E7B">
              <w:t>Low care facility</w:t>
            </w:r>
          </w:p>
        </w:tc>
        <w:tc>
          <w:tcPr>
            <w:tcW w:w="7283" w:type="dxa"/>
          </w:tcPr>
          <w:p w14:paraId="17B67964" w14:textId="7C1B0645" w:rsidR="00AE20A2" w:rsidRPr="00982E7B" w:rsidRDefault="00AE20A2" w:rsidP="00C90695">
            <w:pPr>
              <w:pStyle w:val="TableofAuthorities"/>
            </w:pPr>
            <w:r w:rsidRPr="00982E7B">
              <w:t>A facility where over 80 per cent of residents were classified as ‘low care’. The distinction between high care and low care in permanent residential care was removed from 1 July 2014.</w:t>
            </w:r>
          </w:p>
        </w:tc>
      </w:tr>
      <w:tr w:rsidR="00DA76B8" w:rsidRPr="00DA76B8" w14:paraId="7C761252" w14:textId="77777777" w:rsidTr="00FD08AF">
        <w:trPr>
          <w:trHeight w:val="1410"/>
        </w:trPr>
        <w:tc>
          <w:tcPr>
            <w:tcW w:w="1364" w:type="dxa"/>
          </w:tcPr>
          <w:p w14:paraId="6E6FB807" w14:textId="58A9D8DC" w:rsidR="00AE20A2" w:rsidRPr="00982E7B" w:rsidRDefault="00AE20A2" w:rsidP="00C90695">
            <w:pPr>
              <w:pStyle w:val="TableofAuthorities"/>
            </w:pPr>
            <w:r w:rsidRPr="00982E7B">
              <w:t>Maximum accommodation price</w:t>
            </w:r>
          </w:p>
        </w:tc>
        <w:tc>
          <w:tcPr>
            <w:tcW w:w="7283" w:type="dxa"/>
          </w:tcPr>
          <w:p w14:paraId="4EF3DD1A" w14:textId="06F1608B" w:rsidR="00AE20A2" w:rsidRPr="00982E7B" w:rsidRDefault="00AE20A2" w:rsidP="00C90695">
            <w:pPr>
              <w:pStyle w:val="TableofAuthorities"/>
            </w:pPr>
            <w:r w:rsidRPr="00982E7B">
              <w:t>Maximum accommodation prices are set by residential care providers for a room (or bed in a shared room) and published on My Aged Care. These are maximum prices (providers and residents may agree lower amounts), that apply to residents who are not eligible for Government support for their accommodation costs.</w:t>
            </w:r>
          </w:p>
        </w:tc>
      </w:tr>
      <w:tr w:rsidR="00DA76B8" w:rsidRPr="00DA76B8" w14:paraId="0A284FFC" w14:textId="77777777" w:rsidTr="00FD08AF">
        <w:trPr>
          <w:trHeight w:val="109"/>
        </w:trPr>
        <w:tc>
          <w:tcPr>
            <w:tcW w:w="1364" w:type="dxa"/>
          </w:tcPr>
          <w:p w14:paraId="54DC4220" w14:textId="47912B72" w:rsidR="00AE20A2" w:rsidRPr="00982E7B" w:rsidRDefault="00AE20A2" w:rsidP="00C90695">
            <w:pPr>
              <w:pStyle w:val="TableofAuthorities"/>
            </w:pPr>
            <w:r w:rsidRPr="00982E7B">
              <w:t>My Aged Care</w:t>
            </w:r>
          </w:p>
        </w:tc>
        <w:tc>
          <w:tcPr>
            <w:tcW w:w="7283" w:type="dxa"/>
          </w:tcPr>
          <w:p w14:paraId="20E19BF2" w14:textId="273C9765" w:rsidR="00AE20A2" w:rsidRPr="00982E7B" w:rsidRDefault="00AE20A2" w:rsidP="00C90695">
            <w:pPr>
              <w:pStyle w:val="TableofAuthorities"/>
            </w:pPr>
            <w:r w:rsidRPr="00982E7B">
              <w:t>The main online entry point to the aged care system in Australia. My Aged Care aims to make it easier for older people, their families, and carers to access information on ageing and aged care, have their needs assessed and be supported to find and access services.</w:t>
            </w:r>
          </w:p>
        </w:tc>
      </w:tr>
      <w:tr w:rsidR="00DA76B8" w:rsidRPr="00DA76B8" w14:paraId="5ACD45C4" w14:textId="77777777" w:rsidTr="00FD08AF">
        <w:trPr>
          <w:trHeight w:val="1410"/>
        </w:trPr>
        <w:tc>
          <w:tcPr>
            <w:tcW w:w="1364" w:type="dxa"/>
          </w:tcPr>
          <w:p w14:paraId="4770039B" w14:textId="0FFA4F71" w:rsidR="00AE20A2" w:rsidRPr="00982E7B" w:rsidRDefault="00AE20A2" w:rsidP="00C90695">
            <w:pPr>
              <w:pStyle w:val="TableofAuthorities"/>
            </w:pPr>
            <w:r w:rsidRPr="00982E7B">
              <w:lastRenderedPageBreak/>
              <w:t>National Respite for Carers Program (NRCP)</w:t>
            </w:r>
          </w:p>
        </w:tc>
        <w:tc>
          <w:tcPr>
            <w:tcW w:w="7283" w:type="dxa"/>
          </w:tcPr>
          <w:p w14:paraId="2F473BC8" w14:textId="10C6505C" w:rsidR="00AE20A2" w:rsidRPr="00982E7B" w:rsidRDefault="00AE20A2" w:rsidP="00C90695">
            <w:pPr>
              <w:pStyle w:val="TableofAuthorities"/>
            </w:pPr>
            <w:r w:rsidRPr="00982E7B">
              <w:t>The NRCP aims to support caring relationships between carers and their dependent family members or friends by facilitating access to information, respite care and other support appropriate to their individual needs and circumstances and those of the people for whom they care. The NRCP was integrated into the CHSP from 1 July 2015.</w:t>
            </w:r>
          </w:p>
        </w:tc>
      </w:tr>
      <w:tr w:rsidR="00DA76B8" w:rsidRPr="00DA76B8" w14:paraId="70FA3E70" w14:textId="77777777" w:rsidTr="00FD08AF">
        <w:trPr>
          <w:trHeight w:val="109"/>
        </w:trPr>
        <w:tc>
          <w:tcPr>
            <w:tcW w:w="1364" w:type="dxa"/>
          </w:tcPr>
          <w:p w14:paraId="0B91C140" w14:textId="4B3A47D9" w:rsidR="00AE20A2" w:rsidRPr="00982E7B" w:rsidRDefault="00AE20A2" w:rsidP="00C90695">
            <w:pPr>
              <w:pStyle w:val="TableofAuthorities"/>
            </w:pPr>
            <w:r w:rsidRPr="00982E7B">
              <w:t>National Priority System</w:t>
            </w:r>
          </w:p>
        </w:tc>
        <w:tc>
          <w:tcPr>
            <w:tcW w:w="7283" w:type="dxa"/>
          </w:tcPr>
          <w:p w14:paraId="71AF6673" w14:textId="15E31EBC" w:rsidR="00AE20A2" w:rsidRPr="00982E7B" w:rsidRDefault="00AE20A2" w:rsidP="00C90695">
            <w:pPr>
              <w:pStyle w:val="TableofAuthorities"/>
            </w:pPr>
            <w:r w:rsidRPr="00982E7B">
              <w:t>People who have been approved for home care and have indicated they are actively seeking services are placed in the National Priority System, with each person’s place in the system based on the time and date of their approval for home care and their priority for service (medium or high).</w:t>
            </w:r>
          </w:p>
        </w:tc>
      </w:tr>
      <w:tr w:rsidR="00DA76B8" w:rsidRPr="00DA76B8" w14:paraId="27D9B0E7" w14:textId="77777777" w:rsidTr="00FD08AF">
        <w:trPr>
          <w:trHeight w:val="1410"/>
        </w:trPr>
        <w:tc>
          <w:tcPr>
            <w:tcW w:w="1364" w:type="dxa"/>
          </w:tcPr>
          <w:p w14:paraId="4369AE5B" w14:textId="6564437D" w:rsidR="00AE20A2" w:rsidRPr="00982E7B" w:rsidRDefault="00AE20A2" w:rsidP="00C90695">
            <w:pPr>
              <w:pStyle w:val="TableofAuthorities"/>
            </w:pPr>
            <w:r w:rsidRPr="00982E7B">
              <w:t>Net Assets Value</w:t>
            </w:r>
          </w:p>
        </w:tc>
        <w:tc>
          <w:tcPr>
            <w:tcW w:w="7283" w:type="dxa"/>
          </w:tcPr>
          <w:p w14:paraId="4852B43F" w14:textId="1D5E6FE0" w:rsidR="00AE20A2" w:rsidRPr="00982E7B" w:rsidRDefault="00AE20A2" w:rsidP="00C90695">
            <w:pPr>
              <w:pStyle w:val="TableofAuthorities"/>
            </w:pPr>
            <w:r w:rsidRPr="00982E7B">
              <w:t xml:space="preserve">The net assets value provides an indication of the value of an organisation. The net assets value is determined by taking the total assets of an organisation and subtracting total liabilities. A low net assets value or a decrease in the value over time indicates higher levels of financial risk for lenders and </w:t>
            </w:r>
            <w:r w:rsidR="00DA1676" w:rsidRPr="00982E7B">
              <w:t>residents/recipients</w:t>
            </w:r>
            <w:r w:rsidRPr="00982E7B">
              <w:t>.</w:t>
            </w:r>
          </w:p>
        </w:tc>
      </w:tr>
      <w:tr w:rsidR="00DA76B8" w:rsidRPr="00DA76B8" w14:paraId="737D7F6E" w14:textId="77777777" w:rsidTr="00FD08AF">
        <w:trPr>
          <w:trHeight w:val="109"/>
        </w:trPr>
        <w:tc>
          <w:tcPr>
            <w:tcW w:w="1364" w:type="dxa"/>
          </w:tcPr>
          <w:p w14:paraId="4E34E37C" w14:textId="308E9F8A" w:rsidR="00AE20A2" w:rsidRPr="00982E7B" w:rsidRDefault="00AE20A2" w:rsidP="00C90695">
            <w:pPr>
              <w:pStyle w:val="TableofAuthorities"/>
            </w:pPr>
            <w:r w:rsidRPr="00982E7B">
              <w:t>Net Profit Before Tax (NPBT)</w:t>
            </w:r>
          </w:p>
        </w:tc>
        <w:tc>
          <w:tcPr>
            <w:tcW w:w="7283" w:type="dxa"/>
          </w:tcPr>
          <w:p w14:paraId="5E07FCE3" w14:textId="6A8B3F48" w:rsidR="00AE20A2" w:rsidRPr="00982E7B" w:rsidRDefault="00AE20A2" w:rsidP="00C90695">
            <w:pPr>
              <w:pStyle w:val="TableofAuthorities"/>
            </w:pPr>
            <w:r w:rsidRPr="00982E7B">
              <w:t>The NPBT is determined by revenue minus expenses for the period except for taxes.</w:t>
            </w:r>
          </w:p>
        </w:tc>
      </w:tr>
      <w:tr w:rsidR="00DA76B8" w:rsidRPr="00DA76B8" w14:paraId="4995BDE1" w14:textId="77777777" w:rsidTr="00FD08AF">
        <w:trPr>
          <w:trHeight w:val="109"/>
        </w:trPr>
        <w:tc>
          <w:tcPr>
            <w:tcW w:w="1364" w:type="dxa"/>
          </w:tcPr>
          <w:p w14:paraId="32325AE8" w14:textId="10A24C90" w:rsidR="00AE20A2" w:rsidRPr="00982E7B" w:rsidRDefault="00AE20A2" w:rsidP="00C90695">
            <w:pPr>
              <w:pStyle w:val="TableofAuthorities"/>
            </w:pPr>
            <w:r w:rsidRPr="00982E7B">
              <w:t>Net Profit (Before Tax) Margin</w:t>
            </w:r>
          </w:p>
        </w:tc>
        <w:tc>
          <w:tcPr>
            <w:tcW w:w="7283" w:type="dxa"/>
          </w:tcPr>
          <w:p w14:paraId="50D6555D" w14:textId="3D5FF266" w:rsidR="00AE20A2" w:rsidRPr="00982E7B" w:rsidRDefault="00AE20A2" w:rsidP="00C90695">
            <w:pPr>
              <w:pStyle w:val="TableofAuthorities"/>
            </w:pPr>
            <w:r w:rsidRPr="00982E7B">
              <w:t>Shows the average profitability generated on each $1 of total revenue. It is calculated as Net Profit Before Tax / total revenue.</w:t>
            </w:r>
          </w:p>
        </w:tc>
      </w:tr>
      <w:tr w:rsidR="00DA76B8" w:rsidRPr="00DA76B8" w14:paraId="5D9B25C4" w14:textId="77777777" w:rsidTr="00FD08AF">
        <w:trPr>
          <w:trHeight w:val="753"/>
        </w:trPr>
        <w:tc>
          <w:tcPr>
            <w:tcW w:w="1364" w:type="dxa"/>
          </w:tcPr>
          <w:p w14:paraId="2DA19616" w14:textId="2404C518" w:rsidR="00AE20A2" w:rsidRPr="00982E7B" w:rsidRDefault="00AE20A2" w:rsidP="00C90695">
            <w:pPr>
              <w:pStyle w:val="TableofAuthorities"/>
            </w:pPr>
            <w:r w:rsidRPr="00982E7B">
              <w:t>Non-supported residents</w:t>
            </w:r>
          </w:p>
        </w:tc>
        <w:tc>
          <w:tcPr>
            <w:tcW w:w="7283" w:type="dxa"/>
          </w:tcPr>
          <w:p w14:paraId="2B079991" w14:textId="6609EAFB" w:rsidR="00AE20A2" w:rsidRPr="00982E7B" w:rsidRDefault="00AE20A2" w:rsidP="00C90695">
            <w:pPr>
              <w:pStyle w:val="TableofAuthorities"/>
            </w:pPr>
            <w:r w:rsidRPr="00982E7B">
              <w:t>Residents who have been assessed (based on a means test) as able to pay the full cost of their accommodation and contribute toward their care costs. Non-supported residents pay a basic daily fee, accommodation payment and means tested care fee (may still receive some assistance with care costs).</w:t>
            </w:r>
          </w:p>
        </w:tc>
      </w:tr>
      <w:tr w:rsidR="00DA76B8" w:rsidRPr="00DA76B8" w14:paraId="38622B8B" w14:textId="77777777" w:rsidTr="00FD08AF">
        <w:trPr>
          <w:trHeight w:val="109"/>
        </w:trPr>
        <w:tc>
          <w:tcPr>
            <w:tcW w:w="1364" w:type="dxa"/>
          </w:tcPr>
          <w:p w14:paraId="1D12F7BF" w14:textId="3B6A9E7A" w:rsidR="006E057E" w:rsidRPr="00982E7B" w:rsidRDefault="006E057E" w:rsidP="00C90695">
            <w:pPr>
              <w:pStyle w:val="TableofAuthorities"/>
            </w:pPr>
            <w:r w:rsidRPr="00982E7B">
              <w:t>Operational places</w:t>
            </w:r>
          </w:p>
        </w:tc>
        <w:tc>
          <w:tcPr>
            <w:tcW w:w="7283" w:type="dxa"/>
          </w:tcPr>
          <w:p w14:paraId="7BB70C5C" w14:textId="044E925B" w:rsidR="006E057E" w:rsidRPr="00982E7B" w:rsidRDefault="006E057E" w:rsidP="00C90695">
            <w:pPr>
              <w:pStyle w:val="TableofAuthorities"/>
            </w:pPr>
            <w:r w:rsidRPr="00982E7B">
              <w:t>Operational place refers to a residential care place that was allocated to a provider and has since become available for a person to receive care.</w:t>
            </w:r>
          </w:p>
        </w:tc>
      </w:tr>
      <w:tr w:rsidR="00DA76B8" w:rsidRPr="00DA76B8" w14:paraId="713FAA3C" w14:textId="77777777" w:rsidTr="00FD08AF">
        <w:trPr>
          <w:trHeight w:val="1410"/>
        </w:trPr>
        <w:tc>
          <w:tcPr>
            <w:tcW w:w="1364" w:type="dxa"/>
          </w:tcPr>
          <w:p w14:paraId="2C6B87FB" w14:textId="3272B942" w:rsidR="006E057E" w:rsidRPr="00982E7B" w:rsidRDefault="006E057E" w:rsidP="00C90695">
            <w:pPr>
              <w:pStyle w:val="TableofAuthorities"/>
            </w:pPr>
            <w:r w:rsidRPr="00982E7B">
              <w:t>Partially supported residents</w:t>
            </w:r>
          </w:p>
        </w:tc>
        <w:tc>
          <w:tcPr>
            <w:tcW w:w="7283" w:type="dxa"/>
          </w:tcPr>
          <w:p w14:paraId="344C615B" w14:textId="32C6273E" w:rsidR="006E057E" w:rsidRPr="00982E7B" w:rsidRDefault="006E057E" w:rsidP="00C90695">
            <w:pPr>
              <w:pStyle w:val="TableofAuthorities"/>
            </w:pPr>
            <w:r w:rsidRPr="00982E7B">
              <w:t>Residents who have been assessed (based on a means test) as eligible for full Government assistance with their care costs, but able to make a part contribution to their accommodation costs. Partially</w:t>
            </w:r>
            <w:r w:rsidR="0023391E" w:rsidRPr="00982E7B">
              <w:t xml:space="preserve"> </w:t>
            </w:r>
            <w:r w:rsidRPr="00982E7B">
              <w:t>supported residents pay a basic daily fee and accommodation contribution.</w:t>
            </w:r>
          </w:p>
        </w:tc>
      </w:tr>
      <w:tr w:rsidR="00DA76B8" w:rsidRPr="00DA76B8" w14:paraId="4E5B3197" w14:textId="77777777" w:rsidTr="00FD08AF">
        <w:trPr>
          <w:trHeight w:val="109"/>
        </w:trPr>
        <w:tc>
          <w:tcPr>
            <w:tcW w:w="1364" w:type="dxa"/>
          </w:tcPr>
          <w:p w14:paraId="19CB35FC" w14:textId="1FBEBF99" w:rsidR="006E057E" w:rsidRPr="00982E7B" w:rsidRDefault="006E057E" w:rsidP="00C90695">
            <w:pPr>
              <w:pStyle w:val="TableofAuthorities"/>
            </w:pPr>
            <w:r w:rsidRPr="00982E7B">
              <w:t xml:space="preserve">Per </w:t>
            </w:r>
            <w:r w:rsidR="00DA1676" w:rsidRPr="00982E7B">
              <w:t xml:space="preserve">recipient </w:t>
            </w:r>
            <w:r w:rsidRPr="00982E7B">
              <w:t>per annum (</w:t>
            </w:r>
            <w:proofErr w:type="spellStart"/>
            <w:r w:rsidR="00DA1676" w:rsidRPr="00982E7B">
              <w:t>prpa</w:t>
            </w:r>
            <w:proofErr w:type="spellEnd"/>
            <w:r w:rsidRPr="00982E7B">
              <w:t>)</w:t>
            </w:r>
          </w:p>
        </w:tc>
        <w:tc>
          <w:tcPr>
            <w:tcW w:w="7283" w:type="dxa"/>
          </w:tcPr>
          <w:p w14:paraId="23E2C98F" w14:textId="73C92699" w:rsidR="006E057E" w:rsidRPr="00982E7B" w:rsidRDefault="006E057E" w:rsidP="00C90695">
            <w:pPr>
              <w:pStyle w:val="TableofAuthorities"/>
            </w:pPr>
            <w:r w:rsidRPr="00982E7B">
              <w:t xml:space="preserve">An annual average financial figure relating to home care </w:t>
            </w:r>
            <w:r w:rsidR="00DA1676" w:rsidRPr="00982E7B">
              <w:t>recipient</w:t>
            </w:r>
            <w:r w:rsidRPr="00982E7B">
              <w:t>.</w:t>
            </w:r>
          </w:p>
        </w:tc>
      </w:tr>
      <w:tr w:rsidR="00DA76B8" w:rsidRPr="00DA76B8" w14:paraId="43E59CE4" w14:textId="77777777" w:rsidTr="00FD08AF">
        <w:trPr>
          <w:trHeight w:val="109"/>
        </w:trPr>
        <w:tc>
          <w:tcPr>
            <w:tcW w:w="1364" w:type="dxa"/>
          </w:tcPr>
          <w:p w14:paraId="469184F9" w14:textId="0DA57F53" w:rsidR="006E057E" w:rsidRPr="00982E7B" w:rsidRDefault="006E057E" w:rsidP="00C90695">
            <w:pPr>
              <w:pStyle w:val="TableofAuthorities"/>
            </w:pPr>
            <w:r w:rsidRPr="00982E7B">
              <w:t xml:space="preserve">Per </w:t>
            </w:r>
            <w:r w:rsidR="00DA1676" w:rsidRPr="00982E7B">
              <w:t xml:space="preserve">recipient </w:t>
            </w:r>
            <w:r w:rsidRPr="00982E7B">
              <w:t>per day (</w:t>
            </w:r>
            <w:proofErr w:type="spellStart"/>
            <w:r w:rsidRPr="00982E7B">
              <w:t>p</w:t>
            </w:r>
            <w:r w:rsidR="00DA1676" w:rsidRPr="00982E7B">
              <w:t>r</w:t>
            </w:r>
            <w:r w:rsidRPr="00982E7B">
              <w:t>pd</w:t>
            </w:r>
            <w:proofErr w:type="spellEnd"/>
            <w:r w:rsidRPr="00982E7B">
              <w:t>)</w:t>
            </w:r>
          </w:p>
        </w:tc>
        <w:tc>
          <w:tcPr>
            <w:tcW w:w="7283" w:type="dxa"/>
          </w:tcPr>
          <w:p w14:paraId="57A72FE7" w14:textId="2112553E" w:rsidR="006E057E" w:rsidRPr="00982E7B" w:rsidRDefault="006E057E" w:rsidP="00C90695">
            <w:pPr>
              <w:pStyle w:val="TableofAuthorities"/>
            </w:pPr>
            <w:r w:rsidRPr="00982E7B">
              <w:t xml:space="preserve">A daily average financial figure relating to home care </w:t>
            </w:r>
            <w:r w:rsidR="00DA1676" w:rsidRPr="00982E7B">
              <w:t>recipient</w:t>
            </w:r>
            <w:r w:rsidRPr="00982E7B">
              <w:t>.</w:t>
            </w:r>
          </w:p>
        </w:tc>
      </w:tr>
      <w:tr w:rsidR="00DA76B8" w:rsidRPr="00DA76B8" w14:paraId="2967E4B6" w14:textId="77777777" w:rsidTr="00FD08AF">
        <w:trPr>
          <w:trHeight w:val="109"/>
        </w:trPr>
        <w:tc>
          <w:tcPr>
            <w:tcW w:w="1364" w:type="dxa"/>
          </w:tcPr>
          <w:p w14:paraId="4D4B21F7" w14:textId="11BDF383" w:rsidR="006E057E" w:rsidRPr="00982E7B" w:rsidRDefault="006E057E" w:rsidP="00C90695">
            <w:pPr>
              <w:pStyle w:val="TableofAuthorities"/>
            </w:pPr>
            <w:r w:rsidRPr="00982E7B">
              <w:t>Per resident per annum (</w:t>
            </w:r>
            <w:proofErr w:type="spellStart"/>
            <w:r w:rsidRPr="00982E7B">
              <w:t>prpa</w:t>
            </w:r>
            <w:proofErr w:type="spellEnd"/>
            <w:r w:rsidRPr="00982E7B">
              <w:t>)</w:t>
            </w:r>
          </w:p>
        </w:tc>
        <w:tc>
          <w:tcPr>
            <w:tcW w:w="7283" w:type="dxa"/>
          </w:tcPr>
          <w:p w14:paraId="5662DA92" w14:textId="3F339074" w:rsidR="006E057E" w:rsidRPr="00982E7B" w:rsidRDefault="006E057E" w:rsidP="00C90695">
            <w:pPr>
              <w:pStyle w:val="TableofAuthorities"/>
            </w:pPr>
            <w:r w:rsidRPr="00982E7B">
              <w:t>An annual average financial figure relating to residential aged care residents that converts financial data to daily amount per resident.</w:t>
            </w:r>
          </w:p>
        </w:tc>
      </w:tr>
      <w:tr w:rsidR="00DA76B8" w:rsidRPr="00DA76B8" w14:paraId="55636A3E" w14:textId="77777777" w:rsidTr="00FD08AF">
        <w:trPr>
          <w:trHeight w:val="109"/>
        </w:trPr>
        <w:tc>
          <w:tcPr>
            <w:tcW w:w="1364" w:type="dxa"/>
          </w:tcPr>
          <w:p w14:paraId="52EB0081" w14:textId="61EFBDF7" w:rsidR="006E057E" w:rsidRPr="00982E7B" w:rsidRDefault="006E057E" w:rsidP="00C90695">
            <w:pPr>
              <w:pStyle w:val="TableofAuthorities"/>
            </w:pPr>
            <w:r w:rsidRPr="00982E7B">
              <w:t>Per resident per day (</w:t>
            </w:r>
            <w:proofErr w:type="spellStart"/>
            <w:r w:rsidRPr="00982E7B">
              <w:t>prpd</w:t>
            </w:r>
            <w:proofErr w:type="spellEnd"/>
            <w:r w:rsidRPr="00982E7B">
              <w:t>)</w:t>
            </w:r>
          </w:p>
        </w:tc>
        <w:tc>
          <w:tcPr>
            <w:tcW w:w="7283" w:type="dxa"/>
          </w:tcPr>
          <w:p w14:paraId="1C7F2963" w14:textId="455786B8" w:rsidR="006E057E" w:rsidRPr="00982E7B" w:rsidRDefault="006E057E" w:rsidP="00C90695">
            <w:pPr>
              <w:pStyle w:val="TableofAuthorities"/>
            </w:pPr>
            <w:r w:rsidRPr="00982E7B">
              <w:t>A daily average financial figure relating to residential aged care residents.</w:t>
            </w:r>
          </w:p>
        </w:tc>
      </w:tr>
      <w:tr w:rsidR="00DA76B8" w:rsidRPr="00DA76B8" w14:paraId="703F47FB" w14:textId="77777777" w:rsidTr="00FD08AF">
        <w:trPr>
          <w:trHeight w:val="109"/>
        </w:trPr>
        <w:tc>
          <w:tcPr>
            <w:tcW w:w="1364" w:type="dxa"/>
          </w:tcPr>
          <w:p w14:paraId="5AF38CDB" w14:textId="46B94CD0" w:rsidR="006E057E" w:rsidRPr="00982E7B" w:rsidRDefault="006E057E" w:rsidP="00C90695">
            <w:pPr>
              <w:pStyle w:val="TableofAuthorities"/>
            </w:pPr>
            <w:r w:rsidRPr="00982E7B">
              <w:t>Provisionally allocated places</w:t>
            </w:r>
          </w:p>
        </w:tc>
        <w:tc>
          <w:tcPr>
            <w:tcW w:w="7283" w:type="dxa"/>
          </w:tcPr>
          <w:p w14:paraId="4C6F98A1" w14:textId="4DC49F4E" w:rsidR="006E057E" w:rsidRPr="00982E7B" w:rsidRDefault="006E057E" w:rsidP="00C90695">
            <w:pPr>
              <w:pStyle w:val="TableofAuthorities"/>
            </w:pPr>
            <w:r w:rsidRPr="00982E7B">
              <w:t>Residential care places allocated through Aged Care Approval Rounds that are not yet operational.</w:t>
            </w:r>
          </w:p>
        </w:tc>
      </w:tr>
      <w:tr w:rsidR="000179CC" w:rsidRPr="00DA76B8" w14:paraId="1CFBC32D" w14:textId="77777777" w:rsidTr="00FD08AF">
        <w:trPr>
          <w:trHeight w:val="109"/>
        </w:trPr>
        <w:tc>
          <w:tcPr>
            <w:tcW w:w="1364" w:type="dxa"/>
          </w:tcPr>
          <w:p w14:paraId="29CE37E7" w14:textId="5DCB5FFD" w:rsidR="000179CC" w:rsidRPr="00982E7B" w:rsidRDefault="000179CC" w:rsidP="00C90695">
            <w:pPr>
              <w:pStyle w:val="TableofAuthorities"/>
            </w:pPr>
            <w:r w:rsidRPr="00982E7B">
              <w:t>Quarterly Financial Report</w:t>
            </w:r>
            <w:r w:rsidR="00C063D1" w:rsidRPr="008F4A7B">
              <w:t xml:space="preserve"> (QFR)</w:t>
            </w:r>
          </w:p>
        </w:tc>
        <w:tc>
          <w:tcPr>
            <w:tcW w:w="7283" w:type="dxa"/>
          </w:tcPr>
          <w:p w14:paraId="67435409" w14:textId="1D0E62D9" w:rsidR="000179CC" w:rsidRPr="00982E7B" w:rsidRDefault="00512F12" w:rsidP="00C90695">
            <w:pPr>
              <w:pStyle w:val="TableofAuthorities"/>
            </w:pPr>
            <w:r w:rsidRPr="008F4A7B">
              <w:t>A quarterly report</w:t>
            </w:r>
            <w:r w:rsidRPr="00982E7B">
              <w:t xml:space="preserve">ing template introduced </w:t>
            </w:r>
            <w:r w:rsidR="000B706E" w:rsidRPr="00982E7B">
              <w:t xml:space="preserve">for the July to September </w:t>
            </w:r>
            <w:r w:rsidR="00C063D1" w:rsidRPr="00982E7B">
              <w:t>2022 quarter as a broader initiative to improve financial reporting and strengthen prudential compliance for approved aged care providers.</w:t>
            </w:r>
          </w:p>
        </w:tc>
      </w:tr>
      <w:tr w:rsidR="00DA76B8" w:rsidRPr="00DA76B8" w14:paraId="32BFB40E" w14:textId="77777777" w:rsidTr="00FD08AF">
        <w:trPr>
          <w:trHeight w:val="109"/>
        </w:trPr>
        <w:tc>
          <w:tcPr>
            <w:tcW w:w="1364" w:type="dxa"/>
          </w:tcPr>
          <w:p w14:paraId="78A914EE" w14:textId="103454BD" w:rsidR="006E057E" w:rsidRPr="00982E7B" w:rsidRDefault="006E057E" w:rsidP="00C90695">
            <w:pPr>
              <w:pStyle w:val="TableofAuthorities"/>
            </w:pPr>
            <w:r w:rsidRPr="00982E7B">
              <w:t>Refundable Accommodation Contribution (RAC)</w:t>
            </w:r>
          </w:p>
        </w:tc>
        <w:tc>
          <w:tcPr>
            <w:tcW w:w="7283" w:type="dxa"/>
          </w:tcPr>
          <w:p w14:paraId="0994F676" w14:textId="53EFB3E6" w:rsidR="006E057E" w:rsidRPr="00982E7B" w:rsidRDefault="006E057E" w:rsidP="00C90695">
            <w:pPr>
              <w:pStyle w:val="TableofAuthorities"/>
            </w:pPr>
            <w:r w:rsidRPr="00982E7B">
              <w:t>An amount paid as a lump sum by a partially supported resident as a contribution toward their accommodation costs in a residential aged care facility.</w:t>
            </w:r>
          </w:p>
        </w:tc>
      </w:tr>
      <w:tr w:rsidR="00DA76B8" w:rsidRPr="00DA76B8" w14:paraId="649F0C79" w14:textId="77777777" w:rsidTr="00FD08AF">
        <w:trPr>
          <w:trHeight w:val="109"/>
        </w:trPr>
        <w:tc>
          <w:tcPr>
            <w:tcW w:w="1364" w:type="dxa"/>
          </w:tcPr>
          <w:p w14:paraId="4AB533B5" w14:textId="44AE71B9" w:rsidR="006E057E" w:rsidRPr="00982E7B" w:rsidRDefault="006E057E" w:rsidP="00C90695">
            <w:pPr>
              <w:pStyle w:val="TableofAuthorities"/>
            </w:pPr>
            <w:r w:rsidRPr="00982E7B">
              <w:lastRenderedPageBreak/>
              <w:t>Refundable Accommodation Deposit (RAD)</w:t>
            </w:r>
          </w:p>
        </w:tc>
        <w:tc>
          <w:tcPr>
            <w:tcW w:w="7283" w:type="dxa"/>
          </w:tcPr>
          <w:p w14:paraId="248D87CA" w14:textId="734D9208" w:rsidR="006E057E" w:rsidRPr="00982E7B" w:rsidRDefault="006E057E" w:rsidP="00C90695">
            <w:pPr>
              <w:pStyle w:val="TableofAuthorities"/>
            </w:pPr>
            <w:r w:rsidRPr="00982E7B">
              <w:t>An amount paid as a lump sum by a non-supported resident for their accommodation costs in a residential aged care facility.</w:t>
            </w:r>
          </w:p>
        </w:tc>
      </w:tr>
      <w:tr w:rsidR="00DA76B8" w:rsidRPr="00DA76B8" w14:paraId="15F5D91D" w14:textId="77777777" w:rsidTr="00FD08AF">
        <w:trPr>
          <w:trHeight w:val="109"/>
        </w:trPr>
        <w:tc>
          <w:tcPr>
            <w:tcW w:w="1364" w:type="dxa"/>
          </w:tcPr>
          <w:p w14:paraId="4CE305CA" w14:textId="1396E057" w:rsidR="006E057E" w:rsidRPr="00982E7B" w:rsidRDefault="006E057E" w:rsidP="00C90695">
            <w:pPr>
              <w:pStyle w:val="TableofAuthorities"/>
            </w:pPr>
            <w:r w:rsidRPr="00982E7B">
              <w:t>Regional</w:t>
            </w:r>
          </w:p>
        </w:tc>
        <w:tc>
          <w:tcPr>
            <w:tcW w:w="7283" w:type="dxa"/>
          </w:tcPr>
          <w:p w14:paraId="3C61FB63" w14:textId="1E2922EE" w:rsidR="006E057E" w:rsidRPr="00982E7B" w:rsidRDefault="006E057E" w:rsidP="00C90695">
            <w:pPr>
              <w:pStyle w:val="TableofAuthorities"/>
            </w:pPr>
            <w:r w:rsidRPr="00982E7B">
              <w:t xml:space="preserve">Geographic region outside of a major city and classified by the Australian Bureau of Statistics as inner regional, outer regional, </w:t>
            </w:r>
            <w:proofErr w:type="gramStart"/>
            <w:r w:rsidRPr="00982E7B">
              <w:t>remote</w:t>
            </w:r>
            <w:proofErr w:type="gramEnd"/>
            <w:r w:rsidRPr="00982E7B">
              <w:t xml:space="preserve"> and very remote.</w:t>
            </w:r>
          </w:p>
        </w:tc>
      </w:tr>
      <w:tr w:rsidR="00DA76B8" w:rsidRPr="00DA76B8" w14:paraId="2335B027" w14:textId="77777777" w:rsidTr="00FD08AF">
        <w:trPr>
          <w:trHeight w:val="109"/>
        </w:trPr>
        <w:tc>
          <w:tcPr>
            <w:tcW w:w="1364" w:type="dxa"/>
          </w:tcPr>
          <w:p w14:paraId="0142A4D5" w14:textId="5DB386E2" w:rsidR="006E057E" w:rsidRPr="00982E7B" w:rsidRDefault="006E057E" w:rsidP="00C90695">
            <w:pPr>
              <w:pStyle w:val="TableofAuthorities"/>
            </w:pPr>
            <w:r w:rsidRPr="00982E7B">
              <w:t>Regional Assessment Services (RAS)</w:t>
            </w:r>
          </w:p>
        </w:tc>
        <w:tc>
          <w:tcPr>
            <w:tcW w:w="7283" w:type="dxa"/>
          </w:tcPr>
          <w:p w14:paraId="74BA1E9F" w14:textId="4B4A6737" w:rsidR="006E057E" w:rsidRPr="00982E7B" w:rsidRDefault="006E057E" w:rsidP="00C90695">
            <w:pPr>
              <w:pStyle w:val="TableofAuthorities"/>
            </w:pPr>
            <w:r w:rsidRPr="00982E7B">
              <w:t>RAS provides in home, face to face assessments of new and existing clients/carers to assess their eligibility to access CHSP services.</w:t>
            </w:r>
          </w:p>
        </w:tc>
      </w:tr>
      <w:tr w:rsidR="00DA76B8" w:rsidRPr="00DA76B8" w14:paraId="7FDC89A4" w14:textId="77777777" w:rsidTr="00FD08AF">
        <w:trPr>
          <w:trHeight w:val="653"/>
        </w:trPr>
        <w:tc>
          <w:tcPr>
            <w:tcW w:w="1364" w:type="dxa"/>
          </w:tcPr>
          <w:p w14:paraId="77F9D4C1" w14:textId="4A99442D" w:rsidR="006E057E" w:rsidRPr="00982E7B" w:rsidRDefault="006E057E" w:rsidP="00C90695">
            <w:pPr>
              <w:pStyle w:val="TableofAuthorities"/>
            </w:pPr>
            <w:r w:rsidRPr="00982E7B">
              <w:t>Report on the Operations of the Aged Care Act 1997 (ROACA)</w:t>
            </w:r>
          </w:p>
        </w:tc>
        <w:tc>
          <w:tcPr>
            <w:tcW w:w="7283" w:type="dxa"/>
          </w:tcPr>
          <w:p w14:paraId="4663DB30" w14:textId="74D945E4" w:rsidR="006E057E" w:rsidRPr="00982E7B" w:rsidRDefault="006E057E" w:rsidP="00C90695">
            <w:pPr>
              <w:pStyle w:val="TableofAuthorities"/>
            </w:pPr>
            <w:r w:rsidRPr="00982E7B">
              <w:t>A legal requirement under the Act, the ROACA is tabled in Parliament in November each year and presents an annual snapshot of facts and figures on Australian Government funded aged care services in Australia.</w:t>
            </w:r>
          </w:p>
        </w:tc>
      </w:tr>
      <w:tr w:rsidR="00DA76B8" w:rsidRPr="00DA76B8" w14:paraId="5C2569B5" w14:textId="77777777" w:rsidTr="00FD08AF">
        <w:trPr>
          <w:trHeight w:val="109"/>
        </w:trPr>
        <w:tc>
          <w:tcPr>
            <w:tcW w:w="1364" w:type="dxa"/>
          </w:tcPr>
          <w:p w14:paraId="587CA73F" w14:textId="22551AB3" w:rsidR="006E057E" w:rsidRPr="00982E7B" w:rsidRDefault="006E057E" w:rsidP="00C90695">
            <w:pPr>
              <w:pStyle w:val="TableofAuthorities"/>
            </w:pPr>
            <w:r w:rsidRPr="00982E7B">
              <w:t>Residential aged care</w:t>
            </w:r>
          </w:p>
        </w:tc>
        <w:tc>
          <w:tcPr>
            <w:tcW w:w="7283" w:type="dxa"/>
          </w:tcPr>
          <w:p w14:paraId="4128FAAC" w14:textId="35EE059E" w:rsidR="006E057E" w:rsidRPr="00982E7B" w:rsidRDefault="006E057E" w:rsidP="00C90695">
            <w:pPr>
              <w:pStyle w:val="TableofAuthorities"/>
            </w:pPr>
            <w:r w:rsidRPr="00982E7B">
              <w:t>A program that provides a range of care options and accommodation for older people who choose not to continue living in their own homes.</w:t>
            </w:r>
          </w:p>
        </w:tc>
      </w:tr>
      <w:tr w:rsidR="00DA76B8" w:rsidRPr="00DA76B8" w14:paraId="33BF7D35" w14:textId="77777777" w:rsidTr="00FD08AF">
        <w:trPr>
          <w:trHeight w:val="1410"/>
        </w:trPr>
        <w:tc>
          <w:tcPr>
            <w:tcW w:w="1364" w:type="dxa"/>
          </w:tcPr>
          <w:p w14:paraId="6D75B19A" w14:textId="5433379D" w:rsidR="006E057E" w:rsidRPr="00982E7B" w:rsidRDefault="006E057E" w:rsidP="00C90695">
            <w:pPr>
              <w:pStyle w:val="TableofAuthorities"/>
            </w:pPr>
            <w:r w:rsidRPr="00982E7B">
              <w:t>Restorative care</w:t>
            </w:r>
          </w:p>
        </w:tc>
        <w:tc>
          <w:tcPr>
            <w:tcW w:w="7283" w:type="dxa"/>
          </w:tcPr>
          <w:p w14:paraId="572B5096" w14:textId="4BE96850" w:rsidR="006E057E" w:rsidRPr="00982E7B" w:rsidRDefault="006E057E" w:rsidP="00C90695">
            <w:pPr>
              <w:pStyle w:val="TableofAuthorities"/>
            </w:pPr>
            <w:r w:rsidRPr="00982E7B">
              <w:t xml:space="preserve">Care focusing on enhancing the physical and cognitive function of people who have lost, or are at risk of losing, </w:t>
            </w:r>
            <w:proofErr w:type="gramStart"/>
            <w:r w:rsidRPr="00982E7B">
              <w:t>condition</w:t>
            </w:r>
            <w:proofErr w:type="gramEnd"/>
            <w:r w:rsidRPr="00982E7B">
              <w:t xml:space="preserve"> and independence. The Short-Term Restorative Care (STRC) Programme, which commenced in February 2017, is a flexible care program to provide restorative care to older people to improve their capacity to stay independent and living in their own homes.</w:t>
            </w:r>
          </w:p>
        </w:tc>
      </w:tr>
      <w:tr w:rsidR="00DA76B8" w:rsidRPr="00DA76B8" w14:paraId="486DE5EC" w14:textId="77777777" w:rsidTr="00FD08AF">
        <w:trPr>
          <w:trHeight w:val="109"/>
        </w:trPr>
        <w:tc>
          <w:tcPr>
            <w:tcW w:w="1364" w:type="dxa"/>
          </w:tcPr>
          <w:p w14:paraId="7E9F08A2" w14:textId="3B1A7AA2" w:rsidR="006E057E" w:rsidRPr="00982E7B" w:rsidRDefault="006E057E" w:rsidP="00C90695">
            <w:pPr>
              <w:pStyle w:val="TableofAuthorities"/>
            </w:pPr>
            <w:r w:rsidRPr="00982E7B">
              <w:t>Retained earnings</w:t>
            </w:r>
          </w:p>
        </w:tc>
        <w:tc>
          <w:tcPr>
            <w:tcW w:w="7283" w:type="dxa"/>
          </w:tcPr>
          <w:p w14:paraId="361B17D4" w14:textId="01DF61E9" w:rsidR="006E057E" w:rsidRPr="00982E7B" w:rsidRDefault="006E057E" w:rsidP="00C90695">
            <w:pPr>
              <w:pStyle w:val="TableofAuthorities"/>
            </w:pPr>
            <w:r w:rsidRPr="00982E7B">
              <w:t xml:space="preserve">Refers to the percentage of net earnings not paid out as </w:t>
            </w:r>
            <w:proofErr w:type="gramStart"/>
            <w:r w:rsidRPr="00982E7B">
              <w:t>dividends, but</w:t>
            </w:r>
            <w:proofErr w:type="gramEnd"/>
            <w:r w:rsidRPr="00982E7B">
              <w:t xml:space="preserve"> retained by the company to be reinvested in its core business, or to pay debt. This is recorded under shareholders’ equity on the balance sheet.</w:t>
            </w:r>
          </w:p>
        </w:tc>
      </w:tr>
      <w:tr w:rsidR="00DA76B8" w:rsidRPr="00DA76B8" w14:paraId="7BB79041" w14:textId="77777777" w:rsidTr="00FD08AF">
        <w:trPr>
          <w:trHeight w:val="514"/>
        </w:trPr>
        <w:tc>
          <w:tcPr>
            <w:tcW w:w="1364" w:type="dxa"/>
          </w:tcPr>
          <w:p w14:paraId="6241AAA4" w14:textId="4C26172E" w:rsidR="006E057E" w:rsidRPr="00982E7B" w:rsidRDefault="006E057E" w:rsidP="00C90695">
            <w:pPr>
              <w:pStyle w:val="TableofAuthorities"/>
            </w:pPr>
            <w:r w:rsidRPr="00982E7B">
              <w:t>Retention amounts</w:t>
            </w:r>
          </w:p>
        </w:tc>
        <w:tc>
          <w:tcPr>
            <w:tcW w:w="7283" w:type="dxa"/>
          </w:tcPr>
          <w:p w14:paraId="0C3C2DD9" w14:textId="6C542C6E" w:rsidR="006E057E" w:rsidRPr="00982E7B" w:rsidRDefault="006E057E" w:rsidP="00C90695">
            <w:pPr>
              <w:pStyle w:val="TableofAuthorities"/>
            </w:pPr>
            <w:r w:rsidRPr="00982E7B">
              <w:t>An amount that an approved provider was allowed to deduct per month from an accommodation bond for up to five years. The maximum retention amount was set by the Australian Government. Retentions were no longer permitted for residents entering residential aged care after 1 July 2014.</w:t>
            </w:r>
          </w:p>
        </w:tc>
      </w:tr>
      <w:tr w:rsidR="00DA76B8" w:rsidRPr="00DA76B8" w14:paraId="103C51FB" w14:textId="77777777" w:rsidTr="00FD08AF">
        <w:trPr>
          <w:trHeight w:val="109"/>
        </w:trPr>
        <w:tc>
          <w:tcPr>
            <w:tcW w:w="1364" w:type="dxa"/>
          </w:tcPr>
          <w:p w14:paraId="78F2B44E" w14:textId="352A6EE5" w:rsidR="001364E5" w:rsidRPr="00982E7B" w:rsidRDefault="001364E5" w:rsidP="00C90695">
            <w:pPr>
              <w:pStyle w:val="TableofAuthorities"/>
            </w:pPr>
            <w:r w:rsidRPr="00982E7B">
              <w:t>Return on Assets</w:t>
            </w:r>
          </w:p>
        </w:tc>
        <w:tc>
          <w:tcPr>
            <w:tcW w:w="7283" w:type="dxa"/>
          </w:tcPr>
          <w:p w14:paraId="11FC1EF5" w14:textId="37ED27A0" w:rsidR="001364E5" w:rsidRPr="00982E7B" w:rsidRDefault="001364E5" w:rsidP="00C90695">
            <w:pPr>
              <w:pStyle w:val="TableofAuthorities"/>
            </w:pPr>
            <w:r w:rsidRPr="00982E7B">
              <w:t>Indicates the productivity of assets employed in the organisation. It is calculated as EBITDA/total assets.</w:t>
            </w:r>
          </w:p>
        </w:tc>
      </w:tr>
      <w:tr w:rsidR="00DA76B8" w:rsidRPr="00DA76B8" w14:paraId="26BC6941" w14:textId="77777777" w:rsidTr="00FD08AF">
        <w:trPr>
          <w:trHeight w:val="148"/>
        </w:trPr>
        <w:tc>
          <w:tcPr>
            <w:tcW w:w="1364" w:type="dxa"/>
          </w:tcPr>
          <w:p w14:paraId="6B70B299" w14:textId="251EAF7E" w:rsidR="001364E5" w:rsidRPr="00982E7B" w:rsidRDefault="001364E5" w:rsidP="00C90695">
            <w:pPr>
              <w:pStyle w:val="TableofAuthorities"/>
            </w:pPr>
            <w:r w:rsidRPr="00982E7B">
              <w:t>Return on Equity/ Return on Net Worth</w:t>
            </w:r>
          </w:p>
        </w:tc>
        <w:tc>
          <w:tcPr>
            <w:tcW w:w="7283" w:type="dxa"/>
          </w:tcPr>
          <w:p w14:paraId="5D8086B3" w14:textId="253F3630" w:rsidR="001364E5" w:rsidRPr="00982E7B" w:rsidRDefault="001364E5" w:rsidP="00C90695">
            <w:pPr>
              <w:pStyle w:val="TableofAuthorities"/>
            </w:pPr>
            <w:r w:rsidRPr="00982E7B">
              <w:t>Indicates the productivity of equity/net worth employed in the organisation. It is calculated as EBITDA/net worth.</w:t>
            </w:r>
          </w:p>
        </w:tc>
      </w:tr>
      <w:tr w:rsidR="00DA76B8" w:rsidRPr="00DA76B8" w14:paraId="702FD4ED" w14:textId="77777777" w:rsidTr="00FD08AF">
        <w:trPr>
          <w:trHeight w:val="109"/>
        </w:trPr>
        <w:tc>
          <w:tcPr>
            <w:tcW w:w="1364" w:type="dxa"/>
          </w:tcPr>
          <w:p w14:paraId="7A0D4A90" w14:textId="7608732B" w:rsidR="001364E5" w:rsidRPr="00982E7B" w:rsidRDefault="001364E5" w:rsidP="00C90695">
            <w:pPr>
              <w:pStyle w:val="TableofAuthorities"/>
            </w:pPr>
            <w:r w:rsidRPr="00982E7B">
              <w:t>Scale (providers)</w:t>
            </w:r>
          </w:p>
        </w:tc>
        <w:tc>
          <w:tcPr>
            <w:tcW w:w="7283" w:type="dxa"/>
          </w:tcPr>
          <w:p w14:paraId="6AF26594" w14:textId="3D372831" w:rsidR="001364E5" w:rsidRPr="00982E7B" w:rsidRDefault="001364E5" w:rsidP="00C90695">
            <w:pPr>
              <w:pStyle w:val="TableofAuthorities"/>
            </w:pPr>
            <w:r w:rsidRPr="00982E7B">
              <w:t xml:space="preserve">Refers to the number of facilities operated by a residential care </w:t>
            </w:r>
            <w:proofErr w:type="gramStart"/>
            <w:r w:rsidRPr="00982E7B">
              <w:t>provider</w:t>
            </w:r>
            <w:proofErr w:type="gramEnd"/>
            <w:r w:rsidRPr="00982E7B">
              <w:t xml:space="preserve"> or the number of services operated by a home care provider.</w:t>
            </w:r>
          </w:p>
        </w:tc>
      </w:tr>
      <w:tr w:rsidR="00DA76B8" w:rsidRPr="00DA76B8" w14:paraId="079356A3" w14:textId="77777777" w:rsidTr="00FD08AF">
        <w:trPr>
          <w:trHeight w:val="109"/>
        </w:trPr>
        <w:tc>
          <w:tcPr>
            <w:tcW w:w="1364" w:type="dxa"/>
          </w:tcPr>
          <w:p w14:paraId="78A80C98" w14:textId="3A6F6536" w:rsidR="001364E5" w:rsidRPr="00982E7B" w:rsidRDefault="001364E5" w:rsidP="00C90695">
            <w:pPr>
              <w:pStyle w:val="TableofAuthorities"/>
            </w:pPr>
            <w:r w:rsidRPr="00982E7B">
              <w:t>Size (providers)</w:t>
            </w:r>
          </w:p>
        </w:tc>
        <w:tc>
          <w:tcPr>
            <w:tcW w:w="7283" w:type="dxa"/>
          </w:tcPr>
          <w:p w14:paraId="61F8243E" w14:textId="5E8A92B8" w:rsidR="001364E5" w:rsidRPr="00982E7B" w:rsidRDefault="001364E5" w:rsidP="00C90695">
            <w:pPr>
              <w:pStyle w:val="TableofAuthorities"/>
            </w:pPr>
            <w:r w:rsidRPr="00982E7B">
              <w:t>Refers to the number of beds operated by a single residential aged care facility.</w:t>
            </w:r>
          </w:p>
        </w:tc>
      </w:tr>
      <w:tr w:rsidR="00DA76B8" w:rsidRPr="00DA76B8" w14:paraId="6FAB24B5" w14:textId="77777777" w:rsidTr="00FD08AF">
        <w:trPr>
          <w:trHeight w:val="109"/>
        </w:trPr>
        <w:tc>
          <w:tcPr>
            <w:tcW w:w="1364" w:type="dxa"/>
          </w:tcPr>
          <w:p w14:paraId="2BA3054E" w14:textId="13AC2905" w:rsidR="001364E5" w:rsidRPr="00982E7B" w:rsidRDefault="001364E5" w:rsidP="00C90695">
            <w:pPr>
              <w:pStyle w:val="TableofAuthorities"/>
            </w:pPr>
            <w:r w:rsidRPr="00982E7B">
              <w:t>Supported residents</w:t>
            </w:r>
          </w:p>
        </w:tc>
        <w:tc>
          <w:tcPr>
            <w:tcW w:w="7283" w:type="dxa"/>
          </w:tcPr>
          <w:p w14:paraId="280F57E1" w14:textId="4EAE62A2" w:rsidR="001364E5" w:rsidRPr="00982E7B" w:rsidRDefault="001364E5" w:rsidP="00C90695">
            <w:pPr>
              <w:pStyle w:val="TableofAuthorities"/>
            </w:pPr>
            <w:r w:rsidRPr="00982E7B">
              <w:t>Residents who have been assessed (based on a means test) as eligible for full Government assistance with their care and accommodation costs. Supported residents only pay a basic daily fee.</w:t>
            </w:r>
          </w:p>
        </w:tc>
      </w:tr>
      <w:tr w:rsidR="00DA76B8" w:rsidRPr="00DA76B8" w14:paraId="52B4D787" w14:textId="77777777" w:rsidTr="00FD08AF">
        <w:trPr>
          <w:trHeight w:val="214"/>
        </w:trPr>
        <w:tc>
          <w:tcPr>
            <w:tcW w:w="1364" w:type="dxa"/>
          </w:tcPr>
          <w:p w14:paraId="2583C90C" w14:textId="7EBD2CE2" w:rsidR="001364E5" w:rsidRPr="00982E7B" w:rsidRDefault="001364E5" w:rsidP="00C90695">
            <w:pPr>
              <w:pStyle w:val="TableofAuthorities"/>
            </w:pPr>
            <w:r w:rsidRPr="00982E7B">
              <w:t>Survey of Aged Care Homes (SACH)</w:t>
            </w:r>
          </w:p>
        </w:tc>
        <w:tc>
          <w:tcPr>
            <w:tcW w:w="7283" w:type="dxa"/>
          </w:tcPr>
          <w:p w14:paraId="4BC4A9D9" w14:textId="3A6FC7F2" w:rsidR="001364E5" w:rsidRPr="00982E7B" w:rsidRDefault="001364E5" w:rsidP="00C90695">
            <w:pPr>
              <w:pStyle w:val="TableofAuthorities"/>
            </w:pPr>
            <w:r w:rsidRPr="00982E7B">
              <w:t>Each year SACH seeks information on accommodation payments and planned and actual building activity during the previous financial year for each operating residential aged care service.</w:t>
            </w:r>
          </w:p>
        </w:tc>
      </w:tr>
      <w:tr w:rsidR="00DA76B8" w:rsidRPr="00DA76B8" w14:paraId="6A2ED1A8" w14:textId="77777777" w:rsidTr="00FD08AF">
        <w:trPr>
          <w:trHeight w:val="1410"/>
        </w:trPr>
        <w:tc>
          <w:tcPr>
            <w:tcW w:w="1364" w:type="dxa"/>
          </w:tcPr>
          <w:p w14:paraId="27B78161" w14:textId="212DFA3E" w:rsidR="001364E5" w:rsidRPr="00982E7B" w:rsidRDefault="001364E5" w:rsidP="00C90695">
            <w:pPr>
              <w:pStyle w:val="TableofAuthorities"/>
            </w:pPr>
            <w:r w:rsidRPr="00982E7B">
              <w:t>Target provision ratio</w:t>
            </w:r>
          </w:p>
        </w:tc>
        <w:tc>
          <w:tcPr>
            <w:tcW w:w="7283" w:type="dxa"/>
          </w:tcPr>
          <w:p w14:paraId="45EB2D1F" w14:textId="7BE5D8B0" w:rsidR="001364E5" w:rsidRPr="00982E7B" w:rsidRDefault="001364E5" w:rsidP="00C90695">
            <w:pPr>
              <w:pStyle w:val="TableofAuthorities"/>
            </w:pPr>
            <w:r w:rsidRPr="00982E7B">
              <w:t>The Australian Government target of subsidised operational residential care places and allocated home care packages. These targets are based on the number of persons for every 1,000 people aged 70 years or over. The population-based provision formula ensures that the supply of services increases in line with the ageing of the population.</w:t>
            </w:r>
          </w:p>
        </w:tc>
      </w:tr>
      <w:tr w:rsidR="00DA76B8" w:rsidRPr="00DA76B8" w14:paraId="0AD2364D" w14:textId="77777777" w:rsidTr="00FD08AF">
        <w:trPr>
          <w:trHeight w:val="109"/>
        </w:trPr>
        <w:tc>
          <w:tcPr>
            <w:tcW w:w="1364" w:type="dxa"/>
          </w:tcPr>
          <w:p w14:paraId="3AC462DD" w14:textId="3D79ECAF" w:rsidR="001364E5" w:rsidRPr="00EA6AC9" w:rsidRDefault="001364E5" w:rsidP="00C90695">
            <w:pPr>
              <w:pStyle w:val="TableofAuthorities"/>
            </w:pPr>
            <w:r w:rsidRPr="00EA6AC9">
              <w:t>Transition care</w:t>
            </w:r>
          </w:p>
        </w:tc>
        <w:tc>
          <w:tcPr>
            <w:tcW w:w="7283" w:type="dxa"/>
          </w:tcPr>
          <w:p w14:paraId="1B11896F" w14:textId="0979BEB5" w:rsidR="001364E5" w:rsidRPr="00EA6AC9" w:rsidRDefault="001364E5" w:rsidP="00C90695">
            <w:pPr>
              <w:pStyle w:val="TableofAuthorities"/>
            </w:pPr>
            <w:r w:rsidRPr="00EA6AC9">
              <w:t>For those requiring time-limited, goal-</w:t>
            </w:r>
            <w:proofErr w:type="gramStart"/>
            <w:r w:rsidRPr="00EA6AC9">
              <w:t>oriented</w:t>
            </w:r>
            <w:proofErr w:type="gramEnd"/>
            <w:r w:rsidRPr="00EA6AC9">
              <w:t xml:space="preserve"> and therapy-focused packages of services after a hospital stay.</w:t>
            </w:r>
          </w:p>
        </w:tc>
      </w:tr>
      <w:tr w:rsidR="00DA76B8" w:rsidRPr="00DA76B8" w14:paraId="6A6D69DF" w14:textId="77777777" w:rsidTr="00FD08AF">
        <w:trPr>
          <w:trHeight w:val="1410"/>
        </w:trPr>
        <w:tc>
          <w:tcPr>
            <w:tcW w:w="1364" w:type="dxa"/>
          </w:tcPr>
          <w:p w14:paraId="3C7D3B74" w14:textId="0283710C" w:rsidR="001364E5" w:rsidRPr="00EA6AC9" w:rsidRDefault="001364E5" w:rsidP="00C90695">
            <w:pPr>
              <w:pStyle w:val="TableofAuthorities"/>
            </w:pPr>
            <w:r w:rsidRPr="00EA6AC9">
              <w:lastRenderedPageBreak/>
              <w:t>Viability supplement</w:t>
            </w:r>
          </w:p>
        </w:tc>
        <w:tc>
          <w:tcPr>
            <w:tcW w:w="7283" w:type="dxa"/>
          </w:tcPr>
          <w:p w14:paraId="2B5EAF07" w14:textId="07949575" w:rsidR="001364E5" w:rsidRPr="00EA6AC9" w:rsidRDefault="001364E5" w:rsidP="00C90695">
            <w:pPr>
              <w:pStyle w:val="TableofAuthorities"/>
            </w:pPr>
            <w:r w:rsidRPr="00EA6AC9">
              <w:t xml:space="preserve">The viability supplement aims to improve the financial position of smaller, </w:t>
            </w:r>
            <w:proofErr w:type="gramStart"/>
            <w:r w:rsidRPr="00EA6AC9">
              <w:t>rural</w:t>
            </w:r>
            <w:proofErr w:type="gramEnd"/>
            <w:r w:rsidRPr="00EA6AC9">
              <w:t xml:space="preserve"> and remote aged care services that incur additional costs due to their location and are constrained in their ability to realise economies of scale due to smaller numbers of care recipients. The viability supplement also provides additional funding for residential care providers who specialise in services to First Nations Australians, or people who are homeless, or who are at risk of becoming homeless, in recognition of the </w:t>
            </w:r>
            <w:proofErr w:type="gramStart"/>
            <w:r w:rsidRPr="00EA6AC9">
              <w:t>often higher</w:t>
            </w:r>
            <w:proofErr w:type="gramEnd"/>
            <w:r w:rsidRPr="00EA6AC9">
              <w:t xml:space="preserve"> costs associated with providing specialised care.</w:t>
            </w:r>
          </w:p>
        </w:tc>
      </w:tr>
      <w:tr w:rsidR="00DA76B8" w:rsidRPr="00DA76B8" w14:paraId="0973C9E2" w14:textId="77777777" w:rsidTr="00FD08AF">
        <w:trPr>
          <w:trHeight w:val="109"/>
        </w:trPr>
        <w:tc>
          <w:tcPr>
            <w:tcW w:w="1364" w:type="dxa"/>
          </w:tcPr>
          <w:p w14:paraId="25374F63" w14:textId="3A148831" w:rsidR="001364E5" w:rsidRPr="00EA6AC9" w:rsidRDefault="001364E5" w:rsidP="00C90695">
            <w:pPr>
              <w:pStyle w:val="TableofAuthorities"/>
            </w:pPr>
            <w:r w:rsidRPr="00EA6AC9">
              <w:t>Working Capital</w:t>
            </w:r>
          </w:p>
        </w:tc>
        <w:tc>
          <w:tcPr>
            <w:tcW w:w="7283" w:type="dxa"/>
          </w:tcPr>
          <w:p w14:paraId="55ED3E17" w14:textId="40B99645" w:rsidR="001364E5" w:rsidRPr="00EA6AC9" w:rsidRDefault="001364E5" w:rsidP="00C90695">
            <w:pPr>
              <w:pStyle w:val="TableofAuthorities"/>
            </w:pPr>
            <w:r w:rsidRPr="00EA6AC9">
              <w:t xml:space="preserve">Defined as current assets </w:t>
            </w:r>
            <w:proofErr w:type="gramStart"/>
            <w:r w:rsidRPr="00EA6AC9">
              <w:t>less</w:t>
            </w:r>
            <w:proofErr w:type="gramEnd"/>
            <w:r w:rsidRPr="00EA6AC9">
              <w:t xml:space="preserve"> current liabilities.</w:t>
            </w:r>
          </w:p>
        </w:tc>
      </w:tr>
    </w:tbl>
    <w:p w14:paraId="189705EC" w14:textId="0E56C27D" w:rsidR="00B44EFB" w:rsidRPr="00DA76B8" w:rsidRDefault="00B44EFB" w:rsidP="00DB2FB1">
      <w:pPr>
        <w:sectPr w:rsidR="00B44EFB" w:rsidRPr="00DA76B8" w:rsidSect="000D706A">
          <w:headerReference w:type="even" r:id="rId135"/>
          <w:headerReference w:type="default" r:id="rId136"/>
          <w:footerReference w:type="even" r:id="rId137"/>
          <w:footerReference w:type="default" r:id="rId138"/>
          <w:headerReference w:type="first" r:id="rId139"/>
          <w:pgSz w:w="11906" w:h="16838"/>
          <w:pgMar w:top="1701" w:right="1418" w:bottom="1418" w:left="1418" w:header="709" w:footer="709" w:gutter="0"/>
          <w:cols w:space="708"/>
          <w:docGrid w:linePitch="360"/>
        </w:sectPr>
      </w:pPr>
    </w:p>
    <w:p w14:paraId="78B8DCD6" w14:textId="6A26D01B" w:rsidR="00FE5419" w:rsidRPr="00400313" w:rsidRDefault="004F5D31" w:rsidP="008A6FDC">
      <w:pPr>
        <w:pStyle w:val="Heading1nonumber"/>
      </w:pPr>
      <w:bookmarkStart w:id="348" w:name="_Toc149245332"/>
      <w:r w:rsidRPr="00400313">
        <w:lastRenderedPageBreak/>
        <w:t>Charts</w:t>
      </w:r>
      <w:r w:rsidR="00CB4F37" w:rsidRPr="00400313">
        <w:t xml:space="preserve">, </w:t>
      </w:r>
      <w:proofErr w:type="gramStart"/>
      <w:r w:rsidR="00CB4F37" w:rsidRPr="00400313">
        <w:t>tables</w:t>
      </w:r>
      <w:proofErr w:type="gramEnd"/>
      <w:r w:rsidR="00625914" w:rsidRPr="00400313">
        <w:t xml:space="preserve"> </w:t>
      </w:r>
      <w:r w:rsidR="00CB4F37" w:rsidRPr="00400313">
        <w:t>and</w:t>
      </w:r>
      <w:r w:rsidR="00A21C96" w:rsidRPr="00400313">
        <w:t xml:space="preserve"> </w:t>
      </w:r>
      <w:r w:rsidR="00CB4F37" w:rsidRPr="00400313">
        <w:t>figures inde</w:t>
      </w:r>
      <w:r w:rsidR="00FE5419" w:rsidRPr="00400313">
        <w:t>x</w:t>
      </w:r>
      <w:bookmarkEnd w:id="348"/>
    </w:p>
    <w:p w14:paraId="6E76B92A" w14:textId="6961C48D" w:rsidR="000B427C" w:rsidRPr="000B427C" w:rsidRDefault="000B427C" w:rsidP="00EA246C">
      <w:pPr>
        <w:pStyle w:val="Heading2nonumbers"/>
      </w:pPr>
      <w:bookmarkStart w:id="349" w:name="_Toc149245333"/>
      <w:r>
        <w:t>Charts</w:t>
      </w:r>
      <w:bookmarkEnd w:id="349"/>
    </w:p>
    <w:p w14:paraId="572E989C" w14:textId="39AD871E" w:rsidR="00823630" w:rsidRPr="008E2604" w:rsidRDefault="00071C8D" w:rsidP="008C1DD1">
      <w:pPr>
        <w:tabs>
          <w:tab w:val="left" w:pos="8647"/>
        </w:tabs>
        <w:rPr>
          <w:rFonts w:eastAsiaTheme="minorEastAsia"/>
          <w:noProof/>
        </w:rPr>
      </w:pPr>
      <w:r w:rsidRPr="008E2604">
        <w:fldChar w:fldCharType="begin"/>
      </w:r>
      <w:r w:rsidRPr="008E2604">
        <w:instrText xml:space="preserve"> TOC \h \z \c "Chart" </w:instrText>
      </w:r>
      <w:r w:rsidRPr="008E2604">
        <w:fldChar w:fldCharType="separate"/>
      </w:r>
      <w:hyperlink w:anchor="_Toc149245202" w:history="1">
        <w:r w:rsidR="00823630" w:rsidRPr="008E2604">
          <w:rPr>
            <w:rStyle w:val="Hyperlink"/>
            <w:noProof/>
          </w:rPr>
          <w:t>Chart 1.1: Median and average length of stay in home care, by year of exit, 2014-15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_Toc149245202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25</w:t>
        </w:r>
        <w:r w:rsidR="00823630" w:rsidRPr="008E2604">
          <w:rPr>
            <w:rStyle w:val="Hyperlink"/>
            <w:noProof/>
            <w:webHidden/>
          </w:rPr>
          <w:fldChar w:fldCharType="end"/>
        </w:r>
      </w:hyperlink>
    </w:p>
    <w:p w14:paraId="31A18A1D" w14:textId="4AA7B0F2" w:rsidR="00823630" w:rsidRPr="008E2604" w:rsidRDefault="00502D88" w:rsidP="008C1DD1">
      <w:pPr>
        <w:tabs>
          <w:tab w:val="left" w:pos="8647"/>
        </w:tabs>
        <w:rPr>
          <w:rFonts w:eastAsiaTheme="minorEastAsia"/>
          <w:noProof/>
        </w:rPr>
      </w:pPr>
      <w:hyperlink w:anchor="_Toc149245203" w:history="1">
        <w:r w:rsidR="00823630" w:rsidRPr="008E2604">
          <w:rPr>
            <w:rStyle w:val="Hyperlink"/>
            <w:noProof/>
          </w:rPr>
          <w:t>Chart 1.2: Cumulative proportion of home care recipients leaving home care during their first year by year of entry,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_Toc149245203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26</w:t>
        </w:r>
        <w:r w:rsidR="00823630" w:rsidRPr="008E2604">
          <w:rPr>
            <w:rStyle w:val="Hyperlink"/>
            <w:noProof/>
            <w:webHidden/>
          </w:rPr>
          <w:fldChar w:fldCharType="end"/>
        </w:r>
      </w:hyperlink>
    </w:p>
    <w:p w14:paraId="1D3C5487" w14:textId="6EF04B9D" w:rsidR="00823630" w:rsidRPr="008E2604" w:rsidRDefault="00502D88" w:rsidP="008C1DD1">
      <w:pPr>
        <w:tabs>
          <w:tab w:val="left" w:pos="8647"/>
        </w:tabs>
        <w:rPr>
          <w:rFonts w:eastAsiaTheme="minorEastAsia"/>
          <w:noProof/>
        </w:rPr>
      </w:pPr>
      <w:hyperlink w:anchor="_Toc149245204" w:history="1">
        <w:r w:rsidR="00823630" w:rsidRPr="008E2604">
          <w:rPr>
            <w:rStyle w:val="Hyperlink"/>
            <w:noProof/>
          </w:rPr>
          <w:t>Chart 1.3: Australian Government expenditure on home care,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_Toc149245204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27</w:t>
        </w:r>
        <w:r w:rsidR="00823630" w:rsidRPr="008E2604">
          <w:rPr>
            <w:rStyle w:val="Hyperlink"/>
            <w:noProof/>
            <w:webHidden/>
          </w:rPr>
          <w:fldChar w:fldCharType="end"/>
        </w:r>
      </w:hyperlink>
    </w:p>
    <w:p w14:paraId="2E83784A" w14:textId="50329B08" w:rsidR="00823630" w:rsidRPr="008E2604" w:rsidRDefault="00502D88" w:rsidP="008C1DD1">
      <w:pPr>
        <w:tabs>
          <w:tab w:val="left" w:pos="8647"/>
        </w:tabs>
        <w:rPr>
          <w:rFonts w:eastAsiaTheme="minorEastAsia"/>
          <w:noProof/>
        </w:rPr>
      </w:pPr>
      <w:hyperlink w:anchor="_Toc149245205" w:history="1">
        <w:r w:rsidR="00823630" w:rsidRPr="008E2604">
          <w:rPr>
            <w:rStyle w:val="Hyperlink"/>
            <w:noProof/>
          </w:rPr>
          <w:t>Chart 1.4: Summary of financial performance of home care providers, per recipient per year,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_Toc149245205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34</w:t>
        </w:r>
        <w:r w:rsidR="00823630" w:rsidRPr="008E2604">
          <w:rPr>
            <w:rStyle w:val="Hyperlink"/>
            <w:noProof/>
            <w:webHidden/>
          </w:rPr>
          <w:fldChar w:fldCharType="end"/>
        </w:r>
      </w:hyperlink>
    </w:p>
    <w:p w14:paraId="04AA8009" w14:textId="3607D1D6" w:rsidR="00823630" w:rsidRPr="008E2604" w:rsidRDefault="00502D88" w:rsidP="008C1DD1">
      <w:pPr>
        <w:tabs>
          <w:tab w:val="left" w:pos="8647"/>
        </w:tabs>
        <w:rPr>
          <w:rFonts w:eastAsiaTheme="minorEastAsia"/>
          <w:noProof/>
        </w:rPr>
      </w:pPr>
      <w:hyperlink w:anchor="_Toc149245206" w:history="1">
        <w:r w:rsidR="00823630" w:rsidRPr="008E2604">
          <w:rPr>
            <w:rStyle w:val="Hyperlink"/>
            <w:noProof/>
          </w:rPr>
          <w:t>Chart 1.5: Home care average EBITDA per recipient, by quartile (number of providers in parentheses),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_Toc149245206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35</w:t>
        </w:r>
        <w:r w:rsidR="00823630" w:rsidRPr="008E2604">
          <w:rPr>
            <w:rStyle w:val="Hyperlink"/>
            <w:noProof/>
            <w:webHidden/>
          </w:rPr>
          <w:fldChar w:fldCharType="end"/>
        </w:r>
      </w:hyperlink>
    </w:p>
    <w:p w14:paraId="1BFE81E2" w14:textId="3CF69B36" w:rsidR="00823630" w:rsidRPr="008E2604" w:rsidRDefault="00502D88" w:rsidP="008C1DD1">
      <w:pPr>
        <w:tabs>
          <w:tab w:val="left" w:pos="8647"/>
        </w:tabs>
        <w:rPr>
          <w:rFonts w:eastAsiaTheme="minorEastAsia"/>
          <w:noProof/>
        </w:rPr>
      </w:pPr>
      <w:hyperlink w:anchor="_Toc149245207" w:history="1">
        <w:r w:rsidR="00823630" w:rsidRPr="008E2604">
          <w:rPr>
            <w:rStyle w:val="Hyperlink"/>
            <w:noProof/>
          </w:rPr>
          <w:t>Chart 1.6: Home care average EBITDA per recipient per year, by ownership type,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_Toc149245207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35</w:t>
        </w:r>
        <w:r w:rsidR="00823630" w:rsidRPr="008E2604">
          <w:rPr>
            <w:rStyle w:val="Hyperlink"/>
            <w:noProof/>
            <w:webHidden/>
          </w:rPr>
          <w:fldChar w:fldCharType="end"/>
        </w:r>
      </w:hyperlink>
    </w:p>
    <w:p w14:paraId="0DC97FD0" w14:textId="29E3574A" w:rsidR="00823630" w:rsidRPr="008E2604" w:rsidRDefault="00502D88" w:rsidP="008C1DD1">
      <w:pPr>
        <w:tabs>
          <w:tab w:val="left" w:pos="8647"/>
        </w:tabs>
        <w:rPr>
          <w:rFonts w:eastAsiaTheme="minorEastAsia"/>
          <w:noProof/>
        </w:rPr>
      </w:pPr>
      <w:hyperlink w:anchor="_Toc149245208" w:history="1">
        <w:r w:rsidR="00823630" w:rsidRPr="008E2604">
          <w:rPr>
            <w:rStyle w:val="Hyperlink"/>
            <w:noProof/>
          </w:rPr>
          <w:t>Chart 1.7: Home care average EBITDA per recipient per year, by quartile and ownership type, 2021-22 (number of providers in parentheses)</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_Toc149245208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36</w:t>
        </w:r>
        <w:r w:rsidR="00823630" w:rsidRPr="008E2604">
          <w:rPr>
            <w:rStyle w:val="Hyperlink"/>
            <w:noProof/>
            <w:webHidden/>
          </w:rPr>
          <w:fldChar w:fldCharType="end"/>
        </w:r>
      </w:hyperlink>
    </w:p>
    <w:p w14:paraId="063917B2" w14:textId="3121EF8B" w:rsidR="00823630" w:rsidRPr="008E2604" w:rsidRDefault="00502D88" w:rsidP="008C1DD1">
      <w:pPr>
        <w:tabs>
          <w:tab w:val="left" w:pos="8647"/>
        </w:tabs>
        <w:rPr>
          <w:rFonts w:eastAsiaTheme="minorEastAsia"/>
          <w:noProof/>
        </w:rPr>
      </w:pPr>
      <w:hyperlink w:anchor="_Toc149245209" w:history="1">
        <w:r w:rsidR="00823630" w:rsidRPr="008E2604">
          <w:rPr>
            <w:rStyle w:val="Hyperlink"/>
            <w:noProof/>
          </w:rPr>
          <w:t>Chart 1.8: Home care average EBITDA per recipient, by provider location,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_Toc149245209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37</w:t>
        </w:r>
        <w:r w:rsidR="00823630" w:rsidRPr="008E2604">
          <w:rPr>
            <w:rStyle w:val="Hyperlink"/>
            <w:noProof/>
            <w:webHidden/>
          </w:rPr>
          <w:fldChar w:fldCharType="end"/>
        </w:r>
      </w:hyperlink>
    </w:p>
    <w:p w14:paraId="574EC5EE" w14:textId="18556429" w:rsidR="00823630" w:rsidRPr="008C1DD1" w:rsidRDefault="00502D88" w:rsidP="008C1DD1">
      <w:pPr>
        <w:tabs>
          <w:tab w:val="left" w:pos="8647"/>
        </w:tabs>
        <w:rPr>
          <w:rFonts w:eastAsiaTheme="minorEastAsia"/>
        </w:rPr>
      </w:pPr>
      <w:hyperlink w:anchor="_Toc149245210" w:history="1">
        <w:r w:rsidR="00823630" w:rsidRPr="008E2604">
          <w:rPr>
            <w:rStyle w:val="Hyperlink"/>
            <w:noProof/>
          </w:rPr>
          <w:t>Chart 1.9: Home care average EBITDA per recipient per year, by quartile and provider location, 2021-22 (number of providers in parentheses)</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_Toc149245210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37</w:t>
        </w:r>
        <w:r w:rsidR="00823630" w:rsidRPr="008E2604">
          <w:rPr>
            <w:rStyle w:val="Hyperlink"/>
            <w:noProof/>
            <w:webHidden/>
          </w:rPr>
          <w:fldChar w:fldCharType="end"/>
        </w:r>
      </w:hyperlink>
    </w:p>
    <w:p w14:paraId="040C1322" w14:textId="01C876CF" w:rsidR="00823630" w:rsidRPr="008C1DD1" w:rsidRDefault="00502D88" w:rsidP="008C1DD1">
      <w:pPr>
        <w:tabs>
          <w:tab w:val="left" w:pos="8647"/>
        </w:tabs>
        <w:rPr>
          <w:rFonts w:eastAsiaTheme="minorEastAsia"/>
        </w:rPr>
      </w:pPr>
      <w:hyperlink w:anchor="_Toc149245211" w:history="1">
        <w:r w:rsidR="00823630" w:rsidRPr="008E2604">
          <w:rPr>
            <w:rStyle w:val="Hyperlink"/>
            <w:noProof/>
          </w:rPr>
          <w:t>Chart 1.10: Home care average EBITDA per recipient per year, by provider scale,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_Toc149245211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38</w:t>
        </w:r>
        <w:r w:rsidR="00823630" w:rsidRPr="008E2604">
          <w:rPr>
            <w:rStyle w:val="Hyperlink"/>
            <w:noProof/>
            <w:webHidden/>
          </w:rPr>
          <w:fldChar w:fldCharType="end"/>
        </w:r>
      </w:hyperlink>
    </w:p>
    <w:p w14:paraId="5E46A065" w14:textId="26BC9E71" w:rsidR="00823630" w:rsidRPr="008C1DD1" w:rsidRDefault="00502D88" w:rsidP="008C1DD1">
      <w:pPr>
        <w:tabs>
          <w:tab w:val="left" w:pos="8647"/>
        </w:tabs>
        <w:rPr>
          <w:rFonts w:eastAsiaTheme="minorEastAsia"/>
        </w:rPr>
      </w:pPr>
      <w:hyperlink w:anchor="_Toc149245212" w:history="1">
        <w:r w:rsidR="00823630" w:rsidRPr="008E2604">
          <w:rPr>
            <w:rStyle w:val="Hyperlink"/>
            <w:noProof/>
          </w:rPr>
          <w:t>Chart 1.11: Home care average EBITDA per recipient per year, by quartile and provider scale (number of providers in parentheses),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_Toc149245212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39</w:t>
        </w:r>
        <w:r w:rsidR="00823630" w:rsidRPr="008E2604">
          <w:rPr>
            <w:rStyle w:val="Hyperlink"/>
            <w:noProof/>
            <w:webHidden/>
          </w:rPr>
          <w:fldChar w:fldCharType="end"/>
        </w:r>
      </w:hyperlink>
    </w:p>
    <w:p w14:paraId="56842080" w14:textId="7D6E8BC4" w:rsidR="00823630" w:rsidRPr="008C1DD1" w:rsidRDefault="00502D88" w:rsidP="008C1DD1">
      <w:pPr>
        <w:tabs>
          <w:tab w:val="left" w:pos="8647"/>
        </w:tabs>
        <w:rPr>
          <w:rFonts w:eastAsiaTheme="minorEastAsia"/>
        </w:rPr>
      </w:pPr>
      <w:hyperlink w:anchor="_Toc149245213" w:history="1">
        <w:r w:rsidR="00823630" w:rsidRPr="008E2604">
          <w:rPr>
            <w:rStyle w:val="Hyperlink"/>
            <w:noProof/>
          </w:rPr>
          <w:t>Chart 2.1: Average paid care minutes per resident per day, by ownership type,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_Toc149245213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42</w:t>
        </w:r>
        <w:r w:rsidR="00823630" w:rsidRPr="008E2604">
          <w:rPr>
            <w:rStyle w:val="Hyperlink"/>
            <w:noProof/>
            <w:webHidden/>
          </w:rPr>
          <w:fldChar w:fldCharType="end"/>
        </w:r>
      </w:hyperlink>
    </w:p>
    <w:p w14:paraId="25DFB83A" w14:textId="6F873D41" w:rsidR="00823630" w:rsidRPr="008C1DD1" w:rsidRDefault="00502D88" w:rsidP="008C1DD1">
      <w:pPr>
        <w:tabs>
          <w:tab w:val="left" w:pos="8647"/>
        </w:tabs>
        <w:rPr>
          <w:rFonts w:eastAsiaTheme="minorEastAsia"/>
        </w:rPr>
      </w:pPr>
      <w:hyperlink w:anchor="_Toc149245214" w:history="1">
        <w:r w:rsidR="00823630" w:rsidRPr="008E2604">
          <w:rPr>
            <w:rStyle w:val="Hyperlink"/>
            <w:noProof/>
          </w:rPr>
          <w:t>Chart 2.2: Proportion of residents entering permanent residential care after leaving home care, 2013-14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_Toc149245214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43</w:t>
        </w:r>
        <w:r w:rsidR="00823630" w:rsidRPr="008E2604">
          <w:rPr>
            <w:rStyle w:val="Hyperlink"/>
            <w:noProof/>
            <w:webHidden/>
          </w:rPr>
          <w:fldChar w:fldCharType="end"/>
        </w:r>
      </w:hyperlink>
    </w:p>
    <w:p w14:paraId="12AB47DD" w14:textId="137E9B43" w:rsidR="00823630" w:rsidRPr="008C1DD1" w:rsidRDefault="00502D88" w:rsidP="008C1DD1">
      <w:pPr>
        <w:tabs>
          <w:tab w:val="left" w:pos="8647"/>
        </w:tabs>
        <w:rPr>
          <w:rFonts w:eastAsiaTheme="minorEastAsia"/>
        </w:rPr>
      </w:pPr>
      <w:hyperlink w:anchor="_Toc149245215" w:history="1">
        <w:r w:rsidR="00823630" w:rsidRPr="008E2604">
          <w:rPr>
            <w:rStyle w:val="Hyperlink"/>
            <w:noProof/>
          </w:rPr>
          <w:t>Chart 2.3: Average length of stay in residential care, by gender and year of entry, 2012-13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_Toc149245215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44</w:t>
        </w:r>
        <w:r w:rsidR="00823630" w:rsidRPr="008E2604">
          <w:rPr>
            <w:rStyle w:val="Hyperlink"/>
            <w:noProof/>
            <w:webHidden/>
          </w:rPr>
          <w:fldChar w:fldCharType="end"/>
        </w:r>
      </w:hyperlink>
    </w:p>
    <w:p w14:paraId="4FF0A501" w14:textId="42B1F56A" w:rsidR="00823630" w:rsidRPr="008E2604" w:rsidRDefault="00502D88" w:rsidP="008C1DD1">
      <w:pPr>
        <w:tabs>
          <w:tab w:val="left" w:pos="8647"/>
        </w:tabs>
        <w:rPr>
          <w:rFonts w:eastAsiaTheme="minorEastAsia"/>
          <w:noProof/>
        </w:rPr>
      </w:pPr>
      <w:hyperlink w:anchor="_Toc149245216" w:history="1">
        <w:r w:rsidR="00823630" w:rsidRPr="008E2604">
          <w:rPr>
            <w:rStyle w:val="Hyperlink"/>
            <w:noProof/>
          </w:rPr>
          <w:t>Chart 2.4: Proportion of permanent residents that leave within 3, 6 or 12 months of first entry, 2011-12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_Toc149245216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44</w:t>
        </w:r>
        <w:r w:rsidR="00823630" w:rsidRPr="008E2604">
          <w:rPr>
            <w:rStyle w:val="Hyperlink"/>
            <w:noProof/>
            <w:webHidden/>
          </w:rPr>
          <w:fldChar w:fldCharType="end"/>
        </w:r>
      </w:hyperlink>
    </w:p>
    <w:p w14:paraId="5DF6E849" w14:textId="30E8CA9E" w:rsidR="00823630" w:rsidRPr="008E2604" w:rsidRDefault="00502D88" w:rsidP="008C1DD1">
      <w:pPr>
        <w:tabs>
          <w:tab w:val="left" w:pos="8647"/>
        </w:tabs>
        <w:rPr>
          <w:rFonts w:eastAsiaTheme="minorEastAsia"/>
          <w:noProof/>
        </w:rPr>
      </w:pPr>
      <w:hyperlink w:anchor="_Toc149245217" w:history="1">
        <w:r w:rsidR="00823630" w:rsidRPr="008E2604">
          <w:rPr>
            <w:rStyle w:val="Hyperlink"/>
            <w:noProof/>
          </w:rPr>
          <w:t>Chart 2.5: Average length of stay (days) in residential respite care,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_Toc149245217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45</w:t>
        </w:r>
        <w:r w:rsidR="00823630" w:rsidRPr="008E2604">
          <w:rPr>
            <w:rStyle w:val="Hyperlink"/>
            <w:noProof/>
            <w:webHidden/>
          </w:rPr>
          <w:fldChar w:fldCharType="end"/>
        </w:r>
      </w:hyperlink>
    </w:p>
    <w:p w14:paraId="643A18F3" w14:textId="76B378C1" w:rsidR="00823630" w:rsidRPr="008E2604" w:rsidRDefault="00502D88" w:rsidP="008C1DD1">
      <w:pPr>
        <w:tabs>
          <w:tab w:val="left" w:pos="8647"/>
        </w:tabs>
        <w:rPr>
          <w:rFonts w:eastAsiaTheme="minorEastAsia"/>
          <w:noProof/>
        </w:rPr>
      </w:pPr>
      <w:hyperlink w:anchor="_Toc149245218" w:history="1">
        <w:r w:rsidR="00823630" w:rsidRPr="008E2604">
          <w:rPr>
            <w:rStyle w:val="Hyperlink"/>
            <w:noProof/>
          </w:rPr>
          <w:t>Chart 2.6: Frequency of length of respite care stays,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_Toc149245218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46</w:t>
        </w:r>
        <w:r w:rsidR="00823630" w:rsidRPr="008E2604">
          <w:rPr>
            <w:rStyle w:val="Hyperlink"/>
            <w:noProof/>
            <w:webHidden/>
          </w:rPr>
          <w:fldChar w:fldCharType="end"/>
        </w:r>
      </w:hyperlink>
    </w:p>
    <w:p w14:paraId="23DC19B7" w14:textId="09EFEFA6" w:rsidR="00823630" w:rsidRPr="008E2604" w:rsidRDefault="00502D88" w:rsidP="008C1DD1">
      <w:pPr>
        <w:tabs>
          <w:tab w:val="left" w:pos="8647"/>
        </w:tabs>
        <w:rPr>
          <w:rFonts w:eastAsiaTheme="minorEastAsia"/>
          <w:noProof/>
        </w:rPr>
      </w:pPr>
      <w:hyperlink w:anchor="_Toc149245219" w:history="1">
        <w:r w:rsidR="00823630" w:rsidRPr="008C1DD1">
          <w:rPr>
            <w:rFonts w:eastAsiaTheme="minorEastAsia"/>
          </w:rPr>
          <w:t>Chart 2.7: Residential care achieved ratios, 2017-18 to 2021-22</w:t>
        </w:r>
        <w:r w:rsidR="00823630" w:rsidRPr="008C1DD1">
          <w:rPr>
            <w:rFonts w:eastAsiaTheme="minorEastAsia"/>
            <w:webHidden/>
          </w:rPr>
          <w:tab/>
        </w:r>
        <w:r w:rsidR="00823630" w:rsidRPr="008C1DD1">
          <w:rPr>
            <w:rFonts w:eastAsiaTheme="minorEastAsia"/>
            <w:webHidden/>
          </w:rPr>
          <w:fldChar w:fldCharType="begin"/>
        </w:r>
        <w:r w:rsidR="00823630" w:rsidRPr="008C1DD1">
          <w:rPr>
            <w:rFonts w:eastAsiaTheme="minorEastAsia"/>
            <w:webHidden/>
          </w:rPr>
          <w:instrText xml:space="preserve"> PAGEREF _Toc149245219 \h </w:instrText>
        </w:r>
        <w:r w:rsidR="00823630" w:rsidRPr="008C1DD1">
          <w:rPr>
            <w:rFonts w:eastAsiaTheme="minorEastAsia"/>
            <w:webHidden/>
          </w:rPr>
        </w:r>
        <w:r w:rsidR="00823630" w:rsidRPr="008C1DD1">
          <w:rPr>
            <w:rFonts w:eastAsiaTheme="minorEastAsia"/>
            <w:webHidden/>
          </w:rPr>
          <w:fldChar w:fldCharType="separate"/>
        </w:r>
        <w:r w:rsidR="000F30E9" w:rsidRPr="008C1DD1">
          <w:rPr>
            <w:rFonts w:eastAsiaTheme="minorEastAsia"/>
            <w:webHidden/>
          </w:rPr>
          <w:t>47</w:t>
        </w:r>
        <w:r w:rsidR="00823630" w:rsidRPr="008C1DD1">
          <w:rPr>
            <w:rFonts w:eastAsiaTheme="minorEastAsia"/>
            <w:webHidden/>
          </w:rPr>
          <w:fldChar w:fldCharType="end"/>
        </w:r>
      </w:hyperlink>
    </w:p>
    <w:p w14:paraId="4DD3497C" w14:textId="1ACCA871" w:rsidR="00823630" w:rsidRPr="008E2604" w:rsidRDefault="00502D88" w:rsidP="008C1DD1">
      <w:pPr>
        <w:tabs>
          <w:tab w:val="left" w:pos="8647"/>
        </w:tabs>
        <w:rPr>
          <w:rFonts w:eastAsiaTheme="minorEastAsia"/>
          <w:noProof/>
        </w:rPr>
      </w:pPr>
      <w:hyperlink w:anchor="_Toc149245220" w:history="1">
        <w:r w:rsidR="00823630" w:rsidRPr="008E2604">
          <w:rPr>
            <w:rStyle w:val="Hyperlink"/>
            <w:noProof/>
          </w:rPr>
          <w:t>Chart 3.1: Proportions of provider revenue from the Australian Government, 2021-22 ($m)</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_Toc149245220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53</w:t>
        </w:r>
        <w:r w:rsidR="00823630" w:rsidRPr="008E2604">
          <w:rPr>
            <w:rStyle w:val="Hyperlink"/>
            <w:noProof/>
            <w:webHidden/>
          </w:rPr>
          <w:fldChar w:fldCharType="end"/>
        </w:r>
      </w:hyperlink>
    </w:p>
    <w:p w14:paraId="3DB7093E" w14:textId="0FF1C0F1" w:rsidR="00823630" w:rsidRPr="008E2604" w:rsidRDefault="00502D88" w:rsidP="008C1DD1">
      <w:pPr>
        <w:tabs>
          <w:tab w:val="left" w:pos="8647"/>
        </w:tabs>
        <w:rPr>
          <w:rFonts w:eastAsiaTheme="minorEastAsia"/>
          <w:noProof/>
        </w:rPr>
      </w:pPr>
      <w:hyperlink w:anchor="_Toc149245221" w:history="1">
        <w:r w:rsidR="00823630" w:rsidRPr="008C1DD1">
          <w:rPr>
            <w:rFonts w:eastAsiaTheme="minorEastAsia"/>
          </w:rPr>
          <w:t>Chart 3.2: Total residential respite care expenditure, 2017-18 to 2021-22 ($m)</w:t>
        </w:r>
        <w:r w:rsidR="00823630" w:rsidRPr="008C1DD1">
          <w:rPr>
            <w:rFonts w:eastAsiaTheme="minorEastAsia"/>
            <w:webHidden/>
          </w:rPr>
          <w:tab/>
        </w:r>
        <w:r w:rsidR="00823630" w:rsidRPr="008C1DD1">
          <w:rPr>
            <w:rFonts w:eastAsiaTheme="minorEastAsia"/>
            <w:webHidden/>
          </w:rPr>
          <w:fldChar w:fldCharType="begin"/>
        </w:r>
        <w:r w:rsidR="00823630" w:rsidRPr="008C1DD1">
          <w:rPr>
            <w:rFonts w:eastAsiaTheme="minorEastAsia"/>
            <w:webHidden/>
          </w:rPr>
          <w:instrText xml:space="preserve"> PAGEREF _Toc149245221 \h </w:instrText>
        </w:r>
        <w:r w:rsidR="00823630" w:rsidRPr="008C1DD1">
          <w:rPr>
            <w:rFonts w:eastAsiaTheme="minorEastAsia"/>
            <w:webHidden/>
          </w:rPr>
        </w:r>
        <w:r w:rsidR="00823630" w:rsidRPr="008C1DD1">
          <w:rPr>
            <w:rFonts w:eastAsiaTheme="minorEastAsia"/>
            <w:webHidden/>
          </w:rPr>
          <w:fldChar w:fldCharType="separate"/>
        </w:r>
        <w:r w:rsidR="000F30E9" w:rsidRPr="008C1DD1">
          <w:rPr>
            <w:rFonts w:eastAsiaTheme="minorEastAsia"/>
            <w:webHidden/>
          </w:rPr>
          <w:t>54</w:t>
        </w:r>
        <w:r w:rsidR="00823630" w:rsidRPr="008C1DD1">
          <w:rPr>
            <w:rFonts w:eastAsiaTheme="minorEastAsia"/>
            <w:webHidden/>
          </w:rPr>
          <w:fldChar w:fldCharType="end"/>
        </w:r>
      </w:hyperlink>
    </w:p>
    <w:p w14:paraId="31EA5848" w14:textId="7D478252" w:rsidR="00823630" w:rsidRPr="008E2604" w:rsidRDefault="00502D88" w:rsidP="008C1DD1">
      <w:pPr>
        <w:tabs>
          <w:tab w:val="left" w:pos="8647"/>
        </w:tabs>
        <w:rPr>
          <w:rFonts w:eastAsiaTheme="minorEastAsia"/>
          <w:noProof/>
        </w:rPr>
      </w:pPr>
      <w:hyperlink w:anchor="_Toc149245222" w:history="1">
        <w:r w:rsidR="00823630" w:rsidRPr="008C1DD1">
          <w:rPr>
            <w:rFonts w:eastAsiaTheme="minorEastAsia"/>
          </w:rPr>
          <w:t>Chart 3.3: Proportions of total residential care provider revenue, 2021-22 ($m)</w:t>
        </w:r>
        <w:r w:rsidR="00823630" w:rsidRPr="008C1DD1">
          <w:rPr>
            <w:rFonts w:eastAsiaTheme="minorEastAsia"/>
            <w:webHidden/>
          </w:rPr>
          <w:tab/>
        </w:r>
        <w:r w:rsidR="00823630" w:rsidRPr="008C1DD1">
          <w:rPr>
            <w:rFonts w:eastAsiaTheme="minorEastAsia"/>
            <w:webHidden/>
          </w:rPr>
          <w:fldChar w:fldCharType="begin"/>
        </w:r>
        <w:r w:rsidR="00823630" w:rsidRPr="008C1DD1">
          <w:rPr>
            <w:rFonts w:eastAsiaTheme="minorEastAsia"/>
            <w:webHidden/>
          </w:rPr>
          <w:instrText xml:space="preserve"> PAGEREF _Toc149245222 \h </w:instrText>
        </w:r>
        <w:r w:rsidR="00823630" w:rsidRPr="008C1DD1">
          <w:rPr>
            <w:rFonts w:eastAsiaTheme="minorEastAsia"/>
            <w:webHidden/>
          </w:rPr>
        </w:r>
        <w:r w:rsidR="00823630" w:rsidRPr="008C1DD1">
          <w:rPr>
            <w:rFonts w:eastAsiaTheme="minorEastAsia"/>
            <w:webHidden/>
          </w:rPr>
          <w:fldChar w:fldCharType="separate"/>
        </w:r>
        <w:r w:rsidR="000F30E9" w:rsidRPr="008C1DD1">
          <w:rPr>
            <w:rFonts w:eastAsiaTheme="minorEastAsia"/>
            <w:webHidden/>
          </w:rPr>
          <w:t>60</w:t>
        </w:r>
        <w:r w:rsidR="00823630" w:rsidRPr="008C1DD1">
          <w:rPr>
            <w:rFonts w:eastAsiaTheme="minorEastAsia"/>
            <w:webHidden/>
          </w:rPr>
          <w:fldChar w:fldCharType="end"/>
        </w:r>
      </w:hyperlink>
    </w:p>
    <w:p w14:paraId="064983F2" w14:textId="1F3A2FE8" w:rsidR="00823630" w:rsidRPr="008E2604" w:rsidRDefault="00502D88" w:rsidP="008C1DD1">
      <w:pPr>
        <w:tabs>
          <w:tab w:val="left" w:pos="8647"/>
        </w:tabs>
        <w:rPr>
          <w:rFonts w:eastAsiaTheme="minorEastAsia"/>
          <w:noProof/>
        </w:rPr>
      </w:pPr>
      <w:hyperlink w:anchor="_Toc149245223" w:history="1">
        <w:r w:rsidR="00823630" w:rsidRPr="008C1DD1">
          <w:rPr>
            <w:rFonts w:eastAsiaTheme="minorEastAsia"/>
          </w:rPr>
          <w:t>Chart 3.4: Proportions of residential care provider revenue from residents, 2021-22 ($m)</w:t>
        </w:r>
        <w:r w:rsidR="00823630" w:rsidRPr="008C1DD1">
          <w:rPr>
            <w:rFonts w:eastAsiaTheme="minorEastAsia"/>
            <w:webHidden/>
          </w:rPr>
          <w:tab/>
        </w:r>
        <w:r w:rsidR="00823630" w:rsidRPr="008C1DD1">
          <w:rPr>
            <w:rFonts w:eastAsiaTheme="minorEastAsia"/>
            <w:webHidden/>
          </w:rPr>
          <w:fldChar w:fldCharType="begin"/>
        </w:r>
        <w:r w:rsidR="00823630" w:rsidRPr="008C1DD1">
          <w:rPr>
            <w:rFonts w:eastAsiaTheme="minorEastAsia"/>
            <w:webHidden/>
          </w:rPr>
          <w:instrText xml:space="preserve"> PAGEREF _Toc149245223 \h </w:instrText>
        </w:r>
        <w:r w:rsidR="00823630" w:rsidRPr="008C1DD1">
          <w:rPr>
            <w:rFonts w:eastAsiaTheme="minorEastAsia"/>
            <w:webHidden/>
          </w:rPr>
        </w:r>
        <w:r w:rsidR="00823630" w:rsidRPr="008C1DD1">
          <w:rPr>
            <w:rFonts w:eastAsiaTheme="minorEastAsia"/>
            <w:webHidden/>
          </w:rPr>
          <w:fldChar w:fldCharType="separate"/>
        </w:r>
        <w:r w:rsidR="000F30E9" w:rsidRPr="008C1DD1">
          <w:rPr>
            <w:rFonts w:eastAsiaTheme="minorEastAsia"/>
            <w:webHidden/>
          </w:rPr>
          <w:t>62</w:t>
        </w:r>
        <w:r w:rsidR="00823630" w:rsidRPr="008C1DD1">
          <w:rPr>
            <w:rFonts w:eastAsiaTheme="minorEastAsia"/>
            <w:webHidden/>
          </w:rPr>
          <w:fldChar w:fldCharType="end"/>
        </w:r>
      </w:hyperlink>
    </w:p>
    <w:p w14:paraId="4D57A0D2" w14:textId="68DF0715" w:rsidR="00823630" w:rsidRPr="008E2604" w:rsidRDefault="00502D88" w:rsidP="008C1DD1">
      <w:pPr>
        <w:tabs>
          <w:tab w:val="left" w:pos="8647"/>
        </w:tabs>
        <w:rPr>
          <w:rFonts w:eastAsiaTheme="minorEastAsia"/>
          <w:noProof/>
        </w:rPr>
      </w:pPr>
      <w:hyperlink w:anchor="_Toc149245224" w:history="1">
        <w:r w:rsidR="00823630" w:rsidRPr="008C1DD1">
          <w:rPr>
            <w:rFonts w:eastAsiaTheme="minorEastAsia"/>
          </w:rPr>
          <w:t>Chart 3.5: Total expenses, residential care providers, 2017-18 to 2021-22 ($b)</w:t>
        </w:r>
        <w:r w:rsidR="00823630" w:rsidRPr="008C1DD1">
          <w:rPr>
            <w:rFonts w:eastAsiaTheme="minorEastAsia"/>
            <w:webHidden/>
          </w:rPr>
          <w:tab/>
        </w:r>
        <w:r w:rsidR="00823630" w:rsidRPr="008C1DD1">
          <w:rPr>
            <w:rFonts w:eastAsiaTheme="minorEastAsia"/>
            <w:webHidden/>
          </w:rPr>
          <w:fldChar w:fldCharType="begin"/>
        </w:r>
        <w:r w:rsidR="00823630" w:rsidRPr="008C1DD1">
          <w:rPr>
            <w:rFonts w:eastAsiaTheme="minorEastAsia"/>
            <w:webHidden/>
          </w:rPr>
          <w:instrText xml:space="preserve"> PAGEREF _Toc149245224 \h </w:instrText>
        </w:r>
        <w:r w:rsidR="00823630" w:rsidRPr="008C1DD1">
          <w:rPr>
            <w:rFonts w:eastAsiaTheme="minorEastAsia"/>
            <w:webHidden/>
          </w:rPr>
        </w:r>
        <w:r w:rsidR="00823630" w:rsidRPr="008C1DD1">
          <w:rPr>
            <w:rFonts w:eastAsiaTheme="minorEastAsia"/>
            <w:webHidden/>
          </w:rPr>
          <w:fldChar w:fldCharType="separate"/>
        </w:r>
        <w:r w:rsidR="000F30E9" w:rsidRPr="008C1DD1">
          <w:rPr>
            <w:rFonts w:eastAsiaTheme="minorEastAsia"/>
            <w:webHidden/>
          </w:rPr>
          <w:t>64</w:t>
        </w:r>
        <w:r w:rsidR="00823630" w:rsidRPr="008C1DD1">
          <w:rPr>
            <w:rFonts w:eastAsiaTheme="minorEastAsia"/>
            <w:webHidden/>
          </w:rPr>
          <w:fldChar w:fldCharType="end"/>
        </w:r>
      </w:hyperlink>
    </w:p>
    <w:p w14:paraId="35C18430" w14:textId="1F96B418" w:rsidR="00823630" w:rsidRPr="008E2604" w:rsidRDefault="00502D88" w:rsidP="008C1DD1">
      <w:pPr>
        <w:tabs>
          <w:tab w:val="left" w:pos="8647"/>
        </w:tabs>
        <w:rPr>
          <w:rFonts w:eastAsiaTheme="minorEastAsia"/>
          <w:noProof/>
        </w:rPr>
      </w:pPr>
      <w:hyperlink w:anchor="_Toc149245225" w:history="1">
        <w:r w:rsidR="00823630" w:rsidRPr="008C1DD1">
          <w:rPr>
            <w:rFonts w:eastAsiaTheme="minorEastAsia"/>
          </w:rPr>
          <w:t>Chart 3.6: Proportion of residential care provider total expenses, 2021-22 ($m)</w:t>
        </w:r>
        <w:r w:rsidR="00823630" w:rsidRPr="008C1DD1">
          <w:rPr>
            <w:rFonts w:eastAsiaTheme="minorEastAsia"/>
            <w:webHidden/>
          </w:rPr>
          <w:tab/>
        </w:r>
        <w:r w:rsidR="00823630" w:rsidRPr="008C1DD1">
          <w:rPr>
            <w:rFonts w:eastAsiaTheme="minorEastAsia"/>
            <w:webHidden/>
          </w:rPr>
          <w:fldChar w:fldCharType="begin"/>
        </w:r>
        <w:r w:rsidR="00823630" w:rsidRPr="008C1DD1">
          <w:rPr>
            <w:rFonts w:eastAsiaTheme="minorEastAsia"/>
            <w:webHidden/>
          </w:rPr>
          <w:instrText xml:space="preserve"> PAGEREF _Toc149245225 \h </w:instrText>
        </w:r>
        <w:r w:rsidR="00823630" w:rsidRPr="008C1DD1">
          <w:rPr>
            <w:rFonts w:eastAsiaTheme="minorEastAsia"/>
            <w:webHidden/>
          </w:rPr>
        </w:r>
        <w:r w:rsidR="00823630" w:rsidRPr="008C1DD1">
          <w:rPr>
            <w:rFonts w:eastAsiaTheme="minorEastAsia"/>
            <w:webHidden/>
          </w:rPr>
          <w:fldChar w:fldCharType="separate"/>
        </w:r>
        <w:r w:rsidR="000F30E9" w:rsidRPr="008C1DD1">
          <w:rPr>
            <w:rFonts w:eastAsiaTheme="minorEastAsia"/>
            <w:webHidden/>
          </w:rPr>
          <w:t>66</w:t>
        </w:r>
        <w:r w:rsidR="00823630" w:rsidRPr="008C1DD1">
          <w:rPr>
            <w:rFonts w:eastAsiaTheme="minorEastAsia"/>
            <w:webHidden/>
          </w:rPr>
          <w:fldChar w:fldCharType="end"/>
        </w:r>
      </w:hyperlink>
    </w:p>
    <w:p w14:paraId="5BF8EE7E" w14:textId="35ADC436" w:rsidR="00823630" w:rsidRPr="008E2604" w:rsidRDefault="00502D88" w:rsidP="008C1DD1">
      <w:pPr>
        <w:tabs>
          <w:tab w:val="left" w:pos="8647"/>
        </w:tabs>
        <w:rPr>
          <w:rFonts w:eastAsiaTheme="minorEastAsia"/>
          <w:noProof/>
        </w:rPr>
      </w:pPr>
      <w:hyperlink w:anchor="_Toc149245226" w:history="1">
        <w:r w:rsidR="00823630" w:rsidRPr="008E2604">
          <w:rPr>
            <w:rStyle w:val="Hyperlink"/>
            <w:noProof/>
          </w:rPr>
          <w:t>Chart 3.7: Residential care provider average EBITDA per resident per year, 2012-13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_Toc149245226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69</w:t>
        </w:r>
        <w:r w:rsidR="00823630" w:rsidRPr="008E2604">
          <w:rPr>
            <w:rStyle w:val="Hyperlink"/>
            <w:noProof/>
            <w:webHidden/>
          </w:rPr>
          <w:fldChar w:fldCharType="end"/>
        </w:r>
      </w:hyperlink>
    </w:p>
    <w:p w14:paraId="77E2356E" w14:textId="38AE1445" w:rsidR="00823630" w:rsidRPr="008E2604" w:rsidRDefault="00502D88" w:rsidP="008C1DD1">
      <w:pPr>
        <w:tabs>
          <w:tab w:val="left" w:pos="8647"/>
        </w:tabs>
        <w:rPr>
          <w:rFonts w:eastAsiaTheme="minorEastAsia"/>
          <w:noProof/>
        </w:rPr>
      </w:pPr>
      <w:hyperlink w:anchor="_Toc149245227" w:history="1">
        <w:r w:rsidR="00823630" w:rsidRPr="008E2604">
          <w:rPr>
            <w:rStyle w:val="Hyperlink"/>
            <w:noProof/>
          </w:rPr>
          <w:t>Chart 3.8: Residential care provider comparative EBITDA per resident per year, 2018-19 to 2021-22, by quartile</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_Toc149245227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70</w:t>
        </w:r>
        <w:r w:rsidR="00823630" w:rsidRPr="008E2604">
          <w:rPr>
            <w:rStyle w:val="Hyperlink"/>
            <w:noProof/>
            <w:webHidden/>
          </w:rPr>
          <w:fldChar w:fldCharType="end"/>
        </w:r>
      </w:hyperlink>
    </w:p>
    <w:p w14:paraId="3C28BF1D" w14:textId="1DCAC74E" w:rsidR="00823630" w:rsidRPr="008E2604" w:rsidRDefault="00502D88" w:rsidP="008C1DD1">
      <w:pPr>
        <w:tabs>
          <w:tab w:val="left" w:pos="8647"/>
        </w:tabs>
        <w:rPr>
          <w:rFonts w:eastAsiaTheme="minorEastAsia"/>
          <w:noProof/>
        </w:rPr>
      </w:pPr>
      <w:hyperlink w:anchor="_Toc149245228" w:history="1">
        <w:r w:rsidR="00823630" w:rsidRPr="008E2604">
          <w:rPr>
            <w:rStyle w:val="Hyperlink"/>
            <w:noProof/>
          </w:rPr>
          <w:t>Chart 3.9: Residential care provider operating performance ratios, by ownership type, 2019-20 to 2021-22</w:t>
        </w:r>
        <w:r w:rsidR="00823630" w:rsidRPr="008E2604">
          <w:rPr>
            <w:rStyle w:val="Hyperlink"/>
            <w:noProof/>
            <w:webHidden/>
          </w:rPr>
          <w:tab/>
        </w:r>
        <w:r w:rsidR="00823630" w:rsidRPr="008C1DD1">
          <w:rPr>
            <w:rFonts w:eastAsiaTheme="minorEastAsia"/>
            <w:webHidden/>
          </w:rPr>
          <w:fldChar w:fldCharType="begin"/>
        </w:r>
        <w:r w:rsidR="00823630" w:rsidRPr="008C1DD1">
          <w:rPr>
            <w:rFonts w:eastAsiaTheme="minorEastAsia"/>
            <w:webHidden/>
          </w:rPr>
          <w:instrText xml:space="preserve"> PAGEREF _Toc149245228 \h </w:instrText>
        </w:r>
        <w:r w:rsidR="00823630" w:rsidRPr="008C1DD1">
          <w:rPr>
            <w:rFonts w:eastAsiaTheme="minorEastAsia"/>
            <w:webHidden/>
          </w:rPr>
        </w:r>
        <w:r w:rsidR="00823630" w:rsidRPr="008C1DD1">
          <w:rPr>
            <w:rFonts w:eastAsiaTheme="minorEastAsia"/>
            <w:webHidden/>
          </w:rPr>
          <w:fldChar w:fldCharType="separate"/>
        </w:r>
        <w:r w:rsidR="000F30E9" w:rsidRPr="008C1DD1">
          <w:rPr>
            <w:rFonts w:eastAsiaTheme="minorEastAsia"/>
            <w:webHidden/>
          </w:rPr>
          <w:t>71</w:t>
        </w:r>
        <w:r w:rsidR="00823630" w:rsidRPr="008C1DD1">
          <w:rPr>
            <w:rFonts w:eastAsiaTheme="minorEastAsia"/>
            <w:webHidden/>
          </w:rPr>
          <w:fldChar w:fldCharType="end"/>
        </w:r>
      </w:hyperlink>
    </w:p>
    <w:p w14:paraId="023882A5" w14:textId="5AEAB781" w:rsidR="00823630" w:rsidRPr="008E2604" w:rsidRDefault="00502D88" w:rsidP="008C1DD1">
      <w:pPr>
        <w:tabs>
          <w:tab w:val="left" w:pos="8647"/>
        </w:tabs>
        <w:rPr>
          <w:rFonts w:eastAsiaTheme="minorEastAsia"/>
          <w:noProof/>
        </w:rPr>
      </w:pPr>
      <w:hyperlink w:anchor="_Toc149245229" w:history="1">
        <w:r w:rsidR="00823630" w:rsidRPr="008E2604">
          <w:rPr>
            <w:rStyle w:val="Hyperlink"/>
            <w:noProof/>
          </w:rPr>
          <w:t>Chart 3.10: EBITDA per resident per year, by ownership type, 2018-19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_Toc149245229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72</w:t>
        </w:r>
        <w:r w:rsidR="00823630" w:rsidRPr="008E2604">
          <w:rPr>
            <w:rStyle w:val="Hyperlink"/>
            <w:noProof/>
            <w:webHidden/>
          </w:rPr>
          <w:fldChar w:fldCharType="end"/>
        </w:r>
      </w:hyperlink>
    </w:p>
    <w:p w14:paraId="4CF8B5E1" w14:textId="2295E585" w:rsidR="00823630" w:rsidRPr="008E2604" w:rsidRDefault="00502D88" w:rsidP="008C1DD1">
      <w:pPr>
        <w:tabs>
          <w:tab w:val="left" w:pos="8647"/>
        </w:tabs>
        <w:rPr>
          <w:rFonts w:eastAsiaTheme="minorEastAsia"/>
          <w:noProof/>
        </w:rPr>
      </w:pPr>
      <w:hyperlink w:anchor="_Toc149245230" w:history="1">
        <w:r w:rsidR="00823630" w:rsidRPr="008E2604">
          <w:rPr>
            <w:rStyle w:val="Hyperlink"/>
            <w:noProof/>
          </w:rPr>
          <w:t>Chart 3.11: Residential care provider average EBITDA per resident per year, by quartile (number of providers in parentheses), by ownership type,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_Toc149245230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73</w:t>
        </w:r>
        <w:r w:rsidR="00823630" w:rsidRPr="008E2604">
          <w:rPr>
            <w:rStyle w:val="Hyperlink"/>
            <w:noProof/>
            <w:webHidden/>
          </w:rPr>
          <w:fldChar w:fldCharType="end"/>
        </w:r>
      </w:hyperlink>
    </w:p>
    <w:p w14:paraId="7C664C95" w14:textId="63D6B875" w:rsidR="00823630" w:rsidRPr="008E2604" w:rsidRDefault="00502D88" w:rsidP="008C1DD1">
      <w:pPr>
        <w:tabs>
          <w:tab w:val="left" w:pos="8647"/>
        </w:tabs>
        <w:rPr>
          <w:rFonts w:eastAsiaTheme="minorEastAsia"/>
          <w:noProof/>
        </w:rPr>
      </w:pPr>
      <w:hyperlink w:anchor="_Toc149245231" w:history="1">
        <w:r w:rsidR="00823630" w:rsidRPr="008E2604">
          <w:rPr>
            <w:rStyle w:val="Hyperlink"/>
            <w:noProof/>
          </w:rPr>
          <w:t>Chart 3.12: Residential care provider EBITDA per resident, by provider location,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_Toc149245231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74</w:t>
        </w:r>
        <w:r w:rsidR="00823630" w:rsidRPr="008E2604">
          <w:rPr>
            <w:rStyle w:val="Hyperlink"/>
            <w:noProof/>
            <w:webHidden/>
          </w:rPr>
          <w:fldChar w:fldCharType="end"/>
        </w:r>
      </w:hyperlink>
    </w:p>
    <w:p w14:paraId="7B94EAC9" w14:textId="2927457F" w:rsidR="00823630" w:rsidRPr="008E2604" w:rsidRDefault="00502D88" w:rsidP="008C1DD1">
      <w:pPr>
        <w:tabs>
          <w:tab w:val="left" w:pos="8647"/>
        </w:tabs>
        <w:rPr>
          <w:rFonts w:eastAsiaTheme="minorEastAsia"/>
          <w:noProof/>
        </w:rPr>
      </w:pPr>
      <w:hyperlink w:anchor="_Toc149245232" w:history="1">
        <w:r w:rsidR="00823630" w:rsidRPr="008E2604">
          <w:rPr>
            <w:rStyle w:val="Hyperlink"/>
            <w:noProof/>
          </w:rPr>
          <w:t>Chart 3.13: Residential care provider average EBITDA per resident per year, by quartile (number of providers in parentheses), by location,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_Toc149245232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75</w:t>
        </w:r>
        <w:r w:rsidR="00823630" w:rsidRPr="008E2604">
          <w:rPr>
            <w:rStyle w:val="Hyperlink"/>
            <w:noProof/>
            <w:webHidden/>
          </w:rPr>
          <w:fldChar w:fldCharType="end"/>
        </w:r>
      </w:hyperlink>
    </w:p>
    <w:p w14:paraId="1B000833" w14:textId="42173318" w:rsidR="00823630" w:rsidRPr="008E2604" w:rsidRDefault="00502D88" w:rsidP="008C1DD1">
      <w:pPr>
        <w:tabs>
          <w:tab w:val="left" w:pos="8647"/>
        </w:tabs>
        <w:rPr>
          <w:rFonts w:eastAsiaTheme="minorEastAsia"/>
          <w:noProof/>
        </w:rPr>
      </w:pPr>
      <w:hyperlink w:anchor="_Toc149245233" w:history="1">
        <w:r w:rsidR="00823630" w:rsidRPr="008E2604">
          <w:rPr>
            <w:rStyle w:val="Hyperlink"/>
            <w:noProof/>
          </w:rPr>
          <w:t>Chart 3.14: Residential care provider average EBITDA per resident per year, by quartile (number of providers in parentheses), by provider scale,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_Toc149245233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76</w:t>
        </w:r>
        <w:r w:rsidR="00823630" w:rsidRPr="008E2604">
          <w:rPr>
            <w:rStyle w:val="Hyperlink"/>
            <w:noProof/>
            <w:webHidden/>
          </w:rPr>
          <w:fldChar w:fldCharType="end"/>
        </w:r>
      </w:hyperlink>
    </w:p>
    <w:p w14:paraId="6B4744A5" w14:textId="10F63528" w:rsidR="00823630" w:rsidRPr="008E2604" w:rsidRDefault="00502D88" w:rsidP="008C1DD1">
      <w:pPr>
        <w:tabs>
          <w:tab w:val="left" w:pos="8647"/>
        </w:tabs>
        <w:rPr>
          <w:rFonts w:eastAsiaTheme="minorEastAsia"/>
          <w:noProof/>
        </w:rPr>
      </w:pPr>
      <w:hyperlink w:anchor="_Toc149245234" w:history="1">
        <w:r w:rsidR="00823630" w:rsidRPr="008E2604">
          <w:rPr>
            <w:rStyle w:val="Hyperlink"/>
            <w:noProof/>
          </w:rPr>
          <w:t>Chart 3.15: Residential care provider EBITDA per resident per year, by provider scale (number of providers in parentheses), 2018-19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_Toc149245234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76</w:t>
        </w:r>
        <w:r w:rsidR="00823630" w:rsidRPr="008E2604">
          <w:rPr>
            <w:rStyle w:val="Hyperlink"/>
            <w:noProof/>
            <w:webHidden/>
          </w:rPr>
          <w:fldChar w:fldCharType="end"/>
        </w:r>
      </w:hyperlink>
    </w:p>
    <w:p w14:paraId="28217005" w14:textId="49074100" w:rsidR="00823630" w:rsidRPr="008E2604" w:rsidRDefault="00502D88" w:rsidP="008C1DD1">
      <w:pPr>
        <w:tabs>
          <w:tab w:val="left" w:pos="8647"/>
        </w:tabs>
        <w:rPr>
          <w:rFonts w:eastAsiaTheme="minorEastAsia"/>
          <w:noProof/>
        </w:rPr>
      </w:pPr>
      <w:hyperlink w:anchor="_Toc149245235" w:history="1">
        <w:r w:rsidR="00823630" w:rsidRPr="008E2604">
          <w:rPr>
            <w:rStyle w:val="Hyperlink"/>
            <w:noProof/>
          </w:rPr>
          <w:t>Chart 4.1: Residential care provider liability types as a proportion of total assets,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_Toc149245235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82</w:t>
        </w:r>
        <w:r w:rsidR="00823630" w:rsidRPr="008E2604">
          <w:rPr>
            <w:rStyle w:val="Hyperlink"/>
            <w:noProof/>
            <w:webHidden/>
          </w:rPr>
          <w:fldChar w:fldCharType="end"/>
        </w:r>
      </w:hyperlink>
    </w:p>
    <w:p w14:paraId="25D32FE2" w14:textId="3D361EE3" w:rsidR="00823630" w:rsidRPr="008C1DD1" w:rsidRDefault="00502D88" w:rsidP="008C1DD1">
      <w:pPr>
        <w:tabs>
          <w:tab w:val="left" w:pos="8647"/>
        </w:tabs>
        <w:rPr>
          <w:rFonts w:eastAsiaTheme="minorEastAsia"/>
        </w:rPr>
      </w:pPr>
      <w:hyperlink w:anchor="_Toc149245236" w:history="1">
        <w:r w:rsidR="00823630" w:rsidRPr="008E2604">
          <w:rPr>
            <w:rStyle w:val="Hyperlink"/>
            <w:noProof/>
          </w:rPr>
          <w:t>Chart 4.2: Liabilities and net worth as a proportion of total assets, by ownership type, 2019-20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_Toc149245236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83</w:t>
        </w:r>
        <w:r w:rsidR="00823630" w:rsidRPr="008E2604">
          <w:rPr>
            <w:rStyle w:val="Hyperlink"/>
            <w:noProof/>
            <w:webHidden/>
          </w:rPr>
          <w:fldChar w:fldCharType="end"/>
        </w:r>
      </w:hyperlink>
    </w:p>
    <w:p w14:paraId="31E0B031" w14:textId="6733F1BB" w:rsidR="00823630" w:rsidRPr="008C1DD1" w:rsidRDefault="00502D88" w:rsidP="008C1DD1">
      <w:pPr>
        <w:tabs>
          <w:tab w:val="left" w:pos="8647"/>
        </w:tabs>
        <w:rPr>
          <w:rFonts w:eastAsiaTheme="minorEastAsia"/>
        </w:rPr>
      </w:pPr>
      <w:hyperlink w:anchor="_Toc149245237" w:history="1">
        <w:r w:rsidR="00823630" w:rsidRPr="008E2604">
          <w:rPr>
            <w:rStyle w:val="Hyperlink"/>
            <w:noProof/>
          </w:rPr>
          <w:t>Chart 4.3: Total value and total number of accommodation deposits held, 2014-15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_Toc149245237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84</w:t>
        </w:r>
        <w:r w:rsidR="00823630" w:rsidRPr="008E2604">
          <w:rPr>
            <w:rStyle w:val="Hyperlink"/>
            <w:noProof/>
            <w:webHidden/>
          </w:rPr>
          <w:fldChar w:fldCharType="end"/>
        </w:r>
      </w:hyperlink>
    </w:p>
    <w:p w14:paraId="13D41F65" w14:textId="27EA6093" w:rsidR="00823630" w:rsidRPr="008C1DD1" w:rsidRDefault="00502D88" w:rsidP="008C1DD1">
      <w:pPr>
        <w:tabs>
          <w:tab w:val="left" w:pos="8647"/>
        </w:tabs>
        <w:rPr>
          <w:rFonts w:eastAsiaTheme="minorEastAsia"/>
        </w:rPr>
      </w:pPr>
      <w:hyperlink w:anchor="_Toc149245238" w:history="1">
        <w:r w:rsidR="00823630" w:rsidRPr="008E2604">
          <w:rPr>
            <w:rStyle w:val="Hyperlink"/>
            <w:noProof/>
          </w:rPr>
          <w:t>Chart 4.4: Resident method of accommodation payment,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_Toc149245238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85</w:t>
        </w:r>
        <w:r w:rsidR="00823630" w:rsidRPr="008E2604">
          <w:rPr>
            <w:rStyle w:val="Hyperlink"/>
            <w:noProof/>
            <w:webHidden/>
          </w:rPr>
          <w:fldChar w:fldCharType="end"/>
        </w:r>
      </w:hyperlink>
    </w:p>
    <w:p w14:paraId="4BC52621" w14:textId="768FD093" w:rsidR="00823630" w:rsidRPr="008C1DD1" w:rsidRDefault="00502D88" w:rsidP="008C1DD1">
      <w:pPr>
        <w:tabs>
          <w:tab w:val="left" w:pos="8647"/>
        </w:tabs>
        <w:rPr>
          <w:rFonts w:eastAsiaTheme="minorEastAsia"/>
        </w:rPr>
      </w:pPr>
      <w:hyperlink w:anchor="_Toc149245239" w:history="1">
        <w:r w:rsidR="00823630" w:rsidRPr="008E2604">
          <w:rPr>
            <w:rStyle w:val="Hyperlink"/>
            <w:noProof/>
          </w:rPr>
          <w:t>Chart 4.5: Resident choice of payment method, by ownership type,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_Toc149245239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86</w:t>
        </w:r>
        <w:r w:rsidR="00823630" w:rsidRPr="008E2604">
          <w:rPr>
            <w:rStyle w:val="Hyperlink"/>
            <w:noProof/>
            <w:webHidden/>
          </w:rPr>
          <w:fldChar w:fldCharType="end"/>
        </w:r>
      </w:hyperlink>
    </w:p>
    <w:p w14:paraId="6554A1EB" w14:textId="100D92D0" w:rsidR="00823630" w:rsidRPr="008C1DD1" w:rsidRDefault="00502D88" w:rsidP="008C1DD1">
      <w:pPr>
        <w:tabs>
          <w:tab w:val="left" w:pos="8647"/>
        </w:tabs>
        <w:rPr>
          <w:rFonts w:eastAsiaTheme="minorEastAsia"/>
        </w:rPr>
      </w:pPr>
      <w:hyperlink w:anchor="_Toc149245240" w:history="1">
        <w:r w:rsidR="00823630" w:rsidRPr="008E2604">
          <w:rPr>
            <w:rStyle w:val="Hyperlink"/>
            <w:noProof/>
          </w:rPr>
          <w:t>Chart 4.6: Resident choice of payment method, by location,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_Toc149245240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87</w:t>
        </w:r>
        <w:r w:rsidR="00823630" w:rsidRPr="008E2604">
          <w:rPr>
            <w:rStyle w:val="Hyperlink"/>
            <w:noProof/>
            <w:webHidden/>
          </w:rPr>
          <w:fldChar w:fldCharType="end"/>
        </w:r>
      </w:hyperlink>
    </w:p>
    <w:p w14:paraId="7AD49DB8" w14:textId="75149B85" w:rsidR="00823630" w:rsidRPr="008C1DD1" w:rsidRDefault="00502D88" w:rsidP="008C1DD1">
      <w:pPr>
        <w:tabs>
          <w:tab w:val="left" w:pos="8647"/>
        </w:tabs>
        <w:rPr>
          <w:rFonts w:eastAsiaTheme="minorEastAsia"/>
        </w:rPr>
      </w:pPr>
      <w:hyperlink w:anchor="_Toc149245241" w:history="1">
        <w:r w:rsidR="00823630" w:rsidRPr="008E2604">
          <w:rPr>
            <w:rStyle w:val="Hyperlink"/>
            <w:noProof/>
          </w:rPr>
          <w:t>Chart 4.7: Resident choice of payment method, by partially supported and non-supported residents,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_Toc149245241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87</w:t>
        </w:r>
        <w:r w:rsidR="00823630" w:rsidRPr="008E2604">
          <w:rPr>
            <w:rStyle w:val="Hyperlink"/>
            <w:noProof/>
            <w:webHidden/>
          </w:rPr>
          <w:fldChar w:fldCharType="end"/>
        </w:r>
      </w:hyperlink>
    </w:p>
    <w:p w14:paraId="49B38485" w14:textId="0D0D8048" w:rsidR="00823630" w:rsidRPr="008C1DD1" w:rsidRDefault="00502D88" w:rsidP="008C1DD1">
      <w:pPr>
        <w:tabs>
          <w:tab w:val="left" w:pos="8647"/>
        </w:tabs>
        <w:rPr>
          <w:rFonts w:eastAsiaTheme="minorEastAsia"/>
        </w:rPr>
      </w:pPr>
      <w:hyperlink w:anchor="_Toc149245242" w:history="1">
        <w:r w:rsidR="00823630" w:rsidRPr="008E2604">
          <w:rPr>
            <w:rStyle w:val="Hyperlink"/>
            <w:noProof/>
          </w:rPr>
          <w:t>Chart 4.8: Average agreed and published accommodation prices (lump sum equivalent), by ownership type, 2015-16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_Toc149245242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88</w:t>
        </w:r>
        <w:r w:rsidR="00823630" w:rsidRPr="008E2604">
          <w:rPr>
            <w:rStyle w:val="Hyperlink"/>
            <w:noProof/>
            <w:webHidden/>
          </w:rPr>
          <w:fldChar w:fldCharType="end"/>
        </w:r>
      </w:hyperlink>
    </w:p>
    <w:p w14:paraId="06EFB2B8" w14:textId="069EA0FC" w:rsidR="00823630" w:rsidRPr="008C1DD1" w:rsidRDefault="00502D88" w:rsidP="008C1DD1">
      <w:pPr>
        <w:tabs>
          <w:tab w:val="left" w:pos="8647"/>
        </w:tabs>
        <w:rPr>
          <w:rFonts w:eastAsiaTheme="minorEastAsia"/>
        </w:rPr>
      </w:pPr>
      <w:hyperlink w:anchor="_Toc149245243" w:history="1">
        <w:r w:rsidR="00823630" w:rsidRPr="008E2604">
          <w:rPr>
            <w:rStyle w:val="Hyperlink"/>
            <w:noProof/>
          </w:rPr>
          <w:t>Chart 4.9: Average agreed and published accommodation prices (lump sum equivalent), by location, 2015-16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_Toc149245243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89</w:t>
        </w:r>
        <w:r w:rsidR="00823630" w:rsidRPr="008E2604">
          <w:rPr>
            <w:rStyle w:val="Hyperlink"/>
            <w:noProof/>
            <w:webHidden/>
          </w:rPr>
          <w:fldChar w:fldCharType="end"/>
        </w:r>
      </w:hyperlink>
    </w:p>
    <w:p w14:paraId="34A7EC80" w14:textId="717E073B" w:rsidR="00823630" w:rsidRPr="008C1DD1" w:rsidRDefault="00502D88" w:rsidP="008C1DD1">
      <w:pPr>
        <w:tabs>
          <w:tab w:val="left" w:pos="8647"/>
        </w:tabs>
        <w:rPr>
          <w:rFonts w:eastAsiaTheme="minorEastAsia"/>
        </w:rPr>
      </w:pPr>
      <w:hyperlink w:anchor="_Toc149245244" w:history="1">
        <w:r w:rsidR="00823630" w:rsidRPr="008E2604">
          <w:rPr>
            <w:rStyle w:val="Hyperlink"/>
            <w:noProof/>
          </w:rPr>
          <w:t>Chart 4.10: EBITDA to total assets, by ownership type,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_Toc149245244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90</w:t>
        </w:r>
        <w:r w:rsidR="00823630" w:rsidRPr="008E2604">
          <w:rPr>
            <w:rStyle w:val="Hyperlink"/>
            <w:noProof/>
            <w:webHidden/>
          </w:rPr>
          <w:fldChar w:fldCharType="end"/>
        </w:r>
      </w:hyperlink>
    </w:p>
    <w:p w14:paraId="2928B20F" w14:textId="006A3390" w:rsidR="00823630" w:rsidRPr="008C1DD1" w:rsidRDefault="00502D88" w:rsidP="008C1DD1">
      <w:pPr>
        <w:tabs>
          <w:tab w:val="left" w:pos="8647"/>
        </w:tabs>
        <w:rPr>
          <w:rFonts w:eastAsiaTheme="minorEastAsia"/>
        </w:rPr>
      </w:pPr>
      <w:hyperlink w:anchor="_Toc149245245" w:history="1">
        <w:r w:rsidR="00823630" w:rsidRPr="008E2604">
          <w:rPr>
            <w:rStyle w:val="Hyperlink"/>
            <w:noProof/>
          </w:rPr>
          <w:t>Chart 4.11: Current ratio, by ownership type,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_Toc149245245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91</w:t>
        </w:r>
        <w:r w:rsidR="00823630" w:rsidRPr="008E2604">
          <w:rPr>
            <w:rStyle w:val="Hyperlink"/>
            <w:noProof/>
            <w:webHidden/>
          </w:rPr>
          <w:fldChar w:fldCharType="end"/>
        </w:r>
      </w:hyperlink>
    </w:p>
    <w:p w14:paraId="1943AED6" w14:textId="71C35EE0" w:rsidR="00823630" w:rsidRPr="008C1DD1" w:rsidRDefault="00502D88" w:rsidP="008C1DD1">
      <w:pPr>
        <w:tabs>
          <w:tab w:val="left" w:pos="8647"/>
        </w:tabs>
        <w:rPr>
          <w:rFonts w:eastAsiaTheme="minorEastAsia"/>
        </w:rPr>
      </w:pPr>
      <w:hyperlink w:anchor="_Toc149245246" w:history="1">
        <w:r w:rsidR="00823630" w:rsidRPr="008E2604">
          <w:rPr>
            <w:rStyle w:val="Hyperlink"/>
            <w:noProof/>
          </w:rPr>
          <w:t>Chart 4.12: Equity to total assets, by ownership type,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_Toc149245246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92</w:t>
        </w:r>
        <w:r w:rsidR="00823630" w:rsidRPr="008E2604">
          <w:rPr>
            <w:rStyle w:val="Hyperlink"/>
            <w:noProof/>
            <w:webHidden/>
          </w:rPr>
          <w:fldChar w:fldCharType="end"/>
        </w:r>
      </w:hyperlink>
    </w:p>
    <w:p w14:paraId="549702DC" w14:textId="26F77DE1" w:rsidR="00823630" w:rsidRPr="008C1DD1" w:rsidRDefault="00502D88" w:rsidP="008C1DD1">
      <w:pPr>
        <w:tabs>
          <w:tab w:val="left" w:pos="8647"/>
        </w:tabs>
        <w:rPr>
          <w:rFonts w:eastAsiaTheme="minorEastAsia"/>
        </w:rPr>
      </w:pPr>
      <w:hyperlink w:anchor="_Toc149245247" w:history="1">
        <w:r w:rsidR="00823630" w:rsidRPr="008E2604">
          <w:rPr>
            <w:rStyle w:val="Hyperlink"/>
            <w:noProof/>
          </w:rPr>
          <w:t>Chart 4.13: Average debt ratio, by ownership type,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_Toc149245247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93</w:t>
        </w:r>
        <w:r w:rsidR="00823630" w:rsidRPr="008E2604">
          <w:rPr>
            <w:rStyle w:val="Hyperlink"/>
            <w:noProof/>
            <w:webHidden/>
          </w:rPr>
          <w:fldChar w:fldCharType="end"/>
        </w:r>
      </w:hyperlink>
    </w:p>
    <w:p w14:paraId="405597D3" w14:textId="39FFD24A" w:rsidR="00823630" w:rsidRPr="008C1DD1" w:rsidRDefault="00502D88" w:rsidP="008C1DD1">
      <w:pPr>
        <w:tabs>
          <w:tab w:val="left" w:pos="8647"/>
        </w:tabs>
        <w:rPr>
          <w:rFonts w:eastAsiaTheme="minorEastAsia"/>
        </w:rPr>
      </w:pPr>
      <w:hyperlink w:anchor="_Toc149245248" w:history="1">
        <w:r w:rsidR="00823630" w:rsidRPr="008E2604">
          <w:rPr>
            <w:rStyle w:val="Hyperlink"/>
            <w:noProof/>
          </w:rPr>
          <w:t>Chart 4.14: Net assets, by ownership type,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_Toc149245248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94</w:t>
        </w:r>
        <w:r w:rsidR="00823630" w:rsidRPr="008E2604">
          <w:rPr>
            <w:rStyle w:val="Hyperlink"/>
            <w:noProof/>
            <w:webHidden/>
          </w:rPr>
          <w:fldChar w:fldCharType="end"/>
        </w:r>
      </w:hyperlink>
    </w:p>
    <w:p w14:paraId="2EAE54B1" w14:textId="0FDA1764" w:rsidR="00823630" w:rsidRPr="008C1DD1" w:rsidRDefault="00502D88" w:rsidP="008C1DD1">
      <w:pPr>
        <w:tabs>
          <w:tab w:val="left" w:pos="8647"/>
        </w:tabs>
        <w:rPr>
          <w:rFonts w:eastAsiaTheme="minorEastAsia"/>
        </w:rPr>
      </w:pPr>
      <w:hyperlink w:anchor="_Toc149245249" w:history="1">
        <w:r w:rsidR="00823630" w:rsidRPr="008E2604">
          <w:rPr>
            <w:rStyle w:val="Hyperlink"/>
            <w:noProof/>
          </w:rPr>
          <w:t>Chart 4.15: Cash held as percentage of accommodation deposit balances, by ownership type, 2019-20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_Toc149245249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95</w:t>
        </w:r>
        <w:r w:rsidR="00823630" w:rsidRPr="008E2604">
          <w:rPr>
            <w:rStyle w:val="Hyperlink"/>
            <w:noProof/>
            <w:webHidden/>
          </w:rPr>
          <w:fldChar w:fldCharType="end"/>
        </w:r>
      </w:hyperlink>
    </w:p>
    <w:p w14:paraId="70F3D860" w14:textId="25360147" w:rsidR="00823630" w:rsidRPr="008E2604" w:rsidRDefault="00502D88" w:rsidP="008C1DD1">
      <w:pPr>
        <w:tabs>
          <w:tab w:val="left" w:pos="8647"/>
        </w:tabs>
        <w:rPr>
          <w:rFonts w:eastAsiaTheme="minorEastAsia"/>
          <w:noProof/>
        </w:rPr>
      </w:pPr>
      <w:hyperlink w:anchor="_Toc149245250" w:history="1">
        <w:r w:rsidR="00823630" w:rsidRPr="008E2604">
          <w:rPr>
            <w:rStyle w:val="Hyperlink"/>
            <w:noProof/>
          </w:rPr>
          <w:t>Chart 4.16: Total assets, net worth/equity and average accommodation deposit value per resident, by ownership type, 2020-21 and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_Toc149245250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95</w:t>
        </w:r>
        <w:r w:rsidR="00823630" w:rsidRPr="008E2604">
          <w:rPr>
            <w:rStyle w:val="Hyperlink"/>
            <w:noProof/>
            <w:webHidden/>
          </w:rPr>
          <w:fldChar w:fldCharType="end"/>
        </w:r>
      </w:hyperlink>
    </w:p>
    <w:p w14:paraId="55C0BF0E" w14:textId="656A5F3B" w:rsidR="00823630" w:rsidRPr="008E2604" w:rsidRDefault="00502D88" w:rsidP="008C1DD1">
      <w:pPr>
        <w:tabs>
          <w:tab w:val="left" w:pos="8647"/>
        </w:tabs>
        <w:rPr>
          <w:rFonts w:eastAsiaTheme="minorEastAsia"/>
          <w:noProof/>
        </w:rPr>
      </w:pPr>
      <w:hyperlink w:anchor="_Toc149245251" w:history="1">
        <w:r w:rsidR="00823630" w:rsidRPr="008E2604">
          <w:rPr>
            <w:rStyle w:val="Hyperlink"/>
            <w:noProof/>
          </w:rPr>
          <w:t>Chart 4.17: Residential care building activity (completed or in-progress),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_Toc149245251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96</w:t>
        </w:r>
        <w:r w:rsidR="00823630" w:rsidRPr="008E2604">
          <w:rPr>
            <w:rStyle w:val="Hyperlink"/>
            <w:noProof/>
            <w:webHidden/>
          </w:rPr>
          <w:fldChar w:fldCharType="end"/>
        </w:r>
      </w:hyperlink>
    </w:p>
    <w:p w14:paraId="5E6E5061" w14:textId="5DFD32AE" w:rsidR="00823630" w:rsidRPr="008E2604" w:rsidRDefault="00502D88" w:rsidP="008C1DD1">
      <w:pPr>
        <w:tabs>
          <w:tab w:val="left" w:pos="8647"/>
        </w:tabs>
        <w:rPr>
          <w:rFonts w:eastAsiaTheme="minorEastAsia"/>
          <w:noProof/>
        </w:rPr>
      </w:pPr>
      <w:hyperlink w:anchor="_Toc149245252" w:history="1">
        <w:r w:rsidR="00823630" w:rsidRPr="008E2604">
          <w:rPr>
            <w:rStyle w:val="Hyperlink"/>
            <w:noProof/>
          </w:rPr>
          <w:t>Chart 4.18: Proportion of facilities planning to either upgrade or rebuild,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_Toc149245252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97</w:t>
        </w:r>
        <w:r w:rsidR="00823630" w:rsidRPr="008E2604">
          <w:rPr>
            <w:rStyle w:val="Hyperlink"/>
            <w:noProof/>
            <w:webHidden/>
          </w:rPr>
          <w:fldChar w:fldCharType="end"/>
        </w:r>
      </w:hyperlink>
    </w:p>
    <w:p w14:paraId="490E8057" w14:textId="56274928" w:rsidR="00823630" w:rsidRPr="008E2604" w:rsidRDefault="00502D88" w:rsidP="008C1DD1">
      <w:pPr>
        <w:tabs>
          <w:tab w:val="left" w:pos="8647"/>
        </w:tabs>
        <w:rPr>
          <w:rFonts w:eastAsiaTheme="minorEastAsia"/>
          <w:noProof/>
        </w:rPr>
      </w:pPr>
      <w:hyperlink w:anchor="_Toc149245253" w:history="1">
        <w:r w:rsidR="00823630" w:rsidRPr="008E2604">
          <w:rPr>
            <w:rStyle w:val="Hyperlink"/>
            <w:noProof/>
          </w:rPr>
          <w:t>Chart 4.19: Number of building approvals, by value of building work,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_Toc149245253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97</w:t>
        </w:r>
        <w:r w:rsidR="00823630" w:rsidRPr="008E2604">
          <w:rPr>
            <w:rStyle w:val="Hyperlink"/>
            <w:noProof/>
            <w:webHidden/>
          </w:rPr>
          <w:fldChar w:fldCharType="end"/>
        </w:r>
      </w:hyperlink>
    </w:p>
    <w:p w14:paraId="4C5E610C" w14:textId="343AF654" w:rsidR="00823630" w:rsidRPr="008E2604" w:rsidRDefault="00502D88" w:rsidP="008C1DD1">
      <w:pPr>
        <w:tabs>
          <w:tab w:val="left" w:pos="8647"/>
        </w:tabs>
        <w:rPr>
          <w:rFonts w:eastAsiaTheme="minorEastAsia"/>
          <w:noProof/>
        </w:rPr>
      </w:pPr>
      <w:hyperlink w:anchor="_Toc149245254" w:history="1">
        <w:r w:rsidR="00823630" w:rsidRPr="008E2604">
          <w:rPr>
            <w:rStyle w:val="Hyperlink"/>
            <w:noProof/>
          </w:rPr>
          <w:t>Chart 5.1: Number of CHSP recipients, 2017-18 to 2021-22</w:t>
        </w:r>
        <w:r w:rsidR="00823630" w:rsidRPr="008E2604">
          <w:rPr>
            <w:rStyle w:val="Hyperlink"/>
            <w:noProof/>
            <w:webHidden/>
          </w:rPr>
          <w:tab/>
        </w:r>
        <w:r w:rsidR="00823630" w:rsidRPr="008C1DD1">
          <w:rPr>
            <w:rFonts w:eastAsiaTheme="minorEastAsia"/>
            <w:webHidden/>
          </w:rPr>
          <w:fldChar w:fldCharType="begin"/>
        </w:r>
        <w:r w:rsidR="00823630" w:rsidRPr="008C1DD1">
          <w:rPr>
            <w:rFonts w:eastAsiaTheme="minorEastAsia"/>
            <w:webHidden/>
          </w:rPr>
          <w:instrText xml:space="preserve"> PAGEREF _Toc149245254 \h </w:instrText>
        </w:r>
        <w:r w:rsidR="00823630" w:rsidRPr="008C1DD1">
          <w:rPr>
            <w:rFonts w:eastAsiaTheme="minorEastAsia"/>
            <w:webHidden/>
          </w:rPr>
        </w:r>
        <w:r w:rsidR="00823630" w:rsidRPr="008C1DD1">
          <w:rPr>
            <w:rFonts w:eastAsiaTheme="minorEastAsia"/>
            <w:webHidden/>
          </w:rPr>
          <w:fldChar w:fldCharType="separate"/>
        </w:r>
        <w:r w:rsidR="000F30E9" w:rsidRPr="008C1DD1">
          <w:rPr>
            <w:rFonts w:eastAsiaTheme="minorEastAsia"/>
            <w:webHidden/>
          </w:rPr>
          <w:t>100</w:t>
        </w:r>
        <w:r w:rsidR="00823630" w:rsidRPr="008C1DD1">
          <w:rPr>
            <w:rFonts w:eastAsiaTheme="minorEastAsia"/>
            <w:webHidden/>
          </w:rPr>
          <w:fldChar w:fldCharType="end"/>
        </w:r>
      </w:hyperlink>
    </w:p>
    <w:p w14:paraId="5BBDE239" w14:textId="5B57EDFA" w:rsidR="00823630" w:rsidRPr="008E2604" w:rsidRDefault="00502D88" w:rsidP="008C1DD1">
      <w:pPr>
        <w:tabs>
          <w:tab w:val="left" w:pos="8647"/>
        </w:tabs>
        <w:rPr>
          <w:rFonts w:eastAsiaTheme="minorEastAsia"/>
          <w:noProof/>
        </w:rPr>
      </w:pPr>
      <w:hyperlink w:anchor="_Toc149245255" w:history="1">
        <w:r w:rsidR="00823630" w:rsidRPr="008E2604">
          <w:rPr>
            <w:rStyle w:val="Hyperlink"/>
            <w:noProof/>
          </w:rPr>
          <w:t>Chart 5.2: Providers of CHSP, by ownership type, 2017-18 to 2021-22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_Toc149245255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100</w:t>
        </w:r>
        <w:r w:rsidR="00823630" w:rsidRPr="008E2604">
          <w:rPr>
            <w:rStyle w:val="Hyperlink"/>
            <w:noProof/>
            <w:webHidden/>
          </w:rPr>
          <w:fldChar w:fldCharType="end"/>
        </w:r>
      </w:hyperlink>
    </w:p>
    <w:p w14:paraId="1E9C8EE2" w14:textId="47F63E05" w:rsidR="00823630" w:rsidRPr="008E2604" w:rsidRDefault="00502D88" w:rsidP="008C1DD1">
      <w:pPr>
        <w:tabs>
          <w:tab w:val="left" w:pos="8647"/>
        </w:tabs>
        <w:rPr>
          <w:rFonts w:eastAsiaTheme="minorEastAsia"/>
          <w:noProof/>
        </w:rPr>
      </w:pPr>
      <w:hyperlink w:anchor="_Toc149245256" w:history="1">
        <w:r w:rsidR="00823630" w:rsidRPr="008E2604">
          <w:rPr>
            <w:rStyle w:val="Hyperlink"/>
            <w:noProof/>
          </w:rPr>
          <w:t>Chart 5.3: Australian Government expenditure and budgeted expenditure for service delivery of CHSP, 2019-20 to 2024-25</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_Toc149245256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101</w:t>
        </w:r>
        <w:r w:rsidR="00823630" w:rsidRPr="008E2604">
          <w:rPr>
            <w:rStyle w:val="Hyperlink"/>
            <w:noProof/>
            <w:webHidden/>
          </w:rPr>
          <w:fldChar w:fldCharType="end"/>
        </w:r>
      </w:hyperlink>
    </w:p>
    <w:p w14:paraId="77223656" w14:textId="07F26881" w:rsidR="00823630" w:rsidRPr="008E2604" w:rsidRDefault="00502D88" w:rsidP="008C1DD1">
      <w:pPr>
        <w:tabs>
          <w:tab w:val="left" w:pos="8647"/>
        </w:tabs>
        <w:rPr>
          <w:rFonts w:eastAsiaTheme="minorEastAsia"/>
          <w:noProof/>
        </w:rPr>
      </w:pPr>
      <w:hyperlink w:anchor="_Toc149245257" w:history="1">
        <w:r w:rsidR="00823630" w:rsidRPr="008E2604">
          <w:rPr>
            <w:rStyle w:val="Hyperlink"/>
            <w:noProof/>
          </w:rPr>
          <w:t>Chart 6.1: Number of people aged 70 years and over, by 5 year age cohort, 2022 to 2042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_Toc149245257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105</w:t>
        </w:r>
        <w:r w:rsidR="00823630" w:rsidRPr="008E2604">
          <w:rPr>
            <w:rStyle w:val="Hyperlink"/>
            <w:noProof/>
            <w:webHidden/>
          </w:rPr>
          <w:fldChar w:fldCharType="end"/>
        </w:r>
      </w:hyperlink>
    </w:p>
    <w:p w14:paraId="768B70F5" w14:textId="5E36AD85" w:rsidR="00823630" w:rsidRPr="008E2604" w:rsidRDefault="00502D88" w:rsidP="008C1DD1">
      <w:pPr>
        <w:tabs>
          <w:tab w:val="left" w:pos="8647"/>
        </w:tabs>
        <w:rPr>
          <w:rFonts w:eastAsiaTheme="minorEastAsia"/>
          <w:noProof/>
        </w:rPr>
      </w:pPr>
      <w:hyperlink w:anchor="_Toc149245258" w:history="1">
        <w:r w:rsidR="00823630" w:rsidRPr="008E2604">
          <w:rPr>
            <w:rStyle w:val="Hyperlink"/>
            <w:noProof/>
          </w:rPr>
          <w:t>Chart 6.2: Proportion of the 70 years and over age group who are aged 85 and over, 2022 to 2042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_Toc149245258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106</w:t>
        </w:r>
        <w:r w:rsidR="00823630" w:rsidRPr="008E2604">
          <w:rPr>
            <w:rStyle w:val="Hyperlink"/>
            <w:noProof/>
            <w:webHidden/>
          </w:rPr>
          <w:fldChar w:fldCharType="end"/>
        </w:r>
      </w:hyperlink>
    </w:p>
    <w:p w14:paraId="5E79609C" w14:textId="4559C6BA" w:rsidR="00823630" w:rsidRPr="008E2604" w:rsidRDefault="00502D88" w:rsidP="008C1DD1">
      <w:pPr>
        <w:tabs>
          <w:tab w:val="left" w:pos="8647"/>
        </w:tabs>
        <w:rPr>
          <w:rFonts w:eastAsiaTheme="minorEastAsia"/>
          <w:noProof/>
        </w:rPr>
      </w:pPr>
      <w:hyperlink w:anchor="_Toc149245259" w:history="1">
        <w:r w:rsidR="00823630" w:rsidRPr="008E2604">
          <w:rPr>
            <w:rStyle w:val="Hyperlink"/>
            <w:noProof/>
          </w:rPr>
          <w:t>Chart 6.3: Proportion of females of each age using residential care and home care, 30 June 2022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_Toc149245259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107</w:t>
        </w:r>
        <w:r w:rsidR="00823630" w:rsidRPr="008E2604">
          <w:rPr>
            <w:rStyle w:val="Hyperlink"/>
            <w:noProof/>
            <w:webHidden/>
          </w:rPr>
          <w:fldChar w:fldCharType="end"/>
        </w:r>
      </w:hyperlink>
    </w:p>
    <w:p w14:paraId="717C3961" w14:textId="024961DF" w:rsidR="00823630" w:rsidRPr="008E2604" w:rsidRDefault="00502D88" w:rsidP="008C1DD1">
      <w:pPr>
        <w:tabs>
          <w:tab w:val="left" w:pos="8647"/>
        </w:tabs>
        <w:rPr>
          <w:rFonts w:eastAsiaTheme="minorEastAsia"/>
          <w:noProof/>
        </w:rPr>
      </w:pPr>
      <w:hyperlink w:anchor="_Toc149245260" w:history="1">
        <w:r w:rsidR="00823630" w:rsidRPr="008E2604">
          <w:rPr>
            <w:rStyle w:val="Hyperlink"/>
            <w:noProof/>
          </w:rPr>
          <w:t>Chart 6.4: Proportion of males of each age using residential care and home care, 30 June 2022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_Toc149245260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107</w:t>
        </w:r>
        <w:r w:rsidR="00823630" w:rsidRPr="008E2604">
          <w:rPr>
            <w:rStyle w:val="Hyperlink"/>
            <w:noProof/>
            <w:webHidden/>
          </w:rPr>
          <w:fldChar w:fldCharType="end"/>
        </w:r>
      </w:hyperlink>
    </w:p>
    <w:p w14:paraId="45B22FFB" w14:textId="432F6226" w:rsidR="00823630" w:rsidRPr="008E2604" w:rsidRDefault="00502D88" w:rsidP="008C1DD1">
      <w:pPr>
        <w:tabs>
          <w:tab w:val="left" w:pos="8647"/>
        </w:tabs>
        <w:rPr>
          <w:rFonts w:eastAsiaTheme="minorEastAsia"/>
          <w:noProof/>
        </w:rPr>
      </w:pPr>
      <w:hyperlink w:anchor="_Toc149245261" w:history="1">
        <w:r w:rsidR="00823630" w:rsidRPr="008E2604">
          <w:rPr>
            <w:rStyle w:val="Hyperlink"/>
            <w:noProof/>
          </w:rPr>
          <w:t>Chart 6.5: Utilisation of residential care and home care, 70 to 99 year olds, by gender, 2002 to 2022 (Please take note of the vertical axis percentage changes for each of the charts. The changes have been made to make the data more readable)</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_Toc149245261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109</w:t>
        </w:r>
        <w:r w:rsidR="00823630" w:rsidRPr="008E2604">
          <w:rPr>
            <w:rStyle w:val="Hyperlink"/>
            <w:noProof/>
            <w:webHidden/>
          </w:rPr>
          <w:fldChar w:fldCharType="end"/>
        </w:r>
      </w:hyperlink>
    </w:p>
    <w:p w14:paraId="5FE77FD5" w14:textId="45C9C5F1" w:rsidR="00823630" w:rsidRPr="008E2604" w:rsidRDefault="00502D88" w:rsidP="008C1DD1">
      <w:pPr>
        <w:tabs>
          <w:tab w:val="left" w:pos="8647"/>
        </w:tabs>
        <w:rPr>
          <w:rFonts w:eastAsiaTheme="minorEastAsia"/>
          <w:noProof/>
        </w:rPr>
      </w:pPr>
      <w:hyperlink w:anchor="_Toc149245262" w:history="1">
        <w:r w:rsidR="00823630" w:rsidRPr="008E2604">
          <w:rPr>
            <w:rStyle w:val="Hyperlink"/>
            <w:noProof/>
          </w:rPr>
          <w:t>Chart 6.6: Projected demand for residential care places, 2022 to 2042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_Toc149245262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111</w:t>
        </w:r>
        <w:r w:rsidR="00823630" w:rsidRPr="008E2604">
          <w:rPr>
            <w:rStyle w:val="Hyperlink"/>
            <w:noProof/>
            <w:webHidden/>
          </w:rPr>
          <w:fldChar w:fldCharType="end"/>
        </w:r>
      </w:hyperlink>
    </w:p>
    <w:p w14:paraId="4F1FEB70" w14:textId="780D2C8E" w:rsidR="00823630" w:rsidRPr="008E2604" w:rsidRDefault="00502D88" w:rsidP="008C1DD1">
      <w:pPr>
        <w:tabs>
          <w:tab w:val="left" w:pos="8647"/>
        </w:tabs>
        <w:rPr>
          <w:rFonts w:eastAsiaTheme="minorEastAsia"/>
          <w:noProof/>
        </w:rPr>
      </w:pPr>
      <w:hyperlink w:anchor="_Toc149245263" w:history="1">
        <w:r w:rsidR="00823630" w:rsidRPr="008E2604">
          <w:rPr>
            <w:rStyle w:val="Hyperlink"/>
            <w:noProof/>
          </w:rPr>
          <w:t>Chart 6.7: Projected demand for in home aged care, 2022 to 2042</w:t>
        </w:r>
        <w:r w:rsidR="00823630" w:rsidRPr="008E2604">
          <w:rPr>
            <w:rStyle w:val="Hyperlink"/>
            <w:noProof/>
            <w:webHidden/>
          </w:rPr>
          <w:tab/>
        </w:r>
        <w:r w:rsidR="00823630" w:rsidRPr="008E2604">
          <w:rPr>
            <w:rStyle w:val="Hyperlink"/>
            <w:noProof/>
            <w:webHidden/>
          </w:rPr>
          <w:fldChar w:fldCharType="begin"/>
        </w:r>
        <w:r w:rsidR="00823630" w:rsidRPr="008E2604">
          <w:rPr>
            <w:rStyle w:val="Hyperlink"/>
            <w:noProof/>
            <w:webHidden/>
          </w:rPr>
          <w:instrText xml:space="preserve"> PAGEREF _Toc149245263 \h </w:instrText>
        </w:r>
        <w:r w:rsidR="00823630" w:rsidRPr="008E2604">
          <w:rPr>
            <w:rStyle w:val="Hyperlink"/>
            <w:noProof/>
            <w:webHidden/>
          </w:rPr>
        </w:r>
        <w:r w:rsidR="00823630" w:rsidRPr="008E2604">
          <w:rPr>
            <w:rStyle w:val="Hyperlink"/>
            <w:noProof/>
            <w:webHidden/>
          </w:rPr>
          <w:fldChar w:fldCharType="separate"/>
        </w:r>
        <w:r w:rsidR="000F30E9">
          <w:rPr>
            <w:rStyle w:val="Hyperlink"/>
            <w:noProof/>
            <w:webHidden/>
          </w:rPr>
          <w:t>112</w:t>
        </w:r>
        <w:r w:rsidR="00823630" w:rsidRPr="008E2604">
          <w:rPr>
            <w:rStyle w:val="Hyperlink"/>
            <w:noProof/>
            <w:webHidden/>
          </w:rPr>
          <w:fldChar w:fldCharType="end"/>
        </w:r>
      </w:hyperlink>
    </w:p>
    <w:p w14:paraId="1869FBED" w14:textId="16981875" w:rsidR="001456E8" w:rsidRPr="008E2604" w:rsidRDefault="00071C8D" w:rsidP="008E2604">
      <w:r w:rsidRPr="008E2604">
        <w:fldChar w:fldCharType="end"/>
      </w:r>
    </w:p>
    <w:p w14:paraId="77255578" w14:textId="2962BD13" w:rsidR="00071C8D" w:rsidRDefault="000B427C" w:rsidP="008E2604">
      <w:pPr>
        <w:pStyle w:val="Heading2nonumbers"/>
      </w:pPr>
      <w:bookmarkStart w:id="350" w:name="_Toc149245334"/>
      <w:r>
        <w:t>Tables</w:t>
      </w:r>
      <w:bookmarkEnd w:id="350"/>
    </w:p>
    <w:p w14:paraId="7DC6CFF7" w14:textId="331D5FE0" w:rsidR="00823630" w:rsidRPr="008E2604" w:rsidRDefault="00071C8D" w:rsidP="008C1DD1">
      <w:pPr>
        <w:tabs>
          <w:tab w:val="left" w:pos="8647"/>
        </w:tabs>
        <w:rPr>
          <w:rFonts w:eastAsiaTheme="minorEastAsia"/>
        </w:rPr>
      </w:pPr>
      <w:r w:rsidRPr="008E2604">
        <w:fldChar w:fldCharType="begin"/>
      </w:r>
      <w:r w:rsidRPr="008E2604">
        <w:instrText xml:space="preserve"> TOC \h \z \c "Table" </w:instrText>
      </w:r>
      <w:r w:rsidRPr="008E2604">
        <w:fldChar w:fldCharType="separate"/>
      </w:r>
      <w:hyperlink w:anchor="_Toc149245264" w:history="1">
        <w:r w:rsidR="00823630" w:rsidRPr="008E2604">
          <w:rPr>
            <w:rStyle w:val="Hyperlink"/>
          </w:rPr>
          <w:t>Table 1.1: Home Care Recipients in a package at 30 June 2018 to June 2022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_Toc149245264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24</w:t>
        </w:r>
        <w:r w:rsidR="00823630" w:rsidRPr="008E2604">
          <w:rPr>
            <w:rStyle w:val="Hyperlink"/>
            <w:webHidden/>
          </w:rPr>
          <w:fldChar w:fldCharType="end"/>
        </w:r>
      </w:hyperlink>
    </w:p>
    <w:p w14:paraId="4F2527DF" w14:textId="0DE489BD" w:rsidR="00823630" w:rsidRPr="008E2604" w:rsidRDefault="00502D88" w:rsidP="008C1DD1">
      <w:pPr>
        <w:tabs>
          <w:tab w:val="left" w:pos="8647"/>
        </w:tabs>
        <w:rPr>
          <w:rFonts w:eastAsiaTheme="minorEastAsia"/>
        </w:rPr>
      </w:pPr>
      <w:hyperlink w:anchor="_Toc149245265" w:history="1">
        <w:r w:rsidR="00823630" w:rsidRPr="008E2604">
          <w:rPr>
            <w:rStyle w:val="Hyperlink"/>
          </w:rPr>
          <w:t>Table 1.2: Number of home care providers and number of recipients, at 30 June 2022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_Toc149245265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27</w:t>
        </w:r>
        <w:r w:rsidR="00823630" w:rsidRPr="008E2604">
          <w:rPr>
            <w:rStyle w:val="Hyperlink"/>
            <w:webHidden/>
          </w:rPr>
          <w:fldChar w:fldCharType="end"/>
        </w:r>
      </w:hyperlink>
    </w:p>
    <w:p w14:paraId="5F777AA4" w14:textId="6835721A" w:rsidR="00823630" w:rsidRPr="008E2604" w:rsidRDefault="00502D88" w:rsidP="008C1DD1">
      <w:pPr>
        <w:tabs>
          <w:tab w:val="left" w:pos="8647"/>
        </w:tabs>
        <w:rPr>
          <w:rFonts w:eastAsiaTheme="minorEastAsia"/>
        </w:rPr>
      </w:pPr>
      <w:hyperlink w:anchor="_Toc149245266" w:history="1">
        <w:r w:rsidR="00823630" w:rsidRPr="008E2604">
          <w:rPr>
            <w:rStyle w:val="Hyperlink"/>
          </w:rPr>
          <w:t>Table 1.3: Summary of financial performance of home care providers,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_Toc149245266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29</w:t>
        </w:r>
        <w:r w:rsidR="00823630" w:rsidRPr="008E2604">
          <w:rPr>
            <w:rStyle w:val="Hyperlink"/>
            <w:webHidden/>
          </w:rPr>
          <w:fldChar w:fldCharType="end"/>
        </w:r>
      </w:hyperlink>
    </w:p>
    <w:p w14:paraId="05A8BD40" w14:textId="430EF707" w:rsidR="00823630" w:rsidRPr="008E2604" w:rsidRDefault="00502D88" w:rsidP="008C1DD1">
      <w:pPr>
        <w:tabs>
          <w:tab w:val="left" w:pos="8647"/>
        </w:tabs>
        <w:rPr>
          <w:rFonts w:eastAsiaTheme="minorEastAsia"/>
        </w:rPr>
      </w:pPr>
      <w:hyperlink w:anchor="_Toc149245267" w:history="1">
        <w:r w:rsidR="00823630" w:rsidRPr="008E2604">
          <w:rPr>
            <w:rStyle w:val="Hyperlink"/>
          </w:rPr>
          <w:t>Table 1.4: Summary of income and expense statement per care recipient per day, 2017-18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_Toc149245267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30</w:t>
        </w:r>
        <w:r w:rsidR="00823630" w:rsidRPr="008E2604">
          <w:rPr>
            <w:rStyle w:val="Hyperlink"/>
            <w:webHidden/>
          </w:rPr>
          <w:fldChar w:fldCharType="end"/>
        </w:r>
      </w:hyperlink>
    </w:p>
    <w:p w14:paraId="3570E14B" w14:textId="78E03B5E" w:rsidR="00823630" w:rsidRPr="008E2604" w:rsidRDefault="00502D88" w:rsidP="008C1DD1">
      <w:pPr>
        <w:tabs>
          <w:tab w:val="left" w:pos="8647"/>
        </w:tabs>
        <w:rPr>
          <w:rFonts w:eastAsiaTheme="minorEastAsia"/>
        </w:rPr>
      </w:pPr>
      <w:hyperlink w:anchor="_Toc149245268" w:history="1">
        <w:r w:rsidR="00823630" w:rsidRPr="008E2604">
          <w:rPr>
            <w:rStyle w:val="Hyperlink"/>
          </w:rPr>
          <w:t>Table 1.5: Home care revenue per care recipient per day, by ownership type, location and scale,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_Toc149245268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32</w:t>
        </w:r>
        <w:r w:rsidR="00823630" w:rsidRPr="008E2604">
          <w:rPr>
            <w:rStyle w:val="Hyperlink"/>
            <w:webHidden/>
          </w:rPr>
          <w:fldChar w:fldCharType="end"/>
        </w:r>
      </w:hyperlink>
    </w:p>
    <w:p w14:paraId="467FD80E" w14:textId="72BB74E4" w:rsidR="00823630" w:rsidRPr="008C1DD1" w:rsidRDefault="00502D88" w:rsidP="008C1DD1">
      <w:pPr>
        <w:tabs>
          <w:tab w:val="left" w:pos="8647"/>
        </w:tabs>
        <w:rPr>
          <w:rFonts w:eastAsiaTheme="minorEastAsia"/>
        </w:rPr>
      </w:pPr>
      <w:hyperlink w:anchor="_Toc149245269" w:history="1">
        <w:r w:rsidR="00823630" w:rsidRPr="008E2604">
          <w:rPr>
            <w:rStyle w:val="Hyperlink"/>
          </w:rPr>
          <w:t>Table 1.6: Home care expenditure per recipient per day, by ownership type, location and scale,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_Toc149245269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33</w:t>
        </w:r>
        <w:r w:rsidR="00823630" w:rsidRPr="008E2604">
          <w:rPr>
            <w:rStyle w:val="Hyperlink"/>
            <w:webHidden/>
          </w:rPr>
          <w:fldChar w:fldCharType="end"/>
        </w:r>
      </w:hyperlink>
    </w:p>
    <w:p w14:paraId="31907AD0" w14:textId="7D4B86EE" w:rsidR="00823630" w:rsidRPr="008C1DD1" w:rsidRDefault="00502D88" w:rsidP="008C1DD1">
      <w:pPr>
        <w:tabs>
          <w:tab w:val="left" w:pos="8647"/>
        </w:tabs>
        <w:rPr>
          <w:rFonts w:eastAsiaTheme="minorEastAsia"/>
        </w:rPr>
      </w:pPr>
      <w:hyperlink w:anchor="_Toc149245270" w:history="1">
        <w:r w:rsidR="00823630" w:rsidRPr="008E2604">
          <w:rPr>
            <w:rStyle w:val="Hyperlink"/>
          </w:rPr>
          <w:t>Table 2.1: Number of residential aged care residents, 30 June 2018 to 30 June 2022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_Toc149245270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41</w:t>
        </w:r>
        <w:r w:rsidR="00823630" w:rsidRPr="008E2604">
          <w:rPr>
            <w:rStyle w:val="Hyperlink"/>
            <w:webHidden/>
          </w:rPr>
          <w:fldChar w:fldCharType="end"/>
        </w:r>
      </w:hyperlink>
    </w:p>
    <w:p w14:paraId="0EC43C5B" w14:textId="4EC380AD" w:rsidR="00823630" w:rsidRPr="008C1DD1" w:rsidRDefault="00502D88" w:rsidP="008C1DD1">
      <w:pPr>
        <w:tabs>
          <w:tab w:val="left" w:pos="8647"/>
        </w:tabs>
        <w:rPr>
          <w:rFonts w:eastAsiaTheme="minorEastAsia"/>
        </w:rPr>
      </w:pPr>
      <w:hyperlink w:anchor="_Toc149245271" w:history="1">
        <w:r w:rsidR="00823630" w:rsidRPr="008E2604">
          <w:rPr>
            <w:rStyle w:val="Hyperlink"/>
          </w:rPr>
          <w:t>Table 2.2: Number of providers, facilities, places and residents in residential care, by ownership, location and scale, 30 June 2022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_Toc149245271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48</w:t>
        </w:r>
        <w:r w:rsidR="00823630" w:rsidRPr="008E2604">
          <w:rPr>
            <w:rStyle w:val="Hyperlink"/>
            <w:webHidden/>
          </w:rPr>
          <w:fldChar w:fldCharType="end"/>
        </w:r>
      </w:hyperlink>
    </w:p>
    <w:p w14:paraId="194C2AC7" w14:textId="69A01D14" w:rsidR="00823630" w:rsidRPr="008C1DD1" w:rsidRDefault="00502D88" w:rsidP="008C1DD1">
      <w:pPr>
        <w:tabs>
          <w:tab w:val="left" w:pos="8647"/>
        </w:tabs>
        <w:rPr>
          <w:rFonts w:eastAsiaTheme="minorEastAsia"/>
        </w:rPr>
      </w:pPr>
      <w:hyperlink w:anchor="_Toc149245272" w:history="1">
        <w:r w:rsidR="00823630" w:rsidRPr="008E2604">
          <w:rPr>
            <w:rStyle w:val="Hyperlink"/>
          </w:rPr>
          <w:t>Table 2.3: Occupancy rates, by organisation type, 2017-18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_Toc149245272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49</w:t>
        </w:r>
        <w:r w:rsidR="00823630" w:rsidRPr="008E2604">
          <w:rPr>
            <w:rStyle w:val="Hyperlink"/>
            <w:webHidden/>
          </w:rPr>
          <w:fldChar w:fldCharType="end"/>
        </w:r>
      </w:hyperlink>
    </w:p>
    <w:p w14:paraId="1A11E538" w14:textId="12EBC32E" w:rsidR="00823630" w:rsidRPr="008C1DD1" w:rsidRDefault="00502D88" w:rsidP="008C1DD1">
      <w:pPr>
        <w:tabs>
          <w:tab w:val="left" w:pos="8647"/>
        </w:tabs>
        <w:rPr>
          <w:rFonts w:eastAsiaTheme="minorEastAsia"/>
        </w:rPr>
      </w:pPr>
      <w:hyperlink w:anchor="_Toc149245273" w:history="1">
        <w:r w:rsidR="00823630" w:rsidRPr="008E2604">
          <w:rPr>
            <w:rStyle w:val="Hyperlink"/>
          </w:rPr>
          <w:t>Table 2.4: Occupancy in residential care, by state and territory, 2017-18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_Toc149245273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50</w:t>
        </w:r>
        <w:r w:rsidR="00823630" w:rsidRPr="008E2604">
          <w:rPr>
            <w:rStyle w:val="Hyperlink"/>
            <w:webHidden/>
          </w:rPr>
          <w:fldChar w:fldCharType="end"/>
        </w:r>
      </w:hyperlink>
    </w:p>
    <w:p w14:paraId="3B934F6A" w14:textId="418A6DF6" w:rsidR="00823630" w:rsidRPr="008E2604" w:rsidRDefault="00502D88" w:rsidP="008E2604">
      <w:pPr>
        <w:rPr>
          <w:rFonts w:eastAsiaTheme="minorEastAsia"/>
        </w:rPr>
      </w:pPr>
      <w:hyperlink w:anchor="_Toc149245274" w:history="1">
        <w:r w:rsidR="00823630" w:rsidRPr="008E2604">
          <w:rPr>
            <w:rStyle w:val="Hyperlink"/>
          </w:rPr>
          <w:t>Table 2.5: Occupancy in residential care, by location, 2017-18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_Toc149245274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50</w:t>
        </w:r>
        <w:r w:rsidR="00823630" w:rsidRPr="008E2604">
          <w:rPr>
            <w:rStyle w:val="Hyperlink"/>
            <w:webHidden/>
          </w:rPr>
          <w:fldChar w:fldCharType="end"/>
        </w:r>
      </w:hyperlink>
    </w:p>
    <w:p w14:paraId="1D5A6695" w14:textId="59BE842E" w:rsidR="00823630" w:rsidRPr="008E2604" w:rsidRDefault="00502D88" w:rsidP="008C1DD1">
      <w:pPr>
        <w:tabs>
          <w:tab w:val="left" w:pos="8647"/>
        </w:tabs>
        <w:rPr>
          <w:rFonts w:eastAsiaTheme="minorEastAsia"/>
        </w:rPr>
      </w:pPr>
      <w:hyperlink w:anchor="_Toc149245275" w:history="1">
        <w:r w:rsidR="00823630" w:rsidRPr="008E2604">
          <w:rPr>
            <w:rStyle w:val="Hyperlink"/>
          </w:rPr>
          <w:t>Table 3.1: Summary of financial performance of residential care providers, 2017-18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_Toc149245275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54</w:t>
        </w:r>
        <w:r w:rsidR="00823630" w:rsidRPr="008E2604">
          <w:rPr>
            <w:rStyle w:val="Hyperlink"/>
            <w:webHidden/>
          </w:rPr>
          <w:fldChar w:fldCharType="end"/>
        </w:r>
      </w:hyperlink>
    </w:p>
    <w:p w14:paraId="301E2A23" w14:textId="7DCFEBBF" w:rsidR="00823630" w:rsidRPr="008E2604" w:rsidRDefault="00502D88" w:rsidP="008C1DD1">
      <w:pPr>
        <w:tabs>
          <w:tab w:val="left" w:pos="8647"/>
        </w:tabs>
        <w:rPr>
          <w:rFonts w:eastAsiaTheme="minorEastAsia"/>
        </w:rPr>
      </w:pPr>
      <w:hyperlink w:anchor="_Toc149245276" w:history="1">
        <w:r w:rsidR="00823630" w:rsidRPr="008E2604">
          <w:rPr>
            <w:rStyle w:val="Hyperlink"/>
          </w:rPr>
          <w:t>Table 3.2: Summary of financial performance of residential care providers, by ownership, location and scale,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_Toc149245276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55</w:t>
        </w:r>
        <w:r w:rsidR="00823630" w:rsidRPr="008E2604">
          <w:rPr>
            <w:rStyle w:val="Hyperlink"/>
            <w:webHidden/>
          </w:rPr>
          <w:fldChar w:fldCharType="end"/>
        </w:r>
      </w:hyperlink>
    </w:p>
    <w:p w14:paraId="1043498C" w14:textId="4597AD39" w:rsidR="00823630" w:rsidRPr="008E2604" w:rsidRDefault="00502D88" w:rsidP="008C1DD1">
      <w:pPr>
        <w:tabs>
          <w:tab w:val="left" w:pos="8647"/>
        </w:tabs>
        <w:rPr>
          <w:rFonts w:eastAsiaTheme="minorEastAsia"/>
        </w:rPr>
      </w:pPr>
      <w:hyperlink w:anchor="_Toc149245277" w:history="1">
        <w:r w:rsidR="00823630" w:rsidRPr="008E2604">
          <w:rPr>
            <w:rStyle w:val="Hyperlink"/>
          </w:rPr>
          <w:t>Table 3.3: Summary of income and expense statement per resident per day, by ownership, 2021-22</w:t>
        </w:r>
        <w:r w:rsidR="00823630" w:rsidRPr="008E2604">
          <w:rPr>
            <w:rStyle w:val="Hyperlink"/>
            <w:webHidden/>
          </w:rPr>
          <w:tab/>
        </w:r>
        <w:r w:rsidR="00823630" w:rsidRPr="008C1DD1">
          <w:rPr>
            <w:rFonts w:eastAsiaTheme="minorEastAsia"/>
            <w:webHidden/>
          </w:rPr>
          <w:fldChar w:fldCharType="begin"/>
        </w:r>
        <w:r w:rsidR="00823630" w:rsidRPr="008C1DD1">
          <w:rPr>
            <w:rFonts w:eastAsiaTheme="minorEastAsia"/>
            <w:webHidden/>
          </w:rPr>
          <w:instrText xml:space="preserve"> PAGEREF _Toc149245277 \h </w:instrText>
        </w:r>
        <w:r w:rsidR="00823630" w:rsidRPr="008C1DD1">
          <w:rPr>
            <w:rFonts w:eastAsiaTheme="minorEastAsia"/>
            <w:webHidden/>
          </w:rPr>
        </w:r>
        <w:r w:rsidR="00823630" w:rsidRPr="008C1DD1">
          <w:rPr>
            <w:rFonts w:eastAsiaTheme="minorEastAsia"/>
            <w:webHidden/>
          </w:rPr>
          <w:fldChar w:fldCharType="separate"/>
        </w:r>
        <w:r w:rsidR="00294B02" w:rsidRPr="008C1DD1">
          <w:rPr>
            <w:rFonts w:eastAsiaTheme="minorEastAsia"/>
            <w:webHidden/>
          </w:rPr>
          <w:t>58</w:t>
        </w:r>
        <w:r w:rsidR="00823630" w:rsidRPr="008C1DD1">
          <w:rPr>
            <w:rFonts w:eastAsiaTheme="minorEastAsia"/>
            <w:webHidden/>
          </w:rPr>
          <w:fldChar w:fldCharType="end"/>
        </w:r>
      </w:hyperlink>
    </w:p>
    <w:p w14:paraId="0069489E" w14:textId="4EEE2848" w:rsidR="00823630" w:rsidRPr="008E2604" w:rsidRDefault="00502D88" w:rsidP="008C1DD1">
      <w:pPr>
        <w:tabs>
          <w:tab w:val="left" w:pos="8647"/>
        </w:tabs>
        <w:rPr>
          <w:rFonts w:eastAsiaTheme="minorEastAsia"/>
        </w:rPr>
      </w:pPr>
      <w:hyperlink w:anchor="_Toc149245278" w:history="1">
        <w:r w:rsidR="00823630" w:rsidRPr="008E2604">
          <w:rPr>
            <w:rStyle w:val="Hyperlink"/>
          </w:rPr>
          <w:t>Table 3.4: Revenue sources for residential care providers, by care, accommodation, living and ‘other’, 2019-20 to 2021-22 ($m)</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_Toc149245278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60</w:t>
        </w:r>
        <w:r w:rsidR="00823630" w:rsidRPr="008E2604">
          <w:rPr>
            <w:rStyle w:val="Hyperlink"/>
            <w:webHidden/>
          </w:rPr>
          <w:fldChar w:fldCharType="end"/>
        </w:r>
      </w:hyperlink>
    </w:p>
    <w:p w14:paraId="6213972F" w14:textId="1CBF61F0" w:rsidR="00823630" w:rsidRPr="008E2604" w:rsidRDefault="00502D88" w:rsidP="008C1DD1">
      <w:pPr>
        <w:tabs>
          <w:tab w:val="left" w:pos="8647"/>
        </w:tabs>
        <w:rPr>
          <w:rFonts w:eastAsiaTheme="minorEastAsia"/>
        </w:rPr>
      </w:pPr>
      <w:hyperlink w:anchor="_Toc149245279" w:history="1">
        <w:r w:rsidR="00823630" w:rsidRPr="008E2604">
          <w:rPr>
            <w:rStyle w:val="Hyperlink"/>
          </w:rPr>
          <w:t>Table 3.5: Revenue sources for residential care providers, Australian Government, resident and ‘other’, 2019-20 to 2021-22 ($m)</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_Toc149245279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62</w:t>
        </w:r>
        <w:r w:rsidR="00823630" w:rsidRPr="008E2604">
          <w:rPr>
            <w:rStyle w:val="Hyperlink"/>
            <w:webHidden/>
          </w:rPr>
          <w:fldChar w:fldCharType="end"/>
        </w:r>
      </w:hyperlink>
    </w:p>
    <w:p w14:paraId="249BD259" w14:textId="709CDA2D" w:rsidR="00823630" w:rsidRPr="008E2604" w:rsidRDefault="00502D88" w:rsidP="008C1DD1">
      <w:pPr>
        <w:tabs>
          <w:tab w:val="left" w:pos="8647"/>
        </w:tabs>
        <w:rPr>
          <w:rFonts w:eastAsiaTheme="minorEastAsia"/>
        </w:rPr>
      </w:pPr>
      <w:hyperlink w:anchor="_Toc149245280" w:history="1">
        <w:r w:rsidR="00823630" w:rsidRPr="008E2604">
          <w:rPr>
            <w:rStyle w:val="Hyperlink"/>
          </w:rPr>
          <w:t>Table 3.6: Residential care provider revenue sources per resident per day, 2019-20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_Toc149245280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63</w:t>
        </w:r>
        <w:r w:rsidR="00823630" w:rsidRPr="008E2604">
          <w:rPr>
            <w:rStyle w:val="Hyperlink"/>
            <w:webHidden/>
          </w:rPr>
          <w:fldChar w:fldCharType="end"/>
        </w:r>
      </w:hyperlink>
    </w:p>
    <w:p w14:paraId="08E17441" w14:textId="3E365BFC" w:rsidR="00823630" w:rsidRPr="008E2604" w:rsidRDefault="00502D88" w:rsidP="008C1DD1">
      <w:pPr>
        <w:tabs>
          <w:tab w:val="left" w:pos="8647"/>
        </w:tabs>
        <w:rPr>
          <w:rFonts w:eastAsiaTheme="minorEastAsia"/>
        </w:rPr>
      </w:pPr>
      <w:hyperlink w:anchor="_Toc149245281" w:history="1">
        <w:r w:rsidR="00823630" w:rsidRPr="008E2604">
          <w:rPr>
            <w:rStyle w:val="Hyperlink"/>
          </w:rPr>
          <w:t>Table 3.7: Summary of expenses, residential care providers, 2019-2020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_Toc149245281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65</w:t>
        </w:r>
        <w:r w:rsidR="00823630" w:rsidRPr="008E2604">
          <w:rPr>
            <w:rStyle w:val="Hyperlink"/>
            <w:webHidden/>
          </w:rPr>
          <w:fldChar w:fldCharType="end"/>
        </w:r>
      </w:hyperlink>
    </w:p>
    <w:p w14:paraId="4C35A5DF" w14:textId="60C86B31" w:rsidR="00823630" w:rsidRPr="008E2604" w:rsidRDefault="00502D88" w:rsidP="008C1DD1">
      <w:pPr>
        <w:tabs>
          <w:tab w:val="left" w:pos="8647"/>
        </w:tabs>
        <w:rPr>
          <w:rFonts w:eastAsiaTheme="minorEastAsia"/>
        </w:rPr>
      </w:pPr>
      <w:hyperlink w:anchor="_Toc149245282" w:history="1">
        <w:r w:rsidR="00823630" w:rsidRPr="008E2604">
          <w:rPr>
            <w:rStyle w:val="Hyperlink"/>
          </w:rPr>
          <w:t>Table 3.8: Summary of residential care provider expenses, per resident per day, 2017-18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_Toc149245282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66</w:t>
        </w:r>
        <w:r w:rsidR="00823630" w:rsidRPr="008E2604">
          <w:rPr>
            <w:rStyle w:val="Hyperlink"/>
            <w:webHidden/>
          </w:rPr>
          <w:fldChar w:fldCharType="end"/>
        </w:r>
      </w:hyperlink>
    </w:p>
    <w:p w14:paraId="4129480F" w14:textId="3E0D27DB" w:rsidR="00823630" w:rsidRPr="008E2604" w:rsidRDefault="00502D88" w:rsidP="008C1DD1">
      <w:pPr>
        <w:tabs>
          <w:tab w:val="left" w:pos="8647"/>
        </w:tabs>
        <w:rPr>
          <w:rFonts w:eastAsiaTheme="minorEastAsia"/>
        </w:rPr>
      </w:pPr>
      <w:hyperlink w:anchor="_Toc149245283" w:history="1">
        <w:r w:rsidR="00823630" w:rsidRPr="008E2604">
          <w:rPr>
            <w:rStyle w:val="Hyperlink"/>
          </w:rPr>
          <w:t>Table 3.9: Breakdown of residential care provider expenses, 2019-20 to 2021-22 ($m)</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_Toc149245283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67</w:t>
        </w:r>
        <w:r w:rsidR="00823630" w:rsidRPr="008E2604">
          <w:rPr>
            <w:rStyle w:val="Hyperlink"/>
            <w:webHidden/>
          </w:rPr>
          <w:fldChar w:fldCharType="end"/>
        </w:r>
      </w:hyperlink>
    </w:p>
    <w:p w14:paraId="67BE3E70" w14:textId="4AD4A5F9" w:rsidR="00823630" w:rsidRPr="008E2604" w:rsidRDefault="00502D88" w:rsidP="008E2604">
      <w:pPr>
        <w:rPr>
          <w:rFonts w:eastAsiaTheme="minorEastAsia"/>
        </w:rPr>
      </w:pPr>
      <w:hyperlink w:anchor="_Toc149245284" w:history="1">
        <w:r w:rsidR="00823630" w:rsidRPr="008E2604">
          <w:rPr>
            <w:rStyle w:val="Hyperlink"/>
          </w:rPr>
          <w:t>Table 4.1: Balance sheet of residential care providers, 2017-18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_Toc149245284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78</w:t>
        </w:r>
        <w:r w:rsidR="00823630" w:rsidRPr="008E2604">
          <w:rPr>
            <w:rStyle w:val="Hyperlink"/>
            <w:webHidden/>
          </w:rPr>
          <w:fldChar w:fldCharType="end"/>
        </w:r>
      </w:hyperlink>
    </w:p>
    <w:p w14:paraId="086E4A79" w14:textId="4AB288FE" w:rsidR="00823630" w:rsidRPr="008E2604" w:rsidRDefault="00502D88" w:rsidP="008E2604">
      <w:pPr>
        <w:rPr>
          <w:rFonts w:eastAsiaTheme="minorEastAsia"/>
        </w:rPr>
      </w:pPr>
      <w:hyperlink w:anchor="_Toc149245285" w:history="1">
        <w:r w:rsidR="00823630" w:rsidRPr="008E2604">
          <w:rPr>
            <w:rStyle w:val="Hyperlink"/>
          </w:rPr>
          <w:t>Table 4.2: Balance sheet, by ownership type, at 30 June 2022 ($m)</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_Toc149245285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78</w:t>
        </w:r>
        <w:r w:rsidR="00823630" w:rsidRPr="008E2604">
          <w:rPr>
            <w:rStyle w:val="Hyperlink"/>
            <w:webHidden/>
          </w:rPr>
          <w:fldChar w:fldCharType="end"/>
        </w:r>
      </w:hyperlink>
    </w:p>
    <w:p w14:paraId="0A2BBA22" w14:textId="79BB3EDD" w:rsidR="00823630" w:rsidRPr="008E2604" w:rsidRDefault="00502D88" w:rsidP="008C1DD1">
      <w:pPr>
        <w:tabs>
          <w:tab w:val="left" w:pos="8647"/>
        </w:tabs>
        <w:rPr>
          <w:rFonts w:eastAsiaTheme="minorEastAsia"/>
        </w:rPr>
      </w:pPr>
      <w:hyperlink w:anchor="_Toc149245286" w:history="1">
        <w:r w:rsidR="00823630" w:rsidRPr="008E2604">
          <w:rPr>
            <w:rStyle w:val="Hyperlink"/>
          </w:rPr>
          <w:t>Table 4.3: Disaggregated balance sheet by provider ownership type, at 30 June 2022 ($m)</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_Toc149245286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79</w:t>
        </w:r>
        <w:r w:rsidR="00823630" w:rsidRPr="008E2604">
          <w:rPr>
            <w:rStyle w:val="Hyperlink"/>
            <w:webHidden/>
          </w:rPr>
          <w:fldChar w:fldCharType="end"/>
        </w:r>
      </w:hyperlink>
    </w:p>
    <w:p w14:paraId="4A906A57" w14:textId="67A22FC5" w:rsidR="00823630" w:rsidRPr="008E2604" w:rsidRDefault="00502D88" w:rsidP="008C1DD1">
      <w:pPr>
        <w:tabs>
          <w:tab w:val="left" w:pos="8647"/>
        </w:tabs>
        <w:rPr>
          <w:rFonts w:eastAsiaTheme="minorEastAsia"/>
        </w:rPr>
      </w:pPr>
      <w:hyperlink w:anchor="_Toc149245287" w:history="1">
        <w:r w:rsidR="00823630" w:rsidRPr="008E2604">
          <w:rPr>
            <w:rStyle w:val="Hyperlink"/>
          </w:rPr>
          <w:t>Table 4.4: Average value of RADs held by providers, 2017-18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_Toc149245287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82</w:t>
        </w:r>
        <w:r w:rsidR="00823630" w:rsidRPr="008E2604">
          <w:rPr>
            <w:rStyle w:val="Hyperlink"/>
            <w:webHidden/>
          </w:rPr>
          <w:fldChar w:fldCharType="end"/>
        </w:r>
      </w:hyperlink>
    </w:p>
    <w:p w14:paraId="214C6A18" w14:textId="74873932" w:rsidR="00823630" w:rsidRPr="008E2604" w:rsidRDefault="00502D88" w:rsidP="008C1DD1">
      <w:pPr>
        <w:tabs>
          <w:tab w:val="left" w:pos="8647"/>
        </w:tabs>
        <w:rPr>
          <w:rFonts w:eastAsiaTheme="minorEastAsia"/>
        </w:rPr>
      </w:pPr>
      <w:hyperlink w:anchor="_Toc149245288" w:history="1">
        <w:r w:rsidR="00823630" w:rsidRPr="008E2604">
          <w:rPr>
            <w:rStyle w:val="Hyperlink"/>
          </w:rPr>
          <w:t>Table 5.1: CHSP expenditure by service type 2019-20 to 2021-22</w:t>
        </w:r>
        <w:r w:rsidR="00823630" w:rsidRPr="008E2604">
          <w:rPr>
            <w:rStyle w:val="Hyperlink"/>
            <w:webHidden/>
          </w:rPr>
          <w:tab/>
        </w:r>
        <w:r w:rsidR="00823630" w:rsidRPr="008E2604">
          <w:rPr>
            <w:rStyle w:val="Hyperlink"/>
            <w:webHidden/>
          </w:rPr>
          <w:fldChar w:fldCharType="begin"/>
        </w:r>
        <w:r w:rsidR="00823630" w:rsidRPr="008E2604">
          <w:rPr>
            <w:rStyle w:val="Hyperlink"/>
            <w:webHidden/>
          </w:rPr>
          <w:instrText xml:space="preserve"> PAGEREF _Toc149245288 \h </w:instrText>
        </w:r>
        <w:r w:rsidR="00823630" w:rsidRPr="008E2604">
          <w:rPr>
            <w:rStyle w:val="Hyperlink"/>
            <w:webHidden/>
          </w:rPr>
        </w:r>
        <w:r w:rsidR="00823630" w:rsidRPr="008E2604">
          <w:rPr>
            <w:rStyle w:val="Hyperlink"/>
            <w:webHidden/>
          </w:rPr>
          <w:fldChar w:fldCharType="separate"/>
        </w:r>
        <w:r w:rsidR="00294B02" w:rsidRPr="008E2604">
          <w:rPr>
            <w:rStyle w:val="Hyperlink"/>
            <w:webHidden/>
          </w:rPr>
          <w:t>101</w:t>
        </w:r>
        <w:r w:rsidR="00823630" w:rsidRPr="008E2604">
          <w:rPr>
            <w:rStyle w:val="Hyperlink"/>
            <w:webHidden/>
          </w:rPr>
          <w:fldChar w:fldCharType="end"/>
        </w:r>
      </w:hyperlink>
    </w:p>
    <w:p w14:paraId="09C72D47" w14:textId="0B8ED012" w:rsidR="00071C8D" w:rsidRPr="008E2604" w:rsidRDefault="00071C8D" w:rsidP="008E2604">
      <w:r w:rsidRPr="008E2604">
        <w:fldChar w:fldCharType="end"/>
      </w:r>
    </w:p>
    <w:p w14:paraId="64A3048D" w14:textId="55537F1B" w:rsidR="000807D5" w:rsidRDefault="000807D5" w:rsidP="008E2604">
      <w:pPr>
        <w:pStyle w:val="Heading2nonumbers"/>
      </w:pPr>
      <w:bookmarkStart w:id="351" w:name="_Toc149245335"/>
      <w:r>
        <w:t>Figures</w:t>
      </w:r>
      <w:bookmarkEnd w:id="351"/>
    </w:p>
    <w:p w14:paraId="56E7B3B3" w14:textId="523FFFD6" w:rsidR="00400D85" w:rsidRPr="008E2604" w:rsidRDefault="000807D5" w:rsidP="008C1DD1">
      <w:pPr>
        <w:tabs>
          <w:tab w:val="left" w:pos="8647"/>
        </w:tabs>
        <w:rPr>
          <w:rFonts w:eastAsiaTheme="minorEastAsia"/>
        </w:rPr>
      </w:pPr>
      <w:r w:rsidRPr="008E2604">
        <w:fldChar w:fldCharType="begin"/>
      </w:r>
      <w:r w:rsidRPr="008E2604">
        <w:instrText xml:space="preserve"> TOC \h \z \c "Figure" </w:instrText>
      </w:r>
      <w:r w:rsidRPr="008E2604">
        <w:fldChar w:fldCharType="separate"/>
      </w:r>
      <w:hyperlink w:anchor="_Toc141271701" w:history="1">
        <w:r w:rsidR="00400D85" w:rsidRPr="008E2604">
          <w:rPr>
            <w:rStyle w:val="Hyperlink"/>
          </w:rPr>
          <w:t>Figure 3.1: Residential care services</w:t>
        </w:r>
        <w:r w:rsidR="00400D85" w:rsidRPr="008E2604">
          <w:rPr>
            <w:rStyle w:val="Hyperlink"/>
            <w:webHidden/>
          </w:rPr>
          <w:tab/>
        </w:r>
        <w:r w:rsidR="00400D85" w:rsidRPr="008E2604">
          <w:rPr>
            <w:rStyle w:val="Hyperlink"/>
            <w:webHidden/>
          </w:rPr>
          <w:fldChar w:fldCharType="begin"/>
        </w:r>
        <w:r w:rsidR="00400D85" w:rsidRPr="008E2604">
          <w:rPr>
            <w:rStyle w:val="Hyperlink"/>
            <w:webHidden/>
          </w:rPr>
          <w:instrText xml:space="preserve"> PAGEREF _Toc141271701 \h </w:instrText>
        </w:r>
        <w:r w:rsidR="00400D85" w:rsidRPr="008E2604">
          <w:rPr>
            <w:rStyle w:val="Hyperlink"/>
            <w:webHidden/>
          </w:rPr>
        </w:r>
        <w:r w:rsidR="00400D85" w:rsidRPr="008E2604">
          <w:rPr>
            <w:rStyle w:val="Hyperlink"/>
            <w:webHidden/>
          </w:rPr>
          <w:fldChar w:fldCharType="separate"/>
        </w:r>
        <w:r w:rsidR="00294B02" w:rsidRPr="008E2604">
          <w:rPr>
            <w:rStyle w:val="Hyperlink"/>
            <w:webHidden/>
          </w:rPr>
          <w:t>53</w:t>
        </w:r>
        <w:r w:rsidR="00400D85" w:rsidRPr="008E2604">
          <w:rPr>
            <w:rStyle w:val="Hyperlink"/>
            <w:webHidden/>
          </w:rPr>
          <w:fldChar w:fldCharType="end"/>
        </w:r>
      </w:hyperlink>
    </w:p>
    <w:p w14:paraId="11E5C3C1" w14:textId="38210697" w:rsidR="00400D85" w:rsidRPr="008E2604" w:rsidRDefault="00502D88" w:rsidP="008C1DD1">
      <w:pPr>
        <w:tabs>
          <w:tab w:val="left" w:pos="8647"/>
        </w:tabs>
        <w:rPr>
          <w:rFonts w:eastAsiaTheme="minorEastAsia"/>
        </w:rPr>
      </w:pPr>
      <w:hyperlink w:anchor="_Toc141271702" w:history="1">
        <w:r w:rsidR="00400D85" w:rsidRPr="008E2604">
          <w:rPr>
            <w:rStyle w:val="Hyperlink"/>
          </w:rPr>
          <w:t>Figure 3.2: Summary of financial performance, income and expense category comparison, per resident per day, all providers, 2021-22</w:t>
        </w:r>
        <w:r w:rsidR="00400D85" w:rsidRPr="008E2604">
          <w:rPr>
            <w:rStyle w:val="Hyperlink"/>
            <w:webHidden/>
          </w:rPr>
          <w:tab/>
        </w:r>
        <w:r w:rsidR="00400D85" w:rsidRPr="008E2604">
          <w:rPr>
            <w:rStyle w:val="Hyperlink"/>
            <w:webHidden/>
          </w:rPr>
          <w:fldChar w:fldCharType="begin"/>
        </w:r>
        <w:r w:rsidR="00400D85" w:rsidRPr="008E2604">
          <w:rPr>
            <w:rStyle w:val="Hyperlink"/>
            <w:webHidden/>
          </w:rPr>
          <w:instrText xml:space="preserve"> PAGEREF _Toc141271702 \h </w:instrText>
        </w:r>
        <w:r w:rsidR="00400D85" w:rsidRPr="008E2604">
          <w:rPr>
            <w:rStyle w:val="Hyperlink"/>
            <w:webHidden/>
          </w:rPr>
        </w:r>
        <w:r w:rsidR="00400D85" w:rsidRPr="008E2604">
          <w:rPr>
            <w:rStyle w:val="Hyperlink"/>
            <w:webHidden/>
          </w:rPr>
          <w:fldChar w:fldCharType="separate"/>
        </w:r>
        <w:r w:rsidR="00294B02" w:rsidRPr="008E2604">
          <w:rPr>
            <w:rStyle w:val="Hyperlink"/>
            <w:webHidden/>
          </w:rPr>
          <w:t>57</w:t>
        </w:r>
        <w:r w:rsidR="00400D85" w:rsidRPr="008E2604">
          <w:rPr>
            <w:rStyle w:val="Hyperlink"/>
            <w:webHidden/>
          </w:rPr>
          <w:fldChar w:fldCharType="end"/>
        </w:r>
      </w:hyperlink>
    </w:p>
    <w:p w14:paraId="22EE1C1B" w14:textId="0785000E" w:rsidR="00837C70" w:rsidRPr="008E2604" w:rsidRDefault="000807D5" w:rsidP="008E2604">
      <w:r w:rsidRPr="008E2604">
        <w:fldChar w:fldCharType="end"/>
      </w:r>
    </w:p>
    <w:sectPr w:rsidR="00837C70" w:rsidRPr="008E2604" w:rsidSect="00A512E6">
      <w:headerReference w:type="even" r:id="rId140"/>
      <w:headerReference w:type="default" r:id="rId141"/>
      <w:footerReference w:type="default" r:id="rId142"/>
      <w:headerReference w:type="first" r:id="rId143"/>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1F6962" w14:textId="77777777" w:rsidR="002F6110" w:rsidRDefault="002F6110" w:rsidP="00934368">
      <w:r>
        <w:separator/>
      </w:r>
    </w:p>
    <w:p w14:paraId="271ABEB4" w14:textId="77777777" w:rsidR="002F6110" w:rsidRDefault="002F6110" w:rsidP="00934368"/>
  </w:endnote>
  <w:endnote w:type="continuationSeparator" w:id="0">
    <w:p w14:paraId="118FB2E0" w14:textId="77777777" w:rsidR="002F6110" w:rsidRDefault="002F6110" w:rsidP="00934368">
      <w:r>
        <w:continuationSeparator/>
      </w:r>
    </w:p>
    <w:p w14:paraId="50CDE7CF" w14:textId="77777777" w:rsidR="002F6110" w:rsidRDefault="002F6110" w:rsidP="00934368"/>
  </w:endnote>
  <w:endnote w:type="continuationNotice" w:id="1">
    <w:p w14:paraId="49A72651" w14:textId="77777777" w:rsidR="002F6110" w:rsidRDefault="002F6110"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Degular">
    <w:altName w:val="Cambria"/>
    <w:charset w:val="00"/>
    <w:family w:val="roman"/>
    <w:pitch w:val="variable"/>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9BBB1" w14:textId="3FAEBBA8" w:rsidR="00751A23" w:rsidRPr="00386805" w:rsidRDefault="00386805" w:rsidP="00934368">
    <w:pPr>
      <w:pStyle w:val="Footer"/>
      <w:rPr>
        <w:sz w:val="21"/>
        <w:szCs w:val="21"/>
      </w:rPr>
    </w:pPr>
    <w:r w:rsidRPr="00386805">
      <w:rPr>
        <w:sz w:val="21"/>
        <w:szCs w:val="21"/>
      </w:rPr>
      <w:t xml:space="preserve"> </w:t>
    </w:r>
    <w:r>
      <w:rPr>
        <w:sz w:val="21"/>
        <w:szCs w:val="21"/>
      </w:rPr>
      <w:t xml:space="preserve"> </w:t>
    </w:r>
    <w:sdt>
      <w:sdtPr>
        <w:rPr>
          <w:sz w:val="21"/>
          <w:szCs w:val="21"/>
        </w:rPr>
        <w:id w:val="-443848716"/>
        <w:docPartObj>
          <w:docPartGallery w:val="Page Numbers (Bottom of Page)"/>
          <w:docPartUnique/>
        </w:docPartObj>
      </w:sdtPr>
      <w:sdtEndPr>
        <w:rPr>
          <w:noProof/>
        </w:rPr>
      </w:sdtEndPr>
      <w:sdtContent>
        <w:r w:rsidR="00751A23" w:rsidRPr="00386805">
          <w:rPr>
            <w:sz w:val="21"/>
            <w:szCs w:val="21"/>
          </w:rPr>
          <w:tab/>
        </w:r>
        <w:r w:rsidR="00560815">
          <w:rPr>
            <w:sz w:val="21"/>
            <w:szCs w:val="21"/>
          </w:rPr>
          <w:t xml:space="preserve">Financial report on the Australia Aged </w:t>
        </w:r>
        <w:r w:rsidR="004F29D1">
          <w:rPr>
            <w:sz w:val="21"/>
            <w:szCs w:val="21"/>
          </w:rPr>
          <w:t>C</w:t>
        </w:r>
        <w:r w:rsidR="00560815">
          <w:rPr>
            <w:sz w:val="21"/>
            <w:szCs w:val="21"/>
          </w:rPr>
          <w:t xml:space="preserve">are </w:t>
        </w:r>
        <w:r w:rsidR="004F29D1">
          <w:rPr>
            <w:sz w:val="21"/>
            <w:szCs w:val="21"/>
          </w:rPr>
          <w:t>S</w:t>
        </w:r>
        <w:r w:rsidR="00560815">
          <w:rPr>
            <w:sz w:val="21"/>
            <w:szCs w:val="21"/>
          </w:rPr>
          <w:t>ecto</w:t>
        </w:r>
        <w:r w:rsidR="00EB7BAD">
          <w:rPr>
            <w:sz w:val="21"/>
            <w:szCs w:val="21"/>
          </w:rPr>
          <w:t>r</w:t>
        </w:r>
        <w:r w:rsidRPr="009B5601">
          <w:rPr>
            <w:color w:val="1E1545" w:themeColor="text1"/>
            <w:sz w:val="21"/>
            <w:szCs w:val="21"/>
          </w:rPr>
          <w:t xml:space="preserve"> |</w:t>
        </w:r>
        <w:r w:rsidRPr="00386805">
          <w:rPr>
            <w:color w:val="2AB1BB" w:themeColor="accent1"/>
            <w:sz w:val="21"/>
            <w:szCs w:val="21"/>
          </w:rPr>
          <w:t xml:space="preserve"> </w:t>
        </w:r>
        <w:r w:rsidR="00FC68B2">
          <w:rPr>
            <w:sz w:val="21"/>
            <w:szCs w:val="21"/>
          </w:rPr>
          <w:t>Contents</w:t>
        </w:r>
        <w:r w:rsidR="006857FA">
          <w:rPr>
            <w:sz w:val="21"/>
            <w:szCs w:val="21"/>
          </w:rPr>
          <w:t xml:space="preserve"> </w:t>
        </w:r>
        <w:r>
          <w:rPr>
            <w:b/>
            <w:bCs/>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p w14:paraId="703B096D" w14:textId="77777777" w:rsidR="007936FC" w:rsidRDefault="007936FC" w:rsidP="00C4585D">
    <w:pPr>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D6A55" w14:textId="77777777" w:rsidR="00D2072D" w:rsidRPr="00386805" w:rsidRDefault="00D2072D"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w:t>
    </w:r>
    <w:r w:rsidRPr="009B5601">
      <w:rPr>
        <w:color w:val="1E1545" w:themeColor="text1"/>
        <w:sz w:val="21"/>
        <w:szCs w:val="21"/>
      </w:rPr>
      <w:t xml:space="preserve"> |</w:t>
    </w:r>
    <w:r>
      <w:rPr>
        <w:color w:val="1E1545" w:themeColor="text1"/>
        <w:sz w:val="21"/>
        <w:szCs w:val="21"/>
      </w:rPr>
      <w:t xml:space="preserve"> Chapter 3</w:t>
    </w:r>
    <w:r>
      <w:rPr>
        <w:color w:val="1E1545" w:themeColor="text1"/>
        <w:sz w:val="21"/>
        <w:szCs w:val="21"/>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F5921" w14:textId="31CBDAD7" w:rsidR="0016002D" w:rsidRPr="00386805" w:rsidRDefault="0016002D" w:rsidP="00934368">
    <w:pPr>
      <w:pStyle w:val="Footer"/>
      <w:rPr>
        <w:sz w:val="21"/>
        <w:szCs w:val="21"/>
      </w:rPr>
    </w:pPr>
    <w:r>
      <w:rPr>
        <w:sz w:val="21"/>
        <w:szCs w:val="21"/>
      </w:rPr>
      <w:t xml:space="preserve"> </w:t>
    </w:r>
    <w:sdt>
      <w:sdtPr>
        <w:rPr>
          <w:sz w:val="21"/>
          <w:szCs w:val="21"/>
        </w:rPr>
        <w:id w:val="-531653962"/>
        <w:docPartObj>
          <w:docPartGallery w:val="Page Numbers (Bottom of Page)"/>
          <w:docPartUnique/>
        </w:docPartObj>
      </w:sdtPr>
      <w:sdtEndPr>
        <w:rPr>
          <w:noProof/>
        </w:rPr>
      </w:sdtEndPr>
      <w:sdtContent>
        <w:r w:rsidRPr="00386805">
          <w:rPr>
            <w:sz w:val="21"/>
            <w:szCs w:val="21"/>
          </w:rPr>
          <w:tab/>
        </w:r>
        <w:r>
          <w:rPr>
            <w:sz w:val="21"/>
            <w:szCs w:val="21"/>
          </w:rPr>
          <w:t>Financial Report on the Australia Aged Care Sector</w:t>
        </w:r>
        <w:r w:rsidRPr="009B5601">
          <w:rPr>
            <w:color w:val="1E1545" w:themeColor="text1"/>
            <w:sz w:val="21"/>
            <w:szCs w:val="21"/>
          </w:rPr>
          <w:t xml:space="preserve"> |</w:t>
        </w:r>
        <w:r w:rsidRPr="00386805">
          <w:rPr>
            <w:color w:val="2AB1BB" w:themeColor="accent1"/>
            <w:sz w:val="21"/>
            <w:szCs w:val="21"/>
          </w:rPr>
          <w:t xml:space="preserve"> </w:t>
        </w:r>
        <w:r>
          <w:rPr>
            <w:sz w:val="21"/>
            <w:szCs w:val="21"/>
          </w:rPr>
          <w:t>Chapter 3</w:t>
        </w:r>
        <w:r>
          <w:rPr>
            <w:b/>
            <w:bCs/>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p w14:paraId="35CB1A4F" w14:textId="77777777" w:rsidR="0016002D" w:rsidRDefault="0016002D">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B825E" w14:textId="77777777" w:rsidR="00611BA8" w:rsidRPr="00386805" w:rsidRDefault="00611BA8"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w:t>
    </w:r>
    <w:r w:rsidRPr="009B5601">
      <w:rPr>
        <w:color w:val="1E1545" w:themeColor="text1"/>
        <w:sz w:val="21"/>
        <w:szCs w:val="21"/>
      </w:rPr>
      <w:t xml:space="preserve"> |</w:t>
    </w:r>
    <w:r>
      <w:rPr>
        <w:color w:val="1E1545" w:themeColor="text1"/>
        <w:sz w:val="21"/>
        <w:szCs w:val="21"/>
      </w:rPr>
      <w:t xml:space="preserve"> Chapter 3</w:t>
    </w:r>
    <w:r>
      <w:rPr>
        <w:color w:val="1E1545" w:themeColor="text1"/>
        <w:sz w:val="21"/>
        <w:szCs w:val="21"/>
      </w:rP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34919" w14:textId="3F48E1CA" w:rsidR="00B13D8E" w:rsidRPr="00386805" w:rsidRDefault="00B13D8E"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w:t>
    </w:r>
    <w:r w:rsidRPr="009B5601">
      <w:rPr>
        <w:color w:val="1E1545" w:themeColor="text1"/>
        <w:sz w:val="21"/>
        <w:szCs w:val="21"/>
      </w:rPr>
      <w:t xml:space="preserve"> |</w:t>
    </w:r>
    <w:r>
      <w:rPr>
        <w:color w:val="1E1545" w:themeColor="text1"/>
        <w:sz w:val="21"/>
        <w:szCs w:val="21"/>
      </w:rPr>
      <w:t xml:space="preserve"> Chapter 4</w:t>
    </w:r>
    <w:r>
      <w:rPr>
        <w:color w:val="1E1545" w:themeColor="text1"/>
        <w:sz w:val="21"/>
        <w:szCs w:val="21"/>
      </w:rPr>
      <w:tab/>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C92C1" w14:textId="22EA3617" w:rsidR="00B13D8E" w:rsidRPr="00AF0B29" w:rsidRDefault="00B13D8E" w:rsidP="00AF0B29">
    <w:pPr>
      <w:pStyle w:val="Footer"/>
      <w:rPr>
        <w:sz w:val="21"/>
        <w:szCs w:val="21"/>
      </w:rPr>
    </w:pPr>
    <w:r>
      <w:rPr>
        <w:sz w:val="21"/>
        <w:szCs w:val="21"/>
      </w:rPr>
      <w:t xml:space="preserve"> </w:t>
    </w:r>
    <w:sdt>
      <w:sdtPr>
        <w:rPr>
          <w:sz w:val="21"/>
          <w:szCs w:val="21"/>
        </w:rPr>
        <w:id w:val="-960267145"/>
        <w:docPartObj>
          <w:docPartGallery w:val="Page Numbers (Bottom of Page)"/>
          <w:docPartUnique/>
        </w:docPartObj>
      </w:sdtPr>
      <w:sdtEndPr>
        <w:rPr>
          <w:noProof/>
        </w:rPr>
      </w:sdtEndPr>
      <w:sdtContent>
        <w:r w:rsidRPr="00386805">
          <w:rPr>
            <w:sz w:val="21"/>
            <w:szCs w:val="21"/>
          </w:rPr>
          <w:tab/>
        </w:r>
        <w:r>
          <w:rPr>
            <w:sz w:val="21"/>
            <w:szCs w:val="21"/>
          </w:rPr>
          <w:t>Financial Report on the Australia Aged Care Sector</w:t>
        </w:r>
        <w:r w:rsidRPr="009B5601">
          <w:rPr>
            <w:color w:val="1E1545" w:themeColor="text1"/>
            <w:sz w:val="21"/>
            <w:szCs w:val="21"/>
          </w:rPr>
          <w:t xml:space="preserve"> |</w:t>
        </w:r>
        <w:r w:rsidRPr="00386805">
          <w:rPr>
            <w:color w:val="2AB1BB" w:themeColor="accent1"/>
            <w:sz w:val="21"/>
            <w:szCs w:val="21"/>
          </w:rPr>
          <w:t xml:space="preserve"> </w:t>
        </w:r>
        <w:r>
          <w:rPr>
            <w:sz w:val="21"/>
            <w:szCs w:val="21"/>
          </w:rPr>
          <w:t>Chapter 4</w:t>
        </w:r>
        <w:r>
          <w:rPr>
            <w:b/>
            <w:bCs/>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0965F" w14:textId="79379D3A" w:rsidR="00B13D8E" w:rsidRPr="00386805" w:rsidRDefault="00B13D8E"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w:t>
    </w:r>
    <w:r w:rsidRPr="009B5601">
      <w:rPr>
        <w:color w:val="1E1545" w:themeColor="text1"/>
        <w:sz w:val="21"/>
        <w:szCs w:val="21"/>
      </w:rPr>
      <w:t xml:space="preserve"> |</w:t>
    </w:r>
    <w:r>
      <w:rPr>
        <w:color w:val="1E1545" w:themeColor="text1"/>
        <w:sz w:val="21"/>
        <w:szCs w:val="21"/>
      </w:rPr>
      <w:t xml:space="preserve"> Chapter 5</w:t>
    </w:r>
    <w:r>
      <w:rPr>
        <w:color w:val="1E1545" w:themeColor="text1"/>
        <w:sz w:val="21"/>
        <w:szCs w:val="21"/>
      </w:rPr>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5BE6F" w14:textId="60E7A343" w:rsidR="00B13D8E" w:rsidRPr="00386805" w:rsidRDefault="00B13D8E" w:rsidP="00934368">
    <w:pPr>
      <w:pStyle w:val="Footer"/>
      <w:rPr>
        <w:sz w:val="21"/>
        <w:szCs w:val="21"/>
      </w:rPr>
    </w:pPr>
    <w:r>
      <w:rPr>
        <w:sz w:val="21"/>
        <w:szCs w:val="21"/>
      </w:rPr>
      <w:t xml:space="preserve"> </w:t>
    </w:r>
    <w:sdt>
      <w:sdtPr>
        <w:rPr>
          <w:sz w:val="21"/>
          <w:szCs w:val="21"/>
        </w:rPr>
        <w:id w:val="1745527408"/>
        <w:docPartObj>
          <w:docPartGallery w:val="Page Numbers (Bottom of Page)"/>
          <w:docPartUnique/>
        </w:docPartObj>
      </w:sdtPr>
      <w:sdtEndPr>
        <w:rPr>
          <w:noProof/>
        </w:rPr>
      </w:sdtEndPr>
      <w:sdtContent>
        <w:r w:rsidRPr="00386805">
          <w:rPr>
            <w:sz w:val="21"/>
            <w:szCs w:val="21"/>
          </w:rPr>
          <w:tab/>
        </w:r>
        <w:r>
          <w:rPr>
            <w:sz w:val="21"/>
            <w:szCs w:val="21"/>
          </w:rPr>
          <w:t>Financial Report on the Australia Aged Care Sector</w:t>
        </w:r>
        <w:r w:rsidRPr="009B5601">
          <w:rPr>
            <w:color w:val="1E1545" w:themeColor="text1"/>
            <w:sz w:val="21"/>
            <w:szCs w:val="21"/>
          </w:rPr>
          <w:t xml:space="preserve"> |</w:t>
        </w:r>
        <w:r w:rsidRPr="00386805">
          <w:rPr>
            <w:color w:val="2AB1BB" w:themeColor="accent1"/>
            <w:sz w:val="21"/>
            <w:szCs w:val="21"/>
          </w:rPr>
          <w:t xml:space="preserve"> </w:t>
        </w:r>
        <w:r>
          <w:rPr>
            <w:sz w:val="21"/>
            <w:szCs w:val="21"/>
          </w:rPr>
          <w:t>Chapter 5</w:t>
        </w:r>
        <w:r>
          <w:rPr>
            <w:b/>
            <w:bCs/>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p w14:paraId="0E675D3A" w14:textId="77777777" w:rsidR="00B13D8E" w:rsidRDefault="00B13D8E" w:rsidP="00FD5C85">
    <w:pPr>
      <w:ind w:right="240"/>
      <w:jc w:val="righ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64495" w14:textId="7B94BC6F" w:rsidR="006D4AC5" w:rsidRDefault="00EE047F"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sidR="00B13D8E">
      <w:rPr>
        <w:b/>
        <w:bCs/>
        <w:noProof/>
        <w:sz w:val="21"/>
        <w:szCs w:val="21"/>
      </w:rPr>
      <w:t xml:space="preserve">  </w:t>
    </w:r>
    <w:r w:rsidR="00B13D8E">
      <w:rPr>
        <w:sz w:val="21"/>
        <w:szCs w:val="21"/>
      </w:rPr>
      <w:t>Financial Report on the Australian Aged Care Sector</w:t>
    </w:r>
    <w:r w:rsidR="00B13D8E" w:rsidRPr="009B5601">
      <w:rPr>
        <w:color w:val="1E1545" w:themeColor="text1"/>
        <w:sz w:val="21"/>
        <w:szCs w:val="21"/>
      </w:rPr>
      <w:t xml:space="preserve"> |</w:t>
    </w:r>
    <w:r w:rsidR="00B13D8E">
      <w:rPr>
        <w:color w:val="1E1545" w:themeColor="text1"/>
        <w:sz w:val="21"/>
        <w:szCs w:val="21"/>
      </w:rPr>
      <w:t xml:space="preserve"> Chapter </w:t>
    </w:r>
    <w:r w:rsidR="00A83515">
      <w:rPr>
        <w:color w:val="1E1545" w:themeColor="text1"/>
        <w:sz w:val="21"/>
        <w:szCs w:val="21"/>
      </w:rPr>
      <w:t>6</w:t>
    </w:r>
    <w:r w:rsidR="00B13D8E">
      <w:rPr>
        <w:color w:val="1E1545" w:themeColor="text1"/>
        <w:sz w:val="21"/>
        <w:szCs w:val="21"/>
      </w:rPr>
      <w:tab/>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4990D" w14:textId="547469C6" w:rsidR="00A83515" w:rsidRPr="003364A5" w:rsidRDefault="00A83515" w:rsidP="003364A5">
    <w:pPr>
      <w:pStyle w:val="Footer"/>
      <w:rPr>
        <w:sz w:val="21"/>
        <w:szCs w:val="21"/>
      </w:rPr>
    </w:pPr>
    <w:r>
      <w:rPr>
        <w:sz w:val="21"/>
        <w:szCs w:val="21"/>
      </w:rPr>
      <w:t xml:space="preserve"> </w:t>
    </w:r>
    <w:sdt>
      <w:sdtPr>
        <w:rPr>
          <w:sz w:val="21"/>
          <w:szCs w:val="21"/>
        </w:rPr>
        <w:id w:val="418753117"/>
        <w:docPartObj>
          <w:docPartGallery w:val="Page Numbers (Bottom of Page)"/>
          <w:docPartUnique/>
        </w:docPartObj>
      </w:sdtPr>
      <w:sdtEndPr>
        <w:rPr>
          <w:noProof/>
        </w:rPr>
      </w:sdtEndPr>
      <w:sdtContent>
        <w:r w:rsidRPr="00386805">
          <w:rPr>
            <w:sz w:val="21"/>
            <w:szCs w:val="21"/>
          </w:rPr>
          <w:tab/>
        </w:r>
        <w:r>
          <w:rPr>
            <w:sz w:val="21"/>
            <w:szCs w:val="21"/>
          </w:rPr>
          <w:t>Financial Report on the Australia Aged Care Sector</w:t>
        </w:r>
        <w:r w:rsidRPr="009B5601">
          <w:rPr>
            <w:color w:val="1E1545" w:themeColor="text1"/>
            <w:sz w:val="21"/>
            <w:szCs w:val="21"/>
          </w:rPr>
          <w:t xml:space="preserve"> |</w:t>
        </w:r>
        <w:r w:rsidRPr="00386805">
          <w:rPr>
            <w:color w:val="2AB1BB" w:themeColor="accent1"/>
            <w:sz w:val="21"/>
            <w:szCs w:val="21"/>
          </w:rPr>
          <w:t xml:space="preserve"> </w:t>
        </w:r>
        <w:r>
          <w:rPr>
            <w:sz w:val="21"/>
            <w:szCs w:val="21"/>
          </w:rPr>
          <w:t>Chapter 6</w:t>
        </w:r>
        <w:r>
          <w:rPr>
            <w:b/>
            <w:bCs/>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437E8" w14:textId="70A98805" w:rsidR="00316A8D" w:rsidRPr="00766D63" w:rsidRDefault="00EE047F" w:rsidP="00386805">
    <w:pPr>
      <w:pStyle w:val="Footer"/>
      <w:jc w:val="left"/>
      <w:rPr>
        <w:b/>
        <w:sz w:val="22"/>
        <w:szCs w:val="22"/>
      </w:rPr>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sidR="00B13D8E">
      <w:rPr>
        <w:b/>
        <w:bCs/>
        <w:noProof/>
        <w:sz w:val="21"/>
        <w:szCs w:val="21"/>
      </w:rPr>
      <w:t xml:space="preserve">  </w:t>
    </w:r>
    <w:r w:rsidR="00B13D8E">
      <w:rPr>
        <w:sz w:val="21"/>
        <w:szCs w:val="21"/>
      </w:rPr>
      <w:t>Financial Report on the Australian Aged Care Sector</w:t>
    </w:r>
    <w:r w:rsidR="00B13D8E" w:rsidRPr="009B5601">
      <w:rPr>
        <w:color w:val="1E1545" w:themeColor="text1"/>
        <w:sz w:val="21"/>
        <w:szCs w:val="21"/>
      </w:rPr>
      <w:t xml:space="preserve"> |</w:t>
    </w:r>
    <w:r w:rsidR="00B13D8E">
      <w:rPr>
        <w:color w:val="1E1545" w:themeColor="text1"/>
        <w:sz w:val="21"/>
        <w:szCs w:val="21"/>
      </w:rPr>
      <w:t xml:space="preserve"> Chapter 5</w:t>
    </w:r>
    <w:r w:rsidR="00B13D8E">
      <w:rPr>
        <w:color w:val="1E1545" w:themeColor="text1"/>
        <w:sz w:val="21"/>
        <w:szCs w:val="21"/>
      </w:rPr>
      <w:tab/>
    </w:r>
  </w:p>
  <w:p w14:paraId="6AEF3A02" w14:textId="77777777" w:rsidR="0013090F" w:rsidRDefault="0013090F" w:rsidP="00386805">
    <w:pPr>
      <w:pStyle w:val="Footer"/>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F6D0E" w14:textId="4E72327D" w:rsidR="000766A2" w:rsidRPr="00386805" w:rsidRDefault="000766A2"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w:t>
    </w:r>
    <w:r w:rsidRPr="009B5601">
      <w:rPr>
        <w:color w:val="1E1545" w:themeColor="text1"/>
        <w:sz w:val="21"/>
        <w:szCs w:val="21"/>
      </w:rPr>
      <w:t xml:space="preserve"> |</w:t>
    </w:r>
    <w:r w:rsidR="00FC68B2">
      <w:rPr>
        <w:color w:val="1E1545" w:themeColor="text1"/>
        <w:sz w:val="21"/>
        <w:szCs w:val="21"/>
      </w:rPr>
      <w:t xml:space="preserve"> Contents</w:t>
    </w:r>
    <w:r w:rsidR="00FC68B2">
      <w:rPr>
        <w:color w:val="1E1545" w:themeColor="text1"/>
        <w:sz w:val="21"/>
        <w:szCs w:val="21"/>
      </w:rPr>
      <w:tab/>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865FB" w14:textId="56C129BB" w:rsidR="00A83515" w:rsidRPr="00386805" w:rsidRDefault="00A83515" w:rsidP="00934368">
    <w:pPr>
      <w:pStyle w:val="Footer"/>
      <w:rPr>
        <w:sz w:val="21"/>
        <w:szCs w:val="21"/>
      </w:rPr>
    </w:pPr>
    <w:r>
      <w:rPr>
        <w:sz w:val="21"/>
        <w:szCs w:val="21"/>
      </w:rPr>
      <w:t xml:space="preserve"> </w:t>
    </w:r>
    <w:sdt>
      <w:sdtPr>
        <w:rPr>
          <w:sz w:val="21"/>
          <w:szCs w:val="21"/>
        </w:rPr>
        <w:id w:val="-1405282929"/>
        <w:docPartObj>
          <w:docPartGallery w:val="Page Numbers (Bottom of Page)"/>
          <w:docPartUnique/>
        </w:docPartObj>
      </w:sdtPr>
      <w:sdtEndPr>
        <w:rPr>
          <w:noProof/>
        </w:rPr>
      </w:sdtEndPr>
      <w:sdtContent>
        <w:r w:rsidRPr="00386805">
          <w:rPr>
            <w:sz w:val="21"/>
            <w:szCs w:val="21"/>
          </w:rPr>
          <w:tab/>
        </w:r>
        <w:r>
          <w:rPr>
            <w:sz w:val="21"/>
            <w:szCs w:val="21"/>
          </w:rPr>
          <w:t>Financial Report on the Australia Aged Care Sector</w:t>
        </w:r>
        <w:r w:rsidRPr="009B5601">
          <w:rPr>
            <w:color w:val="1E1545" w:themeColor="text1"/>
            <w:sz w:val="21"/>
            <w:szCs w:val="21"/>
          </w:rPr>
          <w:t xml:space="preserve"> |</w:t>
        </w:r>
        <w:r w:rsidRPr="00386805">
          <w:rPr>
            <w:color w:val="2AB1BB" w:themeColor="accent1"/>
            <w:sz w:val="21"/>
            <w:szCs w:val="21"/>
          </w:rPr>
          <w:t xml:space="preserve"> </w:t>
        </w:r>
        <w:r w:rsidRPr="00A83515">
          <w:rPr>
            <w:sz w:val="21"/>
            <w:szCs w:val="21"/>
          </w:rPr>
          <w:t>Appendices</w:t>
        </w:r>
        <w:r>
          <w:rPr>
            <w:b/>
            <w:bCs/>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p w14:paraId="6D0D1896" w14:textId="77777777" w:rsidR="00A83515" w:rsidRDefault="00A83515">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C10EE" w14:textId="4A462542" w:rsidR="00EE047F" w:rsidRPr="00386805" w:rsidRDefault="00EE047F"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 xml:space="preserve">Financial </w:t>
    </w:r>
    <w:r w:rsidR="009A296E">
      <w:rPr>
        <w:sz w:val="21"/>
        <w:szCs w:val="21"/>
      </w:rPr>
      <w:t>R</w:t>
    </w:r>
    <w:r>
      <w:rPr>
        <w:sz w:val="21"/>
        <w:szCs w:val="21"/>
      </w:rPr>
      <w:t xml:space="preserve">eport on the Australian Aged </w:t>
    </w:r>
    <w:r w:rsidR="009A296E">
      <w:rPr>
        <w:sz w:val="21"/>
        <w:szCs w:val="21"/>
      </w:rPr>
      <w:t>C</w:t>
    </w:r>
    <w:r>
      <w:rPr>
        <w:sz w:val="21"/>
        <w:szCs w:val="21"/>
      </w:rPr>
      <w:t xml:space="preserve">are </w:t>
    </w:r>
    <w:r w:rsidR="005E34EC">
      <w:rPr>
        <w:sz w:val="21"/>
        <w:szCs w:val="21"/>
      </w:rPr>
      <w:t>S</w:t>
    </w:r>
    <w:r>
      <w:rPr>
        <w:sz w:val="21"/>
        <w:szCs w:val="21"/>
      </w:rPr>
      <w:t>ector</w:t>
    </w:r>
    <w:r w:rsidRPr="009B5601">
      <w:rPr>
        <w:color w:val="1E1545" w:themeColor="text1"/>
        <w:sz w:val="21"/>
        <w:szCs w:val="21"/>
      </w:rPr>
      <w:t xml:space="preserve"> |</w:t>
    </w:r>
    <w:r>
      <w:rPr>
        <w:color w:val="1E1545" w:themeColor="text1"/>
        <w:sz w:val="21"/>
        <w:szCs w:val="21"/>
      </w:rPr>
      <w:t xml:space="preserve"> Appendices</w:t>
    </w:r>
    <w:r>
      <w:rPr>
        <w:color w:val="1E1545" w:themeColor="text1"/>
        <w:sz w:val="21"/>
        <w:szCs w:val="21"/>
      </w:rPr>
      <w:tab/>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CEAF8" w14:textId="2EEE660D" w:rsidR="00605F12" w:rsidRPr="0004214B" w:rsidRDefault="00605F12" w:rsidP="0004214B">
    <w:pPr>
      <w:pStyle w:val="Footer"/>
      <w:rPr>
        <w:sz w:val="21"/>
        <w:szCs w:val="21"/>
      </w:rPr>
    </w:pPr>
    <w:r>
      <w:rPr>
        <w:sz w:val="21"/>
        <w:szCs w:val="21"/>
      </w:rPr>
      <w:t xml:space="preserve"> </w:t>
    </w:r>
    <w:sdt>
      <w:sdtPr>
        <w:rPr>
          <w:sz w:val="21"/>
          <w:szCs w:val="21"/>
        </w:rPr>
        <w:id w:val="1047415384"/>
        <w:docPartObj>
          <w:docPartGallery w:val="Page Numbers (Bottom of Page)"/>
          <w:docPartUnique/>
        </w:docPartObj>
      </w:sdtPr>
      <w:sdtEndPr>
        <w:rPr>
          <w:noProof/>
        </w:rPr>
      </w:sdtEndPr>
      <w:sdtContent>
        <w:r w:rsidRPr="00386805">
          <w:rPr>
            <w:sz w:val="21"/>
            <w:szCs w:val="21"/>
          </w:rPr>
          <w:tab/>
        </w:r>
        <w:r>
          <w:rPr>
            <w:sz w:val="21"/>
            <w:szCs w:val="21"/>
          </w:rPr>
          <w:t>Financial report on the Australia Aged care sector</w:t>
        </w:r>
        <w:r w:rsidRPr="009B5601">
          <w:rPr>
            <w:color w:val="1E1545" w:themeColor="text1"/>
            <w:sz w:val="21"/>
            <w:szCs w:val="21"/>
          </w:rPr>
          <w:t xml:space="preserve"> |</w:t>
        </w:r>
        <w:r w:rsidRPr="00386805">
          <w:rPr>
            <w:color w:val="2AB1BB" w:themeColor="accent1"/>
            <w:sz w:val="21"/>
            <w:szCs w:val="21"/>
          </w:rPr>
          <w:t xml:space="preserve"> </w:t>
        </w:r>
        <w:r>
          <w:rPr>
            <w:color w:val="1E1545" w:themeColor="text1"/>
            <w:sz w:val="21"/>
            <w:szCs w:val="21"/>
          </w:rPr>
          <w:t xml:space="preserve">Appendices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D2589" w14:textId="569EA20C" w:rsidR="00F51BB7" w:rsidRPr="008C1DD1" w:rsidRDefault="00F51BB7" w:rsidP="008C1DD1">
    <w:pPr>
      <w:pStyle w:val="Footer"/>
      <w:jc w:val="left"/>
      <w:rPr>
        <w:sz w:val="21"/>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6B147" w14:textId="159BC709" w:rsidR="00F04947" w:rsidRPr="00386805" w:rsidRDefault="00F04947"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w:t>
    </w:r>
    <w:r w:rsidRPr="009B5601">
      <w:rPr>
        <w:color w:val="1E1545" w:themeColor="text1"/>
        <w:sz w:val="21"/>
        <w:szCs w:val="21"/>
      </w:rPr>
      <w:t xml:space="preserve"> |</w:t>
    </w:r>
    <w:r>
      <w:rPr>
        <w:color w:val="1E1545" w:themeColor="text1"/>
        <w:sz w:val="21"/>
        <w:szCs w:val="21"/>
      </w:rPr>
      <w:t xml:space="preserve"> </w:t>
    </w:r>
    <w:r w:rsidR="00823496">
      <w:rPr>
        <w:color w:val="1E1545" w:themeColor="text1"/>
        <w:sz w:val="21"/>
        <w:szCs w:val="21"/>
      </w:rPr>
      <w:t>Report summary</w:t>
    </w:r>
    <w:r>
      <w:rPr>
        <w:color w:val="1E1545" w:themeColor="text1"/>
        <w:sz w:val="21"/>
        <w:szCs w:val="21"/>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B11B3" w14:textId="71544013" w:rsidR="00823496" w:rsidRPr="008A6FDC" w:rsidRDefault="00823496" w:rsidP="008A6FDC">
    <w:pPr>
      <w:pStyle w:val="Footer"/>
      <w:rPr>
        <w:sz w:val="21"/>
        <w:szCs w:val="21"/>
      </w:rPr>
    </w:pPr>
    <w:r>
      <w:rPr>
        <w:sz w:val="21"/>
        <w:szCs w:val="21"/>
      </w:rPr>
      <w:t xml:space="preserve"> </w:t>
    </w:r>
    <w:sdt>
      <w:sdtPr>
        <w:rPr>
          <w:sz w:val="21"/>
          <w:szCs w:val="21"/>
        </w:rPr>
        <w:id w:val="-2023702414"/>
        <w:docPartObj>
          <w:docPartGallery w:val="Page Numbers (Bottom of Page)"/>
          <w:docPartUnique/>
        </w:docPartObj>
      </w:sdtPr>
      <w:sdtEndPr>
        <w:rPr>
          <w:noProof/>
        </w:rPr>
      </w:sdtEndPr>
      <w:sdtContent>
        <w:r w:rsidRPr="00386805">
          <w:rPr>
            <w:sz w:val="21"/>
            <w:szCs w:val="21"/>
          </w:rPr>
          <w:tab/>
        </w:r>
        <w:r>
          <w:rPr>
            <w:sz w:val="21"/>
            <w:szCs w:val="21"/>
          </w:rPr>
          <w:t xml:space="preserve">Financial report on the Australia Aged care sector </w:t>
        </w:r>
        <w:r w:rsidRPr="009B5601">
          <w:rPr>
            <w:color w:val="1E1545" w:themeColor="text1"/>
            <w:sz w:val="21"/>
            <w:szCs w:val="21"/>
          </w:rPr>
          <w:t>|</w:t>
        </w:r>
        <w:r>
          <w:rPr>
            <w:color w:val="1E1545" w:themeColor="text1"/>
            <w:sz w:val="21"/>
            <w:szCs w:val="21"/>
          </w:rPr>
          <w:t xml:space="preserve"> Report summary</w:t>
        </w:r>
        <w:r w:rsidRPr="00386805">
          <w:rPr>
            <w:color w:val="2AB1BB" w:themeColor="accent1"/>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CF2C1" w14:textId="77777777" w:rsidR="00BB1167" w:rsidRPr="00386805" w:rsidRDefault="00BB1167"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Financial report on the Australian Aged care sector</w:t>
    </w:r>
    <w:r w:rsidRPr="009B5601">
      <w:rPr>
        <w:color w:val="1E1545" w:themeColor="text1"/>
        <w:sz w:val="21"/>
        <w:szCs w:val="21"/>
      </w:rPr>
      <w:t xml:space="preserve"> |</w:t>
    </w:r>
    <w:r>
      <w:rPr>
        <w:color w:val="1E1545" w:themeColor="text1"/>
        <w:sz w:val="21"/>
        <w:szCs w:val="21"/>
      </w:rPr>
      <w:t xml:space="preserve"> Chapter 1</w:t>
    </w:r>
    <w:r>
      <w:rPr>
        <w:color w:val="1E1545" w:themeColor="text1"/>
        <w:sz w:val="21"/>
        <w:szCs w:val="21"/>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167E3" w14:textId="25D89E45" w:rsidR="00BB1167" w:rsidRPr="00386805" w:rsidRDefault="00BB1167" w:rsidP="00934368">
    <w:pPr>
      <w:pStyle w:val="Footer"/>
      <w:rPr>
        <w:sz w:val="21"/>
        <w:szCs w:val="21"/>
      </w:rPr>
    </w:pPr>
    <w:r>
      <w:rPr>
        <w:sz w:val="21"/>
        <w:szCs w:val="21"/>
      </w:rPr>
      <w:t xml:space="preserve"> </w:t>
    </w:r>
    <w:sdt>
      <w:sdtPr>
        <w:rPr>
          <w:sz w:val="21"/>
          <w:szCs w:val="21"/>
        </w:rPr>
        <w:id w:val="1908405390"/>
        <w:docPartObj>
          <w:docPartGallery w:val="Page Numbers (Bottom of Page)"/>
          <w:docPartUnique/>
        </w:docPartObj>
      </w:sdtPr>
      <w:sdtEndPr>
        <w:rPr>
          <w:noProof/>
        </w:rPr>
      </w:sdtEndPr>
      <w:sdtContent>
        <w:r w:rsidRPr="00386805">
          <w:rPr>
            <w:sz w:val="21"/>
            <w:szCs w:val="21"/>
          </w:rPr>
          <w:tab/>
        </w:r>
        <w:r>
          <w:rPr>
            <w:sz w:val="21"/>
            <w:szCs w:val="21"/>
          </w:rPr>
          <w:t>Financial report on the Australia Aged care sector</w:t>
        </w:r>
        <w:r w:rsidRPr="009B5601">
          <w:rPr>
            <w:color w:val="1E1545" w:themeColor="text1"/>
            <w:sz w:val="21"/>
            <w:szCs w:val="21"/>
          </w:rPr>
          <w:t xml:space="preserve"> |</w:t>
        </w:r>
        <w:r w:rsidRPr="00386805">
          <w:rPr>
            <w:color w:val="2AB1BB" w:themeColor="accent1"/>
            <w:sz w:val="21"/>
            <w:szCs w:val="21"/>
          </w:rPr>
          <w:t xml:space="preserve"> </w:t>
        </w:r>
        <w:r>
          <w:rPr>
            <w:sz w:val="21"/>
            <w:szCs w:val="21"/>
          </w:rPr>
          <w:t xml:space="preserve">Chapter </w:t>
        </w:r>
        <w:r w:rsidR="009B05FC">
          <w:rPr>
            <w:sz w:val="21"/>
            <w:szCs w:val="21"/>
          </w:rPr>
          <w:t>1</w:t>
        </w:r>
        <w:r>
          <w:rPr>
            <w:b/>
            <w:bCs/>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p w14:paraId="2932C1EF" w14:textId="77777777" w:rsidR="00BB1167" w:rsidRDefault="00BB116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13A44" w14:textId="0B2F219F" w:rsidR="000D0AF2" w:rsidRPr="00204DF0" w:rsidRDefault="000D0AF2" w:rsidP="00204DF0">
    <w:pPr>
      <w:pStyle w:val="Footer"/>
      <w:rPr>
        <w:sz w:val="21"/>
        <w:szCs w:val="21"/>
      </w:rPr>
    </w:pPr>
    <w:r>
      <w:rPr>
        <w:sz w:val="21"/>
        <w:szCs w:val="21"/>
      </w:rPr>
      <w:t xml:space="preserve"> </w:t>
    </w:r>
    <w:sdt>
      <w:sdtPr>
        <w:rPr>
          <w:sz w:val="21"/>
          <w:szCs w:val="21"/>
        </w:rPr>
        <w:id w:val="2128741532"/>
        <w:docPartObj>
          <w:docPartGallery w:val="Page Numbers (Bottom of Page)"/>
          <w:docPartUnique/>
        </w:docPartObj>
      </w:sdtPr>
      <w:sdtEndPr>
        <w:rPr>
          <w:noProof/>
        </w:rPr>
      </w:sdtEndPr>
      <w:sdtContent>
        <w:r w:rsidRPr="00386805">
          <w:rPr>
            <w:sz w:val="21"/>
            <w:szCs w:val="21"/>
          </w:rPr>
          <w:tab/>
        </w:r>
        <w:r>
          <w:rPr>
            <w:sz w:val="21"/>
            <w:szCs w:val="21"/>
          </w:rPr>
          <w:t>Financial report on the Australia Aged care sector</w:t>
        </w:r>
        <w:r w:rsidRPr="009B5601">
          <w:rPr>
            <w:color w:val="1E1545" w:themeColor="text1"/>
            <w:sz w:val="21"/>
            <w:szCs w:val="21"/>
          </w:rPr>
          <w:t xml:space="preserve"> |</w:t>
        </w:r>
        <w:r w:rsidRPr="00386805">
          <w:rPr>
            <w:color w:val="2AB1BB" w:themeColor="accent1"/>
            <w:sz w:val="21"/>
            <w:szCs w:val="21"/>
          </w:rPr>
          <w:t xml:space="preserve"> </w:t>
        </w:r>
        <w:r>
          <w:rPr>
            <w:sz w:val="21"/>
            <w:szCs w:val="21"/>
          </w:rPr>
          <w:t>Chapter 1</w:t>
        </w:r>
        <w:r>
          <w:rPr>
            <w:b/>
            <w:bCs/>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29DAD" w14:textId="66DCC6F8" w:rsidR="009B05FC" w:rsidRPr="00386805" w:rsidRDefault="009B05FC"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 xml:space="preserve">Financial </w:t>
    </w:r>
    <w:r w:rsidR="007C1C48">
      <w:rPr>
        <w:sz w:val="21"/>
        <w:szCs w:val="21"/>
      </w:rPr>
      <w:t>R</w:t>
    </w:r>
    <w:r>
      <w:rPr>
        <w:sz w:val="21"/>
        <w:szCs w:val="21"/>
      </w:rPr>
      <w:t xml:space="preserve">eport on the Australian Aged </w:t>
    </w:r>
    <w:r w:rsidR="007C1C48">
      <w:rPr>
        <w:sz w:val="21"/>
        <w:szCs w:val="21"/>
      </w:rPr>
      <w:t>C</w:t>
    </w:r>
    <w:r>
      <w:rPr>
        <w:sz w:val="21"/>
        <w:szCs w:val="21"/>
      </w:rPr>
      <w:t xml:space="preserve">are </w:t>
    </w:r>
    <w:r w:rsidR="007C1C48">
      <w:rPr>
        <w:sz w:val="21"/>
        <w:szCs w:val="21"/>
      </w:rPr>
      <w:t>S</w:t>
    </w:r>
    <w:r>
      <w:rPr>
        <w:sz w:val="21"/>
        <w:szCs w:val="21"/>
      </w:rPr>
      <w:t>ector</w:t>
    </w:r>
    <w:r w:rsidRPr="009B5601">
      <w:rPr>
        <w:color w:val="1E1545" w:themeColor="text1"/>
        <w:sz w:val="21"/>
        <w:szCs w:val="21"/>
      </w:rPr>
      <w:t xml:space="preserve"> |</w:t>
    </w:r>
    <w:r>
      <w:rPr>
        <w:color w:val="1E1545" w:themeColor="text1"/>
        <w:sz w:val="21"/>
        <w:szCs w:val="21"/>
      </w:rPr>
      <w:t xml:space="preserve"> Chapter </w:t>
    </w:r>
    <w:r w:rsidR="00E75D8A">
      <w:rPr>
        <w:color w:val="1E1545" w:themeColor="text1"/>
        <w:sz w:val="21"/>
        <w:szCs w:val="21"/>
      </w:rPr>
      <w:t>2</w:t>
    </w:r>
    <w:r>
      <w:rPr>
        <w:color w:val="1E1545" w:themeColor="text1"/>
        <w:sz w:val="21"/>
        <w:szCs w:val="21"/>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4381F" w14:textId="0087A123" w:rsidR="009B05FC" w:rsidRPr="00CE4AE2" w:rsidRDefault="009B05FC" w:rsidP="00CE4AE2">
    <w:pPr>
      <w:pStyle w:val="Footer"/>
      <w:rPr>
        <w:sz w:val="21"/>
        <w:szCs w:val="21"/>
      </w:rPr>
    </w:pPr>
    <w:r>
      <w:rPr>
        <w:sz w:val="21"/>
        <w:szCs w:val="21"/>
      </w:rPr>
      <w:t xml:space="preserve"> </w:t>
    </w:r>
    <w:sdt>
      <w:sdtPr>
        <w:rPr>
          <w:sz w:val="21"/>
          <w:szCs w:val="21"/>
        </w:rPr>
        <w:id w:val="-786512027"/>
        <w:docPartObj>
          <w:docPartGallery w:val="Page Numbers (Bottom of Page)"/>
          <w:docPartUnique/>
        </w:docPartObj>
      </w:sdtPr>
      <w:sdtEndPr>
        <w:rPr>
          <w:noProof/>
        </w:rPr>
      </w:sdtEndPr>
      <w:sdtContent>
        <w:r w:rsidRPr="00386805">
          <w:rPr>
            <w:sz w:val="21"/>
            <w:szCs w:val="21"/>
          </w:rPr>
          <w:tab/>
        </w:r>
        <w:r>
          <w:rPr>
            <w:sz w:val="21"/>
            <w:szCs w:val="21"/>
          </w:rPr>
          <w:t xml:space="preserve">Financial </w:t>
        </w:r>
        <w:r w:rsidR="00EB718A">
          <w:rPr>
            <w:sz w:val="21"/>
            <w:szCs w:val="21"/>
          </w:rPr>
          <w:t>R</w:t>
        </w:r>
        <w:r>
          <w:rPr>
            <w:sz w:val="21"/>
            <w:szCs w:val="21"/>
          </w:rPr>
          <w:t xml:space="preserve">eport on the Australia Aged </w:t>
        </w:r>
        <w:r w:rsidR="00EB718A">
          <w:rPr>
            <w:sz w:val="21"/>
            <w:szCs w:val="21"/>
          </w:rPr>
          <w:t>C</w:t>
        </w:r>
        <w:r>
          <w:rPr>
            <w:sz w:val="21"/>
            <w:szCs w:val="21"/>
          </w:rPr>
          <w:t xml:space="preserve">are </w:t>
        </w:r>
        <w:r w:rsidR="00EB718A">
          <w:rPr>
            <w:sz w:val="21"/>
            <w:szCs w:val="21"/>
          </w:rPr>
          <w:t>S</w:t>
        </w:r>
        <w:r>
          <w:rPr>
            <w:sz w:val="21"/>
            <w:szCs w:val="21"/>
          </w:rPr>
          <w:t>ector</w:t>
        </w:r>
        <w:r w:rsidRPr="009B5601">
          <w:rPr>
            <w:color w:val="1E1545" w:themeColor="text1"/>
            <w:sz w:val="21"/>
            <w:szCs w:val="21"/>
          </w:rPr>
          <w:t xml:space="preserve"> |</w:t>
        </w:r>
        <w:r w:rsidRPr="00386805">
          <w:rPr>
            <w:color w:val="2AB1BB" w:themeColor="accent1"/>
            <w:sz w:val="21"/>
            <w:szCs w:val="21"/>
          </w:rPr>
          <w:t xml:space="preserve"> </w:t>
        </w:r>
        <w:r>
          <w:rPr>
            <w:sz w:val="21"/>
            <w:szCs w:val="21"/>
          </w:rPr>
          <w:t xml:space="preserve">Chapter </w:t>
        </w:r>
        <w:r w:rsidR="00C05CC3">
          <w:rPr>
            <w:sz w:val="21"/>
            <w:szCs w:val="21"/>
          </w:rPr>
          <w:t>2</w:t>
        </w:r>
        <w:r>
          <w:rPr>
            <w:b/>
            <w:bCs/>
            <w:sz w:val="21"/>
            <w:szCs w:val="21"/>
          </w:rPr>
          <w:t xml:space="preserve"> </w:t>
        </w: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3</w:t>
        </w:r>
        <w:r w:rsidRPr="00386805">
          <w:rPr>
            <w:b/>
            <w:bCs/>
            <w:noProof/>
            <w:sz w:val="21"/>
            <w:szCs w:val="21"/>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F386C0" w14:textId="77777777" w:rsidR="002F6110" w:rsidRDefault="002F6110" w:rsidP="00934368">
      <w:r>
        <w:separator/>
      </w:r>
    </w:p>
  </w:footnote>
  <w:footnote w:type="continuationSeparator" w:id="0">
    <w:p w14:paraId="0A6E867D" w14:textId="77777777" w:rsidR="002F6110" w:rsidRDefault="002F6110" w:rsidP="00934368">
      <w:r>
        <w:continuationSeparator/>
      </w:r>
    </w:p>
    <w:p w14:paraId="4D2A153E" w14:textId="77777777" w:rsidR="002F6110" w:rsidRDefault="002F6110" w:rsidP="00934368"/>
  </w:footnote>
  <w:footnote w:type="continuationNotice" w:id="1">
    <w:p w14:paraId="0F87A143" w14:textId="77777777" w:rsidR="002F6110" w:rsidRDefault="002F6110" w:rsidP="00934368"/>
  </w:footnote>
  <w:footnote w:id="2">
    <w:p w14:paraId="33EF0CC7" w14:textId="55AD4F27" w:rsidR="00074B34" w:rsidRDefault="00074B34">
      <w:pPr>
        <w:pStyle w:val="FootnoteText"/>
      </w:pPr>
      <w:r>
        <w:rPr>
          <w:rStyle w:val="FootnoteReference"/>
        </w:rPr>
        <w:footnoteRef/>
      </w:r>
      <w:r>
        <w:t xml:space="preserve"> </w:t>
      </w:r>
      <w:r w:rsidR="004072F1">
        <w:t xml:space="preserve">The QFS uses information from the </w:t>
      </w:r>
      <w:r w:rsidR="00FA0DE3">
        <w:t xml:space="preserve">Quarterly Financial Report (QFR) which is shorter than the ACFR and doesn’t </w:t>
      </w:r>
      <w:r w:rsidR="00AA4383">
        <w:t>include</w:t>
      </w:r>
      <w:r w:rsidR="00FA0DE3">
        <w:t xml:space="preserve"> any </w:t>
      </w:r>
      <w:r w:rsidR="00AA4383">
        <w:t>audited information</w:t>
      </w:r>
      <w:r w:rsidR="00C471DA">
        <w:t xml:space="preserve">, allowing the department to </w:t>
      </w:r>
      <w:r w:rsidR="007179A2">
        <w:t>publish the QFS</w:t>
      </w:r>
      <w:r w:rsidR="00E306F4">
        <w:t xml:space="preserve"> </w:t>
      </w:r>
      <w:r w:rsidR="002346D3">
        <w:t xml:space="preserve">closer to the end of each quarterly reporting period. </w:t>
      </w:r>
    </w:p>
  </w:footnote>
  <w:footnote w:id="3">
    <w:p w14:paraId="775EC0FA" w14:textId="62C47A83" w:rsidR="00AD745F" w:rsidRPr="002672E4" w:rsidRDefault="00AD745F">
      <w:pPr>
        <w:pStyle w:val="FootnoteText"/>
        <w:rPr>
          <w:color w:val="1E1545" w:themeColor="text1"/>
        </w:rPr>
      </w:pPr>
      <w:r w:rsidRPr="002672E4">
        <w:rPr>
          <w:rStyle w:val="FootnoteReference"/>
          <w:color w:val="1E1545" w:themeColor="text1"/>
        </w:rPr>
        <w:footnoteRef/>
      </w:r>
      <w:r w:rsidRPr="002672E4">
        <w:rPr>
          <w:color w:val="1E1545" w:themeColor="text1"/>
        </w:rPr>
        <w:t xml:space="preserve"> Other types of respite care can be accessed through the CHSP or through a home care package.</w:t>
      </w:r>
    </w:p>
  </w:footnote>
  <w:footnote w:id="4">
    <w:p w14:paraId="75EC94AD" w14:textId="21535424" w:rsidR="003944C2" w:rsidRPr="002672E4" w:rsidRDefault="003944C2">
      <w:pPr>
        <w:pStyle w:val="FootnoteText"/>
        <w:rPr>
          <w:color w:val="1E1545" w:themeColor="text1"/>
        </w:rPr>
      </w:pPr>
      <w:r w:rsidRPr="002672E4">
        <w:rPr>
          <w:rStyle w:val="FootnoteReference"/>
          <w:color w:val="1E1545" w:themeColor="text1"/>
        </w:rPr>
        <w:footnoteRef/>
      </w:r>
      <w:r w:rsidRPr="002672E4">
        <w:rPr>
          <w:color w:val="1E1545" w:themeColor="text1"/>
        </w:rPr>
        <w:t xml:space="preserve"> A residential respite ‘stay’ refers to a single stay and is from when they enter to when they exit, no matter the duration.</w:t>
      </w:r>
    </w:p>
  </w:footnote>
  <w:footnote w:id="5">
    <w:p w14:paraId="11CA24E5" w14:textId="390C7E3A" w:rsidR="00EB1707" w:rsidRPr="00EB1707" w:rsidRDefault="00EB1707">
      <w:pPr>
        <w:pStyle w:val="FootnoteText"/>
        <w:rPr>
          <w:color w:val="1E1545" w:themeColor="text1"/>
        </w:rPr>
      </w:pPr>
      <w:r w:rsidRPr="002672E4">
        <w:rPr>
          <w:rStyle w:val="FootnoteReference"/>
          <w:color w:val="1E1545" w:themeColor="text1"/>
        </w:rPr>
        <w:footnoteRef/>
      </w:r>
      <w:r w:rsidRPr="002672E4">
        <w:rPr>
          <w:color w:val="1E1545" w:themeColor="text1"/>
        </w:rPr>
        <w:t xml:space="preserve"> Note </w:t>
      </w:r>
      <w:r w:rsidRPr="00EB1707">
        <w:rPr>
          <w:color w:val="1E1545" w:themeColor="text1"/>
        </w:rPr>
        <w:t>this figure excludes recipients of home care packages who access residential respite care.</w:t>
      </w:r>
    </w:p>
  </w:footnote>
  <w:footnote w:id="6">
    <w:p w14:paraId="007EDC12" w14:textId="77777777" w:rsidR="00F9447D" w:rsidRDefault="00F9447D" w:rsidP="00F9447D">
      <w:pPr>
        <w:pStyle w:val="FootnoteText"/>
      </w:pPr>
      <w:r>
        <w:rPr>
          <w:rStyle w:val="FootnoteReference"/>
        </w:rPr>
        <w:footnoteRef/>
      </w:r>
      <w:r>
        <w:t xml:space="preserve"> Actual grant support that will be paid to providers may vary from the claimed amount following the grant assessment process.</w:t>
      </w:r>
    </w:p>
  </w:footnote>
  <w:footnote w:id="7">
    <w:p w14:paraId="0D3E51A0" w14:textId="6A30738E" w:rsidR="0011243E" w:rsidRDefault="0011243E">
      <w:pPr>
        <w:pStyle w:val="FootnoteText"/>
      </w:pPr>
      <w:r>
        <w:rPr>
          <w:rStyle w:val="FootnoteReference"/>
        </w:rPr>
        <w:footnoteRef/>
      </w:r>
      <w:r>
        <w:t xml:space="preserve"> </w:t>
      </w:r>
      <w:r w:rsidR="00742379">
        <w:t xml:space="preserve">Note the total administration expenses in Figure </w:t>
      </w:r>
      <w:r w:rsidR="0073555E">
        <w:t>3</w:t>
      </w:r>
      <w:r w:rsidR="00742379">
        <w:t xml:space="preserve">.2 have not been apportioned across the care, hotel, </w:t>
      </w:r>
      <w:r w:rsidR="00742379">
        <w:t>accommodation and COVID-19 categories.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890C7" w14:textId="4F87F94E" w:rsidR="000619B1" w:rsidRDefault="000619B1">
    <w:pPr>
      <w:pStyle w:val="Header"/>
    </w:pPr>
  </w:p>
  <w:p w14:paraId="1A280C25" w14:textId="77777777" w:rsidR="00515672" w:rsidRDefault="00515672"/>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20A1C" w14:textId="36C2BB42" w:rsidR="00797D90" w:rsidRDefault="00797D9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04B93" w14:textId="6796B44E" w:rsidR="00797D90" w:rsidRDefault="00797D9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E5C55" w14:textId="0DF2CD82" w:rsidR="00797D90" w:rsidRDefault="00797D9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0CA5B" w14:textId="77777777" w:rsidR="000619B1" w:rsidRDefault="000619B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C0B98" w14:textId="193437F6" w:rsidR="000619B1" w:rsidRDefault="000619B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04AFF" w14:textId="77777777" w:rsidR="000619B1" w:rsidRDefault="000619B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A9002" w14:textId="77777777" w:rsidR="00B13D8E" w:rsidRDefault="00B13D8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1F3FC" w14:textId="77777777" w:rsidR="006D4AC5" w:rsidRDefault="006D4AC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EA340" w14:textId="77777777" w:rsidR="006D4AC5" w:rsidRDefault="006D4AC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A16EA" w14:textId="026C1205" w:rsidR="0013090F" w:rsidRDefault="0013090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0C073" w14:textId="59445513" w:rsidR="008E0C77" w:rsidRDefault="008E0C77" w:rsidP="00934368">
    <w:pPr>
      <w:pStyle w:val="Headertext"/>
    </w:pPr>
  </w:p>
  <w:p w14:paraId="27A092E1" w14:textId="77777777" w:rsidR="007936FC" w:rsidRDefault="007936FC"/>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2CC4D" w14:textId="39C39CA4" w:rsidR="000619B1" w:rsidRDefault="000619B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CB75B" w14:textId="205D0441" w:rsidR="000619B1" w:rsidRDefault="000619B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94C2A" w14:textId="03539D3B" w:rsidR="000619B1" w:rsidRDefault="000619B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F04C7" w14:textId="2EAA1698" w:rsidR="000619B1" w:rsidRDefault="000619B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2F637" w14:textId="4E3182E2" w:rsidR="000619B1" w:rsidRDefault="000619B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2BA41" w14:textId="4ED07876" w:rsidR="000619B1" w:rsidRDefault="000619B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7B601" w14:textId="10C34A24" w:rsidR="000619B1" w:rsidRDefault="000619B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74E7D" w14:textId="2D80A354" w:rsidR="00B44EFB" w:rsidRDefault="00B44EFB" w:rsidP="00934368">
    <w:pPr>
      <w:pStyle w:val="Headertext"/>
    </w:pPr>
  </w:p>
  <w:p w14:paraId="591AEC12" w14:textId="77777777" w:rsidR="00B44EFB" w:rsidRDefault="00B44EFB"/>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E4FCC" w14:textId="3139C83B" w:rsidR="000619B1" w:rsidRDefault="000619B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54B53" w14:textId="5935D718" w:rsidR="000619B1" w:rsidRDefault="000619B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66959" w14:textId="5B91644A" w:rsidR="000619B1" w:rsidRDefault="000619B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A363E" w14:textId="73C15727" w:rsidR="000619B1" w:rsidRDefault="000619B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CCEDA" w14:textId="6599E274" w:rsidR="000619B1" w:rsidRDefault="000619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620B05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311526"/>
    <w:multiLevelType w:val="multilevel"/>
    <w:tmpl w:val="DC5C2DA6"/>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8E4410C"/>
    <w:multiLevelType w:val="multilevel"/>
    <w:tmpl w:val="13586ED8"/>
    <w:styleLink w:val="Style2"/>
    <w:lvl w:ilvl="0">
      <w:start w:val="1"/>
      <w:numFmt w:val="bullet"/>
      <w:lvlText w:val="l"/>
      <w:lvlJc w:val="left"/>
      <w:pPr>
        <w:ind w:left="644" w:hanging="284"/>
      </w:pPr>
      <w:rPr>
        <w:rFonts w:ascii="Wingdings" w:hAnsi="Wingdings" w:hint="default"/>
        <w:color w:val="auto"/>
      </w:rPr>
    </w:lvl>
    <w:lvl w:ilvl="1">
      <w:start w:val="1"/>
      <w:numFmt w:val="bullet"/>
      <w:lvlText w:val="n"/>
      <w:lvlJc w:val="left"/>
      <w:pPr>
        <w:ind w:left="1080" w:hanging="360"/>
      </w:pPr>
      <w:rPr>
        <w:rFonts w:ascii="Wingdings" w:hAnsi="Wingdings" w:hint="default"/>
        <w:color w:val="auto"/>
        <w:sz w:val="16"/>
      </w:rPr>
    </w:lvl>
    <w:lvl w:ilvl="2">
      <w:start w:val="1"/>
      <w:numFmt w:val="bullet"/>
      <w:lvlText w:val="–"/>
      <w:lvlJc w:val="left"/>
      <w:pPr>
        <w:ind w:left="1440" w:hanging="360"/>
      </w:pPr>
      <w:rPr>
        <w:rFonts w:ascii="Arial" w:hAnsi="Arial" w:hint="default"/>
        <w:color w:val="auto"/>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 w15:restartNumberingAfterBreak="0">
    <w:nsid w:val="334052AA"/>
    <w:multiLevelType w:val="multilevel"/>
    <w:tmpl w:val="CB18E782"/>
    <w:styleLink w:val="CurrentList1"/>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4" w15:restartNumberingAfterBreak="0">
    <w:nsid w:val="34CD50FD"/>
    <w:multiLevelType w:val="hybridMultilevel"/>
    <w:tmpl w:val="2EC6E5F4"/>
    <w:lvl w:ilvl="0" w:tplc="0C090001">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5" w15:restartNumberingAfterBreak="0">
    <w:nsid w:val="49BF6CEB"/>
    <w:multiLevelType w:val="hybridMultilevel"/>
    <w:tmpl w:val="55B46CC6"/>
    <w:lvl w:ilvl="0" w:tplc="6556FF00">
      <w:start w:val="1"/>
      <w:numFmt w:val="decimal"/>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6"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5FEB74B0"/>
    <w:multiLevelType w:val="multilevel"/>
    <w:tmpl w:val="AB9E5FF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859" w:hanging="576"/>
      </w:pPr>
      <w:rPr>
        <w:rFonts w:hint="default"/>
        <w:b/>
        <w:bCs w:val="0"/>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6CF8287E"/>
    <w:multiLevelType w:val="hybridMultilevel"/>
    <w:tmpl w:val="FE2A36DA"/>
    <w:lvl w:ilvl="0" w:tplc="0C09000F">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10" w15:restartNumberingAfterBreak="0">
    <w:nsid w:val="6D077188"/>
    <w:multiLevelType w:val="hybridMultilevel"/>
    <w:tmpl w:val="7228FAC8"/>
    <w:lvl w:ilvl="0" w:tplc="9D540740">
      <w:start w:val="1"/>
      <w:numFmt w:val="lowerRoman"/>
      <w:pStyle w:val="Footnotetextlist"/>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74290B73"/>
    <w:multiLevelType w:val="hybridMultilevel"/>
    <w:tmpl w:val="D6AE8EFC"/>
    <w:lvl w:ilvl="0" w:tplc="C354213C">
      <w:start w:val="1"/>
      <w:numFmt w:val="bullet"/>
      <w:lvlText w:val=""/>
      <w:lvlJc w:val="left"/>
      <w:pPr>
        <w:ind w:left="720" w:hanging="360"/>
      </w:pPr>
      <w:rPr>
        <w:rFonts w:ascii="Symbol" w:hAnsi="Symbol" w:hint="default"/>
      </w:rPr>
    </w:lvl>
    <w:lvl w:ilvl="1" w:tplc="73949136">
      <w:start w:val="1"/>
      <w:numFmt w:val="bullet"/>
      <w:lvlText w:val="o"/>
      <w:lvlJc w:val="left"/>
      <w:pPr>
        <w:ind w:left="1440" w:hanging="360"/>
      </w:pPr>
      <w:rPr>
        <w:rFonts w:ascii="Courier New" w:hAnsi="Courier New" w:cs="Courier New" w:hint="default"/>
      </w:rPr>
    </w:lvl>
    <w:lvl w:ilvl="2" w:tplc="4C76A632" w:tentative="1">
      <w:start w:val="1"/>
      <w:numFmt w:val="bullet"/>
      <w:lvlText w:val=""/>
      <w:lvlJc w:val="left"/>
      <w:pPr>
        <w:ind w:left="2160" w:hanging="360"/>
      </w:pPr>
      <w:rPr>
        <w:rFonts w:ascii="Wingdings" w:hAnsi="Wingdings" w:hint="default"/>
      </w:rPr>
    </w:lvl>
    <w:lvl w:ilvl="3" w:tplc="7A0C7EB2" w:tentative="1">
      <w:start w:val="1"/>
      <w:numFmt w:val="bullet"/>
      <w:lvlText w:val=""/>
      <w:lvlJc w:val="left"/>
      <w:pPr>
        <w:ind w:left="2880" w:hanging="360"/>
      </w:pPr>
      <w:rPr>
        <w:rFonts w:ascii="Symbol" w:hAnsi="Symbol" w:hint="default"/>
      </w:rPr>
    </w:lvl>
    <w:lvl w:ilvl="4" w:tplc="0E9CC6F0" w:tentative="1">
      <w:start w:val="1"/>
      <w:numFmt w:val="bullet"/>
      <w:lvlText w:val="o"/>
      <w:lvlJc w:val="left"/>
      <w:pPr>
        <w:ind w:left="3600" w:hanging="360"/>
      </w:pPr>
      <w:rPr>
        <w:rFonts w:ascii="Courier New" w:hAnsi="Courier New" w:cs="Courier New" w:hint="default"/>
      </w:rPr>
    </w:lvl>
    <w:lvl w:ilvl="5" w:tplc="80E0B830" w:tentative="1">
      <w:start w:val="1"/>
      <w:numFmt w:val="bullet"/>
      <w:lvlText w:val=""/>
      <w:lvlJc w:val="left"/>
      <w:pPr>
        <w:ind w:left="4320" w:hanging="360"/>
      </w:pPr>
      <w:rPr>
        <w:rFonts w:ascii="Wingdings" w:hAnsi="Wingdings" w:hint="default"/>
      </w:rPr>
    </w:lvl>
    <w:lvl w:ilvl="6" w:tplc="92CAD676" w:tentative="1">
      <w:start w:val="1"/>
      <w:numFmt w:val="bullet"/>
      <w:lvlText w:val=""/>
      <w:lvlJc w:val="left"/>
      <w:pPr>
        <w:ind w:left="5040" w:hanging="360"/>
      </w:pPr>
      <w:rPr>
        <w:rFonts w:ascii="Symbol" w:hAnsi="Symbol" w:hint="default"/>
      </w:rPr>
    </w:lvl>
    <w:lvl w:ilvl="7" w:tplc="12FC8F46" w:tentative="1">
      <w:start w:val="1"/>
      <w:numFmt w:val="bullet"/>
      <w:lvlText w:val="o"/>
      <w:lvlJc w:val="left"/>
      <w:pPr>
        <w:ind w:left="5760" w:hanging="360"/>
      </w:pPr>
      <w:rPr>
        <w:rFonts w:ascii="Courier New" w:hAnsi="Courier New" w:cs="Courier New" w:hint="default"/>
      </w:rPr>
    </w:lvl>
    <w:lvl w:ilvl="8" w:tplc="D8DADBB0" w:tentative="1">
      <w:start w:val="1"/>
      <w:numFmt w:val="bullet"/>
      <w:lvlText w:val=""/>
      <w:lvlJc w:val="left"/>
      <w:pPr>
        <w:ind w:left="6480" w:hanging="360"/>
      </w:pPr>
      <w:rPr>
        <w:rFonts w:ascii="Wingdings" w:hAnsi="Wingdings" w:hint="default"/>
      </w:rPr>
    </w:lvl>
  </w:abstractNum>
  <w:abstractNum w:abstractNumId="12" w15:restartNumberingAfterBreak="0">
    <w:nsid w:val="760A3124"/>
    <w:multiLevelType w:val="hybridMultilevel"/>
    <w:tmpl w:val="0854DB78"/>
    <w:lvl w:ilvl="0" w:tplc="0C090001">
      <w:start w:val="1"/>
      <w:numFmt w:val="bullet"/>
      <w:lvlText w:val=""/>
      <w:lvlJc w:val="left"/>
      <w:pPr>
        <w:ind w:left="720" w:hanging="360"/>
      </w:pPr>
      <w:rPr>
        <w:rFonts w:ascii="Symbol" w:hAnsi="Symbol" w:hint="default"/>
        <w:b w:val="0"/>
        <w:bCs w:val="0"/>
        <w:i w:val="0"/>
        <w:iCs w:val="0"/>
        <w:color w:val="1B1C20"/>
        <w:w w:val="100"/>
        <w:sz w:val="22"/>
        <w:szCs w:val="22"/>
        <w:lang w:val="en-US" w:eastAsia="en-US" w:bidi="ar-SA"/>
      </w:rPr>
    </w:lvl>
    <w:lvl w:ilvl="1" w:tplc="1FD228E0">
      <w:numFmt w:val="bullet"/>
      <w:pStyle w:val="ListBullet3"/>
      <w:lvlText w:val="–"/>
      <w:lvlJc w:val="left"/>
      <w:pPr>
        <w:ind w:left="1440" w:hanging="360"/>
      </w:pPr>
      <w:rPr>
        <w:rFonts w:ascii="Degular" w:eastAsia="Degular" w:hAnsi="Degular" w:cs="Degular" w:hint="default"/>
        <w:b w:val="0"/>
        <w:bCs w:val="0"/>
        <w:i w:val="0"/>
        <w:iCs w:val="0"/>
        <w:color w:val="1B1C20"/>
        <w:w w:val="100"/>
        <w:sz w:val="22"/>
        <w:szCs w:val="22"/>
        <w:lang w:val="en-US" w:eastAsia="en-US" w:bidi="ar-SA"/>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7C535FEA"/>
    <w:multiLevelType w:val="hybridMultilevel"/>
    <w:tmpl w:val="ABB81C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num w:numId="1" w16cid:durableId="2128116113">
    <w:abstractNumId w:val="4"/>
  </w:num>
  <w:num w:numId="2" w16cid:durableId="1886602160">
    <w:abstractNumId w:val="14"/>
  </w:num>
  <w:num w:numId="3" w16cid:durableId="492528037">
    <w:abstractNumId w:val="6"/>
  </w:num>
  <w:num w:numId="4" w16cid:durableId="1155024658">
    <w:abstractNumId w:val="9"/>
  </w:num>
  <w:num w:numId="5" w16cid:durableId="1697847530">
    <w:abstractNumId w:val="1"/>
  </w:num>
  <w:num w:numId="6" w16cid:durableId="139660780">
    <w:abstractNumId w:val="5"/>
  </w:num>
  <w:num w:numId="7" w16cid:durableId="839928556">
    <w:abstractNumId w:val="7"/>
  </w:num>
  <w:num w:numId="8" w16cid:durableId="1495560593">
    <w:abstractNumId w:val="2"/>
  </w:num>
  <w:num w:numId="9" w16cid:durableId="1153912040">
    <w:abstractNumId w:val="3"/>
  </w:num>
  <w:num w:numId="10" w16cid:durableId="606540845">
    <w:abstractNumId w:val="8"/>
  </w:num>
  <w:num w:numId="11" w16cid:durableId="411007846">
    <w:abstractNumId w:val="13"/>
  </w:num>
  <w:num w:numId="12" w16cid:durableId="2142263146">
    <w:abstractNumId w:val="12"/>
  </w:num>
  <w:num w:numId="13" w16cid:durableId="1799180439">
    <w:abstractNumId w:val="11"/>
  </w:num>
  <w:num w:numId="14" w16cid:durableId="1547715899">
    <w:abstractNumId w:val="0"/>
  </w:num>
  <w:num w:numId="15" w16cid:durableId="1111972408">
    <w:abstractNumId w:val="10"/>
  </w:num>
  <w:num w:numId="16" w16cid:durableId="121194678">
    <w:abstractNumId w:val="10"/>
    <w:lvlOverride w:ilvl="0">
      <w:startOverride w:val="1"/>
    </w:lvlOverride>
  </w:num>
  <w:num w:numId="17" w16cid:durableId="1602765024">
    <w:abstractNumId w:val="10"/>
    <w:lvlOverride w:ilvl="0">
      <w:startOverride w:val="1"/>
    </w:lvlOverride>
  </w:num>
  <w:num w:numId="18" w16cid:durableId="1061829487">
    <w:abstractNumId w:val="10"/>
    <w:lvlOverride w:ilvl="0">
      <w:startOverride w:val="1"/>
    </w:lvlOverride>
  </w:num>
  <w:num w:numId="19" w16cid:durableId="611937680">
    <w:abstractNumId w:val="10"/>
    <w:lvlOverride w:ilvl="0">
      <w:startOverride w:val="1"/>
    </w:lvlOverride>
  </w:num>
  <w:num w:numId="20" w16cid:durableId="1957634688">
    <w:abstractNumId w:val="10"/>
    <w:lvlOverride w:ilvl="0">
      <w:startOverride w:val="1"/>
    </w:lvlOverride>
  </w:num>
  <w:num w:numId="21" w16cid:durableId="910575393">
    <w:abstractNumId w:val="10"/>
    <w:lvlOverride w:ilvl="0">
      <w:startOverride w:val="1"/>
    </w:lvlOverride>
  </w:num>
  <w:num w:numId="22" w16cid:durableId="805902500">
    <w:abstractNumId w:val="10"/>
    <w:lvlOverride w:ilvl="0">
      <w:startOverride w:val="1"/>
    </w:lvlOverride>
  </w:num>
  <w:num w:numId="23" w16cid:durableId="2110465896">
    <w:abstractNumId w:val="10"/>
    <w:lvlOverride w:ilvl="0">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documentProtection w:formatting="1" w:enforcement="0"/>
  <w:defaultTabStop w:val="2722"/>
  <w:evenAndOddHeaders/>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23F4"/>
    <w:rsid w:val="000002C6"/>
    <w:rsid w:val="0000043A"/>
    <w:rsid w:val="000006AE"/>
    <w:rsid w:val="0000084B"/>
    <w:rsid w:val="00000AF8"/>
    <w:rsid w:val="00000BD4"/>
    <w:rsid w:val="00000EB6"/>
    <w:rsid w:val="00000FD8"/>
    <w:rsid w:val="00000FE1"/>
    <w:rsid w:val="00000FFB"/>
    <w:rsid w:val="00001036"/>
    <w:rsid w:val="000011F5"/>
    <w:rsid w:val="000012C2"/>
    <w:rsid w:val="00001328"/>
    <w:rsid w:val="000014F6"/>
    <w:rsid w:val="0000185F"/>
    <w:rsid w:val="000018B1"/>
    <w:rsid w:val="0000194D"/>
    <w:rsid w:val="00001972"/>
    <w:rsid w:val="00001A9F"/>
    <w:rsid w:val="00001B4D"/>
    <w:rsid w:val="00001CFE"/>
    <w:rsid w:val="00001DA4"/>
    <w:rsid w:val="00001F41"/>
    <w:rsid w:val="00001F92"/>
    <w:rsid w:val="0000210B"/>
    <w:rsid w:val="00002115"/>
    <w:rsid w:val="00002196"/>
    <w:rsid w:val="000021B6"/>
    <w:rsid w:val="0000238E"/>
    <w:rsid w:val="00002632"/>
    <w:rsid w:val="0000264D"/>
    <w:rsid w:val="00002679"/>
    <w:rsid w:val="000029AC"/>
    <w:rsid w:val="00002B99"/>
    <w:rsid w:val="00002B9D"/>
    <w:rsid w:val="00002D25"/>
    <w:rsid w:val="00003147"/>
    <w:rsid w:val="00003465"/>
    <w:rsid w:val="000034B9"/>
    <w:rsid w:val="0000362F"/>
    <w:rsid w:val="0000373D"/>
    <w:rsid w:val="00003743"/>
    <w:rsid w:val="0000383F"/>
    <w:rsid w:val="00003894"/>
    <w:rsid w:val="00003A11"/>
    <w:rsid w:val="00003DB0"/>
    <w:rsid w:val="00003DCF"/>
    <w:rsid w:val="00004036"/>
    <w:rsid w:val="0000416D"/>
    <w:rsid w:val="0000425E"/>
    <w:rsid w:val="000042D3"/>
    <w:rsid w:val="0000474A"/>
    <w:rsid w:val="000047B4"/>
    <w:rsid w:val="00004D58"/>
    <w:rsid w:val="00004DBE"/>
    <w:rsid w:val="00004DCA"/>
    <w:rsid w:val="000050BB"/>
    <w:rsid w:val="00005316"/>
    <w:rsid w:val="00005571"/>
    <w:rsid w:val="00005712"/>
    <w:rsid w:val="000058A6"/>
    <w:rsid w:val="00005999"/>
    <w:rsid w:val="00005B2B"/>
    <w:rsid w:val="00005B64"/>
    <w:rsid w:val="00005F83"/>
    <w:rsid w:val="0000631A"/>
    <w:rsid w:val="0000632F"/>
    <w:rsid w:val="000064C1"/>
    <w:rsid w:val="00006676"/>
    <w:rsid w:val="000066E3"/>
    <w:rsid w:val="000067A8"/>
    <w:rsid w:val="000067CD"/>
    <w:rsid w:val="000069C4"/>
    <w:rsid w:val="00006CD2"/>
    <w:rsid w:val="00006D1B"/>
    <w:rsid w:val="00006DEC"/>
    <w:rsid w:val="00006E18"/>
    <w:rsid w:val="00006FA7"/>
    <w:rsid w:val="00006FE7"/>
    <w:rsid w:val="00007053"/>
    <w:rsid w:val="00007543"/>
    <w:rsid w:val="0000766A"/>
    <w:rsid w:val="0000771F"/>
    <w:rsid w:val="000077D1"/>
    <w:rsid w:val="0000785E"/>
    <w:rsid w:val="00007BF2"/>
    <w:rsid w:val="00007D13"/>
    <w:rsid w:val="00007E24"/>
    <w:rsid w:val="00007E40"/>
    <w:rsid w:val="00007E7B"/>
    <w:rsid w:val="00007FD8"/>
    <w:rsid w:val="00010242"/>
    <w:rsid w:val="0001034E"/>
    <w:rsid w:val="000106D8"/>
    <w:rsid w:val="00010878"/>
    <w:rsid w:val="00010919"/>
    <w:rsid w:val="000109DE"/>
    <w:rsid w:val="00010CEB"/>
    <w:rsid w:val="00010D2F"/>
    <w:rsid w:val="00010E61"/>
    <w:rsid w:val="000110F3"/>
    <w:rsid w:val="00011160"/>
    <w:rsid w:val="00011229"/>
    <w:rsid w:val="0001129C"/>
    <w:rsid w:val="00011720"/>
    <w:rsid w:val="00011735"/>
    <w:rsid w:val="000117F8"/>
    <w:rsid w:val="00011AD9"/>
    <w:rsid w:val="00011F1F"/>
    <w:rsid w:val="00011F43"/>
    <w:rsid w:val="000121D3"/>
    <w:rsid w:val="00012370"/>
    <w:rsid w:val="00012520"/>
    <w:rsid w:val="00012992"/>
    <w:rsid w:val="00012C38"/>
    <w:rsid w:val="00012C8C"/>
    <w:rsid w:val="00012CC3"/>
    <w:rsid w:val="00012CF5"/>
    <w:rsid w:val="00012D0A"/>
    <w:rsid w:val="00012EF9"/>
    <w:rsid w:val="00012F0C"/>
    <w:rsid w:val="000130EC"/>
    <w:rsid w:val="000130F3"/>
    <w:rsid w:val="000134D8"/>
    <w:rsid w:val="00013577"/>
    <w:rsid w:val="00013591"/>
    <w:rsid w:val="000136BE"/>
    <w:rsid w:val="000136DD"/>
    <w:rsid w:val="00013770"/>
    <w:rsid w:val="00013A6F"/>
    <w:rsid w:val="00013AC7"/>
    <w:rsid w:val="00013BE1"/>
    <w:rsid w:val="00013D01"/>
    <w:rsid w:val="00013D1C"/>
    <w:rsid w:val="00013EBB"/>
    <w:rsid w:val="00013F50"/>
    <w:rsid w:val="00013FEA"/>
    <w:rsid w:val="00014204"/>
    <w:rsid w:val="00014370"/>
    <w:rsid w:val="00014418"/>
    <w:rsid w:val="0001474D"/>
    <w:rsid w:val="000148F4"/>
    <w:rsid w:val="00014958"/>
    <w:rsid w:val="000149F2"/>
    <w:rsid w:val="00014A61"/>
    <w:rsid w:val="00014A7C"/>
    <w:rsid w:val="00014B76"/>
    <w:rsid w:val="00014C49"/>
    <w:rsid w:val="00014C4B"/>
    <w:rsid w:val="00014D83"/>
    <w:rsid w:val="00015162"/>
    <w:rsid w:val="0001544B"/>
    <w:rsid w:val="0001565A"/>
    <w:rsid w:val="0001583F"/>
    <w:rsid w:val="00015E59"/>
    <w:rsid w:val="000160E0"/>
    <w:rsid w:val="00016123"/>
    <w:rsid w:val="00016402"/>
    <w:rsid w:val="0001648A"/>
    <w:rsid w:val="000164B9"/>
    <w:rsid w:val="0001652F"/>
    <w:rsid w:val="000166B2"/>
    <w:rsid w:val="00016A1A"/>
    <w:rsid w:val="00016D31"/>
    <w:rsid w:val="00016F1F"/>
    <w:rsid w:val="000171A6"/>
    <w:rsid w:val="0001728A"/>
    <w:rsid w:val="000172CF"/>
    <w:rsid w:val="000173C3"/>
    <w:rsid w:val="0001741A"/>
    <w:rsid w:val="0001741B"/>
    <w:rsid w:val="00017437"/>
    <w:rsid w:val="00017515"/>
    <w:rsid w:val="0001754E"/>
    <w:rsid w:val="000179CC"/>
    <w:rsid w:val="00017A05"/>
    <w:rsid w:val="00017AB7"/>
    <w:rsid w:val="00017EDF"/>
    <w:rsid w:val="00020033"/>
    <w:rsid w:val="00020128"/>
    <w:rsid w:val="000201DC"/>
    <w:rsid w:val="00020209"/>
    <w:rsid w:val="0002021D"/>
    <w:rsid w:val="000202DA"/>
    <w:rsid w:val="00020367"/>
    <w:rsid w:val="00020387"/>
    <w:rsid w:val="000203AF"/>
    <w:rsid w:val="000203E6"/>
    <w:rsid w:val="000208AE"/>
    <w:rsid w:val="00020B1A"/>
    <w:rsid w:val="000210CD"/>
    <w:rsid w:val="0002111E"/>
    <w:rsid w:val="000211B2"/>
    <w:rsid w:val="00021458"/>
    <w:rsid w:val="000214B8"/>
    <w:rsid w:val="00021667"/>
    <w:rsid w:val="000217D1"/>
    <w:rsid w:val="00021970"/>
    <w:rsid w:val="000219A8"/>
    <w:rsid w:val="0002200B"/>
    <w:rsid w:val="00022176"/>
    <w:rsid w:val="000221D3"/>
    <w:rsid w:val="0002250A"/>
    <w:rsid w:val="000226D7"/>
    <w:rsid w:val="0002272F"/>
    <w:rsid w:val="000228A8"/>
    <w:rsid w:val="00022A91"/>
    <w:rsid w:val="00022D15"/>
    <w:rsid w:val="00022D7A"/>
    <w:rsid w:val="00023153"/>
    <w:rsid w:val="000231CC"/>
    <w:rsid w:val="000231CF"/>
    <w:rsid w:val="000233F6"/>
    <w:rsid w:val="00023496"/>
    <w:rsid w:val="00023614"/>
    <w:rsid w:val="00023684"/>
    <w:rsid w:val="00023C26"/>
    <w:rsid w:val="00023C99"/>
    <w:rsid w:val="00023D10"/>
    <w:rsid w:val="00023D8B"/>
    <w:rsid w:val="00023FCF"/>
    <w:rsid w:val="00024089"/>
    <w:rsid w:val="000240CC"/>
    <w:rsid w:val="0002428E"/>
    <w:rsid w:val="00024319"/>
    <w:rsid w:val="0002452F"/>
    <w:rsid w:val="0002472F"/>
    <w:rsid w:val="00024750"/>
    <w:rsid w:val="000248E1"/>
    <w:rsid w:val="00024ADE"/>
    <w:rsid w:val="00024C3B"/>
    <w:rsid w:val="00024CAB"/>
    <w:rsid w:val="00024EE2"/>
    <w:rsid w:val="00024F39"/>
    <w:rsid w:val="000250C7"/>
    <w:rsid w:val="00025446"/>
    <w:rsid w:val="00025487"/>
    <w:rsid w:val="00025519"/>
    <w:rsid w:val="00025532"/>
    <w:rsid w:val="000257A4"/>
    <w:rsid w:val="00025822"/>
    <w:rsid w:val="00025A35"/>
    <w:rsid w:val="0002604D"/>
    <w:rsid w:val="000260AE"/>
    <w:rsid w:val="000260DE"/>
    <w:rsid w:val="00026139"/>
    <w:rsid w:val="000261F2"/>
    <w:rsid w:val="000262D6"/>
    <w:rsid w:val="000268A4"/>
    <w:rsid w:val="000268ED"/>
    <w:rsid w:val="00026B47"/>
    <w:rsid w:val="00026C60"/>
    <w:rsid w:val="00026E26"/>
    <w:rsid w:val="00026E2D"/>
    <w:rsid w:val="00026F25"/>
    <w:rsid w:val="00027071"/>
    <w:rsid w:val="00027134"/>
    <w:rsid w:val="00027161"/>
    <w:rsid w:val="00027183"/>
    <w:rsid w:val="000273F7"/>
    <w:rsid w:val="00027476"/>
    <w:rsid w:val="000274C4"/>
    <w:rsid w:val="00027601"/>
    <w:rsid w:val="000277AF"/>
    <w:rsid w:val="00027889"/>
    <w:rsid w:val="00027B27"/>
    <w:rsid w:val="00027CFE"/>
    <w:rsid w:val="0003021C"/>
    <w:rsid w:val="0003050C"/>
    <w:rsid w:val="00030684"/>
    <w:rsid w:val="00030784"/>
    <w:rsid w:val="0003084F"/>
    <w:rsid w:val="000309EA"/>
    <w:rsid w:val="00030A6C"/>
    <w:rsid w:val="00030B6C"/>
    <w:rsid w:val="00030B89"/>
    <w:rsid w:val="00030CC6"/>
    <w:rsid w:val="00030E65"/>
    <w:rsid w:val="000311C9"/>
    <w:rsid w:val="0003123C"/>
    <w:rsid w:val="000313C0"/>
    <w:rsid w:val="00031672"/>
    <w:rsid w:val="000316F3"/>
    <w:rsid w:val="0003175E"/>
    <w:rsid w:val="0003181F"/>
    <w:rsid w:val="0003196B"/>
    <w:rsid w:val="0003199A"/>
    <w:rsid w:val="00031A03"/>
    <w:rsid w:val="00031C57"/>
    <w:rsid w:val="00031CEF"/>
    <w:rsid w:val="00031D97"/>
    <w:rsid w:val="00031FC9"/>
    <w:rsid w:val="0003208E"/>
    <w:rsid w:val="00032093"/>
    <w:rsid w:val="000321E2"/>
    <w:rsid w:val="0003234B"/>
    <w:rsid w:val="00032449"/>
    <w:rsid w:val="00032696"/>
    <w:rsid w:val="000326BA"/>
    <w:rsid w:val="00032914"/>
    <w:rsid w:val="00032B5C"/>
    <w:rsid w:val="00032CFA"/>
    <w:rsid w:val="00032D19"/>
    <w:rsid w:val="00032D7A"/>
    <w:rsid w:val="00032DA4"/>
    <w:rsid w:val="000330DD"/>
    <w:rsid w:val="00033321"/>
    <w:rsid w:val="000333B9"/>
    <w:rsid w:val="0003342E"/>
    <w:rsid w:val="000335B9"/>
    <w:rsid w:val="000335F1"/>
    <w:rsid w:val="000338B6"/>
    <w:rsid w:val="000338E5"/>
    <w:rsid w:val="00033A63"/>
    <w:rsid w:val="00033ECC"/>
    <w:rsid w:val="00033ED6"/>
    <w:rsid w:val="00034165"/>
    <w:rsid w:val="00034198"/>
    <w:rsid w:val="0003422F"/>
    <w:rsid w:val="0003435F"/>
    <w:rsid w:val="000343CC"/>
    <w:rsid w:val="000344DC"/>
    <w:rsid w:val="000347A7"/>
    <w:rsid w:val="000347F1"/>
    <w:rsid w:val="00034951"/>
    <w:rsid w:val="00034956"/>
    <w:rsid w:val="00034A1E"/>
    <w:rsid w:val="00034AF6"/>
    <w:rsid w:val="00034C7E"/>
    <w:rsid w:val="00034D49"/>
    <w:rsid w:val="00034F39"/>
    <w:rsid w:val="0003519A"/>
    <w:rsid w:val="000352BC"/>
    <w:rsid w:val="000353F9"/>
    <w:rsid w:val="0003563E"/>
    <w:rsid w:val="000357A2"/>
    <w:rsid w:val="00035C4B"/>
    <w:rsid w:val="00035E62"/>
    <w:rsid w:val="00036007"/>
    <w:rsid w:val="0003618E"/>
    <w:rsid w:val="0003620F"/>
    <w:rsid w:val="0003655B"/>
    <w:rsid w:val="00036575"/>
    <w:rsid w:val="00036612"/>
    <w:rsid w:val="000368A5"/>
    <w:rsid w:val="00036908"/>
    <w:rsid w:val="0003690B"/>
    <w:rsid w:val="00036B5E"/>
    <w:rsid w:val="00036C52"/>
    <w:rsid w:val="00036C75"/>
    <w:rsid w:val="00036CB2"/>
    <w:rsid w:val="00036DFD"/>
    <w:rsid w:val="00036F6C"/>
    <w:rsid w:val="00036FAB"/>
    <w:rsid w:val="000376A4"/>
    <w:rsid w:val="000376E2"/>
    <w:rsid w:val="00037805"/>
    <w:rsid w:val="00037874"/>
    <w:rsid w:val="00037C16"/>
    <w:rsid w:val="00037E51"/>
    <w:rsid w:val="00037FB3"/>
    <w:rsid w:val="0004010E"/>
    <w:rsid w:val="00040213"/>
    <w:rsid w:val="000402F1"/>
    <w:rsid w:val="00040305"/>
    <w:rsid w:val="000407C2"/>
    <w:rsid w:val="000408E0"/>
    <w:rsid w:val="00040998"/>
    <w:rsid w:val="000409E6"/>
    <w:rsid w:val="00040A10"/>
    <w:rsid w:val="00040A95"/>
    <w:rsid w:val="00040B94"/>
    <w:rsid w:val="00040F21"/>
    <w:rsid w:val="00040F44"/>
    <w:rsid w:val="00040FC1"/>
    <w:rsid w:val="0004117B"/>
    <w:rsid w:val="0004120F"/>
    <w:rsid w:val="000412A0"/>
    <w:rsid w:val="0004143F"/>
    <w:rsid w:val="00041597"/>
    <w:rsid w:val="000415BD"/>
    <w:rsid w:val="00041675"/>
    <w:rsid w:val="0004182A"/>
    <w:rsid w:val="000419A4"/>
    <w:rsid w:val="00041A1D"/>
    <w:rsid w:val="00042015"/>
    <w:rsid w:val="0004214B"/>
    <w:rsid w:val="00042526"/>
    <w:rsid w:val="00042613"/>
    <w:rsid w:val="0004278D"/>
    <w:rsid w:val="00042916"/>
    <w:rsid w:val="0004292F"/>
    <w:rsid w:val="000429B7"/>
    <w:rsid w:val="00042BD7"/>
    <w:rsid w:val="00042D9F"/>
    <w:rsid w:val="00042EDB"/>
    <w:rsid w:val="000430A4"/>
    <w:rsid w:val="000431DE"/>
    <w:rsid w:val="0004325B"/>
    <w:rsid w:val="00043291"/>
    <w:rsid w:val="00043473"/>
    <w:rsid w:val="0004356D"/>
    <w:rsid w:val="00043853"/>
    <w:rsid w:val="000439FC"/>
    <w:rsid w:val="00043A37"/>
    <w:rsid w:val="00043AFD"/>
    <w:rsid w:val="00043C50"/>
    <w:rsid w:val="00043D7E"/>
    <w:rsid w:val="00043DE8"/>
    <w:rsid w:val="00043E29"/>
    <w:rsid w:val="00043E51"/>
    <w:rsid w:val="00043F02"/>
    <w:rsid w:val="00043F08"/>
    <w:rsid w:val="00043F91"/>
    <w:rsid w:val="00043FD0"/>
    <w:rsid w:val="00044025"/>
    <w:rsid w:val="0004408C"/>
    <w:rsid w:val="00044258"/>
    <w:rsid w:val="0004468C"/>
    <w:rsid w:val="00044729"/>
    <w:rsid w:val="0004479F"/>
    <w:rsid w:val="000447F2"/>
    <w:rsid w:val="00044B4C"/>
    <w:rsid w:val="00044C74"/>
    <w:rsid w:val="00044D65"/>
    <w:rsid w:val="00044FC8"/>
    <w:rsid w:val="00045002"/>
    <w:rsid w:val="000451EE"/>
    <w:rsid w:val="000452C2"/>
    <w:rsid w:val="0004539D"/>
    <w:rsid w:val="00045465"/>
    <w:rsid w:val="000457E7"/>
    <w:rsid w:val="0004582B"/>
    <w:rsid w:val="0004596E"/>
    <w:rsid w:val="00045DB6"/>
    <w:rsid w:val="00045E8F"/>
    <w:rsid w:val="00045E98"/>
    <w:rsid w:val="000465E3"/>
    <w:rsid w:val="0004661F"/>
    <w:rsid w:val="00046864"/>
    <w:rsid w:val="000468E5"/>
    <w:rsid w:val="00046B94"/>
    <w:rsid w:val="00046B9E"/>
    <w:rsid w:val="00046BFE"/>
    <w:rsid w:val="00046C05"/>
    <w:rsid w:val="00046C3B"/>
    <w:rsid w:val="00046E84"/>
    <w:rsid w:val="00046F6D"/>
    <w:rsid w:val="00046FF0"/>
    <w:rsid w:val="0004727F"/>
    <w:rsid w:val="000473F8"/>
    <w:rsid w:val="0004796B"/>
    <w:rsid w:val="000479F9"/>
    <w:rsid w:val="00047CF4"/>
    <w:rsid w:val="00047D15"/>
    <w:rsid w:val="00047FD2"/>
    <w:rsid w:val="00050014"/>
    <w:rsid w:val="0005004A"/>
    <w:rsid w:val="00050176"/>
    <w:rsid w:val="00050206"/>
    <w:rsid w:val="00050392"/>
    <w:rsid w:val="000504EB"/>
    <w:rsid w:val="00050571"/>
    <w:rsid w:val="00050739"/>
    <w:rsid w:val="000507EC"/>
    <w:rsid w:val="000508A8"/>
    <w:rsid w:val="00050A34"/>
    <w:rsid w:val="00050A9C"/>
    <w:rsid w:val="00050C88"/>
    <w:rsid w:val="00050CFC"/>
    <w:rsid w:val="00050D03"/>
    <w:rsid w:val="00050DA4"/>
    <w:rsid w:val="00050DAC"/>
    <w:rsid w:val="00050DC2"/>
    <w:rsid w:val="00050DE4"/>
    <w:rsid w:val="00050E51"/>
    <w:rsid w:val="000510F3"/>
    <w:rsid w:val="00051211"/>
    <w:rsid w:val="00051220"/>
    <w:rsid w:val="0005144B"/>
    <w:rsid w:val="00051450"/>
    <w:rsid w:val="0005154A"/>
    <w:rsid w:val="0005164E"/>
    <w:rsid w:val="00051F56"/>
    <w:rsid w:val="000520C8"/>
    <w:rsid w:val="000521F0"/>
    <w:rsid w:val="000523A4"/>
    <w:rsid w:val="00052421"/>
    <w:rsid w:val="000526CF"/>
    <w:rsid w:val="00052836"/>
    <w:rsid w:val="00052851"/>
    <w:rsid w:val="00052879"/>
    <w:rsid w:val="00052886"/>
    <w:rsid w:val="000528B9"/>
    <w:rsid w:val="00052A3F"/>
    <w:rsid w:val="00052B10"/>
    <w:rsid w:val="00052B16"/>
    <w:rsid w:val="00052CE0"/>
    <w:rsid w:val="00052DEF"/>
    <w:rsid w:val="00052F86"/>
    <w:rsid w:val="00053267"/>
    <w:rsid w:val="00053625"/>
    <w:rsid w:val="0005398E"/>
    <w:rsid w:val="00053A18"/>
    <w:rsid w:val="00053A65"/>
    <w:rsid w:val="00053B92"/>
    <w:rsid w:val="00053BBB"/>
    <w:rsid w:val="00053EFF"/>
    <w:rsid w:val="000541E9"/>
    <w:rsid w:val="00054266"/>
    <w:rsid w:val="00054325"/>
    <w:rsid w:val="00054506"/>
    <w:rsid w:val="000545C0"/>
    <w:rsid w:val="000545D0"/>
    <w:rsid w:val="000546D9"/>
    <w:rsid w:val="0005474B"/>
    <w:rsid w:val="00054859"/>
    <w:rsid w:val="00054A51"/>
    <w:rsid w:val="00054A75"/>
    <w:rsid w:val="00054C1E"/>
    <w:rsid w:val="00055160"/>
    <w:rsid w:val="000552A8"/>
    <w:rsid w:val="0005539C"/>
    <w:rsid w:val="0005551B"/>
    <w:rsid w:val="0005577C"/>
    <w:rsid w:val="000558FE"/>
    <w:rsid w:val="00055953"/>
    <w:rsid w:val="00055A58"/>
    <w:rsid w:val="00055BAB"/>
    <w:rsid w:val="00055E2E"/>
    <w:rsid w:val="00055EED"/>
    <w:rsid w:val="00055F12"/>
    <w:rsid w:val="000560F0"/>
    <w:rsid w:val="00056161"/>
    <w:rsid w:val="000561FF"/>
    <w:rsid w:val="00056240"/>
    <w:rsid w:val="000564E5"/>
    <w:rsid w:val="00056528"/>
    <w:rsid w:val="00056B09"/>
    <w:rsid w:val="00056CE1"/>
    <w:rsid w:val="00056E54"/>
    <w:rsid w:val="00056EBD"/>
    <w:rsid w:val="0005712C"/>
    <w:rsid w:val="0005714F"/>
    <w:rsid w:val="0005720B"/>
    <w:rsid w:val="0005736C"/>
    <w:rsid w:val="000574AD"/>
    <w:rsid w:val="0005764F"/>
    <w:rsid w:val="00057925"/>
    <w:rsid w:val="00057A6C"/>
    <w:rsid w:val="00057AF6"/>
    <w:rsid w:val="00057B45"/>
    <w:rsid w:val="00057BAC"/>
    <w:rsid w:val="00057C0F"/>
    <w:rsid w:val="00057D80"/>
    <w:rsid w:val="00057DD4"/>
    <w:rsid w:val="00057DF5"/>
    <w:rsid w:val="00057F15"/>
    <w:rsid w:val="000600E3"/>
    <w:rsid w:val="00060118"/>
    <w:rsid w:val="00060504"/>
    <w:rsid w:val="00060625"/>
    <w:rsid w:val="0006093C"/>
    <w:rsid w:val="00060D0F"/>
    <w:rsid w:val="00060D42"/>
    <w:rsid w:val="00060EA1"/>
    <w:rsid w:val="00060F6B"/>
    <w:rsid w:val="00060FDA"/>
    <w:rsid w:val="00060FED"/>
    <w:rsid w:val="0006143A"/>
    <w:rsid w:val="000617E9"/>
    <w:rsid w:val="00061908"/>
    <w:rsid w:val="0006191C"/>
    <w:rsid w:val="000619B1"/>
    <w:rsid w:val="00061BFD"/>
    <w:rsid w:val="00061C55"/>
    <w:rsid w:val="00061C7E"/>
    <w:rsid w:val="00061CF2"/>
    <w:rsid w:val="00061D9A"/>
    <w:rsid w:val="00062404"/>
    <w:rsid w:val="000626FB"/>
    <w:rsid w:val="000626FC"/>
    <w:rsid w:val="000627FE"/>
    <w:rsid w:val="00062B16"/>
    <w:rsid w:val="00062B65"/>
    <w:rsid w:val="00062C82"/>
    <w:rsid w:val="00062C99"/>
    <w:rsid w:val="00063042"/>
    <w:rsid w:val="00063106"/>
    <w:rsid w:val="00063186"/>
    <w:rsid w:val="000631DD"/>
    <w:rsid w:val="0006333D"/>
    <w:rsid w:val="00063389"/>
    <w:rsid w:val="000637A1"/>
    <w:rsid w:val="00063A41"/>
    <w:rsid w:val="00063ACB"/>
    <w:rsid w:val="00063AE4"/>
    <w:rsid w:val="00063DBA"/>
    <w:rsid w:val="00063DEA"/>
    <w:rsid w:val="00063FF4"/>
    <w:rsid w:val="00064104"/>
    <w:rsid w:val="000641BB"/>
    <w:rsid w:val="00064247"/>
    <w:rsid w:val="00064289"/>
    <w:rsid w:val="00064304"/>
    <w:rsid w:val="0006441A"/>
    <w:rsid w:val="0006459A"/>
    <w:rsid w:val="00064981"/>
    <w:rsid w:val="00064B3C"/>
    <w:rsid w:val="00064B3F"/>
    <w:rsid w:val="00064C50"/>
    <w:rsid w:val="00064F0D"/>
    <w:rsid w:val="000650B6"/>
    <w:rsid w:val="00065185"/>
    <w:rsid w:val="0006547B"/>
    <w:rsid w:val="0006582C"/>
    <w:rsid w:val="00065946"/>
    <w:rsid w:val="00065A66"/>
    <w:rsid w:val="00065ADF"/>
    <w:rsid w:val="00065E1E"/>
    <w:rsid w:val="00065EE6"/>
    <w:rsid w:val="00066301"/>
    <w:rsid w:val="00066396"/>
    <w:rsid w:val="00066566"/>
    <w:rsid w:val="00066634"/>
    <w:rsid w:val="00066695"/>
    <w:rsid w:val="00066781"/>
    <w:rsid w:val="00066869"/>
    <w:rsid w:val="000668D0"/>
    <w:rsid w:val="0006692A"/>
    <w:rsid w:val="00066AA1"/>
    <w:rsid w:val="00066C25"/>
    <w:rsid w:val="00066F98"/>
    <w:rsid w:val="00067076"/>
    <w:rsid w:val="000670BA"/>
    <w:rsid w:val="000670EE"/>
    <w:rsid w:val="000671DB"/>
    <w:rsid w:val="000671EC"/>
    <w:rsid w:val="00067208"/>
    <w:rsid w:val="00067456"/>
    <w:rsid w:val="000674A0"/>
    <w:rsid w:val="0006762A"/>
    <w:rsid w:val="00067762"/>
    <w:rsid w:val="0006783F"/>
    <w:rsid w:val="00067A0F"/>
    <w:rsid w:val="00067C66"/>
    <w:rsid w:val="00067D06"/>
    <w:rsid w:val="00067D22"/>
    <w:rsid w:val="00067D31"/>
    <w:rsid w:val="00067DA0"/>
    <w:rsid w:val="0007026B"/>
    <w:rsid w:val="0007061A"/>
    <w:rsid w:val="0007075C"/>
    <w:rsid w:val="000707DA"/>
    <w:rsid w:val="000708DB"/>
    <w:rsid w:val="00070911"/>
    <w:rsid w:val="00070A45"/>
    <w:rsid w:val="00070B55"/>
    <w:rsid w:val="00070B5A"/>
    <w:rsid w:val="00070CE8"/>
    <w:rsid w:val="00070D27"/>
    <w:rsid w:val="00070E3C"/>
    <w:rsid w:val="000714B3"/>
    <w:rsid w:val="000714E4"/>
    <w:rsid w:val="00071506"/>
    <w:rsid w:val="0007154F"/>
    <w:rsid w:val="00071647"/>
    <w:rsid w:val="00071699"/>
    <w:rsid w:val="0007171E"/>
    <w:rsid w:val="00071994"/>
    <w:rsid w:val="00071C8D"/>
    <w:rsid w:val="00071D88"/>
    <w:rsid w:val="00071F2C"/>
    <w:rsid w:val="00071FB5"/>
    <w:rsid w:val="00072023"/>
    <w:rsid w:val="00072212"/>
    <w:rsid w:val="00072267"/>
    <w:rsid w:val="00072350"/>
    <w:rsid w:val="00072363"/>
    <w:rsid w:val="000727A5"/>
    <w:rsid w:val="0007280A"/>
    <w:rsid w:val="00072810"/>
    <w:rsid w:val="0007282F"/>
    <w:rsid w:val="000729F0"/>
    <w:rsid w:val="00072CCB"/>
    <w:rsid w:val="00072F05"/>
    <w:rsid w:val="00072F0D"/>
    <w:rsid w:val="00072FA1"/>
    <w:rsid w:val="000732B6"/>
    <w:rsid w:val="000733B5"/>
    <w:rsid w:val="000733C2"/>
    <w:rsid w:val="00073B49"/>
    <w:rsid w:val="00074098"/>
    <w:rsid w:val="00074470"/>
    <w:rsid w:val="000746BA"/>
    <w:rsid w:val="0007474A"/>
    <w:rsid w:val="000747EE"/>
    <w:rsid w:val="0007498D"/>
    <w:rsid w:val="0007499D"/>
    <w:rsid w:val="00074A66"/>
    <w:rsid w:val="00074B0F"/>
    <w:rsid w:val="00074B34"/>
    <w:rsid w:val="00074DE2"/>
    <w:rsid w:val="00074E05"/>
    <w:rsid w:val="00075127"/>
    <w:rsid w:val="000752E8"/>
    <w:rsid w:val="00075359"/>
    <w:rsid w:val="000754D7"/>
    <w:rsid w:val="00075728"/>
    <w:rsid w:val="0007577A"/>
    <w:rsid w:val="0007579E"/>
    <w:rsid w:val="0007581B"/>
    <w:rsid w:val="000758D0"/>
    <w:rsid w:val="00075B07"/>
    <w:rsid w:val="00075C9D"/>
    <w:rsid w:val="00075CA7"/>
    <w:rsid w:val="00075F66"/>
    <w:rsid w:val="00075FA9"/>
    <w:rsid w:val="000760DD"/>
    <w:rsid w:val="000762B1"/>
    <w:rsid w:val="000764E4"/>
    <w:rsid w:val="00076670"/>
    <w:rsid w:val="000766A2"/>
    <w:rsid w:val="00076909"/>
    <w:rsid w:val="000769AF"/>
    <w:rsid w:val="00076C5A"/>
    <w:rsid w:val="00077201"/>
    <w:rsid w:val="00077485"/>
    <w:rsid w:val="000777A5"/>
    <w:rsid w:val="00077941"/>
    <w:rsid w:val="00077CA1"/>
    <w:rsid w:val="00077E62"/>
    <w:rsid w:val="00077EE7"/>
    <w:rsid w:val="00080025"/>
    <w:rsid w:val="00080067"/>
    <w:rsid w:val="00080336"/>
    <w:rsid w:val="0008038C"/>
    <w:rsid w:val="00080670"/>
    <w:rsid w:val="000807D5"/>
    <w:rsid w:val="00080898"/>
    <w:rsid w:val="000808D4"/>
    <w:rsid w:val="000809F5"/>
    <w:rsid w:val="00080A1B"/>
    <w:rsid w:val="00080A93"/>
    <w:rsid w:val="00080AAE"/>
    <w:rsid w:val="00080AFB"/>
    <w:rsid w:val="00080EC5"/>
    <w:rsid w:val="000812FD"/>
    <w:rsid w:val="00081367"/>
    <w:rsid w:val="0008143B"/>
    <w:rsid w:val="00081722"/>
    <w:rsid w:val="00081803"/>
    <w:rsid w:val="00081885"/>
    <w:rsid w:val="00081911"/>
    <w:rsid w:val="000819C0"/>
    <w:rsid w:val="00081A87"/>
    <w:rsid w:val="00081A99"/>
    <w:rsid w:val="00081AB1"/>
    <w:rsid w:val="00081B06"/>
    <w:rsid w:val="00081B29"/>
    <w:rsid w:val="00081D6C"/>
    <w:rsid w:val="00081D76"/>
    <w:rsid w:val="00081DBA"/>
    <w:rsid w:val="00081E6D"/>
    <w:rsid w:val="00082071"/>
    <w:rsid w:val="000820E5"/>
    <w:rsid w:val="00082107"/>
    <w:rsid w:val="000821D3"/>
    <w:rsid w:val="000822B5"/>
    <w:rsid w:val="00082590"/>
    <w:rsid w:val="000826D3"/>
    <w:rsid w:val="00082AAE"/>
    <w:rsid w:val="00082C2E"/>
    <w:rsid w:val="00082FFA"/>
    <w:rsid w:val="00083214"/>
    <w:rsid w:val="00083396"/>
    <w:rsid w:val="00083435"/>
    <w:rsid w:val="000834A0"/>
    <w:rsid w:val="000834E7"/>
    <w:rsid w:val="00083643"/>
    <w:rsid w:val="00083767"/>
    <w:rsid w:val="00083793"/>
    <w:rsid w:val="0008390B"/>
    <w:rsid w:val="00083A62"/>
    <w:rsid w:val="00083AD2"/>
    <w:rsid w:val="00083B9D"/>
    <w:rsid w:val="00083C06"/>
    <w:rsid w:val="00083C0D"/>
    <w:rsid w:val="00083E58"/>
    <w:rsid w:val="000840F5"/>
    <w:rsid w:val="00084241"/>
    <w:rsid w:val="0008458A"/>
    <w:rsid w:val="000846B7"/>
    <w:rsid w:val="00084950"/>
    <w:rsid w:val="000849C1"/>
    <w:rsid w:val="00084A88"/>
    <w:rsid w:val="00084BA4"/>
    <w:rsid w:val="00084CDD"/>
    <w:rsid w:val="00084F55"/>
    <w:rsid w:val="000851C8"/>
    <w:rsid w:val="000851E6"/>
    <w:rsid w:val="00085202"/>
    <w:rsid w:val="00085405"/>
    <w:rsid w:val="000857C3"/>
    <w:rsid w:val="000859C0"/>
    <w:rsid w:val="00085C74"/>
    <w:rsid w:val="00085EF0"/>
    <w:rsid w:val="00085F9E"/>
    <w:rsid w:val="0008606F"/>
    <w:rsid w:val="000860FD"/>
    <w:rsid w:val="0008612D"/>
    <w:rsid w:val="000861A9"/>
    <w:rsid w:val="000861E5"/>
    <w:rsid w:val="000867DA"/>
    <w:rsid w:val="00086B52"/>
    <w:rsid w:val="00086BB2"/>
    <w:rsid w:val="00086BD1"/>
    <w:rsid w:val="00086C96"/>
    <w:rsid w:val="00086E1F"/>
    <w:rsid w:val="00086ED6"/>
    <w:rsid w:val="00086EDE"/>
    <w:rsid w:val="00086F03"/>
    <w:rsid w:val="00086F0A"/>
    <w:rsid w:val="00087099"/>
    <w:rsid w:val="00087152"/>
    <w:rsid w:val="00087365"/>
    <w:rsid w:val="000873F3"/>
    <w:rsid w:val="000876B5"/>
    <w:rsid w:val="000876E0"/>
    <w:rsid w:val="00087710"/>
    <w:rsid w:val="00087D0F"/>
    <w:rsid w:val="00087DB8"/>
    <w:rsid w:val="00087E94"/>
    <w:rsid w:val="000900F6"/>
    <w:rsid w:val="000901D3"/>
    <w:rsid w:val="000901ED"/>
    <w:rsid w:val="00090316"/>
    <w:rsid w:val="00090433"/>
    <w:rsid w:val="000904B1"/>
    <w:rsid w:val="0009050E"/>
    <w:rsid w:val="000905D5"/>
    <w:rsid w:val="0009070C"/>
    <w:rsid w:val="000909AB"/>
    <w:rsid w:val="000909DB"/>
    <w:rsid w:val="00090E24"/>
    <w:rsid w:val="00090F4B"/>
    <w:rsid w:val="0009111A"/>
    <w:rsid w:val="0009115C"/>
    <w:rsid w:val="00091660"/>
    <w:rsid w:val="000918B6"/>
    <w:rsid w:val="0009194E"/>
    <w:rsid w:val="00091BEB"/>
    <w:rsid w:val="00091DA1"/>
    <w:rsid w:val="00092287"/>
    <w:rsid w:val="00092337"/>
    <w:rsid w:val="00092365"/>
    <w:rsid w:val="000927DC"/>
    <w:rsid w:val="00092837"/>
    <w:rsid w:val="00092BDF"/>
    <w:rsid w:val="00092CB2"/>
    <w:rsid w:val="00092D5B"/>
    <w:rsid w:val="00092E0F"/>
    <w:rsid w:val="000931AB"/>
    <w:rsid w:val="00093467"/>
    <w:rsid w:val="0009347B"/>
    <w:rsid w:val="00093599"/>
    <w:rsid w:val="000935CC"/>
    <w:rsid w:val="000936EC"/>
    <w:rsid w:val="00093848"/>
    <w:rsid w:val="000938E0"/>
    <w:rsid w:val="00093981"/>
    <w:rsid w:val="000939D2"/>
    <w:rsid w:val="00093A1F"/>
    <w:rsid w:val="00093A96"/>
    <w:rsid w:val="00093CD9"/>
    <w:rsid w:val="00093E1E"/>
    <w:rsid w:val="00093EDE"/>
    <w:rsid w:val="00093F14"/>
    <w:rsid w:val="000940AD"/>
    <w:rsid w:val="00094181"/>
    <w:rsid w:val="0009420C"/>
    <w:rsid w:val="0009422A"/>
    <w:rsid w:val="0009430E"/>
    <w:rsid w:val="0009467A"/>
    <w:rsid w:val="00094682"/>
    <w:rsid w:val="00094735"/>
    <w:rsid w:val="00094852"/>
    <w:rsid w:val="00094AF5"/>
    <w:rsid w:val="00094C76"/>
    <w:rsid w:val="00094F3B"/>
    <w:rsid w:val="00095237"/>
    <w:rsid w:val="0009539C"/>
    <w:rsid w:val="0009541A"/>
    <w:rsid w:val="0009543A"/>
    <w:rsid w:val="0009555C"/>
    <w:rsid w:val="000955AD"/>
    <w:rsid w:val="00095901"/>
    <w:rsid w:val="00095A82"/>
    <w:rsid w:val="00095C0A"/>
    <w:rsid w:val="00095D71"/>
    <w:rsid w:val="00095D76"/>
    <w:rsid w:val="00095E6D"/>
    <w:rsid w:val="00095FD5"/>
    <w:rsid w:val="000960CF"/>
    <w:rsid w:val="0009624A"/>
    <w:rsid w:val="00096252"/>
    <w:rsid w:val="00096383"/>
    <w:rsid w:val="0009639D"/>
    <w:rsid w:val="00096458"/>
    <w:rsid w:val="000964DF"/>
    <w:rsid w:val="000966A2"/>
    <w:rsid w:val="00096B9C"/>
    <w:rsid w:val="00097023"/>
    <w:rsid w:val="0009713C"/>
    <w:rsid w:val="000971F9"/>
    <w:rsid w:val="0009734C"/>
    <w:rsid w:val="0009735B"/>
    <w:rsid w:val="00097487"/>
    <w:rsid w:val="000974E7"/>
    <w:rsid w:val="00097799"/>
    <w:rsid w:val="000977F6"/>
    <w:rsid w:val="0009780A"/>
    <w:rsid w:val="00097B72"/>
    <w:rsid w:val="00097B78"/>
    <w:rsid w:val="00097B9E"/>
    <w:rsid w:val="00097CDF"/>
    <w:rsid w:val="00097EFA"/>
    <w:rsid w:val="000A0228"/>
    <w:rsid w:val="000A02D7"/>
    <w:rsid w:val="000A03FB"/>
    <w:rsid w:val="000A0499"/>
    <w:rsid w:val="000A04EA"/>
    <w:rsid w:val="000A0509"/>
    <w:rsid w:val="000A06F7"/>
    <w:rsid w:val="000A0734"/>
    <w:rsid w:val="000A08F4"/>
    <w:rsid w:val="000A0C6B"/>
    <w:rsid w:val="000A0CAB"/>
    <w:rsid w:val="000A0CC9"/>
    <w:rsid w:val="000A0D72"/>
    <w:rsid w:val="000A0FE8"/>
    <w:rsid w:val="000A101B"/>
    <w:rsid w:val="000A11A6"/>
    <w:rsid w:val="000A11D5"/>
    <w:rsid w:val="000A12C5"/>
    <w:rsid w:val="000A13B5"/>
    <w:rsid w:val="000A18A5"/>
    <w:rsid w:val="000A1B17"/>
    <w:rsid w:val="000A1C2F"/>
    <w:rsid w:val="000A1CAD"/>
    <w:rsid w:val="000A1E22"/>
    <w:rsid w:val="000A1F58"/>
    <w:rsid w:val="000A1F96"/>
    <w:rsid w:val="000A2326"/>
    <w:rsid w:val="000A24B5"/>
    <w:rsid w:val="000A252B"/>
    <w:rsid w:val="000A25A7"/>
    <w:rsid w:val="000A2642"/>
    <w:rsid w:val="000A2708"/>
    <w:rsid w:val="000A2866"/>
    <w:rsid w:val="000A2A53"/>
    <w:rsid w:val="000A2C1D"/>
    <w:rsid w:val="000A2C75"/>
    <w:rsid w:val="000A2CBC"/>
    <w:rsid w:val="000A2DB2"/>
    <w:rsid w:val="000A2DC4"/>
    <w:rsid w:val="000A354E"/>
    <w:rsid w:val="000A3558"/>
    <w:rsid w:val="000A3572"/>
    <w:rsid w:val="000A35CB"/>
    <w:rsid w:val="000A37D0"/>
    <w:rsid w:val="000A3965"/>
    <w:rsid w:val="000A3A7F"/>
    <w:rsid w:val="000A3C12"/>
    <w:rsid w:val="000A3CBF"/>
    <w:rsid w:val="000A3CD9"/>
    <w:rsid w:val="000A3F82"/>
    <w:rsid w:val="000A4169"/>
    <w:rsid w:val="000A4221"/>
    <w:rsid w:val="000A434A"/>
    <w:rsid w:val="000A43CA"/>
    <w:rsid w:val="000A440A"/>
    <w:rsid w:val="000A442D"/>
    <w:rsid w:val="000A444B"/>
    <w:rsid w:val="000A4A13"/>
    <w:rsid w:val="000A4A41"/>
    <w:rsid w:val="000A4A76"/>
    <w:rsid w:val="000A4C09"/>
    <w:rsid w:val="000A4CC1"/>
    <w:rsid w:val="000A4D7F"/>
    <w:rsid w:val="000A4FB3"/>
    <w:rsid w:val="000A5043"/>
    <w:rsid w:val="000A5131"/>
    <w:rsid w:val="000A51ED"/>
    <w:rsid w:val="000A5244"/>
    <w:rsid w:val="000A525A"/>
    <w:rsid w:val="000A5291"/>
    <w:rsid w:val="000A53D1"/>
    <w:rsid w:val="000A5521"/>
    <w:rsid w:val="000A55DC"/>
    <w:rsid w:val="000A5887"/>
    <w:rsid w:val="000A59C1"/>
    <w:rsid w:val="000A5A3F"/>
    <w:rsid w:val="000A5B8D"/>
    <w:rsid w:val="000A5C10"/>
    <w:rsid w:val="000A60D6"/>
    <w:rsid w:val="000A6232"/>
    <w:rsid w:val="000A62C3"/>
    <w:rsid w:val="000A63FD"/>
    <w:rsid w:val="000A642F"/>
    <w:rsid w:val="000A6786"/>
    <w:rsid w:val="000A6997"/>
    <w:rsid w:val="000A6BFB"/>
    <w:rsid w:val="000A7164"/>
    <w:rsid w:val="000A71F8"/>
    <w:rsid w:val="000A733B"/>
    <w:rsid w:val="000A76D4"/>
    <w:rsid w:val="000A76DD"/>
    <w:rsid w:val="000A79D0"/>
    <w:rsid w:val="000A7EE9"/>
    <w:rsid w:val="000A7F56"/>
    <w:rsid w:val="000B0085"/>
    <w:rsid w:val="000B0275"/>
    <w:rsid w:val="000B0508"/>
    <w:rsid w:val="000B067A"/>
    <w:rsid w:val="000B0712"/>
    <w:rsid w:val="000B0789"/>
    <w:rsid w:val="000B07A9"/>
    <w:rsid w:val="000B0960"/>
    <w:rsid w:val="000B0B87"/>
    <w:rsid w:val="000B0E24"/>
    <w:rsid w:val="000B0FE0"/>
    <w:rsid w:val="000B0FF0"/>
    <w:rsid w:val="000B0FFA"/>
    <w:rsid w:val="000B1275"/>
    <w:rsid w:val="000B12CE"/>
    <w:rsid w:val="000B1540"/>
    <w:rsid w:val="000B15CC"/>
    <w:rsid w:val="000B17F9"/>
    <w:rsid w:val="000B1D10"/>
    <w:rsid w:val="000B1E7B"/>
    <w:rsid w:val="000B20B8"/>
    <w:rsid w:val="000B223A"/>
    <w:rsid w:val="000B22BF"/>
    <w:rsid w:val="000B2386"/>
    <w:rsid w:val="000B247C"/>
    <w:rsid w:val="000B24EA"/>
    <w:rsid w:val="000B250D"/>
    <w:rsid w:val="000B25BC"/>
    <w:rsid w:val="000B2618"/>
    <w:rsid w:val="000B2672"/>
    <w:rsid w:val="000B26FC"/>
    <w:rsid w:val="000B276A"/>
    <w:rsid w:val="000B28A4"/>
    <w:rsid w:val="000B28B3"/>
    <w:rsid w:val="000B28BA"/>
    <w:rsid w:val="000B28DF"/>
    <w:rsid w:val="000B2BDC"/>
    <w:rsid w:val="000B2D50"/>
    <w:rsid w:val="000B2E24"/>
    <w:rsid w:val="000B2EB3"/>
    <w:rsid w:val="000B2F9E"/>
    <w:rsid w:val="000B3068"/>
    <w:rsid w:val="000B31C3"/>
    <w:rsid w:val="000B3205"/>
    <w:rsid w:val="000B33FD"/>
    <w:rsid w:val="000B358C"/>
    <w:rsid w:val="000B373D"/>
    <w:rsid w:val="000B37BD"/>
    <w:rsid w:val="000B3956"/>
    <w:rsid w:val="000B3BA1"/>
    <w:rsid w:val="000B3C62"/>
    <w:rsid w:val="000B3E9B"/>
    <w:rsid w:val="000B3EF8"/>
    <w:rsid w:val="000B3F97"/>
    <w:rsid w:val="000B4088"/>
    <w:rsid w:val="000B427C"/>
    <w:rsid w:val="000B444A"/>
    <w:rsid w:val="000B4693"/>
    <w:rsid w:val="000B46BE"/>
    <w:rsid w:val="000B475A"/>
    <w:rsid w:val="000B47F1"/>
    <w:rsid w:val="000B4822"/>
    <w:rsid w:val="000B48CA"/>
    <w:rsid w:val="000B4A56"/>
    <w:rsid w:val="000B4ABA"/>
    <w:rsid w:val="000B4ADD"/>
    <w:rsid w:val="000B4B45"/>
    <w:rsid w:val="000B4D07"/>
    <w:rsid w:val="000B500B"/>
    <w:rsid w:val="000B5048"/>
    <w:rsid w:val="000B542B"/>
    <w:rsid w:val="000B562D"/>
    <w:rsid w:val="000B5792"/>
    <w:rsid w:val="000B5ABD"/>
    <w:rsid w:val="000B5E6E"/>
    <w:rsid w:val="000B5F2F"/>
    <w:rsid w:val="000B5FFD"/>
    <w:rsid w:val="000B607B"/>
    <w:rsid w:val="000B64C3"/>
    <w:rsid w:val="000B65A0"/>
    <w:rsid w:val="000B690D"/>
    <w:rsid w:val="000B6A42"/>
    <w:rsid w:val="000B6A4F"/>
    <w:rsid w:val="000B6B80"/>
    <w:rsid w:val="000B6C43"/>
    <w:rsid w:val="000B6D1B"/>
    <w:rsid w:val="000B6DBF"/>
    <w:rsid w:val="000B6E51"/>
    <w:rsid w:val="000B706E"/>
    <w:rsid w:val="000B709F"/>
    <w:rsid w:val="000B7148"/>
    <w:rsid w:val="000B71A6"/>
    <w:rsid w:val="000B7220"/>
    <w:rsid w:val="000B724F"/>
    <w:rsid w:val="000B7413"/>
    <w:rsid w:val="000B763F"/>
    <w:rsid w:val="000B77D2"/>
    <w:rsid w:val="000B7930"/>
    <w:rsid w:val="000B7B2D"/>
    <w:rsid w:val="000B7C9F"/>
    <w:rsid w:val="000B7D77"/>
    <w:rsid w:val="000B7FC2"/>
    <w:rsid w:val="000C0310"/>
    <w:rsid w:val="000C048F"/>
    <w:rsid w:val="000C0573"/>
    <w:rsid w:val="000C0707"/>
    <w:rsid w:val="000C0733"/>
    <w:rsid w:val="000C0817"/>
    <w:rsid w:val="000C0849"/>
    <w:rsid w:val="000C0A63"/>
    <w:rsid w:val="000C0B97"/>
    <w:rsid w:val="000C0E48"/>
    <w:rsid w:val="000C0ED5"/>
    <w:rsid w:val="000C0F59"/>
    <w:rsid w:val="000C0F9A"/>
    <w:rsid w:val="000C1283"/>
    <w:rsid w:val="000C1430"/>
    <w:rsid w:val="000C14BE"/>
    <w:rsid w:val="000C1574"/>
    <w:rsid w:val="000C19CE"/>
    <w:rsid w:val="000C1A32"/>
    <w:rsid w:val="000C1B16"/>
    <w:rsid w:val="000C1EAE"/>
    <w:rsid w:val="000C2078"/>
    <w:rsid w:val="000C2107"/>
    <w:rsid w:val="000C22AE"/>
    <w:rsid w:val="000C24DA"/>
    <w:rsid w:val="000C258F"/>
    <w:rsid w:val="000C2640"/>
    <w:rsid w:val="000C274E"/>
    <w:rsid w:val="000C2790"/>
    <w:rsid w:val="000C2872"/>
    <w:rsid w:val="000C2ACC"/>
    <w:rsid w:val="000C2BBC"/>
    <w:rsid w:val="000C2D5D"/>
    <w:rsid w:val="000C2DF9"/>
    <w:rsid w:val="000C2F00"/>
    <w:rsid w:val="000C3178"/>
    <w:rsid w:val="000C3282"/>
    <w:rsid w:val="000C32B2"/>
    <w:rsid w:val="000C32BD"/>
    <w:rsid w:val="000C37BD"/>
    <w:rsid w:val="000C386F"/>
    <w:rsid w:val="000C3884"/>
    <w:rsid w:val="000C39B6"/>
    <w:rsid w:val="000C39F8"/>
    <w:rsid w:val="000C3AEE"/>
    <w:rsid w:val="000C3DA0"/>
    <w:rsid w:val="000C40CA"/>
    <w:rsid w:val="000C4137"/>
    <w:rsid w:val="000C4215"/>
    <w:rsid w:val="000C4280"/>
    <w:rsid w:val="000C439D"/>
    <w:rsid w:val="000C46DB"/>
    <w:rsid w:val="000C47B2"/>
    <w:rsid w:val="000C4B16"/>
    <w:rsid w:val="000C4D35"/>
    <w:rsid w:val="000C4EDE"/>
    <w:rsid w:val="000C4FD5"/>
    <w:rsid w:val="000C4FE4"/>
    <w:rsid w:val="000C4FEC"/>
    <w:rsid w:val="000C5032"/>
    <w:rsid w:val="000C50C3"/>
    <w:rsid w:val="000C5235"/>
    <w:rsid w:val="000C54F8"/>
    <w:rsid w:val="000C5761"/>
    <w:rsid w:val="000C57F3"/>
    <w:rsid w:val="000C5800"/>
    <w:rsid w:val="000C582D"/>
    <w:rsid w:val="000C5929"/>
    <w:rsid w:val="000C5C52"/>
    <w:rsid w:val="000C5D21"/>
    <w:rsid w:val="000C5EAF"/>
    <w:rsid w:val="000C611D"/>
    <w:rsid w:val="000C6548"/>
    <w:rsid w:val="000C6551"/>
    <w:rsid w:val="000C662A"/>
    <w:rsid w:val="000C692F"/>
    <w:rsid w:val="000C6977"/>
    <w:rsid w:val="000C6978"/>
    <w:rsid w:val="000C697C"/>
    <w:rsid w:val="000C6B92"/>
    <w:rsid w:val="000C6D88"/>
    <w:rsid w:val="000C72A1"/>
    <w:rsid w:val="000C72F5"/>
    <w:rsid w:val="000C733C"/>
    <w:rsid w:val="000C735F"/>
    <w:rsid w:val="000C75C2"/>
    <w:rsid w:val="000C7710"/>
    <w:rsid w:val="000C7E8E"/>
    <w:rsid w:val="000D0034"/>
    <w:rsid w:val="000D0091"/>
    <w:rsid w:val="000D0277"/>
    <w:rsid w:val="000D0819"/>
    <w:rsid w:val="000D0A31"/>
    <w:rsid w:val="000D0AF2"/>
    <w:rsid w:val="000D0EDB"/>
    <w:rsid w:val="000D0FD7"/>
    <w:rsid w:val="000D1155"/>
    <w:rsid w:val="000D1360"/>
    <w:rsid w:val="000D141E"/>
    <w:rsid w:val="000D1461"/>
    <w:rsid w:val="000D1517"/>
    <w:rsid w:val="000D15F2"/>
    <w:rsid w:val="000D18AF"/>
    <w:rsid w:val="000D1980"/>
    <w:rsid w:val="000D1A85"/>
    <w:rsid w:val="000D1B53"/>
    <w:rsid w:val="000D1B73"/>
    <w:rsid w:val="000D1C16"/>
    <w:rsid w:val="000D1CB0"/>
    <w:rsid w:val="000D1F03"/>
    <w:rsid w:val="000D21F6"/>
    <w:rsid w:val="000D2402"/>
    <w:rsid w:val="000D24E4"/>
    <w:rsid w:val="000D25E3"/>
    <w:rsid w:val="000D265F"/>
    <w:rsid w:val="000D267B"/>
    <w:rsid w:val="000D26C8"/>
    <w:rsid w:val="000D2A2C"/>
    <w:rsid w:val="000D2A35"/>
    <w:rsid w:val="000D2B22"/>
    <w:rsid w:val="000D2B26"/>
    <w:rsid w:val="000D3014"/>
    <w:rsid w:val="000D31CA"/>
    <w:rsid w:val="000D31F5"/>
    <w:rsid w:val="000D3202"/>
    <w:rsid w:val="000D3271"/>
    <w:rsid w:val="000D33F1"/>
    <w:rsid w:val="000D3412"/>
    <w:rsid w:val="000D344E"/>
    <w:rsid w:val="000D3474"/>
    <w:rsid w:val="000D3496"/>
    <w:rsid w:val="000D34A9"/>
    <w:rsid w:val="000D34E7"/>
    <w:rsid w:val="000D3554"/>
    <w:rsid w:val="000D3570"/>
    <w:rsid w:val="000D36D2"/>
    <w:rsid w:val="000D3845"/>
    <w:rsid w:val="000D3896"/>
    <w:rsid w:val="000D38C8"/>
    <w:rsid w:val="000D3D34"/>
    <w:rsid w:val="000D4082"/>
    <w:rsid w:val="000D40F3"/>
    <w:rsid w:val="000D42C3"/>
    <w:rsid w:val="000D4376"/>
    <w:rsid w:val="000D4500"/>
    <w:rsid w:val="000D4A78"/>
    <w:rsid w:val="000D4AF7"/>
    <w:rsid w:val="000D4C2D"/>
    <w:rsid w:val="000D4E01"/>
    <w:rsid w:val="000D54FF"/>
    <w:rsid w:val="000D5524"/>
    <w:rsid w:val="000D5766"/>
    <w:rsid w:val="000D57B6"/>
    <w:rsid w:val="000D5807"/>
    <w:rsid w:val="000D5870"/>
    <w:rsid w:val="000D59D9"/>
    <w:rsid w:val="000D5DE2"/>
    <w:rsid w:val="000D5E3A"/>
    <w:rsid w:val="000D5E7F"/>
    <w:rsid w:val="000D5F83"/>
    <w:rsid w:val="000D5FED"/>
    <w:rsid w:val="000D6040"/>
    <w:rsid w:val="000D6145"/>
    <w:rsid w:val="000D6280"/>
    <w:rsid w:val="000D62C6"/>
    <w:rsid w:val="000D6353"/>
    <w:rsid w:val="000D63F0"/>
    <w:rsid w:val="000D65C3"/>
    <w:rsid w:val="000D67C8"/>
    <w:rsid w:val="000D6C39"/>
    <w:rsid w:val="000D6C6D"/>
    <w:rsid w:val="000D6DAE"/>
    <w:rsid w:val="000D7016"/>
    <w:rsid w:val="000D706A"/>
    <w:rsid w:val="000D70AB"/>
    <w:rsid w:val="000D7233"/>
    <w:rsid w:val="000D7330"/>
    <w:rsid w:val="000D73BC"/>
    <w:rsid w:val="000D74B7"/>
    <w:rsid w:val="000D74B9"/>
    <w:rsid w:val="000D74D1"/>
    <w:rsid w:val="000D75F9"/>
    <w:rsid w:val="000D77B1"/>
    <w:rsid w:val="000D79CD"/>
    <w:rsid w:val="000D7AEA"/>
    <w:rsid w:val="000D7B45"/>
    <w:rsid w:val="000D7B68"/>
    <w:rsid w:val="000D7DA7"/>
    <w:rsid w:val="000D7DD4"/>
    <w:rsid w:val="000E01A9"/>
    <w:rsid w:val="000E0426"/>
    <w:rsid w:val="000E0428"/>
    <w:rsid w:val="000E050C"/>
    <w:rsid w:val="000E0600"/>
    <w:rsid w:val="000E0644"/>
    <w:rsid w:val="000E0766"/>
    <w:rsid w:val="000E076F"/>
    <w:rsid w:val="000E0908"/>
    <w:rsid w:val="000E094C"/>
    <w:rsid w:val="000E09E8"/>
    <w:rsid w:val="000E0B76"/>
    <w:rsid w:val="000E0EB0"/>
    <w:rsid w:val="000E1039"/>
    <w:rsid w:val="000E1670"/>
    <w:rsid w:val="000E195A"/>
    <w:rsid w:val="000E19FF"/>
    <w:rsid w:val="000E1A5F"/>
    <w:rsid w:val="000E1D6A"/>
    <w:rsid w:val="000E1EC0"/>
    <w:rsid w:val="000E1EC1"/>
    <w:rsid w:val="000E1F2E"/>
    <w:rsid w:val="000E2049"/>
    <w:rsid w:val="000E20EC"/>
    <w:rsid w:val="000E215E"/>
    <w:rsid w:val="000E21FD"/>
    <w:rsid w:val="000E2266"/>
    <w:rsid w:val="000E294F"/>
    <w:rsid w:val="000E2AED"/>
    <w:rsid w:val="000E2C66"/>
    <w:rsid w:val="000E2F96"/>
    <w:rsid w:val="000E2FE7"/>
    <w:rsid w:val="000E31DF"/>
    <w:rsid w:val="000E35E6"/>
    <w:rsid w:val="000E3AEF"/>
    <w:rsid w:val="000E3C43"/>
    <w:rsid w:val="000E3CD5"/>
    <w:rsid w:val="000E3D25"/>
    <w:rsid w:val="000E40D9"/>
    <w:rsid w:val="000E416A"/>
    <w:rsid w:val="000E433C"/>
    <w:rsid w:val="000E434D"/>
    <w:rsid w:val="000E440D"/>
    <w:rsid w:val="000E4802"/>
    <w:rsid w:val="000E48D2"/>
    <w:rsid w:val="000E49CA"/>
    <w:rsid w:val="000E4ABF"/>
    <w:rsid w:val="000E4C48"/>
    <w:rsid w:val="000E4E68"/>
    <w:rsid w:val="000E50BC"/>
    <w:rsid w:val="000E521E"/>
    <w:rsid w:val="000E5513"/>
    <w:rsid w:val="000E5679"/>
    <w:rsid w:val="000E5794"/>
    <w:rsid w:val="000E5AA3"/>
    <w:rsid w:val="000E5CC3"/>
    <w:rsid w:val="000E5CCB"/>
    <w:rsid w:val="000E5F3E"/>
    <w:rsid w:val="000E5FD8"/>
    <w:rsid w:val="000E60A0"/>
    <w:rsid w:val="000E6796"/>
    <w:rsid w:val="000E6B09"/>
    <w:rsid w:val="000E6BA2"/>
    <w:rsid w:val="000E6C05"/>
    <w:rsid w:val="000E6DE7"/>
    <w:rsid w:val="000E6E7D"/>
    <w:rsid w:val="000E716F"/>
    <w:rsid w:val="000E75AE"/>
    <w:rsid w:val="000E791D"/>
    <w:rsid w:val="000E795F"/>
    <w:rsid w:val="000E7A09"/>
    <w:rsid w:val="000E7C95"/>
    <w:rsid w:val="000E7CE1"/>
    <w:rsid w:val="000E7E5E"/>
    <w:rsid w:val="000F0020"/>
    <w:rsid w:val="000F004F"/>
    <w:rsid w:val="000F007A"/>
    <w:rsid w:val="000F025B"/>
    <w:rsid w:val="000F0294"/>
    <w:rsid w:val="000F0487"/>
    <w:rsid w:val="000F078D"/>
    <w:rsid w:val="000F08A8"/>
    <w:rsid w:val="000F092B"/>
    <w:rsid w:val="000F0A09"/>
    <w:rsid w:val="000F0EC6"/>
    <w:rsid w:val="000F1074"/>
    <w:rsid w:val="000F110B"/>
    <w:rsid w:val="000F123C"/>
    <w:rsid w:val="000F1298"/>
    <w:rsid w:val="000F142A"/>
    <w:rsid w:val="000F18F5"/>
    <w:rsid w:val="000F1997"/>
    <w:rsid w:val="000F1B47"/>
    <w:rsid w:val="000F1C8A"/>
    <w:rsid w:val="000F1D68"/>
    <w:rsid w:val="000F1E0E"/>
    <w:rsid w:val="000F1ECF"/>
    <w:rsid w:val="000F1F7C"/>
    <w:rsid w:val="000F2089"/>
    <w:rsid w:val="000F21A7"/>
    <w:rsid w:val="000F235E"/>
    <w:rsid w:val="000F2377"/>
    <w:rsid w:val="000F23A0"/>
    <w:rsid w:val="000F2695"/>
    <w:rsid w:val="000F275B"/>
    <w:rsid w:val="000F28EB"/>
    <w:rsid w:val="000F2921"/>
    <w:rsid w:val="000F29E0"/>
    <w:rsid w:val="000F2BAF"/>
    <w:rsid w:val="000F2CC2"/>
    <w:rsid w:val="000F2D3B"/>
    <w:rsid w:val="000F2FED"/>
    <w:rsid w:val="000F3007"/>
    <w:rsid w:val="000F30E9"/>
    <w:rsid w:val="000F30EF"/>
    <w:rsid w:val="000F31E1"/>
    <w:rsid w:val="000F32C5"/>
    <w:rsid w:val="000F33D3"/>
    <w:rsid w:val="000F3478"/>
    <w:rsid w:val="000F35C8"/>
    <w:rsid w:val="000F3A1C"/>
    <w:rsid w:val="000F3C36"/>
    <w:rsid w:val="000F3CB6"/>
    <w:rsid w:val="000F3CC3"/>
    <w:rsid w:val="000F3CF8"/>
    <w:rsid w:val="000F3E6C"/>
    <w:rsid w:val="000F3EF2"/>
    <w:rsid w:val="000F3F55"/>
    <w:rsid w:val="000F3FC3"/>
    <w:rsid w:val="000F4003"/>
    <w:rsid w:val="000F4168"/>
    <w:rsid w:val="000F42E1"/>
    <w:rsid w:val="000F45A3"/>
    <w:rsid w:val="000F468F"/>
    <w:rsid w:val="000F47DB"/>
    <w:rsid w:val="000F48BB"/>
    <w:rsid w:val="000F4EED"/>
    <w:rsid w:val="000F52F6"/>
    <w:rsid w:val="000F5393"/>
    <w:rsid w:val="000F55A3"/>
    <w:rsid w:val="000F55DC"/>
    <w:rsid w:val="000F56B8"/>
    <w:rsid w:val="000F5B1A"/>
    <w:rsid w:val="000F5FB7"/>
    <w:rsid w:val="000F624F"/>
    <w:rsid w:val="000F63CC"/>
    <w:rsid w:val="000F64BA"/>
    <w:rsid w:val="000F64F3"/>
    <w:rsid w:val="000F6591"/>
    <w:rsid w:val="000F66FB"/>
    <w:rsid w:val="000F6859"/>
    <w:rsid w:val="000F694F"/>
    <w:rsid w:val="000F6958"/>
    <w:rsid w:val="000F6959"/>
    <w:rsid w:val="000F6978"/>
    <w:rsid w:val="000F6A4B"/>
    <w:rsid w:val="000F6AA8"/>
    <w:rsid w:val="000F6B10"/>
    <w:rsid w:val="000F6B1C"/>
    <w:rsid w:val="000F6DBE"/>
    <w:rsid w:val="000F6E2B"/>
    <w:rsid w:val="000F6FD0"/>
    <w:rsid w:val="000F7135"/>
    <w:rsid w:val="000F7231"/>
    <w:rsid w:val="000F74A9"/>
    <w:rsid w:val="000F7528"/>
    <w:rsid w:val="000F75E4"/>
    <w:rsid w:val="000F7726"/>
    <w:rsid w:val="000F78DC"/>
    <w:rsid w:val="000F794B"/>
    <w:rsid w:val="000F795D"/>
    <w:rsid w:val="000F7A19"/>
    <w:rsid w:val="000F7B75"/>
    <w:rsid w:val="000F7BE9"/>
    <w:rsid w:val="000F7EA0"/>
    <w:rsid w:val="00100193"/>
    <w:rsid w:val="001002DA"/>
    <w:rsid w:val="001002E9"/>
    <w:rsid w:val="0010034A"/>
    <w:rsid w:val="00100351"/>
    <w:rsid w:val="00100385"/>
    <w:rsid w:val="001003ED"/>
    <w:rsid w:val="00100536"/>
    <w:rsid w:val="00100565"/>
    <w:rsid w:val="001007D3"/>
    <w:rsid w:val="00100B47"/>
    <w:rsid w:val="00100CEC"/>
    <w:rsid w:val="00100D9E"/>
    <w:rsid w:val="00100DAD"/>
    <w:rsid w:val="00100E14"/>
    <w:rsid w:val="00100F05"/>
    <w:rsid w:val="001010A2"/>
    <w:rsid w:val="001010F0"/>
    <w:rsid w:val="00101100"/>
    <w:rsid w:val="0010113A"/>
    <w:rsid w:val="00101599"/>
    <w:rsid w:val="001015D8"/>
    <w:rsid w:val="0010162B"/>
    <w:rsid w:val="00101B7D"/>
    <w:rsid w:val="00101D76"/>
    <w:rsid w:val="00101F8C"/>
    <w:rsid w:val="0010203C"/>
    <w:rsid w:val="00102068"/>
    <w:rsid w:val="001022F3"/>
    <w:rsid w:val="0010231E"/>
    <w:rsid w:val="00102354"/>
    <w:rsid w:val="00102445"/>
    <w:rsid w:val="00102B0A"/>
    <w:rsid w:val="00102C21"/>
    <w:rsid w:val="00102C29"/>
    <w:rsid w:val="00102CF4"/>
    <w:rsid w:val="00102DEA"/>
    <w:rsid w:val="00102E60"/>
    <w:rsid w:val="00102E97"/>
    <w:rsid w:val="00102F3F"/>
    <w:rsid w:val="00102F54"/>
    <w:rsid w:val="00103009"/>
    <w:rsid w:val="0010315F"/>
    <w:rsid w:val="0010319C"/>
    <w:rsid w:val="001033FF"/>
    <w:rsid w:val="0010340D"/>
    <w:rsid w:val="00103413"/>
    <w:rsid w:val="001035BA"/>
    <w:rsid w:val="00103642"/>
    <w:rsid w:val="0010369E"/>
    <w:rsid w:val="0010371D"/>
    <w:rsid w:val="0010387C"/>
    <w:rsid w:val="00103938"/>
    <w:rsid w:val="00103A19"/>
    <w:rsid w:val="00103CD7"/>
    <w:rsid w:val="00103DEE"/>
    <w:rsid w:val="0010403F"/>
    <w:rsid w:val="001042F9"/>
    <w:rsid w:val="00104448"/>
    <w:rsid w:val="0010447F"/>
    <w:rsid w:val="001044E4"/>
    <w:rsid w:val="00104592"/>
    <w:rsid w:val="00104634"/>
    <w:rsid w:val="001046B3"/>
    <w:rsid w:val="00104A2C"/>
    <w:rsid w:val="00104C44"/>
    <w:rsid w:val="00104C48"/>
    <w:rsid w:val="00104D6B"/>
    <w:rsid w:val="00104DBE"/>
    <w:rsid w:val="0010556F"/>
    <w:rsid w:val="0010571C"/>
    <w:rsid w:val="00105A32"/>
    <w:rsid w:val="00105A91"/>
    <w:rsid w:val="00105AF9"/>
    <w:rsid w:val="00105B46"/>
    <w:rsid w:val="00105B5E"/>
    <w:rsid w:val="00105C6F"/>
    <w:rsid w:val="00105CAD"/>
    <w:rsid w:val="0010611E"/>
    <w:rsid w:val="0010616D"/>
    <w:rsid w:val="0010620D"/>
    <w:rsid w:val="00106527"/>
    <w:rsid w:val="0010652C"/>
    <w:rsid w:val="001066D4"/>
    <w:rsid w:val="0010683F"/>
    <w:rsid w:val="00106A70"/>
    <w:rsid w:val="00106ADB"/>
    <w:rsid w:val="00106B19"/>
    <w:rsid w:val="00106CA5"/>
    <w:rsid w:val="00106DEA"/>
    <w:rsid w:val="00106E11"/>
    <w:rsid w:val="00106E29"/>
    <w:rsid w:val="00106F5A"/>
    <w:rsid w:val="00107478"/>
    <w:rsid w:val="00107543"/>
    <w:rsid w:val="00107581"/>
    <w:rsid w:val="001076E6"/>
    <w:rsid w:val="0010770E"/>
    <w:rsid w:val="001077BA"/>
    <w:rsid w:val="001077DE"/>
    <w:rsid w:val="00107846"/>
    <w:rsid w:val="0010784E"/>
    <w:rsid w:val="00107A3E"/>
    <w:rsid w:val="00107BD3"/>
    <w:rsid w:val="00107D30"/>
    <w:rsid w:val="00107E82"/>
    <w:rsid w:val="0011012F"/>
    <w:rsid w:val="001102A1"/>
    <w:rsid w:val="00110478"/>
    <w:rsid w:val="00110AC7"/>
    <w:rsid w:val="00110BAE"/>
    <w:rsid w:val="00110C89"/>
    <w:rsid w:val="00110ED7"/>
    <w:rsid w:val="00110FFB"/>
    <w:rsid w:val="0011104F"/>
    <w:rsid w:val="001112F5"/>
    <w:rsid w:val="00111358"/>
    <w:rsid w:val="001113A5"/>
    <w:rsid w:val="001115CC"/>
    <w:rsid w:val="0011165B"/>
    <w:rsid w:val="0011187A"/>
    <w:rsid w:val="00111995"/>
    <w:rsid w:val="00111D0B"/>
    <w:rsid w:val="00111D59"/>
    <w:rsid w:val="00111F8F"/>
    <w:rsid w:val="00111FE7"/>
    <w:rsid w:val="0011212B"/>
    <w:rsid w:val="001121D8"/>
    <w:rsid w:val="00112431"/>
    <w:rsid w:val="0011243E"/>
    <w:rsid w:val="00112534"/>
    <w:rsid w:val="00112571"/>
    <w:rsid w:val="00112699"/>
    <w:rsid w:val="001127B1"/>
    <w:rsid w:val="00112852"/>
    <w:rsid w:val="0011299D"/>
    <w:rsid w:val="001129B5"/>
    <w:rsid w:val="00112F62"/>
    <w:rsid w:val="00112F9E"/>
    <w:rsid w:val="0011310E"/>
    <w:rsid w:val="00113593"/>
    <w:rsid w:val="001135D3"/>
    <w:rsid w:val="00113604"/>
    <w:rsid w:val="0011360E"/>
    <w:rsid w:val="001138F0"/>
    <w:rsid w:val="00113960"/>
    <w:rsid w:val="00113AC3"/>
    <w:rsid w:val="00113CBC"/>
    <w:rsid w:val="00113D12"/>
    <w:rsid w:val="00113EEE"/>
    <w:rsid w:val="0011400D"/>
    <w:rsid w:val="00114175"/>
    <w:rsid w:val="00114372"/>
    <w:rsid w:val="0011450E"/>
    <w:rsid w:val="001147DE"/>
    <w:rsid w:val="00114858"/>
    <w:rsid w:val="00114936"/>
    <w:rsid w:val="00114958"/>
    <w:rsid w:val="00114A6F"/>
    <w:rsid w:val="00114AE2"/>
    <w:rsid w:val="00114BD2"/>
    <w:rsid w:val="00114D4B"/>
    <w:rsid w:val="00114FBD"/>
    <w:rsid w:val="001150DA"/>
    <w:rsid w:val="001151D6"/>
    <w:rsid w:val="0011533D"/>
    <w:rsid w:val="00115647"/>
    <w:rsid w:val="00115855"/>
    <w:rsid w:val="00115A4C"/>
    <w:rsid w:val="00115AF4"/>
    <w:rsid w:val="00115AF8"/>
    <w:rsid w:val="00115B5E"/>
    <w:rsid w:val="00115BB9"/>
    <w:rsid w:val="00115C04"/>
    <w:rsid w:val="00115E1E"/>
    <w:rsid w:val="001160BD"/>
    <w:rsid w:val="0011631F"/>
    <w:rsid w:val="001164B3"/>
    <w:rsid w:val="001165CE"/>
    <w:rsid w:val="00116651"/>
    <w:rsid w:val="001168B5"/>
    <w:rsid w:val="0011696E"/>
    <w:rsid w:val="001169B9"/>
    <w:rsid w:val="00116BE5"/>
    <w:rsid w:val="00116D63"/>
    <w:rsid w:val="00116EEC"/>
    <w:rsid w:val="0011711B"/>
    <w:rsid w:val="0011712C"/>
    <w:rsid w:val="001171DE"/>
    <w:rsid w:val="0011725E"/>
    <w:rsid w:val="0011751C"/>
    <w:rsid w:val="00117890"/>
    <w:rsid w:val="00117ABD"/>
    <w:rsid w:val="00117B2D"/>
    <w:rsid w:val="00117B2E"/>
    <w:rsid w:val="00117B3D"/>
    <w:rsid w:val="00117C78"/>
    <w:rsid w:val="00117CCD"/>
    <w:rsid w:val="00117E99"/>
    <w:rsid w:val="00117F8A"/>
    <w:rsid w:val="0012021D"/>
    <w:rsid w:val="001202B7"/>
    <w:rsid w:val="00120332"/>
    <w:rsid w:val="00120389"/>
    <w:rsid w:val="001203F0"/>
    <w:rsid w:val="00120448"/>
    <w:rsid w:val="001204B8"/>
    <w:rsid w:val="00120532"/>
    <w:rsid w:val="00120825"/>
    <w:rsid w:val="001208F4"/>
    <w:rsid w:val="00120C27"/>
    <w:rsid w:val="00120C42"/>
    <w:rsid w:val="00120D0C"/>
    <w:rsid w:val="0012122F"/>
    <w:rsid w:val="001212F0"/>
    <w:rsid w:val="0012132B"/>
    <w:rsid w:val="001216BE"/>
    <w:rsid w:val="001217F9"/>
    <w:rsid w:val="00121830"/>
    <w:rsid w:val="00121A2F"/>
    <w:rsid w:val="00121B8C"/>
    <w:rsid w:val="00121B9B"/>
    <w:rsid w:val="00121F01"/>
    <w:rsid w:val="00121FB5"/>
    <w:rsid w:val="00121FD3"/>
    <w:rsid w:val="00122029"/>
    <w:rsid w:val="00122501"/>
    <w:rsid w:val="00122514"/>
    <w:rsid w:val="0012262C"/>
    <w:rsid w:val="001227AF"/>
    <w:rsid w:val="00122856"/>
    <w:rsid w:val="00122A06"/>
    <w:rsid w:val="00122ADC"/>
    <w:rsid w:val="00122B20"/>
    <w:rsid w:val="00122B32"/>
    <w:rsid w:val="00122B9E"/>
    <w:rsid w:val="00122CBD"/>
    <w:rsid w:val="00122D5D"/>
    <w:rsid w:val="00122E70"/>
    <w:rsid w:val="00123475"/>
    <w:rsid w:val="001234BA"/>
    <w:rsid w:val="001234BD"/>
    <w:rsid w:val="00123624"/>
    <w:rsid w:val="0012397A"/>
    <w:rsid w:val="00123B3D"/>
    <w:rsid w:val="00123BAB"/>
    <w:rsid w:val="00124212"/>
    <w:rsid w:val="001243E7"/>
    <w:rsid w:val="001244DC"/>
    <w:rsid w:val="001245CF"/>
    <w:rsid w:val="00124654"/>
    <w:rsid w:val="00124693"/>
    <w:rsid w:val="001246B8"/>
    <w:rsid w:val="001247BB"/>
    <w:rsid w:val="00124A7B"/>
    <w:rsid w:val="00124B23"/>
    <w:rsid w:val="00124B70"/>
    <w:rsid w:val="00124D2A"/>
    <w:rsid w:val="00124EDF"/>
    <w:rsid w:val="00124FED"/>
    <w:rsid w:val="0012500E"/>
    <w:rsid w:val="001251A9"/>
    <w:rsid w:val="00125265"/>
    <w:rsid w:val="001254E6"/>
    <w:rsid w:val="00125590"/>
    <w:rsid w:val="001256C5"/>
    <w:rsid w:val="00125732"/>
    <w:rsid w:val="00125737"/>
    <w:rsid w:val="00125868"/>
    <w:rsid w:val="00125982"/>
    <w:rsid w:val="00125C95"/>
    <w:rsid w:val="001261C2"/>
    <w:rsid w:val="0012645D"/>
    <w:rsid w:val="0012646C"/>
    <w:rsid w:val="00126573"/>
    <w:rsid w:val="00126588"/>
    <w:rsid w:val="00126680"/>
    <w:rsid w:val="00126718"/>
    <w:rsid w:val="001267F0"/>
    <w:rsid w:val="00126804"/>
    <w:rsid w:val="0012683A"/>
    <w:rsid w:val="00126863"/>
    <w:rsid w:val="0012690A"/>
    <w:rsid w:val="00126942"/>
    <w:rsid w:val="00126995"/>
    <w:rsid w:val="001269B3"/>
    <w:rsid w:val="001269B5"/>
    <w:rsid w:val="00126CE4"/>
    <w:rsid w:val="00126E50"/>
    <w:rsid w:val="00126ED9"/>
    <w:rsid w:val="00126F2F"/>
    <w:rsid w:val="001274FE"/>
    <w:rsid w:val="001275A9"/>
    <w:rsid w:val="00127742"/>
    <w:rsid w:val="00127876"/>
    <w:rsid w:val="001278B3"/>
    <w:rsid w:val="00127D96"/>
    <w:rsid w:val="00127E97"/>
    <w:rsid w:val="00127ED0"/>
    <w:rsid w:val="00127EE8"/>
    <w:rsid w:val="00127F69"/>
    <w:rsid w:val="00127FC9"/>
    <w:rsid w:val="0013004B"/>
    <w:rsid w:val="00130050"/>
    <w:rsid w:val="00130095"/>
    <w:rsid w:val="00130432"/>
    <w:rsid w:val="0013046D"/>
    <w:rsid w:val="00130741"/>
    <w:rsid w:val="0013090F"/>
    <w:rsid w:val="00130A3E"/>
    <w:rsid w:val="00130F59"/>
    <w:rsid w:val="0013107B"/>
    <w:rsid w:val="001310ED"/>
    <w:rsid w:val="00131205"/>
    <w:rsid w:val="0013124C"/>
    <w:rsid w:val="001312C5"/>
    <w:rsid w:val="00131415"/>
    <w:rsid w:val="0013154F"/>
    <w:rsid w:val="001315AA"/>
    <w:rsid w:val="00131609"/>
    <w:rsid w:val="0013179C"/>
    <w:rsid w:val="001319CD"/>
    <w:rsid w:val="00131B7B"/>
    <w:rsid w:val="00131EAD"/>
    <w:rsid w:val="00131FA5"/>
    <w:rsid w:val="0013253A"/>
    <w:rsid w:val="00132695"/>
    <w:rsid w:val="0013270B"/>
    <w:rsid w:val="0013287C"/>
    <w:rsid w:val="00132ABA"/>
    <w:rsid w:val="00132BAE"/>
    <w:rsid w:val="00132BED"/>
    <w:rsid w:val="00132C18"/>
    <w:rsid w:val="00133047"/>
    <w:rsid w:val="001331E6"/>
    <w:rsid w:val="001332F9"/>
    <w:rsid w:val="00133364"/>
    <w:rsid w:val="0013337D"/>
    <w:rsid w:val="00133508"/>
    <w:rsid w:val="001335E7"/>
    <w:rsid w:val="001336A6"/>
    <w:rsid w:val="001336FE"/>
    <w:rsid w:val="00133A40"/>
    <w:rsid w:val="00133ACB"/>
    <w:rsid w:val="00133CC1"/>
    <w:rsid w:val="00133E68"/>
    <w:rsid w:val="00133EC0"/>
    <w:rsid w:val="00133F0E"/>
    <w:rsid w:val="00134345"/>
    <w:rsid w:val="00134439"/>
    <w:rsid w:val="001345BC"/>
    <w:rsid w:val="001347E9"/>
    <w:rsid w:val="00134A54"/>
    <w:rsid w:val="00134AB2"/>
    <w:rsid w:val="00134B00"/>
    <w:rsid w:val="00134C2D"/>
    <w:rsid w:val="00134CA7"/>
    <w:rsid w:val="00134D2E"/>
    <w:rsid w:val="00134E85"/>
    <w:rsid w:val="00134F10"/>
    <w:rsid w:val="00134F38"/>
    <w:rsid w:val="00134FC8"/>
    <w:rsid w:val="0013509D"/>
    <w:rsid w:val="0013519D"/>
    <w:rsid w:val="0013519F"/>
    <w:rsid w:val="00135490"/>
    <w:rsid w:val="001356E7"/>
    <w:rsid w:val="001358CD"/>
    <w:rsid w:val="00135931"/>
    <w:rsid w:val="00135C15"/>
    <w:rsid w:val="00135CC5"/>
    <w:rsid w:val="00135F5C"/>
    <w:rsid w:val="00136131"/>
    <w:rsid w:val="0013638E"/>
    <w:rsid w:val="001363B2"/>
    <w:rsid w:val="001363E6"/>
    <w:rsid w:val="001364E5"/>
    <w:rsid w:val="001367E3"/>
    <w:rsid w:val="00136A41"/>
    <w:rsid w:val="00136A85"/>
    <w:rsid w:val="00136BD8"/>
    <w:rsid w:val="00136C9E"/>
    <w:rsid w:val="00136D3D"/>
    <w:rsid w:val="00136DC2"/>
    <w:rsid w:val="00136E9D"/>
    <w:rsid w:val="00136EEB"/>
    <w:rsid w:val="00137048"/>
    <w:rsid w:val="00137530"/>
    <w:rsid w:val="0013753C"/>
    <w:rsid w:val="0013769A"/>
    <w:rsid w:val="001379D5"/>
    <w:rsid w:val="00137A4A"/>
    <w:rsid w:val="00137A57"/>
    <w:rsid w:val="001400AE"/>
    <w:rsid w:val="001401B8"/>
    <w:rsid w:val="001402BD"/>
    <w:rsid w:val="001405A4"/>
    <w:rsid w:val="001406EA"/>
    <w:rsid w:val="001406ED"/>
    <w:rsid w:val="001406F9"/>
    <w:rsid w:val="001409E7"/>
    <w:rsid w:val="00140F3E"/>
    <w:rsid w:val="0014111A"/>
    <w:rsid w:val="00141375"/>
    <w:rsid w:val="00141490"/>
    <w:rsid w:val="00141535"/>
    <w:rsid w:val="00141557"/>
    <w:rsid w:val="0014161E"/>
    <w:rsid w:val="00141760"/>
    <w:rsid w:val="00141765"/>
    <w:rsid w:val="001418A5"/>
    <w:rsid w:val="00141935"/>
    <w:rsid w:val="00141A94"/>
    <w:rsid w:val="00141B70"/>
    <w:rsid w:val="00141BB7"/>
    <w:rsid w:val="00141C4C"/>
    <w:rsid w:val="00141CE5"/>
    <w:rsid w:val="00141D79"/>
    <w:rsid w:val="00141DC0"/>
    <w:rsid w:val="00141DDA"/>
    <w:rsid w:val="00141E46"/>
    <w:rsid w:val="00141F75"/>
    <w:rsid w:val="001420D1"/>
    <w:rsid w:val="001420D2"/>
    <w:rsid w:val="00142117"/>
    <w:rsid w:val="00142138"/>
    <w:rsid w:val="00142295"/>
    <w:rsid w:val="0014232B"/>
    <w:rsid w:val="001425F8"/>
    <w:rsid w:val="00142901"/>
    <w:rsid w:val="00142AA9"/>
    <w:rsid w:val="00142E6F"/>
    <w:rsid w:val="00143186"/>
    <w:rsid w:val="001431CD"/>
    <w:rsid w:val="00143292"/>
    <w:rsid w:val="00143691"/>
    <w:rsid w:val="001437A7"/>
    <w:rsid w:val="001438D2"/>
    <w:rsid w:val="00143A2F"/>
    <w:rsid w:val="00143B59"/>
    <w:rsid w:val="00143BEC"/>
    <w:rsid w:val="00143EBD"/>
    <w:rsid w:val="001445A4"/>
    <w:rsid w:val="001445AA"/>
    <w:rsid w:val="00144693"/>
    <w:rsid w:val="00144848"/>
    <w:rsid w:val="00144908"/>
    <w:rsid w:val="00144975"/>
    <w:rsid w:val="00144B8C"/>
    <w:rsid w:val="00144BC3"/>
    <w:rsid w:val="00144C48"/>
    <w:rsid w:val="00144C90"/>
    <w:rsid w:val="00144CA9"/>
    <w:rsid w:val="00144F5C"/>
    <w:rsid w:val="00144F6B"/>
    <w:rsid w:val="00144FC4"/>
    <w:rsid w:val="00145057"/>
    <w:rsid w:val="001451E3"/>
    <w:rsid w:val="0014522F"/>
    <w:rsid w:val="001452D4"/>
    <w:rsid w:val="001456E8"/>
    <w:rsid w:val="00145779"/>
    <w:rsid w:val="00145A32"/>
    <w:rsid w:val="00145A61"/>
    <w:rsid w:val="00145A8A"/>
    <w:rsid w:val="00145AF2"/>
    <w:rsid w:val="00145B2C"/>
    <w:rsid w:val="00145B88"/>
    <w:rsid w:val="00145C4E"/>
    <w:rsid w:val="00145D24"/>
    <w:rsid w:val="00145E56"/>
    <w:rsid w:val="0014674A"/>
    <w:rsid w:val="001467C4"/>
    <w:rsid w:val="00146822"/>
    <w:rsid w:val="0014687E"/>
    <w:rsid w:val="00146CD2"/>
    <w:rsid w:val="00146D4C"/>
    <w:rsid w:val="00146E30"/>
    <w:rsid w:val="00146FAA"/>
    <w:rsid w:val="00147004"/>
    <w:rsid w:val="00147029"/>
    <w:rsid w:val="00147079"/>
    <w:rsid w:val="00147399"/>
    <w:rsid w:val="0014752B"/>
    <w:rsid w:val="001475B9"/>
    <w:rsid w:val="001477E5"/>
    <w:rsid w:val="00147AD9"/>
    <w:rsid w:val="00147BA0"/>
    <w:rsid w:val="00147D05"/>
    <w:rsid w:val="0015008F"/>
    <w:rsid w:val="001500DC"/>
    <w:rsid w:val="0015031E"/>
    <w:rsid w:val="0015065A"/>
    <w:rsid w:val="001506B8"/>
    <w:rsid w:val="001507A9"/>
    <w:rsid w:val="001509CF"/>
    <w:rsid w:val="00150A74"/>
    <w:rsid w:val="00150AF9"/>
    <w:rsid w:val="00150CCD"/>
    <w:rsid w:val="00150D2B"/>
    <w:rsid w:val="00150D9D"/>
    <w:rsid w:val="00150F44"/>
    <w:rsid w:val="00150F5C"/>
    <w:rsid w:val="001512D5"/>
    <w:rsid w:val="00151356"/>
    <w:rsid w:val="00151566"/>
    <w:rsid w:val="00151589"/>
    <w:rsid w:val="001515B0"/>
    <w:rsid w:val="0015161D"/>
    <w:rsid w:val="001516E1"/>
    <w:rsid w:val="00151778"/>
    <w:rsid w:val="0015184F"/>
    <w:rsid w:val="0015187B"/>
    <w:rsid w:val="00151B47"/>
    <w:rsid w:val="00151C28"/>
    <w:rsid w:val="00151C76"/>
    <w:rsid w:val="00151E8E"/>
    <w:rsid w:val="00151FE5"/>
    <w:rsid w:val="001520AB"/>
    <w:rsid w:val="001522C2"/>
    <w:rsid w:val="00152413"/>
    <w:rsid w:val="00152458"/>
    <w:rsid w:val="0015277A"/>
    <w:rsid w:val="001528D6"/>
    <w:rsid w:val="00152C5B"/>
    <w:rsid w:val="00152E46"/>
    <w:rsid w:val="00152F16"/>
    <w:rsid w:val="00153069"/>
    <w:rsid w:val="0015314D"/>
    <w:rsid w:val="0015324A"/>
    <w:rsid w:val="001532AF"/>
    <w:rsid w:val="00153387"/>
    <w:rsid w:val="001533D8"/>
    <w:rsid w:val="001534D9"/>
    <w:rsid w:val="0015365A"/>
    <w:rsid w:val="00153678"/>
    <w:rsid w:val="001536AE"/>
    <w:rsid w:val="001539F1"/>
    <w:rsid w:val="00153B51"/>
    <w:rsid w:val="00153C8A"/>
    <w:rsid w:val="00153D0A"/>
    <w:rsid w:val="00153E6D"/>
    <w:rsid w:val="0015404D"/>
    <w:rsid w:val="0015413B"/>
    <w:rsid w:val="0015415B"/>
    <w:rsid w:val="0015488C"/>
    <w:rsid w:val="001548CE"/>
    <w:rsid w:val="00154963"/>
    <w:rsid w:val="0015508D"/>
    <w:rsid w:val="001550F1"/>
    <w:rsid w:val="00155170"/>
    <w:rsid w:val="001551EB"/>
    <w:rsid w:val="00155362"/>
    <w:rsid w:val="00155383"/>
    <w:rsid w:val="001554F5"/>
    <w:rsid w:val="001555EA"/>
    <w:rsid w:val="0015567F"/>
    <w:rsid w:val="00155910"/>
    <w:rsid w:val="001559BE"/>
    <w:rsid w:val="001559E1"/>
    <w:rsid w:val="00155A4A"/>
    <w:rsid w:val="00155C90"/>
    <w:rsid w:val="00155C9E"/>
    <w:rsid w:val="00155CA8"/>
    <w:rsid w:val="00155CB9"/>
    <w:rsid w:val="00155F90"/>
    <w:rsid w:val="0015611D"/>
    <w:rsid w:val="0015616B"/>
    <w:rsid w:val="00156203"/>
    <w:rsid w:val="001562ED"/>
    <w:rsid w:val="001563A4"/>
    <w:rsid w:val="0015645C"/>
    <w:rsid w:val="00156513"/>
    <w:rsid w:val="00156626"/>
    <w:rsid w:val="00156766"/>
    <w:rsid w:val="00156849"/>
    <w:rsid w:val="001569A3"/>
    <w:rsid w:val="00156A72"/>
    <w:rsid w:val="00156AC3"/>
    <w:rsid w:val="00156BCF"/>
    <w:rsid w:val="001571C7"/>
    <w:rsid w:val="00157212"/>
    <w:rsid w:val="0015722F"/>
    <w:rsid w:val="0015742E"/>
    <w:rsid w:val="0015748E"/>
    <w:rsid w:val="001578FF"/>
    <w:rsid w:val="00157919"/>
    <w:rsid w:val="00157C00"/>
    <w:rsid w:val="00157CEF"/>
    <w:rsid w:val="00157D55"/>
    <w:rsid w:val="00157F1E"/>
    <w:rsid w:val="0016002D"/>
    <w:rsid w:val="00160367"/>
    <w:rsid w:val="00160629"/>
    <w:rsid w:val="001607A4"/>
    <w:rsid w:val="00160893"/>
    <w:rsid w:val="00160B1C"/>
    <w:rsid w:val="00160BE1"/>
    <w:rsid w:val="00161094"/>
    <w:rsid w:val="00161168"/>
    <w:rsid w:val="001611A8"/>
    <w:rsid w:val="0016136C"/>
    <w:rsid w:val="0016150F"/>
    <w:rsid w:val="0016165A"/>
    <w:rsid w:val="001617C8"/>
    <w:rsid w:val="00161872"/>
    <w:rsid w:val="001618C7"/>
    <w:rsid w:val="00161A34"/>
    <w:rsid w:val="00161B09"/>
    <w:rsid w:val="00161B1C"/>
    <w:rsid w:val="00161C7B"/>
    <w:rsid w:val="00161C9B"/>
    <w:rsid w:val="00161FAB"/>
    <w:rsid w:val="001620A1"/>
    <w:rsid w:val="001621FE"/>
    <w:rsid w:val="0016243D"/>
    <w:rsid w:val="00162521"/>
    <w:rsid w:val="00162524"/>
    <w:rsid w:val="001625A8"/>
    <w:rsid w:val="00162974"/>
    <w:rsid w:val="00162C7C"/>
    <w:rsid w:val="00162E7E"/>
    <w:rsid w:val="001630A1"/>
    <w:rsid w:val="00163614"/>
    <w:rsid w:val="00163629"/>
    <w:rsid w:val="00163639"/>
    <w:rsid w:val="001636BD"/>
    <w:rsid w:val="001638DA"/>
    <w:rsid w:val="00163912"/>
    <w:rsid w:val="001639A9"/>
    <w:rsid w:val="00163A16"/>
    <w:rsid w:val="00163A2E"/>
    <w:rsid w:val="00163CBE"/>
    <w:rsid w:val="00163CC5"/>
    <w:rsid w:val="00163CD8"/>
    <w:rsid w:val="00163E2D"/>
    <w:rsid w:val="00163F99"/>
    <w:rsid w:val="00164060"/>
    <w:rsid w:val="00164121"/>
    <w:rsid w:val="001641FB"/>
    <w:rsid w:val="001642F6"/>
    <w:rsid w:val="00164362"/>
    <w:rsid w:val="001643DC"/>
    <w:rsid w:val="00164541"/>
    <w:rsid w:val="00164811"/>
    <w:rsid w:val="00164947"/>
    <w:rsid w:val="001649D2"/>
    <w:rsid w:val="001649DE"/>
    <w:rsid w:val="00164C81"/>
    <w:rsid w:val="00165019"/>
    <w:rsid w:val="001652F9"/>
    <w:rsid w:val="00165340"/>
    <w:rsid w:val="00165417"/>
    <w:rsid w:val="0016542D"/>
    <w:rsid w:val="001654CC"/>
    <w:rsid w:val="0016592E"/>
    <w:rsid w:val="0016599C"/>
    <w:rsid w:val="00165AD9"/>
    <w:rsid w:val="00165D1A"/>
    <w:rsid w:val="00165F7F"/>
    <w:rsid w:val="00166024"/>
    <w:rsid w:val="00166137"/>
    <w:rsid w:val="0016623B"/>
    <w:rsid w:val="00166322"/>
    <w:rsid w:val="00166503"/>
    <w:rsid w:val="0016659F"/>
    <w:rsid w:val="0016670F"/>
    <w:rsid w:val="0016684E"/>
    <w:rsid w:val="00166869"/>
    <w:rsid w:val="00166C09"/>
    <w:rsid w:val="00166C18"/>
    <w:rsid w:val="00166C7E"/>
    <w:rsid w:val="0016705D"/>
    <w:rsid w:val="001670A4"/>
    <w:rsid w:val="001671DD"/>
    <w:rsid w:val="0016723D"/>
    <w:rsid w:val="00167460"/>
    <w:rsid w:val="00167516"/>
    <w:rsid w:val="0016771E"/>
    <w:rsid w:val="00167896"/>
    <w:rsid w:val="00167D92"/>
    <w:rsid w:val="00167DBA"/>
    <w:rsid w:val="00167E08"/>
    <w:rsid w:val="00167E85"/>
    <w:rsid w:val="00167EBE"/>
    <w:rsid w:val="00170046"/>
    <w:rsid w:val="00170148"/>
    <w:rsid w:val="001701F4"/>
    <w:rsid w:val="0017020F"/>
    <w:rsid w:val="001702E8"/>
    <w:rsid w:val="001705C8"/>
    <w:rsid w:val="00170649"/>
    <w:rsid w:val="00170754"/>
    <w:rsid w:val="001707A8"/>
    <w:rsid w:val="00170F4D"/>
    <w:rsid w:val="001710EA"/>
    <w:rsid w:val="00171155"/>
    <w:rsid w:val="0017124A"/>
    <w:rsid w:val="001713DD"/>
    <w:rsid w:val="001715F8"/>
    <w:rsid w:val="0017169B"/>
    <w:rsid w:val="0017186F"/>
    <w:rsid w:val="0017190D"/>
    <w:rsid w:val="00171BF2"/>
    <w:rsid w:val="00171FFB"/>
    <w:rsid w:val="0017204F"/>
    <w:rsid w:val="0017208B"/>
    <w:rsid w:val="0017228E"/>
    <w:rsid w:val="001725F0"/>
    <w:rsid w:val="001725F8"/>
    <w:rsid w:val="00172774"/>
    <w:rsid w:val="00172894"/>
    <w:rsid w:val="0017299F"/>
    <w:rsid w:val="00172A55"/>
    <w:rsid w:val="00172BFE"/>
    <w:rsid w:val="00172E21"/>
    <w:rsid w:val="0017302B"/>
    <w:rsid w:val="00173094"/>
    <w:rsid w:val="00173104"/>
    <w:rsid w:val="00173323"/>
    <w:rsid w:val="00173373"/>
    <w:rsid w:val="001733D2"/>
    <w:rsid w:val="0017360C"/>
    <w:rsid w:val="00173631"/>
    <w:rsid w:val="00173657"/>
    <w:rsid w:val="0017374F"/>
    <w:rsid w:val="00173779"/>
    <w:rsid w:val="0017393C"/>
    <w:rsid w:val="001739BC"/>
    <w:rsid w:val="001739DB"/>
    <w:rsid w:val="00173B0D"/>
    <w:rsid w:val="00173D1F"/>
    <w:rsid w:val="00173E81"/>
    <w:rsid w:val="00174116"/>
    <w:rsid w:val="0017419C"/>
    <w:rsid w:val="001741FB"/>
    <w:rsid w:val="00174468"/>
    <w:rsid w:val="00174775"/>
    <w:rsid w:val="001747DA"/>
    <w:rsid w:val="00174950"/>
    <w:rsid w:val="00174999"/>
    <w:rsid w:val="00175003"/>
    <w:rsid w:val="0017507A"/>
    <w:rsid w:val="00175278"/>
    <w:rsid w:val="00175374"/>
    <w:rsid w:val="0017537C"/>
    <w:rsid w:val="001754A1"/>
    <w:rsid w:val="00175549"/>
    <w:rsid w:val="001758CD"/>
    <w:rsid w:val="001758D2"/>
    <w:rsid w:val="00175A84"/>
    <w:rsid w:val="00176241"/>
    <w:rsid w:val="00176570"/>
    <w:rsid w:val="0017665C"/>
    <w:rsid w:val="001768AC"/>
    <w:rsid w:val="00176E1F"/>
    <w:rsid w:val="001770ED"/>
    <w:rsid w:val="001775EB"/>
    <w:rsid w:val="001776B7"/>
    <w:rsid w:val="00177707"/>
    <w:rsid w:val="001777D6"/>
    <w:rsid w:val="00177AD2"/>
    <w:rsid w:val="00177B0E"/>
    <w:rsid w:val="00177D40"/>
    <w:rsid w:val="00177E2F"/>
    <w:rsid w:val="00177F9D"/>
    <w:rsid w:val="0018014D"/>
    <w:rsid w:val="001801B0"/>
    <w:rsid w:val="0018032C"/>
    <w:rsid w:val="001803F3"/>
    <w:rsid w:val="001807F5"/>
    <w:rsid w:val="001808ED"/>
    <w:rsid w:val="00180959"/>
    <w:rsid w:val="00180B67"/>
    <w:rsid w:val="00180BD5"/>
    <w:rsid w:val="00180BEF"/>
    <w:rsid w:val="00180E3C"/>
    <w:rsid w:val="00180FB6"/>
    <w:rsid w:val="00181009"/>
    <w:rsid w:val="001811FF"/>
    <w:rsid w:val="0018127E"/>
    <w:rsid w:val="0018134D"/>
    <w:rsid w:val="001815A8"/>
    <w:rsid w:val="001815B1"/>
    <w:rsid w:val="00181A5F"/>
    <w:rsid w:val="00181B19"/>
    <w:rsid w:val="00181C56"/>
    <w:rsid w:val="00181CBE"/>
    <w:rsid w:val="00181E9F"/>
    <w:rsid w:val="00181FD0"/>
    <w:rsid w:val="00182189"/>
    <w:rsid w:val="001821C3"/>
    <w:rsid w:val="00182309"/>
    <w:rsid w:val="00182349"/>
    <w:rsid w:val="00182390"/>
    <w:rsid w:val="001827A4"/>
    <w:rsid w:val="00182BB8"/>
    <w:rsid w:val="00182CD7"/>
    <w:rsid w:val="00182E0E"/>
    <w:rsid w:val="001830B0"/>
    <w:rsid w:val="001830C3"/>
    <w:rsid w:val="0018323D"/>
    <w:rsid w:val="001833F9"/>
    <w:rsid w:val="001835A1"/>
    <w:rsid w:val="001836A9"/>
    <w:rsid w:val="001837FC"/>
    <w:rsid w:val="00183902"/>
    <w:rsid w:val="00183BDB"/>
    <w:rsid w:val="00183C73"/>
    <w:rsid w:val="00183EFA"/>
    <w:rsid w:val="00183F03"/>
    <w:rsid w:val="0018400C"/>
    <w:rsid w:val="001840FA"/>
    <w:rsid w:val="00184322"/>
    <w:rsid w:val="00184408"/>
    <w:rsid w:val="00184448"/>
    <w:rsid w:val="0018449A"/>
    <w:rsid w:val="00184668"/>
    <w:rsid w:val="001846EF"/>
    <w:rsid w:val="001849EF"/>
    <w:rsid w:val="00184A92"/>
    <w:rsid w:val="00184E21"/>
    <w:rsid w:val="00184F61"/>
    <w:rsid w:val="001851F4"/>
    <w:rsid w:val="0018532C"/>
    <w:rsid w:val="00185431"/>
    <w:rsid w:val="00185517"/>
    <w:rsid w:val="00185952"/>
    <w:rsid w:val="00185A3B"/>
    <w:rsid w:val="00185BA4"/>
    <w:rsid w:val="00185C1D"/>
    <w:rsid w:val="00185C44"/>
    <w:rsid w:val="00185CFC"/>
    <w:rsid w:val="00185E84"/>
    <w:rsid w:val="00185F4E"/>
    <w:rsid w:val="0018608A"/>
    <w:rsid w:val="001862F7"/>
    <w:rsid w:val="00186307"/>
    <w:rsid w:val="001866BD"/>
    <w:rsid w:val="00186733"/>
    <w:rsid w:val="0018695A"/>
    <w:rsid w:val="00186970"/>
    <w:rsid w:val="001869CA"/>
    <w:rsid w:val="00186B7F"/>
    <w:rsid w:val="00186C54"/>
    <w:rsid w:val="00186D78"/>
    <w:rsid w:val="00187191"/>
    <w:rsid w:val="00187356"/>
    <w:rsid w:val="00187376"/>
    <w:rsid w:val="001873A7"/>
    <w:rsid w:val="001875D1"/>
    <w:rsid w:val="001877B4"/>
    <w:rsid w:val="0018791E"/>
    <w:rsid w:val="00187A8E"/>
    <w:rsid w:val="00187B31"/>
    <w:rsid w:val="00187C16"/>
    <w:rsid w:val="00187C9B"/>
    <w:rsid w:val="00187D0C"/>
    <w:rsid w:val="00187EF1"/>
    <w:rsid w:val="00190079"/>
    <w:rsid w:val="00190195"/>
    <w:rsid w:val="001901DD"/>
    <w:rsid w:val="0019089E"/>
    <w:rsid w:val="001908C0"/>
    <w:rsid w:val="0019091D"/>
    <w:rsid w:val="00190B6A"/>
    <w:rsid w:val="00190D25"/>
    <w:rsid w:val="00190D27"/>
    <w:rsid w:val="00191239"/>
    <w:rsid w:val="00191591"/>
    <w:rsid w:val="0019167D"/>
    <w:rsid w:val="0019172F"/>
    <w:rsid w:val="00191866"/>
    <w:rsid w:val="0019192B"/>
    <w:rsid w:val="00191AA8"/>
    <w:rsid w:val="00191C34"/>
    <w:rsid w:val="00191E21"/>
    <w:rsid w:val="00191E81"/>
    <w:rsid w:val="00191EE2"/>
    <w:rsid w:val="00192025"/>
    <w:rsid w:val="001922F4"/>
    <w:rsid w:val="0019235B"/>
    <w:rsid w:val="00192544"/>
    <w:rsid w:val="00192773"/>
    <w:rsid w:val="00192ACB"/>
    <w:rsid w:val="00192C39"/>
    <w:rsid w:val="00192C66"/>
    <w:rsid w:val="00192D58"/>
    <w:rsid w:val="00193071"/>
    <w:rsid w:val="001930FD"/>
    <w:rsid w:val="001930FE"/>
    <w:rsid w:val="001935DA"/>
    <w:rsid w:val="001937E9"/>
    <w:rsid w:val="0019385A"/>
    <w:rsid w:val="001938D3"/>
    <w:rsid w:val="00193927"/>
    <w:rsid w:val="00193935"/>
    <w:rsid w:val="00193A65"/>
    <w:rsid w:val="00193B06"/>
    <w:rsid w:val="00193C14"/>
    <w:rsid w:val="00193C18"/>
    <w:rsid w:val="00193C5D"/>
    <w:rsid w:val="00193EE8"/>
    <w:rsid w:val="00193F15"/>
    <w:rsid w:val="00193F4E"/>
    <w:rsid w:val="00194202"/>
    <w:rsid w:val="001948E5"/>
    <w:rsid w:val="00194A46"/>
    <w:rsid w:val="00194A7A"/>
    <w:rsid w:val="00194AF7"/>
    <w:rsid w:val="00194BED"/>
    <w:rsid w:val="00194CB3"/>
    <w:rsid w:val="00194DA3"/>
    <w:rsid w:val="001951D2"/>
    <w:rsid w:val="001952E3"/>
    <w:rsid w:val="00195332"/>
    <w:rsid w:val="001953D5"/>
    <w:rsid w:val="0019557A"/>
    <w:rsid w:val="00195786"/>
    <w:rsid w:val="001957A4"/>
    <w:rsid w:val="0019588A"/>
    <w:rsid w:val="001959EA"/>
    <w:rsid w:val="00195D5A"/>
    <w:rsid w:val="00195D96"/>
    <w:rsid w:val="00195FFB"/>
    <w:rsid w:val="001961A9"/>
    <w:rsid w:val="00196215"/>
    <w:rsid w:val="0019622E"/>
    <w:rsid w:val="0019629A"/>
    <w:rsid w:val="00196452"/>
    <w:rsid w:val="00196514"/>
    <w:rsid w:val="00196520"/>
    <w:rsid w:val="001965CB"/>
    <w:rsid w:val="001966A7"/>
    <w:rsid w:val="00196792"/>
    <w:rsid w:val="0019685C"/>
    <w:rsid w:val="00196A91"/>
    <w:rsid w:val="00196D1A"/>
    <w:rsid w:val="00196D40"/>
    <w:rsid w:val="00196E7F"/>
    <w:rsid w:val="00196F42"/>
    <w:rsid w:val="001970AB"/>
    <w:rsid w:val="001971F0"/>
    <w:rsid w:val="0019732F"/>
    <w:rsid w:val="00197473"/>
    <w:rsid w:val="00197493"/>
    <w:rsid w:val="00197518"/>
    <w:rsid w:val="001976AE"/>
    <w:rsid w:val="00197B00"/>
    <w:rsid w:val="00197BCE"/>
    <w:rsid w:val="00197E3F"/>
    <w:rsid w:val="00197E47"/>
    <w:rsid w:val="001A0028"/>
    <w:rsid w:val="001A007B"/>
    <w:rsid w:val="001A02B8"/>
    <w:rsid w:val="001A02C6"/>
    <w:rsid w:val="001A04D1"/>
    <w:rsid w:val="001A04FD"/>
    <w:rsid w:val="001A0D23"/>
    <w:rsid w:val="001A1311"/>
    <w:rsid w:val="001A153E"/>
    <w:rsid w:val="001A1670"/>
    <w:rsid w:val="001A1969"/>
    <w:rsid w:val="001A1C77"/>
    <w:rsid w:val="001A1D20"/>
    <w:rsid w:val="001A2006"/>
    <w:rsid w:val="001A200A"/>
    <w:rsid w:val="001A2475"/>
    <w:rsid w:val="001A24D5"/>
    <w:rsid w:val="001A2693"/>
    <w:rsid w:val="001A2873"/>
    <w:rsid w:val="001A2AB8"/>
    <w:rsid w:val="001A2D47"/>
    <w:rsid w:val="001A2E0D"/>
    <w:rsid w:val="001A2E8A"/>
    <w:rsid w:val="001A2EA9"/>
    <w:rsid w:val="001A3192"/>
    <w:rsid w:val="001A323F"/>
    <w:rsid w:val="001A3419"/>
    <w:rsid w:val="001A36DD"/>
    <w:rsid w:val="001A37A2"/>
    <w:rsid w:val="001A38BA"/>
    <w:rsid w:val="001A3C92"/>
    <w:rsid w:val="001A3DB9"/>
    <w:rsid w:val="001A3FAC"/>
    <w:rsid w:val="001A415E"/>
    <w:rsid w:val="001A4218"/>
    <w:rsid w:val="001A455C"/>
    <w:rsid w:val="001A4627"/>
    <w:rsid w:val="001A48BD"/>
    <w:rsid w:val="001A4979"/>
    <w:rsid w:val="001A49A6"/>
    <w:rsid w:val="001A4A2D"/>
    <w:rsid w:val="001A4DD4"/>
    <w:rsid w:val="001A4F98"/>
    <w:rsid w:val="001A5019"/>
    <w:rsid w:val="001A51CA"/>
    <w:rsid w:val="001A5249"/>
    <w:rsid w:val="001A54CC"/>
    <w:rsid w:val="001A5845"/>
    <w:rsid w:val="001A58E5"/>
    <w:rsid w:val="001A5C77"/>
    <w:rsid w:val="001A5C94"/>
    <w:rsid w:val="001A5EF7"/>
    <w:rsid w:val="001A60CF"/>
    <w:rsid w:val="001A61F3"/>
    <w:rsid w:val="001A6332"/>
    <w:rsid w:val="001A6498"/>
    <w:rsid w:val="001A68B3"/>
    <w:rsid w:val="001A6989"/>
    <w:rsid w:val="001A6A0D"/>
    <w:rsid w:val="001A6A65"/>
    <w:rsid w:val="001A6B27"/>
    <w:rsid w:val="001A6DA5"/>
    <w:rsid w:val="001A6F4F"/>
    <w:rsid w:val="001A6F5D"/>
    <w:rsid w:val="001A7033"/>
    <w:rsid w:val="001A719C"/>
    <w:rsid w:val="001A7723"/>
    <w:rsid w:val="001A7951"/>
    <w:rsid w:val="001A79A5"/>
    <w:rsid w:val="001A7A44"/>
    <w:rsid w:val="001A7C27"/>
    <w:rsid w:val="001A7D3B"/>
    <w:rsid w:val="001A7E33"/>
    <w:rsid w:val="001A7F3E"/>
    <w:rsid w:val="001A7F7A"/>
    <w:rsid w:val="001B010C"/>
    <w:rsid w:val="001B049F"/>
    <w:rsid w:val="001B04C6"/>
    <w:rsid w:val="001B079A"/>
    <w:rsid w:val="001B0883"/>
    <w:rsid w:val="001B0A33"/>
    <w:rsid w:val="001B0D50"/>
    <w:rsid w:val="001B0DBD"/>
    <w:rsid w:val="001B1117"/>
    <w:rsid w:val="001B1331"/>
    <w:rsid w:val="001B1359"/>
    <w:rsid w:val="001B137F"/>
    <w:rsid w:val="001B1455"/>
    <w:rsid w:val="001B15D3"/>
    <w:rsid w:val="001B1AB2"/>
    <w:rsid w:val="001B1D38"/>
    <w:rsid w:val="001B1EF0"/>
    <w:rsid w:val="001B20F3"/>
    <w:rsid w:val="001B21C3"/>
    <w:rsid w:val="001B251C"/>
    <w:rsid w:val="001B25FD"/>
    <w:rsid w:val="001B292F"/>
    <w:rsid w:val="001B2A25"/>
    <w:rsid w:val="001B2A2A"/>
    <w:rsid w:val="001B2A35"/>
    <w:rsid w:val="001B2BA1"/>
    <w:rsid w:val="001B2F06"/>
    <w:rsid w:val="001B31F6"/>
    <w:rsid w:val="001B3443"/>
    <w:rsid w:val="001B3572"/>
    <w:rsid w:val="001B36C9"/>
    <w:rsid w:val="001B38A2"/>
    <w:rsid w:val="001B38B4"/>
    <w:rsid w:val="001B3AFD"/>
    <w:rsid w:val="001B3B5C"/>
    <w:rsid w:val="001B3D64"/>
    <w:rsid w:val="001B3EF1"/>
    <w:rsid w:val="001B435C"/>
    <w:rsid w:val="001B4428"/>
    <w:rsid w:val="001B44C6"/>
    <w:rsid w:val="001B457A"/>
    <w:rsid w:val="001B469A"/>
    <w:rsid w:val="001B477A"/>
    <w:rsid w:val="001B4873"/>
    <w:rsid w:val="001B4ABA"/>
    <w:rsid w:val="001B4B7A"/>
    <w:rsid w:val="001B4CD5"/>
    <w:rsid w:val="001B4EC3"/>
    <w:rsid w:val="001B50BE"/>
    <w:rsid w:val="001B52BB"/>
    <w:rsid w:val="001B54EE"/>
    <w:rsid w:val="001B552A"/>
    <w:rsid w:val="001B554D"/>
    <w:rsid w:val="001B576F"/>
    <w:rsid w:val="001B57DE"/>
    <w:rsid w:val="001B5802"/>
    <w:rsid w:val="001B58AC"/>
    <w:rsid w:val="001B5B27"/>
    <w:rsid w:val="001B5F60"/>
    <w:rsid w:val="001B5FEC"/>
    <w:rsid w:val="001B631A"/>
    <w:rsid w:val="001B643E"/>
    <w:rsid w:val="001B64A6"/>
    <w:rsid w:val="001B64D4"/>
    <w:rsid w:val="001B6512"/>
    <w:rsid w:val="001B65CD"/>
    <w:rsid w:val="001B6670"/>
    <w:rsid w:val="001B6716"/>
    <w:rsid w:val="001B6741"/>
    <w:rsid w:val="001B6769"/>
    <w:rsid w:val="001B67F9"/>
    <w:rsid w:val="001B6983"/>
    <w:rsid w:val="001B6CCE"/>
    <w:rsid w:val="001B6CDC"/>
    <w:rsid w:val="001B6D64"/>
    <w:rsid w:val="001B714D"/>
    <w:rsid w:val="001B73A1"/>
    <w:rsid w:val="001B752E"/>
    <w:rsid w:val="001B7688"/>
    <w:rsid w:val="001B7697"/>
    <w:rsid w:val="001B7846"/>
    <w:rsid w:val="001B7881"/>
    <w:rsid w:val="001B7BFB"/>
    <w:rsid w:val="001B7CFD"/>
    <w:rsid w:val="001B7FF4"/>
    <w:rsid w:val="001C0146"/>
    <w:rsid w:val="001C0206"/>
    <w:rsid w:val="001C0326"/>
    <w:rsid w:val="001C06E6"/>
    <w:rsid w:val="001C07AA"/>
    <w:rsid w:val="001C092B"/>
    <w:rsid w:val="001C0AE1"/>
    <w:rsid w:val="001C0F35"/>
    <w:rsid w:val="001C1032"/>
    <w:rsid w:val="001C10C2"/>
    <w:rsid w:val="001C117B"/>
    <w:rsid w:val="001C1349"/>
    <w:rsid w:val="001C1502"/>
    <w:rsid w:val="001C156F"/>
    <w:rsid w:val="001C15C2"/>
    <w:rsid w:val="001C161F"/>
    <w:rsid w:val="001C166C"/>
    <w:rsid w:val="001C18F5"/>
    <w:rsid w:val="001C192F"/>
    <w:rsid w:val="001C22CA"/>
    <w:rsid w:val="001C25F0"/>
    <w:rsid w:val="001C269C"/>
    <w:rsid w:val="001C2807"/>
    <w:rsid w:val="001C2815"/>
    <w:rsid w:val="001C295F"/>
    <w:rsid w:val="001C2966"/>
    <w:rsid w:val="001C2D35"/>
    <w:rsid w:val="001C2F20"/>
    <w:rsid w:val="001C2F73"/>
    <w:rsid w:val="001C3013"/>
    <w:rsid w:val="001C3045"/>
    <w:rsid w:val="001C3056"/>
    <w:rsid w:val="001C3107"/>
    <w:rsid w:val="001C332F"/>
    <w:rsid w:val="001C341D"/>
    <w:rsid w:val="001C3551"/>
    <w:rsid w:val="001C35B9"/>
    <w:rsid w:val="001C3829"/>
    <w:rsid w:val="001C39E7"/>
    <w:rsid w:val="001C39E9"/>
    <w:rsid w:val="001C3C42"/>
    <w:rsid w:val="001C3FC8"/>
    <w:rsid w:val="001C40FF"/>
    <w:rsid w:val="001C4166"/>
    <w:rsid w:val="001C418F"/>
    <w:rsid w:val="001C41B8"/>
    <w:rsid w:val="001C41EA"/>
    <w:rsid w:val="001C430A"/>
    <w:rsid w:val="001C450A"/>
    <w:rsid w:val="001C45A7"/>
    <w:rsid w:val="001C45C2"/>
    <w:rsid w:val="001C45E3"/>
    <w:rsid w:val="001C4A8A"/>
    <w:rsid w:val="001C4ABF"/>
    <w:rsid w:val="001C4C24"/>
    <w:rsid w:val="001C4D53"/>
    <w:rsid w:val="001C4E1F"/>
    <w:rsid w:val="001C4EB6"/>
    <w:rsid w:val="001C514B"/>
    <w:rsid w:val="001C517F"/>
    <w:rsid w:val="001C52AD"/>
    <w:rsid w:val="001C540E"/>
    <w:rsid w:val="001C544F"/>
    <w:rsid w:val="001C557B"/>
    <w:rsid w:val="001C5584"/>
    <w:rsid w:val="001C5606"/>
    <w:rsid w:val="001C566B"/>
    <w:rsid w:val="001C580B"/>
    <w:rsid w:val="001C59BB"/>
    <w:rsid w:val="001C5B42"/>
    <w:rsid w:val="001C5C85"/>
    <w:rsid w:val="001C5D06"/>
    <w:rsid w:val="001C6165"/>
    <w:rsid w:val="001C61ED"/>
    <w:rsid w:val="001C61F4"/>
    <w:rsid w:val="001C64F1"/>
    <w:rsid w:val="001C6579"/>
    <w:rsid w:val="001C659F"/>
    <w:rsid w:val="001C6643"/>
    <w:rsid w:val="001C6792"/>
    <w:rsid w:val="001C6A24"/>
    <w:rsid w:val="001C6AEF"/>
    <w:rsid w:val="001C6B94"/>
    <w:rsid w:val="001C6F7E"/>
    <w:rsid w:val="001C7083"/>
    <w:rsid w:val="001C7194"/>
    <w:rsid w:val="001C73CD"/>
    <w:rsid w:val="001C7435"/>
    <w:rsid w:val="001C7761"/>
    <w:rsid w:val="001C7770"/>
    <w:rsid w:val="001C7891"/>
    <w:rsid w:val="001C7AD2"/>
    <w:rsid w:val="001C7BC4"/>
    <w:rsid w:val="001C7C89"/>
    <w:rsid w:val="001C7EB9"/>
    <w:rsid w:val="001C7F3D"/>
    <w:rsid w:val="001D01D9"/>
    <w:rsid w:val="001D02CE"/>
    <w:rsid w:val="001D033B"/>
    <w:rsid w:val="001D03A5"/>
    <w:rsid w:val="001D05D8"/>
    <w:rsid w:val="001D07BE"/>
    <w:rsid w:val="001D07ED"/>
    <w:rsid w:val="001D097F"/>
    <w:rsid w:val="001D0C02"/>
    <w:rsid w:val="001D108A"/>
    <w:rsid w:val="001D1122"/>
    <w:rsid w:val="001D1192"/>
    <w:rsid w:val="001D1377"/>
    <w:rsid w:val="001D13FF"/>
    <w:rsid w:val="001D14BC"/>
    <w:rsid w:val="001D14CC"/>
    <w:rsid w:val="001D1524"/>
    <w:rsid w:val="001D15DA"/>
    <w:rsid w:val="001D15E9"/>
    <w:rsid w:val="001D1762"/>
    <w:rsid w:val="001D1796"/>
    <w:rsid w:val="001D17F1"/>
    <w:rsid w:val="001D1823"/>
    <w:rsid w:val="001D1A58"/>
    <w:rsid w:val="001D1AAB"/>
    <w:rsid w:val="001D1AF4"/>
    <w:rsid w:val="001D1B7C"/>
    <w:rsid w:val="001D2122"/>
    <w:rsid w:val="001D22F7"/>
    <w:rsid w:val="001D2365"/>
    <w:rsid w:val="001D238D"/>
    <w:rsid w:val="001D24E9"/>
    <w:rsid w:val="001D2AE8"/>
    <w:rsid w:val="001D2B9A"/>
    <w:rsid w:val="001D2D63"/>
    <w:rsid w:val="001D2D74"/>
    <w:rsid w:val="001D2F5F"/>
    <w:rsid w:val="001D2F9D"/>
    <w:rsid w:val="001D30F0"/>
    <w:rsid w:val="001D311F"/>
    <w:rsid w:val="001D3162"/>
    <w:rsid w:val="001D31D0"/>
    <w:rsid w:val="001D31EE"/>
    <w:rsid w:val="001D32AA"/>
    <w:rsid w:val="001D330D"/>
    <w:rsid w:val="001D33BA"/>
    <w:rsid w:val="001D33D4"/>
    <w:rsid w:val="001D3806"/>
    <w:rsid w:val="001D3846"/>
    <w:rsid w:val="001D38DA"/>
    <w:rsid w:val="001D390A"/>
    <w:rsid w:val="001D39D3"/>
    <w:rsid w:val="001D3A1C"/>
    <w:rsid w:val="001D3A8F"/>
    <w:rsid w:val="001D3C5C"/>
    <w:rsid w:val="001D3CB1"/>
    <w:rsid w:val="001D3D4B"/>
    <w:rsid w:val="001D3D90"/>
    <w:rsid w:val="001D3E2F"/>
    <w:rsid w:val="001D3FB5"/>
    <w:rsid w:val="001D3FC9"/>
    <w:rsid w:val="001D4005"/>
    <w:rsid w:val="001D4075"/>
    <w:rsid w:val="001D4139"/>
    <w:rsid w:val="001D4185"/>
    <w:rsid w:val="001D41A2"/>
    <w:rsid w:val="001D429D"/>
    <w:rsid w:val="001D42A7"/>
    <w:rsid w:val="001D42D0"/>
    <w:rsid w:val="001D462B"/>
    <w:rsid w:val="001D47CF"/>
    <w:rsid w:val="001D481B"/>
    <w:rsid w:val="001D4886"/>
    <w:rsid w:val="001D4961"/>
    <w:rsid w:val="001D4EBD"/>
    <w:rsid w:val="001D510A"/>
    <w:rsid w:val="001D586E"/>
    <w:rsid w:val="001D58C3"/>
    <w:rsid w:val="001D5A1F"/>
    <w:rsid w:val="001D5C39"/>
    <w:rsid w:val="001D5CBE"/>
    <w:rsid w:val="001D5E44"/>
    <w:rsid w:val="001D621B"/>
    <w:rsid w:val="001D6347"/>
    <w:rsid w:val="001D639E"/>
    <w:rsid w:val="001D6488"/>
    <w:rsid w:val="001D64C1"/>
    <w:rsid w:val="001D6653"/>
    <w:rsid w:val="001D67EE"/>
    <w:rsid w:val="001D67F8"/>
    <w:rsid w:val="001D6CB9"/>
    <w:rsid w:val="001D6D3C"/>
    <w:rsid w:val="001D6D4C"/>
    <w:rsid w:val="001D6FBC"/>
    <w:rsid w:val="001D6FDF"/>
    <w:rsid w:val="001D7076"/>
    <w:rsid w:val="001D7187"/>
    <w:rsid w:val="001D7276"/>
    <w:rsid w:val="001D7286"/>
    <w:rsid w:val="001D7869"/>
    <w:rsid w:val="001D78F6"/>
    <w:rsid w:val="001D7AD2"/>
    <w:rsid w:val="001D7AFB"/>
    <w:rsid w:val="001D7B64"/>
    <w:rsid w:val="001D7C93"/>
    <w:rsid w:val="001D7E04"/>
    <w:rsid w:val="001D7E90"/>
    <w:rsid w:val="001D7E92"/>
    <w:rsid w:val="001E0075"/>
    <w:rsid w:val="001E047E"/>
    <w:rsid w:val="001E04D7"/>
    <w:rsid w:val="001E04F8"/>
    <w:rsid w:val="001E0550"/>
    <w:rsid w:val="001E05F0"/>
    <w:rsid w:val="001E097A"/>
    <w:rsid w:val="001E0ADC"/>
    <w:rsid w:val="001E0D13"/>
    <w:rsid w:val="001E0DB8"/>
    <w:rsid w:val="001E0F23"/>
    <w:rsid w:val="001E0F7F"/>
    <w:rsid w:val="001E1133"/>
    <w:rsid w:val="001E127C"/>
    <w:rsid w:val="001E12AD"/>
    <w:rsid w:val="001E12DC"/>
    <w:rsid w:val="001E13AB"/>
    <w:rsid w:val="001E13B8"/>
    <w:rsid w:val="001E1433"/>
    <w:rsid w:val="001E161C"/>
    <w:rsid w:val="001E16C1"/>
    <w:rsid w:val="001E19BA"/>
    <w:rsid w:val="001E1BC7"/>
    <w:rsid w:val="001E1F69"/>
    <w:rsid w:val="001E1FEB"/>
    <w:rsid w:val="001E2011"/>
    <w:rsid w:val="001E2020"/>
    <w:rsid w:val="001E2567"/>
    <w:rsid w:val="001E25C7"/>
    <w:rsid w:val="001E2719"/>
    <w:rsid w:val="001E2739"/>
    <w:rsid w:val="001E2ACA"/>
    <w:rsid w:val="001E2B41"/>
    <w:rsid w:val="001E2CD9"/>
    <w:rsid w:val="001E2D5E"/>
    <w:rsid w:val="001E2E2B"/>
    <w:rsid w:val="001E309D"/>
    <w:rsid w:val="001E32E6"/>
    <w:rsid w:val="001E33FB"/>
    <w:rsid w:val="001E3446"/>
    <w:rsid w:val="001E38DE"/>
    <w:rsid w:val="001E3A81"/>
    <w:rsid w:val="001E3B5E"/>
    <w:rsid w:val="001E3C13"/>
    <w:rsid w:val="001E3D22"/>
    <w:rsid w:val="001E3EB3"/>
    <w:rsid w:val="001E3EB4"/>
    <w:rsid w:val="001E3F26"/>
    <w:rsid w:val="001E4055"/>
    <w:rsid w:val="001E410B"/>
    <w:rsid w:val="001E428B"/>
    <w:rsid w:val="001E45EF"/>
    <w:rsid w:val="001E46D1"/>
    <w:rsid w:val="001E4798"/>
    <w:rsid w:val="001E4825"/>
    <w:rsid w:val="001E489A"/>
    <w:rsid w:val="001E4A23"/>
    <w:rsid w:val="001E4C1F"/>
    <w:rsid w:val="001E4C98"/>
    <w:rsid w:val="001E4DEE"/>
    <w:rsid w:val="001E4EF1"/>
    <w:rsid w:val="001E5164"/>
    <w:rsid w:val="001E5217"/>
    <w:rsid w:val="001E52E9"/>
    <w:rsid w:val="001E5429"/>
    <w:rsid w:val="001E5454"/>
    <w:rsid w:val="001E5489"/>
    <w:rsid w:val="001E5867"/>
    <w:rsid w:val="001E5C96"/>
    <w:rsid w:val="001E5CAD"/>
    <w:rsid w:val="001E5D35"/>
    <w:rsid w:val="001E5DC1"/>
    <w:rsid w:val="001E6148"/>
    <w:rsid w:val="001E627C"/>
    <w:rsid w:val="001E6352"/>
    <w:rsid w:val="001E63D7"/>
    <w:rsid w:val="001E641B"/>
    <w:rsid w:val="001E642D"/>
    <w:rsid w:val="001E667A"/>
    <w:rsid w:val="001E6696"/>
    <w:rsid w:val="001E6767"/>
    <w:rsid w:val="001E68DB"/>
    <w:rsid w:val="001E6A80"/>
    <w:rsid w:val="001E6BCE"/>
    <w:rsid w:val="001E6DDD"/>
    <w:rsid w:val="001E6E55"/>
    <w:rsid w:val="001E70D4"/>
    <w:rsid w:val="001E7177"/>
    <w:rsid w:val="001E72CE"/>
    <w:rsid w:val="001E738F"/>
    <w:rsid w:val="001E7479"/>
    <w:rsid w:val="001E77CE"/>
    <w:rsid w:val="001E7895"/>
    <w:rsid w:val="001E7A22"/>
    <w:rsid w:val="001E7A3F"/>
    <w:rsid w:val="001E7B85"/>
    <w:rsid w:val="001E7EA9"/>
    <w:rsid w:val="001E7F19"/>
    <w:rsid w:val="001F00C3"/>
    <w:rsid w:val="001F0503"/>
    <w:rsid w:val="001F06CE"/>
    <w:rsid w:val="001F0A40"/>
    <w:rsid w:val="001F0BBA"/>
    <w:rsid w:val="001F0D19"/>
    <w:rsid w:val="001F0F13"/>
    <w:rsid w:val="001F0FC3"/>
    <w:rsid w:val="001F1320"/>
    <w:rsid w:val="001F1433"/>
    <w:rsid w:val="001F14B8"/>
    <w:rsid w:val="001F15F7"/>
    <w:rsid w:val="001F1726"/>
    <w:rsid w:val="001F1838"/>
    <w:rsid w:val="001F1988"/>
    <w:rsid w:val="001F19BF"/>
    <w:rsid w:val="001F19F2"/>
    <w:rsid w:val="001F19FC"/>
    <w:rsid w:val="001F1A9E"/>
    <w:rsid w:val="001F1BD5"/>
    <w:rsid w:val="001F1C91"/>
    <w:rsid w:val="001F1E9D"/>
    <w:rsid w:val="001F2114"/>
    <w:rsid w:val="001F213D"/>
    <w:rsid w:val="001F23F2"/>
    <w:rsid w:val="001F2452"/>
    <w:rsid w:val="001F24A3"/>
    <w:rsid w:val="001F268A"/>
    <w:rsid w:val="001F2997"/>
    <w:rsid w:val="001F2A11"/>
    <w:rsid w:val="001F2B32"/>
    <w:rsid w:val="001F2B3B"/>
    <w:rsid w:val="001F2D29"/>
    <w:rsid w:val="001F2D50"/>
    <w:rsid w:val="001F2D79"/>
    <w:rsid w:val="001F2F78"/>
    <w:rsid w:val="001F2FD3"/>
    <w:rsid w:val="001F3000"/>
    <w:rsid w:val="001F3097"/>
    <w:rsid w:val="001F31F2"/>
    <w:rsid w:val="001F347E"/>
    <w:rsid w:val="001F3532"/>
    <w:rsid w:val="001F3546"/>
    <w:rsid w:val="001F374A"/>
    <w:rsid w:val="001F3777"/>
    <w:rsid w:val="001F3819"/>
    <w:rsid w:val="001F3958"/>
    <w:rsid w:val="001F3B4F"/>
    <w:rsid w:val="001F3B91"/>
    <w:rsid w:val="001F3BAF"/>
    <w:rsid w:val="001F3E61"/>
    <w:rsid w:val="001F3EB7"/>
    <w:rsid w:val="001F3F9C"/>
    <w:rsid w:val="001F4197"/>
    <w:rsid w:val="001F42F1"/>
    <w:rsid w:val="001F455F"/>
    <w:rsid w:val="001F4585"/>
    <w:rsid w:val="001F460F"/>
    <w:rsid w:val="001F4618"/>
    <w:rsid w:val="001F46F8"/>
    <w:rsid w:val="001F4894"/>
    <w:rsid w:val="001F4B51"/>
    <w:rsid w:val="001F4C36"/>
    <w:rsid w:val="001F4CAE"/>
    <w:rsid w:val="001F4CF7"/>
    <w:rsid w:val="001F4D8C"/>
    <w:rsid w:val="001F4E8A"/>
    <w:rsid w:val="001F507C"/>
    <w:rsid w:val="001F5246"/>
    <w:rsid w:val="001F530A"/>
    <w:rsid w:val="001F53DC"/>
    <w:rsid w:val="001F55E3"/>
    <w:rsid w:val="001F55F8"/>
    <w:rsid w:val="001F591B"/>
    <w:rsid w:val="001F591E"/>
    <w:rsid w:val="001F5B03"/>
    <w:rsid w:val="001F5B84"/>
    <w:rsid w:val="001F5BEE"/>
    <w:rsid w:val="001F5EF9"/>
    <w:rsid w:val="001F5F23"/>
    <w:rsid w:val="001F5F59"/>
    <w:rsid w:val="001F61F9"/>
    <w:rsid w:val="001F6720"/>
    <w:rsid w:val="001F6774"/>
    <w:rsid w:val="001F6A20"/>
    <w:rsid w:val="001F6AE5"/>
    <w:rsid w:val="001F6BCE"/>
    <w:rsid w:val="001F6CDE"/>
    <w:rsid w:val="001F6D64"/>
    <w:rsid w:val="001F6E71"/>
    <w:rsid w:val="001F6E8C"/>
    <w:rsid w:val="001F6ED1"/>
    <w:rsid w:val="001F6EDE"/>
    <w:rsid w:val="001F6EDF"/>
    <w:rsid w:val="001F6EED"/>
    <w:rsid w:val="001F6F2B"/>
    <w:rsid w:val="001F6FF9"/>
    <w:rsid w:val="001F7003"/>
    <w:rsid w:val="001F709B"/>
    <w:rsid w:val="001F709F"/>
    <w:rsid w:val="001F74F6"/>
    <w:rsid w:val="001F76B2"/>
    <w:rsid w:val="001F76D4"/>
    <w:rsid w:val="001F76D6"/>
    <w:rsid w:val="001F78D6"/>
    <w:rsid w:val="001F7A2A"/>
    <w:rsid w:val="001F7D71"/>
    <w:rsid w:val="00200047"/>
    <w:rsid w:val="00200097"/>
    <w:rsid w:val="0020019A"/>
    <w:rsid w:val="0020019F"/>
    <w:rsid w:val="002002E3"/>
    <w:rsid w:val="0020031F"/>
    <w:rsid w:val="002003FD"/>
    <w:rsid w:val="00200473"/>
    <w:rsid w:val="00200711"/>
    <w:rsid w:val="002008A3"/>
    <w:rsid w:val="00200A03"/>
    <w:rsid w:val="00200C1C"/>
    <w:rsid w:val="00200C6D"/>
    <w:rsid w:val="00200D43"/>
    <w:rsid w:val="00200D5F"/>
    <w:rsid w:val="00200DB6"/>
    <w:rsid w:val="00200FC2"/>
    <w:rsid w:val="00200FE3"/>
    <w:rsid w:val="00201160"/>
    <w:rsid w:val="00201343"/>
    <w:rsid w:val="002013D5"/>
    <w:rsid w:val="002017BB"/>
    <w:rsid w:val="00201ACD"/>
    <w:rsid w:val="00201DC9"/>
    <w:rsid w:val="00201DFE"/>
    <w:rsid w:val="00201E49"/>
    <w:rsid w:val="00201EAA"/>
    <w:rsid w:val="0020211A"/>
    <w:rsid w:val="002021E6"/>
    <w:rsid w:val="002021ED"/>
    <w:rsid w:val="002023FF"/>
    <w:rsid w:val="002024F4"/>
    <w:rsid w:val="00202502"/>
    <w:rsid w:val="0020260E"/>
    <w:rsid w:val="002026CD"/>
    <w:rsid w:val="002027E6"/>
    <w:rsid w:val="002028A6"/>
    <w:rsid w:val="00202A21"/>
    <w:rsid w:val="00202A6D"/>
    <w:rsid w:val="00202A8F"/>
    <w:rsid w:val="00202AEA"/>
    <w:rsid w:val="00202E8F"/>
    <w:rsid w:val="00202F9C"/>
    <w:rsid w:val="0020304C"/>
    <w:rsid w:val="00203077"/>
    <w:rsid w:val="002031E6"/>
    <w:rsid w:val="00203358"/>
    <w:rsid w:val="002033FC"/>
    <w:rsid w:val="0020346F"/>
    <w:rsid w:val="0020385A"/>
    <w:rsid w:val="00203A83"/>
    <w:rsid w:val="00203D8C"/>
    <w:rsid w:val="0020429E"/>
    <w:rsid w:val="002042AA"/>
    <w:rsid w:val="0020449F"/>
    <w:rsid w:val="002044BB"/>
    <w:rsid w:val="002045F4"/>
    <w:rsid w:val="00204638"/>
    <w:rsid w:val="0020490B"/>
    <w:rsid w:val="00204D24"/>
    <w:rsid w:val="00204DF0"/>
    <w:rsid w:val="00204E67"/>
    <w:rsid w:val="00204F02"/>
    <w:rsid w:val="00204F8E"/>
    <w:rsid w:val="002053EF"/>
    <w:rsid w:val="00205789"/>
    <w:rsid w:val="00206024"/>
    <w:rsid w:val="002060AB"/>
    <w:rsid w:val="0020627A"/>
    <w:rsid w:val="002062EE"/>
    <w:rsid w:val="002063BB"/>
    <w:rsid w:val="002068B0"/>
    <w:rsid w:val="0020690A"/>
    <w:rsid w:val="00206B28"/>
    <w:rsid w:val="00206F72"/>
    <w:rsid w:val="002070D3"/>
    <w:rsid w:val="0020711C"/>
    <w:rsid w:val="00207250"/>
    <w:rsid w:val="00207370"/>
    <w:rsid w:val="0020743E"/>
    <w:rsid w:val="002074B5"/>
    <w:rsid w:val="0020764E"/>
    <w:rsid w:val="00207784"/>
    <w:rsid w:val="002077DC"/>
    <w:rsid w:val="002078C8"/>
    <w:rsid w:val="0020795E"/>
    <w:rsid w:val="00207D53"/>
    <w:rsid w:val="00207E91"/>
    <w:rsid w:val="002100C3"/>
    <w:rsid w:val="00210125"/>
    <w:rsid w:val="002103D3"/>
    <w:rsid w:val="00210447"/>
    <w:rsid w:val="00210B09"/>
    <w:rsid w:val="00210C05"/>
    <w:rsid w:val="00210C9E"/>
    <w:rsid w:val="00210DEB"/>
    <w:rsid w:val="00210E67"/>
    <w:rsid w:val="00210E92"/>
    <w:rsid w:val="00210F81"/>
    <w:rsid w:val="00210FE2"/>
    <w:rsid w:val="002116C3"/>
    <w:rsid w:val="00211840"/>
    <w:rsid w:val="00211977"/>
    <w:rsid w:val="00211A99"/>
    <w:rsid w:val="00211B4E"/>
    <w:rsid w:val="00211B58"/>
    <w:rsid w:val="00211C8B"/>
    <w:rsid w:val="00211DB6"/>
    <w:rsid w:val="00211DD4"/>
    <w:rsid w:val="00211E75"/>
    <w:rsid w:val="0021226A"/>
    <w:rsid w:val="00212320"/>
    <w:rsid w:val="002123DA"/>
    <w:rsid w:val="00212542"/>
    <w:rsid w:val="0021258A"/>
    <w:rsid w:val="00212770"/>
    <w:rsid w:val="002127EE"/>
    <w:rsid w:val="00212B07"/>
    <w:rsid w:val="00212B3E"/>
    <w:rsid w:val="00212C48"/>
    <w:rsid w:val="00212C70"/>
    <w:rsid w:val="00212CA2"/>
    <w:rsid w:val="00212CA4"/>
    <w:rsid w:val="00212D02"/>
    <w:rsid w:val="00212E0D"/>
    <w:rsid w:val="00212F30"/>
    <w:rsid w:val="00212F43"/>
    <w:rsid w:val="0021320A"/>
    <w:rsid w:val="00213274"/>
    <w:rsid w:val="002133A4"/>
    <w:rsid w:val="002133C2"/>
    <w:rsid w:val="00213472"/>
    <w:rsid w:val="0021352F"/>
    <w:rsid w:val="00213978"/>
    <w:rsid w:val="002139C3"/>
    <w:rsid w:val="00213B72"/>
    <w:rsid w:val="00213D02"/>
    <w:rsid w:val="00213F4C"/>
    <w:rsid w:val="0021410E"/>
    <w:rsid w:val="0021439D"/>
    <w:rsid w:val="002148FF"/>
    <w:rsid w:val="00214934"/>
    <w:rsid w:val="002149DE"/>
    <w:rsid w:val="00214AE2"/>
    <w:rsid w:val="00214C32"/>
    <w:rsid w:val="0021501E"/>
    <w:rsid w:val="0021537C"/>
    <w:rsid w:val="002153B4"/>
    <w:rsid w:val="002153F1"/>
    <w:rsid w:val="00215404"/>
    <w:rsid w:val="002154F0"/>
    <w:rsid w:val="002156A6"/>
    <w:rsid w:val="002156B8"/>
    <w:rsid w:val="002156BF"/>
    <w:rsid w:val="00215A09"/>
    <w:rsid w:val="00215A65"/>
    <w:rsid w:val="00215A6B"/>
    <w:rsid w:val="00215B08"/>
    <w:rsid w:val="00215CF9"/>
    <w:rsid w:val="00215D0D"/>
    <w:rsid w:val="00215ED3"/>
    <w:rsid w:val="00215F03"/>
    <w:rsid w:val="00216198"/>
    <w:rsid w:val="002161FC"/>
    <w:rsid w:val="0021635A"/>
    <w:rsid w:val="002164B2"/>
    <w:rsid w:val="0021657B"/>
    <w:rsid w:val="002166BB"/>
    <w:rsid w:val="00216AEC"/>
    <w:rsid w:val="00216BCD"/>
    <w:rsid w:val="00216D53"/>
    <w:rsid w:val="00217039"/>
    <w:rsid w:val="002171B8"/>
    <w:rsid w:val="00217200"/>
    <w:rsid w:val="002172D3"/>
    <w:rsid w:val="0021742A"/>
    <w:rsid w:val="0021761D"/>
    <w:rsid w:val="00217769"/>
    <w:rsid w:val="002178E4"/>
    <w:rsid w:val="00217A81"/>
    <w:rsid w:val="00217A9F"/>
    <w:rsid w:val="00217AE2"/>
    <w:rsid w:val="00217B8D"/>
    <w:rsid w:val="00217C61"/>
    <w:rsid w:val="00217CCE"/>
    <w:rsid w:val="00217FE0"/>
    <w:rsid w:val="0022001B"/>
    <w:rsid w:val="00220117"/>
    <w:rsid w:val="0022041F"/>
    <w:rsid w:val="00220488"/>
    <w:rsid w:val="00220507"/>
    <w:rsid w:val="00220860"/>
    <w:rsid w:val="00220DDC"/>
    <w:rsid w:val="00220E5F"/>
    <w:rsid w:val="00220F98"/>
    <w:rsid w:val="002210EB"/>
    <w:rsid w:val="002212B5"/>
    <w:rsid w:val="00221436"/>
    <w:rsid w:val="002214BB"/>
    <w:rsid w:val="00221890"/>
    <w:rsid w:val="00221B6B"/>
    <w:rsid w:val="00221E44"/>
    <w:rsid w:val="00221E91"/>
    <w:rsid w:val="00221F65"/>
    <w:rsid w:val="00221FC1"/>
    <w:rsid w:val="00222113"/>
    <w:rsid w:val="00222125"/>
    <w:rsid w:val="002221B8"/>
    <w:rsid w:val="00222205"/>
    <w:rsid w:val="002222CD"/>
    <w:rsid w:val="002222F7"/>
    <w:rsid w:val="00222345"/>
    <w:rsid w:val="0022258C"/>
    <w:rsid w:val="002225DC"/>
    <w:rsid w:val="00222639"/>
    <w:rsid w:val="002228AA"/>
    <w:rsid w:val="00222A42"/>
    <w:rsid w:val="00222B82"/>
    <w:rsid w:val="00222D79"/>
    <w:rsid w:val="00222D9C"/>
    <w:rsid w:val="00222F08"/>
    <w:rsid w:val="002230F2"/>
    <w:rsid w:val="0022316C"/>
    <w:rsid w:val="0022329F"/>
    <w:rsid w:val="002232C0"/>
    <w:rsid w:val="0022343D"/>
    <w:rsid w:val="0022349C"/>
    <w:rsid w:val="002234E7"/>
    <w:rsid w:val="0022350B"/>
    <w:rsid w:val="00223675"/>
    <w:rsid w:val="002236E8"/>
    <w:rsid w:val="002236FA"/>
    <w:rsid w:val="00223773"/>
    <w:rsid w:val="0022385D"/>
    <w:rsid w:val="00223945"/>
    <w:rsid w:val="00223EE3"/>
    <w:rsid w:val="00223F75"/>
    <w:rsid w:val="0022414C"/>
    <w:rsid w:val="00224178"/>
    <w:rsid w:val="00224391"/>
    <w:rsid w:val="002246FE"/>
    <w:rsid w:val="002247DF"/>
    <w:rsid w:val="00224A81"/>
    <w:rsid w:val="00224B07"/>
    <w:rsid w:val="00224CD1"/>
    <w:rsid w:val="002251B5"/>
    <w:rsid w:val="002253A4"/>
    <w:rsid w:val="002253AE"/>
    <w:rsid w:val="00225B2F"/>
    <w:rsid w:val="00225BC6"/>
    <w:rsid w:val="00225BD5"/>
    <w:rsid w:val="00225C19"/>
    <w:rsid w:val="00225C30"/>
    <w:rsid w:val="00225DA2"/>
    <w:rsid w:val="00225E5B"/>
    <w:rsid w:val="00225EE5"/>
    <w:rsid w:val="00225F2D"/>
    <w:rsid w:val="00225F45"/>
    <w:rsid w:val="00225F96"/>
    <w:rsid w:val="00226026"/>
    <w:rsid w:val="002260EA"/>
    <w:rsid w:val="00226264"/>
    <w:rsid w:val="002262AC"/>
    <w:rsid w:val="00226358"/>
    <w:rsid w:val="00226368"/>
    <w:rsid w:val="00226666"/>
    <w:rsid w:val="00226668"/>
    <w:rsid w:val="002266B8"/>
    <w:rsid w:val="002266D9"/>
    <w:rsid w:val="00226750"/>
    <w:rsid w:val="00226AD1"/>
    <w:rsid w:val="00226CC8"/>
    <w:rsid w:val="00226D61"/>
    <w:rsid w:val="00226E83"/>
    <w:rsid w:val="002272C1"/>
    <w:rsid w:val="002276A8"/>
    <w:rsid w:val="002277A5"/>
    <w:rsid w:val="0022783C"/>
    <w:rsid w:val="00227A6B"/>
    <w:rsid w:val="00227A78"/>
    <w:rsid w:val="00227B9B"/>
    <w:rsid w:val="00227C3A"/>
    <w:rsid w:val="00227ECD"/>
    <w:rsid w:val="00227EF8"/>
    <w:rsid w:val="00227F71"/>
    <w:rsid w:val="00227FCB"/>
    <w:rsid w:val="0023006B"/>
    <w:rsid w:val="002302F3"/>
    <w:rsid w:val="00230346"/>
    <w:rsid w:val="0023048D"/>
    <w:rsid w:val="00230492"/>
    <w:rsid w:val="002304D0"/>
    <w:rsid w:val="002304F2"/>
    <w:rsid w:val="00230523"/>
    <w:rsid w:val="002307A1"/>
    <w:rsid w:val="002308F6"/>
    <w:rsid w:val="00230F7C"/>
    <w:rsid w:val="00231156"/>
    <w:rsid w:val="0023117D"/>
    <w:rsid w:val="0023122C"/>
    <w:rsid w:val="002312CA"/>
    <w:rsid w:val="0023144D"/>
    <w:rsid w:val="00231641"/>
    <w:rsid w:val="002316D0"/>
    <w:rsid w:val="00231753"/>
    <w:rsid w:val="00231858"/>
    <w:rsid w:val="00231AD2"/>
    <w:rsid w:val="00231B85"/>
    <w:rsid w:val="00231D29"/>
    <w:rsid w:val="00231E12"/>
    <w:rsid w:val="00231FEB"/>
    <w:rsid w:val="002326E7"/>
    <w:rsid w:val="0023270D"/>
    <w:rsid w:val="002328FA"/>
    <w:rsid w:val="00232998"/>
    <w:rsid w:val="00232B46"/>
    <w:rsid w:val="00232B80"/>
    <w:rsid w:val="00232C0C"/>
    <w:rsid w:val="00232C3A"/>
    <w:rsid w:val="00232DA0"/>
    <w:rsid w:val="00232DFE"/>
    <w:rsid w:val="00232E4B"/>
    <w:rsid w:val="00232EE0"/>
    <w:rsid w:val="00233398"/>
    <w:rsid w:val="002334EF"/>
    <w:rsid w:val="002335C5"/>
    <w:rsid w:val="00233809"/>
    <w:rsid w:val="0023391E"/>
    <w:rsid w:val="00233A6B"/>
    <w:rsid w:val="00233AD2"/>
    <w:rsid w:val="00233BBE"/>
    <w:rsid w:val="00233E5F"/>
    <w:rsid w:val="00233F16"/>
    <w:rsid w:val="0023400D"/>
    <w:rsid w:val="0023403C"/>
    <w:rsid w:val="00234570"/>
    <w:rsid w:val="002346D3"/>
    <w:rsid w:val="002348C4"/>
    <w:rsid w:val="00234A30"/>
    <w:rsid w:val="00234B7C"/>
    <w:rsid w:val="00234BC7"/>
    <w:rsid w:val="00234C91"/>
    <w:rsid w:val="00234C9C"/>
    <w:rsid w:val="00234D29"/>
    <w:rsid w:val="00234D5C"/>
    <w:rsid w:val="00235294"/>
    <w:rsid w:val="002353BD"/>
    <w:rsid w:val="002353D7"/>
    <w:rsid w:val="00235526"/>
    <w:rsid w:val="0023574A"/>
    <w:rsid w:val="002357EA"/>
    <w:rsid w:val="00235849"/>
    <w:rsid w:val="00235986"/>
    <w:rsid w:val="00235A67"/>
    <w:rsid w:val="00235B0F"/>
    <w:rsid w:val="00235CDD"/>
    <w:rsid w:val="00235FA2"/>
    <w:rsid w:val="00235FC3"/>
    <w:rsid w:val="002361B7"/>
    <w:rsid w:val="002361DD"/>
    <w:rsid w:val="00236279"/>
    <w:rsid w:val="002362D0"/>
    <w:rsid w:val="002365BD"/>
    <w:rsid w:val="002369BC"/>
    <w:rsid w:val="002369D9"/>
    <w:rsid w:val="00236BB4"/>
    <w:rsid w:val="00236BC0"/>
    <w:rsid w:val="00236EB9"/>
    <w:rsid w:val="002372DB"/>
    <w:rsid w:val="002373E5"/>
    <w:rsid w:val="0023753E"/>
    <w:rsid w:val="002375E3"/>
    <w:rsid w:val="002377CF"/>
    <w:rsid w:val="0023788F"/>
    <w:rsid w:val="0023793D"/>
    <w:rsid w:val="002379EF"/>
    <w:rsid w:val="00237A42"/>
    <w:rsid w:val="00237ABC"/>
    <w:rsid w:val="00237AD4"/>
    <w:rsid w:val="00237AEB"/>
    <w:rsid w:val="00237B71"/>
    <w:rsid w:val="00237CB2"/>
    <w:rsid w:val="00237EC6"/>
    <w:rsid w:val="00237F2A"/>
    <w:rsid w:val="00240046"/>
    <w:rsid w:val="002400D5"/>
    <w:rsid w:val="0024012F"/>
    <w:rsid w:val="002401E7"/>
    <w:rsid w:val="002403C9"/>
    <w:rsid w:val="0024049E"/>
    <w:rsid w:val="00240532"/>
    <w:rsid w:val="00240844"/>
    <w:rsid w:val="00240EC7"/>
    <w:rsid w:val="00240F93"/>
    <w:rsid w:val="0024105B"/>
    <w:rsid w:val="00241213"/>
    <w:rsid w:val="00241423"/>
    <w:rsid w:val="002415D9"/>
    <w:rsid w:val="002416AC"/>
    <w:rsid w:val="00241CE1"/>
    <w:rsid w:val="00241D0C"/>
    <w:rsid w:val="00241D54"/>
    <w:rsid w:val="00241D85"/>
    <w:rsid w:val="00241F5D"/>
    <w:rsid w:val="00241F6A"/>
    <w:rsid w:val="00241FB9"/>
    <w:rsid w:val="0024224C"/>
    <w:rsid w:val="002422B4"/>
    <w:rsid w:val="002422B5"/>
    <w:rsid w:val="0024237A"/>
    <w:rsid w:val="002424B0"/>
    <w:rsid w:val="00242672"/>
    <w:rsid w:val="002428F8"/>
    <w:rsid w:val="00242936"/>
    <w:rsid w:val="00242986"/>
    <w:rsid w:val="00242A7D"/>
    <w:rsid w:val="00242D4B"/>
    <w:rsid w:val="00242DFA"/>
    <w:rsid w:val="00243076"/>
    <w:rsid w:val="0024312D"/>
    <w:rsid w:val="002433A5"/>
    <w:rsid w:val="00243425"/>
    <w:rsid w:val="002434B4"/>
    <w:rsid w:val="0024365B"/>
    <w:rsid w:val="00243934"/>
    <w:rsid w:val="00243A77"/>
    <w:rsid w:val="00243B0E"/>
    <w:rsid w:val="00243B76"/>
    <w:rsid w:val="00243D1B"/>
    <w:rsid w:val="002445C1"/>
    <w:rsid w:val="0024462D"/>
    <w:rsid w:val="002446F1"/>
    <w:rsid w:val="00244794"/>
    <w:rsid w:val="002448F4"/>
    <w:rsid w:val="0024494C"/>
    <w:rsid w:val="00244AEB"/>
    <w:rsid w:val="00244B57"/>
    <w:rsid w:val="00244CC4"/>
    <w:rsid w:val="00244DAC"/>
    <w:rsid w:val="00244EBE"/>
    <w:rsid w:val="00244EF9"/>
    <w:rsid w:val="00244F06"/>
    <w:rsid w:val="00244F90"/>
    <w:rsid w:val="0024515D"/>
    <w:rsid w:val="00245227"/>
    <w:rsid w:val="00245313"/>
    <w:rsid w:val="00245329"/>
    <w:rsid w:val="00245335"/>
    <w:rsid w:val="00245680"/>
    <w:rsid w:val="002458E4"/>
    <w:rsid w:val="00245910"/>
    <w:rsid w:val="002459A1"/>
    <w:rsid w:val="002459AC"/>
    <w:rsid w:val="00245B45"/>
    <w:rsid w:val="00245D91"/>
    <w:rsid w:val="00245E07"/>
    <w:rsid w:val="0024633A"/>
    <w:rsid w:val="00246402"/>
    <w:rsid w:val="002466B0"/>
    <w:rsid w:val="002466D0"/>
    <w:rsid w:val="0024682F"/>
    <w:rsid w:val="002469BB"/>
    <w:rsid w:val="00246B37"/>
    <w:rsid w:val="00246C05"/>
    <w:rsid w:val="00246F3D"/>
    <w:rsid w:val="00247151"/>
    <w:rsid w:val="00247367"/>
    <w:rsid w:val="0024767D"/>
    <w:rsid w:val="00247828"/>
    <w:rsid w:val="00247865"/>
    <w:rsid w:val="0024797F"/>
    <w:rsid w:val="00247BC1"/>
    <w:rsid w:val="00247D98"/>
    <w:rsid w:val="002500A3"/>
    <w:rsid w:val="002501DA"/>
    <w:rsid w:val="0025024C"/>
    <w:rsid w:val="00250369"/>
    <w:rsid w:val="0025042F"/>
    <w:rsid w:val="002504B2"/>
    <w:rsid w:val="00250629"/>
    <w:rsid w:val="002506EA"/>
    <w:rsid w:val="0025076E"/>
    <w:rsid w:val="002508B3"/>
    <w:rsid w:val="002508F9"/>
    <w:rsid w:val="00250914"/>
    <w:rsid w:val="002509F4"/>
    <w:rsid w:val="00250A08"/>
    <w:rsid w:val="00250B24"/>
    <w:rsid w:val="00250B81"/>
    <w:rsid w:val="00250CEE"/>
    <w:rsid w:val="0025114A"/>
    <w:rsid w:val="0025119E"/>
    <w:rsid w:val="002511E1"/>
    <w:rsid w:val="00251269"/>
    <w:rsid w:val="002512BF"/>
    <w:rsid w:val="00251539"/>
    <w:rsid w:val="00251549"/>
    <w:rsid w:val="0025159D"/>
    <w:rsid w:val="002518B4"/>
    <w:rsid w:val="00251A3C"/>
    <w:rsid w:val="00251C74"/>
    <w:rsid w:val="00251D88"/>
    <w:rsid w:val="00251F1D"/>
    <w:rsid w:val="002520C5"/>
    <w:rsid w:val="002521BB"/>
    <w:rsid w:val="00252445"/>
    <w:rsid w:val="0025265D"/>
    <w:rsid w:val="0025272A"/>
    <w:rsid w:val="002528A2"/>
    <w:rsid w:val="00252976"/>
    <w:rsid w:val="00252CBD"/>
    <w:rsid w:val="00252E7F"/>
    <w:rsid w:val="00253150"/>
    <w:rsid w:val="00253586"/>
    <w:rsid w:val="002535C0"/>
    <w:rsid w:val="0025392C"/>
    <w:rsid w:val="00253A6F"/>
    <w:rsid w:val="00253AFF"/>
    <w:rsid w:val="00253F76"/>
    <w:rsid w:val="00254010"/>
    <w:rsid w:val="002541C2"/>
    <w:rsid w:val="00254370"/>
    <w:rsid w:val="0025466E"/>
    <w:rsid w:val="00254927"/>
    <w:rsid w:val="00254938"/>
    <w:rsid w:val="0025498E"/>
    <w:rsid w:val="00254BBD"/>
    <w:rsid w:val="00254D56"/>
    <w:rsid w:val="00254DCD"/>
    <w:rsid w:val="00254F9E"/>
    <w:rsid w:val="002550B7"/>
    <w:rsid w:val="00255217"/>
    <w:rsid w:val="00255407"/>
    <w:rsid w:val="002556EE"/>
    <w:rsid w:val="00255819"/>
    <w:rsid w:val="002558E7"/>
    <w:rsid w:val="00255B4A"/>
    <w:rsid w:val="00255F8B"/>
    <w:rsid w:val="002561CB"/>
    <w:rsid w:val="00256291"/>
    <w:rsid w:val="00256353"/>
    <w:rsid w:val="00256452"/>
    <w:rsid w:val="00256598"/>
    <w:rsid w:val="0025674B"/>
    <w:rsid w:val="0025688B"/>
    <w:rsid w:val="00256ABF"/>
    <w:rsid w:val="00256B4A"/>
    <w:rsid w:val="00256BFD"/>
    <w:rsid w:val="00256CA8"/>
    <w:rsid w:val="00256F46"/>
    <w:rsid w:val="00256F6E"/>
    <w:rsid w:val="00256F71"/>
    <w:rsid w:val="002570A5"/>
    <w:rsid w:val="00257104"/>
    <w:rsid w:val="0025717F"/>
    <w:rsid w:val="0025719D"/>
    <w:rsid w:val="002571E3"/>
    <w:rsid w:val="0025743A"/>
    <w:rsid w:val="002574D1"/>
    <w:rsid w:val="00257814"/>
    <w:rsid w:val="0025782A"/>
    <w:rsid w:val="00257917"/>
    <w:rsid w:val="002579FE"/>
    <w:rsid w:val="00257A5B"/>
    <w:rsid w:val="00257AE7"/>
    <w:rsid w:val="00257EA0"/>
    <w:rsid w:val="00257EEF"/>
    <w:rsid w:val="00260096"/>
    <w:rsid w:val="002601A5"/>
    <w:rsid w:val="002601D4"/>
    <w:rsid w:val="00260203"/>
    <w:rsid w:val="002602FD"/>
    <w:rsid w:val="0026037D"/>
    <w:rsid w:val="00260386"/>
    <w:rsid w:val="00260889"/>
    <w:rsid w:val="00260B5F"/>
    <w:rsid w:val="00260CC4"/>
    <w:rsid w:val="00260D7D"/>
    <w:rsid w:val="00260E58"/>
    <w:rsid w:val="00261186"/>
    <w:rsid w:val="002611C8"/>
    <w:rsid w:val="00261305"/>
    <w:rsid w:val="00261364"/>
    <w:rsid w:val="0026153E"/>
    <w:rsid w:val="00261580"/>
    <w:rsid w:val="002616A8"/>
    <w:rsid w:val="002616CB"/>
    <w:rsid w:val="00261751"/>
    <w:rsid w:val="00262053"/>
    <w:rsid w:val="00262079"/>
    <w:rsid w:val="0026225E"/>
    <w:rsid w:val="002624DB"/>
    <w:rsid w:val="002624EC"/>
    <w:rsid w:val="002625E1"/>
    <w:rsid w:val="00262659"/>
    <w:rsid w:val="0026275A"/>
    <w:rsid w:val="00262C8F"/>
    <w:rsid w:val="00262E08"/>
    <w:rsid w:val="00262F4B"/>
    <w:rsid w:val="0026308E"/>
    <w:rsid w:val="0026311C"/>
    <w:rsid w:val="00263142"/>
    <w:rsid w:val="00263231"/>
    <w:rsid w:val="002633D0"/>
    <w:rsid w:val="002634C1"/>
    <w:rsid w:val="0026370D"/>
    <w:rsid w:val="0026376F"/>
    <w:rsid w:val="002637DE"/>
    <w:rsid w:val="00263AF7"/>
    <w:rsid w:val="00263B12"/>
    <w:rsid w:val="00263D0A"/>
    <w:rsid w:val="002640BE"/>
    <w:rsid w:val="002641CC"/>
    <w:rsid w:val="002642FB"/>
    <w:rsid w:val="00264533"/>
    <w:rsid w:val="002645B2"/>
    <w:rsid w:val="00264642"/>
    <w:rsid w:val="00264752"/>
    <w:rsid w:val="00264765"/>
    <w:rsid w:val="00264798"/>
    <w:rsid w:val="002647A6"/>
    <w:rsid w:val="00264BBA"/>
    <w:rsid w:val="00264BF7"/>
    <w:rsid w:val="00264C93"/>
    <w:rsid w:val="00264E2B"/>
    <w:rsid w:val="00264F8C"/>
    <w:rsid w:val="00264FCF"/>
    <w:rsid w:val="0026515A"/>
    <w:rsid w:val="00265309"/>
    <w:rsid w:val="002654EC"/>
    <w:rsid w:val="0026563A"/>
    <w:rsid w:val="0026580C"/>
    <w:rsid w:val="002658A2"/>
    <w:rsid w:val="00265933"/>
    <w:rsid w:val="0026597C"/>
    <w:rsid w:val="00265B5C"/>
    <w:rsid w:val="00265DA5"/>
    <w:rsid w:val="00265DF0"/>
    <w:rsid w:val="00265F4A"/>
    <w:rsid w:val="002662B2"/>
    <w:rsid w:val="002662C1"/>
    <w:rsid w:val="002662C8"/>
    <w:rsid w:val="002662DC"/>
    <w:rsid w:val="0026668C"/>
    <w:rsid w:val="0026678F"/>
    <w:rsid w:val="002668E4"/>
    <w:rsid w:val="00266AC1"/>
    <w:rsid w:val="00266E8D"/>
    <w:rsid w:val="002670A1"/>
    <w:rsid w:val="00267116"/>
    <w:rsid w:val="002672E4"/>
    <w:rsid w:val="00267406"/>
    <w:rsid w:val="002676B4"/>
    <w:rsid w:val="00267797"/>
    <w:rsid w:val="00267951"/>
    <w:rsid w:val="002679B4"/>
    <w:rsid w:val="00267B20"/>
    <w:rsid w:val="00267BB9"/>
    <w:rsid w:val="00267BD6"/>
    <w:rsid w:val="00267C48"/>
    <w:rsid w:val="00267ECB"/>
    <w:rsid w:val="00267F3A"/>
    <w:rsid w:val="00267FCA"/>
    <w:rsid w:val="00270092"/>
    <w:rsid w:val="00270138"/>
    <w:rsid w:val="002701EB"/>
    <w:rsid w:val="0027021A"/>
    <w:rsid w:val="0027033D"/>
    <w:rsid w:val="002704B4"/>
    <w:rsid w:val="002706B8"/>
    <w:rsid w:val="002706EA"/>
    <w:rsid w:val="00270A5F"/>
    <w:rsid w:val="00270AE2"/>
    <w:rsid w:val="00270C6A"/>
    <w:rsid w:val="00270D27"/>
    <w:rsid w:val="00270ED2"/>
    <w:rsid w:val="00270F3E"/>
    <w:rsid w:val="00271116"/>
    <w:rsid w:val="0027130A"/>
    <w:rsid w:val="002714E8"/>
    <w:rsid w:val="0027178C"/>
    <w:rsid w:val="0027182E"/>
    <w:rsid w:val="002718EE"/>
    <w:rsid w:val="002719FA"/>
    <w:rsid w:val="00271BD8"/>
    <w:rsid w:val="00271D07"/>
    <w:rsid w:val="00271D0B"/>
    <w:rsid w:val="00271D93"/>
    <w:rsid w:val="00271F35"/>
    <w:rsid w:val="00271FA9"/>
    <w:rsid w:val="00272176"/>
    <w:rsid w:val="0027263D"/>
    <w:rsid w:val="00272668"/>
    <w:rsid w:val="002726D9"/>
    <w:rsid w:val="002727B2"/>
    <w:rsid w:val="0027287B"/>
    <w:rsid w:val="00272A41"/>
    <w:rsid w:val="00272AE4"/>
    <w:rsid w:val="00272BEA"/>
    <w:rsid w:val="00272C10"/>
    <w:rsid w:val="00272FB9"/>
    <w:rsid w:val="002730CE"/>
    <w:rsid w:val="002732DE"/>
    <w:rsid w:val="002732E9"/>
    <w:rsid w:val="002732EB"/>
    <w:rsid w:val="0027330B"/>
    <w:rsid w:val="0027355A"/>
    <w:rsid w:val="00273AB2"/>
    <w:rsid w:val="00273B07"/>
    <w:rsid w:val="00273BF9"/>
    <w:rsid w:val="00273E5B"/>
    <w:rsid w:val="00273ED7"/>
    <w:rsid w:val="00273F6F"/>
    <w:rsid w:val="0027400D"/>
    <w:rsid w:val="002740D3"/>
    <w:rsid w:val="002741B5"/>
    <w:rsid w:val="0027435D"/>
    <w:rsid w:val="00274370"/>
    <w:rsid w:val="00274746"/>
    <w:rsid w:val="002747D9"/>
    <w:rsid w:val="0027487E"/>
    <w:rsid w:val="0027498A"/>
    <w:rsid w:val="00274C92"/>
    <w:rsid w:val="00274F24"/>
    <w:rsid w:val="002751B7"/>
    <w:rsid w:val="002751D7"/>
    <w:rsid w:val="0027530E"/>
    <w:rsid w:val="00275648"/>
    <w:rsid w:val="002756ED"/>
    <w:rsid w:val="0027577B"/>
    <w:rsid w:val="002757FA"/>
    <w:rsid w:val="002758D8"/>
    <w:rsid w:val="00275AD5"/>
    <w:rsid w:val="00275D11"/>
    <w:rsid w:val="00275E5B"/>
    <w:rsid w:val="00275E86"/>
    <w:rsid w:val="00276022"/>
    <w:rsid w:val="002760F5"/>
    <w:rsid w:val="0027617A"/>
    <w:rsid w:val="002761DF"/>
    <w:rsid w:val="002763CE"/>
    <w:rsid w:val="00276408"/>
    <w:rsid w:val="002764D9"/>
    <w:rsid w:val="00276A40"/>
    <w:rsid w:val="00276E3C"/>
    <w:rsid w:val="00276F04"/>
    <w:rsid w:val="00276FA1"/>
    <w:rsid w:val="0027711C"/>
    <w:rsid w:val="002772BF"/>
    <w:rsid w:val="0027737E"/>
    <w:rsid w:val="002775AC"/>
    <w:rsid w:val="00277726"/>
    <w:rsid w:val="0027775C"/>
    <w:rsid w:val="00277770"/>
    <w:rsid w:val="0027783E"/>
    <w:rsid w:val="00277883"/>
    <w:rsid w:val="0027792E"/>
    <w:rsid w:val="00277A0E"/>
    <w:rsid w:val="00277ACB"/>
    <w:rsid w:val="00277C68"/>
    <w:rsid w:val="00280019"/>
    <w:rsid w:val="0028005D"/>
    <w:rsid w:val="00280299"/>
    <w:rsid w:val="002803AD"/>
    <w:rsid w:val="00280670"/>
    <w:rsid w:val="00280747"/>
    <w:rsid w:val="002807D1"/>
    <w:rsid w:val="002809E5"/>
    <w:rsid w:val="00280A32"/>
    <w:rsid w:val="00280C14"/>
    <w:rsid w:val="00281049"/>
    <w:rsid w:val="002810B7"/>
    <w:rsid w:val="002813CB"/>
    <w:rsid w:val="002814BB"/>
    <w:rsid w:val="0028161B"/>
    <w:rsid w:val="0028163C"/>
    <w:rsid w:val="002817B3"/>
    <w:rsid w:val="00281895"/>
    <w:rsid w:val="00281A2B"/>
    <w:rsid w:val="00281A55"/>
    <w:rsid w:val="00281AF5"/>
    <w:rsid w:val="00281C59"/>
    <w:rsid w:val="00281D9F"/>
    <w:rsid w:val="00281E34"/>
    <w:rsid w:val="00281F44"/>
    <w:rsid w:val="00281FA5"/>
    <w:rsid w:val="00282052"/>
    <w:rsid w:val="002820AB"/>
    <w:rsid w:val="0028216C"/>
    <w:rsid w:val="00282354"/>
    <w:rsid w:val="00282410"/>
    <w:rsid w:val="0028258B"/>
    <w:rsid w:val="002826A0"/>
    <w:rsid w:val="002826EB"/>
    <w:rsid w:val="002828E1"/>
    <w:rsid w:val="00282A93"/>
    <w:rsid w:val="00282E83"/>
    <w:rsid w:val="00282EA4"/>
    <w:rsid w:val="002830D2"/>
    <w:rsid w:val="0028311E"/>
    <w:rsid w:val="0028314D"/>
    <w:rsid w:val="00283159"/>
    <w:rsid w:val="00283239"/>
    <w:rsid w:val="00283372"/>
    <w:rsid w:val="00283384"/>
    <w:rsid w:val="00283617"/>
    <w:rsid w:val="00283812"/>
    <w:rsid w:val="00283948"/>
    <w:rsid w:val="00283D86"/>
    <w:rsid w:val="00283F48"/>
    <w:rsid w:val="00284081"/>
    <w:rsid w:val="002849D6"/>
    <w:rsid w:val="00284AF7"/>
    <w:rsid w:val="00284D26"/>
    <w:rsid w:val="00284E41"/>
    <w:rsid w:val="00284E45"/>
    <w:rsid w:val="0028519E"/>
    <w:rsid w:val="00285379"/>
    <w:rsid w:val="00285381"/>
    <w:rsid w:val="002855A2"/>
    <w:rsid w:val="002856A5"/>
    <w:rsid w:val="00285767"/>
    <w:rsid w:val="00285B5D"/>
    <w:rsid w:val="00285BF2"/>
    <w:rsid w:val="00285C33"/>
    <w:rsid w:val="002861AF"/>
    <w:rsid w:val="0028632D"/>
    <w:rsid w:val="00286827"/>
    <w:rsid w:val="00286994"/>
    <w:rsid w:val="00286C20"/>
    <w:rsid w:val="00286C9E"/>
    <w:rsid w:val="00286E98"/>
    <w:rsid w:val="00286F30"/>
    <w:rsid w:val="00286F82"/>
    <w:rsid w:val="002870D5"/>
    <w:rsid w:val="0028723F"/>
    <w:rsid w:val="00287243"/>
    <w:rsid w:val="002872ED"/>
    <w:rsid w:val="0028737C"/>
    <w:rsid w:val="002873D7"/>
    <w:rsid w:val="00287409"/>
    <w:rsid w:val="002875C0"/>
    <w:rsid w:val="00287995"/>
    <w:rsid w:val="002879C8"/>
    <w:rsid w:val="00287B62"/>
    <w:rsid w:val="00287D1B"/>
    <w:rsid w:val="00287D77"/>
    <w:rsid w:val="00287EC0"/>
    <w:rsid w:val="00287EC6"/>
    <w:rsid w:val="0029013D"/>
    <w:rsid w:val="002903A1"/>
    <w:rsid w:val="0029045B"/>
    <w:rsid w:val="00290516"/>
    <w:rsid w:val="00290553"/>
    <w:rsid w:val="002905C2"/>
    <w:rsid w:val="002908F7"/>
    <w:rsid w:val="00290A5D"/>
    <w:rsid w:val="00290D50"/>
    <w:rsid w:val="0029109F"/>
    <w:rsid w:val="002910B6"/>
    <w:rsid w:val="002910BF"/>
    <w:rsid w:val="002916B8"/>
    <w:rsid w:val="00291750"/>
    <w:rsid w:val="002917F8"/>
    <w:rsid w:val="00291955"/>
    <w:rsid w:val="00291A57"/>
    <w:rsid w:val="00291E8B"/>
    <w:rsid w:val="00292044"/>
    <w:rsid w:val="002920B2"/>
    <w:rsid w:val="002920D2"/>
    <w:rsid w:val="0029223E"/>
    <w:rsid w:val="00292394"/>
    <w:rsid w:val="0029243E"/>
    <w:rsid w:val="00292561"/>
    <w:rsid w:val="002926E5"/>
    <w:rsid w:val="00292764"/>
    <w:rsid w:val="00292768"/>
    <w:rsid w:val="0029281F"/>
    <w:rsid w:val="00292A91"/>
    <w:rsid w:val="00292C01"/>
    <w:rsid w:val="00292C91"/>
    <w:rsid w:val="00292D36"/>
    <w:rsid w:val="00292DDB"/>
    <w:rsid w:val="00292F9A"/>
    <w:rsid w:val="00293027"/>
    <w:rsid w:val="00293123"/>
    <w:rsid w:val="00293140"/>
    <w:rsid w:val="00293180"/>
    <w:rsid w:val="0029371E"/>
    <w:rsid w:val="0029373C"/>
    <w:rsid w:val="00293761"/>
    <w:rsid w:val="002937AE"/>
    <w:rsid w:val="0029395E"/>
    <w:rsid w:val="00293CDD"/>
    <w:rsid w:val="00293EBC"/>
    <w:rsid w:val="00294036"/>
    <w:rsid w:val="002942FB"/>
    <w:rsid w:val="00294481"/>
    <w:rsid w:val="00294675"/>
    <w:rsid w:val="00294800"/>
    <w:rsid w:val="0029488D"/>
    <w:rsid w:val="002949DC"/>
    <w:rsid w:val="00294AD7"/>
    <w:rsid w:val="00294B02"/>
    <w:rsid w:val="00294C67"/>
    <w:rsid w:val="00294E56"/>
    <w:rsid w:val="00294F0E"/>
    <w:rsid w:val="00294F4F"/>
    <w:rsid w:val="00294FAA"/>
    <w:rsid w:val="002951C1"/>
    <w:rsid w:val="00295280"/>
    <w:rsid w:val="002954EF"/>
    <w:rsid w:val="0029554C"/>
    <w:rsid w:val="002957CC"/>
    <w:rsid w:val="00295868"/>
    <w:rsid w:val="0029588C"/>
    <w:rsid w:val="0029592D"/>
    <w:rsid w:val="00295A66"/>
    <w:rsid w:val="00295AAB"/>
    <w:rsid w:val="00295AF2"/>
    <w:rsid w:val="00295B0B"/>
    <w:rsid w:val="00295BF0"/>
    <w:rsid w:val="00295C91"/>
    <w:rsid w:val="00295CA2"/>
    <w:rsid w:val="00295CCD"/>
    <w:rsid w:val="00295FBF"/>
    <w:rsid w:val="002962AA"/>
    <w:rsid w:val="002964AF"/>
    <w:rsid w:val="00296638"/>
    <w:rsid w:val="0029665E"/>
    <w:rsid w:val="002966CF"/>
    <w:rsid w:val="00296A15"/>
    <w:rsid w:val="00296C16"/>
    <w:rsid w:val="00296C3B"/>
    <w:rsid w:val="00296D93"/>
    <w:rsid w:val="00296E3E"/>
    <w:rsid w:val="00296F5E"/>
    <w:rsid w:val="00296F60"/>
    <w:rsid w:val="00296FDF"/>
    <w:rsid w:val="0029700D"/>
    <w:rsid w:val="002970F8"/>
    <w:rsid w:val="00297151"/>
    <w:rsid w:val="00297160"/>
    <w:rsid w:val="0029727B"/>
    <w:rsid w:val="00297407"/>
    <w:rsid w:val="002974E9"/>
    <w:rsid w:val="0029750F"/>
    <w:rsid w:val="002975BB"/>
    <w:rsid w:val="00297695"/>
    <w:rsid w:val="00297756"/>
    <w:rsid w:val="0029787A"/>
    <w:rsid w:val="00297BDE"/>
    <w:rsid w:val="00297D75"/>
    <w:rsid w:val="002A00DA"/>
    <w:rsid w:val="002A00E1"/>
    <w:rsid w:val="002A0165"/>
    <w:rsid w:val="002A0181"/>
    <w:rsid w:val="002A03CE"/>
    <w:rsid w:val="002A042E"/>
    <w:rsid w:val="002A0434"/>
    <w:rsid w:val="002A0780"/>
    <w:rsid w:val="002A07C8"/>
    <w:rsid w:val="002A0887"/>
    <w:rsid w:val="002A0894"/>
    <w:rsid w:val="002A08BC"/>
    <w:rsid w:val="002A0910"/>
    <w:rsid w:val="002A0C31"/>
    <w:rsid w:val="002A1059"/>
    <w:rsid w:val="002A109E"/>
    <w:rsid w:val="002A122D"/>
    <w:rsid w:val="002A132A"/>
    <w:rsid w:val="002A16B3"/>
    <w:rsid w:val="002A16CA"/>
    <w:rsid w:val="002A18AC"/>
    <w:rsid w:val="002A19A8"/>
    <w:rsid w:val="002A19B4"/>
    <w:rsid w:val="002A1A10"/>
    <w:rsid w:val="002A1AC5"/>
    <w:rsid w:val="002A1C67"/>
    <w:rsid w:val="002A1E7E"/>
    <w:rsid w:val="002A1FC4"/>
    <w:rsid w:val="002A2478"/>
    <w:rsid w:val="002A27B2"/>
    <w:rsid w:val="002A288D"/>
    <w:rsid w:val="002A2AA3"/>
    <w:rsid w:val="002A2AC2"/>
    <w:rsid w:val="002A2CED"/>
    <w:rsid w:val="002A2E5B"/>
    <w:rsid w:val="002A30A5"/>
    <w:rsid w:val="002A3265"/>
    <w:rsid w:val="002A35BE"/>
    <w:rsid w:val="002A361F"/>
    <w:rsid w:val="002A362C"/>
    <w:rsid w:val="002A38CF"/>
    <w:rsid w:val="002A3901"/>
    <w:rsid w:val="002A3902"/>
    <w:rsid w:val="002A39CE"/>
    <w:rsid w:val="002A39FB"/>
    <w:rsid w:val="002A3CF0"/>
    <w:rsid w:val="002A3F58"/>
    <w:rsid w:val="002A41C2"/>
    <w:rsid w:val="002A4842"/>
    <w:rsid w:val="002A4847"/>
    <w:rsid w:val="002A4B94"/>
    <w:rsid w:val="002A5268"/>
    <w:rsid w:val="002A5448"/>
    <w:rsid w:val="002A54A1"/>
    <w:rsid w:val="002A5652"/>
    <w:rsid w:val="002A584A"/>
    <w:rsid w:val="002A58CF"/>
    <w:rsid w:val="002A5AE1"/>
    <w:rsid w:val="002A5B89"/>
    <w:rsid w:val="002A5BA6"/>
    <w:rsid w:val="002A5D02"/>
    <w:rsid w:val="002A60EC"/>
    <w:rsid w:val="002A61DD"/>
    <w:rsid w:val="002A61F1"/>
    <w:rsid w:val="002A64B6"/>
    <w:rsid w:val="002A66D6"/>
    <w:rsid w:val="002A676F"/>
    <w:rsid w:val="002A69D8"/>
    <w:rsid w:val="002A6DE1"/>
    <w:rsid w:val="002A6EA5"/>
    <w:rsid w:val="002A6ECD"/>
    <w:rsid w:val="002A6F56"/>
    <w:rsid w:val="002A73F2"/>
    <w:rsid w:val="002A74D8"/>
    <w:rsid w:val="002A75C9"/>
    <w:rsid w:val="002A76F5"/>
    <w:rsid w:val="002A7962"/>
    <w:rsid w:val="002A7AE0"/>
    <w:rsid w:val="002A7C0C"/>
    <w:rsid w:val="002A7D43"/>
    <w:rsid w:val="002B03DE"/>
    <w:rsid w:val="002B0434"/>
    <w:rsid w:val="002B044D"/>
    <w:rsid w:val="002B065C"/>
    <w:rsid w:val="002B073C"/>
    <w:rsid w:val="002B0B5E"/>
    <w:rsid w:val="002B0F8E"/>
    <w:rsid w:val="002B115B"/>
    <w:rsid w:val="002B11D4"/>
    <w:rsid w:val="002B1299"/>
    <w:rsid w:val="002B1421"/>
    <w:rsid w:val="002B1486"/>
    <w:rsid w:val="002B152B"/>
    <w:rsid w:val="002B1542"/>
    <w:rsid w:val="002B1627"/>
    <w:rsid w:val="002B1913"/>
    <w:rsid w:val="002B19BB"/>
    <w:rsid w:val="002B1BDF"/>
    <w:rsid w:val="002B1D4A"/>
    <w:rsid w:val="002B1DF3"/>
    <w:rsid w:val="002B1DF5"/>
    <w:rsid w:val="002B1FE2"/>
    <w:rsid w:val="002B20E6"/>
    <w:rsid w:val="002B2317"/>
    <w:rsid w:val="002B2320"/>
    <w:rsid w:val="002B2353"/>
    <w:rsid w:val="002B238C"/>
    <w:rsid w:val="002B2476"/>
    <w:rsid w:val="002B2576"/>
    <w:rsid w:val="002B2873"/>
    <w:rsid w:val="002B288C"/>
    <w:rsid w:val="002B2975"/>
    <w:rsid w:val="002B29C9"/>
    <w:rsid w:val="002B29DD"/>
    <w:rsid w:val="002B2A21"/>
    <w:rsid w:val="002B2B47"/>
    <w:rsid w:val="002B2C12"/>
    <w:rsid w:val="002B2FC6"/>
    <w:rsid w:val="002B2FDD"/>
    <w:rsid w:val="002B2FEF"/>
    <w:rsid w:val="002B3002"/>
    <w:rsid w:val="002B3042"/>
    <w:rsid w:val="002B30D0"/>
    <w:rsid w:val="002B3106"/>
    <w:rsid w:val="002B3128"/>
    <w:rsid w:val="002B3518"/>
    <w:rsid w:val="002B357D"/>
    <w:rsid w:val="002B35AA"/>
    <w:rsid w:val="002B3641"/>
    <w:rsid w:val="002B3EF5"/>
    <w:rsid w:val="002B4035"/>
    <w:rsid w:val="002B42A3"/>
    <w:rsid w:val="002B4309"/>
    <w:rsid w:val="002B44C6"/>
    <w:rsid w:val="002B4535"/>
    <w:rsid w:val="002B4802"/>
    <w:rsid w:val="002B48B8"/>
    <w:rsid w:val="002B4F06"/>
    <w:rsid w:val="002B50DE"/>
    <w:rsid w:val="002B5187"/>
    <w:rsid w:val="002B5222"/>
    <w:rsid w:val="002B5301"/>
    <w:rsid w:val="002B534F"/>
    <w:rsid w:val="002B53A1"/>
    <w:rsid w:val="002B5473"/>
    <w:rsid w:val="002B5813"/>
    <w:rsid w:val="002B5A0C"/>
    <w:rsid w:val="002B5A6F"/>
    <w:rsid w:val="002B5A76"/>
    <w:rsid w:val="002B5A99"/>
    <w:rsid w:val="002B5C16"/>
    <w:rsid w:val="002B5CB0"/>
    <w:rsid w:val="002B5D59"/>
    <w:rsid w:val="002B5FBD"/>
    <w:rsid w:val="002B6027"/>
    <w:rsid w:val="002B61AD"/>
    <w:rsid w:val="002B6334"/>
    <w:rsid w:val="002B6569"/>
    <w:rsid w:val="002B65F2"/>
    <w:rsid w:val="002B6635"/>
    <w:rsid w:val="002B68CC"/>
    <w:rsid w:val="002B6C1A"/>
    <w:rsid w:val="002B6CC7"/>
    <w:rsid w:val="002B6DF9"/>
    <w:rsid w:val="002B6EC9"/>
    <w:rsid w:val="002B6EDF"/>
    <w:rsid w:val="002B6F10"/>
    <w:rsid w:val="002B71A2"/>
    <w:rsid w:val="002B7322"/>
    <w:rsid w:val="002B733B"/>
    <w:rsid w:val="002B73FE"/>
    <w:rsid w:val="002B7446"/>
    <w:rsid w:val="002B75B8"/>
    <w:rsid w:val="002B7623"/>
    <w:rsid w:val="002B771D"/>
    <w:rsid w:val="002B78BF"/>
    <w:rsid w:val="002B7918"/>
    <w:rsid w:val="002B7A2A"/>
    <w:rsid w:val="002B7BBE"/>
    <w:rsid w:val="002B7CB3"/>
    <w:rsid w:val="002B7F14"/>
    <w:rsid w:val="002C010F"/>
    <w:rsid w:val="002C01AB"/>
    <w:rsid w:val="002C0283"/>
    <w:rsid w:val="002C0435"/>
    <w:rsid w:val="002C04AE"/>
    <w:rsid w:val="002C0604"/>
    <w:rsid w:val="002C07A4"/>
    <w:rsid w:val="002C08AB"/>
    <w:rsid w:val="002C0CDD"/>
    <w:rsid w:val="002C0F52"/>
    <w:rsid w:val="002C14D8"/>
    <w:rsid w:val="002C161E"/>
    <w:rsid w:val="002C187F"/>
    <w:rsid w:val="002C19E0"/>
    <w:rsid w:val="002C1A82"/>
    <w:rsid w:val="002C1E71"/>
    <w:rsid w:val="002C1EAB"/>
    <w:rsid w:val="002C1F3A"/>
    <w:rsid w:val="002C20F2"/>
    <w:rsid w:val="002C2159"/>
    <w:rsid w:val="002C21EF"/>
    <w:rsid w:val="002C2295"/>
    <w:rsid w:val="002C261B"/>
    <w:rsid w:val="002C289F"/>
    <w:rsid w:val="002C2A91"/>
    <w:rsid w:val="002C2B0B"/>
    <w:rsid w:val="002C2CD7"/>
    <w:rsid w:val="002C2E17"/>
    <w:rsid w:val="002C2F59"/>
    <w:rsid w:val="002C30E8"/>
    <w:rsid w:val="002C3433"/>
    <w:rsid w:val="002C3802"/>
    <w:rsid w:val="002C38DC"/>
    <w:rsid w:val="002C3ADD"/>
    <w:rsid w:val="002C3B39"/>
    <w:rsid w:val="002C3DA1"/>
    <w:rsid w:val="002C3DFF"/>
    <w:rsid w:val="002C3E36"/>
    <w:rsid w:val="002C3F69"/>
    <w:rsid w:val="002C4433"/>
    <w:rsid w:val="002C4898"/>
    <w:rsid w:val="002C4A6C"/>
    <w:rsid w:val="002C4BC9"/>
    <w:rsid w:val="002C4CFB"/>
    <w:rsid w:val="002C4D35"/>
    <w:rsid w:val="002C4FB1"/>
    <w:rsid w:val="002C566D"/>
    <w:rsid w:val="002C5916"/>
    <w:rsid w:val="002C593D"/>
    <w:rsid w:val="002C5DBD"/>
    <w:rsid w:val="002C5EC7"/>
    <w:rsid w:val="002C60AE"/>
    <w:rsid w:val="002C6160"/>
    <w:rsid w:val="002C631C"/>
    <w:rsid w:val="002C640E"/>
    <w:rsid w:val="002C6457"/>
    <w:rsid w:val="002C660D"/>
    <w:rsid w:val="002C661B"/>
    <w:rsid w:val="002C6829"/>
    <w:rsid w:val="002C68DB"/>
    <w:rsid w:val="002C698C"/>
    <w:rsid w:val="002C6A87"/>
    <w:rsid w:val="002C6CB6"/>
    <w:rsid w:val="002C6FBE"/>
    <w:rsid w:val="002C738B"/>
    <w:rsid w:val="002C744C"/>
    <w:rsid w:val="002C7548"/>
    <w:rsid w:val="002C780B"/>
    <w:rsid w:val="002C788B"/>
    <w:rsid w:val="002C7975"/>
    <w:rsid w:val="002C7CF9"/>
    <w:rsid w:val="002C7EFB"/>
    <w:rsid w:val="002C7F69"/>
    <w:rsid w:val="002D0140"/>
    <w:rsid w:val="002D028C"/>
    <w:rsid w:val="002D0441"/>
    <w:rsid w:val="002D0542"/>
    <w:rsid w:val="002D0553"/>
    <w:rsid w:val="002D0576"/>
    <w:rsid w:val="002D05D9"/>
    <w:rsid w:val="002D0617"/>
    <w:rsid w:val="002D0636"/>
    <w:rsid w:val="002D0BFB"/>
    <w:rsid w:val="002D0ED1"/>
    <w:rsid w:val="002D0F1A"/>
    <w:rsid w:val="002D1211"/>
    <w:rsid w:val="002D1402"/>
    <w:rsid w:val="002D1440"/>
    <w:rsid w:val="002D15D2"/>
    <w:rsid w:val="002D15F6"/>
    <w:rsid w:val="002D16F9"/>
    <w:rsid w:val="002D1778"/>
    <w:rsid w:val="002D178D"/>
    <w:rsid w:val="002D1863"/>
    <w:rsid w:val="002D18C1"/>
    <w:rsid w:val="002D19A9"/>
    <w:rsid w:val="002D19AD"/>
    <w:rsid w:val="002D1A2C"/>
    <w:rsid w:val="002D1D53"/>
    <w:rsid w:val="002D1D54"/>
    <w:rsid w:val="002D1DA2"/>
    <w:rsid w:val="002D1DE3"/>
    <w:rsid w:val="002D1F9C"/>
    <w:rsid w:val="002D2209"/>
    <w:rsid w:val="002D247C"/>
    <w:rsid w:val="002D2B3F"/>
    <w:rsid w:val="002D2B78"/>
    <w:rsid w:val="002D2F93"/>
    <w:rsid w:val="002D2F99"/>
    <w:rsid w:val="002D2FA1"/>
    <w:rsid w:val="002D30CD"/>
    <w:rsid w:val="002D311C"/>
    <w:rsid w:val="002D35DD"/>
    <w:rsid w:val="002D38E5"/>
    <w:rsid w:val="002D3BDB"/>
    <w:rsid w:val="002D3C59"/>
    <w:rsid w:val="002D3EE0"/>
    <w:rsid w:val="002D3F73"/>
    <w:rsid w:val="002D41B0"/>
    <w:rsid w:val="002D4312"/>
    <w:rsid w:val="002D43ED"/>
    <w:rsid w:val="002D4547"/>
    <w:rsid w:val="002D4671"/>
    <w:rsid w:val="002D47B2"/>
    <w:rsid w:val="002D47DF"/>
    <w:rsid w:val="002D484B"/>
    <w:rsid w:val="002D49A2"/>
    <w:rsid w:val="002D4E47"/>
    <w:rsid w:val="002D4E68"/>
    <w:rsid w:val="002D5075"/>
    <w:rsid w:val="002D50D6"/>
    <w:rsid w:val="002D51F8"/>
    <w:rsid w:val="002D525B"/>
    <w:rsid w:val="002D557E"/>
    <w:rsid w:val="002D5790"/>
    <w:rsid w:val="002D57D0"/>
    <w:rsid w:val="002D59D6"/>
    <w:rsid w:val="002D5A40"/>
    <w:rsid w:val="002D5A5B"/>
    <w:rsid w:val="002D5C3D"/>
    <w:rsid w:val="002D5D37"/>
    <w:rsid w:val="002D5D45"/>
    <w:rsid w:val="002D5ED8"/>
    <w:rsid w:val="002D600C"/>
    <w:rsid w:val="002D6012"/>
    <w:rsid w:val="002D66F2"/>
    <w:rsid w:val="002D6728"/>
    <w:rsid w:val="002D67FB"/>
    <w:rsid w:val="002D6969"/>
    <w:rsid w:val="002D6982"/>
    <w:rsid w:val="002D6A9C"/>
    <w:rsid w:val="002D6C3D"/>
    <w:rsid w:val="002D6EE0"/>
    <w:rsid w:val="002D6FE9"/>
    <w:rsid w:val="002D74C2"/>
    <w:rsid w:val="002D7521"/>
    <w:rsid w:val="002D7645"/>
    <w:rsid w:val="002D7683"/>
    <w:rsid w:val="002D7712"/>
    <w:rsid w:val="002D775F"/>
    <w:rsid w:val="002D786C"/>
    <w:rsid w:val="002D7AB8"/>
    <w:rsid w:val="002D7DE2"/>
    <w:rsid w:val="002D7E6B"/>
    <w:rsid w:val="002D7EB2"/>
    <w:rsid w:val="002E0080"/>
    <w:rsid w:val="002E0114"/>
    <w:rsid w:val="002E014A"/>
    <w:rsid w:val="002E023A"/>
    <w:rsid w:val="002E03B2"/>
    <w:rsid w:val="002E05AE"/>
    <w:rsid w:val="002E095F"/>
    <w:rsid w:val="002E0979"/>
    <w:rsid w:val="002E0D66"/>
    <w:rsid w:val="002E14E5"/>
    <w:rsid w:val="002E169A"/>
    <w:rsid w:val="002E17E5"/>
    <w:rsid w:val="002E197F"/>
    <w:rsid w:val="002E19A6"/>
    <w:rsid w:val="002E1A1D"/>
    <w:rsid w:val="002E1AAF"/>
    <w:rsid w:val="002E1CAA"/>
    <w:rsid w:val="002E1CC4"/>
    <w:rsid w:val="002E1D42"/>
    <w:rsid w:val="002E1DF2"/>
    <w:rsid w:val="002E1EA0"/>
    <w:rsid w:val="002E21EC"/>
    <w:rsid w:val="002E21EF"/>
    <w:rsid w:val="002E2326"/>
    <w:rsid w:val="002E247E"/>
    <w:rsid w:val="002E2489"/>
    <w:rsid w:val="002E2622"/>
    <w:rsid w:val="002E2752"/>
    <w:rsid w:val="002E2940"/>
    <w:rsid w:val="002E2BA5"/>
    <w:rsid w:val="002E2D70"/>
    <w:rsid w:val="002E3083"/>
    <w:rsid w:val="002E31A9"/>
    <w:rsid w:val="002E334F"/>
    <w:rsid w:val="002E3356"/>
    <w:rsid w:val="002E3423"/>
    <w:rsid w:val="002E3441"/>
    <w:rsid w:val="002E3615"/>
    <w:rsid w:val="002E3780"/>
    <w:rsid w:val="002E3860"/>
    <w:rsid w:val="002E39DB"/>
    <w:rsid w:val="002E3A86"/>
    <w:rsid w:val="002E3CB2"/>
    <w:rsid w:val="002E3EF0"/>
    <w:rsid w:val="002E4067"/>
    <w:rsid w:val="002E4081"/>
    <w:rsid w:val="002E40A6"/>
    <w:rsid w:val="002E4688"/>
    <w:rsid w:val="002E4A73"/>
    <w:rsid w:val="002E4A90"/>
    <w:rsid w:val="002E4B51"/>
    <w:rsid w:val="002E4DC7"/>
    <w:rsid w:val="002E4FFE"/>
    <w:rsid w:val="002E5092"/>
    <w:rsid w:val="002E5445"/>
    <w:rsid w:val="002E5B78"/>
    <w:rsid w:val="002E5C89"/>
    <w:rsid w:val="002E60A9"/>
    <w:rsid w:val="002E6253"/>
    <w:rsid w:val="002E62BE"/>
    <w:rsid w:val="002E6372"/>
    <w:rsid w:val="002E63BE"/>
    <w:rsid w:val="002E6781"/>
    <w:rsid w:val="002E695A"/>
    <w:rsid w:val="002E6A4D"/>
    <w:rsid w:val="002E6BA8"/>
    <w:rsid w:val="002E6CD0"/>
    <w:rsid w:val="002E6D47"/>
    <w:rsid w:val="002E6F6B"/>
    <w:rsid w:val="002E6F97"/>
    <w:rsid w:val="002E71C2"/>
    <w:rsid w:val="002E71F4"/>
    <w:rsid w:val="002E728C"/>
    <w:rsid w:val="002E7511"/>
    <w:rsid w:val="002E758C"/>
    <w:rsid w:val="002E7747"/>
    <w:rsid w:val="002E77FE"/>
    <w:rsid w:val="002E79C5"/>
    <w:rsid w:val="002E7CE3"/>
    <w:rsid w:val="002E7F24"/>
    <w:rsid w:val="002F0100"/>
    <w:rsid w:val="002F0274"/>
    <w:rsid w:val="002F02EF"/>
    <w:rsid w:val="002F0421"/>
    <w:rsid w:val="002F0ABB"/>
    <w:rsid w:val="002F0B9F"/>
    <w:rsid w:val="002F0BC1"/>
    <w:rsid w:val="002F0C7A"/>
    <w:rsid w:val="002F0D23"/>
    <w:rsid w:val="002F0D85"/>
    <w:rsid w:val="002F0E68"/>
    <w:rsid w:val="002F1456"/>
    <w:rsid w:val="002F167D"/>
    <w:rsid w:val="002F16A5"/>
    <w:rsid w:val="002F1726"/>
    <w:rsid w:val="002F1865"/>
    <w:rsid w:val="002F188A"/>
    <w:rsid w:val="002F1957"/>
    <w:rsid w:val="002F1989"/>
    <w:rsid w:val="002F1C12"/>
    <w:rsid w:val="002F1D6A"/>
    <w:rsid w:val="002F1ECF"/>
    <w:rsid w:val="002F1EE9"/>
    <w:rsid w:val="002F1FC2"/>
    <w:rsid w:val="002F2059"/>
    <w:rsid w:val="002F20A7"/>
    <w:rsid w:val="002F21AD"/>
    <w:rsid w:val="002F245E"/>
    <w:rsid w:val="002F2646"/>
    <w:rsid w:val="002F297B"/>
    <w:rsid w:val="002F2BA4"/>
    <w:rsid w:val="002F2C17"/>
    <w:rsid w:val="002F2D00"/>
    <w:rsid w:val="002F2D43"/>
    <w:rsid w:val="002F2DB8"/>
    <w:rsid w:val="002F2DCB"/>
    <w:rsid w:val="002F2E3B"/>
    <w:rsid w:val="002F30ED"/>
    <w:rsid w:val="002F36D2"/>
    <w:rsid w:val="002F3877"/>
    <w:rsid w:val="002F3AE3"/>
    <w:rsid w:val="002F3BEE"/>
    <w:rsid w:val="002F3F55"/>
    <w:rsid w:val="002F3FAB"/>
    <w:rsid w:val="002F42A7"/>
    <w:rsid w:val="002F42D2"/>
    <w:rsid w:val="002F42E0"/>
    <w:rsid w:val="002F45A1"/>
    <w:rsid w:val="002F460A"/>
    <w:rsid w:val="002F484E"/>
    <w:rsid w:val="002F4893"/>
    <w:rsid w:val="002F4C88"/>
    <w:rsid w:val="002F4E07"/>
    <w:rsid w:val="002F4F53"/>
    <w:rsid w:val="002F4FA5"/>
    <w:rsid w:val="002F5128"/>
    <w:rsid w:val="002F51F5"/>
    <w:rsid w:val="002F52A1"/>
    <w:rsid w:val="002F5337"/>
    <w:rsid w:val="002F5E6D"/>
    <w:rsid w:val="002F6110"/>
    <w:rsid w:val="002F61FD"/>
    <w:rsid w:val="002F6255"/>
    <w:rsid w:val="002F642F"/>
    <w:rsid w:val="002F6700"/>
    <w:rsid w:val="002F6728"/>
    <w:rsid w:val="002F6973"/>
    <w:rsid w:val="002F69A7"/>
    <w:rsid w:val="002F6A4A"/>
    <w:rsid w:val="002F6AD6"/>
    <w:rsid w:val="002F6C5C"/>
    <w:rsid w:val="002F6C5E"/>
    <w:rsid w:val="002F6E7A"/>
    <w:rsid w:val="002F6E83"/>
    <w:rsid w:val="002F7668"/>
    <w:rsid w:val="002F7B0F"/>
    <w:rsid w:val="002F7DDE"/>
    <w:rsid w:val="002F7F07"/>
    <w:rsid w:val="00300121"/>
    <w:rsid w:val="003002CD"/>
    <w:rsid w:val="0030058F"/>
    <w:rsid w:val="00300591"/>
    <w:rsid w:val="00300823"/>
    <w:rsid w:val="00300960"/>
    <w:rsid w:val="00300A22"/>
    <w:rsid w:val="00300DA5"/>
    <w:rsid w:val="00300DE4"/>
    <w:rsid w:val="00300F02"/>
    <w:rsid w:val="0030127E"/>
    <w:rsid w:val="003013F5"/>
    <w:rsid w:val="00301780"/>
    <w:rsid w:val="003017B5"/>
    <w:rsid w:val="0030180F"/>
    <w:rsid w:val="00301B35"/>
    <w:rsid w:val="00301CC9"/>
    <w:rsid w:val="00301D9F"/>
    <w:rsid w:val="00301E6A"/>
    <w:rsid w:val="00301EE3"/>
    <w:rsid w:val="00301FC5"/>
    <w:rsid w:val="00302036"/>
    <w:rsid w:val="003022AC"/>
    <w:rsid w:val="003022E3"/>
    <w:rsid w:val="003024BB"/>
    <w:rsid w:val="00302522"/>
    <w:rsid w:val="00302733"/>
    <w:rsid w:val="003027EC"/>
    <w:rsid w:val="00302B58"/>
    <w:rsid w:val="00302BDA"/>
    <w:rsid w:val="00302C60"/>
    <w:rsid w:val="00303322"/>
    <w:rsid w:val="003033EF"/>
    <w:rsid w:val="003034A3"/>
    <w:rsid w:val="00303807"/>
    <w:rsid w:val="00303833"/>
    <w:rsid w:val="00303A35"/>
    <w:rsid w:val="00303AFE"/>
    <w:rsid w:val="00303BB3"/>
    <w:rsid w:val="00303D39"/>
    <w:rsid w:val="00303EF1"/>
    <w:rsid w:val="00303FEB"/>
    <w:rsid w:val="0030410E"/>
    <w:rsid w:val="003041D7"/>
    <w:rsid w:val="00304330"/>
    <w:rsid w:val="003043AB"/>
    <w:rsid w:val="003043F1"/>
    <w:rsid w:val="0030442B"/>
    <w:rsid w:val="003045E8"/>
    <w:rsid w:val="0030464B"/>
    <w:rsid w:val="0030470C"/>
    <w:rsid w:val="003047F9"/>
    <w:rsid w:val="003048E8"/>
    <w:rsid w:val="003049DE"/>
    <w:rsid w:val="00304A68"/>
    <w:rsid w:val="00304FC5"/>
    <w:rsid w:val="00305382"/>
    <w:rsid w:val="003053B2"/>
    <w:rsid w:val="00305459"/>
    <w:rsid w:val="0030548E"/>
    <w:rsid w:val="00305492"/>
    <w:rsid w:val="003055A6"/>
    <w:rsid w:val="00305663"/>
    <w:rsid w:val="003056EA"/>
    <w:rsid w:val="003058D9"/>
    <w:rsid w:val="003059AE"/>
    <w:rsid w:val="00305AE1"/>
    <w:rsid w:val="00305C2D"/>
    <w:rsid w:val="00305C73"/>
    <w:rsid w:val="00305C83"/>
    <w:rsid w:val="00305CA0"/>
    <w:rsid w:val="00305DBB"/>
    <w:rsid w:val="00305F6C"/>
    <w:rsid w:val="00305FAD"/>
    <w:rsid w:val="00305FBF"/>
    <w:rsid w:val="003061FD"/>
    <w:rsid w:val="0030623D"/>
    <w:rsid w:val="00306329"/>
    <w:rsid w:val="0030633D"/>
    <w:rsid w:val="00306345"/>
    <w:rsid w:val="0030653F"/>
    <w:rsid w:val="0030664C"/>
    <w:rsid w:val="0030676F"/>
    <w:rsid w:val="00306B1F"/>
    <w:rsid w:val="00306EBC"/>
    <w:rsid w:val="00306F0E"/>
    <w:rsid w:val="0030708E"/>
    <w:rsid w:val="00307304"/>
    <w:rsid w:val="0030735F"/>
    <w:rsid w:val="003074AC"/>
    <w:rsid w:val="00307594"/>
    <w:rsid w:val="003075B9"/>
    <w:rsid w:val="0030762C"/>
    <w:rsid w:val="0030786C"/>
    <w:rsid w:val="003079E7"/>
    <w:rsid w:val="00307B1F"/>
    <w:rsid w:val="00307D7F"/>
    <w:rsid w:val="00307DAE"/>
    <w:rsid w:val="00307F0C"/>
    <w:rsid w:val="00307F53"/>
    <w:rsid w:val="00307F5B"/>
    <w:rsid w:val="003100FD"/>
    <w:rsid w:val="0031019F"/>
    <w:rsid w:val="0031042B"/>
    <w:rsid w:val="003107E0"/>
    <w:rsid w:val="00310BBB"/>
    <w:rsid w:val="003112CE"/>
    <w:rsid w:val="00311303"/>
    <w:rsid w:val="0031154A"/>
    <w:rsid w:val="0031156C"/>
    <w:rsid w:val="00311581"/>
    <w:rsid w:val="00311E3E"/>
    <w:rsid w:val="00311F4A"/>
    <w:rsid w:val="003122A8"/>
    <w:rsid w:val="003125ED"/>
    <w:rsid w:val="00312604"/>
    <w:rsid w:val="00312749"/>
    <w:rsid w:val="00312805"/>
    <w:rsid w:val="0031287B"/>
    <w:rsid w:val="003129F0"/>
    <w:rsid w:val="00312C7E"/>
    <w:rsid w:val="00312FEA"/>
    <w:rsid w:val="003131C6"/>
    <w:rsid w:val="00313243"/>
    <w:rsid w:val="003132A5"/>
    <w:rsid w:val="003135CB"/>
    <w:rsid w:val="003139E2"/>
    <w:rsid w:val="00313A1B"/>
    <w:rsid w:val="00313AC1"/>
    <w:rsid w:val="00313AFC"/>
    <w:rsid w:val="00313B24"/>
    <w:rsid w:val="00313D34"/>
    <w:rsid w:val="00313E3B"/>
    <w:rsid w:val="00313F53"/>
    <w:rsid w:val="00314362"/>
    <w:rsid w:val="00314508"/>
    <w:rsid w:val="003145F5"/>
    <w:rsid w:val="00314674"/>
    <w:rsid w:val="0031482E"/>
    <w:rsid w:val="003148EB"/>
    <w:rsid w:val="00314BEC"/>
    <w:rsid w:val="00314BF9"/>
    <w:rsid w:val="00314CF2"/>
    <w:rsid w:val="00314D3B"/>
    <w:rsid w:val="00314E03"/>
    <w:rsid w:val="00314EB5"/>
    <w:rsid w:val="00314FEC"/>
    <w:rsid w:val="0031503E"/>
    <w:rsid w:val="00315074"/>
    <w:rsid w:val="0031510A"/>
    <w:rsid w:val="003152ED"/>
    <w:rsid w:val="00315335"/>
    <w:rsid w:val="00315515"/>
    <w:rsid w:val="00315583"/>
    <w:rsid w:val="00315676"/>
    <w:rsid w:val="00315C12"/>
    <w:rsid w:val="00315F89"/>
    <w:rsid w:val="003160D2"/>
    <w:rsid w:val="003160EA"/>
    <w:rsid w:val="003163E7"/>
    <w:rsid w:val="003164AA"/>
    <w:rsid w:val="00316501"/>
    <w:rsid w:val="00316524"/>
    <w:rsid w:val="003165C1"/>
    <w:rsid w:val="003168D3"/>
    <w:rsid w:val="00316982"/>
    <w:rsid w:val="00316A8D"/>
    <w:rsid w:val="00316B7D"/>
    <w:rsid w:val="00316C22"/>
    <w:rsid w:val="00316FE8"/>
    <w:rsid w:val="003171F3"/>
    <w:rsid w:val="003172B3"/>
    <w:rsid w:val="00317353"/>
    <w:rsid w:val="0031737D"/>
    <w:rsid w:val="00317623"/>
    <w:rsid w:val="003177AC"/>
    <w:rsid w:val="0031792A"/>
    <w:rsid w:val="003179CD"/>
    <w:rsid w:val="00320244"/>
    <w:rsid w:val="0032039E"/>
    <w:rsid w:val="00320A3D"/>
    <w:rsid w:val="00320A43"/>
    <w:rsid w:val="00320A7E"/>
    <w:rsid w:val="00320B28"/>
    <w:rsid w:val="00320D5E"/>
    <w:rsid w:val="00320D7F"/>
    <w:rsid w:val="00320DF6"/>
    <w:rsid w:val="00320EB4"/>
    <w:rsid w:val="0032102A"/>
    <w:rsid w:val="0032103D"/>
    <w:rsid w:val="00321042"/>
    <w:rsid w:val="003211B7"/>
    <w:rsid w:val="003214FD"/>
    <w:rsid w:val="003215AF"/>
    <w:rsid w:val="003215DC"/>
    <w:rsid w:val="003216C2"/>
    <w:rsid w:val="00321B81"/>
    <w:rsid w:val="00321C25"/>
    <w:rsid w:val="00321C77"/>
    <w:rsid w:val="00321CA8"/>
    <w:rsid w:val="00321ECD"/>
    <w:rsid w:val="00321EDB"/>
    <w:rsid w:val="0032209B"/>
    <w:rsid w:val="0032224B"/>
    <w:rsid w:val="00322333"/>
    <w:rsid w:val="003226FD"/>
    <w:rsid w:val="0032287E"/>
    <w:rsid w:val="00322B9E"/>
    <w:rsid w:val="00322D11"/>
    <w:rsid w:val="00322D16"/>
    <w:rsid w:val="003231C6"/>
    <w:rsid w:val="00323248"/>
    <w:rsid w:val="003232F2"/>
    <w:rsid w:val="00323302"/>
    <w:rsid w:val="003233DE"/>
    <w:rsid w:val="0032378F"/>
    <w:rsid w:val="00323956"/>
    <w:rsid w:val="00323DB5"/>
    <w:rsid w:val="003241C7"/>
    <w:rsid w:val="003242BE"/>
    <w:rsid w:val="003242D5"/>
    <w:rsid w:val="003242F6"/>
    <w:rsid w:val="003242FB"/>
    <w:rsid w:val="00324428"/>
    <w:rsid w:val="0032466B"/>
    <w:rsid w:val="0032491C"/>
    <w:rsid w:val="00324968"/>
    <w:rsid w:val="00325451"/>
    <w:rsid w:val="0032565A"/>
    <w:rsid w:val="00325B85"/>
    <w:rsid w:val="00325B8A"/>
    <w:rsid w:val="00325C55"/>
    <w:rsid w:val="00325E97"/>
    <w:rsid w:val="00326248"/>
    <w:rsid w:val="00326379"/>
    <w:rsid w:val="003263DF"/>
    <w:rsid w:val="0032641D"/>
    <w:rsid w:val="0032644A"/>
    <w:rsid w:val="003264E7"/>
    <w:rsid w:val="003269E8"/>
    <w:rsid w:val="00326B8C"/>
    <w:rsid w:val="00326CAA"/>
    <w:rsid w:val="00326F36"/>
    <w:rsid w:val="00326FB3"/>
    <w:rsid w:val="0032702C"/>
    <w:rsid w:val="003272A7"/>
    <w:rsid w:val="0032744E"/>
    <w:rsid w:val="003278D8"/>
    <w:rsid w:val="00327A96"/>
    <w:rsid w:val="00327AD5"/>
    <w:rsid w:val="00327B44"/>
    <w:rsid w:val="00330150"/>
    <w:rsid w:val="003302C4"/>
    <w:rsid w:val="003302CF"/>
    <w:rsid w:val="00330443"/>
    <w:rsid w:val="00330492"/>
    <w:rsid w:val="003307C7"/>
    <w:rsid w:val="00330849"/>
    <w:rsid w:val="003308A8"/>
    <w:rsid w:val="003308C3"/>
    <w:rsid w:val="00330B98"/>
    <w:rsid w:val="00330E43"/>
    <w:rsid w:val="00330EA5"/>
    <w:rsid w:val="00330EAF"/>
    <w:rsid w:val="00331090"/>
    <w:rsid w:val="00331110"/>
    <w:rsid w:val="0033122F"/>
    <w:rsid w:val="003313D5"/>
    <w:rsid w:val="00331414"/>
    <w:rsid w:val="00331421"/>
    <w:rsid w:val="003316B8"/>
    <w:rsid w:val="00331A33"/>
    <w:rsid w:val="00331AE2"/>
    <w:rsid w:val="00331B3D"/>
    <w:rsid w:val="00331C23"/>
    <w:rsid w:val="00331D94"/>
    <w:rsid w:val="00331D98"/>
    <w:rsid w:val="00331E1D"/>
    <w:rsid w:val="00331ECE"/>
    <w:rsid w:val="00331F44"/>
    <w:rsid w:val="00331F96"/>
    <w:rsid w:val="00331FE1"/>
    <w:rsid w:val="003322CF"/>
    <w:rsid w:val="003322E4"/>
    <w:rsid w:val="0033235F"/>
    <w:rsid w:val="0033248F"/>
    <w:rsid w:val="00332491"/>
    <w:rsid w:val="00332511"/>
    <w:rsid w:val="00332668"/>
    <w:rsid w:val="00332773"/>
    <w:rsid w:val="00332877"/>
    <w:rsid w:val="00332A38"/>
    <w:rsid w:val="00332AAC"/>
    <w:rsid w:val="00332C2E"/>
    <w:rsid w:val="00332C5A"/>
    <w:rsid w:val="00332D05"/>
    <w:rsid w:val="00332E1C"/>
    <w:rsid w:val="00332FB2"/>
    <w:rsid w:val="003330EB"/>
    <w:rsid w:val="0033351E"/>
    <w:rsid w:val="00333626"/>
    <w:rsid w:val="00333636"/>
    <w:rsid w:val="003337C9"/>
    <w:rsid w:val="00333865"/>
    <w:rsid w:val="003338B6"/>
    <w:rsid w:val="003339CE"/>
    <w:rsid w:val="00333A72"/>
    <w:rsid w:val="00333BBB"/>
    <w:rsid w:val="00333C13"/>
    <w:rsid w:val="00333E79"/>
    <w:rsid w:val="00333EAA"/>
    <w:rsid w:val="00333F47"/>
    <w:rsid w:val="00333F75"/>
    <w:rsid w:val="00333F94"/>
    <w:rsid w:val="003340E0"/>
    <w:rsid w:val="00334341"/>
    <w:rsid w:val="003345E2"/>
    <w:rsid w:val="003347B1"/>
    <w:rsid w:val="00334AE8"/>
    <w:rsid w:val="00334B24"/>
    <w:rsid w:val="00334E3C"/>
    <w:rsid w:val="00334FDC"/>
    <w:rsid w:val="00334FF3"/>
    <w:rsid w:val="00335033"/>
    <w:rsid w:val="003351E3"/>
    <w:rsid w:val="0033520F"/>
    <w:rsid w:val="0033526B"/>
    <w:rsid w:val="00335289"/>
    <w:rsid w:val="00335631"/>
    <w:rsid w:val="00335648"/>
    <w:rsid w:val="00335771"/>
    <w:rsid w:val="00335850"/>
    <w:rsid w:val="00335A36"/>
    <w:rsid w:val="00335E45"/>
    <w:rsid w:val="00335EB0"/>
    <w:rsid w:val="00336070"/>
    <w:rsid w:val="003360BA"/>
    <w:rsid w:val="003360C4"/>
    <w:rsid w:val="00336251"/>
    <w:rsid w:val="00336308"/>
    <w:rsid w:val="003364A5"/>
    <w:rsid w:val="00336555"/>
    <w:rsid w:val="00336558"/>
    <w:rsid w:val="003365C5"/>
    <w:rsid w:val="00336605"/>
    <w:rsid w:val="00336735"/>
    <w:rsid w:val="00336891"/>
    <w:rsid w:val="003369C3"/>
    <w:rsid w:val="00336B7C"/>
    <w:rsid w:val="00336BF7"/>
    <w:rsid w:val="00336CED"/>
    <w:rsid w:val="00336E89"/>
    <w:rsid w:val="00336F33"/>
    <w:rsid w:val="00336FE2"/>
    <w:rsid w:val="00337010"/>
    <w:rsid w:val="00337284"/>
    <w:rsid w:val="00337537"/>
    <w:rsid w:val="003375DD"/>
    <w:rsid w:val="0033766D"/>
    <w:rsid w:val="003376B0"/>
    <w:rsid w:val="00337933"/>
    <w:rsid w:val="00337A8D"/>
    <w:rsid w:val="00337BEB"/>
    <w:rsid w:val="00337D58"/>
    <w:rsid w:val="00337D66"/>
    <w:rsid w:val="00337DDB"/>
    <w:rsid w:val="00337E8A"/>
    <w:rsid w:val="00337F63"/>
    <w:rsid w:val="00340032"/>
    <w:rsid w:val="00340116"/>
    <w:rsid w:val="003402A2"/>
    <w:rsid w:val="00340355"/>
    <w:rsid w:val="00340448"/>
    <w:rsid w:val="003404F7"/>
    <w:rsid w:val="0034060C"/>
    <w:rsid w:val="003408FC"/>
    <w:rsid w:val="00340A16"/>
    <w:rsid w:val="00340B2D"/>
    <w:rsid w:val="00340DB9"/>
    <w:rsid w:val="00340E0F"/>
    <w:rsid w:val="00340F03"/>
    <w:rsid w:val="003411AA"/>
    <w:rsid w:val="00341245"/>
    <w:rsid w:val="00341365"/>
    <w:rsid w:val="0034137C"/>
    <w:rsid w:val="003415FD"/>
    <w:rsid w:val="00341612"/>
    <w:rsid w:val="00341615"/>
    <w:rsid w:val="00341650"/>
    <w:rsid w:val="0034166A"/>
    <w:rsid w:val="0034181C"/>
    <w:rsid w:val="0034183E"/>
    <w:rsid w:val="00341B32"/>
    <w:rsid w:val="00341DEF"/>
    <w:rsid w:val="00341EAF"/>
    <w:rsid w:val="00342016"/>
    <w:rsid w:val="0034211E"/>
    <w:rsid w:val="00342125"/>
    <w:rsid w:val="003422C7"/>
    <w:rsid w:val="0034237F"/>
    <w:rsid w:val="003423D8"/>
    <w:rsid w:val="003424E6"/>
    <w:rsid w:val="0034265C"/>
    <w:rsid w:val="003429F0"/>
    <w:rsid w:val="00342A5C"/>
    <w:rsid w:val="00342A8C"/>
    <w:rsid w:val="00342B22"/>
    <w:rsid w:val="00343275"/>
    <w:rsid w:val="003432D2"/>
    <w:rsid w:val="0034343F"/>
    <w:rsid w:val="0034359F"/>
    <w:rsid w:val="003435C5"/>
    <w:rsid w:val="003438C6"/>
    <w:rsid w:val="00343AEE"/>
    <w:rsid w:val="00343D61"/>
    <w:rsid w:val="00343DAD"/>
    <w:rsid w:val="00343EF9"/>
    <w:rsid w:val="0034437B"/>
    <w:rsid w:val="003446AD"/>
    <w:rsid w:val="00344C92"/>
    <w:rsid w:val="00344EEB"/>
    <w:rsid w:val="00345196"/>
    <w:rsid w:val="003451C0"/>
    <w:rsid w:val="0034546D"/>
    <w:rsid w:val="003458E7"/>
    <w:rsid w:val="00345AA1"/>
    <w:rsid w:val="00345B7D"/>
    <w:rsid w:val="00345EF9"/>
    <w:rsid w:val="00345F3F"/>
    <w:rsid w:val="0034630E"/>
    <w:rsid w:val="00346373"/>
    <w:rsid w:val="00346631"/>
    <w:rsid w:val="00346927"/>
    <w:rsid w:val="003469B4"/>
    <w:rsid w:val="00346ABF"/>
    <w:rsid w:val="00346CF5"/>
    <w:rsid w:val="00346E59"/>
    <w:rsid w:val="00346FE6"/>
    <w:rsid w:val="00347025"/>
    <w:rsid w:val="0034730F"/>
    <w:rsid w:val="00347526"/>
    <w:rsid w:val="003475A2"/>
    <w:rsid w:val="003475A3"/>
    <w:rsid w:val="0034762D"/>
    <w:rsid w:val="003476ED"/>
    <w:rsid w:val="003476EE"/>
    <w:rsid w:val="003477C3"/>
    <w:rsid w:val="00347849"/>
    <w:rsid w:val="00347A52"/>
    <w:rsid w:val="00347AB7"/>
    <w:rsid w:val="00347B39"/>
    <w:rsid w:val="00347CC0"/>
    <w:rsid w:val="003500D2"/>
    <w:rsid w:val="003500EC"/>
    <w:rsid w:val="003502EF"/>
    <w:rsid w:val="00350371"/>
    <w:rsid w:val="003503AC"/>
    <w:rsid w:val="00350466"/>
    <w:rsid w:val="00350855"/>
    <w:rsid w:val="0035097A"/>
    <w:rsid w:val="00350A78"/>
    <w:rsid w:val="00350BC1"/>
    <w:rsid w:val="00350BD6"/>
    <w:rsid w:val="00350CCC"/>
    <w:rsid w:val="00350D74"/>
    <w:rsid w:val="00350DA8"/>
    <w:rsid w:val="00350DF3"/>
    <w:rsid w:val="00350F70"/>
    <w:rsid w:val="00351200"/>
    <w:rsid w:val="00351262"/>
    <w:rsid w:val="003515B6"/>
    <w:rsid w:val="003516BC"/>
    <w:rsid w:val="0035170F"/>
    <w:rsid w:val="0035194C"/>
    <w:rsid w:val="00351951"/>
    <w:rsid w:val="003519FE"/>
    <w:rsid w:val="00351AAB"/>
    <w:rsid w:val="00351AF9"/>
    <w:rsid w:val="00351B44"/>
    <w:rsid w:val="00351B75"/>
    <w:rsid w:val="00351C6E"/>
    <w:rsid w:val="00351F75"/>
    <w:rsid w:val="003520A4"/>
    <w:rsid w:val="00352320"/>
    <w:rsid w:val="00352395"/>
    <w:rsid w:val="003523F7"/>
    <w:rsid w:val="00352476"/>
    <w:rsid w:val="003524FA"/>
    <w:rsid w:val="0035262D"/>
    <w:rsid w:val="00352691"/>
    <w:rsid w:val="0035274D"/>
    <w:rsid w:val="003528D6"/>
    <w:rsid w:val="00352A4E"/>
    <w:rsid w:val="00352EAC"/>
    <w:rsid w:val="00352F6C"/>
    <w:rsid w:val="00353014"/>
    <w:rsid w:val="00353681"/>
    <w:rsid w:val="00353AE8"/>
    <w:rsid w:val="00353BA6"/>
    <w:rsid w:val="00353C89"/>
    <w:rsid w:val="00353D5C"/>
    <w:rsid w:val="00353DF0"/>
    <w:rsid w:val="0035400D"/>
    <w:rsid w:val="00354046"/>
    <w:rsid w:val="00354088"/>
    <w:rsid w:val="003540A4"/>
    <w:rsid w:val="003540D3"/>
    <w:rsid w:val="003541B5"/>
    <w:rsid w:val="00354409"/>
    <w:rsid w:val="00354469"/>
    <w:rsid w:val="00354476"/>
    <w:rsid w:val="003544BA"/>
    <w:rsid w:val="003544C4"/>
    <w:rsid w:val="0035467D"/>
    <w:rsid w:val="003547E6"/>
    <w:rsid w:val="003548D5"/>
    <w:rsid w:val="00354A0A"/>
    <w:rsid w:val="00354A15"/>
    <w:rsid w:val="00354B53"/>
    <w:rsid w:val="00354BA1"/>
    <w:rsid w:val="00354C13"/>
    <w:rsid w:val="00354E87"/>
    <w:rsid w:val="00354F20"/>
    <w:rsid w:val="00354F2B"/>
    <w:rsid w:val="00355204"/>
    <w:rsid w:val="00355401"/>
    <w:rsid w:val="0035540F"/>
    <w:rsid w:val="00355538"/>
    <w:rsid w:val="003555B7"/>
    <w:rsid w:val="003557E1"/>
    <w:rsid w:val="003559F5"/>
    <w:rsid w:val="00355A81"/>
    <w:rsid w:val="00355B30"/>
    <w:rsid w:val="00355D64"/>
    <w:rsid w:val="00355F29"/>
    <w:rsid w:val="003560CB"/>
    <w:rsid w:val="003561C5"/>
    <w:rsid w:val="003562D7"/>
    <w:rsid w:val="0035654B"/>
    <w:rsid w:val="003565C0"/>
    <w:rsid w:val="003565FC"/>
    <w:rsid w:val="0035666C"/>
    <w:rsid w:val="00356720"/>
    <w:rsid w:val="00356A10"/>
    <w:rsid w:val="00356C84"/>
    <w:rsid w:val="00356EF1"/>
    <w:rsid w:val="00356FFB"/>
    <w:rsid w:val="00357056"/>
    <w:rsid w:val="003571A3"/>
    <w:rsid w:val="00357425"/>
    <w:rsid w:val="003577BF"/>
    <w:rsid w:val="00357868"/>
    <w:rsid w:val="00357B3E"/>
    <w:rsid w:val="00357C76"/>
    <w:rsid w:val="00357CA1"/>
    <w:rsid w:val="00357CD1"/>
    <w:rsid w:val="00357E51"/>
    <w:rsid w:val="00357FBC"/>
    <w:rsid w:val="0036048C"/>
    <w:rsid w:val="003607F6"/>
    <w:rsid w:val="00360838"/>
    <w:rsid w:val="003608C6"/>
    <w:rsid w:val="00360CAA"/>
    <w:rsid w:val="00360E30"/>
    <w:rsid w:val="00360E4E"/>
    <w:rsid w:val="00361032"/>
    <w:rsid w:val="0036119B"/>
    <w:rsid w:val="003611A8"/>
    <w:rsid w:val="00361510"/>
    <w:rsid w:val="0036188C"/>
    <w:rsid w:val="00361B57"/>
    <w:rsid w:val="00361C15"/>
    <w:rsid w:val="00361D37"/>
    <w:rsid w:val="00361F19"/>
    <w:rsid w:val="00361FCB"/>
    <w:rsid w:val="0036212B"/>
    <w:rsid w:val="003622E8"/>
    <w:rsid w:val="00362690"/>
    <w:rsid w:val="0036271D"/>
    <w:rsid w:val="003628A1"/>
    <w:rsid w:val="003628D0"/>
    <w:rsid w:val="00362ADC"/>
    <w:rsid w:val="00362B19"/>
    <w:rsid w:val="00362BDA"/>
    <w:rsid w:val="00362ECE"/>
    <w:rsid w:val="00362F5C"/>
    <w:rsid w:val="0036313A"/>
    <w:rsid w:val="0036331C"/>
    <w:rsid w:val="00363512"/>
    <w:rsid w:val="003636C0"/>
    <w:rsid w:val="00363850"/>
    <w:rsid w:val="00363B79"/>
    <w:rsid w:val="00363C95"/>
    <w:rsid w:val="00363CC2"/>
    <w:rsid w:val="00363FD1"/>
    <w:rsid w:val="00363FDE"/>
    <w:rsid w:val="00364258"/>
    <w:rsid w:val="00364402"/>
    <w:rsid w:val="0036449C"/>
    <w:rsid w:val="0036456C"/>
    <w:rsid w:val="0036461C"/>
    <w:rsid w:val="00364698"/>
    <w:rsid w:val="003647F0"/>
    <w:rsid w:val="003649B7"/>
    <w:rsid w:val="00364B13"/>
    <w:rsid w:val="00364CC7"/>
    <w:rsid w:val="00364F17"/>
    <w:rsid w:val="003653D3"/>
    <w:rsid w:val="0036549D"/>
    <w:rsid w:val="00365557"/>
    <w:rsid w:val="00365675"/>
    <w:rsid w:val="00365746"/>
    <w:rsid w:val="00365831"/>
    <w:rsid w:val="00365874"/>
    <w:rsid w:val="003659E3"/>
    <w:rsid w:val="00365A83"/>
    <w:rsid w:val="00365D25"/>
    <w:rsid w:val="00365DD9"/>
    <w:rsid w:val="0036605A"/>
    <w:rsid w:val="003662B3"/>
    <w:rsid w:val="00366308"/>
    <w:rsid w:val="003665AA"/>
    <w:rsid w:val="003665DF"/>
    <w:rsid w:val="00366AEE"/>
    <w:rsid w:val="00366BA5"/>
    <w:rsid w:val="00367051"/>
    <w:rsid w:val="003670B0"/>
    <w:rsid w:val="003673B7"/>
    <w:rsid w:val="0036784C"/>
    <w:rsid w:val="00367A19"/>
    <w:rsid w:val="00367A34"/>
    <w:rsid w:val="00367A66"/>
    <w:rsid w:val="00367BC2"/>
    <w:rsid w:val="00367C72"/>
    <w:rsid w:val="00367CD5"/>
    <w:rsid w:val="00367EB9"/>
    <w:rsid w:val="00367F1A"/>
    <w:rsid w:val="003701D4"/>
    <w:rsid w:val="00370A83"/>
    <w:rsid w:val="00370AAA"/>
    <w:rsid w:val="00370CF6"/>
    <w:rsid w:val="00370D9A"/>
    <w:rsid w:val="00370DB4"/>
    <w:rsid w:val="00370F94"/>
    <w:rsid w:val="0037100E"/>
    <w:rsid w:val="003710EB"/>
    <w:rsid w:val="003711CD"/>
    <w:rsid w:val="003712B2"/>
    <w:rsid w:val="0037152A"/>
    <w:rsid w:val="00371551"/>
    <w:rsid w:val="00371687"/>
    <w:rsid w:val="00371915"/>
    <w:rsid w:val="00371A03"/>
    <w:rsid w:val="00371B3E"/>
    <w:rsid w:val="00371E05"/>
    <w:rsid w:val="00371EB0"/>
    <w:rsid w:val="00371FB1"/>
    <w:rsid w:val="00372322"/>
    <w:rsid w:val="003723B9"/>
    <w:rsid w:val="00372BF8"/>
    <w:rsid w:val="0037300E"/>
    <w:rsid w:val="0037309A"/>
    <w:rsid w:val="003731EA"/>
    <w:rsid w:val="00373200"/>
    <w:rsid w:val="003732E1"/>
    <w:rsid w:val="0037334C"/>
    <w:rsid w:val="0037350E"/>
    <w:rsid w:val="00373811"/>
    <w:rsid w:val="0037397C"/>
    <w:rsid w:val="00373ACE"/>
    <w:rsid w:val="00373F1B"/>
    <w:rsid w:val="00373F25"/>
    <w:rsid w:val="00374390"/>
    <w:rsid w:val="003744FF"/>
    <w:rsid w:val="003746F0"/>
    <w:rsid w:val="00374823"/>
    <w:rsid w:val="003748EA"/>
    <w:rsid w:val="003748FA"/>
    <w:rsid w:val="00374C53"/>
    <w:rsid w:val="00374E58"/>
    <w:rsid w:val="0037501D"/>
    <w:rsid w:val="00375760"/>
    <w:rsid w:val="00375809"/>
    <w:rsid w:val="00375C66"/>
    <w:rsid w:val="00375D10"/>
    <w:rsid w:val="00375E19"/>
    <w:rsid w:val="00375F77"/>
    <w:rsid w:val="003761D8"/>
    <w:rsid w:val="0037624A"/>
    <w:rsid w:val="003764F4"/>
    <w:rsid w:val="0037658C"/>
    <w:rsid w:val="0037693F"/>
    <w:rsid w:val="00376AEA"/>
    <w:rsid w:val="00376B8C"/>
    <w:rsid w:val="00376B98"/>
    <w:rsid w:val="00376C95"/>
    <w:rsid w:val="00376DF3"/>
    <w:rsid w:val="00376E96"/>
    <w:rsid w:val="00376EAF"/>
    <w:rsid w:val="00377098"/>
    <w:rsid w:val="0037712A"/>
    <w:rsid w:val="003771A7"/>
    <w:rsid w:val="00377426"/>
    <w:rsid w:val="00377484"/>
    <w:rsid w:val="00377551"/>
    <w:rsid w:val="003775CF"/>
    <w:rsid w:val="0037764C"/>
    <w:rsid w:val="003776FB"/>
    <w:rsid w:val="00377A78"/>
    <w:rsid w:val="00377AC6"/>
    <w:rsid w:val="00377C3F"/>
    <w:rsid w:val="00377C7D"/>
    <w:rsid w:val="00377CDD"/>
    <w:rsid w:val="00377F30"/>
    <w:rsid w:val="00377F4A"/>
    <w:rsid w:val="00377FF4"/>
    <w:rsid w:val="003803CE"/>
    <w:rsid w:val="003805E1"/>
    <w:rsid w:val="003805E9"/>
    <w:rsid w:val="003807A6"/>
    <w:rsid w:val="00380CD9"/>
    <w:rsid w:val="00380ED6"/>
    <w:rsid w:val="00381011"/>
    <w:rsid w:val="00381737"/>
    <w:rsid w:val="003817B9"/>
    <w:rsid w:val="00381BBE"/>
    <w:rsid w:val="00381D90"/>
    <w:rsid w:val="00381DC6"/>
    <w:rsid w:val="00382023"/>
    <w:rsid w:val="0038203E"/>
    <w:rsid w:val="00382903"/>
    <w:rsid w:val="0038291C"/>
    <w:rsid w:val="00382B1D"/>
    <w:rsid w:val="00382C55"/>
    <w:rsid w:val="00382CB4"/>
    <w:rsid w:val="00382CFE"/>
    <w:rsid w:val="00382E23"/>
    <w:rsid w:val="00382EC0"/>
    <w:rsid w:val="00383161"/>
    <w:rsid w:val="00383195"/>
    <w:rsid w:val="0038326C"/>
    <w:rsid w:val="00383357"/>
    <w:rsid w:val="00383547"/>
    <w:rsid w:val="00383888"/>
    <w:rsid w:val="003838AB"/>
    <w:rsid w:val="00383A31"/>
    <w:rsid w:val="00383A5B"/>
    <w:rsid w:val="00383CB8"/>
    <w:rsid w:val="00383D57"/>
    <w:rsid w:val="003840A3"/>
    <w:rsid w:val="00384153"/>
    <w:rsid w:val="003841E6"/>
    <w:rsid w:val="0038425C"/>
    <w:rsid w:val="003843B1"/>
    <w:rsid w:val="0038459E"/>
    <w:rsid w:val="0038463A"/>
    <w:rsid w:val="003846FF"/>
    <w:rsid w:val="003848A0"/>
    <w:rsid w:val="00384A6B"/>
    <w:rsid w:val="00384A96"/>
    <w:rsid w:val="00384B64"/>
    <w:rsid w:val="00384D8A"/>
    <w:rsid w:val="00384DAB"/>
    <w:rsid w:val="0038508B"/>
    <w:rsid w:val="00385308"/>
    <w:rsid w:val="00385356"/>
    <w:rsid w:val="00385649"/>
    <w:rsid w:val="003856F5"/>
    <w:rsid w:val="00385742"/>
    <w:rsid w:val="0038577E"/>
    <w:rsid w:val="00385790"/>
    <w:rsid w:val="00385AD4"/>
    <w:rsid w:val="00385AE5"/>
    <w:rsid w:val="00385D60"/>
    <w:rsid w:val="0038600A"/>
    <w:rsid w:val="00386018"/>
    <w:rsid w:val="00386156"/>
    <w:rsid w:val="00386174"/>
    <w:rsid w:val="003861CE"/>
    <w:rsid w:val="00386716"/>
    <w:rsid w:val="00386766"/>
    <w:rsid w:val="00386805"/>
    <w:rsid w:val="00386806"/>
    <w:rsid w:val="00386827"/>
    <w:rsid w:val="003868F8"/>
    <w:rsid w:val="003869D6"/>
    <w:rsid w:val="00386C44"/>
    <w:rsid w:val="00386CE4"/>
    <w:rsid w:val="00386FCB"/>
    <w:rsid w:val="0038705C"/>
    <w:rsid w:val="00387102"/>
    <w:rsid w:val="0038715D"/>
    <w:rsid w:val="00387179"/>
    <w:rsid w:val="003873AD"/>
    <w:rsid w:val="003875DB"/>
    <w:rsid w:val="0038767D"/>
    <w:rsid w:val="00387924"/>
    <w:rsid w:val="00387943"/>
    <w:rsid w:val="00387A12"/>
    <w:rsid w:val="00387B32"/>
    <w:rsid w:val="00387E8B"/>
    <w:rsid w:val="00387EE9"/>
    <w:rsid w:val="00390638"/>
    <w:rsid w:val="00390740"/>
    <w:rsid w:val="00390A49"/>
    <w:rsid w:val="00390A55"/>
    <w:rsid w:val="00390B77"/>
    <w:rsid w:val="00390C31"/>
    <w:rsid w:val="00390D34"/>
    <w:rsid w:val="00390E40"/>
    <w:rsid w:val="00391214"/>
    <w:rsid w:val="00391219"/>
    <w:rsid w:val="00391235"/>
    <w:rsid w:val="003912D5"/>
    <w:rsid w:val="00391366"/>
    <w:rsid w:val="0039146C"/>
    <w:rsid w:val="0039167A"/>
    <w:rsid w:val="003917D7"/>
    <w:rsid w:val="00391839"/>
    <w:rsid w:val="00391A32"/>
    <w:rsid w:val="00391D19"/>
    <w:rsid w:val="00392183"/>
    <w:rsid w:val="00392263"/>
    <w:rsid w:val="003925A6"/>
    <w:rsid w:val="00392786"/>
    <w:rsid w:val="003928A3"/>
    <w:rsid w:val="003929DF"/>
    <w:rsid w:val="00392A76"/>
    <w:rsid w:val="00392B22"/>
    <w:rsid w:val="00392B2F"/>
    <w:rsid w:val="00392B4D"/>
    <w:rsid w:val="00392BE4"/>
    <w:rsid w:val="00392C40"/>
    <w:rsid w:val="00392DC6"/>
    <w:rsid w:val="00392F13"/>
    <w:rsid w:val="00392F43"/>
    <w:rsid w:val="00392FB7"/>
    <w:rsid w:val="00392FE2"/>
    <w:rsid w:val="00393000"/>
    <w:rsid w:val="0039325E"/>
    <w:rsid w:val="003933F8"/>
    <w:rsid w:val="0039352F"/>
    <w:rsid w:val="0039384D"/>
    <w:rsid w:val="003938A0"/>
    <w:rsid w:val="003938D7"/>
    <w:rsid w:val="003938F3"/>
    <w:rsid w:val="00393981"/>
    <w:rsid w:val="00393B1A"/>
    <w:rsid w:val="00393B49"/>
    <w:rsid w:val="00393B9E"/>
    <w:rsid w:val="00393F0E"/>
    <w:rsid w:val="00393F46"/>
    <w:rsid w:val="0039402F"/>
    <w:rsid w:val="003940F0"/>
    <w:rsid w:val="003944C2"/>
    <w:rsid w:val="003944D9"/>
    <w:rsid w:val="00394642"/>
    <w:rsid w:val="00394770"/>
    <w:rsid w:val="003948C9"/>
    <w:rsid w:val="00394B35"/>
    <w:rsid w:val="00394BEC"/>
    <w:rsid w:val="00394DDC"/>
    <w:rsid w:val="00395020"/>
    <w:rsid w:val="0039509B"/>
    <w:rsid w:val="0039524F"/>
    <w:rsid w:val="003953C4"/>
    <w:rsid w:val="0039561C"/>
    <w:rsid w:val="003956C8"/>
    <w:rsid w:val="003956FB"/>
    <w:rsid w:val="003957C9"/>
    <w:rsid w:val="00395811"/>
    <w:rsid w:val="00395867"/>
    <w:rsid w:val="003959DC"/>
    <w:rsid w:val="00395C23"/>
    <w:rsid w:val="00395D08"/>
    <w:rsid w:val="00395D30"/>
    <w:rsid w:val="00395DD5"/>
    <w:rsid w:val="00395DEF"/>
    <w:rsid w:val="00395E02"/>
    <w:rsid w:val="00396125"/>
    <w:rsid w:val="003962F6"/>
    <w:rsid w:val="0039655B"/>
    <w:rsid w:val="00396594"/>
    <w:rsid w:val="003967B6"/>
    <w:rsid w:val="00396A0D"/>
    <w:rsid w:val="00396A29"/>
    <w:rsid w:val="00396AAA"/>
    <w:rsid w:val="00396B7A"/>
    <w:rsid w:val="00396C88"/>
    <w:rsid w:val="00396C99"/>
    <w:rsid w:val="00396EAC"/>
    <w:rsid w:val="00396EF1"/>
    <w:rsid w:val="00396EF2"/>
    <w:rsid w:val="00396F2D"/>
    <w:rsid w:val="00397314"/>
    <w:rsid w:val="003973D4"/>
    <w:rsid w:val="003975F7"/>
    <w:rsid w:val="003976EE"/>
    <w:rsid w:val="00397716"/>
    <w:rsid w:val="00397727"/>
    <w:rsid w:val="00397871"/>
    <w:rsid w:val="00397AD1"/>
    <w:rsid w:val="00397AD2"/>
    <w:rsid w:val="00397B65"/>
    <w:rsid w:val="00397F30"/>
    <w:rsid w:val="003A00CE"/>
    <w:rsid w:val="003A00E7"/>
    <w:rsid w:val="003A00EF"/>
    <w:rsid w:val="003A0168"/>
    <w:rsid w:val="003A0223"/>
    <w:rsid w:val="003A03BC"/>
    <w:rsid w:val="003A0480"/>
    <w:rsid w:val="003A05A2"/>
    <w:rsid w:val="003A0682"/>
    <w:rsid w:val="003A08E2"/>
    <w:rsid w:val="003A0C43"/>
    <w:rsid w:val="003A0C4E"/>
    <w:rsid w:val="003A0CC4"/>
    <w:rsid w:val="003A0CD6"/>
    <w:rsid w:val="003A0E11"/>
    <w:rsid w:val="003A1039"/>
    <w:rsid w:val="003A1239"/>
    <w:rsid w:val="003A1262"/>
    <w:rsid w:val="003A13EF"/>
    <w:rsid w:val="003A14A6"/>
    <w:rsid w:val="003A15D5"/>
    <w:rsid w:val="003A199A"/>
    <w:rsid w:val="003A19D4"/>
    <w:rsid w:val="003A1BEB"/>
    <w:rsid w:val="003A1D69"/>
    <w:rsid w:val="003A1E85"/>
    <w:rsid w:val="003A1E91"/>
    <w:rsid w:val="003A1EA3"/>
    <w:rsid w:val="003A20CB"/>
    <w:rsid w:val="003A2225"/>
    <w:rsid w:val="003A224D"/>
    <w:rsid w:val="003A22F8"/>
    <w:rsid w:val="003A259C"/>
    <w:rsid w:val="003A261F"/>
    <w:rsid w:val="003A280A"/>
    <w:rsid w:val="003A2AD6"/>
    <w:rsid w:val="003A2B4B"/>
    <w:rsid w:val="003A2BA1"/>
    <w:rsid w:val="003A2CED"/>
    <w:rsid w:val="003A2E4F"/>
    <w:rsid w:val="003A2F18"/>
    <w:rsid w:val="003A2FCA"/>
    <w:rsid w:val="003A329B"/>
    <w:rsid w:val="003A35B3"/>
    <w:rsid w:val="003A381F"/>
    <w:rsid w:val="003A3992"/>
    <w:rsid w:val="003A3A58"/>
    <w:rsid w:val="003A3A80"/>
    <w:rsid w:val="003A3FA0"/>
    <w:rsid w:val="003A40EC"/>
    <w:rsid w:val="003A41FA"/>
    <w:rsid w:val="003A4438"/>
    <w:rsid w:val="003A450C"/>
    <w:rsid w:val="003A4519"/>
    <w:rsid w:val="003A4850"/>
    <w:rsid w:val="003A4FD6"/>
    <w:rsid w:val="003A5013"/>
    <w:rsid w:val="003A5078"/>
    <w:rsid w:val="003A5186"/>
    <w:rsid w:val="003A51B9"/>
    <w:rsid w:val="003A53CF"/>
    <w:rsid w:val="003A5516"/>
    <w:rsid w:val="003A5695"/>
    <w:rsid w:val="003A57C0"/>
    <w:rsid w:val="003A5A45"/>
    <w:rsid w:val="003A5AAD"/>
    <w:rsid w:val="003A5BC0"/>
    <w:rsid w:val="003A5C09"/>
    <w:rsid w:val="003A5D15"/>
    <w:rsid w:val="003A5D16"/>
    <w:rsid w:val="003A60CC"/>
    <w:rsid w:val="003A6143"/>
    <w:rsid w:val="003A6187"/>
    <w:rsid w:val="003A62DD"/>
    <w:rsid w:val="003A6319"/>
    <w:rsid w:val="003A68B8"/>
    <w:rsid w:val="003A68E5"/>
    <w:rsid w:val="003A6934"/>
    <w:rsid w:val="003A6CF6"/>
    <w:rsid w:val="003A6E39"/>
    <w:rsid w:val="003A6FFB"/>
    <w:rsid w:val="003A705D"/>
    <w:rsid w:val="003A714E"/>
    <w:rsid w:val="003A7398"/>
    <w:rsid w:val="003A7481"/>
    <w:rsid w:val="003A7686"/>
    <w:rsid w:val="003A775A"/>
    <w:rsid w:val="003A78AC"/>
    <w:rsid w:val="003A78B0"/>
    <w:rsid w:val="003A79A0"/>
    <w:rsid w:val="003A7DEB"/>
    <w:rsid w:val="003B01FF"/>
    <w:rsid w:val="003B028B"/>
    <w:rsid w:val="003B03A0"/>
    <w:rsid w:val="003B0913"/>
    <w:rsid w:val="003B091A"/>
    <w:rsid w:val="003B09DB"/>
    <w:rsid w:val="003B09ED"/>
    <w:rsid w:val="003B0ADB"/>
    <w:rsid w:val="003B0B59"/>
    <w:rsid w:val="003B0C23"/>
    <w:rsid w:val="003B0C56"/>
    <w:rsid w:val="003B0DA2"/>
    <w:rsid w:val="003B0DA7"/>
    <w:rsid w:val="003B0DAB"/>
    <w:rsid w:val="003B0DD5"/>
    <w:rsid w:val="003B0E6B"/>
    <w:rsid w:val="003B0F28"/>
    <w:rsid w:val="003B0F94"/>
    <w:rsid w:val="003B1144"/>
    <w:rsid w:val="003B1164"/>
    <w:rsid w:val="003B117E"/>
    <w:rsid w:val="003B1273"/>
    <w:rsid w:val="003B128B"/>
    <w:rsid w:val="003B135C"/>
    <w:rsid w:val="003B13AB"/>
    <w:rsid w:val="003B1447"/>
    <w:rsid w:val="003B15D9"/>
    <w:rsid w:val="003B1740"/>
    <w:rsid w:val="003B1788"/>
    <w:rsid w:val="003B1A6E"/>
    <w:rsid w:val="003B1A97"/>
    <w:rsid w:val="003B206A"/>
    <w:rsid w:val="003B20AD"/>
    <w:rsid w:val="003B213A"/>
    <w:rsid w:val="003B21BA"/>
    <w:rsid w:val="003B238D"/>
    <w:rsid w:val="003B25EF"/>
    <w:rsid w:val="003B26B6"/>
    <w:rsid w:val="003B2A5C"/>
    <w:rsid w:val="003B2AA8"/>
    <w:rsid w:val="003B2AA9"/>
    <w:rsid w:val="003B2B86"/>
    <w:rsid w:val="003B2C0D"/>
    <w:rsid w:val="003B2DED"/>
    <w:rsid w:val="003B30CF"/>
    <w:rsid w:val="003B31BF"/>
    <w:rsid w:val="003B3332"/>
    <w:rsid w:val="003B3370"/>
    <w:rsid w:val="003B34CD"/>
    <w:rsid w:val="003B364F"/>
    <w:rsid w:val="003B391E"/>
    <w:rsid w:val="003B3A3A"/>
    <w:rsid w:val="003B3AC3"/>
    <w:rsid w:val="003B3CD8"/>
    <w:rsid w:val="003B3DD9"/>
    <w:rsid w:val="003B3DFE"/>
    <w:rsid w:val="003B3E72"/>
    <w:rsid w:val="003B3E85"/>
    <w:rsid w:val="003B4070"/>
    <w:rsid w:val="003B4294"/>
    <w:rsid w:val="003B42A7"/>
    <w:rsid w:val="003B432A"/>
    <w:rsid w:val="003B43A1"/>
    <w:rsid w:val="003B43AD"/>
    <w:rsid w:val="003B43AF"/>
    <w:rsid w:val="003B442A"/>
    <w:rsid w:val="003B45C4"/>
    <w:rsid w:val="003B45F9"/>
    <w:rsid w:val="003B4635"/>
    <w:rsid w:val="003B46EC"/>
    <w:rsid w:val="003B4897"/>
    <w:rsid w:val="003B48B1"/>
    <w:rsid w:val="003B4AB3"/>
    <w:rsid w:val="003B4EFE"/>
    <w:rsid w:val="003B503B"/>
    <w:rsid w:val="003B5208"/>
    <w:rsid w:val="003B527F"/>
    <w:rsid w:val="003B570F"/>
    <w:rsid w:val="003B57B6"/>
    <w:rsid w:val="003B586B"/>
    <w:rsid w:val="003B5AD5"/>
    <w:rsid w:val="003B5AF8"/>
    <w:rsid w:val="003B5B4F"/>
    <w:rsid w:val="003B5CDF"/>
    <w:rsid w:val="003B5EFA"/>
    <w:rsid w:val="003B5FE1"/>
    <w:rsid w:val="003B603A"/>
    <w:rsid w:val="003B604B"/>
    <w:rsid w:val="003B6055"/>
    <w:rsid w:val="003B61EF"/>
    <w:rsid w:val="003B6257"/>
    <w:rsid w:val="003B6366"/>
    <w:rsid w:val="003B637E"/>
    <w:rsid w:val="003B63D7"/>
    <w:rsid w:val="003B646D"/>
    <w:rsid w:val="003B649E"/>
    <w:rsid w:val="003B67CE"/>
    <w:rsid w:val="003B68C7"/>
    <w:rsid w:val="003B6D54"/>
    <w:rsid w:val="003B6DBC"/>
    <w:rsid w:val="003B6E10"/>
    <w:rsid w:val="003B7040"/>
    <w:rsid w:val="003B7138"/>
    <w:rsid w:val="003B73EE"/>
    <w:rsid w:val="003B74F4"/>
    <w:rsid w:val="003B7589"/>
    <w:rsid w:val="003B7620"/>
    <w:rsid w:val="003B78AE"/>
    <w:rsid w:val="003B7A5D"/>
    <w:rsid w:val="003B7B36"/>
    <w:rsid w:val="003B7F40"/>
    <w:rsid w:val="003C0341"/>
    <w:rsid w:val="003C0559"/>
    <w:rsid w:val="003C0585"/>
    <w:rsid w:val="003C07BF"/>
    <w:rsid w:val="003C08B6"/>
    <w:rsid w:val="003C08FD"/>
    <w:rsid w:val="003C0977"/>
    <w:rsid w:val="003C0BDB"/>
    <w:rsid w:val="003C0EFD"/>
    <w:rsid w:val="003C0F4E"/>
    <w:rsid w:val="003C0FB8"/>
    <w:rsid w:val="003C0FC5"/>
    <w:rsid w:val="003C0FEC"/>
    <w:rsid w:val="003C1232"/>
    <w:rsid w:val="003C1358"/>
    <w:rsid w:val="003C15B8"/>
    <w:rsid w:val="003C16D0"/>
    <w:rsid w:val="003C1ADB"/>
    <w:rsid w:val="003C1BD4"/>
    <w:rsid w:val="003C1D09"/>
    <w:rsid w:val="003C1FA6"/>
    <w:rsid w:val="003C213B"/>
    <w:rsid w:val="003C21DB"/>
    <w:rsid w:val="003C221C"/>
    <w:rsid w:val="003C223B"/>
    <w:rsid w:val="003C227A"/>
    <w:rsid w:val="003C2580"/>
    <w:rsid w:val="003C27B2"/>
    <w:rsid w:val="003C27F0"/>
    <w:rsid w:val="003C2849"/>
    <w:rsid w:val="003C2862"/>
    <w:rsid w:val="003C28CD"/>
    <w:rsid w:val="003C2AC8"/>
    <w:rsid w:val="003C2B2B"/>
    <w:rsid w:val="003C2B45"/>
    <w:rsid w:val="003C2B83"/>
    <w:rsid w:val="003C2D4C"/>
    <w:rsid w:val="003C2E18"/>
    <w:rsid w:val="003C2E2C"/>
    <w:rsid w:val="003C2FE3"/>
    <w:rsid w:val="003C3049"/>
    <w:rsid w:val="003C305E"/>
    <w:rsid w:val="003C32E7"/>
    <w:rsid w:val="003C3425"/>
    <w:rsid w:val="003C35AC"/>
    <w:rsid w:val="003C36B7"/>
    <w:rsid w:val="003C37C2"/>
    <w:rsid w:val="003C3A3E"/>
    <w:rsid w:val="003C3C46"/>
    <w:rsid w:val="003C3C51"/>
    <w:rsid w:val="003C3D5E"/>
    <w:rsid w:val="003C423F"/>
    <w:rsid w:val="003C424F"/>
    <w:rsid w:val="003C4256"/>
    <w:rsid w:val="003C4407"/>
    <w:rsid w:val="003C4566"/>
    <w:rsid w:val="003C46A6"/>
    <w:rsid w:val="003C46F9"/>
    <w:rsid w:val="003C47E8"/>
    <w:rsid w:val="003C4C7A"/>
    <w:rsid w:val="003C4EAE"/>
    <w:rsid w:val="003C4ED5"/>
    <w:rsid w:val="003C4FA2"/>
    <w:rsid w:val="003C533A"/>
    <w:rsid w:val="003C552D"/>
    <w:rsid w:val="003C5537"/>
    <w:rsid w:val="003C55AC"/>
    <w:rsid w:val="003C567A"/>
    <w:rsid w:val="003C5784"/>
    <w:rsid w:val="003C58A8"/>
    <w:rsid w:val="003C5AB6"/>
    <w:rsid w:val="003C5C42"/>
    <w:rsid w:val="003C5D9F"/>
    <w:rsid w:val="003C5E5E"/>
    <w:rsid w:val="003C5ED8"/>
    <w:rsid w:val="003C5FFD"/>
    <w:rsid w:val="003C6342"/>
    <w:rsid w:val="003C655C"/>
    <w:rsid w:val="003C66B4"/>
    <w:rsid w:val="003C6862"/>
    <w:rsid w:val="003C6870"/>
    <w:rsid w:val="003C68A5"/>
    <w:rsid w:val="003C68F8"/>
    <w:rsid w:val="003C6942"/>
    <w:rsid w:val="003C6950"/>
    <w:rsid w:val="003C6A50"/>
    <w:rsid w:val="003C6AB3"/>
    <w:rsid w:val="003C6B48"/>
    <w:rsid w:val="003C6DD7"/>
    <w:rsid w:val="003C6EB3"/>
    <w:rsid w:val="003C6F3D"/>
    <w:rsid w:val="003C7059"/>
    <w:rsid w:val="003C7087"/>
    <w:rsid w:val="003C73A5"/>
    <w:rsid w:val="003C754C"/>
    <w:rsid w:val="003C76DD"/>
    <w:rsid w:val="003C7916"/>
    <w:rsid w:val="003C7CA4"/>
    <w:rsid w:val="003C7FA8"/>
    <w:rsid w:val="003C7FB7"/>
    <w:rsid w:val="003D0177"/>
    <w:rsid w:val="003D02E8"/>
    <w:rsid w:val="003D0308"/>
    <w:rsid w:val="003D0619"/>
    <w:rsid w:val="003D068A"/>
    <w:rsid w:val="003D085B"/>
    <w:rsid w:val="003D0931"/>
    <w:rsid w:val="003D0A5D"/>
    <w:rsid w:val="003D0BE3"/>
    <w:rsid w:val="003D0BF0"/>
    <w:rsid w:val="003D0D74"/>
    <w:rsid w:val="003D0EA8"/>
    <w:rsid w:val="003D1199"/>
    <w:rsid w:val="003D11A5"/>
    <w:rsid w:val="003D126E"/>
    <w:rsid w:val="003D1437"/>
    <w:rsid w:val="003D156C"/>
    <w:rsid w:val="003D170C"/>
    <w:rsid w:val="003D17F9"/>
    <w:rsid w:val="003D1816"/>
    <w:rsid w:val="003D18C1"/>
    <w:rsid w:val="003D1BBB"/>
    <w:rsid w:val="003D1C82"/>
    <w:rsid w:val="003D1ED5"/>
    <w:rsid w:val="003D1FA8"/>
    <w:rsid w:val="003D233B"/>
    <w:rsid w:val="003D2478"/>
    <w:rsid w:val="003D26B2"/>
    <w:rsid w:val="003D26C6"/>
    <w:rsid w:val="003D2797"/>
    <w:rsid w:val="003D2B84"/>
    <w:rsid w:val="003D2D88"/>
    <w:rsid w:val="003D2D95"/>
    <w:rsid w:val="003D2DF8"/>
    <w:rsid w:val="003D2E9F"/>
    <w:rsid w:val="003D30A7"/>
    <w:rsid w:val="003D3235"/>
    <w:rsid w:val="003D3317"/>
    <w:rsid w:val="003D3549"/>
    <w:rsid w:val="003D3571"/>
    <w:rsid w:val="003D390A"/>
    <w:rsid w:val="003D39D0"/>
    <w:rsid w:val="003D3AED"/>
    <w:rsid w:val="003D3B1B"/>
    <w:rsid w:val="003D3C8A"/>
    <w:rsid w:val="003D41EA"/>
    <w:rsid w:val="003D4200"/>
    <w:rsid w:val="003D4371"/>
    <w:rsid w:val="003D43B5"/>
    <w:rsid w:val="003D4470"/>
    <w:rsid w:val="003D44B5"/>
    <w:rsid w:val="003D483A"/>
    <w:rsid w:val="003D4850"/>
    <w:rsid w:val="003D49C2"/>
    <w:rsid w:val="003D4A59"/>
    <w:rsid w:val="003D4AB6"/>
    <w:rsid w:val="003D4AEE"/>
    <w:rsid w:val="003D51AF"/>
    <w:rsid w:val="003D535A"/>
    <w:rsid w:val="003D5363"/>
    <w:rsid w:val="003D562A"/>
    <w:rsid w:val="003D5818"/>
    <w:rsid w:val="003D59F0"/>
    <w:rsid w:val="003D5F2A"/>
    <w:rsid w:val="003D67B4"/>
    <w:rsid w:val="003D6A08"/>
    <w:rsid w:val="003D6ABB"/>
    <w:rsid w:val="003D6BF8"/>
    <w:rsid w:val="003D717D"/>
    <w:rsid w:val="003D71E8"/>
    <w:rsid w:val="003D7252"/>
    <w:rsid w:val="003D7306"/>
    <w:rsid w:val="003D76A1"/>
    <w:rsid w:val="003D77C4"/>
    <w:rsid w:val="003D77CB"/>
    <w:rsid w:val="003D781A"/>
    <w:rsid w:val="003D7B01"/>
    <w:rsid w:val="003D7E4D"/>
    <w:rsid w:val="003D7E60"/>
    <w:rsid w:val="003D7E91"/>
    <w:rsid w:val="003E0029"/>
    <w:rsid w:val="003E014F"/>
    <w:rsid w:val="003E01B3"/>
    <w:rsid w:val="003E0231"/>
    <w:rsid w:val="003E02E8"/>
    <w:rsid w:val="003E04C2"/>
    <w:rsid w:val="003E0563"/>
    <w:rsid w:val="003E067F"/>
    <w:rsid w:val="003E0789"/>
    <w:rsid w:val="003E0AA9"/>
    <w:rsid w:val="003E0B3A"/>
    <w:rsid w:val="003E0DDE"/>
    <w:rsid w:val="003E1001"/>
    <w:rsid w:val="003E121D"/>
    <w:rsid w:val="003E1494"/>
    <w:rsid w:val="003E15EB"/>
    <w:rsid w:val="003E184F"/>
    <w:rsid w:val="003E185E"/>
    <w:rsid w:val="003E1B11"/>
    <w:rsid w:val="003E1C2C"/>
    <w:rsid w:val="003E1DE9"/>
    <w:rsid w:val="003E1E05"/>
    <w:rsid w:val="003E2053"/>
    <w:rsid w:val="003E2648"/>
    <w:rsid w:val="003E2658"/>
    <w:rsid w:val="003E276C"/>
    <w:rsid w:val="003E2801"/>
    <w:rsid w:val="003E285A"/>
    <w:rsid w:val="003E291A"/>
    <w:rsid w:val="003E2B0E"/>
    <w:rsid w:val="003E2C7B"/>
    <w:rsid w:val="003E2DB1"/>
    <w:rsid w:val="003E32C1"/>
    <w:rsid w:val="003E33EE"/>
    <w:rsid w:val="003E348A"/>
    <w:rsid w:val="003E3812"/>
    <w:rsid w:val="003E3B4D"/>
    <w:rsid w:val="003E3BED"/>
    <w:rsid w:val="003E3C14"/>
    <w:rsid w:val="003E3D14"/>
    <w:rsid w:val="003E3D83"/>
    <w:rsid w:val="003E3D8E"/>
    <w:rsid w:val="003E3E14"/>
    <w:rsid w:val="003E3E1C"/>
    <w:rsid w:val="003E3E1D"/>
    <w:rsid w:val="003E3FA2"/>
    <w:rsid w:val="003E405A"/>
    <w:rsid w:val="003E4717"/>
    <w:rsid w:val="003E4998"/>
    <w:rsid w:val="003E4A46"/>
    <w:rsid w:val="003E4ACB"/>
    <w:rsid w:val="003E4AD2"/>
    <w:rsid w:val="003E4EA9"/>
    <w:rsid w:val="003E4F51"/>
    <w:rsid w:val="003E5158"/>
    <w:rsid w:val="003E5265"/>
    <w:rsid w:val="003E52E6"/>
    <w:rsid w:val="003E52EE"/>
    <w:rsid w:val="003E535A"/>
    <w:rsid w:val="003E545D"/>
    <w:rsid w:val="003E54B9"/>
    <w:rsid w:val="003E5709"/>
    <w:rsid w:val="003E5772"/>
    <w:rsid w:val="003E5787"/>
    <w:rsid w:val="003E586D"/>
    <w:rsid w:val="003E59A0"/>
    <w:rsid w:val="003E5BAA"/>
    <w:rsid w:val="003E5CA9"/>
    <w:rsid w:val="003E5CB9"/>
    <w:rsid w:val="003E5CD9"/>
    <w:rsid w:val="003E5DC7"/>
    <w:rsid w:val="003E5DF1"/>
    <w:rsid w:val="003E5E5F"/>
    <w:rsid w:val="003E604A"/>
    <w:rsid w:val="003E6259"/>
    <w:rsid w:val="003E6278"/>
    <w:rsid w:val="003E62BA"/>
    <w:rsid w:val="003E6350"/>
    <w:rsid w:val="003E6626"/>
    <w:rsid w:val="003E66EE"/>
    <w:rsid w:val="003E6901"/>
    <w:rsid w:val="003E6B53"/>
    <w:rsid w:val="003E6D17"/>
    <w:rsid w:val="003E6DB4"/>
    <w:rsid w:val="003E71F4"/>
    <w:rsid w:val="003E730D"/>
    <w:rsid w:val="003E74E3"/>
    <w:rsid w:val="003E757A"/>
    <w:rsid w:val="003E75A4"/>
    <w:rsid w:val="003E75E0"/>
    <w:rsid w:val="003E76E7"/>
    <w:rsid w:val="003E7710"/>
    <w:rsid w:val="003E787E"/>
    <w:rsid w:val="003E78CB"/>
    <w:rsid w:val="003E794F"/>
    <w:rsid w:val="003E7B7F"/>
    <w:rsid w:val="003E7B9A"/>
    <w:rsid w:val="003E7BCC"/>
    <w:rsid w:val="003E7BD5"/>
    <w:rsid w:val="003E7C38"/>
    <w:rsid w:val="003E7C7E"/>
    <w:rsid w:val="003E7DB9"/>
    <w:rsid w:val="003E7E0A"/>
    <w:rsid w:val="003E7F29"/>
    <w:rsid w:val="003E7F34"/>
    <w:rsid w:val="003E7F3B"/>
    <w:rsid w:val="003F006A"/>
    <w:rsid w:val="003F00F2"/>
    <w:rsid w:val="003F02D6"/>
    <w:rsid w:val="003F02FB"/>
    <w:rsid w:val="003F0551"/>
    <w:rsid w:val="003F05D3"/>
    <w:rsid w:val="003F091C"/>
    <w:rsid w:val="003F0955"/>
    <w:rsid w:val="003F0CBD"/>
    <w:rsid w:val="003F0DB8"/>
    <w:rsid w:val="003F103A"/>
    <w:rsid w:val="003F1120"/>
    <w:rsid w:val="003F12C8"/>
    <w:rsid w:val="003F139E"/>
    <w:rsid w:val="003F1473"/>
    <w:rsid w:val="003F15F4"/>
    <w:rsid w:val="003F17F5"/>
    <w:rsid w:val="003F1825"/>
    <w:rsid w:val="003F18B2"/>
    <w:rsid w:val="003F19CA"/>
    <w:rsid w:val="003F1ADE"/>
    <w:rsid w:val="003F1CAD"/>
    <w:rsid w:val="003F1D89"/>
    <w:rsid w:val="003F1FFB"/>
    <w:rsid w:val="003F20F2"/>
    <w:rsid w:val="003F246B"/>
    <w:rsid w:val="003F25D8"/>
    <w:rsid w:val="003F27CE"/>
    <w:rsid w:val="003F2B47"/>
    <w:rsid w:val="003F2F82"/>
    <w:rsid w:val="003F30CB"/>
    <w:rsid w:val="003F32E6"/>
    <w:rsid w:val="003F3321"/>
    <w:rsid w:val="003F35BF"/>
    <w:rsid w:val="003F370F"/>
    <w:rsid w:val="003F371A"/>
    <w:rsid w:val="003F3C85"/>
    <w:rsid w:val="003F3CCF"/>
    <w:rsid w:val="003F3E10"/>
    <w:rsid w:val="003F4263"/>
    <w:rsid w:val="003F430D"/>
    <w:rsid w:val="003F43BB"/>
    <w:rsid w:val="003F44C6"/>
    <w:rsid w:val="003F46B1"/>
    <w:rsid w:val="003F4735"/>
    <w:rsid w:val="003F475C"/>
    <w:rsid w:val="003F478B"/>
    <w:rsid w:val="003F49AF"/>
    <w:rsid w:val="003F49F2"/>
    <w:rsid w:val="003F4B65"/>
    <w:rsid w:val="003F4E0A"/>
    <w:rsid w:val="003F4E94"/>
    <w:rsid w:val="003F4EE2"/>
    <w:rsid w:val="003F508A"/>
    <w:rsid w:val="003F5314"/>
    <w:rsid w:val="003F5790"/>
    <w:rsid w:val="003F57F2"/>
    <w:rsid w:val="003F59A3"/>
    <w:rsid w:val="003F5D93"/>
    <w:rsid w:val="003F5EBA"/>
    <w:rsid w:val="003F600C"/>
    <w:rsid w:val="003F6048"/>
    <w:rsid w:val="003F6300"/>
    <w:rsid w:val="003F6435"/>
    <w:rsid w:val="003F64B5"/>
    <w:rsid w:val="003F6B59"/>
    <w:rsid w:val="003F6D40"/>
    <w:rsid w:val="003F6FA1"/>
    <w:rsid w:val="003F6FE1"/>
    <w:rsid w:val="003F705C"/>
    <w:rsid w:val="003F70B9"/>
    <w:rsid w:val="003F7178"/>
    <w:rsid w:val="003F7279"/>
    <w:rsid w:val="003F729C"/>
    <w:rsid w:val="003F73DA"/>
    <w:rsid w:val="003F7427"/>
    <w:rsid w:val="003F7666"/>
    <w:rsid w:val="003F783C"/>
    <w:rsid w:val="003F78E7"/>
    <w:rsid w:val="003F7D30"/>
    <w:rsid w:val="003F7EAA"/>
    <w:rsid w:val="0040020C"/>
    <w:rsid w:val="0040021C"/>
    <w:rsid w:val="00400261"/>
    <w:rsid w:val="00400313"/>
    <w:rsid w:val="004003FE"/>
    <w:rsid w:val="0040047C"/>
    <w:rsid w:val="00400548"/>
    <w:rsid w:val="004005EF"/>
    <w:rsid w:val="0040096A"/>
    <w:rsid w:val="004009D8"/>
    <w:rsid w:val="00400B95"/>
    <w:rsid w:val="00400C5B"/>
    <w:rsid w:val="00400CCB"/>
    <w:rsid w:val="00400D85"/>
    <w:rsid w:val="00400EA9"/>
    <w:rsid w:val="00400F00"/>
    <w:rsid w:val="00400F07"/>
    <w:rsid w:val="00401077"/>
    <w:rsid w:val="00401110"/>
    <w:rsid w:val="00401405"/>
    <w:rsid w:val="004016F8"/>
    <w:rsid w:val="00401766"/>
    <w:rsid w:val="004017E0"/>
    <w:rsid w:val="00401837"/>
    <w:rsid w:val="00401D50"/>
    <w:rsid w:val="004020AB"/>
    <w:rsid w:val="00402188"/>
    <w:rsid w:val="00402533"/>
    <w:rsid w:val="00402715"/>
    <w:rsid w:val="004027AA"/>
    <w:rsid w:val="004028EE"/>
    <w:rsid w:val="00402A99"/>
    <w:rsid w:val="00402C9E"/>
    <w:rsid w:val="00402D1E"/>
    <w:rsid w:val="00402D98"/>
    <w:rsid w:val="00402E7B"/>
    <w:rsid w:val="00402FB5"/>
    <w:rsid w:val="00403253"/>
    <w:rsid w:val="00403531"/>
    <w:rsid w:val="00403576"/>
    <w:rsid w:val="00403828"/>
    <w:rsid w:val="0040394A"/>
    <w:rsid w:val="004039A0"/>
    <w:rsid w:val="004039B8"/>
    <w:rsid w:val="004039BA"/>
    <w:rsid w:val="00403ADB"/>
    <w:rsid w:val="00403D7A"/>
    <w:rsid w:val="00404116"/>
    <w:rsid w:val="00404273"/>
    <w:rsid w:val="00404445"/>
    <w:rsid w:val="00404603"/>
    <w:rsid w:val="004046B3"/>
    <w:rsid w:val="004048B7"/>
    <w:rsid w:val="00404B87"/>
    <w:rsid w:val="00404BBC"/>
    <w:rsid w:val="00404EC9"/>
    <w:rsid w:val="00404F8B"/>
    <w:rsid w:val="004051BF"/>
    <w:rsid w:val="00405256"/>
    <w:rsid w:val="00405363"/>
    <w:rsid w:val="0040539A"/>
    <w:rsid w:val="004053C5"/>
    <w:rsid w:val="00405403"/>
    <w:rsid w:val="00405453"/>
    <w:rsid w:val="0040557E"/>
    <w:rsid w:val="0040559D"/>
    <w:rsid w:val="004057EC"/>
    <w:rsid w:val="00405D65"/>
    <w:rsid w:val="00406095"/>
    <w:rsid w:val="0040610F"/>
    <w:rsid w:val="0040612A"/>
    <w:rsid w:val="00406163"/>
    <w:rsid w:val="00406208"/>
    <w:rsid w:val="00406394"/>
    <w:rsid w:val="004065F1"/>
    <w:rsid w:val="004068AA"/>
    <w:rsid w:val="00406D2A"/>
    <w:rsid w:val="00406DD9"/>
    <w:rsid w:val="00406E39"/>
    <w:rsid w:val="00406EFE"/>
    <w:rsid w:val="00406FB4"/>
    <w:rsid w:val="0040715B"/>
    <w:rsid w:val="004071BA"/>
    <w:rsid w:val="004072F1"/>
    <w:rsid w:val="004073F9"/>
    <w:rsid w:val="004073FC"/>
    <w:rsid w:val="004076B0"/>
    <w:rsid w:val="004077CE"/>
    <w:rsid w:val="00407BA7"/>
    <w:rsid w:val="00407C6D"/>
    <w:rsid w:val="00410031"/>
    <w:rsid w:val="00410418"/>
    <w:rsid w:val="00410503"/>
    <w:rsid w:val="00410530"/>
    <w:rsid w:val="004107EB"/>
    <w:rsid w:val="004108EE"/>
    <w:rsid w:val="00410A72"/>
    <w:rsid w:val="00410D78"/>
    <w:rsid w:val="00410D89"/>
    <w:rsid w:val="00411387"/>
    <w:rsid w:val="0041156A"/>
    <w:rsid w:val="00411580"/>
    <w:rsid w:val="004115A2"/>
    <w:rsid w:val="00411680"/>
    <w:rsid w:val="004118DD"/>
    <w:rsid w:val="00411960"/>
    <w:rsid w:val="00411A2E"/>
    <w:rsid w:val="00411B57"/>
    <w:rsid w:val="00411CBB"/>
    <w:rsid w:val="00411EDE"/>
    <w:rsid w:val="00411F38"/>
    <w:rsid w:val="00412304"/>
    <w:rsid w:val="004123D9"/>
    <w:rsid w:val="004124D4"/>
    <w:rsid w:val="004127C5"/>
    <w:rsid w:val="004127DD"/>
    <w:rsid w:val="0041289A"/>
    <w:rsid w:val="004128E2"/>
    <w:rsid w:val="004129B6"/>
    <w:rsid w:val="00412A87"/>
    <w:rsid w:val="00412B23"/>
    <w:rsid w:val="00412BE6"/>
    <w:rsid w:val="00412CA5"/>
    <w:rsid w:val="00412D3E"/>
    <w:rsid w:val="00412E13"/>
    <w:rsid w:val="00413188"/>
    <w:rsid w:val="004131C1"/>
    <w:rsid w:val="00413251"/>
    <w:rsid w:val="0041327F"/>
    <w:rsid w:val="00413595"/>
    <w:rsid w:val="00413667"/>
    <w:rsid w:val="00413708"/>
    <w:rsid w:val="00413818"/>
    <w:rsid w:val="004139A3"/>
    <w:rsid w:val="00413A35"/>
    <w:rsid w:val="00413BC9"/>
    <w:rsid w:val="00413DAA"/>
    <w:rsid w:val="004141A9"/>
    <w:rsid w:val="00414270"/>
    <w:rsid w:val="0041442E"/>
    <w:rsid w:val="00414459"/>
    <w:rsid w:val="004144C2"/>
    <w:rsid w:val="0041487B"/>
    <w:rsid w:val="0041488C"/>
    <w:rsid w:val="004148B3"/>
    <w:rsid w:val="004148E4"/>
    <w:rsid w:val="0041490A"/>
    <w:rsid w:val="004149DC"/>
    <w:rsid w:val="004149ED"/>
    <w:rsid w:val="00414A2D"/>
    <w:rsid w:val="00415015"/>
    <w:rsid w:val="004151BE"/>
    <w:rsid w:val="0041528F"/>
    <w:rsid w:val="0041530A"/>
    <w:rsid w:val="004154C2"/>
    <w:rsid w:val="004155E4"/>
    <w:rsid w:val="0041565F"/>
    <w:rsid w:val="00415673"/>
    <w:rsid w:val="004159FC"/>
    <w:rsid w:val="00415C81"/>
    <w:rsid w:val="00415CAC"/>
    <w:rsid w:val="00415CC0"/>
    <w:rsid w:val="00415CC3"/>
    <w:rsid w:val="00415CC6"/>
    <w:rsid w:val="004160B4"/>
    <w:rsid w:val="004163BC"/>
    <w:rsid w:val="00416731"/>
    <w:rsid w:val="004168DB"/>
    <w:rsid w:val="00416B0A"/>
    <w:rsid w:val="00416B4C"/>
    <w:rsid w:val="00416CCE"/>
    <w:rsid w:val="00416CF7"/>
    <w:rsid w:val="00416E8F"/>
    <w:rsid w:val="00416FC9"/>
    <w:rsid w:val="004170E0"/>
    <w:rsid w:val="004171AD"/>
    <w:rsid w:val="00417282"/>
    <w:rsid w:val="00417312"/>
    <w:rsid w:val="00417317"/>
    <w:rsid w:val="00417355"/>
    <w:rsid w:val="00417594"/>
    <w:rsid w:val="004175B9"/>
    <w:rsid w:val="00417829"/>
    <w:rsid w:val="0041786A"/>
    <w:rsid w:val="0041786E"/>
    <w:rsid w:val="00417BB9"/>
    <w:rsid w:val="00417C8E"/>
    <w:rsid w:val="00417D61"/>
    <w:rsid w:val="0042005B"/>
    <w:rsid w:val="00420137"/>
    <w:rsid w:val="004202F5"/>
    <w:rsid w:val="0042033D"/>
    <w:rsid w:val="0042045D"/>
    <w:rsid w:val="00420611"/>
    <w:rsid w:val="004209DE"/>
    <w:rsid w:val="00420A13"/>
    <w:rsid w:val="00420AC6"/>
    <w:rsid w:val="00420DB5"/>
    <w:rsid w:val="00420EF0"/>
    <w:rsid w:val="004210DE"/>
    <w:rsid w:val="00421160"/>
    <w:rsid w:val="0042124E"/>
    <w:rsid w:val="004217F4"/>
    <w:rsid w:val="004219EA"/>
    <w:rsid w:val="00421B57"/>
    <w:rsid w:val="00421C11"/>
    <w:rsid w:val="00421C44"/>
    <w:rsid w:val="00421CA6"/>
    <w:rsid w:val="00421CFC"/>
    <w:rsid w:val="004220B2"/>
    <w:rsid w:val="004220C8"/>
    <w:rsid w:val="00422192"/>
    <w:rsid w:val="00422415"/>
    <w:rsid w:val="00422599"/>
    <w:rsid w:val="004228CF"/>
    <w:rsid w:val="0042298E"/>
    <w:rsid w:val="004229A9"/>
    <w:rsid w:val="00422A84"/>
    <w:rsid w:val="00422B84"/>
    <w:rsid w:val="00422BDF"/>
    <w:rsid w:val="00422E13"/>
    <w:rsid w:val="00422E91"/>
    <w:rsid w:val="0042352B"/>
    <w:rsid w:val="004235CD"/>
    <w:rsid w:val="0042380F"/>
    <w:rsid w:val="004238E1"/>
    <w:rsid w:val="00423A23"/>
    <w:rsid w:val="00423D25"/>
    <w:rsid w:val="00423F9E"/>
    <w:rsid w:val="00423FD1"/>
    <w:rsid w:val="0042416C"/>
    <w:rsid w:val="0042417D"/>
    <w:rsid w:val="004242C8"/>
    <w:rsid w:val="00424309"/>
    <w:rsid w:val="00424665"/>
    <w:rsid w:val="004247A0"/>
    <w:rsid w:val="00424A5E"/>
    <w:rsid w:val="00424BB2"/>
    <w:rsid w:val="00424CED"/>
    <w:rsid w:val="00424E6B"/>
    <w:rsid w:val="00424F56"/>
    <w:rsid w:val="004250D4"/>
    <w:rsid w:val="004250FB"/>
    <w:rsid w:val="00425399"/>
    <w:rsid w:val="00425522"/>
    <w:rsid w:val="0042563D"/>
    <w:rsid w:val="004256DA"/>
    <w:rsid w:val="0042578A"/>
    <w:rsid w:val="004258CF"/>
    <w:rsid w:val="00425CF8"/>
    <w:rsid w:val="0042616E"/>
    <w:rsid w:val="004263F6"/>
    <w:rsid w:val="004264AD"/>
    <w:rsid w:val="0042654D"/>
    <w:rsid w:val="004265CC"/>
    <w:rsid w:val="0042662E"/>
    <w:rsid w:val="00426737"/>
    <w:rsid w:val="00426900"/>
    <w:rsid w:val="0042690D"/>
    <w:rsid w:val="00426959"/>
    <w:rsid w:val="0042698B"/>
    <w:rsid w:val="0042709B"/>
    <w:rsid w:val="004270D5"/>
    <w:rsid w:val="004271AE"/>
    <w:rsid w:val="004271C9"/>
    <w:rsid w:val="004272AE"/>
    <w:rsid w:val="004272B0"/>
    <w:rsid w:val="004272BA"/>
    <w:rsid w:val="004272F1"/>
    <w:rsid w:val="00427572"/>
    <w:rsid w:val="004275B7"/>
    <w:rsid w:val="00427761"/>
    <w:rsid w:val="0042793F"/>
    <w:rsid w:val="00427CB0"/>
    <w:rsid w:val="00427D25"/>
    <w:rsid w:val="00427D40"/>
    <w:rsid w:val="00427DA5"/>
    <w:rsid w:val="00427ECB"/>
    <w:rsid w:val="00427EE3"/>
    <w:rsid w:val="00427F0C"/>
    <w:rsid w:val="00427F38"/>
    <w:rsid w:val="0043006D"/>
    <w:rsid w:val="00430172"/>
    <w:rsid w:val="00430318"/>
    <w:rsid w:val="00430760"/>
    <w:rsid w:val="004309CE"/>
    <w:rsid w:val="00430AE9"/>
    <w:rsid w:val="00430D7D"/>
    <w:rsid w:val="00430DBF"/>
    <w:rsid w:val="00430FB9"/>
    <w:rsid w:val="0043118D"/>
    <w:rsid w:val="00431248"/>
    <w:rsid w:val="0043156F"/>
    <w:rsid w:val="00431604"/>
    <w:rsid w:val="00431AEA"/>
    <w:rsid w:val="00431D33"/>
    <w:rsid w:val="00432378"/>
    <w:rsid w:val="0043255B"/>
    <w:rsid w:val="004325EB"/>
    <w:rsid w:val="004326F7"/>
    <w:rsid w:val="0043280C"/>
    <w:rsid w:val="00432818"/>
    <w:rsid w:val="004328D8"/>
    <w:rsid w:val="00432C14"/>
    <w:rsid w:val="00432C28"/>
    <w:rsid w:val="00432DA4"/>
    <w:rsid w:val="00432F3B"/>
    <w:rsid w:val="00432F74"/>
    <w:rsid w:val="00433340"/>
    <w:rsid w:val="004335F3"/>
    <w:rsid w:val="0043364D"/>
    <w:rsid w:val="004337B2"/>
    <w:rsid w:val="004337B6"/>
    <w:rsid w:val="0043386A"/>
    <w:rsid w:val="004338A2"/>
    <w:rsid w:val="00433A15"/>
    <w:rsid w:val="00433AFA"/>
    <w:rsid w:val="00433BA8"/>
    <w:rsid w:val="00433C74"/>
    <w:rsid w:val="00433D88"/>
    <w:rsid w:val="00433ED4"/>
    <w:rsid w:val="004345D0"/>
    <w:rsid w:val="004345D6"/>
    <w:rsid w:val="00434A28"/>
    <w:rsid w:val="00434EBD"/>
    <w:rsid w:val="00435089"/>
    <w:rsid w:val="00435338"/>
    <w:rsid w:val="0043541E"/>
    <w:rsid w:val="00435491"/>
    <w:rsid w:val="0043571E"/>
    <w:rsid w:val="004357B8"/>
    <w:rsid w:val="00435C56"/>
    <w:rsid w:val="00435C81"/>
    <w:rsid w:val="00435FE3"/>
    <w:rsid w:val="00436091"/>
    <w:rsid w:val="00436210"/>
    <w:rsid w:val="00436347"/>
    <w:rsid w:val="00436405"/>
    <w:rsid w:val="0043659C"/>
    <w:rsid w:val="004365B8"/>
    <w:rsid w:val="004366AF"/>
    <w:rsid w:val="004366C4"/>
    <w:rsid w:val="004366D3"/>
    <w:rsid w:val="00436731"/>
    <w:rsid w:val="00436765"/>
    <w:rsid w:val="0043691D"/>
    <w:rsid w:val="00436A3B"/>
    <w:rsid w:val="00436F0A"/>
    <w:rsid w:val="00437148"/>
    <w:rsid w:val="0043742C"/>
    <w:rsid w:val="00437571"/>
    <w:rsid w:val="00437673"/>
    <w:rsid w:val="0043771C"/>
    <w:rsid w:val="0043795A"/>
    <w:rsid w:val="00437B78"/>
    <w:rsid w:val="00437F6B"/>
    <w:rsid w:val="00437FC8"/>
    <w:rsid w:val="00440009"/>
    <w:rsid w:val="00440479"/>
    <w:rsid w:val="0044056A"/>
    <w:rsid w:val="004408A9"/>
    <w:rsid w:val="004408B5"/>
    <w:rsid w:val="00440D65"/>
    <w:rsid w:val="00440DDB"/>
    <w:rsid w:val="00440E12"/>
    <w:rsid w:val="00440EBC"/>
    <w:rsid w:val="004411C9"/>
    <w:rsid w:val="0044139B"/>
    <w:rsid w:val="004414AC"/>
    <w:rsid w:val="0044151D"/>
    <w:rsid w:val="00441589"/>
    <w:rsid w:val="004415FA"/>
    <w:rsid w:val="0044161D"/>
    <w:rsid w:val="004418D9"/>
    <w:rsid w:val="0044197B"/>
    <w:rsid w:val="00441B5A"/>
    <w:rsid w:val="004422CE"/>
    <w:rsid w:val="0044238B"/>
    <w:rsid w:val="004423EE"/>
    <w:rsid w:val="004425B2"/>
    <w:rsid w:val="0044269B"/>
    <w:rsid w:val="00442802"/>
    <w:rsid w:val="0044282F"/>
    <w:rsid w:val="004429FB"/>
    <w:rsid w:val="00442A77"/>
    <w:rsid w:val="00442B91"/>
    <w:rsid w:val="00442CB1"/>
    <w:rsid w:val="00442E97"/>
    <w:rsid w:val="00442E98"/>
    <w:rsid w:val="00442FA6"/>
    <w:rsid w:val="00442FA7"/>
    <w:rsid w:val="0044312A"/>
    <w:rsid w:val="00443160"/>
    <w:rsid w:val="00443218"/>
    <w:rsid w:val="004433EF"/>
    <w:rsid w:val="004435CE"/>
    <w:rsid w:val="004435E6"/>
    <w:rsid w:val="0044361E"/>
    <w:rsid w:val="0044363D"/>
    <w:rsid w:val="004439C1"/>
    <w:rsid w:val="00443B0E"/>
    <w:rsid w:val="00443CFE"/>
    <w:rsid w:val="00443E7C"/>
    <w:rsid w:val="00444117"/>
    <w:rsid w:val="0044439E"/>
    <w:rsid w:val="00444408"/>
    <w:rsid w:val="00444420"/>
    <w:rsid w:val="004446A9"/>
    <w:rsid w:val="0044479E"/>
    <w:rsid w:val="00444804"/>
    <w:rsid w:val="004449A3"/>
    <w:rsid w:val="00444B52"/>
    <w:rsid w:val="00444B6D"/>
    <w:rsid w:val="00444B85"/>
    <w:rsid w:val="00444E9E"/>
    <w:rsid w:val="00444EC6"/>
    <w:rsid w:val="00445103"/>
    <w:rsid w:val="0044520C"/>
    <w:rsid w:val="004452E9"/>
    <w:rsid w:val="004453AA"/>
    <w:rsid w:val="004454D0"/>
    <w:rsid w:val="004455AB"/>
    <w:rsid w:val="0044566F"/>
    <w:rsid w:val="0044575D"/>
    <w:rsid w:val="00445C56"/>
    <w:rsid w:val="00445D8C"/>
    <w:rsid w:val="00445E9D"/>
    <w:rsid w:val="00445FEC"/>
    <w:rsid w:val="004460A3"/>
    <w:rsid w:val="0044624F"/>
    <w:rsid w:val="0044628D"/>
    <w:rsid w:val="0044648F"/>
    <w:rsid w:val="0044660F"/>
    <w:rsid w:val="0044671B"/>
    <w:rsid w:val="00446787"/>
    <w:rsid w:val="00446850"/>
    <w:rsid w:val="004468C1"/>
    <w:rsid w:val="004469C8"/>
    <w:rsid w:val="00446A5F"/>
    <w:rsid w:val="00446CE2"/>
    <w:rsid w:val="00447018"/>
    <w:rsid w:val="00447062"/>
    <w:rsid w:val="0044706A"/>
    <w:rsid w:val="00447095"/>
    <w:rsid w:val="0044726F"/>
    <w:rsid w:val="00447A0E"/>
    <w:rsid w:val="00447B2D"/>
    <w:rsid w:val="00447D50"/>
    <w:rsid w:val="00447E31"/>
    <w:rsid w:val="00447E5C"/>
    <w:rsid w:val="00447F36"/>
    <w:rsid w:val="00450044"/>
    <w:rsid w:val="004500C0"/>
    <w:rsid w:val="004502B7"/>
    <w:rsid w:val="0045056D"/>
    <w:rsid w:val="0045063A"/>
    <w:rsid w:val="00450783"/>
    <w:rsid w:val="00450B31"/>
    <w:rsid w:val="00450B89"/>
    <w:rsid w:val="00450C25"/>
    <w:rsid w:val="00450C59"/>
    <w:rsid w:val="00450CFC"/>
    <w:rsid w:val="00450E5A"/>
    <w:rsid w:val="00451035"/>
    <w:rsid w:val="004510A5"/>
    <w:rsid w:val="004510BB"/>
    <w:rsid w:val="004512F2"/>
    <w:rsid w:val="00451A1D"/>
    <w:rsid w:val="00451A43"/>
    <w:rsid w:val="00451AB2"/>
    <w:rsid w:val="0045203E"/>
    <w:rsid w:val="004523CA"/>
    <w:rsid w:val="00452421"/>
    <w:rsid w:val="0045289E"/>
    <w:rsid w:val="00452DF1"/>
    <w:rsid w:val="00452EAB"/>
    <w:rsid w:val="004531C0"/>
    <w:rsid w:val="004531DF"/>
    <w:rsid w:val="004534E8"/>
    <w:rsid w:val="004537CF"/>
    <w:rsid w:val="00453827"/>
    <w:rsid w:val="00453923"/>
    <w:rsid w:val="00453945"/>
    <w:rsid w:val="00453A3F"/>
    <w:rsid w:val="00453CCF"/>
    <w:rsid w:val="00453F1D"/>
    <w:rsid w:val="00454022"/>
    <w:rsid w:val="00454249"/>
    <w:rsid w:val="00454290"/>
    <w:rsid w:val="0045431B"/>
    <w:rsid w:val="0045465D"/>
    <w:rsid w:val="00454842"/>
    <w:rsid w:val="00454989"/>
    <w:rsid w:val="004549A8"/>
    <w:rsid w:val="00454B9B"/>
    <w:rsid w:val="00454C11"/>
    <w:rsid w:val="00454C53"/>
    <w:rsid w:val="00454CE7"/>
    <w:rsid w:val="00454E28"/>
    <w:rsid w:val="0045509D"/>
    <w:rsid w:val="004551BB"/>
    <w:rsid w:val="00455214"/>
    <w:rsid w:val="004552D7"/>
    <w:rsid w:val="004553DE"/>
    <w:rsid w:val="004555C1"/>
    <w:rsid w:val="00455867"/>
    <w:rsid w:val="00455BA1"/>
    <w:rsid w:val="00455BAB"/>
    <w:rsid w:val="00455CAB"/>
    <w:rsid w:val="00455E7F"/>
    <w:rsid w:val="00455EB7"/>
    <w:rsid w:val="00455F88"/>
    <w:rsid w:val="00456191"/>
    <w:rsid w:val="0045645E"/>
    <w:rsid w:val="00456462"/>
    <w:rsid w:val="0045649A"/>
    <w:rsid w:val="004564B5"/>
    <w:rsid w:val="004567D4"/>
    <w:rsid w:val="004568F2"/>
    <w:rsid w:val="00456921"/>
    <w:rsid w:val="00456A5E"/>
    <w:rsid w:val="00456A94"/>
    <w:rsid w:val="00456DD4"/>
    <w:rsid w:val="00456E7D"/>
    <w:rsid w:val="004570DB"/>
    <w:rsid w:val="0045728F"/>
    <w:rsid w:val="00457371"/>
    <w:rsid w:val="004576C8"/>
    <w:rsid w:val="00457858"/>
    <w:rsid w:val="004578E1"/>
    <w:rsid w:val="00457C75"/>
    <w:rsid w:val="00457F7F"/>
    <w:rsid w:val="00460058"/>
    <w:rsid w:val="004600CB"/>
    <w:rsid w:val="004601E4"/>
    <w:rsid w:val="00460462"/>
    <w:rsid w:val="004604D0"/>
    <w:rsid w:val="004604ED"/>
    <w:rsid w:val="0046065A"/>
    <w:rsid w:val="004606D2"/>
    <w:rsid w:val="004606F3"/>
    <w:rsid w:val="004607B1"/>
    <w:rsid w:val="0046082D"/>
    <w:rsid w:val="00460B0B"/>
    <w:rsid w:val="00460CD1"/>
    <w:rsid w:val="00460D4A"/>
    <w:rsid w:val="00460FFF"/>
    <w:rsid w:val="00461023"/>
    <w:rsid w:val="004610B7"/>
    <w:rsid w:val="00461275"/>
    <w:rsid w:val="0046136A"/>
    <w:rsid w:val="004618AD"/>
    <w:rsid w:val="00461A7D"/>
    <w:rsid w:val="00461B64"/>
    <w:rsid w:val="00461D0C"/>
    <w:rsid w:val="00461DE0"/>
    <w:rsid w:val="00461E74"/>
    <w:rsid w:val="00461EEF"/>
    <w:rsid w:val="00461F46"/>
    <w:rsid w:val="00461F6E"/>
    <w:rsid w:val="0046202A"/>
    <w:rsid w:val="004620E0"/>
    <w:rsid w:val="00462275"/>
    <w:rsid w:val="00462634"/>
    <w:rsid w:val="0046270C"/>
    <w:rsid w:val="00462743"/>
    <w:rsid w:val="0046290D"/>
    <w:rsid w:val="00462AB3"/>
    <w:rsid w:val="00462B16"/>
    <w:rsid w:val="00462DB2"/>
    <w:rsid w:val="00462FAC"/>
    <w:rsid w:val="004630B4"/>
    <w:rsid w:val="00463102"/>
    <w:rsid w:val="00463585"/>
    <w:rsid w:val="0046360F"/>
    <w:rsid w:val="004637D0"/>
    <w:rsid w:val="0046383B"/>
    <w:rsid w:val="004638E2"/>
    <w:rsid w:val="004639D7"/>
    <w:rsid w:val="00463C9A"/>
    <w:rsid w:val="00463DA3"/>
    <w:rsid w:val="00463DD6"/>
    <w:rsid w:val="00463FE0"/>
    <w:rsid w:val="004640CD"/>
    <w:rsid w:val="00464161"/>
    <w:rsid w:val="004641CD"/>
    <w:rsid w:val="004641E2"/>
    <w:rsid w:val="00464334"/>
    <w:rsid w:val="004643E5"/>
    <w:rsid w:val="0046452D"/>
    <w:rsid w:val="00464631"/>
    <w:rsid w:val="004646C9"/>
    <w:rsid w:val="00464705"/>
    <w:rsid w:val="00464ABF"/>
    <w:rsid w:val="00464B79"/>
    <w:rsid w:val="00464C29"/>
    <w:rsid w:val="00464CA5"/>
    <w:rsid w:val="0046546A"/>
    <w:rsid w:val="004654B4"/>
    <w:rsid w:val="00465541"/>
    <w:rsid w:val="00465554"/>
    <w:rsid w:val="00465629"/>
    <w:rsid w:val="004656DF"/>
    <w:rsid w:val="004657A6"/>
    <w:rsid w:val="004658D5"/>
    <w:rsid w:val="0046594E"/>
    <w:rsid w:val="004659B5"/>
    <w:rsid w:val="00465A94"/>
    <w:rsid w:val="00465AB5"/>
    <w:rsid w:val="00465AE8"/>
    <w:rsid w:val="00465CFD"/>
    <w:rsid w:val="0046606B"/>
    <w:rsid w:val="004662FE"/>
    <w:rsid w:val="0046657F"/>
    <w:rsid w:val="00466623"/>
    <w:rsid w:val="0046667B"/>
    <w:rsid w:val="00466976"/>
    <w:rsid w:val="00466E01"/>
    <w:rsid w:val="00466EA9"/>
    <w:rsid w:val="00467023"/>
    <w:rsid w:val="00467099"/>
    <w:rsid w:val="00467102"/>
    <w:rsid w:val="004672C1"/>
    <w:rsid w:val="0046769B"/>
    <w:rsid w:val="00467855"/>
    <w:rsid w:val="00467918"/>
    <w:rsid w:val="00467987"/>
    <w:rsid w:val="00467BBB"/>
    <w:rsid w:val="00467BBF"/>
    <w:rsid w:val="00467C22"/>
    <w:rsid w:val="00467D3F"/>
    <w:rsid w:val="00470065"/>
    <w:rsid w:val="00470129"/>
    <w:rsid w:val="00470141"/>
    <w:rsid w:val="00470320"/>
    <w:rsid w:val="004705C2"/>
    <w:rsid w:val="00470784"/>
    <w:rsid w:val="00470807"/>
    <w:rsid w:val="00470816"/>
    <w:rsid w:val="00470C33"/>
    <w:rsid w:val="00470DC6"/>
    <w:rsid w:val="00470DEE"/>
    <w:rsid w:val="004711D4"/>
    <w:rsid w:val="0047143E"/>
    <w:rsid w:val="00471454"/>
    <w:rsid w:val="004714DB"/>
    <w:rsid w:val="004714F8"/>
    <w:rsid w:val="004715FA"/>
    <w:rsid w:val="004716C2"/>
    <w:rsid w:val="0047196B"/>
    <w:rsid w:val="00471B06"/>
    <w:rsid w:val="00471B52"/>
    <w:rsid w:val="00471BEE"/>
    <w:rsid w:val="00471C9C"/>
    <w:rsid w:val="00471DCF"/>
    <w:rsid w:val="00471F81"/>
    <w:rsid w:val="00472073"/>
    <w:rsid w:val="0047207E"/>
    <w:rsid w:val="004720DB"/>
    <w:rsid w:val="00472139"/>
    <w:rsid w:val="0047218E"/>
    <w:rsid w:val="004721E4"/>
    <w:rsid w:val="004722D3"/>
    <w:rsid w:val="004725F6"/>
    <w:rsid w:val="004726AE"/>
    <w:rsid w:val="0047272D"/>
    <w:rsid w:val="00472934"/>
    <w:rsid w:val="00472B15"/>
    <w:rsid w:val="00472FBD"/>
    <w:rsid w:val="00473111"/>
    <w:rsid w:val="00473327"/>
    <w:rsid w:val="0047353F"/>
    <w:rsid w:val="00473629"/>
    <w:rsid w:val="004737F5"/>
    <w:rsid w:val="00473851"/>
    <w:rsid w:val="0047394C"/>
    <w:rsid w:val="00473BBF"/>
    <w:rsid w:val="00473D4F"/>
    <w:rsid w:val="00473DEB"/>
    <w:rsid w:val="00473E65"/>
    <w:rsid w:val="00474771"/>
    <w:rsid w:val="00474931"/>
    <w:rsid w:val="00474D4F"/>
    <w:rsid w:val="00474DF9"/>
    <w:rsid w:val="00474EF7"/>
    <w:rsid w:val="00474FB7"/>
    <w:rsid w:val="004751B7"/>
    <w:rsid w:val="004753BF"/>
    <w:rsid w:val="0047569E"/>
    <w:rsid w:val="0047576A"/>
    <w:rsid w:val="004758A5"/>
    <w:rsid w:val="00475BAA"/>
    <w:rsid w:val="004760EE"/>
    <w:rsid w:val="00476361"/>
    <w:rsid w:val="0047640A"/>
    <w:rsid w:val="00476492"/>
    <w:rsid w:val="00476761"/>
    <w:rsid w:val="004769CE"/>
    <w:rsid w:val="00476A02"/>
    <w:rsid w:val="00476A45"/>
    <w:rsid w:val="00476BCE"/>
    <w:rsid w:val="00476CE2"/>
    <w:rsid w:val="00476F6C"/>
    <w:rsid w:val="00476F80"/>
    <w:rsid w:val="004771AD"/>
    <w:rsid w:val="00477272"/>
    <w:rsid w:val="004772C4"/>
    <w:rsid w:val="00477354"/>
    <w:rsid w:val="0047748C"/>
    <w:rsid w:val="0047767E"/>
    <w:rsid w:val="00477763"/>
    <w:rsid w:val="004778E5"/>
    <w:rsid w:val="004779CC"/>
    <w:rsid w:val="004779F8"/>
    <w:rsid w:val="00477A4F"/>
    <w:rsid w:val="00477B26"/>
    <w:rsid w:val="00477BA1"/>
    <w:rsid w:val="00477F79"/>
    <w:rsid w:val="00480189"/>
    <w:rsid w:val="00480363"/>
    <w:rsid w:val="0048060A"/>
    <w:rsid w:val="004807A3"/>
    <w:rsid w:val="004807AE"/>
    <w:rsid w:val="00480821"/>
    <w:rsid w:val="004808B1"/>
    <w:rsid w:val="004808E8"/>
    <w:rsid w:val="004809BA"/>
    <w:rsid w:val="00480A85"/>
    <w:rsid w:val="00480B27"/>
    <w:rsid w:val="00480B98"/>
    <w:rsid w:val="00480BB6"/>
    <w:rsid w:val="00480C71"/>
    <w:rsid w:val="00480D44"/>
    <w:rsid w:val="004810B4"/>
    <w:rsid w:val="00481242"/>
    <w:rsid w:val="00481243"/>
    <w:rsid w:val="00481609"/>
    <w:rsid w:val="00481722"/>
    <w:rsid w:val="004819D9"/>
    <w:rsid w:val="00481BDE"/>
    <w:rsid w:val="00481C46"/>
    <w:rsid w:val="00481D2B"/>
    <w:rsid w:val="0048201B"/>
    <w:rsid w:val="00482071"/>
    <w:rsid w:val="004820A1"/>
    <w:rsid w:val="004820B9"/>
    <w:rsid w:val="00482233"/>
    <w:rsid w:val="00482285"/>
    <w:rsid w:val="004825F4"/>
    <w:rsid w:val="00482888"/>
    <w:rsid w:val="004829FD"/>
    <w:rsid w:val="00482D2C"/>
    <w:rsid w:val="00482D9B"/>
    <w:rsid w:val="00482E6C"/>
    <w:rsid w:val="00483057"/>
    <w:rsid w:val="00483090"/>
    <w:rsid w:val="004830A9"/>
    <w:rsid w:val="004832C7"/>
    <w:rsid w:val="004832E7"/>
    <w:rsid w:val="004838F7"/>
    <w:rsid w:val="00483A4A"/>
    <w:rsid w:val="00483AE4"/>
    <w:rsid w:val="00483AF0"/>
    <w:rsid w:val="00483B6D"/>
    <w:rsid w:val="00483BD2"/>
    <w:rsid w:val="00483D0B"/>
    <w:rsid w:val="00483E71"/>
    <w:rsid w:val="00483EC0"/>
    <w:rsid w:val="00483F61"/>
    <w:rsid w:val="00483F7B"/>
    <w:rsid w:val="00484658"/>
    <w:rsid w:val="00484908"/>
    <w:rsid w:val="00484C3E"/>
    <w:rsid w:val="00484DE3"/>
    <w:rsid w:val="00484E56"/>
    <w:rsid w:val="004853D3"/>
    <w:rsid w:val="0048549A"/>
    <w:rsid w:val="004857ED"/>
    <w:rsid w:val="00485811"/>
    <w:rsid w:val="00485DAD"/>
    <w:rsid w:val="00485E3E"/>
    <w:rsid w:val="00486257"/>
    <w:rsid w:val="004865DB"/>
    <w:rsid w:val="0048679D"/>
    <w:rsid w:val="004867E2"/>
    <w:rsid w:val="00486836"/>
    <w:rsid w:val="0048691E"/>
    <w:rsid w:val="00486A6F"/>
    <w:rsid w:val="00486CBA"/>
    <w:rsid w:val="00486E98"/>
    <w:rsid w:val="004875C4"/>
    <w:rsid w:val="0048774D"/>
    <w:rsid w:val="004877A4"/>
    <w:rsid w:val="004877DF"/>
    <w:rsid w:val="00487B7D"/>
    <w:rsid w:val="00487C14"/>
    <w:rsid w:val="00487EC7"/>
    <w:rsid w:val="004901A1"/>
    <w:rsid w:val="0049036B"/>
    <w:rsid w:val="00490469"/>
    <w:rsid w:val="0049056A"/>
    <w:rsid w:val="00490A87"/>
    <w:rsid w:val="00490C70"/>
    <w:rsid w:val="00490C88"/>
    <w:rsid w:val="00490D76"/>
    <w:rsid w:val="00490F88"/>
    <w:rsid w:val="00491172"/>
    <w:rsid w:val="0049127B"/>
    <w:rsid w:val="004915EF"/>
    <w:rsid w:val="004917E0"/>
    <w:rsid w:val="00491821"/>
    <w:rsid w:val="0049186E"/>
    <w:rsid w:val="004919D9"/>
    <w:rsid w:val="004919E6"/>
    <w:rsid w:val="00491AD1"/>
    <w:rsid w:val="00491AE6"/>
    <w:rsid w:val="00491C88"/>
    <w:rsid w:val="00491CF5"/>
    <w:rsid w:val="00491DFC"/>
    <w:rsid w:val="00491FC4"/>
    <w:rsid w:val="00492028"/>
    <w:rsid w:val="00492051"/>
    <w:rsid w:val="00492481"/>
    <w:rsid w:val="004925DC"/>
    <w:rsid w:val="004926CD"/>
    <w:rsid w:val="0049284B"/>
    <w:rsid w:val="00492864"/>
    <w:rsid w:val="004928F5"/>
    <w:rsid w:val="004929A9"/>
    <w:rsid w:val="004930EC"/>
    <w:rsid w:val="0049329B"/>
    <w:rsid w:val="004932EA"/>
    <w:rsid w:val="00493333"/>
    <w:rsid w:val="0049336A"/>
    <w:rsid w:val="004933C5"/>
    <w:rsid w:val="00493588"/>
    <w:rsid w:val="0049368C"/>
    <w:rsid w:val="004937CC"/>
    <w:rsid w:val="0049382A"/>
    <w:rsid w:val="004939F2"/>
    <w:rsid w:val="00493C8D"/>
    <w:rsid w:val="00493CE5"/>
    <w:rsid w:val="00493D09"/>
    <w:rsid w:val="00493EB2"/>
    <w:rsid w:val="00493EB4"/>
    <w:rsid w:val="004942E3"/>
    <w:rsid w:val="00494367"/>
    <w:rsid w:val="004943ED"/>
    <w:rsid w:val="00494634"/>
    <w:rsid w:val="0049468B"/>
    <w:rsid w:val="004947EF"/>
    <w:rsid w:val="00494993"/>
    <w:rsid w:val="004949D0"/>
    <w:rsid w:val="00494CAD"/>
    <w:rsid w:val="00494D96"/>
    <w:rsid w:val="00494E46"/>
    <w:rsid w:val="00494E97"/>
    <w:rsid w:val="00495243"/>
    <w:rsid w:val="00495584"/>
    <w:rsid w:val="004955FC"/>
    <w:rsid w:val="004956AA"/>
    <w:rsid w:val="0049582E"/>
    <w:rsid w:val="004958D2"/>
    <w:rsid w:val="00495930"/>
    <w:rsid w:val="004959D8"/>
    <w:rsid w:val="00495AF6"/>
    <w:rsid w:val="00495BA4"/>
    <w:rsid w:val="00495D39"/>
    <w:rsid w:val="00495E41"/>
    <w:rsid w:val="00496145"/>
    <w:rsid w:val="00496209"/>
    <w:rsid w:val="004963BD"/>
    <w:rsid w:val="004964AB"/>
    <w:rsid w:val="004966A6"/>
    <w:rsid w:val="004966E8"/>
    <w:rsid w:val="00496C7B"/>
    <w:rsid w:val="00497222"/>
    <w:rsid w:val="00497242"/>
    <w:rsid w:val="00497397"/>
    <w:rsid w:val="004974E8"/>
    <w:rsid w:val="0049753A"/>
    <w:rsid w:val="0049761D"/>
    <w:rsid w:val="0049767F"/>
    <w:rsid w:val="004976E7"/>
    <w:rsid w:val="00497726"/>
    <w:rsid w:val="00497857"/>
    <w:rsid w:val="0049785A"/>
    <w:rsid w:val="00497B98"/>
    <w:rsid w:val="00497F6F"/>
    <w:rsid w:val="004A0293"/>
    <w:rsid w:val="004A0366"/>
    <w:rsid w:val="004A04BC"/>
    <w:rsid w:val="004A04ED"/>
    <w:rsid w:val="004A06A8"/>
    <w:rsid w:val="004A072A"/>
    <w:rsid w:val="004A09D7"/>
    <w:rsid w:val="004A0BB5"/>
    <w:rsid w:val="004A0C28"/>
    <w:rsid w:val="004A0FE8"/>
    <w:rsid w:val="004A143F"/>
    <w:rsid w:val="004A16C3"/>
    <w:rsid w:val="004A17B1"/>
    <w:rsid w:val="004A17BF"/>
    <w:rsid w:val="004A17FA"/>
    <w:rsid w:val="004A1927"/>
    <w:rsid w:val="004A1BD3"/>
    <w:rsid w:val="004A1FF0"/>
    <w:rsid w:val="004A2122"/>
    <w:rsid w:val="004A215C"/>
    <w:rsid w:val="004A23D7"/>
    <w:rsid w:val="004A283F"/>
    <w:rsid w:val="004A2B2A"/>
    <w:rsid w:val="004A2BD5"/>
    <w:rsid w:val="004A2C78"/>
    <w:rsid w:val="004A2C9E"/>
    <w:rsid w:val="004A2DD8"/>
    <w:rsid w:val="004A2EED"/>
    <w:rsid w:val="004A309C"/>
    <w:rsid w:val="004A30D3"/>
    <w:rsid w:val="004A311C"/>
    <w:rsid w:val="004A34B5"/>
    <w:rsid w:val="004A35B2"/>
    <w:rsid w:val="004A364F"/>
    <w:rsid w:val="004A3729"/>
    <w:rsid w:val="004A3913"/>
    <w:rsid w:val="004A3963"/>
    <w:rsid w:val="004A3A44"/>
    <w:rsid w:val="004A3E4B"/>
    <w:rsid w:val="004A3E53"/>
    <w:rsid w:val="004A3ED4"/>
    <w:rsid w:val="004A3EF1"/>
    <w:rsid w:val="004A4378"/>
    <w:rsid w:val="004A4535"/>
    <w:rsid w:val="004A4DC4"/>
    <w:rsid w:val="004A50D7"/>
    <w:rsid w:val="004A50E6"/>
    <w:rsid w:val="004A5382"/>
    <w:rsid w:val="004A5383"/>
    <w:rsid w:val="004A545A"/>
    <w:rsid w:val="004A5667"/>
    <w:rsid w:val="004A573A"/>
    <w:rsid w:val="004A6023"/>
    <w:rsid w:val="004A60D0"/>
    <w:rsid w:val="004A64D4"/>
    <w:rsid w:val="004A6707"/>
    <w:rsid w:val="004A6802"/>
    <w:rsid w:val="004A6939"/>
    <w:rsid w:val="004A6B16"/>
    <w:rsid w:val="004A6CE4"/>
    <w:rsid w:val="004A6E26"/>
    <w:rsid w:val="004A6F31"/>
    <w:rsid w:val="004A6F35"/>
    <w:rsid w:val="004A6F77"/>
    <w:rsid w:val="004A7450"/>
    <w:rsid w:val="004A767A"/>
    <w:rsid w:val="004A7871"/>
    <w:rsid w:val="004A79E0"/>
    <w:rsid w:val="004A7BE2"/>
    <w:rsid w:val="004A7D7C"/>
    <w:rsid w:val="004A7D88"/>
    <w:rsid w:val="004A7EC3"/>
    <w:rsid w:val="004A7F87"/>
    <w:rsid w:val="004B02D3"/>
    <w:rsid w:val="004B0476"/>
    <w:rsid w:val="004B065F"/>
    <w:rsid w:val="004B07BA"/>
    <w:rsid w:val="004B09F5"/>
    <w:rsid w:val="004B0A18"/>
    <w:rsid w:val="004B0B3B"/>
    <w:rsid w:val="004B0B44"/>
    <w:rsid w:val="004B0CF1"/>
    <w:rsid w:val="004B0CFD"/>
    <w:rsid w:val="004B0E14"/>
    <w:rsid w:val="004B0FDC"/>
    <w:rsid w:val="004B116B"/>
    <w:rsid w:val="004B11BA"/>
    <w:rsid w:val="004B158F"/>
    <w:rsid w:val="004B17BB"/>
    <w:rsid w:val="004B17D1"/>
    <w:rsid w:val="004B18AA"/>
    <w:rsid w:val="004B1DAB"/>
    <w:rsid w:val="004B1EB9"/>
    <w:rsid w:val="004B1F45"/>
    <w:rsid w:val="004B2050"/>
    <w:rsid w:val="004B242B"/>
    <w:rsid w:val="004B2478"/>
    <w:rsid w:val="004B2594"/>
    <w:rsid w:val="004B268B"/>
    <w:rsid w:val="004B277C"/>
    <w:rsid w:val="004B2806"/>
    <w:rsid w:val="004B28DD"/>
    <w:rsid w:val="004B2902"/>
    <w:rsid w:val="004B2D06"/>
    <w:rsid w:val="004B2DAF"/>
    <w:rsid w:val="004B2E53"/>
    <w:rsid w:val="004B2FE0"/>
    <w:rsid w:val="004B3040"/>
    <w:rsid w:val="004B30BA"/>
    <w:rsid w:val="004B311D"/>
    <w:rsid w:val="004B31A0"/>
    <w:rsid w:val="004B3277"/>
    <w:rsid w:val="004B3324"/>
    <w:rsid w:val="004B36BF"/>
    <w:rsid w:val="004B39CC"/>
    <w:rsid w:val="004B3A4B"/>
    <w:rsid w:val="004B3AF3"/>
    <w:rsid w:val="004B3C57"/>
    <w:rsid w:val="004B3FAE"/>
    <w:rsid w:val="004B41D2"/>
    <w:rsid w:val="004B42E5"/>
    <w:rsid w:val="004B42E6"/>
    <w:rsid w:val="004B4509"/>
    <w:rsid w:val="004B4547"/>
    <w:rsid w:val="004B45B3"/>
    <w:rsid w:val="004B495F"/>
    <w:rsid w:val="004B49B3"/>
    <w:rsid w:val="004B4D63"/>
    <w:rsid w:val="004B4DEC"/>
    <w:rsid w:val="004B4E41"/>
    <w:rsid w:val="004B4F6C"/>
    <w:rsid w:val="004B5062"/>
    <w:rsid w:val="004B50F9"/>
    <w:rsid w:val="004B520B"/>
    <w:rsid w:val="004B52D3"/>
    <w:rsid w:val="004B539A"/>
    <w:rsid w:val="004B558E"/>
    <w:rsid w:val="004B568E"/>
    <w:rsid w:val="004B5770"/>
    <w:rsid w:val="004B57D3"/>
    <w:rsid w:val="004B5B85"/>
    <w:rsid w:val="004B5CF7"/>
    <w:rsid w:val="004B5EFD"/>
    <w:rsid w:val="004B5F1C"/>
    <w:rsid w:val="004B5F6D"/>
    <w:rsid w:val="004B5FD1"/>
    <w:rsid w:val="004B5FF9"/>
    <w:rsid w:val="004B6184"/>
    <w:rsid w:val="004B61B7"/>
    <w:rsid w:val="004B62A5"/>
    <w:rsid w:val="004B6533"/>
    <w:rsid w:val="004B66CA"/>
    <w:rsid w:val="004B66D1"/>
    <w:rsid w:val="004B6BD3"/>
    <w:rsid w:val="004B6F14"/>
    <w:rsid w:val="004B7016"/>
    <w:rsid w:val="004B70E8"/>
    <w:rsid w:val="004B713D"/>
    <w:rsid w:val="004B71FB"/>
    <w:rsid w:val="004B7473"/>
    <w:rsid w:val="004B77BC"/>
    <w:rsid w:val="004B780D"/>
    <w:rsid w:val="004B7B58"/>
    <w:rsid w:val="004B7BFB"/>
    <w:rsid w:val="004B7DD2"/>
    <w:rsid w:val="004C0020"/>
    <w:rsid w:val="004C0026"/>
    <w:rsid w:val="004C00FA"/>
    <w:rsid w:val="004C01E8"/>
    <w:rsid w:val="004C0298"/>
    <w:rsid w:val="004C04FB"/>
    <w:rsid w:val="004C0791"/>
    <w:rsid w:val="004C07BD"/>
    <w:rsid w:val="004C0906"/>
    <w:rsid w:val="004C0A82"/>
    <w:rsid w:val="004C0B9D"/>
    <w:rsid w:val="004C0E73"/>
    <w:rsid w:val="004C0FBF"/>
    <w:rsid w:val="004C130C"/>
    <w:rsid w:val="004C1442"/>
    <w:rsid w:val="004C1466"/>
    <w:rsid w:val="004C1480"/>
    <w:rsid w:val="004C1793"/>
    <w:rsid w:val="004C1829"/>
    <w:rsid w:val="004C18AB"/>
    <w:rsid w:val="004C1945"/>
    <w:rsid w:val="004C19FE"/>
    <w:rsid w:val="004C1A78"/>
    <w:rsid w:val="004C1B97"/>
    <w:rsid w:val="004C1C50"/>
    <w:rsid w:val="004C1C87"/>
    <w:rsid w:val="004C1C90"/>
    <w:rsid w:val="004C1EE4"/>
    <w:rsid w:val="004C2177"/>
    <w:rsid w:val="004C235B"/>
    <w:rsid w:val="004C2541"/>
    <w:rsid w:val="004C2DFC"/>
    <w:rsid w:val="004C2E57"/>
    <w:rsid w:val="004C2FEC"/>
    <w:rsid w:val="004C3459"/>
    <w:rsid w:val="004C3477"/>
    <w:rsid w:val="004C348E"/>
    <w:rsid w:val="004C355C"/>
    <w:rsid w:val="004C390C"/>
    <w:rsid w:val="004C3B08"/>
    <w:rsid w:val="004C3B7B"/>
    <w:rsid w:val="004C3E1F"/>
    <w:rsid w:val="004C3F88"/>
    <w:rsid w:val="004C3FE7"/>
    <w:rsid w:val="004C3FF2"/>
    <w:rsid w:val="004C418D"/>
    <w:rsid w:val="004C42A9"/>
    <w:rsid w:val="004C438D"/>
    <w:rsid w:val="004C4624"/>
    <w:rsid w:val="004C493B"/>
    <w:rsid w:val="004C4A43"/>
    <w:rsid w:val="004C5835"/>
    <w:rsid w:val="004C5DD0"/>
    <w:rsid w:val="004C5DD6"/>
    <w:rsid w:val="004C5DF4"/>
    <w:rsid w:val="004C5E03"/>
    <w:rsid w:val="004C63A1"/>
    <w:rsid w:val="004C6426"/>
    <w:rsid w:val="004C6448"/>
    <w:rsid w:val="004C65A6"/>
    <w:rsid w:val="004C6805"/>
    <w:rsid w:val="004C69CB"/>
    <w:rsid w:val="004C6AD8"/>
    <w:rsid w:val="004C6BCF"/>
    <w:rsid w:val="004C6C76"/>
    <w:rsid w:val="004C6F04"/>
    <w:rsid w:val="004C6F08"/>
    <w:rsid w:val="004C6FCE"/>
    <w:rsid w:val="004C7089"/>
    <w:rsid w:val="004C739F"/>
    <w:rsid w:val="004C740F"/>
    <w:rsid w:val="004C754D"/>
    <w:rsid w:val="004C76D2"/>
    <w:rsid w:val="004C787F"/>
    <w:rsid w:val="004C7975"/>
    <w:rsid w:val="004C7B72"/>
    <w:rsid w:val="004C7DBB"/>
    <w:rsid w:val="004C7F64"/>
    <w:rsid w:val="004D00E9"/>
    <w:rsid w:val="004D02D9"/>
    <w:rsid w:val="004D035D"/>
    <w:rsid w:val="004D03D8"/>
    <w:rsid w:val="004D0454"/>
    <w:rsid w:val="004D0518"/>
    <w:rsid w:val="004D077F"/>
    <w:rsid w:val="004D07B9"/>
    <w:rsid w:val="004D07BD"/>
    <w:rsid w:val="004D0881"/>
    <w:rsid w:val="004D09BC"/>
    <w:rsid w:val="004D0BF0"/>
    <w:rsid w:val="004D10AD"/>
    <w:rsid w:val="004D140D"/>
    <w:rsid w:val="004D17F1"/>
    <w:rsid w:val="004D194E"/>
    <w:rsid w:val="004D1A36"/>
    <w:rsid w:val="004D1A4F"/>
    <w:rsid w:val="004D1AB2"/>
    <w:rsid w:val="004D1B74"/>
    <w:rsid w:val="004D1C40"/>
    <w:rsid w:val="004D1C98"/>
    <w:rsid w:val="004D2089"/>
    <w:rsid w:val="004D21BD"/>
    <w:rsid w:val="004D21C7"/>
    <w:rsid w:val="004D2247"/>
    <w:rsid w:val="004D2901"/>
    <w:rsid w:val="004D2938"/>
    <w:rsid w:val="004D2F0A"/>
    <w:rsid w:val="004D2F70"/>
    <w:rsid w:val="004D323E"/>
    <w:rsid w:val="004D3244"/>
    <w:rsid w:val="004D3497"/>
    <w:rsid w:val="004D3958"/>
    <w:rsid w:val="004D3C66"/>
    <w:rsid w:val="004D3DF1"/>
    <w:rsid w:val="004D3FAC"/>
    <w:rsid w:val="004D4054"/>
    <w:rsid w:val="004D41B8"/>
    <w:rsid w:val="004D4492"/>
    <w:rsid w:val="004D45AA"/>
    <w:rsid w:val="004D47C2"/>
    <w:rsid w:val="004D4ED4"/>
    <w:rsid w:val="004D4ED9"/>
    <w:rsid w:val="004D50E9"/>
    <w:rsid w:val="004D5265"/>
    <w:rsid w:val="004D536B"/>
    <w:rsid w:val="004D54F7"/>
    <w:rsid w:val="004D58BF"/>
    <w:rsid w:val="004D5D0F"/>
    <w:rsid w:val="004D5D8C"/>
    <w:rsid w:val="004D5F21"/>
    <w:rsid w:val="004D5FFA"/>
    <w:rsid w:val="004D63A5"/>
    <w:rsid w:val="004D6646"/>
    <w:rsid w:val="004D67D5"/>
    <w:rsid w:val="004D6953"/>
    <w:rsid w:val="004D6983"/>
    <w:rsid w:val="004D6997"/>
    <w:rsid w:val="004D6C90"/>
    <w:rsid w:val="004D6CEB"/>
    <w:rsid w:val="004D6D3C"/>
    <w:rsid w:val="004D701B"/>
    <w:rsid w:val="004D7067"/>
    <w:rsid w:val="004D71F9"/>
    <w:rsid w:val="004D723E"/>
    <w:rsid w:val="004D7246"/>
    <w:rsid w:val="004D7614"/>
    <w:rsid w:val="004D7706"/>
    <w:rsid w:val="004D7735"/>
    <w:rsid w:val="004D776C"/>
    <w:rsid w:val="004D79CE"/>
    <w:rsid w:val="004D7E4D"/>
    <w:rsid w:val="004D7F71"/>
    <w:rsid w:val="004D7FA1"/>
    <w:rsid w:val="004D7FCC"/>
    <w:rsid w:val="004D7FEE"/>
    <w:rsid w:val="004E0174"/>
    <w:rsid w:val="004E023E"/>
    <w:rsid w:val="004E03C6"/>
    <w:rsid w:val="004E0433"/>
    <w:rsid w:val="004E0688"/>
    <w:rsid w:val="004E0C00"/>
    <w:rsid w:val="004E0C17"/>
    <w:rsid w:val="004E0C1B"/>
    <w:rsid w:val="004E0C82"/>
    <w:rsid w:val="004E0DBF"/>
    <w:rsid w:val="004E0F10"/>
    <w:rsid w:val="004E107B"/>
    <w:rsid w:val="004E1086"/>
    <w:rsid w:val="004E109C"/>
    <w:rsid w:val="004E1115"/>
    <w:rsid w:val="004E1270"/>
    <w:rsid w:val="004E16F8"/>
    <w:rsid w:val="004E1A15"/>
    <w:rsid w:val="004E1A45"/>
    <w:rsid w:val="004E1A58"/>
    <w:rsid w:val="004E1C9D"/>
    <w:rsid w:val="004E1F5E"/>
    <w:rsid w:val="004E200A"/>
    <w:rsid w:val="004E2040"/>
    <w:rsid w:val="004E21BF"/>
    <w:rsid w:val="004E22E4"/>
    <w:rsid w:val="004E23BC"/>
    <w:rsid w:val="004E25B5"/>
    <w:rsid w:val="004E26CE"/>
    <w:rsid w:val="004E2877"/>
    <w:rsid w:val="004E28C0"/>
    <w:rsid w:val="004E2F48"/>
    <w:rsid w:val="004E338C"/>
    <w:rsid w:val="004E33D1"/>
    <w:rsid w:val="004E3A31"/>
    <w:rsid w:val="004E3A32"/>
    <w:rsid w:val="004E3AA1"/>
    <w:rsid w:val="004E3AE9"/>
    <w:rsid w:val="004E3AEF"/>
    <w:rsid w:val="004E3B18"/>
    <w:rsid w:val="004E3DBE"/>
    <w:rsid w:val="004E410B"/>
    <w:rsid w:val="004E4335"/>
    <w:rsid w:val="004E4660"/>
    <w:rsid w:val="004E466C"/>
    <w:rsid w:val="004E47AB"/>
    <w:rsid w:val="004E497B"/>
    <w:rsid w:val="004E4986"/>
    <w:rsid w:val="004E49EA"/>
    <w:rsid w:val="004E4FD1"/>
    <w:rsid w:val="004E51DC"/>
    <w:rsid w:val="004E5253"/>
    <w:rsid w:val="004E5335"/>
    <w:rsid w:val="004E5363"/>
    <w:rsid w:val="004E55E2"/>
    <w:rsid w:val="004E5670"/>
    <w:rsid w:val="004E5861"/>
    <w:rsid w:val="004E58FD"/>
    <w:rsid w:val="004E591F"/>
    <w:rsid w:val="004E5ACF"/>
    <w:rsid w:val="004E5AE5"/>
    <w:rsid w:val="004E5BB4"/>
    <w:rsid w:val="004E5C5F"/>
    <w:rsid w:val="004E5F3C"/>
    <w:rsid w:val="004E5F53"/>
    <w:rsid w:val="004E5FB9"/>
    <w:rsid w:val="004E6183"/>
    <w:rsid w:val="004E619D"/>
    <w:rsid w:val="004E643E"/>
    <w:rsid w:val="004E68A5"/>
    <w:rsid w:val="004E6A91"/>
    <w:rsid w:val="004E6BA1"/>
    <w:rsid w:val="004E6BA9"/>
    <w:rsid w:val="004E6EAC"/>
    <w:rsid w:val="004E6F5D"/>
    <w:rsid w:val="004E72B4"/>
    <w:rsid w:val="004E7471"/>
    <w:rsid w:val="004E7574"/>
    <w:rsid w:val="004E762B"/>
    <w:rsid w:val="004E770E"/>
    <w:rsid w:val="004E7B08"/>
    <w:rsid w:val="004E7B56"/>
    <w:rsid w:val="004E7D82"/>
    <w:rsid w:val="004E7DFE"/>
    <w:rsid w:val="004F0202"/>
    <w:rsid w:val="004F0284"/>
    <w:rsid w:val="004F036A"/>
    <w:rsid w:val="004F03E2"/>
    <w:rsid w:val="004F05AD"/>
    <w:rsid w:val="004F0737"/>
    <w:rsid w:val="004F075D"/>
    <w:rsid w:val="004F07E7"/>
    <w:rsid w:val="004F08B1"/>
    <w:rsid w:val="004F08DC"/>
    <w:rsid w:val="004F0917"/>
    <w:rsid w:val="004F0A74"/>
    <w:rsid w:val="004F0A7F"/>
    <w:rsid w:val="004F0B23"/>
    <w:rsid w:val="004F0F30"/>
    <w:rsid w:val="004F111A"/>
    <w:rsid w:val="004F11C0"/>
    <w:rsid w:val="004F129B"/>
    <w:rsid w:val="004F12BD"/>
    <w:rsid w:val="004F1338"/>
    <w:rsid w:val="004F134E"/>
    <w:rsid w:val="004F13A7"/>
    <w:rsid w:val="004F13EE"/>
    <w:rsid w:val="004F1645"/>
    <w:rsid w:val="004F1786"/>
    <w:rsid w:val="004F1801"/>
    <w:rsid w:val="004F18F8"/>
    <w:rsid w:val="004F19A0"/>
    <w:rsid w:val="004F1A81"/>
    <w:rsid w:val="004F1EDF"/>
    <w:rsid w:val="004F2022"/>
    <w:rsid w:val="004F2035"/>
    <w:rsid w:val="004F20EC"/>
    <w:rsid w:val="004F22E4"/>
    <w:rsid w:val="004F2494"/>
    <w:rsid w:val="004F2576"/>
    <w:rsid w:val="004F26E1"/>
    <w:rsid w:val="004F26E4"/>
    <w:rsid w:val="004F29D1"/>
    <w:rsid w:val="004F2B40"/>
    <w:rsid w:val="004F2C91"/>
    <w:rsid w:val="004F2E27"/>
    <w:rsid w:val="004F3085"/>
    <w:rsid w:val="004F30F6"/>
    <w:rsid w:val="004F33AF"/>
    <w:rsid w:val="004F35E7"/>
    <w:rsid w:val="004F36D4"/>
    <w:rsid w:val="004F376F"/>
    <w:rsid w:val="004F392E"/>
    <w:rsid w:val="004F3A35"/>
    <w:rsid w:val="004F3C35"/>
    <w:rsid w:val="004F3C5E"/>
    <w:rsid w:val="004F3E0A"/>
    <w:rsid w:val="004F3E87"/>
    <w:rsid w:val="004F3F90"/>
    <w:rsid w:val="004F3FAF"/>
    <w:rsid w:val="004F4293"/>
    <w:rsid w:val="004F433D"/>
    <w:rsid w:val="004F46B2"/>
    <w:rsid w:val="004F4A40"/>
    <w:rsid w:val="004F4D09"/>
    <w:rsid w:val="004F4D3C"/>
    <w:rsid w:val="004F52FB"/>
    <w:rsid w:val="004F53A6"/>
    <w:rsid w:val="004F59EC"/>
    <w:rsid w:val="004F5A1D"/>
    <w:rsid w:val="004F5A9B"/>
    <w:rsid w:val="004F5B68"/>
    <w:rsid w:val="004F5D31"/>
    <w:rsid w:val="004F5ED1"/>
    <w:rsid w:val="004F6224"/>
    <w:rsid w:val="004F668B"/>
    <w:rsid w:val="004F67EE"/>
    <w:rsid w:val="004F67F8"/>
    <w:rsid w:val="004F6808"/>
    <w:rsid w:val="004F68C7"/>
    <w:rsid w:val="004F6928"/>
    <w:rsid w:val="004F699F"/>
    <w:rsid w:val="004F6B66"/>
    <w:rsid w:val="004F74C8"/>
    <w:rsid w:val="004F76A5"/>
    <w:rsid w:val="004F7759"/>
    <w:rsid w:val="004F78F9"/>
    <w:rsid w:val="004F79BB"/>
    <w:rsid w:val="004F7BD7"/>
    <w:rsid w:val="004F7C05"/>
    <w:rsid w:val="004F7C26"/>
    <w:rsid w:val="004F7D18"/>
    <w:rsid w:val="004F7E7B"/>
    <w:rsid w:val="0050055C"/>
    <w:rsid w:val="0050055D"/>
    <w:rsid w:val="005005E7"/>
    <w:rsid w:val="005006C9"/>
    <w:rsid w:val="00500DE0"/>
    <w:rsid w:val="00501110"/>
    <w:rsid w:val="0050114B"/>
    <w:rsid w:val="005011FA"/>
    <w:rsid w:val="0050120C"/>
    <w:rsid w:val="00501397"/>
    <w:rsid w:val="005013FC"/>
    <w:rsid w:val="00501422"/>
    <w:rsid w:val="0050154F"/>
    <w:rsid w:val="005015BA"/>
    <w:rsid w:val="00501B3A"/>
    <w:rsid w:val="00501B3E"/>
    <w:rsid w:val="00501C94"/>
    <w:rsid w:val="00501E8B"/>
    <w:rsid w:val="005020BC"/>
    <w:rsid w:val="005021A9"/>
    <w:rsid w:val="005021C1"/>
    <w:rsid w:val="0050270E"/>
    <w:rsid w:val="0050278B"/>
    <w:rsid w:val="00502B55"/>
    <w:rsid w:val="00502C95"/>
    <w:rsid w:val="00502D88"/>
    <w:rsid w:val="00502E9A"/>
    <w:rsid w:val="00502FF5"/>
    <w:rsid w:val="00503442"/>
    <w:rsid w:val="00503591"/>
    <w:rsid w:val="005035FF"/>
    <w:rsid w:val="0050373C"/>
    <w:rsid w:val="00503776"/>
    <w:rsid w:val="005038BF"/>
    <w:rsid w:val="0050398D"/>
    <w:rsid w:val="00503A20"/>
    <w:rsid w:val="00503A3B"/>
    <w:rsid w:val="00503D51"/>
    <w:rsid w:val="00503DD8"/>
    <w:rsid w:val="00503E80"/>
    <w:rsid w:val="00504172"/>
    <w:rsid w:val="005043EA"/>
    <w:rsid w:val="005044B5"/>
    <w:rsid w:val="0050488A"/>
    <w:rsid w:val="0050491C"/>
    <w:rsid w:val="0050494A"/>
    <w:rsid w:val="005049D6"/>
    <w:rsid w:val="00504B76"/>
    <w:rsid w:val="00504BBC"/>
    <w:rsid w:val="00504C0C"/>
    <w:rsid w:val="00504C5F"/>
    <w:rsid w:val="00504E51"/>
    <w:rsid w:val="00504F04"/>
    <w:rsid w:val="00504FDB"/>
    <w:rsid w:val="005050FE"/>
    <w:rsid w:val="005053EB"/>
    <w:rsid w:val="00505B0D"/>
    <w:rsid w:val="00505B1E"/>
    <w:rsid w:val="00505E99"/>
    <w:rsid w:val="005063D2"/>
    <w:rsid w:val="00506432"/>
    <w:rsid w:val="005065DF"/>
    <w:rsid w:val="00506637"/>
    <w:rsid w:val="0050681F"/>
    <w:rsid w:val="00506831"/>
    <w:rsid w:val="00506915"/>
    <w:rsid w:val="00506A01"/>
    <w:rsid w:val="00506A29"/>
    <w:rsid w:val="00506B1D"/>
    <w:rsid w:val="00506CE2"/>
    <w:rsid w:val="00506DA5"/>
    <w:rsid w:val="00506F77"/>
    <w:rsid w:val="0050700E"/>
    <w:rsid w:val="005070D4"/>
    <w:rsid w:val="0050716F"/>
    <w:rsid w:val="00507303"/>
    <w:rsid w:val="00507304"/>
    <w:rsid w:val="0050740B"/>
    <w:rsid w:val="005076BF"/>
    <w:rsid w:val="005077A5"/>
    <w:rsid w:val="00507842"/>
    <w:rsid w:val="00507849"/>
    <w:rsid w:val="00507D9D"/>
    <w:rsid w:val="00507DCC"/>
    <w:rsid w:val="00507E0C"/>
    <w:rsid w:val="005101C9"/>
    <w:rsid w:val="00510222"/>
    <w:rsid w:val="005102FE"/>
    <w:rsid w:val="0051030B"/>
    <w:rsid w:val="005107FA"/>
    <w:rsid w:val="00510A03"/>
    <w:rsid w:val="00510AE3"/>
    <w:rsid w:val="00510D0D"/>
    <w:rsid w:val="00510D6B"/>
    <w:rsid w:val="00510F9E"/>
    <w:rsid w:val="00511326"/>
    <w:rsid w:val="00511830"/>
    <w:rsid w:val="00511BCE"/>
    <w:rsid w:val="00512007"/>
    <w:rsid w:val="00512027"/>
    <w:rsid w:val="00512085"/>
    <w:rsid w:val="0051242B"/>
    <w:rsid w:val="00512716"/>
    <w:rsid w:val="00512734"/>
    <w:rsid w:val="00512927"/>
    <w:rsid w:val="00512AA3"/>
    <w:rsid w:val="00512C14"/>
    <w:rsid w:val="00512D2F"/>
    <w:rsid w:val="00512D70"/>
    <w:rsid w:val="00512E98"/>
    <w:rsid w:val="00512F12"/>
    <w:rsid w:val="00513131"/>
    <w:rsid w:val="00513219"/>
    <w:rsid w:val="00513442"/>
    <w:rsid w:val="0051373C"/>
    <w:rsid w:val="00513794"/>
    <w:rsid w:val="005137BA"/>
    <w:rsid w:val="00513A5C"/>
    <w:rsid w:val="00513A7E"/>
    <w:rsid w:val="005142EB"/>
    <w:rsid w:val="0051430F"/>
    <w:rsid w:val="005146F5"/>
    <w:rsid w:val="0051490E"/>
    <w:rsid w:val="00514B85"/>
    <w:rsid w:val="00514BFD"/>
    <w:rsid w:val="00514D38"/>
    <w:rsid w:val="005150C9"/>
    <w:rsid w:val="00515206"/>
    <w:rsid w:val="00515460"/>
    <w:rsid w:val="00515672"/>
    <w:rsid w:val="00515680"/>
    <w:rsid w:val="00515732"/>
    <w:rsid w:val="00515839"/>
    <w:rsid w:val="0051597A"/>
    <w:rsid w:val="00515986"/>
    <w:rsid w:val="00515B3E"/>
    <w:rsid w:val="00515E0D"/>
    <w:rsid w:val="00515E41"/>
    <w:rsid w:val="00515EE4"/>
    <w:rsid w:val="005161A3"/>
    <w:rsid w:val="005161AA"/>
    <w:rsid w:val="005163B0"/>
    <w:rsid w:val="0051643D"/>
    <w:rsid w:val="005166D8"/>
    <w:rsid w:val="00516754"/>
    <w:rsid w:val="005167D7"/>
    <w:rsid w:val="0051680B"/>
    <w:rsid w:val="00516838"/>
    <w:rsid w:val="00516957"/>
    <w:rsid w:val="005169D3"/>
    <w:rsid w:val="00516A37"/>
    <w:rsid w:val="00516AA3"/>
    <w:rsid w:val="00516B2B"/>
    <w:rsid w:val="00516FA6"/>
    <w:rsid w:val="00517420"/>
    <w:rsid w:val="0051749A"/>
    <w:rsid w:val="00517545"/>
    <w:rsid w:val="00517548"/>
    <w:rsid w:val="005177D5"/>
    <w:rsid w:val="005179A0"/>
    <w:rsid w:val="00517A95"/>
    <w:rsid w:val="00517B0C"/>
    <w:rsid w:val="00517B40"/>
    <w:rsid w:val="00517CBD"/>
    <w:rsid w:val="00517D72"/>
    <w:rsid w:val="00517D92"/>
    <w:rsid w:val="00517F26"/>
    <w:rsid w:val="00520089"/>
    <w:rsid w:val="005202B2"/>
    <w:rsid w:val="0052051D"/>
    <w:rsid w:val="00520554"/>
    <w:rsid w:val="0052055B"/>
    <w:rsid w:val="0052068D"/>
    <w:rsid w:val="005206E7"/>
    <w:rsid w:val="005207F9"/>
    <w:rsid w:val="00520880"/>
    <w:rsid w:val="00520B0A"/>
    <w:rsid w:val="00520CA1"/>
    <w:rsid w:val="00520E56"/>
    <w:rsid w:val="00520FEB"/>
    <w:rsid w:val="00520FF8"/>
    <w:rsid w:val="005215EB"/>
    <w:rsid w:val="005216F8"/>
    <w:rsid w:val="00521859"/>
    <w:rsid w:val="00522011"/>
    <w:rsid w:val="0052208D"/>
    <w:rsid w:val="00522120"/>
    <w:rsid w:val="00522181"/>
    <w:rsid w:val="005221F2"/>
    <w:rsid w:val="005223E0"/>
    <w:rsid w:val="00522520"/>
    <w:rsid w:val="00522587"/>
    <w:rsid w:val="005225DA"/>
    <w:rsid w:val="00522686"/>
    <w:rsid w:val="005226FE"/>
    <w:rsid w:val="005229ED"/>
    <w:rsid w:val="00522CFE"/>
    <w:rsid w:val="00522F3A"/>
    <w:rsid w:val="00523636"/>
    <w:rsid w:val="0052363E"/>
    <w:rsid w:val="00523733"/>
    <w:rsid w:val="00523B16"/>
    <w:rsid w:val="00523B87"/>
    <w:rsid w:val="00523CDB"/>
    <w:rsid w:val="00523F1A"/>
    <w:rsid w:val="00523F4F"/>
    <w:rsid w:val="00523FB0"/>
    <w:rsid w:val="00524203"/>
    <w:rsid w:val="00524260"/>
    <w:rsid w:val="005247CA"/>
    <w:rsid w:val="00524972"/>
    <w:rsid w:val="00524ACE"/>
    <w:rsid w:val="00524B23"/>
    <w:rsid w:val="00524B51"/>
    <w:rsid w:val="00524C0E"/>
    <w:rsid w:val="00524D2F"/>
    <w:rsid w:val="00524D3C"/>
    <w:rsid w:val="005250B3"/>
    <w:rsid w:val="0052516B"/>
    <w:rsid w:val="005251E9"/>
    <w:rsid w:val="00525256"/>
    <w:rsid w:val="005252ED"/>
    <w:rsid w:val="005253D3"/>
    <w:rsid w:val="005254E2"/>
    <w:rsid w:val="005254E8"/>
    <w:rsid w:val="0052573D"/>
    <w:rsid w:val="00525845"/>
    <w:rsid w:val="0052599A"/>
    <w:rsid w:val="00525A08"/>
    <w:rsid w:val="00525ADB"/>
    <w:rsid w:val="00525E2B"/>
    <w:rsid w:val="00525E68"/>
    <w:rsid w:val="00525E97"/>
    <w:rsid w:val="00525EE0"/>
    <w:rsid w:val="005260BA"/>
    <w:rsid w:val="0052616B"/>
    <w:rsid w:val="00526259"/>
    <w:rsid w:val="005262E1"/>
    <w:rsid w:val="00526691"/>
    <w:rsid w:val="0052672E"/>
    <w:rsid w:val="00526758"/>
    <w:rsid w:val="00526C97"/>
    <w:rsid w:val="00526E4E"/>
    <w:rsid w:val="00527316"/>
    <w:rsid w:val="005274DC"/>
    <w:rsid w:val="00527659"/>
    <w:rsid w:val="00527686"/>
    <w:rsid w:val="00527788"/>
    <w:rsid w:val="005277AF"/>
    <w:rsid w:val="0052787B"/>
    <w:rsid w:val="0052792F"/>
    <w:rsid w:val="005279B0"/>
    <w:rsid w:val="00527A0A"/>
    <w:rsid w:val="00527AB9"/>
    <w:rsid w:val="00527B43"/>
    <w:rsid w:val="00527C48"/>
    <w:rsid w:val="00527CE4"/>
    <w:rsid w:val="00527F59"/>
    <w:rsid w:val="0053012E"/>
    <w:rsid w:val="00530241"/>
    <w:rsid w:val="00530354"/>
    <w:rsid w:val="005304B5"/>
    <w:rsid w:val="005304E4"/>
    <w:rsid w:val="0053056A"/>
    <w:rsid w:val="0053060E"/>
    <w:rsid w:val="0053090E"/>
    <w:rsid w:val="0053093E"/>
    <w:rsid w:val="00530ACF"/>
    <w:rsid w:val="00530CE1"/>
    <w:rsid w:val="00530DA1"/>
    <w:rsid w:val="00530E04"/>
    <w:rsid w:val="00530F82"/>
    <w:rsid w:val="00531070"/>
    <w:rsid w:val="005311A1"/>
    <w:rsid w:val="00531335"/>
    <w:rsid w:val="005314AA"/>
    <w:rsid w:val="0053172F"/>
    <w:rsid w:val="0053176F"/>
    <w:rsid w:val="005318BF"/>
    <w:rsid w:val="005319CE"/>
    <w:rsid w:val="00531C00"/>
    <w:rsid w:val="00531D94"/>
    <w:rsid w:val="005320FA"/>
    <w:rsid w:val="0053217B"/>
    <w:rsid w:val="005321C6"/>
    <w:rsid w:val="0053233E"/>
    <w:rsid w:val="00532460"/>
    <w:rsid w:val="00532AB2"/>
    <w:rsid w:val="00532C5E"/>
    <w:rsid w:val="00532D68"/>
    <w:rsid w:val="00532E63"/>
    <w:rsid w:val="00532E7B"/>
    <w:rsid w:val="00532F15"/>
    <w:rsid w:val="00532F1C"/>
    <w:rsid w:val="00532F5F"/>
    <w:rsid w:val="0053319E"/>
    <w:rsid w:val="005331C7"/>
    <w:rsid w:val="005332A8"/>
    <w:rsid w:val="00533402"/>
    <w:rsid w:val="00533658"/>
    <w:rsid w:val="00533848"/>
    <w:rsid w:val="00533B7A"/>
    <w:rsid w:val="00533B85"/>
    <w:rsid w:val="00533C13"/>
    <w:rsid w:val="00533E61"/>
    <w:rsid w:val="00533EC8"/>
    <w:rsid w:val="00534125"/>
    <w:rsid w:val="005341CD"/>
    <w:rsid w:val="0053422F"/>
    <w:rsid w:val="0053425C"/>
    <w:rsid w:val="00534269"/>
    <w:rsid w:val="00534275"/>
    <w:rsid w:val="005342B0"/>
    <w:rsid w:val="005342E2"/>
    <w:rsid w:val="005342EC"/>
    <w:rsid w:val="00534420"/>
    <w:rsid w:val="005344B0"/>
    <w:rsid w:val="005344E3"/>
    <w:rsid w:val="00535505"/>
    <w:rsid w:val="005356E6"/>
    <w:rsid w:val="005357C0"/>
    <w:rsid w:val="00535BF9"/>
    <w:rsid w:val="00535E0D"/>
    <w:rsid w:val="00535EEA"/>
    <w:rsid w:val="00535FA7"/>
    <w:rsid w:val="00536090"/>
    <w:rsid w:val="005363AB"/>
    <w:rsid w:val="005363D7"/>
    <w:rsid w:val="005365D7"/>
    <w:rsid w:val="00536641"/>
    <w:rsid w:val="00536758"/>
    <w:rsid w:val="00536A5D"/>
    <w:rsid w:val="00536A89"/>
    <w:rsid w:val="00536B5A"/>
    <w:rsid w:val="00536B76"/>
    <w:rsid w:val="00536BE8"/>
    <w:rsid w:val="00536CE5"/>
    <w:rsid w:val="005372E4"/>
    <w:rsid w:val="00537553"/>
    <w:rsid w:val="00537636"/>
    <w:rsid w:val="00537699"/>
    <w:rsid w:val="00537893"/>
    <w:rsid w:val="00537A1E"/>
    <w:rsid w:val="00537B85"/>
    <w:rsid w:val="00537E8D"/>
    <w:rsid w:val="0054010D"/>
    <w:rsid w:val="005401E8"/>
    <w:rsid w:val="00540270"/>
    <w:rsid w:val="00540603"/>
    <w:rsid w:val="00540A05"/>
    <w:rsid w:val="00540B21"/>
    <w:rsid w:val="00540B2A"/>
    <w:rsid w:val="00540BA8"/>
    <w:rsid w:val="00540DF5"/>
    <w:rsid w:val="00540E51"/>
    <w:rsid w:val="00541233"/>
    <w:rsid w:val="005412C6"/>
    <w:rsid w:val="00541500"/>
    <w:rsid w:val="00541691"/>
    <w:rsid w:val="0054185E"/>
    <w:rsid w:val="00541AE2"/>
    <w:rsid w:val="00541E9B"/>
    <w:rsid w:val="00541F1D"/>
    <w:rsid w:val="00541F9D"/>
    <w:rsid w:val="005421D6"/>
    <w:rsid w:val="00542281"/>
    <w:rsid w:val="005425CB"/>
    <w:rsid w:val="00542728"/>
    <w:rsid w:val="00542A1F"/>
    <w:rsid w:val="00542A88"/>
    <w:rsid w:val="00542B1B"/>
    <w:rsid w:val="00542DD3"/>
    <w:rsid w:val="00542E5C"/>
    <w:rsid w:val="00542E7C"/>
    <w:rsid w:val="00542F0C"/>
    <w:rsid w:val="005430F4"/>
    <w:rsid w:val="005431BC"/>
    <w:rsid w:val="0054329F"/>
    <w:rsid w:val="005432B6"/>
    <w:rsid w:val="005433F9"/>
    <w:rsid w:val="00543500"/>
    <w:rsid w:val="005436BD"/>
    <w:rsid w:val="005436DA"/>
    <w:rsid w:val="0054370B"/>
    <w:rsid w:val="00543AAA"/>
    <w:rsid w:val="00543AB0"/>
    <w:rsid w:val="00543C88"/>
    <w:rsid w:val="0054400E"/>
    <w:rsid w:val="00544026"/>
    <w:rsid w:val="0054453F"/>
    <w:rsid w:val="00544A69"/>
    <w:rsid w:val="00544C9F"/>
    <w:rsid w:val="00544DFB"/>
    <w:rsid w:val="0054515A"/>
    <w:rsid w:val="0054522D"/>
    <w:rsid w:val="005452E3"/>
    <w:rsid w:val="00545323"/>
    <w:rsid w:val="005453B4"/>
    <w:rsid w:val="005456E3"/>
    <w:rsid w:val="005458A5"/>
    <w:rsid w:val="00545B26"/>
    <w:rsid w:val="00545C41"/>
    <w:rsid w:val="00545C87"/>
    <w:rsid w:val="00545E81"/>
    <w:rsid w:val="00545EE6"/>
    <w:rsid w:val="00545FDA"/>
    <w:rsid w:val="00546050"/>
    <w:rsid w:val="005461F1"/>
    <w:rsid w:val="0054622A"/>
    <w:rsid w:val="0054632D"/>
    <w:rsid w:val="0054637C"/>
    <w:rsid w:val="005463B3"/>
    <w:rsid w:val="00546477"/>
    <w:rsid w:val="00546784"/>
    <w:rsid w:val="005467AB"/>
    <w:rsid w:val="00546A43"/>
    <w:rsid w:val="00546C28"/>
    <w:rsid w:val="00546C4E"/>
    <w:rsid w:val="00546D30"/>
    <w:rsid w:val="00546E40"/>
    <w:rsid w:val="00546E44"/>
    <w:rsid w:val="0054742E"/>
    <w:rsid w:val="00547599"/>
    <w:rsid w:val="00547826"/>
    <w:rsid w:val="00547828"/>
    <w:rsid w:val="005479E6"/>
    <w:rsid w:val="00547B48"/>
    <w:rsid w:val="00547BF0"/>
    <w:rsid w:val="00547C67"/>
    <w:rsid w:val="00547D5B"/>
    <w:rsid w:val="00547DE5"/>
    <w:rsid w:val="00547F82"/>
    <w:rsid w:val="00547FAA"/>
    <w:rsid w:val="005508AA"/>
    <w:rsid w:val="0055092D"/>
    <w:rsid w:val="00550A74"/>
    <w:rsid w:val="00550FAF"/>
    <w:rsid w:val="0055131D"/>
    <w:rsid w:val="005514AB"/>
    <w:rsid w:val="00551726"/>
    <w:rsid w:val="00551822"/>
    <w:rsid w:val="005518CB"/>
    <w:rsid w:val="00551D6A"/>
    <w:rsid w:val="005520AF"/>
    <w:rsid w:val="005523FD"/>
    <w:rsid w:val="00552402"/>
    <w:rsid w:val="005524D9"/>
    <w:rsid w:val="005525AC"/>
    <w:rsid w:val="00552A6C"/>
    <w:rsid w:val="00552AD9"/>
    <w:rsid w:val="00552D43"/>
    <w:rsid w:val="00552F49"/>
    <w:rsid w:val="00553099"/>
    <w:rsid w:val="005533D7"/>
    <w:rsid w:val="00553519"/>
    <w:rsid w:val="0055358A"/>
    <w:rsid w:val="005536E6"/>
    <w:rsid w:val="00553726"/>
    <w:rsid w:val="005537D5"/>
    <w:rsid w:val="005538E0"/>
    <w:rsid w:val="0055391B"/>
    <w:rsid w:val="00553A6A"/>
    <w:rsid w:val="00553FFC"/>
    <w:rsid w:val="00554069"/>
    <w:rsid w:val="00554110"/>
    <w:rsid w:val="005541EB"/>
    <w:rsid w:val="0055465E"/>
    <w:rsid w:val="00554756"/>
    <w:rsid w:val="00554A2D"/>
    <w:rsid w:val="00554E51"/>
    <w:rsid w:val="00555027"/>
    <w:rsid w:val="00555032"/>
    <w:rsid w:val="005550E7"/>
    <w:rsid w:val="00555476"/>
    <w:rsid w:val="005556A8"/>
    <w:rsid w:val="00555867"/>
    <w:rsid w:val="005558D4"/>
    <w:rsid w:val="005559E7"/>
    <w:rsid w:val="00555DED"/>
    <w:rsid w:val="00555DF4"/>
    <w:rsid w:val="00555F64"/>
    <w:rsid w:val="00555F7B"/>
    <w:rsid w:val="00556002"/>
    <w:rsid w:val="00556051"/>
    <w:rsid w:val="005562CA"/>
    <w:rsid w:val="00556325"/>
    <w:rsid w:val="005564FB"/>
    <w:rsid w:val="005566F7"/>
    <w:rsid w:val="0055687A"/>
    <w:rsid w:val="005568D9"/>
    <w:rsid w:val="0055693C"/>
    <w:rsid w:val="00556BEB"/>
    <w:rsid w:val="00556CF7"/>
    <w:rsid w:val="00556D9F"/>
    <w:rsid w:val="00556FCB"/>
    <w:rsid w:val="00557244"/>
    <w:rsid w:val="005572C7"/>
    <w:rsid w:val="005573C4"/>
    <w:rsid w:val="0055771D"/>
    <w:rsid w:val="005577FD"/>
    <w:rsid w:val="00557891"/>
    <w:rsid w:val="005579FD"/>
    <w:rsid w:val="00557ABF"/>
    <w:rsid w:val="00557BE7"/>
    <w:rsid w:val="00557C46"/>
    <w:rsid w:val="00557CB4"/>
    <w:rsid w:val="00557CEF"/>
    <w:rsid w:val="00557E84"/>
    <w:rsid w:val="005605BC"/>
    <w:rsid w:val="00560815"/>
    <w:rsid w:val="00560866"/>
    <w:rsid w:val="00560A27"/>
    <w:rsid w:val="00560E0B"/>
    <w:rsid w:val="00560E25"/>
    <w:rsid w:val="00560F5C"/>
    <w:rsid w:val="005612CB"/>
    <w:rsid w:val="005613B9"/>
    <w:rsid w:val="005616AB"/>
    <w:rsid w:val="00561784"/>
    <w:rsid w:val="005617FD"/>
    <w:rsid w:val="005618B1"/>
    <w:rsid w:val="00561ADE"/>
    <w:rsid w:val="00561E01"/>
    <w:rsid w:val="00561F48"/>
    <w:rsid w:val="00562132"/>
    <w:rsid w:val="00562189"/>
    <w:rsid w:val="005622E6"/>
    <w:rsid w:val="00562503"/>
    <w:rsid w:val="0056251E"/>
    <w:rsid w:val="00562677"/>
    <w:rsid w:val="00562A29"/>
    <w:rsid w:val="00562A9A"/>
    <w:rsid w:val="00562B46"/>
    <w:rsid w:val="00562CBC"/>
    <w:rsid w:val="00562D6F"/>
    <w:rsid w:val="00562FCC"/>
    <w:rsid w:val="005630F6"/>
    <w:rsid w:val="005632CC"/>
    <w:rsid w:val="0056347E"/>
    <w:rsid w:val="00563917"/>
    <w:rsid w:val="0056394D"/>
    <w:rsid w:val="00563953"/>
    <w:rsid w:val="00563C6F"/>
    <w:rsid w:val="00563D14"/>
    <w:rsid w:val="00563DE5"/>
    <w:rsid w:val="005640F1"/>
    <w:rsid w:val="00564134"/>
    <w:rsid w:val="0056443B"/>
    <w:rsid w:val="0056449B"/>
    <w:rsid w:val="005645EA"/>
    <w:rsid w:val="005646AA"/>
    <w:rsid w:val="005648E1"/>
    <w:rsid w:val="00564AEB"/>
    <w:rsid w:val="00564B36"/>
    <w:rsid w:val="00564C3B"/>
    <w:rsid w:val="00564CB5"/>
    <w:rsid w:val="00564D31"/>
    <w:rsid w:val="00564DFD"/>
    <w:rsid w:val="00564EBF"/>
    <w:rsid w:val="00564F0A"/>
    <w:rsid w:val="00564F46"/>
    <w:rsid w:val="00564FFA"/>
    <w:rsid w:val="005650ED"/>
    <w:rsid w:val="005650F3"/>
    <w:rsid w:val="00565267"/>
    <w:rsid w:val="005653D7"/>
    <w:rsid w:val="00565541"/>
    <w:rsid w:val="00565830"/>
    <w:rsid w:val="00565AA5"/>
    <w:rsid w:val="00565D3E"/>
    <w:rsid w:val="00565FE0"/>
    <w:rsid w:val="00566082"/>
    <w:rsid w:val="005660F3"/>
    <w:rsid w:val="0056619C"/>
    <w:rsid w:val="00566226"/>
    <w:rsid w:val="0056627B"/>
    <w:rsid w:val="00566303"/>
    <w:rsid w:val="005665ED"/>
    <w:rsid w:val="0056660F"/>
    <w:rsid w:val="005666BE"/>
    <w:rsid w:val="00566800"/>
    <w:rsid w:val="00566830"/>
    <w:rsid w:val="00566A4B"/>
    <w:rsid w:val="00566D8E"/>
    <w:rsid w:val="00566EB9"/>
    <w:rsid w:val="00566F16"/>
    <w:rsid w:val="00566FB6"/>
    <w:rsid w:val="005671A5"/>
    <w:rsid w:val="005672D4"/>
    <w:rsid w:val="0056742C"/>
    <w:rsid w:val="00567A43"/>
    <w:rsid w:val="00567B18"/>
    <w:rsid w:val="00567B4F"/>
    <w:rsid w:val="00567BAA"/>
    <w:rsid w:val="00567CC7"/>
    <w:rsid w:val="00567E82"/>
    <w:rsid w:val="00567EDA"/>
    <w:rsid w:val="005701E1"/>
    <w:rsid w:val="0057054C"/>
    <w:rsid w:val="00570577"/>
    <w:rsid w:val="00570698"/>
    <w:rsid w:val="0057073A"/>
    <w:rsid w:val="0057106E"/>
    <w:rsid w:val="00571135"/>
    <w:rsid w:val="00571284"/>
    <w:rsid w:val="0057142C"/>
    <w:rsid w:val="0057143B"/>
    <w:rsid w:val="0057149B"/>
    <w:rsid w:val="005715B6"/>
    <w:rsid w:val="00571924"/>
    <w:rsid w:val="00571A68"/>
    <w:rsid w:val="00571C8A"/>
    <w:rsid w:val="00571CFD"/>
    <w:rsid w:val="00571EBE"/>
    <w:rsid w:val="00571F51"/>
    <w:rsid w:val="00571F88"/>
    <w:rsid w:val="00572039"/>
    <w:rsid w:val="005720E5"/>
    <w:rsid w:val="00572184"/>
    <w:rsid w:val="005721C3"/>
    <w:rsid w:val="005723CD"/>
    <w:rsid w:val="005723D1"/>
    <w:rsid w:val="0057243F"/>
    <w:rsid w:val="00572613"/>
    <w:rsid w:val="00572729"/>
    <w:rsid w:val="005728B8"/>
    <w:rsid w:val="00572D90"/>
    <w:rsid w:val="005732D3"/>
    <w:rsid w:val="00573407"/>
    <w:rsid w:val="0057369F"/>
    <w:rsid w:val="0057379F"/>
    <w:rsid w:val="005738CB"/>
    <w:rsid w:val="00573B30"/>
    <w:rsid w:val="00573C7D"/>
    <w:rsid w:val="00573CA0"/>
    <w:rsid w:val="00574002"/>
    <w:rsid w:val="005740B2"/>
    <w:rsid w:val="00574484"/>
    <w:rsid w:val="005749D8"/>
    <w:rsid w:val="005749FE"/>
    <w:rsid w:val="00574A93"/>
    <w:rsid w:val="00574AC4"/>
    <w:rsid w:val="00574E27"/>
    <w:rsid w:val="00574FC0"/>
    <w:rsid w:val="00575016"/>
    <w:rsid w:val="00575127"/>
    <w:rsid w:val="0057549B"/>
    <w:rsid w:val="0057554A"/>
    <w:rsid w:val="00575593"/>
    <w:rsid w:val="005755F7"/>
    <w:rsid w:val="005756AC"/>
    <w:rsid w:val="00575754"/>
    <w:rsid w:val="00575836"/>
    <w:rsid w:val="00575BA6"/>
    <w:rsid w:val="00575BEC"/>
    <w:rsid w:val="00575C84"/>
    <w:rsid w:val="00575F07"/>
    <w:rsid w:val="00575FB1"/>
    <w:rsid w:val="00576653"/>
    <w:rsid w:val="00576B49"/>
    <w:rsid w:val="00576C2B"/>
    <w:rsid w:val="00576FE0"/>
    <w:rsid w:val="00577246"/>
    <w:rsid w:val="0057779F"/>
    <w:rsid w:val="005777B6"/>
    <w:rsid w:val="00577B4E"/>
    <w:rsid w:val="00577BCF"/>
    <w:rsid w:val="00577C1C"/>
    <w:rsid w:val="00577C96"/>
    <w:rsid w:val="00577F83"/>
    <w:rsid w:val="00580163"/>
    <w:rsid w:val="00580339"/>
    <w:rsid w:val="0058035D"/>
    <w:rsid w:val="005803AD"/>
    <w:rsid w:val="005803F5"/>
    <w:rsid w:val="0058043C"/>
    <w:rsid w:val="00580636"/>
    <w:rsid w:val="00580ED8"/>
    <w:rsid w:val="00580F07"/>
    <w:rsid w:val="00580F11"/>
    <w:rsid w:val="00580F64"/>
    <w:rsid w:val="00580FAD"/>
    <w:rsid w:val="0058100F"/>
    <w:rsid w:val="00581060"/>
    <w:rsid w:val="00581350"/>
    <w:rsid w:val="0058144A"/>
    <w:rsid w:val="00581678"/>
    <w:rsid w:val="005816C5"/>
    <w:rsid w:val="00581A59"/>
    <w:rsid w:val="00581AEE"/>
    <w:rsid w:val="00581B57"/>
    <w:rsid w:val="00581C64"/>
    <w:rsid w:val="00581DFD"/>
    <w:rsid w:val="00581F9F"/>
    <w:rsid w:val="00582148"/>
    <w:rsid w:val="005821AC"/>
    <w:rsid w:val="005824AA"/>
    <w:rsid w:val="005824AE"/>
    <w:rsid w:val="005824FA"/>
    <w:rsid w:val="005825A6"/>
    <w:rsid w:val="0058262D"/>
    <w:rsid w:val="005827A5"/>
    <w:rsid w:val="005827DE"/>
    <w:rsid w:val="005827DF"/>
    <w:rsid w:val="0058292E"/>
    <w:rsid w:val="00582C12"/>
    <w:rsid w:val="00582C1E"/>
    <w:rsid w:val="00582CC1"/>
    <w:rsid w:val="00582DFF"/>
    <w:rsid w:val="00582FE6"/>
    <w:rsid w:val="00583076"/>
    <w:rsid w:val="005831D2"/>
    <w:rsid w:val="0058321E"/>
    <w:rsid w:val="005832A6"/>
    <w:rsid w:val="00583449"/>
    <w:rsid w:val="0058349B"/>
    <w:rsid w:val="00583A4B"/>
    <w:rsid w:val="00583CD5"/>
    <w:rsid w:val="00584650"/>
    <w:rsid w:val="00584742"/>
    <w:rsid w:val="005847EB"/>
    <w:rsid w:val="00584C6D"/>
    <w:rsid w:val="00584DCF"/>
    <w:rsid w:val="005851EC"/>
    <w:rsid w:val="00585203"/>
    <w:rsid w:val="005854DF"/>
    <w:rsid w:val="0058558A"/>
    <w:rsid w:val="0058566D"/>
    <w:rsid w:val="00585A40"/>
    <w:rsid w:val="00585DD1"/>
    <w:rsid w:val="0058602B"/>
    <w:rsid w:val="005860A3"/>
    <w:rsid w:val="0058613A"/>
    <w:rsid w:val="005862B7"/>
    <w:rsid w:val="0058669C"/>
    <w:rsid w:val="00586827"/>
    <w:rsid w:val="005868C7"/>
    <w:rsid w:val="005869DD"/>
    <w:rsid w:val="00586A10"/>
    <w:rsid w:val="00586AFB"/>
    <w:rsid w:val="00586B73"/>
    <w:rsid w:val="00586D63"/>
    <w:rsid w:val="00586EBA"/>
    <w:rsid w:val="0058705F"/>
    <w:rsid w:val="0058777C"/>
    <w:rsid w:val="005877DA"/>
    <w:rsid w:val="00587810"/>
    <w:rsid w:val="00587930"/>
    <w:rsid w:val="00587B84"/>
    <w:rsid w:val="00587CEF"/>
    <w:rsid w:val="00587D71"/>
    <w:rsid w:val="00587DBD"/>
    <w:rsid w:val="00587DD5"/>
    <w:rsid w:val="00587E91"/>
    <w:rsid w:val="0059013D"/>
    <w:rsid w:val="005901C1"/>
    <w:rsid w:val="005901FC"/>
    <w:rsid w:val="005902D8"/>
    <w:rsid w:val="00590326"/>
    <w:rsid w:val="00590417"/>
    <w:rsid w:val="005906A1"/>
    <w:rsid w:val="005907DB"/>
    <w:rsid w:val="0059103A"/>
    <w:rsid w:val="005913A4"/>
    <w:rsid w:val="005914DE"/>
    <w:rsid w:val="005915BB"/>
    <w:rsid w:val="0059166D"/>
    <w:rsid w:val="00591778"/>
    <w:rsid w:val="00591960"/>
    <w:rsid w:val="00591989"/>
    <w:rsid w:val="00591993"/>
    <w:rsid w:val="00591A34"/>
    <w:rsid w:val="00591BE1"/>
    <w:rsid w:val="00591C08"/>
    <w:rsid w:val="00591E20"/>
    <w:rsid w:val="00591EEE"/>
    <w:rsid w:val="00591F21"/>
    <w:rsid w:val="00591F88"/>
    <w:rsid w:val="0059225C"/>
    <w:rsid w:val="0059251E"/>
    <w:rsid w:val="00592538"/>
    <w:rsid w:val="0059267A"/>
    <w:rsid w:val="005926C1"/>
    <w:rsid w:val="005927F5"/>
    <w:rsid w:val="005928F7"/>
    <w:rsid w:val="00592C36"/>
    <w:rsid w:val="00592F0C"/>
    <w:rsid w:val="00592F49"/>
    <w:rsid w:val="00592FF1"/>
    <w:rsid w:val="00593054"/>
    <w:rsid w:val="00593063"/>
    <w:rsid w:val="005932DD"/>
    <w:rsid w:val="005935CC"/>
    <w:rsid w:val="00593615"/>
    <w:rsid w:val="0059362E"/>
    <w:rsid w:val="00593950"/>
    <w:rsid w:val="00593978"/>
    <w:rsid w:val="005939CF"/>
    <w:rsid w:val="00593AFA"/>
    <w:rsid w:val="00593B02"/>
    <w:rsid w:val="00593DE6"/>
    <w:rsid w:val="00593E81"/>
    <w:rsid w:val="00593E92"/>
    <w:rsid w:val="00593EDB"/>
    <w:rsid w:val="005940A4"/>
    <w:rsid w:val="0059427C"/>
    <w:rsid w:val="005943F6"/>
    <w:rsid w:val="005944BD"/>
    <w:rsid w:val="005944FA"/>
    <w:rsid w:val="00594831"/>
    <w:rsid w:val="00594AF9"/>
    <w:rsid w:val="00594C74"/>
    <w:rsid w:val="00594D13"/>
    <w:rsid w:val="00594F80"/>
    <w:rsid w:val="005950AD"/>
    <w:rsid w:val="005951BA"/>
    <w:rsid w:val="00595262"/>
    <w:rsid w:val="005952E0"/>
    <w:rsid w:val="0059533F"/>
    <w:rsid w:val="0059539F"/>
    <w:rsid w:val="00595408"/>
    <w:rsid w:val="00595557"/>
    <w:rsid w:val="00595628"/>
    <w:rsid w:val="005956DB"/>
    <w:rsid w:val="00595719"/>
    <w:rsid w:val="00595A45"/>
    <w:rsid w:val="00595C0D"/>
    <w:rsid w:val="00595D58"/>
    <w:rsid w:val="00595D8F"/>
    <w:rsid w:val="00595E84"/>
    <w:rsid w:val="00595EB3"/>
    <w:rsid w:val="00595F5B"/>
    <w:rsid w:val="00596204"/>
    <w:rsid w:val="0059636C"/>
    <w:rsid w:val="00596411"/>
    <w:rsid w:val="00596425"/>
    <w:rsid w:val="0059643F"/>
    <w:rsid w:val="00596537"/>
    <w:rsid w:val="00596841"/>
    <w:rsid w:val="0059684A"/>
    <w:rsid w:val="0059690E"/>
    <w:rsid w:val="005969C2"/>
    <w:rsid w:val="00596AF2"/>
    <w:rsid w:val="00596B31"/>
    <w:rsid w:val="00596B5C"/>
    <w:rsid w:val="00596BB0"/>
    <w:rsid w:val="00596CAA"/>
    <w:rsid w:val="00596D6B"/>
    <w:rsid w:val="00596DA4"/>
    <w:rsid w:val="00596DE9"/>
    <w:rsid w:val="0059701D"/>
    <w:rsid w:val="00597130"/>
    <w:rsid w:val="005973C4"/>
    <w:rsid w:val="0059743E"/>
    <w:rsid w:val="00597564"/>
    <w:rsid w:val="00597625"/>
    <w:rsid w:val="00597636"/>
    <w:rsid w:val="00597794"/>
    <w:rsid w:val="005978F3"/>
    <w:rsid w:val="00597C85"/>
    <w:rsid w:val="00597D79"/>
    <w:rsid w:val="00597DBD"/>
    <w:rsid w:val="00597E5E"/>
    <w:rsid w:val="00597FAF"/>
    <w:rsid w:val="005A0314"/>
    <w:rsid w:val="005A04BE"/>
    <w:rsid w:val="005A05D6"/>
    <w:rsid w:val="005A061F"/>
    <w:rsid w:val="005A099E"/>
    <w:rsid w:val="005A09AF"/>
    <w:rsid w:val="005A0C59"/>
    <w:rsid w:val="005A0E33"/>
    <w:rsid w:val="005A0E7D"/>
    <w:rsid w:val="005A12F0"/>
    <w:rsid w:val="005A14C0"/>
    <w:rsid w:val="005A1503"/>
    <w:rsid w:val="005A1507"/>
    <w:rsid w:val="005A15A6"/>
    <w:rsid w:val="005A15B7"/>
    <w:rsid w:val="005A171F"/>
    <w:rsid w:val="005A17B1"/>
    <w:rsid w:val="005A1AA0"/>
    <w:rsid w:val="005A1BA4"/>
    <w:rsid w:val="005A1CF7"/>
    <w:rsid w:val="005A1D8C"/>
    <w:rsid w:val="005A20AD"/>
    <w:rsid w:val="005A237F"/>
    <w:rsid w:val="005A2754"/>
    <w:rsid w:val="005A29DA"/>
    <w:rsid w:val="005A2AF7"/>
    <w:rsid w:val="005A2BDA"/>
    <w:rsid w:val="005A2DCB"/>
    <w:rsid w:val="005A2E6F"/>
    <w:rsid w:val="005A2FA7"/>
    <w:rsid w:val="005A2FD6"/>
    <w:rsid w:val="005A31DA"/>
    <w:rsid w:val="005A33F9"/>
    <w:rsid w:val="005A3629"/>
    <w:rsid w:val="005A3749"/>
    <w:rsid w:val="005A37E7"/>
    <w:rsid w:val="005A3860"/>
    <w:rsid w:val="005A392C"/>
    <w:rsid w:val="005A3994"/>
    <w:rsid w:val="005A3BBA"/>
    <w:rsid w:val="005A3C33"/>
    <w:rsid w:val="005A3C65"/>
    <w:rsid w:val="005A3ED2"/>
    <w:rsid w:val="005A40BD"/>
    <w:rsid w:val="005A444E"/>
    <w:rsid w:val="005A483E"/>
    <w:rsid w:val="005A4863"/>
    <w:rsid w:val="005A48EB"/>
    <w:rsid w:val="005A4ACE"/>
    <w:rsid w:val="005A4BB6"/>
    <w:rsid w:val="005A4CBB"/>
    <w:rsid w:val="005A4E76"/>
    <w:rsid w:val="005A5003"/>
    <w:rsid w:val="005A521F"/>
    <w:rsid w:val="005A528C"/>
    <w:rsid w:val="005A52AD"/>
    <w:rsid w:val="005A5318"/>
    <w:rsid w:val="005A5488"/>
    <w:rsid w:val="005A5946"/>
    <w:rsid w:val="005A5999"/>
    <w:rsid w:val="005A5BA4"/>
    <w:rsid w:val="005A5C26"/>
    <w:rsid w:val="005A5D48"/>
    <w:rsid w:val="005A5F52"/>
    <w:rsid w:val="005A605B"/>
    <w:rsid w:val="005A60F2"/>
    <w:rsid w:val="005A6241"/>
    <w:rsid w:val="005A62A5"/>
    <w:rsid w:val="005A6435"/>
    <w:rsid w:val="005A6471"/>
    <w:rsid w:val="005A654C"/>
    <w:rsid w:val="005A67D4"/>
    <w:rsid w:val="005A67DC"/>
    <w:rsid w:val="005A6886"/>
    <w:rsid w:val="005A6A81"/>
    <w:rsid w:val="005A6AE3"/>
    <w:rsid w:val="005A6AE9"/>
    <w:rsid w:val="005A6C5C"/>
    <w:rsid w:val="005A6CFB"/>
    <w:rsid w:val="005A6F2E"/>
    <w:rsid w:val="005A701C"/>
    <w:rsid w:val="005A7037"/>
    <w:rsid w:val="005A70B6"/>
    <w:rsid w:val="005A7179"/>
    <w:rsid w:val="005A72E4"/>
    <w:rsid w:val="005A7338"/>
    <w:rsid w:val="005A74C3"/>
    <w:rsid w:val="005A755E"/>
    <w:rsid w:val="005A766A"/>
    <w:rsid w:val="005A7B2E"/>
    <w:rsid w:val="005A7BBC"/>
    <w:rsid w:val="005A7C24"/>
    <w:rsid w:val="005A7C2F"/>
    <w:rsid w:val="005A7C9A"/>
    <w:rsid w:val="005A7D9F"/>
    <w:rsid w:val="005B01E6"/>
    <w:rsid w:val="005B0264"/>
    <w:rsid w:val="005B038F"/>
    <w:rsid w:val="005B03EB"/>
    <w:rsid w:val="005B0410"/>
    <w:rsid w:val="005B045E"/>
    <w:rsid w:val="005B053D"/>
    <w:rsid w:val="005B055D"/>
    <w:rsid w:val="005B0594"/>
    <w:rsid w:val="005B06E5"/>
    <w:rsid w:val="005B06FE"/>
    <w:rsid w:val="005B08E6"/>
    <w:rsid w:val="005B0AD6"/>
    <w:rsid w:val="005B0B17"/>
    <w:rsid w:val="005B1141"/>
    <w:rsid w:val="005B1204"/>
    <w:rsid w:val="005B135D"/>
    <w:rsid w:val="005B139C"/>
    <w:rsid w:val="005B14B7"/>
    <w:rsid w:val="005B183D"/>
    <w:rsid w:val="005B1842"/>
    <w:rsid w:val="005B19F7"/>
    <w:rsid w:val="005B1A7C"/>
    <w:rsid w:val="005B1A9E"/>
    <w:rsid w:val="005B1CF0"/>
    <w:rsid w:val="005B1DA9"/>
    <w:rsid w:val="005B1DF9"/>
    <w:rsid w:val="005B1F86"/>
    <w:rsid w:val="005B21AB"/>
    <w:rsid w:val="005B2416"/>
    <w:rsid w:val="005B270F"/>
    <w:rsid w:val="005B272F"/>
    <w:rsid w:val="005B2B02"/>
    <w:rsid w:val="005B2B89"/>
    <w:rsid w:val="005B2CAE"/>
    <w:rsid w:val="005B2D1C"/>
    <w:rsid w:val="005B3191"/>
    <w:rsid w:val="005B3249"/>
    <w:rsid w:val="005B330E"/>
    <w:rsid w:val="005B33FD"/>
    <w:rsid w:val="005B342D"/>
    <w:rsid w:val="005B34B2"/>
    <w:rsid w:val="005B3579"/>
    <w:rsid w:val="005B3794"/>
    <w:rsid w:val="005B37CC"/>
    <w:rsid w:val="005B37F4"/>
    <w:rsid w:val="005B3BDC"/>
    <w:rsid w:val="005B3C2E"/>
    <w:rsid w:val="005B3EFC"/>
    <w:rsid w:val="005B3F43"/>
    <w:rsid w:val="005B41E3"/>
    <w:rsid w:val="005B43AB"/>
    <w:rsid w:val="005B4448"/>
    <w:rsid w:val="005B4503"/>
    <w:rsid w:val="005B4626"/>
    <w:rsid w:val="005B4852"/>
    <w:rsid w:val="005B49A3"/>
    <w:rsid w:val="005B4C63"/>
    <w:rsid w:val="005B4F1D"/>
    <w:rsid w:val="005B4F66"/>
    <w:rsid w:val="005B4F69"/>
    <w:rsid w:val="005B50A6"/>
    <w:rsid w:val="005B5140"/>
    <w:rsid w:val="005B5401"/>
    <w:rsid w:val="005B579F"/>
    <w:rsid w:val="005B57DC"/>
    <w:rsid w:val="005B59D4"/>
    <w:rsid w:val="005B59E3"/>
    <w:rsid w:val="005B5A44"/>
    <w:rsid w:val="005B5B08"/>
    <w:rsid w:val="005B5C4C"/>
    <w:rsid w:val="005B5C62"/>
    <w:rsid w:val="005B5DCD"/>
    <w:rsid w:val="005B5DD7"/>
    <w:rsid w:val="005B5E4B"/>
    <w:rsid w:val="005B6089"/>
    <w:rsid w:val="005B60C6"/>
    <w:rsid w:val="005B61B2"/>
    <w:rsid w:val="005B62F4"/>
    <w:rsid w:val="005B6327"/>
    <w:rsid w:val="005B6543"/>
    <w:rsid w:val="005B656E"/>
    <w:rsid w:val="005B65DD"/>
    <w:rsid w:val="005B679C"/>
    <w:rsid w:val="005B67E0"/>
    <w:rsid w:val="005B692B"/>
    <w:rsid w:val="005B6A4C"/>
    <w:rsid w:val="005B6C92"/>
    <w:rsid w:val="005B6CD3"/>
    <w:rsid w:val="005B6DDC"/>
    <w:rsid w:val="005B6FCC"/>
    <w:rsid w:val="005B70B8"/>
    <w:rsid w:val="005B719E"/>
    <w:rsid w:val="005B7205"/>
    <w:rsid w:val="005B7593"/>
    <w:rsid w:val="005B780C"/>
    <w:rsid w:val="005B7871"/>
    <w:rsid w:val="005B7A32"/>
    <w:rsid w:val="005B7ABC"/>
    <w:rsid w:val="005B7B5E"/>
    <w:rsid w:val="005B7C0C"/>
    <w:rsid w:val="005B7C5D"/>
    <w:rsid w:val="005B7DFD"/>
    <w:rsid w:val="005B7E34"/>
    <w:rsid w:val="005B7E79"/>
    <w:rsid w:val="005B7EA4"/>
    <w:rsid w:val="005C0140"/>
    <w:rsid w:val="005C01B8"/>
    <w:rsid w:val="005C0299"/>
    <w:rsid w:val="005C02EE"/>
    <w:rsid w:val="005C0363"/>
    <w:rsid w:val="005C0476"/>
    <w:rsid w:val="005C0848"/>
    <w:rsid w:val="005C086E"/>
    <w:rsid w:val="005C0CDF"/>
    <w:rsid w:val="005C0DF6"/>
    <w:rsid w:val="005C0FA9"/>
    <w:rsid w:val="005C1074"/>
    <w:rsid w:val="005C1208"/>
    <w:rsid w:val="005C128A"/>
    <w:rsid w:val="005C15C1"/>
    <w:rsid w:val="005C18DA"/>
    <w:rsid w:val="005C1908"/>
    <w:rsid w:val="005C1DF8"/>
    <w:rsid w:val="005C1E35"/>
    <w:rsid w:val="005C1EBD"/>
    <w:rsid w:val="005C2138"/>
    <w:rsid w:val="005C2380"/>
    <w:rsid w:val="005C24A2"/>
    <w:rsid w:val="005C2677"/>
    <w:rsid w:val="005C2A58"/>
    <w:rsid w:val="005C2B33"/>
    <w:rsid w:val="005C2D46"/>
    <w:rsid w:val="005C310B"/>
    <w:rsid w:val="005C34C2"/>
    <w:rsid w:val="005C3552"/>
    <w:rsid w:val="005C3749"/>
    <w:rsid w:val="005C375C"/>
    <w:rsid w:val="005C3B73"/>
    <w:rsid w:val="005C3C84"/>
    <w:rsid w:val="005C3ED6"/>
    <w:rsid w:val="005C4080"/>
    <w:rsid w:val="005C4171"/>
    <w:rsid w:val="005C472C"/>
    <w:rsid w:val="005C4850"/>
    <w:rsid w:val="005C48EB"/>
    <w:rsid w:val="005C4968"/>
    <w:rsid w:val="005C49AB"/>
    <w:rsid w:val="005C4BC8"/>
    <w:rsid w:val="005C4DB1"/>
    <w:rsid w:val="005C4F5F"/>
    <w:rsid w:val="005C4FE2"/>
    <w:rsid w:val="005C4FFB"/>
    <w:rsid w:val="005C500C"/>
    <w:rsid w:val="005C502A"/>
    <w:rsid w:val="005C504B"/>
    <w:rsid w:val="005C507B"/>
    <w:rsid w:val="005C51AF"/>
    <w:rsid w:val="005C53C8"/>
    <w:rsid w:val="005C5561"/>
    <w:rsid w:val="005C557F"/>
    <w:rsid w:val="005C56EB"/>
    <w:rsid w:val="005C579A"/>
    <w:rsid w:val="005C582C"/>
    <w:rsid w:val="005C59B6"/>
    <w:rsid w:val="005C5AB3"/>
    <w:rsid w:val="005C5AEB"/>
    <w:rsid w:val="005C5E4F"/>
    <w:rsid w:val="005C605B"/>
    <w:rsid w:val="005C6115"/>
    <w:rsid w:val="005C6153"/>
    <w:rsid w:val="005C6218"/>
    <w:rsid w:val="005C6272"/>
    <w:rsid w:val="005C62BF"/>
    <w:rsid w:val="005C62C2"/>
    <w:rsid w:val="005C62DD"/>
    <w:rsid w:val="005C633E"/>
    <w:rsid w:val="005C63DB"/>
    <w:rsid w:val="005C657B"/>
    <w:rsid w:val="005C6601"/>
    <w:rsid w:val="005C6630"/>
    <w:rsid w:val="005C69D6"/>
    <w:rsid w:val="005C6A3D"/>
    <w:rsid w:val="005C6A87"/>
    <w:rsid w:val="005C6D13"/>
    <w:rsid w:val="005C71C4"/>
    <w:rsid w:val="005C7287"/>
    <w:rsid w:val="005C7455"/>
    <w:rsid w:val="005C7766"/>
    <w:rsid w:val="005C7A00"/>
    <w:rsid w:val="005C7BA9"/>
    <w:rsid w:val="005C7BE6"/>
    <w:rsid w:val="005C7C2A"/>
    <w:rsid w:val="005C7DA6"/>
    <w:rsid w:val="005C7E12"/>
    <w:rsid w:val="005C7FFD"/>
    <w:rsid w:val="005D0071"/>
    <w:rsid w:val="005D00BD"/>
    <w:rsid w:val="005D031D"/>
    <w:rsid w:val="005D0654"/>
    <w:rsid w:val="005D07CE"/>
    <w:rsid w:val="005D08D5"/>
    <w:rsid w:val="005D090A"/>
    <w:rsid w:val="005D098A"/>
    <w:rsid w:val="005D0A75"/>
    <w:rsid w:val="005D0BDD"/>
    <w:rsid w:val="005D0C03"/>
    <w:rsid w:val="005D0D05"/>
    <w:rsid w:val="005D0D5E"/>
    <w:rsid w:val="005D1426"/>
    <w:rsid w:val="005D17A1"/>
    <w:rsid w:val="005D1864"/>
    <w:rsid w:val="005D198C"/>
    <w:rsid w:val="005D1B24"/>
    <w:rsid w:val="005D1BD3"/>
    <w:rsid w:val="005D1D6E"/>
    <w:rsid w:val="005D1DB1"/>
    <w:rsid w:val="005D1F2B"/>
    <w:rsid w:val="005D231D"/>
    <w:rsid w:val="005D2457"/>
    <w:rsid w:val="005D249D"/>
    <w:rsid w:val="005D255D"/>
    <w:rsid w:val="005D2B42"/>
    <w:rsid w:val="005D2B57"/>
    <w:rsid w:val="005D2CE5"/>
    <w:rsid w:val="005D301A"/>
    <w:rsid w:val="005D3098"/>
    <w:rsid w:val="005D3363"/>
    <w:rsid w:val="005D3448"/>
    <w:rsid w:val="005D36AD"/>
    <w:rsid w:val="005D36B7"/>
    <w:rsid w:val="005D3962"/>
    <w:rsid w:val="005D3B00"/>
    <w:rsid w:val="005D3B6B"/>
    <w:rsid w:val="005D3E32"/>
    <w:rsid w:val="005D413F"/>
    <w:rsid w:val="005D41F9"/>
    <w:rsid w:val="005D43BE"/>
    <w:rsid w:val="005D45D8"/>
    <w:rsid w:val="005D4754"/>
    <w:rsid w:val="005D4830"/>
    <w:rsid w:val="005D4A3F"/>
    <w:rsid w:val="005D4E01"/>
    <w:rsid w:val="005D4E34"/>
    <w:rsid w:val="005D4FF2"/>
    <w:rsid w:val="005D5006"/>
    <w:rsid w:val="005D50F6"/>
    <w:rsid w:val="005D515C"/>
    <w:rsid w:val="005D5559"/>
    <w:rsid w:val="005D5620"/>
    <w:rsid w:val="005D56E8"/>
    <w:rsid w:val="005D575E"/>
    <w:rsid w:val="005D5803"/>
    <w:rsid w:val="005D58B2"/>
    <w:rsid w:val="005D5925"/>
    <w:rsid w:val="005D5CC8"/>
    <w:rsid w:val="005D5E11"/>
    <w:rsid w:val="005D5E3C"/>
    <w:rsid w:val="005D6118"/>
    <w:rsid w:val="005D6312"/>
    <w:rsid w:val="005D644F"/>
    <w:rsid w:val="005D677B"/>
    <w:rsid w:val="005D69A1"/>
    <w:rsid w:val="005D6A0A"/>
    <w:rsid w:val="005D6A32"/>
    <w:rsid w:val="005D6AF2"/>
    <w:rsid w:val="005D6C02"/>
    <w:rsid w:val="005D6D96"/>
    <w:rsid w:val="005D6DC3"/>
    <w:rsid w:val="005D6EF5"/>
    <w:rsid w:val="005D6FB0"/>
    <w:rsid w:val="005D6FF4"/>
    <w:rsid w:val="005D720A"/>
    <w:rsid w:val="005D7331"/>
    <w:rsid w:val="005D74F7"/>
    <w:rsid w:val="005D75A9"/>
    <w:rsid w:val="005D7628"/>
    <w:rsid w:val="005D76EF"/>
    <w:rsid w:val="005D77E5"/>
    <w:rsid w:val="005D7833"/>
    <w:rsid w:val="005D7974"/>
    <w:rsid w:val="005D7C1D"/>
    <w:rsid w:val="005D7D05"/>
    <w:rsid w:val="005D7DD1"/>
    <w:rsid w:val="005D7DD2"/>
    <w:rsid w:val="005D7F5A"/>
    <w:rsid w:val="005D7FF4"/>
    <w:rsid w:val="005E00CE"/>
    <w:rsid w:val="005E041C"/>
    <w:rsid w:val="005E05DA"/>
    <w:rsid w:val="005E06F6"/>
    <w:rsid w:val="005E0831"/>
    <w:rsid w:val="005E0A3F"/>
    <w:rsid w:val="005E0D6C"/>
    <w:rsid w:val="005E0DF6"/>
    <w:rsid w:val="005E0E59"/>
    <w:rsid w:val="005E1025"/>
    <w:rsid w:val="005E1274"/>
    <w:rsid w:val="005E1286"/>
    <w:rsid w:val="005E129B"/>
    <w:rsid w:val="005E1390"/>
    <w:rsid w:val="005E14F0"/>
    <w:rsid w:val="005E1558"/>
    <w:rsid w:val="005E16D2"/>
    <w:rsid w:val="005E1758"/>
    <w:rsid w:val="005E1CD9"/>
    <w:rsid w:val="005E1EE1"/>
    <w:rsid w:val="005E2031"/>
    <w:rsid w:val="005E2161"/>
    <w:rsid w:val="005E236D"/>
    <w:rsid w:val="005E2605"/>
    <w:rsid w:val="005E26D5"/>
    <w:rsid w:val="005E27CE"/>
    <w:rsid w:val="005E2838"/>
    <w:rsid w:val="005E2BA4"/>
    <w:rsid w:val="005E2BAE"/>
    <w:rsid w:val="005E2BCF"/>
    <w:rsid w:val="005E2DED"/>
    <w:rsid w:val="005E318D"/>
    <w:rsid w:val="005E31C7"/>
    <w:rsid w:val="005E32AE"/>
    <w:rsid w:val="005E3377"/>
    <w:rsid w:val="005E3446"/>
    <w:rsid w:val="005E34EC"/>
    <w:rsid w:val="005E37E5"/>
    <w:rsid w:val="005E38E4"/>
    <w:rsid w:val="005E3937"/>
    <w:rsid w:val="005E3A05"/>
    <w:rsid w:val="005E3AEB"/>
    <w:rsid w:val="005E3AFC"/>
    <w:rsid w:val="005E3EE1"/>
    <w:rsid w:val="005E3F2A"/>
    <w:rsid w:val="005E3F8A"/>
    <w:rsid w:val="005E3FF1"/>
    <w:rsid w:val="005E402C"/>
    <w:rsid w:val="005E417E"/>
    <w:rsid w:val="005E43C2"/>
    <w:rsid w:val="005E4C68"/>
    <w:rsid w:val="005E4CB5"/>
    <w:rsid w:val="005E4CE8"/>
    <w:rsid w:val="005E4D46"/>
    <w:rsid w:val="005E5042"/>
    <w:rsid w:val="005E50FC"/>
    <w:rsid w:val="005E514C"/>
    <w:rsid w:val="005E5254"/>
    <w:rsid w:val="005E525B"/>
    <w:rsid w:val="005E52F3"/>
    <w:rsid w:val="005E53B3"/>
    <w:rsid w:val="005E54D0"/>
    <w:rsid w:val="005E561B"/>
    <w:rsid w:val="005E58B7"/>
    <w:rsid w:val="005E59B1"/>
    <w:rsid w:val="005E59EC"/>
    <w:rsid w:val="005E5DF4"/>
    <w:rsid w:val="005E5FAD"/>
    <w:rsid w:val="005E6112"/>
    <w:rsid w:val="005E6371"/>
    <w:rsid w:val="005E6400"/>
    <w:rsid w:val="005E64CB"/>
    <w:rsid w:val="005E6596"/>
    <w:rsid w:val="005E67CC"/>
    <w:rsid w:val="005E6883"/>
    <w:rsid w:val="005E6AF6"/>
    <w:rsid w:val="005E6E3C"/>
    <w:rsid w:val="005E7009"/>
    <w:rsid w:val="005E70DC"/>
    <w:rsid w:val="005E7365"/>
    <w:rsid w:val="005E73D7"/>
    <w:rsid w:val="005E7717"/>
    <w:rsid w:val="005E772F"/>
    <w:rsid w:val="005E793E"/>
    <w:rsid w:val="005E7A08"/>
    <w:rsid w:val="005E7A21"/>
    <w:rsid w:val="005E7D3B"/>
    <w:rsid w:val="005E7DEA"/>
    <w:rsid w:val="005E7DFC"/>
    <w:rsid w:val="005E7F29"/>
    <w:rsid w:val="005F0050"/>
    <w:rsid w:val="005F03B3"/>
    <w:rsid w:val="005F0587"/>
    <w:rsid w:val="005F0858"/>
    <w:rsid w:val="005F0A64"/>
    <w:rsid w:val="005F0A7C"/>
    <w:rsid w:val="005F0AF2"/>
    <w:rsid w:val="005F0BFB"/>
    <w:rsid w:val="005F0C96"/>
    <w:rsid w:val="005F0CE7"/>
    <w:rsid w:val="005F101E"/>
    <w:rsid w:val="005F1265"/>
    <w:rsid w:val="005F1372"/>
    <w:rsid w:val="005F13C6"/>
    <w:rsid w:val="005F15DC"/>
    <w:rsid w:val="005F16F2"/>
    <w:rsid w:val="005F1827"/>
    <w:rsid w:val="005F1898"/>
    <w:rsid w:val="005F1CFC"/>
    <w:rsid w:val="005F1E38"/>
    <w:rsid w:val="005F262E"/>
    <w:rsid w:val="005F269B"/>
    <w:rsid w:val="005F27BB"/>
    <w:rsid w:val="005F297F"/>
    <w:rsid w:val="005F2ADE"/>
    <w:rsid w:val="005F2F75"/>
    <w:rsid w:val="005F2FB2"/>
    <w:rsid w:val="005F37B4"/>
    <w:rsid w:val="005F3A0A"/>
    <w:rsid w:val="005F3A1C"/>
    <w:rsid w:val="005F3C95"/>
    <w:rsid w:val="005F3D5F"/>
    <w:rsid w:val="005F3E2A"/>
    <w:rsid w:val="005F3FFA"/>
    <w:rsid w:val="005F41C3"/>
    <w:rsid w:val="005F4226"/>
    <w:rsid w:val="005F4310"/>
    <w:rsid w:val="005F44E6"/>
    <w:rsid w:val="005F456A"/>
    <w:rsid w:val="005F4572"/>
    <w:rsid w:val="005F4AE0"/>
    <w:rsid w:val="005F4B04"/>
    <w:rsid w:val="005F4C24"/>
    <w:rsid w:val="005F4E74"/>
    <w:rsid w:val="005F4ECA"/>
    <w:rsid w:val="005F4FFA"/>
    <w:rsid w:val="005F522B"/>
    <w:rsid w:val="005F55BC"/>
    <w:rsid w:val="005F56B2"/>
    <w:rsid w:val="005F58F4"/>
    <w:rsid w:val="005F59E0"/>
    <w:rsid w:val="005F5B91"/>
    <w:rsid w:val="005F5BD5"/>
    <w:rsid w:val="005F5BD7"/>
    <w:rsid w:val="005F5C73"/>
    <w:rsid w:val="005F5DBF"/>
    <w:rsid w:val="005F5E6F"/>
    <w:rsid w:val="005F5EA1"/>
    <w:rsid w:val="005F5F44"/>
    <w:rsid w:val="005F625C"/>
    <w:rsid w:val="005F6534"/>
    <w:rsid w:val="005F6615"/>
    <w:rsid w:val="005F6AE0"/>
    <w:rsid w:val="005F6BB6"/>
    <w:rsid w:val="005F6DC3"/>
    <w:rsid w:val="005F6E18"/>
    <w:rsid w:val="005F70B3"/>
    <w:rsid w:val="005F7104"/>
    <w:rsid w:val="005F7260"/>
    <w:rsid w:val="005F7348"/>
    <w:rsid w:val="005F743D"/>
    <w:rsid w:val="005F7581"/>
    <w:rsid w:val="005F779C"/>
    <w:rsid w:val="005F7BB6"/>
    <w:rsid w:val="005F7BF8"/>
    <w:rsid w:val="005F7E9E"/>
    <w:rsid w:val="005F7EC7"/>
    <w:rsid w:val="005F7F37"/>
    <w:rsid w:val="00600177"/>
    <w:rsid w:val="0060038F"/>
    <w:rsid w:val="006004A6"/>
    <w:rsid w:val="006004E1"/>
    <w:rsid w:val="0060073D"/>
    <w:rsid w:val="00600861"/>
    <w:rsid w:val="0060089F"/>
    <w:rsid w:val="00600C99"/>
    <w:rsid w:val="00600E1A"/>
    <w:rsid w:val="00600E49"/>
    <w:rsid w:val="00600E7A"/>
    <w:rsid w:val="00600EA9"/>
    <w:rsid w:val="0060112E"/>
    <w:rsid w:val="00601158"/>
    <w:rsid w:val="0060125B"/>
    <w:rsid w:val="006012C7"/>
    <w:rsid w:val="006014CE"/>
    <w:rsid w:val="006015B2"/>
    <w:rsid w:val="006015FF"/>
    <w:rsid w:val="006016E8"/>
    <w:rsid w:val="00601916"/>
    <w:rsid w:val="00601B53"/>
    <w:rsid w:val="00601CC0"/>
    <w:rsid w:val="00601D1A"/>
    <w:rsid w:val="00601D5C"/>
    <w:rsid w:val="00601EEC"/>
    <w:rsid w:val="00601FA9"/>
    <w:rsid w:val="00602155"/>
    <w:rsid w:val="0060237F"/>
    <w:rsid w:val="006023B0"/>
    <w:rsid w:val="006023F2"/>
    <w:rsid w:val="00602695"/>
    <w:rsid w:val="00602EF4"/>
    <w:rsid w:val="00603033"/>
    <w:rsid w:val="0060356E"/>
    <w:rsid w:val="00603698"/>
    <w:rsid w:val="006036E9"/>
    <w:rsid w:val="006037E7"/>
    <w:rsid w:val="00603982"/>
    <w:rsid w:val="00603CD8"/>
    <w:rsid w:val="00603FE7"/>
    <w:rsid w:val="006041BE"/>
    <w:rsid w:val="006042D5"/>
    <w:rsid w:val="006043C7"/>
    <w:rsid w:val="00604592"/>
    <w:rsid w:val="00604760"/>
    <w:rsid w:val="006048F7"/>
    <w:rsid w:val="00604EA9"/>
    <w:rsid w:val="00604FAF"/>
    <w:rsid w:val="00605208"/>
    <w:rsid w:val="0060529B"/>
    <w:rsid w:val="006052EC"/>
    <w:rsid w:val="00605502"/>
    <w:rsid w:val="00605506"/>
    <w:rsid w:val="006055BE"/>
    <w:rsid w:val="006055C4"/>
    <w:rsid w:val="00605601"/>
    <w:rsid w:val="006057E8"/>
    <w:rsid w:val="006059C7"/>
    <w:rsid w:val="00605AAB"/>
    <w:rsid w:val="00605B3D"/>
    <w:rsid w:val="00605C1C"/>
    <w:rsid w:val="00605CB9"/>
    <w:rsid w:val="00605F12"/>
    <w:rsid w:val="00606146"/>
    <w:rsid w:val="00606333"/>
    <w:rsid w:val="00606687"/>
    <w:rsid w:val="006067E8"/>
    <w:rsid w:val="00606960"/>
    <w:rsid w:val="00606A7E"/>
    <w:rsid w:val="00606CD3"/>
    <w:rsid w:val="00606DD4"/>
    <w:rsid w:val="00606DEB"/>
    <w:rsid w:val="00606FB9"/>
    <w:rsid w:val="0060727D"/>
    <w:rsid w:val="00607398"/>
    <w:rsid w:val="006074DF"/>
    <w:rsid w:val="00607761"/>
    <w:rsid w:val="00607E38"/>
    <w:rsid w:val="00607ED1"/>
    <w:rsid w:val="00607FE4"/>
    <w:rsid w:val="0061006A"/>
    <w:rsid w:val="0061035C"/>
    <w:rsid w:val="0061041F"/>
    <w:rsid w:val="00610640"/>
    <w:rsid w:val="0061069B"/>
    <w:rsid w:val="00610788"/>
    <w:rsid w:val="006107C4"/>
    <w:rsid w:val="00610906"/>
    <w:rsid w:val="00610962"/>
    <w:rsid w:val="00610B8F"/>
    <w:rsid w:val="00610E01"/>
    <w:rsid w:val="00610EA9"/>
    <w:rsid w:val="00611013"/>
    <w:rsid w:val="006116E0"/>
    <w:rsid w:val="00611799"/>
    <w:rsid w:val="006119E3"/>
    <w:rsid w:val="00611B54"/>
    <w:rsid w:val="00611BA8"/>
    <w:rsid w:val="00611BEC"/>
    <w:rsid w:val="00611D8C"/>
    <w:rsid w:val="00611E02"/>
    <w:rsid w:val="00611FFA"/>
    <w:rsid w:val="0061200D"/>
    <w:rsid w:val="0061218D"/>
    <w:rsid w:val="006123DB"/>
    <w:rsid w:val="006124D2"/>
    <w:rsid w:val="006125A6"/>
    <w:rsid w:val="006127A6"/>
    <w:rsid w:val="00612887"/>
    <w:rsid w:val="00612ABE"/>
    <w:rsid w:val="00612B07"/>
    <w:rsid w:val="00612C2C"/>
    <w:rsid w:val="00612F11"/>
    <w:rsid w:val="006130E8"/>
    <w:rsid w:val="006131A2"/>
    <w:rsid w:val="0061328A"/>
    <w:rsid w:val="006132D4"/>
    <w:rsid w:val="0061339E"/>
    <w:rsid w:val="0061355F"/>
    <w:rsid w:val="006135CB"/>
    <w:rsid w:val="006135D1"/>
    <w:rsid w:val="00613635"/>
    <w:rsid w:val="0061389A"/>
    <w:rsid w:val="00613962"/>
    <w:rsid w:val="00613ADC"/>
    <w:rsid w:val="00613AEE"/>
    <w:rsid w:val="00613B4B"/>
    <w:rsid w:val="00613B8C"/>
    <w:rsid w:val="00613BBC"/>
    <w:rsid w:val="00613DD6"/>
    <w:rsid w:val="006140B6"/>
    <w:rsid w:val="006140CE"/>
    <w:rsid w:val="00614189"/>
    <w:rsid w:val="0061431A"/>
    <w:rsid w:val="00614402"/>
    <w:rsid w:val="0061472C"/>
    <w:rsid w:val="006147D5"/>
    <w:rsid w:val="006148C0"/>
    <w:rsid w:val="00614ACD"/>
    <w:rsid w:val="00614B2A"/>
    <w:rsid w:val="00614BE4"/>
    <w:rsid w:val="00614C5C"/>
    <w:rsid w:val="00614DFC"/>
    <w:rsid w:val="00614FDC"/>
    <w:rsid w:val="00614FF1"/>
    <w:rsid w:val="00614FF8"/>
    <w:rsid w:val="00615078"/>
    <w:rsid w:val="006150CE"/>
    <w:rsid w:val="0061514D"/>
    <w:rsid w:val="00615195"/>
    <w:rsid w:val="00615257"/>
    <w:rsid w:val="006156E0"/>
    <w:rsid w:val="00615935"/>
    <w:rsid w:val="0061597F"/>
    <w:rsid w:val="006159E1"/>
    <w:rsid w:val="00615B60"/>
    <w:rsid w:val="00615C69"/>
    <w:rsid w:val="00615EB9"/>
    <w:rsid w:val="00616022"/>
    <w:rsid w:val="006160AE"/>
    <w:rsid w:val="00616205"/>
    <w:rsid w:val="006162D1"/>
    <w:rsid w:val="0061631D"/>
    <w:rsid w:val="00616370"/>
    <w:rsid w:val="0061651E"/>
    <w:rsid w:val="006165B7"/>
    <w:rsid w:val="0061666F"/>
    <w:rsid w:val="00616903"/>
    <w:rsid w:val="00616F91"/>
    <w:rsid w:val="00617101"/>
    <w:rsid w:val="0061740B"/>
    <w:rsid w:val="006174BA"/>
    <w:rsid w:val="0061757A"/>
    <w:rsid w:val="006175CB"/>
    <w:rsid w:val="00617610"/>
    <w:rsid w:val="0061765D"/>
    <w:rsid w:val="0061776D"/>
    <w:rsid w:val="006178DB"/>
    <w:rsid w:val="006178FB"/>
    <w:rsid w:val="006179B3"/>
    <w:rsid w:val="006179F7"/>
    <w:rsid w:val="00617A78"/>
    <w:rsid w:val="00617AC2"/>
    <w:rsid w:val="00617EF4"/>
    <w:rsid w:val="0062014C"/>
    <w:rsid w:val="00620391"/>
    <w:rsid w:val="006203F4"/>
    <w:rsid w:val="0062040C"/>
    <w:rsid w:val="006204B6"/>
    <w:rsid w:val="006205A9"/>
    <w:rsid w:val="006207C6"/>
    <w:rsid w:val="0062095C"/>
    <w:rsid w:val="00620BEA"/>
    <w:rsid w:val="00620D73"/>
    <w:rsid w:val="00620ECD"/>
    <w:rsid w:val="0062103A"/>
    <w:rsid w:val="00621321"/>
    <w:rsid w:val="006214B3"/>
    <w:rsid w:val="00621650"/>
    <w:rsid w:val="0062171A"/>
    <w:rsid w:val="0062174D"/>
    <w:rsid w:val="0062177D"/>
    <w:rsid w:val="006218E9"/>
    <w:rsid w:val="00621A3D"/>
    <w:rsid w:val="00621C1A"/>
    <w:rsid w:val="00621C3C"/>
    <w:rsid w:val="00621D22"/>
    <w:rsid w:val="00621D78"/>
    <w:rsid w:val="00621E41"/>
    <w:rsid w:val="00622020"/>
    <w:rsid w:val="0062212A"/>
    <w:rsid w:val="006221D4"/>
    <w:rsid w:val="006228D7"/>
    <w:rsid w:val="006229D2"/>
    <w:rsid w:val="00622B6D"/>
    <w:rsid w:val="00622E6E"/>
    <w:rsid w:val="00622F49"/>
    <w:rsid w:val="00622FDB"/>
    <w:rsid w:val="00623043"/>
    <w:rsid w:val="0062339D"/>
    <w:rsid w:val="006234C6"/>
    <w:rsid w:val="00623531"/>
    <w:rsid w:val="0062361D"/>
    <w:rsid w:val="00623685"/>
    <w:rsid w:val="006237A0"/>
    <w:rsid w:val="00623ADF"/>
    <w:rsid w:val="00623C7E"/>
    <w:rsid w:val="00623CC9"/>
    <w:rsid w:val="00623E97"/>
    <w:rsid w:val="00623FB9"/>
    <w:rsid w:val="00624252"/>
    <w:rsid w:val="00624293"/>
    <w:rsid w:val="006242A1"/>
    <w:rsid w:val="006243B6"/>
    <w:rsid w:val="00624532"/>
    <w:rsid w:val="00624656"/>
    <w:rsid w:val="0062476A"/>
    <w:rsid w:val="006249DC"/>
    <w:rsid w:val="00624B52"/>
    <w:rsid w:val="00624B5C"/>
    <w:rsid w:val="00624C86"/>
    <w:rsid w:val="00624CFA"/>
    <w:rsid w:val="00624DB1"/>
    <w:rsid w:val="00624DB7"/>
    <w:rsid w:val="00624E3D"/>
    <w:rsid w:val="00624ECB"/>
    <w:rsid w:val="00625240"/>
    <w:rsid w:val="006252D8"/>
    <w:rsid w:val="006253FC"/>
    <w:rsid w:val="00625509"/>
    <w:rsid w:val="00625550"/>
    <w:rsid w:val="00625768"/>
    <w:rsid w:val="00625914"/>
    <w:rsid w:val="00625AD3"/>
    <w:rsid w:val="00625BD2"/>
    <w:rsid w:val="00625CEB"/>
    <w:rsid w:val="00625E74"/>
    <w:rsid w:val="00625EA6"/>
    <w:rsid w:val="00626066"/>
    <w:rsid w:val="006261A4"/>
    <w:rsid w:val="006261AA"/>
    <w:rsid w:val="00626201"/>
    <w:rsid w:val="0062636A"/>
    <w:rsid w:val="006265D1"/>
    <w:rsid w:val="006265EE"/>
    <w:rsid w:val="006267CF"/>
    <w:rsid w:val="006267EF"/>
    <w:rsid w:val="0062683C"/>
    <w:rsid w:val="00626994"/>
    <w:rsid w:val="006269C2"/>
    <w:rsid w:val="006269F6"/>
    <w:rsid w:val="00626A0F"/>
    <w:rsid w:val="00626AFC"/>
    <w:rsid w:val="00626D7F"/>
    <w:rsid w:val="00626D99"/>
    <w:rsid w:val="00626E25"/>
    <w:rsid w:val="00626F91"/>
    <w:rsid w:val="00627355"/>
    <w:rsid w:val="00627385"/>
    <w:rsid w:val="00627443"/>
    <w:rsid w:val="00627498"/>
    <w:rsid w:val="0062753E"/>
    <w:rsid w:val="00627583"/>
    <w:rsid w:val="00627B4E"/>
    <w:rsid w:val="00627BCC"/>
    <w:rsid w:val="00627C22"/>
    <w:rsid w:val="00627C68"/>
    <w:rsid w:val="00627C86"/>
    <w:rsid w:val="00627D1B"/>
    <w:rsid w:val="00627E0D"/>
    <w:rsid w:val="0063017C"/>
    <w:rsid w:val="00630383"/>
    <w:rsid w:val="006304CC"/>
    <w:rsid w:val="006304D7"/>
    <w:rsid w:val="00630840"/>
    <w:rsid w:val="006308DB"/>
    <w:rsid w:val="00630EFE"/>
    <w:rsid w:val="00631026"/>
    <w:rsid w:val="00631779"/>
    <w:rsid w:val="006318F8"/>
    <w:rsid w:val="006319FA"/>
    <w:rsid w:val="00631BC3"/>
    <w:rsid w:val="00631DF4"/>
    <w:rsid w:val="00631E55"/>
    <w:rsid w:val="00632055"/>
    <w:rsid w:val="0063206D"/>
    <w:rsid w:val="0063217F"/>
    <w:rsid w:val="006321B8"/>
    <w:rsid w:val="006323C5"/>
    <w:rsid w:val="006324AD"/>
    <w:rsid w:val="0063250E"/>
    <w:rsid w:val="006325A7"/>
    <w:rsid w:val="006326B8"/>
    <w:rsid w:val="006327EC"/>
    <w:rsid w:val="0063284C"/>
    <w:rsid w:val="006328E0"/>
    <w:rsid w:val="00632BBC"/>
    <w:rsid w:val="0063305E"/>
    <w:rsid w:val="00633455"/>
    <w:rsid w:val="00633464"/>
    <w:rsid w:val="00633506"/>
    <w:rsid w:val="0063350B"/>
    <w:rsid w:val="00633544"/>
    <w:rsid w:val="006336B8"/>
    <w:rsid w:val="0063387C"/>
    <w:rsid w:val="00633A35"/>
    <w:rsid w:val="00633C55"/>
    <w:rsid w:val="006340EE"/>
    <w:rsid w:val="00634127"/>
    <w:rsid w:val="00634175"/>
    <w:rsid w:val="00634187"/>
    <w:rsid w:val="0063429D"/>
    <w:rsid w:val="006343AE"/>
    <w:rsid w:val="006343D4"/>
    <w:rsid w:val="006343E1"/>
    <w:rsid w:val="00634684"/>
    <w:rsid w:val="00634A8C"/>
    <w:rsid w:val="00634D76"/>
    <w:rsid w:val="0063505E"/>
    <w:rsid w:val="00635664"/>
    <w:rsid w:val="00635714"/>
    <w:rsid w:val="0063589A"/>
    <w:rsid w:val="00635907"/>
    <w:rsid w:val="00635A9E"/>
    <w:rsid w:val="00635DC9"/>
    <w:rsid w:val="00635DD5"/>
    <w:rsid w:val="00635EC8"/>
    <w:rsid w:val="0063601B"/>
    <w:rsid w:val="006362FC"/>
    <w:rsid w:val="0063668E"/>
    <w:rsid w:val="0063695B"/>
    <w:rsid w:val="00636B1A"/>
    <w:rsid w:val="00636B79"/>
    <w:rsid w:val="00636B9F"/>
    <w:rsid w:val="00636BA1"/>
    <w:rsid w:val="0063754C"/>
    <w:rsid w:val="006377C9"/>
    <w:rsid w:val="00637A20"/>
    <w:rsid w:val="00637ABD"/>
    <w:rsid w:val="0063F6D8"/>
    <w:rsid w:val="00640003"/>
    <w:rsid w:val="006401FB"/>
    <w:rsid w:val="00640262"/>
    <w:rsid w:val="00640557"/>
    <w:rsid w:val="006405E5"/>
    <w:rsid w:val="0064072B"/>
    <w:rsid w:val="006408AC"/>
    <w:rsid w:val="00640A8A"/>
    <w:rsid w:val="00640B8B"/>
    <w:rsid w:val="00640C25"/>
    <w:rsid w:val="00640FE1"/>
    <w:rsid w:val="00641165"/>
    <w:rsid w:val="0064118F"/>
    <w:rsid w:val="006412CF"/>
    <w:rsid w:val="0064145E"/>
    <w:rsid w:val="00641469"/>
    <w:rsid w:val="0064154E"/>
    <w:rsid w:val="00641677"/>
    <w:rsid w:val="00641AB3"/>
    <w:rsid w:val="00641B7D"/>
    <w:rsid w:val="00641CD3"/>
    <w:rsid w:val="00641D5A"/>
    <w:rsid w:val="00641D99"/>
    <w:rsid w:val="00641E55"/>
    <w:rsid w:val="00641E60"/>
    <w:rsid w:val="00641F2B"/>
    <w:rsid w:val="0064211E"/>
    <w:rsid w:val="00642193"/>
    <w:rsid w:val="006423F2"/>
    <w:rsid w:val="00642752"/>
    <w:rsid w:val="00642851"/>
    <w:rsid w:val="00642948"/>
    <w:rsid w:val="006429B7"/>
    <w:rsid w:val="006429FC"/>
    <w:rsid w:val="00642BF5"/>
    <w:rsid w:val="00642E4B"/>
    <w:rsid w:val="00642E50"/>
    <w:rsid w:val="00642F51"/>
    <w:rsid w:val="00643268"/>
    <w:rsid w:val="00643273"/>
    <w:rsid w:val="006433B1"/>
    <w:rsid w:val="0064346D"/>
    <w:rsid w:val="0064366A"/>
    <w:rsid w:val="00643BF8"/>
    <w:rsid w:val="00643E70"/>
    <w:rsid w:val="00644269"/>
    <w:rsid w:val="0064437A"/>
    <w:rsid w:val="006443AA"/>
    <w:rsid w:val="006444EC"/>
    <w:rsid w:val="00644527"/>
    <w:rsid w:val="00644555"/>
    <w:rsid w:val="00644575"/>
    <w:rsid w:val="0064470D"/>
    <w:rsid w:val="00644712"/>
    <w:rsid w:val="006447A3"/>
    <w:rsid w:val="00644891"/>
    <w:rsid w:val="00644902"/>
    <w:rsid w:val="00644B13"/>
    <w:rsid w:val="00644D00"/>
    <w:rsid w:val="00644D99"/>
    <w:rsid w:val="00644E2D"/>
    <w:rsid w:val="00644E97"/>
    <w:rsid w:val="00644F7F"/>
    <w:rsid w:val="00644FD5"/>
    <w:rsid w:val="006450CE"/>
    <w:rsid w:val="006451CE"/>
    <w:rsid w:val="00645412"/>
    <w:rsid w:val="006457D5"/>
    <w:rsid w:val="0064584E"/>
    <w:rsid w:val="00645A2F"/>
    <w:rsid w:val="00646212"/>
    <w:rsid w:val="00646396"/>
    <w:rsid w:val="006464FE"/>
    <w:rsid w:val="0064674F"/>
    <w:rsid w:val="00646B22"/>
    <w:rsid w:val="00646B57"/>
    <w:rsid w:val="00646D78"/>
    <w:rsid w:val="00646DB0"/>
    <w:rsid w:val="00646FCF"/>
    <w:rsid w:val="006470D2"/>
    <w:rsid w:val="00647359"/>
    <w:rsid w:val="0064749A"/>
    <w:rsid w:val="006475D9"/>
    <w:rsid w:val="00647851"/>
    <w:rsid w:val="00647C8B"/>
    <w:rsid w:val="00647CE0"/>
    <w:rsid w:val="00650007"/>
    <w:rsid w:val="0065017D"/>
    <w:rsid w:val="0065037F"/>
    <w:rsid w:val="00650532"/>
    <w:rsid w:val="006506AE"/>
    <w:rsid w:val="006507D0"/>
    <w:rsid w:val="00650976"/>
    <w:rsid w:val="00650CA4"/>
    <w:rsid w:val="00650D6F"/>
    <w:rsid w:val="00650E6E"/>
    <w:rsid w:val="00650F70"/>
    <w:rsid w:val="00650FA0"/>
    <w:rsid w:val="006511B6"/>
    <w:rsid w:val="00651536"/>
    <w:rsid w:val="00651831"/>
    <w:rsid w:val="00651B09"/>
    <w:rsid w:val="00651C0B"/>
    <w:rsid w:val="00651C57"/>
    <w:rsid w:val="00651EC2"/>
    <w:rsid w:val="006522F9"/>
    <w:rsid w:val="00652644"/>
    <w:rsid w:val="00652742"/>
    <w:rsid w:val="0065283A"/>
    <w:rsid w:val="006528CA"/>
    <w:rsid w:val="00652ACF"/>
    <w:rsid w:val="00652ADF"/>
    <w:rsid w:val="00652C6C"/>
    <w:rsid w:val="00652CE3"/>
    <w:rsid w:val="00652EB1"/>
    <w:rsid w:val="00653041"/>
    <w:rsid w:val="0065348D"/>
    <w:rsid w:val="006534F3"/>
    <w:rsid w:val="0065372E"/>
    <w:rsid w:val="0065398D"/>
    <w:rsid w:val="00653B7D"/>
    <w:rsid w:val="00654176"/>
    <w:rsid w:val="0065429F"/>
    <w:rsid w:val="0065435A"/>
    <w:rsid w:val="00654421"/>
    <w:rsid w:val="00654585"/>
    <w:rsid w:val="00654595"/>
    <w:rsid w:val="0065465F"/>
    <w:rsid w:val="00654B45"/>
    <w:rsid w:val="00654B53"/>
    <w:rsid w:val="00654BA9"/>
    <w:rsid w:val="00654C3D"/>
    <w:rsid w:val="00654D5F"/>
    <w:rsid w:val="00654F08"/>
    <w:rsid w:val="00655072"/>
    <w:rsid w:val="00655142"/>
    <w:rsid w:val="00655177"/>
    <w:rsid w:val="0065518C"/>
    <w:rsid w:val="00655199"/>
    <w:rsid w:val="006552BC"/>
    <w:rsid w:val="0065531A"/>
    <w:rsid w:val="0065533B"/>
    <w:rsid w:val="0065533E"/>
    <w:rsid w:val="00655490"/>
    <w:rsid w:val="006555AF"/>
    <w:rsid w:val="006555B7"/>
    <w:rsid w:val="00655700"/>
    <w:rsid w:val="00655817"/>
    <w:rsid w:val="0065587A"/>
    <w:rsid w:val="006559E8"/>
    <w:rsid w:val="00655A10"/>
    <w:rsid w:val="00655AC9"/>
    <w:rsid w:val="00655DAB"/>
    <w:rsid w:val="00655EE5"/>
    <w:rsid w:val="006561FF"/>
    <w:rsid w:val="006562AF"/>
    <w:rsid w:val="006563E6"/>
    <w:rsid w:val="006563EF"/>
    <w:rsid w:val="006565F4"/>
    <w:rsid w:val="00656603"/>
    <w:rsid w:val="0065681D"/>
    <w:rsid w:val="00656951"/>
    <w:rsid w:val="006569CF"/>
    <w:rsid w:val="00656D6F"/>
    <w:rsid w:val="00656E5D"/>
    <w:rsid w:val="0065708D"/>
    <w:rsid w:val="006570FC"/>
    <w:rsid w:val="00657381"/>
    <w:rsid w:val="00657674"/>
    <w:rsid w:val="0065767F"/>
    <w:rsid w:val="00657693"/>
    <w:rsid w:val="006577B4"/>
    <w:rsid w:val="006578C6"/>
    <w:rsid w:val="00657996"/>
    <w:rsid w:val="00657C6F"/>
    <w:rsid w:val="00657D63"/>
    <w:rsid w:val="00657DEA"/>
    <w:rsid w:val="00657F85"/>
    <w:rsid w:val="00657FF8"/>
    <w:rsid w:val="0066014D"/>
    <w:rsid w:val="0066017B"/>
    <w:rsid w:val="0066020B"/>
    <w:rsid w:val="00660490"/>
    <w:rsid w:val="006604DD"/>
    <w:rsid w:val="0066093F"/>
    <w:rsid w:val="00660A06"/>
    <w:rsid w:val="00660B5D"/>
    <w:rsid w:val="00660C60"/>
    <w:rsid w:val="00660D71"/>
    <w:rsid w:val="00660F42"/>
    <w:rsid w:val="006610AD"/>
    <w:rsid w:val="006611DE"/>
    <w:rsid w:val="0066123D"/>
    <w:rsid w:val="00661246"/>
    <w:rsid w:val="006616C4"/>
    <w:rsid w:val="006616DF"/>
    <w:rsid w:val="006616F1"/>
    <w:rsid w:val="00661767"/>
    <w:rsid w:val="00661869"/>
    <w:rsid w:val="0066196B"/>
    <w:rsid w:val="00661BE4"/>
    <w:rsid w:val="00661D16"/>
    <w:rsid w:val="00661D85"/>
    <w:rsid w:val="00661E15"/>
    <w:rsid w:val="006622A8"/>
    <w:rsid w:val="0066236F"/>
    <w:rsid w:val="006623F9"/>
    <w:rsid w:val="00662429"/>
    <w:rsid w:val="00662524"/>
    <w:rsid w:val="006626B7"/>
    <w:rsid w:val="006626BC"/>
    <w:rsid w:val="006628A2"/>
    <w:rsid w:val="006628A8"/>
    <w:rsid w:val="00662953"/>
    <w:rsid w:val="00662AD0"/>
    <w:rsid w:val="00662BDB"/>
    <w:rsid w:val="0066304C"/>
    <w:rsid w:val="00663426"/>
    <w:rsid w:val="00663449"/>
    <w:rsid w:val="006635E4"/>
    <w:rsid w:val="0066371F"/>
    <w:rsid w:val="006639DE"/>
    <w:rsid w:val="00664314"/>
    <w:rsid w:val="00664368"/>
    <w:rsid w:val="006643F1"/>
    <w:rsid w:val="006647FF"/>
    <w:rsid w:val="00664AED"/>
    <w:rsid w:val="00664B51"/>
    <w:rsid w:val="00664BF8"/>
    <w:rsid w:val="00664D29"/>
    <w:rsid w:val="00664E9B"/>
    <w:rsid w:val="00665036"/>
    <w:rsid w:val="00665295"/>
    <w:rsid w:val="006652E6"/>
    <w:rsid w:val="0066530D"/>
    <w:rsid w:val="006655BB"/>
    <w:rsid w:val="00665687"/>
    <w:rsid w:val="00665700"/>
    <w:rsid w:val="00665CDB"/>
    <w:rsid w:val="00665FD2"/>
    <w:rsid w:val="006660AF"/>
    <w:rsid w:val="00666207"/>
    <w:rsid w:val="0066636B"/>
    <w:rsid w:val="00666777"/>
    <w:rsid w:val="0066678F"/>
    <w:rsid w:val="00666B3D"/>
    <w:rsid w:val="00666B68"/>
    <w:rsid w:val="00666C0E"/>
    <w:rsid w:val="00666E7D"/>
    <w:rsid w:val="00666F41"/>
    <w:rsid w:val="0066711B"/>
    <w:rsid w:val="00667126"/>
    <w:rsid w:val="00667162"/>
    <w:rsid w:val="00667197"/>
    <w:rsid w:val="006671C0"/>
    <w:rsid w:val="00667376"/>
    <w:rsid w:val="00667657"/>
    <w:rsid w:val="00667AF2"/>
    <w:rsid w:val="00667EF9"/>
    <w:rsid w:val="00667F0F"/>
    <w:rsid w:val="00667F31"/>
    <w:rsid w:val="00667F64"/>
    <w:rsid w:val="00670243"/>
    <w:rsid w:val="0067034F"/>
    <w:rsid w:val="006703C1"/>
    <w:rsid w:val="0067052D"/>
    <w:rsid w:val="0067052E"/>
    <w:rsid w:val="00670590"/>
    <w:rsid w:val="006705C2"/>
    <w:rsid w:val="006705CA"/>
    <w:rsid w:val="0067066D"/>
    <w:rsid w:val="0067075C"/>
    <w:rsid w:val="0067077A"/>
    <w:rsid w:val="0067089C"/>
    <w:rsid w:val="00670B2D"/>
    <w:rsid w:val="00670CCE"/>
    <w:rsid w:val="00670D85"/>
    <w:rsid w:val="00670D99"/>
    <w:rsid w:val="00670E2B"/>
    <w:rsid w:val="00670EB5"/>
    <w:rsid w:val="00671047"/>
    <w:rsid w:val="00671489"/>
    <w:rsid w:val="006714BD"/>
    <w:rsid w:val="0067191F"/>
    <w:rsid w:val="00671A29"/>
    <w:rsid w:val="00671A39"/>
    <w:rsid w:val="00671A4C"/>
    <w:rsid w:val="00671AB0"/>
    <w:rsid w:val="00671D45"/>
    <w:rsid w:val="00671D63"/>
    <w:rsid w:val="00671FD5"/>
    <w:rsid w:val="00672035"/>
    <w:rsid w:val="006720D2"/>
    <w:rsid w:val="00672240"/>
    <w:rsid w:val="006723F8"/>
    <w:rsid w:val="00672440"/>
    <w:rsid w:val="0067245B"/>
    <w:rsid w:val="006724D2"/>
    <w:rsid w:val="00672508"/>
    <w:rsid w:val="006725F7"/>
    <w:rsid w:val="00672743"/>
    <w:rsid w:val="00672793"/>
    <w:rsid w:val="00672821"/>
    <w:rsid w:val="00672895"/>
    <w:rsid w:val="00672B48"/>
    <w:rsid w:val="00672B4C"/>
    <w:rsid w:val="00672C43"/>
    <w:rsid w:val="00672C7F"/>
    <w:rsid w:val="006731A2"/>
    <w:rsid w:val="006731FC"/>
    <w:rsid w:val="006734BB"/>
    <w:rsid w:val="006734FE"/>
    <w:rsid w:val="00673BAF"/>
    <w:rsid w:val="00673F1F"/>
    <w:rsid w:val="006740AC"/>
    <w:rsid w:val="006744F0"/>
    <w:rsid w:val="00674517"/>
    <w:rsid w:val="006745B1"/>
    <w:rsid w:val="00674727"/>
    <w:rsid w:val="006747BF"/>
    <w:rsid w:val="00674AA1"/>
    <w:rsid w:val="00674FE9"/>
    <w:rsid w:val="006754A9"/>
    <w:rsid w:val="006755DA"/>
    <w:rsid w:val="0067598C"/>
    <w:rsid w:val="00675A33"/>
    <w:rsid w:val="00675C96"/>
    <w:rsid w:val="00675CEC"/>
    <w:rsid w:val="00675D90"/>
    <w:rsid w:val="0067603B"/>
    <w:rsid w:val="00676264"/>
    <w:rsid w:val="006765A0"/>
    <w:rsid w:val="00676631"/>
    <w:rsid w:val="0067674C"/>
    <w:rsid w:val="006767BC"/>
    <w:rsid w:val="006767EA"/>
    <w:rsid w:val="006768D7"/>
    <w:rsid w:val="00676BA9"/>
    <w:rsid w:val="00676C1C"/>
    <w:rsid w:val="00676E8F"/>
    <w:rsid w:val="006770DD"/>
    <w:rsid w:val="006771D7"/>
    <w:rsid w:val="00677331"/>
    <w:rsid w:val="006773C6"/>
    <w:rsid w:val="0067752F"/>
    <w:rsid w:val="0067775F"/>
    <w:rsid w:val="0067785C"/>
    <w:rsid w:val="006778AF"/>
    <w:rsid w:val="00677979"/>
    <w:rsid w:val="00677A01"/>
    <w:rsid w:val="00677EAB"/>
    <w:rsid w:val="00677F32"/>
    <w:rsid w:val="00680422"/>
    <w:rsid w:val="006804A5"/>
    <w:rsid w:val="0068065B"/>
    <w:rsid w:val="00680997"/>
    <w:rsid w:val="00680BB4"/>
    <w:rsid w:val="00680CFF"/>
    <w:rsid w:val="00680FEC"/>
    <w:rsid w:val="006812DB"/>
    <w:rsid w:val="006816CA"/>
    <w:rsid w:val="00681748"/>
    <w:rsid w:val="0068175D"/>
    <w:rsid w:val="006817F3"/>
    <w:rsid w:val="00681946"/>
    <w:rsid w:val="00681A34"/>
    <w:rsid w:val="00681CD3"/>
    <w:rsid w:val="00681D88"/>
    <w:rsid w:val="00681DE2"/>
    <w:rsid w:val="00681EAB"/>
    <w:rsid w:val="006821EB"/>
    <w:rsid w:val="006824C2"/>
    <w:rsid w:val="006826C4"/>
    <w:rsid w:val="00682773"/>
    <w:rsid w:val="0068289E"/>
    <w:rsid w:val="006828C9"/>
    <w:rsid w:val="00682B7C"/>
    <w:rsid w:val="0068305C"/>
    <w:rsid w:val="00683070"/>
    <w:rsid w:val="00683471"/>
    <w:rsid w:val="006834AF"/>
    <w:rsid w:val="006834EB"/>
    <w:rsid w:val="006836BC"/>
    <w:rsid w:val="006836DB"/>
    <w:rsid w:val="006836ED"/>
    <w:rsid w:val="0068382E"/>
    <w:rsid w:val="0068391E"/>
    <w:rsid w:val="00683B25"/>
    <w:rsid w:val="00683B79"/>
    <w:rsid w:val="00683DB8"/>
    <w:rsid w:val="00683E1E"/>
    <w:rsid w:val="006840B3"/>
    <w:rsid w:val="006841CB"/>
    <w:rsid w:val="00684572"/>
    <w:rsid w:val="00684593"/>
    <w:rsid w:val="00684863"/>
    <w:rsid w:val="00684A3D"/>
    <w:rsid w:val="00684AD3"/>
    <w:rsid w:val="00684C1A"/>
    <w:rsid w:val="00684C2B"/>
    <w:rsid w:val="00684C5F"/>
    <w:rsid w:val="00684F6F"/>
    <w:rsid w:val="0068509E"/>
    <w:rsid w:val="0068515B"/>
    <w:rsid w:val="0068520F"/>
    <w:rsid w:val="00685304"/>
    <w:rsid w:val="0068536E"/>
    <w:rsid w:val="0068539F"/>
    <w:rsid w:val="006853DA"/>
    <w:rsid w:val="00685497"/>
    <w:rsid w:val="006857FA"/>
    <w:rsid w:val="0068582C"/>
    <w:rsid w:val="0068583D"/>
    <w:rsid w:val="00685920"/>
    <w:rsid w:val="00685A35"/>
    <w:rsid w:val="00685C92"/>
    <w:rsid w:val="0068610A"/>
    <w:rsid w:val="0068611E"/>
    <w:rsid w:val="00686173"/>
    <w:rsid w:val="0068617B"/>
    <w:rsid w:val="00686193"/>
    <w:rsid w:val="0068626B"/>
    <w:rsid w:val="00686447"/>
    <w:rsid w:val="00686629"/>
    <w:rsid w:val="006868CB"/>
    <w:rsid w:val="00686B49"/>
    <w:rsid w:val="00686BFB"/>
    <w:rsid w:val="00686F65"/>
    <w:rsid w:val="00686FE5"/>
    <w:rsid w:val="00687041"/>
    <w:rsid w:val="00687047"/>
    <w:rsid w:val="006872A3"/>
    <w:rsid w:val="006874A3"/>
    <w:rsid w:val="00687637"/>
    <w:rsid w:val="006876F9"/>
    <w:rsid w:val="00687808"/>
    <w:rsid w:val="006879A0"/>
    <w:rsid w:val="00687C68"/>
    <w:rsid w:val="00687CCD"/>
    <w:rsid w:val="00687D84"/>
    <w:rsid w:val="00687DE2"/>
    <w:rsid w:val="006900FE"/>
    <w:rsid w:val="006901D2"/>
    <w:rsid w:val="00690340"/>
    <w:rsid w:val="006905FB"/>
    <w:rsid w:val="00690795"/>
    <w:rsid w:val="00690851"/>
    <w:rsid w:val="00690889"/>
    <w:rsid w:val="006909F9"/>
    <w:rsid w:val="00690CB3"/>
    <w:rsid w:val="00690DFA"/>
    <w:rsid w:val="00690EFB"/>
    <w:rsid w:val="00691102"/>
    <w:rsid w:val="006911C9"/>
    <w:rsid w:val="0069126D"/>
    <w:rsid w:val="00691383"/>
    <w:rsid w:val="00691498"/>
    <w:rsid w:val="00691608"/>
    <w:rsid w:val="0069175C"/>
    <w:rsid w:val="006918C2"/>
    <w:rsid w:val="0069196A"/>
    <w:rsid w:val="00691E81"/>
    <w:rsid w:val="00691F6C"/>
    <w:rsid w:val="00691F7D"/>
    <w:rsid w:val="006920B2"/>
    <w:rsid w:val="00692360"/>
    <w:rsid w:val="0069267A"/>
    <w:rsid w:val="006926CA"/>
    <w:rsid w:val="00692B22"/>
    <w:rsid w:val="00692D01"/>
    <w:rsid w:val="00692D05"/>
    <w:rsid w:val="00692EF3"/>
    <w:rsid w:val="006930B7"/>
    <w:rsid w:val="00693152"/>
    <w:rsid w:val="0069322F"/>
    <w:rsid w:val="006933BE"/>
    <w:rsid w:val="00693496"/>
    <w:rsid w:val="00693515"/>
    <w:rsid w:val="00693761"/>
    <w:rsid w:val="006937A0"/>
    <w:rsid w:val="00693805"/>
    <w:rsid w:val="00693A11"/>
    <w:rsid w:val="00693BFD"/>
    <w:rsid w:val="00693D2A"/>
    <w:rsid w:val="00693DB2"/>
    <w:rsid w:val="00693E64"/>
    <w:rsid w:val="00694338"/>
    <w:rsid w:val="006945E9"/>
    <w:rsid w:val="00694685"/>
    <w:rsid w:val="00694868"/>
    <w:rsid w:val="00694B04"/>
    <w:rsid w:val="00694BA4"/>
    <w:rsid w:val="00694F1B"/>
    <w:rsid w:val="00694F45"/>
    <w:rsid w:val="00694F6D"/>
    <w:rsid w:val="00695002"/>
    <w:rsid w:val="0069521D"/>
    <w:rsid w:val="006954BB"/>
    <w:rsid w:val="006959F8"/>
    <w:rsid w:val="00695DC4"/>
    <w:rsid w:val="00696078"/>
    <w:rsid w:val="00696199"/>
    <w:rsid w:val="006961CA"/>
    <w:rsid w:val="0069622D"/>
    <w:rsid w:val="006963AB"/>
    <w:rsid w:val="006963ED"/>
    <w:rsid w:val="00696577"/>
    <w:rsid w:val="006966AD"/>
    <w:rsid w:val="0069685C"/>
    <w:rsid w:val="00696978"/>
    <w:rsid w:val="006969DE"/>
    <w:rsid w:val="00696A26"/>
    <w:rsid w:val="00696F36"/>
    <w:rsid w:val="00696F79"/>
    <w:rsid w:val="00697039"/>
    <w:rsid w:val="00697099"/>
    <w:rsid w:val="006974C3"/>
    <w:rsid w:val="0069751B"/>
    <w:rsid w:val="006975F5"/>
    <w:rsid w:val="0069760E"/>
    <w:rsid w:val="00697758"/>
    <w:rsid w:val="0069781B"/>
    <w:rsid w:val="00697880"/>
    <w:rsid w:val="0069795D"/>
    <w:rsid w:val="006979AB"/>
    <w:rsid w:val="00697A09"/>
    <w:rsid w:val="00697B18"/>
    <w:rsid w:val="00697BEB"/>
    <w:rsid w:val="00697C9C"/>
    <w:rsid w:val="00697D31"/>
    <w:rsid w:val="00697E26"/>
    <w:rsid w:val="00697E95"/>
    <w:rsid w:val="006A0031"/>
    <w:rsid w:val="006A03D9"/>
    <w:rsid w:val="006A0598"/>
    <w:rsid w:val="006A0896"/>
    <w:rsid w:val="006A0963"/>
    <w:rsid w:val="006A0AD2"/>
    <w:rsid w:val="006A0B2E"/>
    <w:rsid w:val="006A0B52"/>
    <w:rsid w:val="006A0DC0"/>
    <w:rsid w:val="006A1187"/>
    <w:rsid w:val="006A121D"/>
    <w:rsid w:val="006A121F"/>
    <w:rsid w:val="006A13E2"/>
    <w:rsid w:val="006A1744"/>
    <w:rsid w:val="006A1762"/>
    <w:rsid w:val="006A195C"/>
    <w:rsid w:val="006A1979"/>
    <w:rsid w:val="006A1C25"/>
    <w:rsid w:val="006A1D54"/>
    <w:rsid w:val="006A1F10"/>
    <w:rsid w:val="006A1F34"/>
    <w:rsid w:val="006A2030"/>
    <w:rsid w:val="006A21FA"/>
    <w:rsid w:val="006A249D"/>
    <w:rsid w:val="006A2605"/>
    <w:rsid w:val="006A2683"/>
    <w:rsid w:val="006A2B24"/>
    <w:rsid w:val="006A2C28"/>
    <w:rsid w:val="006A2DA2"/>
    <w:rsid w:val="006A2DD2"/>
    <w:rsid w:val="006A305E"/>
    <w:rsid w:val="006A32BA"/>
    <w:rsid w:val="006A3670"/>
    <w:rsid w:val="006A38E3"/>
    <w:rsid w:val="006A3AA2"/>
    <w:rsid w:val="006A3B9E"/>
    <w:rsid w:val="006A3D18"/>
    <w:rsid w:val="006A3E2B"/>
    <w:rsid w:val="006A3EA3"/>
    <w:rsid w:val="006A3F53"/>
    <w:rsid w:val="006A3FC5"/>
    <w:rsid w:val="006A40A4"/>
    <w:rsid w:val="006A40FD"/>
    <w:rsid w:val="006A43DC"/>
    <w:rsid w:val="006A44E9"/>
    <w:rsid w:val="006A4579"/>
    <w:rsid w:val="006A45BE"/>
    <w:rsid w:val="006A4993"/>
    <w:rsid w:val="006A4AAF"/>
    <w:rsid w:val="006A4ADC"/>
    <w:rsid w:val="006A4D18"/>
    <w:rsid w:val="006A4D63"/>
    <w:rsid w:val="006A4EBA"/>
    <w:rsid w:val="006A4FC5"/>
    <w:rsid w:val="006A51B8"/>
    <w:rsid w:val="006A53A6"/>
    <w:rsid w:val="006A54D8"/>
    <w:rsid w:val="006A5513"/>
    <w:rsid w:val="006A55EF"/>
    <w:rsid w:val="006A563A"/>
    <w:rsid w:val="006A5706"/>
    <w:rsid w:val="006A58DA"/>
    <w:rsid w:val="006A59D2"/>
    <w:rsid w:val="006A59D8"/>
    <w:rsid w:val="006A5BFA"/>
    <w:rsid w:val="006A5CEB"/>
    <w:rsid w:val="006A5D68"/>
    <w:rsid w:val="006A5D7D"/>
    <w:rsid w:val="006A5D86"/>
    <w:rsid w:val="006A5F57"/>
    <w:rsid w:val="006A6420"/>
    <w:rsid w:val="006A657E"/>
    <w:rsid w:val="006A6661"/>
    <w:rsid w:val="006A6831"/>
    <w:rsid w:val="006A6993"/>
    <w:rsid w:val="006A6DB3"/>
    <w:rsid w:val="006A70C1"/>
    <w:rsid w:val="006A7202"/>
    <w:rsid w:val="006A728F"/>
    <w:rsid w:val="006A74E4"/>
    <w:rsid w:val="006A769F"/>
    <w:rsid w:val="006A77E9"/>
    <w:rsid w:val="006A7801"/>
    <w:rsid w:val="006A79F0"/>
    <w:rsid w:val="006A7B98"/>
    <w:rsid w:val="006A7CD0"/>
    <w:rsid w:val="006A7E57"/>
    <w:rsid w:val="006A7E5D"/>
    <w:rsid w:val="006A7E84"/>
    <w:rsid w:val="006A7F50"/>
    <w:rsid w:val="006B007E"/>
    <w:rsid w:val="006B00F2"/>
    <w:rsid w:val="006B01F0"/>
    <w:rsid w:val="006B0294"/>
    <w:rsid w:val="006B0356"/>
    <w:rsid w:val="006B0438"/>
    <w:rsid w:val="006B0673"/>
    <w:rsid w:val="006B07EA"/>
    <w:rsid w:val="006B08A2"/>
    <w:rsid w:val="006B0911"/>
    <w:rsid w:val="006B0A9B"/>
    <w:rsid w:val="006B0AB0"/>
    <w:rsid w:val="006B0B0A"/>
    <w:rsid w:val="006B0BF2"/>
    <w:rsid w:val="006B0BFC"/>
    <w:rsid w:val="006B0C0D"/>
    <w:rsid w:val="006B0CED"/>
    <w:rsid w:val="006B0CEF"/>
    <w:rsid w:val="006B0D52"/>
    <w:rsid w:val="006B0E03"/>
    <w:rsid w:val="006B0E29"/>
    <w:rsid w:val="006B0E50"/>
    <w:rsid w:val="006B0EEA"/>
    <w:rsid w:val="006B0FDF"/>
    <w:rsid w:val="006B106E"/>
    <w:rsid w:val="006B10AB"/>
    <w:rsid w:val="006B1192"/>
    <w:rsid w:val="006B1210"/>
    <w:rsid w:val="006B1220"/>
    <w:rsid w:val="006B13FF"/>
    <w:rsid w:val="006B1674"/>
    <w:rsid w:val="006B1773"/>
    <w:rsid w:val="006B199C"/>
    <w:rsid w:val="006B1B69"/>
    <w:rsid w:val="006B1E4C"/>
    <w:rsid w:val="006B1E9B"/>
    <w:rsid w:val="006B1F0B"/>
    <w:rsid w:val="006B1FAD"/>
    <w:rsid w:val="006B1FD8"/>
    <w:rsid w:val="006B1FE5"/>
    <w:rsid w:val="006B2016"/>
    <w:rsid w:val="006B2286"/>
    <w:rsid w:val="006B2385"/>
    <w:rsid w:val="006B23EF"/>
    <w:rsid w:val="006B2455"/>
    <w:rsid w:val="006B254B"/>
    <w:rsid w:val="006B25A3"/>
    <w:rsid w:val="006B2635"/>
    <w:rsid w:val="006B2848"/>
    <w:rsid w:val="006B2988"/>
    <w:rsid w:val="006B2AA7"/>
    <w:rsid w:val="006B2B59"/>
    <w:rsid w:val="006B2BD6"/>
    <w:rsid w:val="006B2BDF"/>
    <w:rsid w:val="006B2C42"/>
    <w:rsid w:val="006B2D4C"/>
    <w:rsid w:val="006B2F90"/>
    <w:rsid w:val="006B3407"/>
    <w:rsid w:val="006B34B0"/>
    <w:rsid w:val="006B36FC"/>
    <w:rsid w:val="006B3753"/>
    <w:rsid w:val="006B3956"/>
    <w:rsid w:val="006B3A3B"/>
    <w:rsid w:val="006B3C7A"/>
    <w:rsid w:val="006B3FA7"/>
    <w:rsid w:val="006B405D"/>
    <w:rsid w:val="006B4140"/>
    <w:rsid w:val="006B416A"/>
    <w:rsid w:val="006B435E"/>
    <w:rsid w:val="006B4442"/>
    <w:rsid w:val="006B4472"/>
    <w:rsid w:val="006B4526"/>
    <w:rsid w:val="006B476C"/>
    <w:rsid w:val="006B48E7"/>
    <w:rsid w:val="006B4925"/>
    <w:rsid w:val="006B499B"/>
    <w:rsid w:val="006B49E2"/>
    <w:rsid w:val="006B4A43"/>
    <w:rsid w:val="006B4D2A"/>
    <w:rsid w:val="006B4D6D"/>
    <w:rsid w:val="006B4F61"/>
    <w:rsid w:val="006B50D4"/>
    <w:rsid w:val="006B53F4"/>
    <w:rsid w:val="006B5433"/>
    <w:rsid w:val="006B54A6"/>
    <w:rsid w:val="006B54ED"/>
    <w:rsid w:val="006B5602"/>
    <w:rsid w:val="006B56BB"/>
    <w:rsid w:val="006B5788"/>
    <w:rsid w:val="006B57DA"/>
    <w:rsid w:val="006B580D"/>
    <w:rsid w:val="006B5839"/>
    <w:rsid w:val="006B58C1"/>
    <w:rsid w:val="006B5A61"/>
    <w:rsid w:val="006B5EBB"/>
    <w:rsid w:val="006B6099"/>
    <w:rsid w:val="006B63D1"/>
    <w:rsid w:val="006B66DD"/>
    <w:rsid w:val="006B67C4"/>
    <w:rsid w:val="006B68AF"/>
    <w:rsid w:val="006B6964"/>
    <w:rsid w:val="006B6A17"/>
    <w:rsid w:val="006B6AAB"/>
    <w:rsid w:val="006B6C8F"/>
    <w:rsid w:val="006B70A6"/>
    <w:rsid w:val="006B730A"/>
    <w:rsid w:val="006B7332"/>
    <w:rsid w:val="006B745F"/>
    <w:rsid w:val="006B75ED"/>
    <w:rsid w:val="006B75FA"/>
    <w:rsid w:val="006B7622"/>
    <w:rsid w:val="006B7716"/>
    <w:rsid w:val="006B7824"/>
    <w:rsid w:val="006B79CE"/>
    <w:rsid w:val="006B7ACD"/>
    <w:rsid w:val="006B7BB2"/>
    <w:rsid w:val="006B7E44"/>
    <w:rsid w:val="006B7E68"/>
    <w:rsid w:val="006B7E89"/>
    <w:rsid w:val="006B7F82"/>
    <w:rsid w:val="006C02A7"/>
    <w:rsid w:val="006C0329"/>
    <w:rsid w:val="006C03EC"/>
    <w:rsid w:val="006C0468"/>
    <w:rsid w:val="006C08AF"/>
    <w:rsid w:val="006C0A34"/>
    <w:rsid w:val="006C0B6E"/>
    <w:rsid w:val="006C0BD4"/>
    <w:rsid w:val="006C0CD4"/>
    <w:rsid w:val="006C0F03"/>
    <w:rsid w:val="006C1011"/>
    <w:rsid w:val="006C1057"/>
    <w:rsid w:val="006C1583"/>
    <w:rsid w:val="006C16D8"/>
    <w:rsid w:val="006C17AA"/>
    <w:rsid w:val="006C17B8"/>
    <w:rsid w:val="006C183D"/>
    <w:rsid w:val="006C1883"/>
    <w:rsid w:val="006C18D5"/>
    <w:rsid w:val="006C1962"/>
    <w:rsid w:val="006C19AB"/>
    <w:rsid w:val="006C1A90"/>
    <w:rsid w:val="006C1AA0"/>
    <w:rsid w:val="006C1B13"/>
    <w:rsid w:val="006C1F2C"/>
    <w:rsid w:val="006C217C"/>
    <w:rsid w:val="006C228A"/>
    <w:rsid w:val="006C22F9"/>
    <w:rsid w:val="006C2478"/>
    <w:rsid w:val="006C24CA"/>
    <w:rsid w:val="006C2599"/>
    <w:rsid w:val="006C25C2"/>
    <w:rsid w:val="006C2663"/>
    <w:rsid w:val="006C2949"/>
    <w:rsid w:val="006C2995"/>
    <w:rsid w:val="006C2AD0"/>
    <w:rsid w:val="006C2AF0"/>
    <w:rsid w:val="006C2C0C"/>
    <w:rsid w:val="006C2C33"/>
    <w:rsid w:val="006C2CFA"/>
    <w:rsid w:val="006C2E2E"/>
    <w:rsid w:val="006C2ED9"/>
    <w:rsid w:val="006C2FAA"/>
    <w:rsid w:val="006C2FC2"/>
    <w:rsid w:val="006C3024"/>
    <w:rsid w:val="006C3171"/>
    <w:rsid w:val="006C31DD"/>
    <w:rsid w:val="006C3247"/>
    <w:rsid w:val="006C32A6"/>
    <w:rsid w:val="006C33A4"/>
    <w:rsid w:val="006C3499"/>
    <w:rsid w:val="006C37B6"/>
    <w:rsid w:val="006C38C3"/>
    <w:rsid w:val="006C3A04"/>
    <w:rsid w:val="006C3A88"/>
    <w:rsid w:val="006C3A99"/>
    <w:rsid w:val="006C3D8B"/>
    <w:rsid w:val="006C3F39"/>
    <w:rsid w:val="006C4146"/>
    <w:rsid w:val="006C4277"/>
    <w:rsid w:val="006C4316"/>
    <w:rsid w:val="006C4376"/>
    <w:rsid w:val="006C4555"/>
    <w:rsid w:val="006C45BB"/>
    <w:rsid w:val="006C4A4E"/>
    <w:rsid w:val="006C4AB3"/>
    <w:rsid w:val="006C4B2C"/>
    <w:rsid w:val="006C4C0E"/>
    <w:rsid w:val="006C4E9C"/>
    <w:rsid w:val="006C4FE5"/>
    <w:rsid w:val="006C53CB"/>
    <w:rsid w:val="006C5497"/>
    <w:rsid w:val="006C558B"/>
    <w:rsid w:val="006C55B7"/>
    <w:rsid w:val="006C55CD"/>
    <w:rsid w:val="006C56AE"/>
    <w:rsid w:val="006C572A"/>
    <w:rsid w:val="006C58DA"/>
    <w:rsid w:val="006C5979"/>
    <w:rsid w:val="006C5987"/>
    <w:rsid w:val="006C5A76"/>
    <w:rsid w:val="006C5BE5"/>
    <w:rsid w:val="006C5C6A"/>
    <w:rsid w:val="006C5CA6"/>
    <w:rsid w:val="006C5FCD"/>
    <w:rsid w:val="006C5FE5"/>
    <w:rsid w:val="006C62BD"/>
    <w:rsid w:val="006C642C"/>
    <w:rsid w:val="006C6500"/>
    <w:rsid w:val="006C66D7"/>
    <w:rsid w:val="006C6780"/>
    <w:rsid w:val="006C6833"/>
    <w:rsid w:val="006C6B0E"/>
    <w:rsid w:val="006C6C28"/>
    <w:rsid w:val="006C6E0F"/>
    <w:rsid w:val="006C6F46"/>
    <w:rsid w:val="006C71FF"/>
    <w:rsid w:val="006C740A"/>
    <w:rsid w:val="006C77A8"/>
    <w:rsid w:val="006C7937"/>
    <w:rsid w:val="006C79C7"/>
    <w:rsid w:val="006C7E41"/>
    <w:rsid w:val="006D00D9"/>
    <w:rsid w:val="006D05E2"/>
    <w:rsid w:val="006D06A4"/>
    <w:rsid w:val="006D07CB"/>
    <w:rsid w:val="006D07E5"/>
    <w:rsid w:val="006D08A7"/>
    <w:rsid w:val="006D091D"/>
    <w:rsid w:val="006D0982"/>
    <w:rsid w:val="006D0B52"/>
    <w:rsid w:val="006D0BA1"/>
    <w:rsid w:val="006D0C92"/>
    <w:rsid w:val="006D0CDD"/>
    <w:rsid w:val="006D0DE8"/>
    <w:rsid w:val="006D0EE2"/>
    <w:rsid w:val="006D0EE9"/>
    <w:rsid w:val="006D112D"/>
    <w:rsid w:val="006D150A"/>
    <w:rsid w:val="006D1765"/>
    <w:rsid w:val="006D1962"/>
    <w:rsid w:val="006D1A4F"/>
    <w:rsid w:val="006D1CD9"/>
    <w:rsid w:val="006D1F32"/>
    <w:rsid w:val="006D1FED"/>
    <w:rsid w:val="006D21E0"/>
    <w:rsid w:val="006D23E8"/>
    <w:rsid w:val="006D2457"/>
    <w:rsid w:val="006D24BD"/>
    <w:rsid w:val="006D287A"/>
    <w:rsid w:val="006D296A"/>
    <w:rsid w:val="006D2CBF"/>
    <w:rsid w:val="006D2CE3"/>
    <w:rsid w:val="006D2D01"/>
    <w:rsid w:val="006D2D37"/>
    <w:rsid w:val="006D2EA4"/>
    <w:rsid w:val="006D3048"/>
    <w:rsid w:val="006D31E2"/>
    <w:rsid w:val="006D33F8"/>
    <w:rsid w:val="006D3405"/>
    <w:rsid w:val="006D3527"/>
    <w:rsid w:val="006D3531"/>
    <w:rsid w:val="006D357E"/>
    <w:rsid w:val="006D37C7"/>
    <w:rsid w:val="006D3811"/>
    <w:rsid w:val="006D3879"/>
    <w:rsid w:val="006D3937"/>
    <w:rsid w:val="006D3BDA"/>
    <w:rsid w:val="006D3C68"/>
    <w:rsid w:val="006D3E48"/>
    <w:rsid w:val="006D3E9A"/>
    <w:rsid w:val="006D3FD6"/>
    <w:rsid w:val="006D4098"/>
    <w:rsid w:val="006D42AF"/>
    <w:rsid w:val="006D44A1"/>
    <w:rsid w:val="006D44FB"/>
    <w:rsid w:val="006D4592"/>
    <w:rsid w:val="006D465A"/>
    <w:rsid w:val="006D477C"/>
    <w:rsid w:val="006D47F1"/>
    <w:rsid w:val="006D491C"/>
    <w:rsid w:val="006D49BA"/>
    <w:rsid w:val="006D4AC5"/>
    <w:rsid w:val="006D4C0E"/>
    <w:rsid w:val="006D4D09"/>
    <w:rsid w:val="006D4D8E"/>
    <w:rsid w:val="006D4E4D"/>
    <w:rsid w:val="006D4F51"/>
    <w:rsid w:val="006D4FEF"/>
    <w:rsid w:val="006D502D"/>
    <w:rsid w:val="006D513A"/>
    <w:rsid w:val="006D56CD"/>
    <w:rsid w:val="006D57D5"/>
    <w:rsid w:val="006D59C3"/>
    <w:rsid w:val="006D59DA"/>
    <w:rsid w:val="006D5C1C"/>
    <w:rsid w:val="006D5C55"/>
    <w:rsid w:val="006D5C8C"/>
    <w:rsid w:val="006D5E15"/>
    <w:rsid w:val="006D6166"/>
    <w:rsid w:val="006D645F"/>
    <w:rsid w:val="006D646F"/>
    <w:rsid w:val="006D64C5"/>
    <w:rsid w:val="006D6641"/>
    <w:rsid w:val="006D6717"/>
    <w:rsid w:val="006D6724"/>
    <w:rsid w:val="006D67E8"/>
    <w:rsid w:val="006D6ABF"/>
    <w:rsid w:val="006D6AD2"/>
    <w:rsid w:val="006D6B47"/>
    <w:rsid w:val="006D6B67"/>
    <w:rsid w:val="006D6B7A"/>
    <w:rsid w:val="006D6CCA"/>
    <w:rsid w:val="006D7163"/>
    <w:rsid w:val="006D71A5"/>
    <w:rsid w:val="006D71DE"/>
    <w:rsid w:val="006D72CD"/>
    <w:rsid w:val="006D7478"/>
    <w:rsid w:val="006D748B"/>
    <w:rsid w:val="006D7530"/>
    <w:rsid w:val="006D7569"/>
    <w:rsid w:val="006D7681"/>
    <w:rsid w:val="006D7A93"/>
    <w:rsid w:val="006D7B2E"/>
    <w:rsid w:val="006D7EEF"/>
    <w:rsid w:val="006D7F1C"/>
    <w:rsid w:val="006E01C9"/>
    <w:rsid w:val="006E02AB"/>
    <w:rsid w:val="006E02EA"/>
    <w:rsid w:val="006E0441"/>
    <w:rsid w:val="006E045F"/>
    <w:rsid w:val="006E04F0"/>
    <w:rsid w:val="006E0558"/>
    <w:rsid w:val="006E057E"/>
    <w:rsid w:val="006E0615"/>
    <w:rsid w:val="006E0836"/>
    <w:rsid w:val="006E0968"/>
    <w:rsid w:val="006E098C"/>
    <w:rsid w:val="006E0B2F"/>
    <w:rsid w:val="006E0CC1"/>
    <w:rsid w:val="006E0FEA"/>
    <w:rsid w:val="006E10B3"/>
    <w:rsid w:val="006E1186"/>
    <w:rsid w:val="006E121D"/>
    <w:rsid w:val="006E1299"/>
    <w:rsid w:val="006E12D0"/>
    <w:rsid w:val="006E1311"/>
    <w:rsid w:val="006E13F3"/>
    <w:rsid w:val="006E1461"/>
    <w:rsid w:val="006E152B"/>
    <w:rsid w:val="006E15C0"/>
    <w:rsid w:val="006E16CE"/>
    <w:rsid w:val="006E16F1"/>
    <w:rsid w:val="006E18C1"/>
    <w:rsid w:val="006E1B8C"/>
    <w:rsid w:val="006E1E63"/>
    <w:rsid w:val="006E207B"/>
    <w:rsid w:val="006E21EB"/>
    <w:rsid w:val="006E21FD"/>
    <w:rsid w:val="006E2679"/>
    <w:rsid w:val="006E27C0"/>
    <w:rsid w:val="006E29F4"/>
    <w:rsid w:val="006E2A79"/>
    <w:rsid w:val="006E2AF6"/>
    <w:rsid w:val="006E302C"/>
    <w:rsid w:val="006E30C2"/>
    <w:rsid w:val="006E3575"/>
    <w:rsid w:val="006E369B"/>
    <w:rsid w:val="006E36E8"/>
    <w:rsid w:val="006E39ED"/>
    <w:rsid w:val="006E3EDE"/>
    <w:rsid w:val="006E3FC5"/>
    <w:rsid w:val="006E3FCC"/>
    <w:rsid w:val="006E420D"/>
    <w:rsid w:val="006E44C6"/>
    <w:rsid w:val="006E4876"/>
    <w:rsid w:val="006E48E7"/>
    <w:rsid w:val="006E4A9A"/>
    <w:rsid w:val="006E4B3A"/>
    <w:rsid w:val="006E4B5D"/>
    <w:rsid w:val="006E4B7F"/>
    <w:rsid w:val="006E4C1B"/>
    <w:rsid w:val="006E4DE9"/>
    <w:rsid w:val="006E4E54"/>
    <w:rsid w:val="006E51AD"/>
    <w:rsid w:val="006E51FE"/>
    <w:rsid w:val="006E522D"/>
    <w:rsid w:val="006E5280"/>
    <w:rsid w:val="006E559B"/>
    <w:rsid w:val="006E5738"/>
    <w:rsid w:val="006E576E"/>
    <w:rsid w:val="006E57E5"/>
    <w:rsid w:val="006E584D"/>
    <w:rsid w:val="006E587D"/>
    <w:rsid w:val="006E58F6"/>
    <w:rsid w:val="006E5B3F"/>
    <w:rsid w:val="006E5E4B"/>
    <w:rsid w:val="006E5E9B"/>
    <w:rsid w:val="006E5F96"/>
    <w:rsid w:val="006E5FB1"/>
    <w:rsid w:val="006E61B5"/>
    <w:rsid w:val="006E623C"/>
    <w:rsid w:val="006E639B"/>
    <w:rsid w:val="006E67B5"/>
    <w:rsid w:val="006E6A53"/>
    <w:rsid w:val="006E6AE5"/>
    <w:rsid w:val="006E6C85"/>
    <w:rsid w:val="006E6D0F"/>
    <w:rsid w:val="006E6DFF"/>
    <w:rsid w:val="006E6F6C"/>
    <w:rsid w:val="006E7060"/>
    <w:rsid w:val="006E7223"/>
    <w:rsid w:val="006E75BD"/>
    <w:rsid w:val="006E75CD"/>
    <w:rsid w:val="006E75EB"/>
    <w:rsid w:val="006E7627"/>
    <w:rsid w:val="006E771B"/>
    <w:rsid w:val="006E77A6"/>
    <w:rsid w:val="006E785B"/>
    <w:rsid w:val="006E7896"/>
    <w:rsid w:val="006E78B9"/>
    <w:rsid w:val="006E7A0B"/>
    <w:rsid w:val="006E7B75"/>
    <w:rsid w:val="006E7CCC"/>
    <w:rsid w:val="006E7E14"/>
    <w:rsid w:val="006E7ECF"/>
    <w:rsid w:val="006E7EF6"/>
    <w:rsid w:val="006E7F73"/>
    <w:rsid w:val="006F003B"/>
    <w:rsid w:val="006F00E5"/>
    <w:rsid w:val="006F04EA"/>
    <w:rsid w:val="006F053E"/>
    <w:rsid w:val="006F057E"/>
    <w:rsid w:val="006F06D9"/>
    <w:rsid w:val="006F0785"/>
    <w:rsid w:val="006F07B1"/>
    <w:rsid w:val="006F0DF9"/>
    <w:rsid w:val="006F10E5"/>
    <w:rsid w:val="006F12AE"/>
    <w:rsid w:val="006F1559"/>
    <w:rsid w:val="006F17A4"/>
    <w:rsid w:val="006F181C"/>
    <w:rsid w:val="006F1902"/>
    <w:rsid w:val="006F1CA2"/>
    <w:rsid w:val="006F1CE5"/>
    <w:rsid w:val="006F2022"/>
    <w:rsid w:val="006F25D3"/>
    <w:rsid w:val="006F25FA"/>
    <w:rsid w:val="006F27C7"/>
    <w:rsid w:val="006F2856"/>
    <w:rsid w:val="006F2BA5"/>
    <w:rsid w:val="006F2C8E"/>
    <w:rsid w:val="006F2EC2"/>
    <w:rsid w:val="006F3008"/>
    <w:rsid w:val="006F302E"/>
    <w:rsid w:val="006F3386"/>
    <w:rsid w:val="006F341D"/>
    <w:rsid w:val="006F369C"/>
    <w:rsid w:val="006F37F0"/>
    <w:rsid w:val="006F3831"/>
    <w:rsid w:val="006F39B7"/>
    <w:rsid w:val="006F3A8E"/>
    <w:rsid w:val="006F3AC2"/>
    <w:rsid w:val="006F3B33"/>
    <w:rsid w:val="006F3DBE"/>
    <w:rsid w:val="006F3E7C"/>
    <w:rsid w:val="006F43F8"/>
    <w:rsid w:val="006F46A6"/>
    <w:rsid w:val="006F4708"/>
    <w:rsid w:val="006F476C"/>
    <w:rsid w:val="006F47E0"/>
    <w:rsid w:val="006F483D"/>
    <w:rsid w:val="006F491B"/>
    <w:rsid w:val="006F4C0E"/>
    <w:rsid w:val="006F4DFE"/>
    <w:rsid w:val="006F4EC0"/>
    <w:rsid w:val="006F522E"/>
    <w:rsid w:val="006F5251"/>
    <w:rsid w:val="006F52C3"/>
    <w:rsid w:val="006F5485"/>
    <w:rsid w:val="006F5656"/>
    <w:rsid w:val="006F5774"/>
    <w:rsid w:val="006F5A08"/>
    <w:rsid w:val="006F5B6E"/>
    <w:rsid w:val="006F5DC6"/>
    <w:rsid w:val="006F5DEE"/>
    <w:rsid w:val="006F6251"/>
    <w:rsid w:val="006F632E"/>
    <w:rsid w:val="006F63C7"/>
    <w:rsid w:val="006F6827"/>
    <w:rsid w:val="006F6ADD"/>
    <w:rsid w:val="006F6B12"/>
    <w:rsid w:val="006F6B68"/>
    <w:rsid w:val="006F6CF2"/>
    <w:rsid w:val="006F6F33"/>
    <w:rsid w:val="006F740E"/>
    <w:rsid w:val="006F7430"/>
    <w:rsid w:val="006F7445"/>
    <w:rsid w:val="006F760A"/>
    <w:rsid w:val="006F7752"/>
    <w:rsid w:val="006F7C46"/>
    <w:rsid w:val="006F7D92"/>
    <w:rsid w:val="006F7F2A"/>
    <w:rsid w:val="006F7FB1"/>
    <w:rsid w:val="007000FE"/>
    <w:rsid w:val="00700221"/>
    <w:rsid w:val="00700229"/>
    <w:rsid w:val="0070029A"/>
    <w:rsid w:val="0070057F"/>
    <w:rsid w:val="007005FC"/>
    <w:rsid w:val="00700629"/>
    <w:rsid w:val="00700674"/>
    <w:rsid w:val="00700704"/>
    <w:rsid w:val="0070081B"/>
    <w:rsid w:val="00700845"/>
    <w:rsid w:val="007009F1"/>
    <w:rsid w:val="00700A26"/>
    <w:rsid w:val="00700B1E"/>
    <w:rsid w:val="00700FAA"/>
    <w:rsid w:val="00701042"/>
    <w:rsid w:val="0070126E"/>
    <w:rsid w:val="00701275"/>
    <w:rsid w:val="00701286"/>
    <w:rsid w:val="007012A9"/>
    <w:rsid w:val="0070144C"/>
    <w:rsid w:val="0070184A"/>
    <w:rsid w:val="00701895"/>
    <w:rsid w:val="00701AAB"/>
    <w:rsid w:val="00701B81"/>
    <w:rsid w:val="00701BE5"/>
    <w:rsid w:val="00701C43"/>
    <w:rsid w:val="00701E08"/>
    <w:rsid w:val="0070227F"/>
    <w:rsid w:val="00702334"/>
    <w:rsid w:val="00702377"/>
    <w:rsid w:val="00702593"/>
    <w:rsid w:val="007025FB"/>
    <w:rsid w:val="00702855"/>
    <w:rsid w:val="007028AA"/>
    <w:rsid w:val="00702FBD"/>
    <w:rsid w:val="00702FF6"/>
    <w:rsid w:val="007032D3"/>
    <w:rsid w:val="00703564"/>
    <w:rsid w:val="007035A1"/>
    <w:rsid w:val="007035D5"/>
    <w:rsid w:val="007036D9"/>
    <w:rsid w:val="0070380F"/>
    <w:rsid w:val="00703810"/>
    <w:rsid w:val="00703908"/>
    <w:rsid w:val="00703B12"/>
    <w:rsid w:val="00703C47"/>
    <w:rsid w:val="00703DB8"/>
    <w:rsid w:val="00703FA5"/>
    <w:rsid w:val="0070401B"/>
    <w:rsid w:val="007040B6"/>
    <w:rsid w:val="0070418A"/>
    <w:rsid w:val="0070431E"/>
    <w:rsid w:val="007043CF"/>
    <w:rsid w:val="007044A4"/>
    <w:rsid w:val="0070453E"/>
    <w:rsid w:val="007045CD"/>
    <w:rsid w:val="007047CA"/>
    <w:rsid w:val="007049E2"/>
    <w:rsid w:val="00704B57"/>
    <w:rsid w:val="00704B84"/>
    <w:rsid w:val="00704BD2"/>
    <w:rsid w:val="00704C46"/>
    <w:rsid w:val="00704D0D"/>
    <w:rsid w:val="00704D27"/>
    <w:rsid w:val="00704FB7"/>
    <w:rsid w:val="00704FD6"/>
    <w:rsid w:val="007050C7"/>
    <w:rsid w:val="00705230"/>
    <w:rsid w:val="007052ED"/>
    <w:rsid w:val="007053E6"/>
    <w:rsid w:val="0070544E"/>
    <w:rsid w:val="00705727"/>
    <w:rsid w:val="00705907"/>
    <w:rsid w:val="00705A72"/>
    <w:rsid w:val="00705BDF"/>
    <w:rsid w:val="00705CF5"/>
    <w:rsid w:val="00705DEF"/>
    <w:rsid w:val="00705F88"/>
    <w:rsid w:val="007060D0"/>
    <w:rsid w:val="007062CF"/>
    <w:rsid w:val="007062EC"/>
    <w:rsid w:val="0070636E"/>
    <w:rsid w:val="007063A2"/>
    <w:rsid w:val="007066D3"/>
    <w:rsid w:val="00706D6E"/>
    <w:rsid w:val="00706E2F"/>
    <w:rsid w:val="00706E8A"/>
    <w:rsid w:val="00706EDD"/>
    <w:rsid w:val="007072CF"/>
    <w:rsid w:val="007073CE"/>
    <w:rsid w:val="00707481"/>
    <w:rsid w:val="00707485"/>
    <w:rsid w:val="007074FC"/>
    <w:rsid w:val="00707501"/>
    <w:rsid w:val="00707565"/>
    <w:rsid w:val="00707588"/>
    <w:rsid w:val="0070777E"/>
    <w:rsid w:val="007077DA"/>
    <w:rsid w:val="00707B1C"/>
    <w:rsid w:val="00707BDF"/>
    <w:rsid w:val="00707CE1"/>
    <w:rsid w:val="00707F0B"/>
    <w:rsid w:val="00707F56"/>
    <w:rsid w:val="00710228"/>
    <w:rsid w:val="007102B2"/>
    <w:rsid w:val="0071049C"/>
    <w:rsid w:val="0071067C"/>
    <w:rsid w:val="00710A69"/>
    <w:rsid w:val="00710A76"/>
    <w:rsid w:val="00710AF2"/>
    <w:rsid w:val="00710CD1"/>
    <w:rsid w:val="00710D16"/>
    <w:rsid w:val="00710DDC"/>
    <w:rsid w:val="00710F34"/>
    <w:rsid w:val="0071113B"/>
    <w:rsid w:val="00711266"/>
    <w:rsid w:val="007113C8"/>
    <w:rsid w:val="0071149A"/>
    <w:rsid w:val="0071158C"/>
    <w:rsid w:val="0071180C"/>
    <w:rsid w:val="0071187B"/>
    <w:rsid w:val="007118B7"/>
    <w:rsid w:val="00711A58"/>
    <w:rsid w:val="00711EE8"/>
    <w:rsid w:val="00712088"/>
    <w:rsid w:val="00712137"/>
    <w:rsid w:val="00712199"/>
    <w:rsid w:val="0071222F"/>
    <w:rsid w:val="007122CF"/>
    <w:rsid w:val="007124A6"/>
    <w:rsid w:val="00712AB9"/>
    <w:rsid w:val="00712C86"/>
    <w:rsid w:val="00712CD8"/>
    <w:rsid w:val="00712DA6"/>
    <w:rsid w:val="00712DDF"/>
    <w:rsid w:val="00713036"/>
    <w:rsid w:val="00713081"/>
    <w:rsid w:val="00713102"/>
    <w:rsid w:val="007132AB"/>
    <w:rsid w:val="00713558"/>
    <w:rsid w:val="007135E1"/>
    <w:rsid w:val="007136EF"/>
    <w:rsid w:val="00713854"/>
    <w:rsid w:val="00713913"/>
    <w:rsid w:val="00714294"/>
    <w:rsid w:val="00714429"/>
    <w:rsid w:val="007145CC"/>
    <w:rsid w:val="0071464B"/>
    <w:rsid w:val="007149E7"/>
    <w:rsid w:val="00714D94"/>
    <w:rsid w:val="00714F03"/>
    <w:rsid w:val="00714F38"/>
    <w:rsid w:val="007150C6"/>
    <w:rsid w:val="0071578E"/>
    <w:rsid w:val="00715840"/>
    <w:rsid w:val="00715975"/>
    <w:rsid w:val="007159A3"/>
    <w:rsid w:val="00715ABF"/>
    <w:rsid w:val="00715B3D"/>
    <w:rsid w:val="00715C38"/>
    <w:rsid w:val="00715FFD"/>
    <w:rsid w:val="007161AE"/>
    <w:rsid w:val="007162DA"/>
    <w:rsid w:val="0071648B"/>
    <w:rsid w:val="00716768"/>
    <w:rsid w:val="007167D8"/>
    <w:rsid w:val="007169BD"/>
    <w:rsid w:val="007169F7"/>
    <w:rsid w:val="00716A9B"/>
    <w:rsid w:val="00716BF2"/>
    <w:rsid w:val="00716C8A"/>
    <w:rsid w:val="00716DA9"/>
    <w:rsid w:val="00716DC0"/>
    <w:rsid w:val="00716EAA"/>
    <w:rsid w:val="00716F6B"/>
    <w:rsid w:val="007177E0"/>
    <w:rsid w:val="007177FA"/>
    <w:rsid w:val="007179A2"/>
    <w:rsid w:val="00717A32"/>
    <w:rsid w:val="00717B3E"/>
    <w:rsid w:val="00717B9B"/>
    <w:rsid w:val="00717C79"/>
    <w:rsid w:val="00717CF7"/>
    <w:rsid w:val="00717FE8"/>
    <w:rsid w:val="00720294"/>
    <w:rsid w:val="00720426"/>
    <w:rsid w:val="00720A9D"/>
    <w:rsid w:val="00720BE4"/>
    <w:rsid w:val="00720D08"/>
    <w:rsid w:val="00721069"/>
    <w:rsid w:val="00721232"/>
    <w:rsid w:val="007212FA"/>
    <w:rsid w:val="00721354"/>
    <w:rsid w:val="00721376"/>
    <w:rsid w:val="00721395"/>
    <w:rsid w:val="0072156E"/>
    <w:rsid w:val="007215D5"/>
    <w:rsid w:val="007217AA"/>
    <w:rsid w:val="007217AD"/>
    <w:rsid w:val="007217FB"/>
    <w:rsid w:val="007218D8"/>
    <w:rsid w:val="00721E2D"/>
    <w:rsid w:val="00722068"/>
    <w:rsid w:val="007220A7"/>
    <w:rsid w:val="007222E8"/>
    <w:rsid w:val="00722738"/>
    <w:rsid w:val="00722BE2"/>
    <w:rsid w:val="00722DD3"/>
    <w:rsid w:val="00722E7C"/>
    <w:rsid w:val="00723039"/>
    <w:rsid w:val="0072309C"/>
    <w:rsid w:val="007230C4"/>
    <w:rsid w:val="00723273"/>
    <w:rsid w:val="007232D3"/>
    <w:rsid w:val="00723322"/>
    <w:rsid w:val="00723323"/>
    <w:rsid w:val="00723708"/>
    <w:rsid w:val="00723E18"/>
    <w:rsid w:val="00723FAD"/>
    <w:rsid w:val="00724072"/>
    <w:rsid w:val="007240C3"/>
    <w:rsid w:val="007241CC"/>
    <w:rsid w:val="007242C6"/>
    <w:rsid w:val="007247A7"/>
    <w:rsid w:val="00724867"/>
    <w:rsid w:val="0072493D"/>
    <w:rsid w:val="00724EF9"/>
    <w:rsid w:val="00725008"/>
    <w:rsid w:val="00725176"/>
    <w:rsid w:val="007255E8"/>
    <w:rsid w:val="00725653"/>
    <w:rsid w:val="007257BF"/>
    <w:rsid w:val="007257C5"/>
    <w:rsid w:val="00725801"/>
    <w:rsid w:val="00725952"/>
    <w:rsid w:val="00725B4A"/>
    <w:rsid w:val="00725B66"/>
    <w:rsid w:val="00725C87"/>
    <w:rsid w:val="00725D2F"/>
    <w:rsid w:val="00725DA1"/>
    <w:rsid w:val="00726147"/>
    <w:rsid w:val="00726245"/>
    <w:rsid w:val="007262D1"/>
    <w:rsid w:val="007263B9"/>
    <w:rsid w:val="007264EE"/>
    <w:rsid w:val="00726697"/>
    <w:rsid w:val="007266E1"/>
    <w:rsid w:val="007268CE"/>
    <w:rsid w:val="00726A1A"/>
    <w:rsid w:val="00726A3D"/>
    <w:rsid w:val="00726A52"/>
    <w:rsid w:val="00726BCE"/>
    <w:rsid w:val="00726BE6"/>
    <w:rsid w:val="00726CEE"/>
    <w:rsid w:val="00726FB6"/>
    <w:rsid w:val="0072750B"/>
    <w:rsid w:val="007275B4"/>
    <w:rsid w:val="00727698"/>
    <w:rsid w:val="007276CF"/>
    <w:rsid w:val="007277DF"/>
    <w:rsid w:val="00727B85"/>
    <w:rsid w:val="00727DEC"/>
    <w:rsid w:val="00727ECD"/>
    <w:rsid w:val="00727FE2"/>
    <w:rsid w:val="00730299"/>
    <w:rsid w:val="0073030D"/>
    <w:rsid w:val="007303F6"/>
    <w:rsid w:val="007306C2"/>
    <w:rsid w:val="0073091F"/>
    <w:rsid w:val="00730ADF"/>
    <w:rsid w:val="00730FCD"/>
    <w:rsid w:val="00731095"/>
    <w:rsid w:val="007311ED"/>
    <w:rsid w:val="007312E0"/>
    <w:rsid w:val="00731322"/>
    <w:rsid w:val="0073155A"/>
    <w:rsid w:val="007317D8"/>
    <w:rsid w:val="00731BDE"/>
    <w:rsid w:val="00731DCE"/>
    <w:rsid w:val="00731E01"/>
    <w:rsid w:val="00731E81"/>
    <w:rsid w:val="007322CA"/>
    <w:rsid w:val="00732352"/>
    <w:rsid w:val="007324E9"/>
    <w:rsid w:val="0073252D"/>
    <w:rsid w:val="0073252F"/>
    <w:rsid w:val="0073272B"/>
    <w:rsid w:val="007328CA"/>
    <w:rsid w:val="00732915"/>
    <w:rsid w:val="00732933"/>
    <w:rsid w:val="007329AF"/>
    <w:rsid w:val="00732A47"/>
    <w:rsid w:val="00733332"/>
    <w:rsid w:val="0073341C"/>
    <w:rsid w:val="00733429"/>
    <w:rsid w:val="0073343E"/>
    <w:rsid w:val="007334F8"/>
    <w:rsid w:val="0073352C"/>
    <w:rsid w:val="007336FE"/>
    <w:rsid w:val="007339CD"/>
    <w:rsid w:val="00733A9C"/>
    <w:rsid w:val="00733B1C"/>
    <w:rsid w:val="00733CC7"/>
    <w:rsid w:val="00733CDD"/>
    <w:rsid w:val="00733DFB"/>
    <w:rsid w:val="00733E64"/>
    <w:rsid w:val="00733FAA"/>
    <w:rsid w:val="007341D5"/>
    <w:rsid w:val="00734978"/>
    <w:rsid w:val="00734B3B"/>
    <w:rsid w:val="00734B3D"/>
    <w:rsid w:val="00734BD6"/>
    <w:rsid w:val="00734CFF"/>
    <w:rsid w:val="00734E77"/>
    <w:rsid w:val="00734F27"/>
    <w:rsid w:val="00735008"/>
    <w:rsid w:val="00735256"/>
    <w:rsid w:val="0073555E"/>
    <w:rsid w:val="007355EA"/>
    <w:rsid w:val="00735635"/>
    <w:rsid w:val="0073564A"/>
    <w:rsid w:val="007357CD"/>
    <w:rsid w:val="007359D8"/>
    <w:rsid w:val="00735BC2"/>
    <w:rsid w:val="00735E22"/>
    <w:rsid w:val="00735EF3"/>
    <w:rsid w:val="00735EF7"/>
    <w:rsid w:val="0073601D"/>
    <w:rsid w:val="007360B2"/>
    <w:rsid w:val="00736129"/>
    <w:rsid w:val="007362D4"/>
    <w:rsid w:val="00736382"/>
    <w:rsid w:val="00736507"/>
    <w:rsid w:val="00736663"/>
    <w:rsid w:val="00736705"/>
    <w:rsid w:val="0073674C"/>
    <w:rsid w:val="007367ED"/>
    <w:rsid w:val="007369E6"/>
    <w:rsid w:val="00736D56"/>
    <w:rsid w:val="00736DC6"/>
    <w:rsid w:val="00736DCE"/>
    <w:rsid w:val="00736E90"/>
    <w:rsid w:val="0073715F"/>
    <w:rsid w:val="0073718F"/>
    <w:rsid w:val="0073734A"/>
    <w:rsid w:val="00737594"/>
    <w:rsid w:val="00737605"/>
    <w:rsid w:val="007378D7"/>
    <w:rsid w:val="007378D9"/>
    <w:rsid w:val="00737A14"/>
    <w:rsid w:val="00737A3D"/>
    <w:rsid w:val="00737B18"/>
    <w:rsid w:val="00737B73"/>
    <w:rsid w:val="00737E5B"/>
    <w:rsid w:val="00740032"/>
    <w:rsid w:val="007400D9"/>
    <w:rsid w:val="007401D3"/>
    <w:rsid w:val="0074020A"/>
    <w:rsid w:val="0074035B"/>
    <w:rsid w:val="007403F1"/>
    <w:rsid w:val="00740679"/>
    <w:rsid w:val="007407AC"/>
    <w:rsid w:val="00740978"/>
    <w:rsid w:val="00740A5A"/>
    <w:rsid w:val="00740B2C"/>
    <w:rsid w:val="00740BA0"/>
    <w:rsid w:val="00740D7B"/>
    <w:rsid w:val="00740EF4"/>
    <w:rsid w:val="00741395"/>
    <w:rsid w:val="00741572"/>
    <w:rsid w:val="007416CD"/>
    <w:rsid w:val="007418B6"/>
    <w:rsid w:val="00741A78"/>
    <w:rsid w:val="00741B69"/>
    <w:rsid w:val="00741C31"/>
    <w:rsid w:val="00741C9D"/>
    <w:rsid w:val="00741CB5"/>
    <w:rsid w:val="00741E63"/>
    <w:rsid w:val="00741EDD"/>
    <w:rsid w:val="00741FCC"/>
    <w:rsid w:val="00742292"/>
    <w:rsid w:val="007422CC"/>
    <w:rsid w:val="00742379"/>
    <w:rsid w:val="00742924"/>
    <w:rsid w:val="0074297E"/>
    <w:rsid w:val="00742A31"/>
    <w:rsid w:val="00742B18"/>
    <w:rsid w:val="00742B19"/>
    <w:rsid w:val="00742E09"/>
    <w:rsid w:val="007431F9"/>
    <w:rsid w:val="0074355D"/>
    <w:rsid w:val="00743AAE"/>
    <w:rsid w:val="00743EE5"/>
    <w:rsid w:val="00743FF7"/>
    <w:rsid w:val="0074411E"/>
    <w:rsid w:val="00744152"/>
    <w:rsid w:val="007444EC"/>
    <w:rsid w:val="0074483F"/>
    <w:rsid w:val="00744865"/>
    <w:rsid w:val="00744C88"/>
    <w:rsid w:val="00744E6D"/>
    <w:rsid w:val="00744E8E"/>
    <w:rsid w:val="0074503E"/>
    <w:rsid w:val="0074504E"/>
    <w:rsid w:val="0074528B"/>
    <w:rsid w:val="00745431"/>
    <w:rsid w:val="007455E0"/>
    <w:rsid w:val="00745749"/>
    <w:rsid w:val="007457C0"/>
    <w:rsid w:val="007458DA"/>
    <w:rsid w:val="00745938"/>
    <w:rsid w:val="007459F0"/>
    <w:rsid w:val="00745A1C"/>
    <w:rsid w:val="00745FBE"/>
    <w:rsid w:val="00746498"/>
    <w:rsid w:val="00746B69"/>
    <w:rsid w:val="00746CF1"/>
    <w:rsid w:val="00746E51"/>
    <w:rsid w:val="00746E74"/>
    <w:rsid w:val="00746EA2"/>
    <w:rsid w:val="00746EF5"/>
    <w:rsid w:val="00746F5F"/>
    <w:rsid w:val="00746F82"/>
    <w:rsid w:val="0074765D"/>
    <w:rsid w:val="0074766A"/>
    <w:rsid w:val="00747787"/>
    <w:rsid w:val="00747987"/>
    <w:rsid w:val="00747E7F"/>
    <w:rsid w:val="00747EB6"/>
    <w:rsid w:val="007504FC"/>
    <w:rsid w:val="00750895"/>
    <w:rsid w:val="00750C62"/>
    <w:rsid w:val="00750DD5"/>
    <w:rsid w:val="00750EBB"/>
    <w:rsid w:val="0075100C"/>
    <w:rsid w:val="007511E6"/>
    <w:rsid w:val="0075122F"/>
    <w:rsid w:val="0075129F"/>
    <w:rsid w:val="00751376"/>
    <w:rsid w:val="007513D0"/>
    <w:rsid w:val="007514E8"/>
    <w:rsid w:val="0075165F"/>
    <w:rsid w:val="00751669"/>
    <w:rsid w:val="00751839"/>
    <w:rsid w:val="0075184D"/>
    <w:rsid w:val="00751A23"/>
    <w:rsid w:val="00751BA5"/>
    <w:rsid w:val="00751CD1"/>
    <w:rsid w:val="00751D42"/>
    <w:rsid w:val="00751EDE"/>
    <w:rsid w:val="007524C6"/>
    <w:rsid w:val="00752602"/>
    <w:rsid w:val="0075274F"/>
    <w:rsid w:val="00752C9A"/>
    <w:rsid w:val="00752F43"/>
    <w:rsid w:val="0075306C"/>
    <w:rsid w:val="007532DD"/>
    <w:rsid w:val="00753393"/>
    <w:rsid w:val="00753551"/>
    <w:rsid w:val="00753596"/>
    <w:rsid w:val="007536D6"/>
    <w:rsid w:val="007537B9"/>
    <w:rsid w:val="00753C53"/>
    <w:rsid w:val="00753D40"/>
    <w:rsid w:val="00753E2F"/>
    <w:rsid w:val="00753EE5"/>
    <w:rsid w:val="00753EFD"/>
    <w:rsid w:val="0075401E"/>
    <w:rsid w:val="007542B2"/>
    <w:rsid w:val="007542C6"/>
    <w:rsid w:val="007542EA"/>
    <w:rsid w:val="00754549"/>
    <w:rsid w:val="0075454D"/>
    <w:rsid w:val="00754912"/>
    <w:rsid w:val="00754963"/>
    <w:rsid w:val="007549B6"/>
    <w:rsid w:val="007549F8"/>
    <w:rsid w:val="00754A83"/>
    <w:rsid w:val="00754AC2"/>
    <w:rsid w:val="00754C45"/>
    <w:rsid w:val="00754E15"/>
    <w:rsid w:val="0075500C"/>
    <w:rsid w:val="00755249"/>
    <w:rsid w:val="00755712"/>
    <w:rsid w:val="0075577F"/>
    <w:rsid w:val="00755866"/>
    <w:rsid w:val="00755875"/>
    <w:rsid w:val="00755A08"/>
    <w:rsid w:val="00755A38"/>
    <w:rsid w:val="00755C0C"/>
    <w:rsid w:val="00755E9F"/>
    <w:rsid w:val="007563D3"/>
    <w:rsid w:val="00756488"/>
    <w:rsid w:val="00756AC8"/>
    <w:rsid w:val="00756BCC"/>
    <w:rsid w:val="00756BCF"/>
    <w:rsid w:val="00756CFD"/>
    <w:rsid w:val="00756D3C"/>
    <w:rsid w:val="00756D94"/>
    <w:rsid w:val="00757216"/>
    <w:rsid w:val="007575BC"/>
    <w:rsid w:val="0075763B"/>
    <w:rsid w:val="00757833"/>
    <w:rsid w:val="00757B1E"/>
    <w:rsid w:val="00757D47"/>
    <w:rsid w:val="00757D5E"/>
    <w:rsid w:val="00757DA1"/>
    <w:rsid w:val="00760062"/>
    <w:rsid w:val="007601FD"/>
    <w:rsid w:val="00760288"/>
    <w:rsid w:val="00760360"/>
    <w:rsid w:val="0076037A"/>
    <w:rsid w:val="0076053D"/>
    <w:rsid w:val="00760673"/>
    <w:rsid w:val="00760729"/>
    <w:rsid w:val="00760760"/>
    <w:rsid w:val="007608B6"/>
    <w:rsid w:val="00760A35"/>
    <w:rsid w:val="00760C3F"/>
    <w:rsid w:val="00760DA3"/>
    <w:rsid w:val="00760EE8"/>
    <w:rsid w:val="00761077"/>
    <w:rsid w:val="007610AD"/>
    <w:rsid w:val="0076137B"/>
    <w:rsid w:val="00761692"/>
    <w:rsid w:val="00761CF9"/>
    <w:rsid w:val="00761DCA"/>
    <w:rsid w:val="00761E71"/>
    <w:rsid w:val="0076205C"/>
    <w:rsid w:val="0076217C"/>
    <w:rsid w:val="0076228D"/>
    <w:rsid w:val="00762350"/>
    <w:rsid w:val="00762354"/>
    <w:rsid w:val="007623CD"/>
    <w:rsid w:val="00762504"/>
    <w:rsid w:val="00762B04"/>
    <w:rsid w:val="00762B74"/>
    <w:rsid w:val="00762EE4"/>
    <w:rsid w:val="007631F4"/>
    <w:rsid w:val="00763676"/>
    <w:rsid w:val="007636F3"/>
    <w:rsid w:val="0076376D"/>
    <w:rsid w:val="00763BA7"/>
    <w:rsid w:val="00763BFB"/>
    <w:rsid w:val="00763F2B"/>
    <w:rsid w:val="00763FD7"/>
    <w:rsid w:val="00764296"/>
    <w:rsid w:val="0076434C"/>
    <w:rsid w:val="00764547"/>
    <w:rsid w:val="00764B1F"/>
    <w:rsid w:val="00764C75"/>
    <w:rsid w:val="00764CD4"/>
    <w:rsid w:val="00764DC4"/>
    <w:rsid w:val="007650B5"/>
    <w:rsid w:val="00765400"/>
    <w:rsid w:val="0076551B"/>
    <w:rsid w:val="007655FC"/>
    <w:rsid w:val="0076560A"/>
    <w:rsid w:val="007656FA"/>
    <w:rsid w:val="007658A4"/>
    <w:rsid w:val="007658D6"/>
    <w:rsid w:val="00765B20"/>
    <w:rsid w:val="00765D65"/>
    <w:rsid w:val="00765FDB"/>
    <w:rsid w:val="00766133"/>
    <w:rsid w:val="00766337"/>
    <w:rsid w:val="0076651C"/>
    <w:rsid w:val="0076667C"/>
    <w:rsid w:val="0076672A"/>
    <w:rsid w:val="00766801"/>
    <w:rsid w:val="007669C2"/>
    <w:rsid w:val="00766CA4"/>
    <w:rsid w:val="00766D54"/>
    <w:rsid w:val="00766D63"/>
    <w:rsid w:val="00766E45"/>
    <w:rsid w:val="00766EDF"/>
    <w:rsid w:val="00766F59"/>
    <w:rsid w:val="00766FBC"/>
    <w:rsid w:val="00767089"/>
    <w:rsid w:val="0076711A"/>
    <w:rsid w:val="00767180"/>
    <w:rsid w:val="007671CC"/>
    <w:rsid w:val="00767394"/>
    <w:rsid w:val="0076758A"/>
    <w:rsid w:val="007675FC"/>
    <w:rsid w:val="007678A4"/>
    <w:rsid w:val="007679F8"/>
    <w:rsid w:val="00767A2D"/>
    <w:rsid w:val="00767BC2"/>
    <w:rsid w:val="00767D8C"/>
    <w:rsid w:val="00770198"/>
    <w:rsid w:val="00770284"/>
    <w:rsid w:val="007702EE"/>
    <w:rsid w:val="0077038D"/>
    <w:rsid w:val="00770723"/>
    <w:rsid w:val="00770B64"/>
    <w:rsid w:val="00770D15"/>
    <w:rsid w:val="00770EAE"/>
    <w:rsid w:val="00771153"/>
    <w:rsid w:val="007712F3"/>
    <w:rsid w:val="0077172E"/>
    <w:rsid w:val="00771938"/>
    <w:rsid w:val="00771947"/>
    <w:rsid w:val="007719D8"/>
    <w:rsid w:val="007719EF"/>
    <w:rsid w:val="00771AD4"/>
    <w:rsid w:val="00771E04"/>
    <w:rsid w:val="00772017"/>
    <w:rsid w:val="0077218A"/>
    <w:rsid w:val="007722A4"/>
    <w:rsid w:val="007722BC"/>
    <w:rsid w:val="00772562"/>
    <w:rsid w:val="0077260A"/>
    <w:rsid w:val="007726B8"/>
    <w:rsid w:val="00772717"/>
    <w:rsid w:val="00772866"/>
    <w:rsid w:val="007728A0"/>
    <w:rsid w:val="00772A08"/>
    <w:rsid w:val="00772AE5"/>
    <w:rsid w:val="00772B10"/>
    <w:rsid w:val="00772DC1"/>
    <w:rsid w:val="00772E04"/>
    <w:rsid w:val="00772E37"/>
    <w:rsid w:val="00772F16"/>
    <w:rsid w:val="007730C2"/>
    <w:rsid w:val="0077320A"/>
    <w:rsid w:val="00773511"/>
    <w:rsid w:val="00773533"/>
    <w:rsid w:val="00773536"/>
    <w:rsid w:val="00773847"/>
    <w:rsid w:val="007739B6"/>
    <w:rsid w:val="007739C8"/>
    <w:rsid w:val="00773CF1"/>
    <w:rsid w:val="00773DAA"/>
    <w:rsid w:val="00773F3B"/>
    <w:rsid w:val="00773F63"/>
    <w:rsid w:val="00774016"/>
    <w:rsid w:val="0077403C"/>
    <w:rsid w:val="00774055"/>
    <w:rsid w:val="0077409B"/>
    <w:rsid w:val="0077414E"/>
    <w:rsid w:val="00774333"/>
    <w:rsid w:val="007743D1"/>
    <w:rsid w:val="00774763"/>
    <w:rsid w:val="00774B37"/>
    <w:rsid w:val="00774B7E"/>
    <w:rsid w:val="00774C11"/>
    <w:rsid w:val="00774EAB"/>
    <w:rsid w:val="00774FB2"/>
    <w:rsid w:val="0077512A"/>
    <w:rsid w:val="007751C3"/>
    <w:rsid w:val="007752A5"/>
    <w:rsid w:val="00775407"/>
    <w:rsid w:val="00775844"/>
    <w:rsid w:val="007759B9"/>
    <w:rsid w:val="00775CDD"/>
    <w:rsid w:val="00775E32"/>
    <w:rsid w:val="00775E45"/>
    <w:rsid w:val="00775EF7"/>
    <w:rsid w:val="00776139"/>
    <w:rsid w:val="00776359"/>
    <w:rsid w:val="00776530"/>
    <w:rsid w:val="0077659F"/>
    <w:rsid w:val="00776A04"/>
    <w:rsid w:val="00776C37"/>
    <w:rsid w:val="00776E5E"/>
    <w:rsid w:val="00776E74"/>
    <w:rsid w:val="00776EA0"/>
    <w:rsid w:val="00776F36"/>
    <w:rsid w:val="00777151"/>
    <w:rsid w:val="00777206"/>
    <w:rsid w:val="00777395"/>
    <w:rsid w:val="00777497"/>
    <w:rsid w:val="007774EC"/>
    <w:rsid w:val="007774F9"/>
    <w:rsid w:val="007775E1"/>
    <w:rsid w:val="00777601"/>
    <w:rsid w:val="00777770"/>
    <w:rsid w:val="007777E2"/>
    <w:rsid w:val="00777B15"/>
    <w:rsid w:val="00777C11"/>
    <w:rsid w:val="00777D2C"/>
    <w:rsid w:val="00777D35"/>
    <w:rsid w:val="00777DEC"/>
    <w:rsid w:val="00777E18"/>
    <w:rsid w:val="00777E71"/>
    <w:rsid w:val="007800B5"/>
    <w:rsid w:val="0078046C"/>
    <w:rsid w:val="00780540"/>
    <w:rsid w:val="0078058E"/>
    <w:rsid w:val="007806E2"/>
    <w:rsid w:val="00780713"/>
    <w:rsid w:val="007807B8"/>
    <w:rsid w:val="007807BC"/>
    <w:rsid w:val="007807FE"/>
    <w:rsid w:val="0078081C"/>
    <w:rsid w:val="00780EB6"/>
    <w:rsid w:val="00781098"/>
    <w:rsid w:val="00781418"/>
    <w:rsid w:val="007814FD"/>
    <w:rsid w:val="00781801"/>
    <w:rsid w:val="007819A6"/>
    <w:rsid w:val="007819B3"/>
    <w:rsid w:val="00781ABA"/>
    <w:rsid w:val="00781C37"/>
    <w:rsid w:val="00781E62"/>
    <w:rsid w:val="00781E69"/>
    <w:rsid w:val="00781FD2"/>
    <w:rsid w:val="0078225A"/>
    <w:rsid w:val="00782279"/>
    <w:rsid w:val="007822A1"/>
    <w:rsid w:val="0078261D"/>
    <w:rsid w:val="0078263D"/>
    <w:rsid w:val="0078269E"/>
    <w:rsid w:val="007826AF"/>
    <w:rsid w:val="00782ABD"/>
    <w:rsid w:val="00782D0C"/>
    <w:rsid w:val="00782EA9"/>
    <w:rsid w:val="00782FA5"/>
    <w:rsid w:val="00783656"/>
    <w:rsid w:val="007837BF"/>
    <w:rsid w:val="00783913"/>
    <w:rsid w:val="00783979"/>
    <w:rsid w:val="007839BD"/>
    <w:rsid w:val="00783AEA"/>
    <w:rsid w:val="00783B86"/>
    <w:rsid w:val="00783D0E"/>
    <w:rsid w:val="00783DD2"/>
    <w:rsid w:val="00783EDD"/>
    <w:rsid w:val="00783F4E"/>
    <w:rsid w:val="00783FC5"/>
    <w:rsid w:val="00784198"/>
    <w:rsid w:val="0078461A"/>
    <w:rsid w:val="00784993"/>
    <w:rsid w:val="00784AEE"/>
    <w:rsid w:val="00784BF7"/>
    <w:rsid w:val="00784E2D"/>
    <w:rsid w:val="00785032"/>
    <w:rsid w:val="00785169"/>
    <w:rsid w:val="0078533A"/>
    <w:rsid w:val="0078539A"/>
    <w:rsid w:val="00785595"/>
    <w:rsid w:val="00785740"/>
    <w:rsid w:val="007859E3"/>
    <w:rsid w:val="00785C54"/>
    <w:rsid w:val="00785DE2"/>
    <w:rsid w:val="00785FEA"/>
    <w:rsid w:val="00786006"/>
    <w:rsid w:val="007861CA"/>
    <w:rsid w:val="0078626B"/>
    <w:rsid w:val="007862F9"/>
    <w:rsid w:val="007867EB"/>
    <w:rsid w:val="00786820"/>
    <w:rsid w:val="00786856"/>
    <w:rsid w:val="007869BC"/>
    <w:rsid w:val="00786BA3"/>
    <w:rsid w:val="00786CDF"/>
    <w:rsid w:val="0078701D"/>
    <w:rsid w:val="007872D8"/>
    <w:rsid w:val="007874AA"/>
    <w:rsid w:val="007875AC"/>
    <w:rsid w:val="00787878"/>
    <w:rsid w:val="00787951"/>
    <w:rsid w:val="0078798E"/>
    <w:rsid w:val="00787B01"/>
    <w:rsid w:val="00787BFF"/>
    <w:rsid w:val="00787C4F"/>
    <w:rsid w:val="00787C7B"/>
    <w:rsid w:val="00787E63"/>
    <w:rsid w:val="007900F3"/>
    <w:rsid w:val="00790104"/>
    <w:rsid w:val="007901CA"/>
    <w:rsid w:val="007902D2"/>
    <w:rsid w:val="007904A3"/>
    <w:rsid w:val="007905F2"/>
    <w:rsid w:val="00790680"/>
    <w:rsid w:val="007907C9"/>
    <w:rsid w:val="00790872"/>
    <w:rsid w:val="007908AA"/>
    <w:rsid w:val="007908EF"/>
    <w:rsid w:val="00790A7E"/>
    <w:rsid w:val="00790B1F"/>
    <w:rsid w:val="00790B31"/>
    <w:rsid w:val="00790E34"/>
    <w:rsid w:val="00790EC5"/>
    <w:rsid w:val="00790F64"/>
    <w:rsid w:val="00790F92"/>
    <w:rsid w:val="00791077"/>
    <w:rsid w:val="0079111D"/>
    <w:rsid w:val="007911B8"/>
    <w:rsid w:val="007913B9"/>
    <w:rsid w:val="0079153C"/>
    <w:rsid w:val="00791A4A"/>
    <w:rsid w:val="00791A9B"/>
    <w:rsid w:val="00791C3B"/>
    <w:rsid w:val="00791CC9"/>
    <w:rsid w:val="00791D64"/>
    <w:rsid w:val="00791D8B"/>
    <w:rsid w:val="00791FBE"/>
    <w:rsid w:val="007920E6"/>
    <w:rsid w:val="0079215F"/>
    <w:rsid w:val="007921F0"/>
    <w:rsid w:val="00792236"/>
    <w:rsid w:val="00792446"/>
    <w:rsid w:val="00792655"/>
    <w:rsid w:val="0079275F"/>
    <w:rsid w:val="00792968"/>
    <w:rsid w:val="00792B79"/>
    <w:rsid w:val="00793078"/>
    <w:rsid w:val="007932A3"/>
    <w:rsid w:val="00793382"/>
    <w:rsid w:val="00793388"/>
    <w:rsid w:val="0079352D"/>
    <w:rsid w:val="007936FC"/>
    <w:rsid w:val="00793BEF"/>
    <w:rsid w:val="00793C4A"/>
    <w:rsid w:val="00793C82"/>
    <w:rsid w:val="00793D63"/>
    <w:rsid w:val="00793DBD"/>
    <w:rsid w:val="00793EFB"/>
    <w:rsid w:val="00794150"/>
    <w:rsid w:val="00794236"/>
    <w:rsid w:val="00794351"/>
    <w:rsid w:val="007944CC"/>
    <w:rsid w:val="0079497F"/>
    <w:rsid w:val="00794A15"/>
    <w:rsid w:val="00794A3D"/>
    <w:rsid w:val="00794CCE"/>
    <w:rsid w:val="00794D1D"/>
    <w:rsid w:val="00794E15"/>
    <w:rsid w:val="00795077"/>
    <w:rsid w:val="00795124"/>
    <w:rsid w:val="007951A5"/>
    <w:rsid w:val="007954AB"/>
    <w:rsid w:val="00795510"/>
    <w:rsid w:val="007958D0"/>
    <w:rsid w:val="007959EE"/>
    <w:rsid w:val="00795AD7"/>
    <w:rsid w:val="00795B1B"/>
    <w:rsid w:val="00795D0C"/>
    <w:rsid w:val="00795E96"/>
    <w:rsid w:val="00795FC5"/>
    <w:rsid w:val="00796203"/>
    <w:rsid w:val="007963B6"/>
    <w:rsid w:val="00796482"/>
    <w:rsid w:val="0079674D"/>
    <w:rsid w:val="007968C5"/>
    <w:rsid w:val="00796BE8"/>
    <w:rsid w:val="00796CB1"/>
    <w:rsid w:val="00797155"/>
    <w:rsid w:val="007973CB"/>
    <w:rsid w:val="007973F6"/>
    <w:rsid w:val="00797AA3"/>
    <w:rsid w:val="00797C01"/>
    <w:rsid w:val="00797C11"/>
    <w:rsid w:val="00797CCE"/>
    <w:rsid w:val="00797CF5"/>
    <w:rsid w:val="00797D90"/>
    <w:rsid w:val="00797E73"/>
    <w:rsid w:val="007A00C3"/>
    <w:rsid w:val="007A0164"/>
    <w:rsid w:val="007A01C1"/>
    <w:rsid w:val="007A0261"/>
    <w:rsid w:val="007A0292"/>
    <w:rsid w:val="007A03D0"/>
    <w:rsid w:val="007A040D"/>
    <w:rsid w:val="007A08E2"/>
    <w:rsid w:val="007A0CAB"/>
    <w:rsid w:val="007A0CB5"/>
    <w:rsid w:val="007A0CE4"/>
    <w:rsid w:val="007A0F4C"/>
    <w:rsid w:val="007A0FE6"/>
    <w:rsid w:val="007A10C5"/>
    <w:rsid w:val="007A1229"/>
    <w:rsid w:val="007A137E"/>
    <w:rsid w:val="007A13C0"/>
    <w:rsid w:val="007A14AA"/>
    <w:rsid w:val="007A14C5"/>
    <w:rsid w:val="007A15D2"/>
    <w:rsid w:val="007A1B2C"/>
    <w:rsid w:val="007A1D08"/>
    <w:rsid w:val="007A1ECB"/>
    <w:rsid w:val="007A1F7C"/>
    <w:rsid w:val="007A2034"/>
    <w:rsid w:val="007A20A2"/>
    <w:rsid w:val="007A20EF"/>
    <w:rsid w:val="007A20F2"/>
    <w:rsid w:val="007A218F"/>
    <w:rsid w:val="007A2211"/>
    <w:rsid w:val="007A2461"/>
    <w:rsid w:val="007A2575"/>
    <w:rsid w:val="007A2809"/>
    <w:rsid w:val="007A283D"/>
    <w:rsid w:val="007A2A1B"/>
    <w:rsid w:val="007A2C09"/>
    <w:rsid w:val="007A2CA3"/>
    <w:rsid w:val="007A2D62"/>
    <w:rsid w:val="007A2F1B"/>
    <w:rsid w:val="007A2FB0"/>
    <w:rsid w:val="007A316A"/>
    <w:rsid w:val="007A3420"/>
    <w:rsid w:val="007A3492"/>
    <w:rsid w:val="007A3640"/>
    <w:rsid w:val="007A3866"/>
    <w:rsid w:val="007A38CB"/>
    <w:rsid w:val="007A398F"/>
    <w:rsid w:val="007A3BD5"/>
    <w:rsid w:val="007A3C08"/>
    <w:rsid w:val="007A3C65"/>
    <w:rsid w:val="007A3D10"/>
    <w:rsid w:val="007A3DD0"/>
    <w:rsid w:val="007A3E38"/>
    <w:rsid w:val="007A4100"/>
    <w:rsid w:val="007A4246"/>
    <w:rsid w:val="007A43F4"/>
    <w:rsid w:val="007A4400"/>
    <w:rsid w:val="007A4636"/>
    <w:rsid w:val="007A464E"/>
    <w:rsid w:val="007A4666"/>
    <w:rsid w:val="007A4A10"/>
    <w:rsid w:val="007A4B99"/>
    <w:rsid w:val="007A4C18"/>
    <w:rsid w:val="007A53D8"/>
    <w:rsid w:val="007A548C"/>
    <w:rsid w:val="007A55DD"/>
    <w:rsid w:val="007A56C1"/>
    <w:rsid w:val="007A5827"/>
    <w:rsid w:val="007A5904"/>
    <w:rsid w:val="007A59D7"/>
    <w:rsid w:val="007A5BFD"/>
    <w:rsid w:val="007A5C2C"/>
    <w:rsid w:val="007A5CA8"/>
    <w:rsid w:val="007A5D82"/>
    <w:rsid w:val="007A5DD0"/>
    <w:rsid w:val="007A5F90"/>
    <w:rsid w:val="007A60EF"/>
    <w:rsid w:val="007A60F6"/>
    <w:rsid w:val="007A63A3"/>
    <w:rsid w:val="007A65B4"/>
    <w:rsid w:val="007A66A0"/>
    <w:rsid w:val="007A697A"/>
    <w:rsid w:val="007A69F7"/>
    <w:rsid w:val="007A6A14"/>
    <w:rsid w:val="007A6BCB"/>
    <w:rsid w:val="007A6D82"/>
    <w:rsid w:val="007A6DE4"/>
    <w:rsid w:val="007A6EE1"/>
    <w:rsid w:val="007A7147"/>
    <w:rsid w:val="007A7258"/>
    <w:rsid w:val="007A754F"/>
    <w:rsid w:val="007A7572"/>
    <w:rsid w:val="007A75C3"/>
    <w:rsid w:val="007A75E9"/>
    <w:rsid w:val="007A7939"/>
    <w:rsid w:val="007A7A11"/>
    <w:rsid w:val="007A7ADB"/>
    <w:rsid w:val="007A7BEB"/>
    <w:rsid w:val="007A7DA9"/>
    <w:rsid w:val="007A7EE5"/>
    <w:rsid w:val="007A7F36"/>
    <w:rsid w:val="007A7FDC"/>
    <w:rsid w:val="007B0144"/>
    <w:rsid w:val="007B04A3"/>
    <w:rsid w:val="007B0710"/>
    <w:rsid w:val="007B0845"/>
    <w:rsid w:val="007B0945"/>
    <w:rsid w:val="007B098E"/>
    <w:rsid w:val="007B0C6E"/>
    <w:rsid w:val="007B0E52"/>
    <w:rsid w:val="007B0EF7"/>
    <w:rsid w:val="007B0F0F"/>
    <w:rsid w:val="007B0FA2"/>
    <w:rsid w:val="007B0FE9"/>
    <w:rsid w:val="007B12AD"/>
    <w:rsid w:val="007B170E"/>
    <w:rsid w:val="007B1732"/>
    <w:rsid w:val="007B1760"/>
    <w:rsid w:val="007B18FC"/>
    <w:rsid w:val="007B1940"/>
    <w:rsid w:val="007B1B1E"/>
    <w:rsid w:val="007B1B3A"/>
    <w:rsid w:val="007B1BF9"/>
    <w:rsid w:val="007B1C6A"/>
    <w:rsid w:val="007B1D9A"/>
    <w:rsid w:val="007B2494"/>
    <w:rsid w:val="007B2505"/>
    <w:rsid w:val="007B2541"/>
    <w:rsid w:val="007B260D"/>
    <w:rsid w:val="007B2619"/>
    <w:rsid w:val="007B2692"/>
    <w:rsid w:val="007B2AA8"/>
    <w:rsid w:val="007B3113"/>
    <w:rsid w:val="007B3335"/>
    <w:rsid w:val="007B3347"/>
    <w:rsid w:val="007B33DC"/>
    <w:rsid w:val="007B345F"/>
    <w:rsid w:val="007B3637"/>
    <w:rsid w:val="007B36B5"/>
    <w:rsid w:val="007B3812"/>
    <w:rsid w:val="007B3886"/>
    <w:rsid w:val="007B3A84"/>
    <w:rsid w:val="007B3B72"/>
    <w:rsid w:val="007B3D03"/>
    <w:rsid w:val="007B3DA7"/>
    <w:rsid w:val="007B3F74"/>
    <w:rsid w:val="007B4203"/>
    <w:rsid w:val="007B4298"/>
    <w:rsid w:val="007B4308"/>
    <w:rsid w:val="007B4464"/>
    <w:rsid w:val="007B4719"/>
    <w:rsid w:val="007B4890"/>
    <w:rsid w:val="007B49FD"/>
    <w:rsid w:val="007B4AD3"/>
    <w:rsid w:val="007B4AE7"/>
    <w:rsid w:val="007B4C81"/>
    <w:rsid w:val="007B4CB9"/>
    <w:rsid w:val="007B4DFE"/>
    <w:rsid w:val="007B4EB6"/>
    <w:rsid w:val="007B4FAD"/>
    <w:rsid w:val="007B505D"/>
    <w:rsid w:val="007B50D0"/>
    <w:rsid w:val="007B50DB"/>
    <w:rsid w:val="007B53EB"/>
    <w:rsid w:val="007B543E"/>
    <w:rsid w:val="007B549A"/>
    <w:rsid w:val="007B56C8"/>
    <w:rsid w:val="007B5768"/>
    <w:rsid w:val="007B578C"/>
    <w:rsid w:val="007B5906"/>
    <w:rsid w:val="007B5A4B"/>
    <w:rsid w:val="007B5B56"/>
    <w:rsid w:val="007B5CC5"/>
    <w:rsid w:val="007B5CEC"/>
    <w:rsid w:val="007B5E93"/>
    <w:rsid w:val="007B602D"/>
    <w:rsid w:val="007B617E"/>
    <w:rsid w:val="007B61F3"/>
    <w:rsid w:val="007B6383"/>
    <w:rsid w:val="007B650D"/>
    <w:rsid w:val="007B66C0"/>
    <w:rsid w:val="007B6946"/>
    <w:rsid w:val="007B6AEA"/>
    <w:rsid w:val="007B6BA1"/>
    <w:rsid w:val="007B6BBC"/>
    <w:rsid w:val="007B6BD1"/>
    <w:rsid w:val="007B6C02"/>
    <w:rsid w:val="007B6D1E"/>
    <w:rsid w:val="007B7190"/>
    <w:rsid w:val="007B7241"/>
    <w:rsid w:val="007B7420"/>
    <w:rsid w:val="007B74BC"/>
    <w:rsid w:val="007B74DA"/>
    <w:rsid w:val="007B7507"/>
    <w:rsid w:val="007B78DB"/>
    <w:rsid w:val="007B7BA4"/>
    <w:rsid w:val="007B7C9A"/>
    <w:rsid w:val="007B7EA1"/>
    <w:rsid w:val="007B7F00"/>
    <w:rsid w:val="007B7FC9"/>
    <w:rsid w:val="007C0075"/>
    <w:rsid w:val="007C0113"/>
    <w:rsid w:val="007C0129"/>
    <w:rsid w:val="007C0212"/>
    <w:rsid w:val="007C057D"/>
    <w:rsid w:val="007C05F8"/>
    <w:rsid w:val="007C0618"/>
    <w:rsid w:val="007C0718"/>
    <w:rsid w:val="007C07F5"/>
    <w:rsid w:val="007C0C54"/>
    <w:rsid w:val="007C0DCA"/>
    <w:rsid w:val="007C107E"/>
    <w:rsid w:val="007C10A7"/>
    <w:rsid w:val="007C1165"/>
    <w:rsid w:val="007C1249"/>
    <w:rsid w:val="007C1272"/>
    <w:rsid w:val="007C1555"/>
    <w:rsid w:val="007C163C"/>
    <w:rsid w:val="007C1854"/>
    <w:rsid w:val="007C1C25"/>
    <w:rsid w:val="007C1C48"/>
    <w:rsid w:val="007C1CC1"/>
    <w:rsid w:val="007C1CE9"/>
    <w:rsid w:val="007C206D"/>
    <w:rsid w:val="007C2142"/>
    <w:rsid w:val="007C2173"/>
    <w:rsid w:val="007C2275"/>
    <w:rsid w:val="007C2431"/>
    <w:rsid w:val="007C25D5"/>
    <w:rsid w:val="007C2763"/>
    <w:rsid w:val="007C2864"/>
    <w:rsid w:val="007C2949"/>
    <w:rsid w:val="007C2B1E"/>
    <w:rsid w:val="007C2BC0"/>
    <w:rsid w:val="007C2BFB"/>
    <w:rsid w:val="007C2ECA"/>
    <w:rsid w:val="007C3182"/>
    <w:rsid w:val="007C31F1"/>
    <w:rsid w:val="007C33C1"/>
    <w:rsid w:val="007C3416"/>
    <w:rsid w:val="007C3535"/>
    <w:rsid w:val="007C35AC"/>
    <w:rsid w:val="007C35B6"/>
    <w:rsid w:val="007C3658"/>
    <w:rsid w:val="007C36DB"/>
    <w:rsid w:val="007C374C"/>
    <w:rsid w:val="007C379D"/>
    <w:rsid w:val="007C3864"/>
    <w:rsid w:val="007C393C"/>
    <w:rsid w:val="007C39C0"/>
    <w:rsid w:val="007C3A6A"/>
    <w:rsid w:val="007C3B11"/>
    <w:rsid w:val="007C3BBB"/>
    <w:rsid w:val="007C3C85"/>
    <w:rsid w:val="007C3D94"/>
    <w:rsid w:val="007C41C4"/>
    <w:rsid w:val="007C42D0"/>
    <w:rsid w:val="007C42D1"/>
    <w:rsid w:val="007C433A"/>
    <w:rsid w:val="007C45D2"/>
    <w:rsid w:val="007C4709"/>
    <w:rsid w:val="007C475B"/>
    <w:rsid w:val="007C4851"/>
    <w:rsid w:val="007C4A94"/>
    <w:rsid w:val="007C4B2F"/>
    <w:rsid w:val="007C4B63"/>
    <w:rsid w:val="007C4E44"/>
    <w:rsid w:val="007C4EAA"/>
    <w:rsid w:val="007C4F18"/>
    <w:rsid w:val="007C4F6C"/>
    <w:rsid w:val="007C51F3"/>
    <w:rsid w:val="007C5596"/>
    <w:rsid w:val="007C5695"/>
    <w:rsid w:val="007C588D"/>
    <w:rsid w:val="007C5BE5"/>
    <w:rsid w:val="007C5C73"/>
    <w:rsid w:val="007C5CCF"/>
    <w:rsid w:val="007C5D11"/>
    <w:rsid w:val="007C5EAE"/>
    <w:rsid w:val="007C5FE3"/>
    <w:rsid w:val="007C5FEB"/>
    <w:rsid w:val="007C60CF"/>
    <w:rsid w:val="007C6163"/>
    <w:rsid w:val="007C6226"/>
    <w:rsid w:val="007C64D3"/>
    <w:rsid w:val="007C64E6"/>
    <w:rsid w:val="007C66FC"/>
    <w:rsid w:val="007C6717"/>
    <w:rsid w:val="007C6829"/>
    <w:rsid w:val="007C684B"/>
    <w:rsid w:val="007C6884"/>
    <w:rsid w:val="007C6A6F"/>
    <w:rsid w:val="007C6A9F"/>
    <w:rsid w:val="007C6ACF"/>
    <w:rsid w:val="007C6AF2"/>
    <w:rsid w:val="007C6BC7"/>
    <w:rsid w:val="007C6C67"/>
    <w:rsid w:val="007C6C6E"/>
    <w:rsid w:val="007C6D19"/>
    <w:rsid w:val="007C6D47"/>
    <w:rsid w:val="007C6D9C"/>
    <w:rsid w:val="007C723B"/>
    <w:rsid w:val="007C74AF"/>
    <w:rsid w:val="007C75CE"/>
    <w:rsid w:val="007C77C9"/>
    <w:rsid w:val="007C7D16"/>
    <w:rsid w:val="007C7DDB"/>
    <w:rsid w:val="007C7F29"/>
    <w:rsid w:val="007C7F35"/>
    <w:rsid w:val="007D013A"/>
    <w:rsid w:val="007D031A"/>
    <w:rsid w:val="007D037A"/>
    <w:rsid w:val="007D0564"/>
    <w:rsid w:val="007D058D"/>
    <w:rsid w:val="007D0703"/>
    <w:rsid w:val="007D0755"/>
    <w:rsid w:val="007D07D4"/>
    <w:rsid w:val="007D07E9"/>
    <w:rsid w:val="007D0A0D"/>
    <w:rsid w:val="007D0A45"/>
    <w:rsid w:val="007D0A53"/>
    <w:rsid w:val="007D0A8C"/>
    <w:rsid w:val="007D0B2F"/>
    <w:rsid w:val="007D0C52"/>
    <w:rsid w:val="007D0CBB"/>
    <w:rsid w:val="007D0E35"/>
    <w:rsid w:val="007D0E68"/>
    <w:rsid w:val="007D10F8"/>
    <w:rsid w:val="007D112F"/>
    <w:rsid w:val="007D1174"/>
    <w:rsid w:val="007D1444"/>
    <w:rsid w:val="007D14F1"/>
    <w:rsid w:val="007D1530"/>
    <w:rsid w:val="007D16C0"/>
    <w:rsid w:val="007D18EE"/>
    <w:rsid w:val="007D1A2A"/>
    <w:rsid w:val="007D1A32"/>
    <w:rsid w:val="007D1B6F"/>
    <w:rsid w:val="007D1BF1"/>
    <w:rsid w:val="007D1C22"/>
    <w:rsid w:val="007D1E71"/>
    <w:rsid w:val="007D2004"/>
    <w:rsid w:val="007D2012"/>
    <w:rsid w:val="007D20A7"/>
    <w:rsid w:val="007D218F"/>
    <w:rsid w:val="007D22B7"/>
    <w:rsid w:val="007D2309"/>
    <w:rsid w:val="007D249E"/>
    <w:rsid w:val="007D2852"/>
    <w:rsid w:val="007D2B6C"/>
    <w:rsid w:val="007D2C0A"/>
    <w:rsid w:val="007D2CC7"/>
    <w:rsid w:val="007D2CE4"/>
    <w:rsid w:val="007D2D09"/>
    <w:rsid w:val="007D309B"/>
    <w:rsid w:val="007D30EA"/>
    <w:rsid w:val="007D318C"/>
    <w:rsid w:val="007D3275"/>
    <w:rsid w:val="007D32A3"/>
    <w:rsid w:val="007D32BB"/>
    <w:rsid w:val="007D3363"/>
    <w:rsid w:val="007D3376"/>
    <w:rsid w:val="007D33F7"/>
    <w:rsid w:val="007D34E3"/>
    <w:rsid w:val="007D36A4"/>
    <w:rsid w:val="007D3726"/>
    <w:rsid w:val="007D3829"/>
    <w:rsid w:val="007D389B"/>
    <w:rsid w:val="007D3920"/>
    <w:rsid w:val="007D3AAD"/>
    <w:rsid w:val="007D3B08"/>
    <w:rsid w:val="007D3E8C"/>
    <w:rsid w:val="007D3FAA"/>
    <w:rsid w:val="007D4236"/>
    <w:rsid w:val="007D4381"/>
    <w:rsid w:val="007D43E7"/>
    <w:rsid w:val="007D445E"/>
    <w:rsid w:val="007D448F"/>
    <w:rsid w:val="007D4689"/>
    <w:rsid w:val="007D4777"/>
    <w:rsid w:val="007D4B14"/>
    <w:rsid w:val="007D4B29"/>
    <w:rsid w:val="007D4CD1"/>
    <w:rsid w:val="007D4CE2"/>
    <w:rsid w:val="007D51DC"/>
    <w:rsid w:val="007D591E"/>
    <w:rsid w:val="007D5998"/>
    <w:rsid w:val="007D5A12"/>
    <w:rsid w:val="007D5B6F"/>
    <w:rsid w:val="007D5D0C"/>
    <w:rsid w:val="007D5DFB"/>
    <w:rsid w:val="007D60FE"/>
    <w:rsid w:val="007D6480"/>
    <w:rsid w:val="007D64F3"/>
    <w:rsid w:val="007D6563"/>
    <w:rsid w:val="007D6711"/>
    <w:rsid w:val="007D673D"/>
    <w:rsid w:val="007D67D3"/>
    <w:rsid w:val="007D6BEB"/>
    <w:rsid w:val="007D6D7B"/>
    <w:rsid w:val="007D6E0C"/>
    <w:rsid w:val="007D6F60"/>
    <w:rsid w:val="007D7014"/>
    <w:rsid w:val="007D72D1"/>
    <w:rsid w:val="007D738C"/>
    <w:rsid w:val="007D73C7"/>
    <w:rsid w:val="007D76B1"/>
    <w:rsid w:val="007D77DF"/>
    <w:rsid w:val="007D78B4"/>
    <w:rsid w:val="007D7A17"/>
    <w:rsid w:val="007D7AC6"/>
    <w:rsid w:val="007D7B4A"/>
    <w:rsid w:val="007D7BD6"/>
    <w:rsid w:val="007D7E0E"/>
    <w:rsid w:val="007D7FA8"/>
    <w:rsid w:val="007D7FDC"/>
    <w:rsid w:val="007E0001"/>
    <w:rsid w:val="007E02DF"/>
    <w:rsid w:val="007E0596"/>
    <w:rsid w:val="007E06AC"/>
    <w:rsid w:val="007E0980"/>
    <w:rsid w:val="007E0D5A"/>
    <w:rsid w:val="007E0E81"/>
    <w:rsid w:val="007E0EAE"/>
    <w:rsid w:val="007E0FEA"/>
    <w:rsid w:val="007E1032"/>
    <w:rsid w:val="007E1342"/>
    <w:rsid w:val="007E1359"/>
    <w:rsid w:val="007E18C0"/>
    <w:rsid w:val="007E18C8"/>
    <w:rsid w:val="007E18EA"/>
    <w:rsid w:val="007E1971"/>
    <w:rsid w:val="007E1A5F"/>
    <w:rsid w:val="007E1A68"/>
    <w:rsid w:val="007E1ADE"/>
    <w:rsid w:val="007E1CED"/>
    <w:rsid w:val="007E20F0"/>
    <w:rsid w:val="007E235F"/>
    <w:rsid w:val="007E2459"/>
    <w:rsid w:val="007E2460"/>
    <w:rsid w:val="007E2562"/>
    <w:rsid w:val="007E26C1"/>
    <w:rsid w:val="007E2BBB"/>
    <w:rsid w:val="007E2C47"/>
    <w:rsid w:val="007E2C5C"/>
    <w:rsid w:val="007E2EE5"/>
    <w:rsid w:val="007E314D"/>
    <w:rsid w:val="007E318D"/>
    <w:rsid w:val="007E32CB"/>
    <w:rsid w:val="007E33D9"/>
    <w:rsid w:val="007E351D"/>
    <w:rsid w:val="007E368B"/>
    <w:rsid w:val="007E36D8"/>
    <w:rsid w:val="007E3792"/>
    <w:rsid w:val="007E37BF"/>
    <w:rsid w:val="007E386A"/>
    <w:rsid w:val="007E3AED"/>
    <w:rsid w:val="007E3CC3"/>
    <w:rsid w:val="007E3E99"/>
    <w:rsid w:val="007E4009"/>
    <w:rsid w:val="007E42AC"/>
    <w:rsid w:val="007E4319"/>
    <w:rsid w:val="007E4767"/>
    <w:rsid w:val="007E48E4"/>
    <w:rsid w:val="007E48FF"/>
    <w:rsid w:val="007E49E7"/>
    <w:rsid w:val="007E4A05"/>
    <w:rsid w:val="007E5026"/>
    <w:rsid w:val="007E5421"/>
    <w:rsid w:val="007E54B6"/>
    <w:rsid w:val="007E5579"/>
    <w:rsid w:val="007E55A4"/>
    <w:rsid w:val="007E5749"/>
    <w:rsid w:val="007E586C"/>
    <w:rsid w:val="007E58C4"/>
    <w:rsid w:val="007E59C5"/>
    <w:rsid w:val="007E5A45"/>
    <w:rsid w:val="007E5A8E"/>
    <w:rsid w:val="007E5BFC"/>
    <w:rsid w:val="007E5C0F"/>
    <w:rsid w:val="007E5CEB"/>
    <w:rsid w:val="007E5CF9"/>
    <w:rsid w:val="007E5EF7"/>
    <w:rsid w:val="007E60D5"/>
    <w:rsid w:val="007E60D6"/>
    <w:rsid w:val="007E6149"/>
    <w:rsid w:val="007E6380"/>
    <w:rsid w:val="007E64A3"/>
    <w:rsid w:val="007E64D5"/>
    <w:rsid w:val="007E6734"/>
    <w:rsid w:val="007E68F8"/>
    <w:rsid w:val="007E6A0C"/>
    <w:rsid w:val="007E6B85"/>
    <w:rsid w:val="007E6CC5"/>
    <w:rsid w:val="007E6D8D"/>
    <w:rsid w:val="007E6E6F"/>
    <w:rsid w:val="007E71C5"/>
    <w:rsid w:val="007E73EF"/>
    <w:rsid w:val="007E74B6"/>
    <w:rsid w:val="007E74FF"/>
    <w:rsid w:val="007E7839"/>
    <w:rsid w:val="007E7B81"/>
    <w:rsid w:val="007E7DE1"/>
    <w:rsid w:val="007E7E69"/>
    <w:rsid w:val="007E7F02"/>
    <w:rsid w:val="007F007D"/>
    <w:rsid w:val="007F00A4"/>
    <w:rsid w:val="007F0233"/>
    <w:rsid w:val="007F0281"/>
    <w:rsid w:val="007F0400"/>
    <w:rsid w:val="007F05EC"/>
    <w:rsid w:val="007F0982"/>
    <w:rsid w:val="007F0B1F"/>
    <w:rsid w:val="007F0C52"/>
    <w:rsid w:val="007F0E26"/>
    <w:rsid w:val="007F106D"/>
    <w:rsid w:val="007F10FA"/>
    <w:rsid w:val="007F1276"/>
    <w:rsid w:val="007F154D"/>
    <w:rsid w:val="007F1575"/>
    <w:rsid w:val="007F1917"/>
    <w:rsid w:val="007F19B6"/>
    <w:rsid w:val="007F1B99"/>
    <w:rsid w:val="007F1DF3"/>
    <w:rsid w:val="007F1F17"/>
    <w:rsid w:val="007F1FED"/>
    <w:rsid w:val="007F2009"/>
    <w:rsid w:val="007F2220"/>
    <w:rsid w:val="007F246D"/>
    <w:rsid w:val="007F24BA"/>
    <w:rsid w:val="007F259B"/>
    <w:rsid w:val="007F25AE"/>
    <w:rsid w:val="007F2637"/>
    <w:rsid w:val="007F2686"/>
    <w:rsid w:val="007F2891"/>
    <w:rsid w:val="007F2A45"/>
    <w:rsid w:val="007F2CB8"/>
    <w:rsid w:val="007F2E83"/>
    <w:rsid w:val="007F2EFC"/>
    <w:rsid w:val="007F2F49"/>
    <w:rsid w:val="007F2FF3"/>
    <w:rsid w:val="007F32E3"/>
    <w:rsid w:val="007F3353"/>
    <w:rsid w:val="007F337A"/>
    <w:rsid w:val="007F350E"/>
    <w:rsid w:val="007F3724"/>
    <w:rsid w:val="007F3937"/>
    <w:rsid w:val="007F3A39"/>
    <w:rsid w:val="007F3C69"/>
    <w:rsid w:val="007F3D12"/>
    <w:rsid w:val="007F3D97"/>
    <w:rsid w:val="007F3F15"/>
    <w:rsid w:val="007F401B"/>
    <w:rsid w:val="007F4065"/>
    <w:rsid w:val="007F4086"/>
    <w:rsid w:val="007F419D"/>
    <w:rsid w:val="007F4295"/>
    <w:rsid w:val="007F42EA"/>
    <w:rsid w:val="007F434E"/>
    <w:rsid w:val="007F4448"/>
    <w:rsid w:val="007F44B0"/>
    <w:rsid w:val="007F4625"/>
    <w:rsid w:val="007F4963"/>
    <w:rsid w:val="007F4B28"/>
    <w:rsid w:val="007F4B3E"/>
    <w:rsid w:val="007F4E65"/>
    <w:rsid w:val="007F4E99"/>
    <w:rsid w:val="007F5271"/>
    <w:rsid w:val="007F52B5"/>
    <w:rsid w:val="007F535D"/>
    <w:rsid w:val="007F54EF"/>
    <w:rsid w:val="007F579A"/>
    <w:rsid w:val="007F5807"/>
    <w:rsid w:val="007F5808"/>
    <w:rsid w:val="007F588A"/>
    <w:rsid w:val="007F5911"/>
    <w:rsid w:val="007F5D22"/>
    <w:rsid w:val="007F5D78"/>
    <w:rsid w:val="007F5F0D"/>
    <w:rsid w:val="007F61C4"/>
    <w:rsid w:val="007F63EA"/>
    <w:rsid w:val="007F666F"/>
    <w:rsid w:val="007F6A93"/>
    <w:rsid w:val="007F6CEE"/>
    <w:rsid w:val="007F6D90"/>
    <w:rsid w:val="007F6FAB"/>
    <w:rsid w:val="007F7064"/>
    <w:rsid w:val="007F72AD"/>
    <w:rsid w:val="007F7429"/>
    <w:rsid w:val="007F7793"/>
    <w:rsid w:val="007F7997"/>
    <w:rsid w:val="007F7A5E"/>
    <w:rsid w:val="007F7AAE"/>
    <w:rsid w:val="007F7B0B"/>
    <w:rsid w:val="007F7BB9"/>
    <w:rsid w:val="007F7BEB"/>
    <w:rsid w:val="007F7D05"/>
    <w:rsid w:val="007F7DD7"/>
    <w:rsid w:val="007F7DDC"/>
    <w:rsid w:val="007F7DE8"/>
    <w:rsid w:val="007F7E0A"/>
    <w:rsid w:val="007F7F81"/>
    <w:rsid w:val="00800068"/>
    <w:rsid w:val="00800083"/>
    <w:rsid w:val="00800428"/>
    <w:rsid w:val="00800458"/>
    <w:rsid w:val="008007A8"/>
    <w:rsid w:val="008009B0"/>
    <w:rsid w:val="00800A03"/>
    <w:rsid w:val="00800B23"/>
    <w:rsid w:val="00800C30"/>
    <w:rsid w:val="00800E92"/>
    <w:rsid w:val="00800FC2"/>
    <w:rsid w:val="00801264"/>
    <w:rsid w:val="00801314"/>
    <w:rsid w:val="008013AD"/>
    <w:rsid w:val="0080151B"/>
    <w:rsid w:val="00801550"/>
    <w:rsid w:val="0080185B"/>
    <w:rsid w:val="008019A4"/>
    <w:rsid w:val="00801B2E"/>
    <w:rsid w:val="00801BF9"/>
    <w:rsid w:val="00801E57"/>
    <w:rsid w:val="00802256"/>
    <w:rsid w:val="008023C8"/>
    <w:rsid w:val="00802751"/>
    <w:rsid w:val="008027A2"/>
    <w:rsid w:val="00802925"/>
    <w:rsid w:val="008029CE"/>
    <w:rsid w:val="008029F6"/>
    <w:rsid w:val="00802B28"/>
    <w:rsid w:val="00802BD8"/>
    <w:rsid w:val="00802C17"/>
    <w:rsid w:val="00802CF2"/>
    <w:rsid w:val="00802F03"/>
    <w:rsid w:val="00802F0C"/>
    <w:rsid w:val="00802F1E"/>
    <w:rsid w:val="00802F35"/>
    <w:rsid w:val="00803078"/>
    <w:rsid w:val="00803454"/>
    <w:rsid w:val="00803526"/>
    <w:rsid w:val="008036B5"/>
    <w:rsid w:val="008036CE"/>
    <w:rsid w:val="00803A8D"/>
    <w:rsid w:val="00803BB5"/>
    <w:rsid w:val="00803CA9"/>
    <w:rsid w:val="00803F48"/>
    <w:rsid w:val="00803F66"/>
    <w:rsid w:val="00803F87"/>
    <w:rsid w:val="00803FD2"/>
    <w:rsid w:val="00804016"/>
    <w:rsid w:val="008042BB"/>
    <w:rsid w:val="008042F7"/>
    <w:rsid w:val="00804324"/>
    <w:rsid w:val="00804638"/>
    <w:rsid w:val="008047C7"/>
    <w:rsid w:val="0080482D"/>
    <w:rsid w:val="00804ACB"/>
    <w:rsid w:val="00804E92"/>
    <w:rsid w:val="00804F1D"/>
    <w:rsid w:val="00804F4F"/>
    <w:rsid w:val="00804FCD"/>
    <w:rsid w:val="0080503A"/>
    <w:rsid w:val="008050A9"/>
    <w:rsid w:val="00805325"/>
    <w:rsid w:val="00805849"/>
    <w:rsid w:val="00805875"/>
    <w:rsid w:val="0080587D"/>
    <w:rsid w:val="008058C1"/>
    <w:rsid w:val="00805D54"/>
    <w:rsid w:val="00805FB2"/>
    <w:rsid w:val="008061D5"/>
    <w:rsid w:val="00806273"/>
    <w:rsid w:val="008062F0"/>
    <w:rsid w:val="008063FB"/>
    <w:rsid w:val="00806431"/>
    <w:rsid w:val="008067B7"/>
    <w:rsid w:val="00806DA1"/>
    <w:rsid w:val="00806DF5"/>
    <w:rsid w:val="00806FFF"/>
    <w:rsid w:val="00807148"/>
    <w:rsid w:val="00807717"/>
    <w:rsid w:val="00807966"/>
    <w:rsid w:val="0080798A"/>
    <w:rsid w:val="00807BBC"/>
    <w:rsid w:val="00807E60"/>
    <w:rsid w:val="00807EB7"/>
    <w:rsid w:val="00807F12"/>
    <w:rsid w:val="008101F4"/>
    <w:rsid w:val="00810294"/>
    <w:rsid w:val="00810363"/>
    <w:rsid w:val="00810479"/>
    <w:rsid w:val="00810572"/>
    <w:rsid w:val="00810A28"/>
    <w:rsid w:val="00810B65"/>
    <w:rsid w:val="00810FC8"/>
    <w:rsid w:val="00811045"/>
    <w:rsid w:val="008110F5"/>
    <w:rsid w:val="008111BA"/>
    <w:rsid w:val="00811316"/>
    <w:rsid w:val="00811446"/>
    <w:rsid w:val="008114A7"/>
    <w:rsid w:val="0081151C"/>
    <w:rsid w:val="0081152A"/>
    <w:rsid w:val="0081158C"/>
    <w:rsid w:val="008115E1"/>
    <w:rsid w:val="00811652"/>
    <w:rsid w:val="00811A28"/>
    <w:rsid w:val="00811D24"/>
    <w:rsid w:val="00811E01"/>
    <w:rsid w:val="00811E87"/>
    <w:rsid w:val="00812045"/>
    <w:rsid w:val="008120F6"/>
    <w:rsid w:val="00812172"/>
    <w:rsid w:val="00812196"/>
    <w:rsid w:val="008122BC"/>
    <w:rsid w:val="008123D0"/>
    <w:rsid w:val="00812543"/>
    <w:rsid w:val="00812604"/>
    <w:rsid w:val="008127AF"/>
    <w:rsid w:val="00812934"/>
    <w:rsid w:val="00812A6E"/>
    <w:rsid w:val="00812B46"/>
    <w:rsid w:val="00812E35"/>
    <w:rsid w:val="00812F4C"/>
    <w:rsid w:val="00813184"/>
    <w:rsid w:val="008132E7"/>
    <w:rsid w:val="008133B9"/>
    <w:rsid w:val="008134EE"/>
    <w:rsid w:val="00813AD5"/>
    <w:rsid w:val="00813D25"/>
    <w:rsid w:val="00813DDF"/>
    <w:rsid w:val="00813FA8"/>
    <w:rsid w:val="00814132"/>
    <w:rsid w:val="0081423B"/>
    <w:rsid w:val="00814391"/>
    <w:rsid w:val="0081455A"/>
    <w:rsid w:val="00814565"/>
    <w:rsid w:val="00814609"/>
    <w:rsid w:val="008147EF"/>
    <w:rsid w:val="008149AD"/>
    <w:rsid w:val="008149EE"/>
    <w:rsid w:val="00814A0A"/>
    <w:rsid w:val="00814A91"/>
    <w:rsid w:val="00814F00"/>
    <w:rsid w:val="00815115"/>
    <w:rsid w:val="00815627"/>
    <w:rsid w:val="00815634"/>
    <w:rsid w:val="008156D5"/>
    <w:rsid w:val="00815700"/>
    <w:rsid w:val="0081582F"/>
    <w:rsid w:val="00815B23"/>
    <w:rsid w:val="00815C45"/>
    <w:rsid w:val="00815EB8"/>
    <w:rsid w:val="00815F60"/>
    <w:rsid w:val="00816069"/>
    <w:rsid w:val="0081621A"/>
    <w:rsid w:val="008162E3"/>
    <w:rsid w:val="00816342"/>
    <w:rsid w:val="00816469"/>
    <w:rsid w:val="0081682B"/>
    <w:rsid w:val="008169BF"/>
    <w:rsid w:val="00816D8E"/>
    <w:rsid w:val="008174DF"/>
    <w:rsid w:val="0081773B"/>
    <w:rsid w:val="0081787B"/>
    <w:rsid w:val="008178AD"/>
    <w:rsid w:val="00817932"/>
    <w:rsid w:val="00817AB5"/>
    <w:rsid w:val="00817B70"/>
    <w:rsid w:val="00817C1C"/>
    <w:rsid w:val="00817C4B"/>
    <w:rsid w:val="00817D35"/>
    <w:rsid w:val="00817F99"/>
    <w:rsid w:val="0082003E"/>
    <w:rsid w:val="008200F3"/>
    <w:rsid w:val="00820420"/>
    <w:rsid w:val="008207BE"/>
    <w:rsid w:val="008208BF"/>
    <w:rsid w:val="00820A4C"/>
    <w:rsid w:val="00820A67"/>
    <w:rsid w:val="00820B44"/>
    <w:rsid w:val="00820DE3"/>
    <w:rsid w:val="00820EA1"/>
    <w:rsid w:val="00820ED4"/>
    <w:rsid w:val="0082121C"/>
    <w:rsid w:val="0082167B"/>
    <w:rsid w:val="00821716"/>
    <w:rsid w:val="00821797"/>
    <w:rsid w:val="00821DE4"/>
    <w:rsid w:val="00821E5E"/>
    <w:rsid w:val="0082203D"/>
    <w:rsid w:val="008222AB"/>
    <w:rsid w:val="008222DF"/>
    <w:rsid w:val="00822397"/>
    <w:rsid w:val="0082255C"/>
    <w:rsid w:val="00822BFC"/>
    <w:rsid w:val="00822FDC"/>
    <w:rsid w:val="00823097"/>
    <w:rsid w:val="00823496"/>
    <w:rsid w:val="00823630"/>
    <w:rsid w:val="00823674"/>
    <w:rsid w:val="00823A68"/>
    <w:rsid w:val="00823D7D"/>
    <w:rsid w:val="008240B0"/>
    <w:rsid w:val="00824217"/>
    <w:rsid w:val="008244F4"/>
    <w:rsid w:val="00824509"/>
    <w:rsid w:val="00824621"/>
    <w:rsid w:val="00824935"/>
    <w:rsid w:val="00824BA7"/>
    <w:rsid w:val="00824C2A"/>
    <w:rsid w:val="00824C74"/>
    <w:rsid w:val="00824C81"/>
    <w:rsid w:val="00824EDB"/>
    <w:rsid w:val="0082529E"/>
    <w:rsid w:val="008252F1"/>
    <w:rsid w:val="008253AB"/>
    <w:rsid w:val="008254ED"/>
    <w:rsid w:val="0082591B"/>
    <w:rsid w:val="00825B7D"/>
    <w:rsid w:val="00825B9C"/>
    <w:rsid w:val="0082609A"/>
    <w:rsid w:val="0082613F"/>
    <w:rsid w:val="008261AC"/>
    <w:rsid w:val="0082620F"/>
    <w:rsid w:val="008264EB"/>
    <w:rsid w:val="00826819"/>
    <w:rsid w:val="008268F1"/>
    <w:rsid w:val="00826942"/>
    <w:rsid w:val="008269E4"/>
    <w:rsid w:val="00826A34"/>
    <w:rsid w:val="00826B8F"/>
    <w:rsid w:val="00826BBC"/>
    <w:rsid w:val="00826D7F"/>
    <w:rsid w:val="00826E57"/>
    <w:rsid w:val="00827141"/>
    <w:rsid w:val="00827226"/>
    <w:rsid w:val="0082731B"/>
    <w:rsid w:val="00827519"/>
    <w:rsid w:val="00827715"/>
    <w:rsid w:val="00827A47"/>
    <w:rsid w:val="00827C6C"/>
    <w:rsid w:val="00827D38"/>
    <w:rsid w:val="00830183"/>
    <w:rsid w:val="0083021C"/>
    <w:rsid w:val="00830259"/>
    <w:rsid w:val="0083029E"/>
    <w:rsid w:val="0083038F"/>
    <w:rsid w:val="00830490"/>
    <w:rsid w:val="008304BC"/>
    <w:rsid w:val="00830A0A"/>
    <w:rsid w:val="00830A9A"/>
    <w:rsid w:val="00830BBE"/>
    <w:rsid w:val="008311D0"/>
    <w:rsid w:val="008312A9"/>
    <w:rsid w:val="0083172D"/>
    <w:rsid w:val="008319C3"/>
    <w:rsid w:val="00831DC1"/>
    <w:rsid w:val="00831DD4"/>
    <w:rsid w:val="00831E8A"/>
    <w:rsid w:val="0083214A"/>
    <w:rsid w:val="0083216E"/>
    <w:rsid w:val="0083244C"/>
    <w:rsid w:val="008328B7"/>
    <w:rsid w:val="008328E5"/>
    <w:rsid w:val="00832CC8"/>
    <w:rsid w:val="00832D2B"/>
    <w:rsid w:val="00832DA3"/>
    <w:rsid w:val="00832DAD"/>
    <w:rsid w:val="00832E34"/>
    <w:rsid w:val="00833059"/>
    <w:rsid w:val="0083308C"/>
    <w:rsid w:val="00833152"/>
    <w:rsid w:val="008332E6"/>
    <w:rsid w:val="00833660"/>
    <w:rsid w:val="00833687"/>
    <w:rsid w:val="008336DD"/>
    <w:rsid w:val="008337EC"/>
    <w:rsid w:val="00833A5B"/>
    <w:rsid w:val="00833C66"/>
    <w:rsid w:val="00833E28"/>
    <w:rsid w:val="0083408F"/>
    <w:rsid w:val="008341B3"/>
    <w:rsid w:val="008341D3"/>
    <w:rsid w:val="0083428A"/>
    <w:rsid w:val="00834761"/>
    <w:rsid w:val="00834A4C"/>
    <w:rsid w:val="00834AA1"/>
    <w:rsid w:val="00834B75"/>
    <w:rsid w:val="00834BF8"/>
    <w:rsid w:val="00834DA8"/>
    <w:rsid w:val="00834E34"/>
    <w:rsid w:val="00834F41"/>
    <w:rsid w:val="00834F4F"/>
    <w:rsid w:val="00835182"/>
    <w:rsid w:val="008353C2"/>
    <w:rsid w:val="00835543"/>
    <w:rsid w:val="00835606"/>
    <w:rsid w:val="008357DE"/>
    <w:rsid w:val="0083590F"/>
    <w:rsid w:val="00835975"/>
    <w:rsid w:val="00835A2D"/>
    <w:rsid w:val="00835AC3"/>
    <w:rsid w:val="00835B0F"/>
    <w:rsid w:val="00835C34"/>
    <w:rsid w:val="00835C76"/>
    <w:rsid w:val="00835D22"/>
    <w:rsid w:val="00836000"/>
    <w:rsid w:val="0083620A"/>
    <w:rsid w:val="00836407"/>
    <w:rsid w:val="0083641D"/>
    <w:rsid w:val="008365D9"/>
    <w:rsid w:val="00836762"/>
    <w:rsid w:val="00836C12"/>
    <w:rsid w:val="00836C70"/>
    <w:rsid w:val="00836D3A"/>
    <w:rsid w:val="00837009"/>
    <w:rsid w:val="00837373"/>
    <w:rsid w:val="008373F0"/>
    <w:rsid w:val="0083753D"/>
    <w:rsid w:val="008375A2"/>
    <w:rsid w:val="0083770F"/>
    <w:rsid w:val="0083788A"/>
    <w:rsid w:val="00837A37"/>
    <w:rsid w:val="00837C45"/>
    <w:rsid w:val="00837C70"/>
    <w:rsid w:val="00840245"/>
    <w:rsid w:val="008402B4"/>
    <w:rsid w:val="0084035F"/>
    <w:rsid w:val="0084058D"/>
    <w:rsid w:val="008405D8"/>
    <w:rsid w:val="008409D0"/>
    <w:rsid w:val="008409E2"/>
    <w:rsid w:val="00840B5C"/>
    <w:rsid w:val="00840BB1"/>
    <w:rsid w:val="00840CCB"/>
    <w:rsid w:val="0084109C"/>
    <w:rsid w:val="0084114C"/>
    <w:rsid w:val="008412F9"/>
    <w:rsid w:val="0084149D"/>
    <w:rsid w:val="008416E3"/>
    <w:rsid w:val="008417BA"/>
    <w:rsid w:val="008417D5"/>
    <w:rsid w:val="00841854"/>
    <w:rsid w:val="008418B5"/>
    <w:rsid w:val="00841CC0"/>
    <w:rsid w:val="00842081"/>
    <w:rsid w:val="00842274"/>
    <w:rsid w:val="00842279"/>
    <w:rsid w:val="00842396"/>
    <w:rsid w:val="008425D7"/>
    <w:rsid w:val="008426BE"/>
    <w:rsid w:val="0084276F"/>
    <w:rsid w:val="008427C7"/>
    <w:rsid w:val="00842A1A"/>
    <w:rsid w:val="00842AFB"/>
    <w:rsid w:val="00842D5D"/>
    <w:rsid w:val="00843049"/>
    <w:rsid w:val="008430F6"/>
    <w:rsid w:val="00843115"/>
    <w:rsid w:val="008431CF"/>
    <w:rsid w:val="008431F2"/>
    <w:rsid w:val="0084320C"/>
    <w:rsid w:val="008435E7"/>
    <w:rsid w:val="008436A8"/>
    <w:rsid w:val="00843742"/>
    <w:rsid w:val="008437DB"/>
    <w:rsid w:val="00843834"/>
    <w:rsid w:val="00843839"/>
    <w:rsid w:val="00843C19"/>
    <w:rsid w:val="00843D15"/>
    <w:rsid w:val="00843D29"/>
    <w:rsid w:val="00843D3C"/>
    <w:rsid w:val="00843F67"/>
    <w:rsid w:val="0084400F"/>
    <w:rsid w:val="00844071"/>
    <w:rsid w:val="00844113"/>
    <w:rsid w:val="00844179"/>
    <w:rsid w:val="0084437C"/>
    <w:rsid w:val="00844593"/>
    <w:rsid w:val="00844B29"/>
    <w:rsid w:val="00844C0D"/>
    <w:rsid w:val="00844E5E"/>
    <w:rsid w:val="00844EF0"/>
    <w:rsid w:val="00844F30"/>
    <w:rsid w:val="008450BC"/>
    <w:rsid w:val="008450F3"/>
    <w:rsid w:val="008455A0"/>
    <w:rsid w:val="0084564E"/>
    <w:rsid w:val="00845A29"/>
    <w:rsid w:val="00845DBD"/>
    <w:rsid w:val="00845E02"/>
    <w:rsid w:val="0084627C"/>
    <w:rsid w:val="008464BF"/>
    <w:rsid w:val="00846758"/>
    <w:rsid w:val="008467D1"/>
    <w:rsid w:val="0084688E"/>
    <w:rsid w:val="00846D28"/>
    <w:rsid w:val="00846DE6"/>
    <w:rsid w:val="00846EA7"/>
    <w:rsid w:val="00846F7C"/>
    <w:rsid w:val="008472F8"/>
    <w:rsid w:val="0084738D"/>
    <w:rsid w:val="00847541"/>
    <w:rsid w:val="00847665"/>
    <w:rsid w:val="008476EB"/>
    <w:rsid w:val="0084778C"/>
    <w:rsid w:val="0084782A"/>
    <w:rsid w:val="0084785E"/>
    <w:rsid w:val="00847D97"/>
    <w:rsid w:val="00847DEB"/>
    <w:rsid w:val="00847E1C"/>
    <w:rsid w:val="00850087"/>
    <w:rsid w:val="00850299"/>
    <w:rsid w:val="008502CE"/>
    <w:rsid w:val="008502DF"/>
    <w:rsid w:val="00850360"/>
    <w:rsid w:val="00850363"/>
    <w:rsid w:val="0085053E"/>
    <w:rsid w:val="0085056C"/>
    <w:rsid w:val="00850B32"/>
    <w:rsid w:val="00850C0F"/>
    <w:rsid w:val="00850C32"/>
    <w:rsid w:val="00850DA8"/>
    <w:rsid w:val="00850EA3"/>
    <w:rsid w:val="00850F3C"/>
    <w:rsid w:val="008510C2"/>
    <w:rsid w:val="0085136B"/>
    <w:rsid w:val="00851429"/>
    <w:rsid w:val="00851615"/>
    <w:rsid w:val="0085172E"/>
    <w:rsid w:val="00851730"/>
    <w:rsid w:val="0085182F"/>
    <w:rsid w:val="00851928"/>
    <w:rsid w:val="00851A0A"/>
    <w:rsid w:val="00851A8A"/>
    <w:rsid w:val="00851B50"/>
    <w:rsid w:val="00851E75"/>
    <w:rsid w:val="0085209B"/>
    <w:rsid w:val="008520A5"/>
    <w:rsid w:val="008520C7"/>
    <w:rsid w:val="0085223A"/>
    <w:rsid w:val="008522DC"/>
    <w:rsid w:val="0085234A"/>
    <w:rsid w:val="008525AF"/>
    <w:rsid w:val="00852B09"/>
    <w:rsid w:val="00852BD1"/>
    <w:rsid w:val="00852BEE"/>
    <w:rsid w:val="00852C91"/>
    <w:rsid w:val="00852D9F"/>
    <w:rsid w:val="00852E04"/>
    <w:rsid w:val="00852E76"/>
    <w:rsid w:val="00852F4E"/>
    <w:rsid w:val="00853003"/>
    <w:rsid w:val="00853264"/>
    <w:rsid w:val="008532F1"/>
    <w:rsid w:val="00853413"/>
    <w:rsid w:val="0085366F"/>
    <w:rsid w:val="0085375C"/>
    <w:rsid w:val="00853770"/>
    <w:rsid w:val="00853907"/>
    <w:rsid w:val="0085391C"/>
    <w:rsid w:val="00853954"/>
    <w:rsid w:val="00853A04"/>
    <w:rsid w:val="00853AE5"/>
    <w:rsid w:val="00853C35"/>
    <w:rsid w:val="00853EED"/>
    <w:rsid w:val="00853F1E"/>
    <w:rsid w:val="008540BC"/>
    <w:rsid w:val="00854119"/>
    <w:rsid w:val="0085454E"/>
    <w:rsid w:val="00854638"/>
    <w:rsid w:val="0085466B"/>
    <w:rsid w:val="008546E6"/>
    <w:rsid w:val="00854B8F"/>
    <w:rsid w:val="00854C25"/>
    <w:rsid w:val="00854DEA"/>
    <w:rsid w:val="00854E72"/>
    <w:rsid w:val="0085546A"/>
    <w:rsid w:val="00855486"/>
    <w:rsid w:val="008557EA"/>
    <w:rsid w:val="008558DC"/>
    <w:rsid w:val="00855A26"/>
    <w:rsid w:val="00855A71"/>
    <w:rsid w:val="00855B37"/>
    <w:rsid w:val="00855BC2"/>
    <w:rsid w:val="00855E75"/>
    <w:rsid w:val="00855FD6"/>
    <w:rsid w:val="00855FF8"/>
    <w:rsid w:val="00856085"/>
    <w:rsid w:val="008560D2"/>
    <w:rsid w:val="008564B1"/>
    <w:rsid w:val="0085653D"/>
    <w:rsid w:val="008565A5"/>
    <w:rsid w:val="008565C7"/>
    <w:rsid w:val="008567D8"/>
    <w:rsid w:val="0085686F"/>
    <w:rsid w:val="00856B28"/>
    <w:rsid w:val="00856B66"/>
    <w:rsid w:val="00856CEB"/>
    <w:rsid w:val="00856DC2"/>
    <w:rsid w:val="00856E17"/>
    <w:rsid w:val="00857000"/>
    <w:rsid w:val="00857027"/>
    <w:rsid w:val="0085713C"/>
    <w:rsid w:val="008573CF"/>
    <w:rsid w:val="008574AD"/>
    <w:rsid w:val="008576B6"/>
    <w:rsid w:val="008576D4"/>
    <w:rsid w:val="00857C73"/>
    <w:rsid w:val="00857DEB"/>
    <w:rsid w:val="008601BB"/>
    <w:rsid w:val="00860209"/>
    <w:rsid w:val="0086046B"/>
    <w:rsid w:val="00860545"/>
    <w:rsid w:val="0086092A"/>
    <w:rsid w:val="00860A62"/>
    <w:rsid w:val="00860B55"/>
    <w:rsid w:val="00860BC1"/>
    <w:rsid w:val="00860BEB"/>
    <w:rsid w:val="00860C3D"/>
    <w:rsid w:val="0086128A"/>
    <w:rsid w:val="00861569"/>
    <w:rsid w:val="008615EA"/>
    <w:rsid w:val="008616E5"/>
    <w:rsid w:val="0086171E"/>
    <w:rsid w:val="00861771"/>
    <w:rsid w:val="00861803"/>
    <w:rsid w:val="00861955"/>
    <w:rsid w:val="00861A5F"/>
    <w:rsid w:val="00861B4D"/>
    <w:rsid w:val="00861F50"/>
    <w:rsid w:val="00861F66"/>
    <w:rsid w:val="00862558"/>
    <w:rsid w:val="0086271C"/>
    <w:rsid w:val="00862723"/>
    <w:rsid w:val="00862916"/>
    <w:rsid w:val="0086306D"/>
    <w:rsid w:val="008632C9"/>
    <w:rsid w:val="008632DE"/>
    <w:rsid w:val="008633CA"/>
    <w:rsid w:val="00863678"/>
    <w:rsid w:val="008637CE"/>
    <w:rsid w:val="00863926"/>
    <w:rsid w:val="00863B8C"/>
    <w:rsid w:val="00863E32"/>
    <w:rsid w:val="00863F29"/>
    <w:rsid w:val="00863F8C"/>
    <w:rsid w:val="008641DC"/>
    <w:rsid w:val="00864222"/>
    <w:rsid w:val="008642F5"/>
    <w:rsid w:val="008643AB"/>
    <w:rsid w:val="00864465"/>
    <w:rsid w:val="008644AD"/>
    <w:rsid w:val="008645A6"/>
    <w:rsid w:val="008645D7"/>
    <w:rsid w:val="008645DB"/>
    <w:rsid w:val="00864692"/>
    <w:rsid w:val="0086494B"/>
    <w:rsid w:val="00864A27"/>
    <w:rsid w:val="00864B29"/>
    <w:rsid w:val="00864B52"/>
    <w:rsid w:val="00864B56"/>
    <w:rsid w:val="00864ECA"/>
    <w:rsid w:val="00865312"/>
    <w:rsid w:val="008653A1"/>
    <w:rsid w:val="0086551E"/>
    <w:rsid w:val="00865735"/>
    <w:rsid w:val="00865B0E"/>
    <w:rsid w:val="00865C04"/>
    <w:rsid w:val="00865DDB"/>
    <w:rsid w:val="00865F53"/>
    <w:rsid w:val="00866028"/>
    <w:rsid w:val="0086614A"/>
    <w:rsid w:val="00866254"/>
    <w:rsid w:val="0086658A"/>
    <w:rsid w:val="0086660B"/>
    <w:rsid w:val="008669FB"/>
    <w:rsid w:val="00866A25"/>
    <w:rsid w:val="00866A85"/>
    <w:rsid w:val="00866B35"/>
    <w:rsid w:val="00866BD5"/>
    <w:rsid w:val="00866C70"/>
    <w:rsid w:val="00866E2B"/>
    <w:rsid w:val="00867538"/>
    <w:rsid w:val="00867586"/>
    <w:rsid w:val="008675BE"/>
    <w:rsid w:val="00867C0C"/>
    <w:rsid w:val="00867CB5"/>
    <w:rsid w:val="00867DE0"/>
    <w:rsid w:val="0087000B"/>
    <w:rsid w:val="00870696"/>
    <w:rsid w:val="008707C0"/>
    <w:rsid w:val="0087094D"/>
    <w:rsid w:val="00870C25"/>
    <w:rsid w:val="00870D91"/>
    <w:rsid w:val="00871082"/>
    <w:rsid w:val="008711AF"/>
    <w:rsid w:val="00871271"/>
    <w:rsid w:val="008713B2"/>
    <w:rsid w:val="008713D9"/>
    <w:rsid w:val="008715A3"/>
    <w:rsid w:val="00871673"/>
    <w:rsid w:val="00871756"/>
    <w:rsid w:val="008719EE"/>
    <w:rsid w:val="00871EC2"/>
    <w:rsid w:val="00872142"/>
    <w:rsid w:val="0087228F"/>
    <w:rsid w:val="00872374"/>
    <w:rsid w:val="00872470"/>
    <w:rsid w:val="00872740"/>
    <w:rsid w:val="0087277E"/>
    <w:rsid w:val="0087287D"/>
    <w:rsid w:val="0087292C"/>
    <w:rsid w:val="008729E5"/>
    <w:rsid w:val="00872A62"/>
    <w:rsid w:val="00872C8D"/>
    <w:rsid w:val="00872CCE"/>
    <w:rsid w:val="00872DC0"/>
    <w:rsid w:val="00873235"/>
    <w:rsid w:val="008732AE"/>
    <w:rsid w:val="0087342B"/>
    <w:rsid w:val="00873636"/>
    <w:rsid w:val="0087379A"/>
    <w:rsid w:val="00873CC6"/>
    <w:rsid w:val="00873CF9"/>
    <w:rsid w:val="00873D90"/>
    <w:rsid w:val="00873E2C"/>
    <w:rsid w:val="00873F29"/>
    <w:rsid w:val="00873FC8"/>
    <w:rsid w:val="00873FCC"/>
    <w:rsid w:val="00874079"/>
    <w:rsid w:val="008744D5"/>
    <w:rsid w:val="00874516"/>
    <w:rsid w:val="008745D3"/>
    <w:rsid w:val="0087488F"/>
    <w:rsid w:val="008748E8"/>
    <w:rsid w:val="008749F6"/>
    <w:rsid w:val="00874DAB"/>
    <w:rsid w:val="00874DB4"/>
    <w:rsid w:val="008751EB"/>
    <w:rsid w:val="0087532C"/>
    <w:rsid w:val="0087551B"/>
    <w:rsid w:val="0087559F"/>
    <w:rsid w:val="00875718"/>
    <w:rsid w:val="008757FC"/>
    <w:rsid w:val="008758A9"/>
    <w:rsid w:val="00875B05"/>
    <w:rsid w:val="00875C74"/>
    <w:rsid w:val="00875D74"/>
    <w:rsid w:val="00875E7C"/>
    <w:rsid w:val="00875EC8"/>
    <w:rsid w:val="008769BC"/>
    <w:rsid w:val="00876BB7"/>
    <w:rsid w:val="00876CA0"/>
    <w:rsid w:val="00876CAA"/>
    <w:rsid w:val="00877117"/>
    <w:rsid w:val="00877138"/>
    <w:rsid w:val="0087713D"/>
    <w:rsid w:val="008771BF"/>
    <w:rsid w:val="00877213"/>
    <w:rsid w:val="00877419"/>
    <w:rsid w:val="0087752B"/>
    <w:rsid w:val="00877563"/>
    <w:rsid w:val="00877599"/>
    <w:rsid w:val="008775B4"/>
    <w:rsid w:val="00877747"/>
    <w:rsid w:val="00877848"/>
    <w:rsid w:val="0087789E"/>
    <w:rsid w:val="008779C8"/>
    <w:rsid w:val="00877A20"/>
    <w:rsid w:val="00877C32"/>
    <w:rsid w:val="00877D2F"/>
    <w:rsid w:val="00877FF9"/>
    <w:rsid w:val="00880008"/>
    <w:rsid w:val="00880193"/>
    <w:rsid w:val="0088024F"/>
    <w:rsid w:val="00880378"/>
    <w:rsid w:val="0088042A"/>
    <w:rsid w:val="008804A2"/>
    <w:rsid w:val="008804BB"/>
    <w:rsid w:val="00880739"/>
    <w:rsid w:val="00880757"/>
    <w:rsid w:val="00880B16"/>
    <w:rsid w:val="00880FE9"/>
    <w:rsid w:val="008810BC"/>
    <w:rsid w:val="0088119F"/>
    <w:rsid w:val="00881534"/>
    <w:rsid w:val="0088170B"/>
    <w:rsid w:val="0088180F"/>
    <w:rsid w:val="008819D0"/>
    <w:rsid w:val="008819EC"/>
    <w:rsid w:val="00881BDA"/>
    <w:rsid w:val="00881C20"/>
    <w:rsid w:val="00881C5E"/>
    <w:rsid w:val="00881CB3"/>
    <w:rsid w:val="00881DAD"/>
    <w:rsid w:val="0088222A"/>
    <w:rsid w:val="00882261"/>
    <w:rsid w:val="008822F4"/>
    <w:rsid w:val="0088234C"/>
    <w:rsid w:val="00882381"/>
    <w:rsid w:val="008824FE"/>
    <w:rsid w:val="00882632"/>
    <w:rsid w:val="008826AB"/>
    <w:rsid w:val="008828F9"/>
    <w:rsid w:val="0088297F"/>
    <w:rsid w:val="00882A5A"/>
    <w:rsid w:val="00882B6E"/>
    <w:rsid w:val="00882D27"/>
    <w:rsid w:val="00882E35"/>
    <w:rsid w:val="00882FEF"/>
    <w:rsid w:val="008830FC"/>
    <w:rsid w:val="008833BB"/>
    <w:rsid w:val="00883727"/>
    <w:rsid w:val="00883798"/>
    <w:rsid w:val="008837E7"/>
    <w:rsid w:val="00883889"/>
    <w:rsid w:val="008838D0"/>
    <w:rsid w:val="00883B72"/>
    <w:rsid w:val="00883BDD"/>
    <w:rsid w:val="00883EEC"/>
    <w:rsid w:val="0088418C"/>
    <w:rsid w:val="0088446F"/>
    <w:rsid w:val="00884535"/>
    <w:rsid w:val="00884545"/>
    <w:rsid w:val="008845AC"/>
    <w:rsid w:val="0088469C"/>
    <w:rsid w:val="00884949"/>
    <w:rsid w:val="00884990"/>
    <w:rsid w:val="00884A8E"/>
    <w:rsid w:val="00884C41"/>
    <w:rsid w:val="00884C63"/>
    <w:rsid w:val="00884DF1"/>
    <w:rsid w:val="00884EC0"/>
    <w:rsid w:val="00884EC9"/>
    <w:rsid w:val="00884ECB"/>
    <w:rsid w:val="0088504C"/>
    <w:rsid w:val="00885456"/>
    <w:rsid w:val="008855C7"/>
    <w:rsid w:val="0088566F"/>
    <w:rsid w:val="008858C3"/>
    <w:rsid w:val="00885908"/>
    <w:rsid w:val="00885BE3"/>
    <w:rsid w:val="00885D6F"/>
    <w:rsid w:val="00885D78"/>
    <w:rsid w:val="00886061"/>
    <w:rsid w:val="00886467"/>
    <w:rsid w:val="008864B7"/>
    <w:rsid w:val="008865DD"/>
    <w:rsid w:val="008866E0"/>
    <w:rsid w:val="00886771"/>
    <w:rsid w:val="008867F7"/>
    <w:rsid w:val="00886814"/>
    <w:rsid w:val="0088687D"/>
    <w:rsid w:val="0088691B"/>
    <w:rsid w:val="00886A73"/>
    <w:rsid w:val="00886A85"/>
    <w:rsid w:val="00886BB4"/>
    <w:rsid w:val="00886BCD"/>
    <w:rsid w:val="00886CB7"/>
    <w:rsid w:val="00886CF6"/>
    <w:rsid w:val="00886D92"/>
    <w:rsid w:val="00886E83"/>
    <w:rsid w:val="00886F5E"/>
    <w:rsid w:val="00886FD9"/>
    <w:rsid w:val="00886FEF"/>
    <w:rsid w:val="0088708B"/>
    <w:rsid w:val="00887314"/>
    <w:rsid w:val="00887373"/>
    <w:rsid w:val="00887487"/>
    <w:rsid w:val="0088752D"/>
    <w:rsid w:val="0088766C"/>
    <w:rsid w:val="00887A94"/>
    <w:rsid w:val="00887E2C"/>
    <w:rsid w:val="00887F79"/>
    <w:rsid w:val="00887FD2"/>
    <w:rsid w:val="00890180"/>
    <w:rsid w:val="00890186"/>
    <w:rsid w:val="008901F8"/>
    <w:rsid w:val="0089054B"/>
    <w:rsid w:val="008905FE"/>
    <w:rsid w:val="00890668"/>
    <w:rsid w:val="008909F9"/>
    <w:rsid w:val="00890A3E"/>
    <w:rsid w:val="00890DBC"/>
    <w:rsid w:val="0089110E"/>
    <w:rsid w:val="00891226"/>
    <w:rsid w:val="0089128A"/>
    <w:rsid w:val="008912AE"/>
    <w:rsid w:val="008912F9"/>
    <w:rsid w:val="008913B1"/>
    <w:rsid w:val="008914CE"/>
    <w:rsid w:val="00891685"/>
    <w:rsid w:val="008916E4"/>
    <w:rsid w:val="008916E8"/>
    <w:rsid w:val="00891BB9"/>
    <w:rsid w:val="00891C15"/>
    <w:rsid w:val="00891DDB"/>
    <w:rsid w:val="00891FCB"/>
    <w:rsid w:val="00892527"/>
    <w:rsid w:val="008925BA"/>
    <w:rsid w:val="00892859"/>
    <w:rsid w:val="008928CB"/>
    <w:rsid w:val="00892986"/>
    <w:rsid w:val="00892D5A"/>
    <w:rsid w:val="00892EA6"/>
    <w:rsid w:val="00892FBD"/>
    <w:rsid w:val="008930B4"/>
    <w:rsid w:val="008930D9"/>
    <w:rsid w:val="00893166"/>
    <w:rsid w:val="0089317B"/>
    <w:rsid w:val="0089317F"/>
    <w:rsid w:val="008931F1"/>
    <w:rsid w:val="0089321F"/>
    <w:rsid w:val="0089363B"/>
    <w:rsid w:val="00893B04"/>
    <w:rsid w:val="00893B71"/>
    <w:rsid w:val="00893C4C"/>
    <w:rsid w:val="00893CE9"/>
    <w:rsid w:val="00893F0A"/>
    <w:rsid w:val="00894038"/>
    <w:rsid w:val="008941EF"/>
    <w:rsid w:val="00894252"/>
    <w:rsid w:val="00894283"/>
    <w:rsid w:val="008943A2"/>
    <w:rsid w:val="008943E5"/>
    <w:rsid w:val="0089449E"/>
    <w:rsid w:val="00894580"/>
    <w:rsid w:val="0089477E"/>
    <w:rsid w:val="00894A10"/>
    <w:rsid w:val="00894C3D"/>
    <w:rsid w:val="00894D39"/>
    <w:rsid w:val="00894F7E"/>
    <w:rsid w:val="008952AC"/>
    <w:rsid w:val="0089530E"/>
    <w:rsid w:val="00895893"/>
    <w:rsid w:val="00895944"/>
    <w:rsid w:val="008959E0"/>
    <w:rsid w:val="008959E1"/>
    <w:rsid w:val="00895D64"/>
    <w:rsid w:val="00896021"/>
    <w:rsid w:val="00896525"/>
    <w:rsid w:val="0089677C"/>
    <w:rsid w:val="0089677E"/>
    <w:rsid w:val="00896902"/>
    <w:rsid w:val="008969A9"/>
    <w:rsid w:val="00896A0D"/>
    <w:rsid w:val="00896AA6"/>
    <w:rsid w:val="00896ADB"/>
    <w:rsid w:val="00896E8C"/>
    <w:rsid w:val="008970D9"/>
    <w:rsid w:val="008973EA"/>
    <w:rsid w:val="00897430"/>
    <w:rsid w:val="0089745B"/>
    <w:rsid w:val="00897478"/>
    <w:rsid w:val="0089752B"/>
    <w:rsid w:val="00897549"/>
    <w:rsid w:val="00897563"/>
    <w:rsid w:val="0089763F"/>
    <w:rsid w:val="008978D5"/>
    <w:rsid w:val="00897C27"/>
    <w:rsid w:val="00897F6D"/>
    <w:rsid w:val="008A0260"/>
    <w:rsid w:val="008A02D0"/>
    <w:rsid w:val="008A0517"/>
    <w:rsid w:val="008A0631"/>
    <w:rsid w:val="008A0678"/>
    <w:rsid w:val="008A06EF"/>
    <w:rsid w:val="008A07C1"/>
    <w:rsid w:val="008A0A1D"/>
    <w:rsid w:val="008A0B4B"/>
    <w:rsid w:val="008A0D9F"/>
    <w:rsid w:val="008A0F13"/>
    <w:rsid w:val="008A1234"/>
    <w:rsid w:val="008A12F0"/>
    <w:rsid w:val="008A13FB"/>
    <w:rsid w:val="008A17CF"/>
    <w:rsid w:val="008A17D6"/>
    <w:rsid w:val="008A17FE"/>
    <w:rsid w:val="008A188B"/>
    <w:rsid w:val="008A198E"/>
    <w:rsid w:val="008A1AA1"/>
    <w:rsid w:val="008A2238"/>
    <w:rsid w:val="008A22B6"/>
    <w:rsid w:val="008A24BB"/>
    <w:rsid w:val="008A2577"/>
    <w:rsid w:val="008A25EB"/>
    <w:rsid w:val="008A2762"/>
    <w:rsid w:val="008A2938"/>
    <w:rsid w:val="008A2940"/>
    <w:rsid w:val="008A29AF"/>
    <w:rsid w:val="008A2BDD"/>
    <w:rsid w:val="008A2C7C"/>
    <w:rsid w:val="008A2CC7"/>
    <w:rsid w:val="008A2D08"/>
    <w:rsid w:val="008A2D9E"/>
    <w:rsid w:val="008A2E39"/>
    <w:rsid w:val="008A2F3E"/>
    <w:rsid w:val="008A3409"/>
    <w:rsid w:val="008A3493"/>
    <w:rsid w:val="008A34B4"/>
    <w:rsid w:val="008A34CB"/>
    <w:rsid w:val="008A35F3"/>
    <w:rsid w:val="008A3610"/>
    <w:rsid w:val="008A363A"/>
    <w:rsid w:val="008A37D1"/>
    <w:rsid w:val="008A3A97"/>
    <w:rsid w:val="008A3E89"/>
    <w:rsid w:val="008A3F93"/>
    <w:rsid w:val="008A4081"/>
    <w:rsid w:val="008A40C7"/>
    <w:rsid w:val="008A43AB"/>
    <w:rsid w:val="008A43CD"/>
    <w:rsid w:val="008A4613"/>
    <w:rsid w:val="008A46FF"/>
    <w:rsid w:val="008A472E"/>
    <w:rsid w:val="008A47D3"/>
    <w:rsid w:val="008A4806"/>
    <w:rsid w:val="008A4A4B"/>
    <w:rsid w:val="008A4D0E"/>
    <w:rsid w:val="008A4F70"/>
    <w:rsid w:val="008A4FE4"/>
    <w:rsid w:val="008A5672"/>
    <w:rsid w:val="008A570B"/>
    <w:rsid w:val="008A5720"/>
    <w:rsid w:val="008A5873"/>
    <w:rsid w:val="008A5CB7"/>
    <w:rsid w:val="008A5E1B"/>
    <w:rsid w:val="008A6009"/>
    <w:rsid w:val="008A6070"/>
    <w:rsid w:val="008A6161"/>
    <w:rsid w:val="008A62DF"/>
    <w:rsid w:val="008A636F"/>
    <w:rsid w:val="008A64F4"/>
    <w:rsid w:val="008A6513"/>
    <w:rsid w:val="008A6519"/>
    <w:rsid w:val="008A6915"/>
    <w:rsid w:val="008A69F8"/>
    <w:rsid w:val="008A6D0E"/>
    <w:rsid w:val="008A6E69"/>
    <w:rsid w:val="008A6F98"/>
    <w:rsid w:val="008A6FD3"/>
    <w:rsid w:val="008A6FDC"/>
    <w:rsid w:val="008A711A"/>
    <w:rsid w:val="008A7167"/>
    <w:rsid w:val="008A7438"/>
    <w:rsid w:val="008A766B"/>
    <w:rsid w:val="008A7773"/>
    <w:rsid w:val="008A787D"/>
    <w:rsid w:val="008A792D"/>
    <w:rsid w:val="008A7963"/>
    <w:rsid w:val="008A7B6D"/>
    <w:rsid w:val="008A7DD1"/>
    <w:rsid w:val="008A7E35"/>
    <w:rsid w:val="008A7F12"/>
    <w:rsid w:val="008B00A6"/>
    <w:rsid w:val="008B0104"/>
    <w:rsid w:val="008B0167"/>
    <w:rsid w:val="008B0262"/>
    <w:rsid w:val="008B06B7"/>
    <w:rsid w:val="008B0872"/>
    <w:rsid w:val="008B0895"/>
    <w:rsid w:val="008B09A0"/>
    <w:rsid w:val="008B0A76"/>
    <w:rsid w:val="008B0B5E"/>
    <w:rsid w:val="008B1065"/>
    <w:rsid w:val="008B1165"/>
    <w:rsid w:val="008B117C"/>
    <w:rsid w:val="008B1318"/>
    <w:rsid w:val="008B132F"/>
    <w:rsid w:val="008B1334"/>
    <w:rsid w:val="008B1344"/>
    <w:rsid w:val="008B1508"/>
    <w:rsid w:val="008B1527"/>
    <w:rsid w:val="008B15F1"/>
    <w:rsid w:val="008B1785"/>
    <w:rsid w:val="008B1867"/>
    <w:rsid w:val="008B18C9"/>
    <w:rsid w:val="008B190E"/>
    <w:rsid w:val="008B1E74"/>
    <w:rsid w:val="008B1F3B"/>
    <w:rsid w:val="008B1F80"/>
    <w:rsid w:val="008B204D"/>
    <w:rsid w:val="008B20D9"/>
    <w:rsid w:val="008B2288"/>
    <w:rsid w:val="008B22B0"/>
    <w:rsid w:val="008B2361"/>
    <w:rsid w:val="008B23BF"/>
    <w:rsid w:val="008B258F"/>
    <w:rsid w:val="008B278D"/>
    <w:rsid w:val="008B28BE"/>
    <w:rsid w:val="008B28F3"/>
    <w:rsid w:val="008B29DC"/>
    <w:rsid w:val="008B2BF5"/>
    <w:rsid w:val="008B32FB"/>
    <w:rsid w:val="008B34B7"/>
    <w:rsid w:val="008B37A8"/>
    <w:rsid w:val="008B3842"/>
    <w:rsid w:val="008B393B"/>
    <w:rsid w:val="008B3C9A"/>
    <w:rsid w:val="008B3D96"/>
    <w:rsid w:val="008B3E11"/>
    <w:rsid w:val="008B421F"/>
    <w:rsid w:val="008B4356"/>
    <w:rsid w:val="008B4405"/>
    <w:rsid w:val="008B44EA"/>
    <w:rsid w:val="008B46C2"/>
    <w:rsid w:val="008B4760"/>
    <w:rsid w:val="008B4885"/>
    <w:rsid w:val="008B4911"/>
    <w:rsid w:val="008B491D"/>
    <w:rsid w:val="008B4941"/>
    <w:rsid w:val="008B4AA7"/>
    <w:rsid w:val="008B4D58"/>
    <w:rsid w:val="008B504C"/>
    <w:rsid w:val="008B525B"/>
    <w:rsid w:val="008B525D"/>
    <w:rsid w:val="008B5433"/>
    <w:rsid w:val="008B559E"/>
    <w:rsid w:val="008B57DC"/>
    <w:rsid w:val="008B5973"/>
    <w:rsid w:val="008B597E"/>
    <w:rsid w:val="008B5AD0"/>
    <w:rsid w:val="008B5DA1"/>
    <w:rsid w:val="008B5E00"/>
    <w:rsid w:val="008B60AE"/>
    <w:rsid w:val="008B628F"/>
    <w:rsid w:val="008B62D4"/>
    <w:rsid w:val="008B62FA"/>
    <w:rsid w:val="008B6379"/>
    <w:rsid w:val="008B63CB"/>
    <w:rsid w:val="008B6609"/>
    <w:rsid w:val="008B66BB"/>
    <w:rsid w:val="008B67DF"/>
    <w:rsid w:val="008B67E4"/>
    <w:rsid w:val="008B6CCA"/>
    <w:rsid w:val="008B6DFA"/>
    <w:rsid w:val="008B6E1B"/>
    <w:rsid w:val="008B6E33"/>
    <w:rsid w:val="008B6EA3"/>
    <w:rsid w:val="008B6ED0"/>
    <w:rsid w:val="008B6FAC"/>
    <w:rsid w:val="008B7057"/>
    <w:rsid w:val="008B74A8"/>
    <w:rsid w:val="008B7519"/>
    <w:rsid w:val="008B76FD"/>
    <w:rsid w:val="008B782F"/>
    <w:rsid w:val="008B7863"/>
    <w:rsid w:val="008B7B41"/>
    <w:rsid w:val="008B7C85"/>
    <w:rsid w:val="008C00AE"/>
    <w:rsid w:val="008C0161"/>
    <w:rsid w:val="008C01A8"/>
    <w:rsid w:val="008C0278"/>
    <w:rsid w:val="008C0291"/>
    <w:rsid w:val="008C02DD"/>
    <w:rsid w:val="008C0466"/>
    <w:rsid w:val="008C0BD5"/>
    <w:rsid w:val="008C0C89"/>
    <w:rsid w:val="008C0D40"/>
    <w:rsid w:val="008C0E01"/>
    <w:rsid w:val="008C1079"/>
    <w:rsid w:val="008C1117"/>
    <w:rsid w:val="008C1474"/>
    <w:rsid w:val="008C15B3"/>
    <w:rsid w:val="008C15F7"/>
    <w:rsid w:val="008C1814"/>
    <w:rsid w:val="008C18E3"/>
    <w:rsid w:val="008C1C64"/>
    <w:rsid w:val="008C1CFA"/>
    <w:rsid w:val="008C1DD1"/>
    <w:rsid w:val="008C2240"/>
    <w:rsid w:val="008C23B6"/>
    <w:rsid w:val="008C248F"/>
    <w:rsid w:val="008C24E9"/>
    <w:rsid w:val="008C267D"/>
    <w:rsid w:val="008C2844"/>
    <w:rsid w:val="008C2F19"/>
    <w:rsid w:val="008C3101"/>
    <w:rsid w:val="008C316F"/>
    <w:rsid w:val="008C3198"/>
    <w:rsid w:val="008C325F"/>
    <w:rsid w:val="008C3364"/>
    <w:rsid w:val="008C33B0"/>
    <w:rsid w:val="008C3672"/>
    <w:rsid w:val="008C3E0E"/>
    <w:rsid w:val="008C3E24"/>
    <w:rsid w:val="008C3F7A"/>
    <w:rsid w:val="008C4307"/>
    <w:rsid w:val="008C44CE"/>
    <w:rsid w:val="008C45A5"/>
    <w:rsid w:val="008C45CB"/>
    <w:rsid w:val="008C4785"/>
    <w:rsid w:val="008C48C8"/>
    <w:rsid w:val="008C4907"/>
    <w:rsid w:val="008C4998"/>
    <w:rsid w:val="008C4AAC"/>
    <w:rsid w:val="008C4AF1"/>
    <w:rsid w:val="008C4C28"/>
    <w:rsid w:val="008C51F0"/>
    <w:rsid w:val="008C525B"/>
    <w:rsid w:val="008C53D7"/>
    <w:rsid w:val="008C5451"/>
    <w:rsid w:val="008C55F4"/>
    <w:rsid w:val="008C57B8"/>
    <w:rsid w:val="008C5914"/>
    <w:rsid w:val="008C5BE6"/>
    <w:rsid w:val="008C5CF3"/>
    <w:rsid w:val="008C5DFC"/>
    <w:rsid w:val="008C5EBE"/>
    <w:rsid w:val="008C5F9B"/>
    <w:rsid w:val="008C60E1"/>
    <w:rsid w:val="008C61E9"/>
    <w:rsid w:val="008C634E"/>
    <w:rsid w:val="008C64C3"/>
    <w:rsid w:val="008C6572"/>
    <w:rsid w:val="008C6707"/>
    <w:rsid w:val="008C69DB"/>
    <w:rsid w:val="008C6A9C"/>
    <w:rsid w:val="008C6BC5"/>
    <w:rsid w:val="008C6C2F"/>
    <w:rsid w:val="008C6D17"/>
    <w:rsid w:val="008C6DBC"/>
    <w:rsid w:val="008C701C"/>
    <w:rsid w:val="008C709D"/>
    <w:rsid w:val="008C7140"/>
    <w:rsid w:val="008C7519"/>
    <w:rsid w:val="008C75A1"/>
    <w:rsid w:val="008C7618"/>
    <w:rsid w:val="008C78B8"/>
    <w:rsid w:val="008C79DC"/>
    <w:rsid w:val="008C7B7B"/>
    <w:rsid w:val="008C7CE4"/>
    <w:rsid w:val="008C7E18"/>
    <w:rsid w:val="008C7E56"/>
    <w:rsid w:val="008C7FF9"/>
    <w:rsid w:val="008D0066"/>
    <w:rsid w:val="008D01F3"/>
    <w:rsid w:val="008D0533"/>
    <w:rsid w:val="008D05C9"/>
    <w:rsid w:val="008D0643"/>
    <w:rsid w:val="008D0665"/>
    <w:rsid w:val="008D0CCA"/>
    <w:rsid w:val="008D0D9E"/>
    <w:rsid w:val="008D0EC1"/>
    <w:rsid w:val="008D1004"/>
    <w:rsid w:val="008D1512"/>
    <w:rsid w:val="008D1AD1"/>
    <w:rsid w:val="008D1B16"/>
    <w:rsid w:val="008D1CC2"/>
    <w:rsid w:val="008D1EFD"/>
    <w:rsid w:val="008D2067"/>
    <w:rsid w:val="008D223B"/>
    <w:rsid w:val="008D2302"/>
    <w:rsid w:val="008D23A8"/>
    <w:rsid w:val="008D2571"/>
    <w:rsid w:val="008D26B2"/>
    <w:rsid w:val="008D27C5"/>
    <w:rsid w:val="008D27EF"/>
    <w:rsid w:val="008D2927"/>
    <w:rsid w:val="008D293E"/>
    <w:rsid w:val="008D2CE4"/>
    <w:rsid w:val="008D2E98"/>
    <w:rsid w:val="008D2FCC"/>
    <w:rsid w:val="008D2FE6"/>
    <w:rsid w:val="008D3157"/>
    <w:rsid w:val="008D3230"/>
    <w:rsid w:val="008D32FB"/>
    <w:rsid w:val="008D3441"/>
    <w:rsid w:val="008D34AC"/>
    <w:rsid w:val="008D3C87"/>
    <w:rsid w:val="008D3DAE"/>
    <w:rsid w:val="008D3EC9"/>
    <w:rsid w:val="008D3EF6"/>
    <w:rsid w:val="008D4147"/>
    <w:rsid w:val="008D422A"/>
    <w:rsid w:val="008D42CB"/>
    <w:rsid w:val="008D43C7"/>
    <w:rsid w:val="008D45F0"/>
    <w:rsid w:val="008D4883"/>
    <w:rsid w:val="008D48C9"/>
    <w:rsid w:val="008D4B5F"/>
    <w:rsid w:val="008D4C9B"/>
    <w:rsid w:val="008D4D67"/>
    <w:rsid w:val="008D4FAD"/>
    <w:rsid w:val="008D4FE0"/>
    <w:rsid w:val="008D542F"/>
    <w:rsid w:val="008D54D9"/>
    <w:rsid w:val="008D55EE"/>
    <w:rsid w:val="008D5956"/>
    <w:rsid w:val="008D59A7"/>
    <w:rsid w:val="008D5A66"/>
    <w:rsid w:val="008D5B79"/>
    <w:rsid w:val="008D5BA9"/>
    <w:rsid w:val="008D5ED6"/>
    <w:rsid w:val="008D6364"/>
    <w:rsid w:val="008D6381"/>
    <w:rsid w:val="008D6697"/>
    <w:rsid w:val="008D6883"/>
    <w:rsid w:val="008D68DA"/>
    <w:rsid w:val="008D6952"/>
    <w:rsid w:val="008D6A90"/>
    <w:rsid w:val="008D6E4A"/>
    <w:rsid w:val="008D6E61"/>
    <w:rsid w:val="008D739C"/>
    <w:rsid w:val="008D7482"/>
    <w:rsid w:val="008D748B"/>
    <w:rsid w:val="008D74FC"/>
    <w:rsid w:val="008D7513"/>
    <w:rsid w:val="008D78E2"/>
    <w:rsid w:val="008D795C"/>
    <w:rsid w:val="008D7A18"/>
    <w:rsid w:val="008D7AF1"/>
    <w:rsid w:val="008D7B7E"/>
    <w:rsid w:val="008D7C80"/>
    <w:rsid w:val="008D7E3A"/>
    <w:rsid w:val="008D7FD0"/>
    <w:rsid w:val="008E0140"/>
    <w:rsid w:val="008E0217"/>
    <w:rsid w:val="008E025F"/>
    <w:rsid w:val="008E0468"/>
    <w:rsid w:val="008E0496"/>
    <w:rsid w:val="008E0547"/>
    <w:rsid w:val="008E07CF"/>
    <w:rsid w:val="008E09D0"/>
    <w:rsid w:val="008E0AF8"/>
    <w:rsid w:val="008E0BB7"/>
    <w:rsid w:val="008E0BF6"/>
    <w:rsid w:val="008E0C77"/>
    <w:rsid w:val="008E0DC4"/>
    <w:rsid w:val="008E0EBA"/>
    <w:rsid w:val="008E0FCD"/>
    <w:rsid w:val="008E1023"/>
    <w:rsid w:val="008E125F"/>
    <w:rsid w:val="008E1261"/>
    <w:rsid w:val="008E153A"/>
    <w:rsid w:val="008E15F6"/>
    <w:rsid w:val="008E1B5F"/>
    <w:rsid w:val="008E1B6F"/>
    <w:rsid w:val="008E1BB0"/>
    <w:rsid w:val="008E1DDC"/>
    <w:rsid w:val="008E1F93"/>
    <w:rsid w:val="008E1FB8"/>
    <w:rsid w:val="008E2045"/>
    <w:rsid w:val="008E2246"/>
    <w:rsid w:val="008E23D5"/>
    <w:rsid w:val="008E2604"/>
    <w:rsid w:val="008E2660"/>
    <w:rsid w:val="008E2743"/>
    <w:rsid w:val="008E274F"/>
    <w:rsid w:val="008E2757"/>
    <w:rsid w:val="008E281D"/>
    <w:rsid w:val="008E2AAF"/>
    <w:rsid w:val="008E2C6C"/>
    <w:rsid w:val="008E2DD2"/>
    <w:rsid w:val="008E2EB3"/>
    <w:rsid w:val="008E2F30"/>
    <w:rsid w:val="008E30CA"/>
    <w:rsid w:val="008E3339"/>
    <w:rsid w:val="008E33A8"/>
    <w:rsid w:val="008E355A"/>
    <w:rsid w:val="008E372C"/>
    <w:rsid w:val="008E3828"/>
    <w:rsid w:val="008E3983"/>
    <w:rsid w:val="008E3BA7"/>
    <w:rsid w:val="008E3BC2"/>
    <w:rsid w:val="008E3C24"/>
    <w:rsid w:val="008E3E5D"/>
    <w:rsid w:val="008E3E6A"/>
    <w:rsid w:val="008E3E86"/>
    <w:rsid w:val="008E41E6"/>
    <w:rsid w:val="008E48A3"/>
    <w:rsid w:val="008E48F2"/>
    <w:rsid w:val="008E497D"/>
    <w:rsid w:val="008E49E6"/>
    <w:rsid w:val="008E4B4A"/>
    <w:rsid w:val="008E4C2E"/>
    <w:rsid w:val="008E4D06"/>
    <w:rsid w:val="008E4DF3"/>
    <w:rsid w:val="008E4F3D"/>
    <w:rsid w:val="008E5023"/>
    <w:rsid w:val="008E516E"/>
    <w:rsid w:val="008E53EF"/>
    <w:rsid w:val="008E55CA"/>
    <w:rsid w:val="008E5862"/>
    <w:rsid w:val="008E5875"/>
    <w:rsid w:val="008E5977"/>
    <w:rsid w:val="008E5ACD"/>
    <w:rsid w:val="008E5B95"/>
    <w:rsid w:val="008E5CAF"/>
    <w:rsid w:val="008E5D5F"/>
    <w:rsid w:val="008E5DA4"/>
    <w:rsid w:val="008E5F3F"/>
    <w:rsid w:val="008E60B2"/>
    <w:rsid w:val="008E60E1"/>
    <w:rsid w:val="008E625F"/>
    <w:rsid w:val="008E6354"/>
    <w:rsid w:val="008E6669"/>
    <w:rsid w:val="008E6966"/>
    <w:rsid w:val="008E6971"/>
    <w:rsid w:val="008E6EA6"/>
    <w:rsid w:val="008E7479"/>
    <w:rsid w:val="008E750E"/>
    <w:rsid w:val="008E75FE"/>
    <w:rsid w:val="008E76DD"/>
    <w:rsid w:val="008E78B3"/>
    <w:rsid w:val="008E7A42"/>
    <w:rsid w:val="008E7E53"/>
    <w:rsid w:val="008E7E62"/>
    <w:rsid w:val="008E7FE9"/>
    <w:rsid w:val="008F01ED"/>
    <w:rsid w:val="008F0338"/>
    <w:rsid w:val="008F048C"/>
    <w:rsid w:val="008F0597"/>
    <w:rsid w:val="008F063B"/>
    <w:rsid w:val="008F0730"/>
    <w:rsid w:val="008F07CF"/>
    <w:rsid w:val="008F09B5"/>
    <w:rsid w:val="008F09FF"/>
    <w:rsid w:val="008F0F54"/>
    <w:rsid w:val="008F0FE4"/>
    <w:rsid w:val="008F132C"/>
    <w:rsid w:val="008F1561"/>
    <w:rsid w:val="008F1587"/>
    <w:rsid w:val="008F15F7"/>
    <w:rsid w:val="008F1772"/>
    <w:rsid w:val="008F18F9"/>
    <w:rsid w:val="008F1935"/>
    <w:rsid w:val="008F1989"/>
    <w:rsid w:val="008F1A67"/>
    <w:rsid w:val="008F1C51"/>
    <w:rsid w:val="008F1C5C"/>
    <w:rsid w:val="008F1D34"/>
    <w:rsid w:val="008F1E05"/>
    <w:rsid w:val="008F1ED3"/>
    <w:rsid w:val="008F219F"/>
    <w:rsid w:val="008F22C3"/>
    <w:rsid w:val="008F22F8"/>
    <w:rsid w:val="008F2406"/>
    <w:rsid w:val="008F2415"/>
    <w:rsid w:val="008F2432"/>
    <w:rsid w:val="008F2531"/>
    <w:rsid w:val="008F264D"/>
    <w:rsid w:val="008F2696"/>
    <w:rsid w:val="008F295B"/>
    <w:rsid w:val="008F2B9B"/>
    <w:rsid w:val="008F2EF9"/>
    <w:rsid w:val="008F307D"/>
    <w:rsid w:val="008F33D4"/>
    <w:rsid w:val="008F3562"/>
    <w:rsid w:val="008F39FB"/>
    <w:rsid w:val="008F3B0F"/>
    <w:rsid w:val="008F3C6A"/>
    <w:rsid w:val="008F4027"/>
    <w:rsid w:val="008F414C"/>
    <w:rsid w:val="008F42D9"/>
    <w:rsid w:val="008F4344"/>
    <w:rsid w:val="008F455B"/>
    <w:rsid w:val="008F4745"/>
    <w:rsid w:val="008F4860"/>
    <w:rsid w:val="008F48E0"/>
    <w:rsid w:val="008F48F2"/>
    <w:rsid w:val="008F4A4E"/>
    <w:rsid w:val="008F4A7B"/>
    <w:rsid w:val="008F5158"/>
    <w:rsid w:val="008F52BA"/>
    <w:rsid w:val="008F55F9"/>
    <w:rsid w:val="008F5820"/>
    <w:rsid w:val="008F5A67"/>
    <w:rsid w:val="008F5A75"/>
    <w:rsid w:val="008F5BD4"/>
    <w:rsid w:val="008F5C13"/>
    <w:rsid w:val="008F5C81"/>
    <w:rsid w:val="008F5C98"/>
    <w:rsid w:val="008F5D54"/>
    <w:rsid w:val="008F5D87"/>
    <w:rsid w:val="008F5EB4"/>
    <w:rsid w:val="008F61D7"/>
    <w:rsid w:val="008F633E"/>
    <w:rsid w:val="008F6586"/>
    <w:rsid w:val="008F65C6"/>
    <w:rsid w:val="008F664A"/>
    <w:rsid w:val="008F66AB"/>
    <w:rsid w:val="008F6C5B"/>
    <w:rsid w:val="008F6EA1"/>
    <w:rsid w:val="008F6FC4"/>
    <w:rsid w:val="008F7054"/>
    <w:rsid w:val="008F7310"/>
    <w:rsid w:val="008F75E0"/>
    <w:rsid w:val="008F767B"/>
    <w:rsid w:val="008F76AD"/>
    <w:rsid w:val="008F79C6"/>
    <w:rsid w:val="008F7D5E"/>
    <w:rsid w:val="008F7DE9"/>
    <w:rsid w:val="008F7E76"/>
    <w:rsid w:val="00900003"/>
    <w:rsid w:val="009000A2"/>
    <w:rsid w:val="009000D8"/>
    <w:rsid w:val="00900352"/>
    <w:rsid w:val="00900475"/>
    <w:rsid w:val="009005F7"/>
    <w:rsid w:val="0090084E"/>
    <w:rsid w:val="00900965"/>
    <w:rsid w:val="009009BA"/>
    <w:rsid w:val="00900ACC"/>
    <w:rsid w:val="00900B78"/>
    <w:rsid w:val="00900C9E"/>
    <w:rsid w:val="00900CAB"/>
    <w:rsid w:val="00900CB2"/>
    <w:rsid w:val="00900D32"/>
    <w:rsid w:val="00900DC1"/>
    <w:rsid w:val="00900FE7"/>
    <w:rsid w:val="00901084"/>
    <w:rsid w:val="009013C7"/>
    <w:rsid w:val="0090188D"/>
    <w:rsid w:val="00901AB0"/>
    <w:rsid w:val="00901AE6"/>
    <w:rsid w:val="00901CA4"/>
    <w:rsid w:val="00901EFE"/>
    <w:rsid w:val="00901F93"/>
    <w:rsid w:val="0090217F"/>
    <w:rsid w:val="00902562"/>
    <w:rsid w:val="009025F2"/>
    <w:rsid w:val="0090262F"/>
    <w:rsid w:val="009026C8"/>
    <w:rsid w:val="00902839"/>
    <w:rsid w:val="00902C4F"/>
    <w:rsid w:val="00902D88"/>
    <w:rsid w:val="00902FEF"/>
    <w:rsid w:val="00903160"/>
    <w:rsid w:val="009031BD"/>
    <w:rsid w:val="00903247"/>
    <w:rsid w:val="009033D4"/>
    <w:rsid w:val="009033F6"/>
    <w:rsid w:val="0090370C"/>
    <w:rsid w:val="00903808"/>
    <w:rsid w:val="00903AE5"/>
    <w:rsid w:val="00903C31"/>
    <w:rsid w:val="00903EEB"/>
    <w:rsid w:val="0090408A"/>
    <w:rsid w:val="00904316"/>
    <w:rsid w:val="00904533"/>
    <w:rsid w:val="009045CC"/>
    <w:rsid w:val="009048B9"/>
    <w:rsid w:val="00905107"/>
    <w:rsid w:val="0090510F"/>
    <w:rsid w:val="0090517E"/>
    <w:rsid w:val="00905400"/>
    <w:rsid w:val="0090558F"/>
    <w:rsid w:val="0090582E"/>
    <w:rsid w:val="009059A1"/>
    <w:rsid w:val="009059DD"/>
    <w:rsid w:val="00905D25"/>
    <w:rsid w:val="00905D3B"/>
    <w:rsid w:val="00905EDC"/>
    <w:rsid w:val="00905F83"/>
    <w:rsid w:val="0090606C"/>
    <w:rsid w:val="0090620B"/>
    <w:rsid w:val="009063A0"/>
    <w:rsid w:val="009063D9"/>
    <w:rsid w:val="009063F8"/>
    <w:rsid w:val="009065F2"/>
    <w:rsid w:val="00906668"/>
    <w:rsid w:val="0090668D"/>
    <w:rsid w:val="009066DD"/>
    <w:rsid w:val="0090686C"/>
    <w:rsid w:val="00906D42"/>
    <w:rsid w:val="00906FE6"/>
    <w:rsid w:val="00907260"/>
    <w:rsid w:val="009073C5"/>
    <w:rsid w:val="009073C9"/>
    <w:rsid w:val="0090742E"/>
    <w:rsid w:val="009074E1"/>
    <w:rsid w:val="00907555"/>
    <w:rsid w:val="0090757B"/>
    <w:rsid w:val="009077B5"/>
    <w:rsid w:val="00907995"/>
    <w:rsid w:val="00910035"/>
    <w:rsid w:val="009100CD"/>
    <w:rsid w:val="0091011E"/>
    <w:rsid w:val="00910417"/>
    <w:rsid w:val="009104E6"/>
    <w:rsid w:val="0091062E"/>
    <w:rsid w:val="00910685"/>
    <w:rsid w:val="00910D87"/>
    <w:rsid w:val="00910DCD"/>
    <w:rsid w:val="00910E9A"/>
    <w:rsid w:val="00910EF1"/>
    <w:rsid w:val="009112F7"/>
    <w:rsid w:val="009114E0"/>
    <w:rsid w:val="0091153C"/>
    <w:rsid w:val="00911702"/>
    <w:rsid w:val="00911807"/>
    <w:rsid w:val="00912245"/>
    <w:rsid w:val="0091225F"/>
    <w:rsid w:val="0091228D"/>
    <w:rsid w:val="009122AF"/>
    <w:rsid w:val="00912415"/>
    <w:rsid w:val="0091248E"/>
    <w:rsid w:val="009124A9"/>
    <w:rsid w:val="0091251F"/>
    <w:rsid w:val="00912729"/>
    <w:rsid w:val="009127BC"/>
    <w:rsid w:val="0091299C"/>
    <w:rsid w:val="00912A2F"/>
    <w:rsid w:val="00912ACB"/>
    <w:rsid w:val="00912B92"/>
    <w:rsid w:val="00912D20"/>
    <w:rsid w:val="00912D54"/>
    <w:rsid w:val="00912E27"/>
    <w:rsid w:val="00912FD8"/>
    <w:rsid w:val="00913229"/>
    <w:rsid w:val="0091357E"/>
    <w:rsid w:val="00913614"/>
    <w:rsid w:val="0091384B"/>
    <w:rsid w:val="0091389F"/>
    <w:rsid w:val="00913A50"/>
    <w:rsid w:val="00913AF5"/>
    <w:rsid w:val="00913B19"/>
    <w:rsid w:val="00913C88"/>
    <w:rsid w:val="00913EA1"/>
    <w:rsid w:val="009140AD"/>
    <w:rsid w:val="00914188"/>
    <w:rsid w:val="009141FE"/>
    <w:rsid w:val="0091468C"/>
    <w:rsid w:val="00914691"/>
    <w:rsid w:val="0091482F"/>
    <w:rsid w:val="00914C81"/>
    <w:rsid w:val="00914CA4"/>
    <w:rsid w:val="00914E43"/>
    <w:rsid w:val="00914E79"/>
    <w:rsid w:val="00914F1D"/>
    <w:rsid w:val="009151D5"/>
    <w:rsid w:val="0091527C"/>
    <w:rsid w:val="0091532A"/>
    <w:rsid w:val="009157E3"/>
    <w:rsid w:val="0091586F"/>
    <w:rsid w:val="009158A9"/>
    <w:rsid w:val="00915925"/>
    <w:rsid w:val="009159D7"/>
    <w:rsid w:val="00915C89"/>
    <w:rsid w:val="00915EA1"/>
    <w:rsid w:val="00915F6B"/>
    <w:rsid w:val="0091609F"/>
    <w:rsid w:val="00916131"/>
    <w:rsid w:val="00916252"/>
    <w:rsid w:val="009167EA"/>
    <w:rsid w:val="009168AA"/>
    <w:rsid w:val="00916908"/>
    <w:rsid w:val="00916A2E"/>
    <w:rsid w:val="00916DFB"/>
    <w:rsid w:val="00916E10"/>
    <w:rsid w:val="00916E4E"/>
    <w:rsid w:val="009170DC"/>
    <w:rsid w:val="00917184"/>
    <w:rsid w:val="009171C7"/>
    <w:rsid w:val="009175FB"/>
    <w:rsid w:val="0091782D"/>
    <w:rsid w:val="0091785C"/>
    <w:rsid w:val="00917A29"/>
    <w:rsid w:val="00917AF1"/>
    <w:rsid w:val="00917C68"/>
    <w:rsid w:val="00917DCE"/>
    <w:rsid w:val="00917F24"/>
    <w:rsid w:val="00917FE1"/>
    <w:rsid w:val="00920067"/>
    <w:rsid w:val="009202FE"/>
    <w:rsid w:val="009203FD"/>
    <w:rsid w:val="0092050F"/>
    <w:rsid w:val="00920522"/>
    <w:rsid w:val="009205EB"/>
    <w:rsid w:val="00920714"/>
    <w:rsid w:val="009208F7"/>
    <w:rsid w:val="00920BB6"/>
    <w:rsid w:val="00920C89"/>
    <w:rsid w:val="00920F0F"/>
    <w:rsid w:val="0092111C"/>
    <w:rsid w:val="009211A2"/>
    <w:rsid w:val="0092131A"/>
    <w:rsid w:val="00921381"/>
    <w:rsid w:val="00921453"/>
    <w:rsid w:val="00921619"/>
    <w:rsid w:val="0092166D"/>
    <w:rsid w:val="00921833"/>
    <w:rsid w:val="009218D2"/>
    <w:rsid w:val="00921969"/>
    <w:rsid w:val="0092197D"/>
    <w:rsid w:val="009219ED"/>
    <w:rsid w:val="00921A5A"/>
    <w:rsid w:val="00921A88"/>
    <w:rsid w:val="00921C6A"/>
    <w:rsid w:val="00921D54"/>
    <w:rsid w:val="00921EE0"/>
    <w:rsid w:val="00922114"/>
    <w:rsid w:val="009224B4"/>
    <w:rsid w:val="00922517"/>
    <w:rsid w:val="009225E9"/>
    <w:rsid w:val="0092263E"/>
    <w:rsid w:val="00922722"/>
    <w:rsid w:val="00922924"/>
    <w:rsid w:val="00922AD2"/>
    <w:rsid w:val="00922BAF"/>
    <w:rsid w:val="00922C49"/>
    <w:rsid w:val="00922CD4"/>
    <w:rsid w:val="00923982"/>
    <w:rsid w:val="009239AD"/>
    <w:rsid w:val="00923C29"/>
    <w:rsid w:val="00923D7E"/>
    <w:rsid w:val="00923DAF"/>
    <w:rsid w:val="009240EC"/>
    <w:rsid w:val="0092416D"/>
    <w:rsid w:val="00924273"/>
    <w:rsid w:val="0092438B"/>
    <w:rsid w:val="00924392"/>
    <w:rsid w:val="009245FA"/>
    <w:rsid w:val="009247C0"/>
    <w:rsid w:val="0092484A"/>
    <w:rsid w:val="0092487B"/>
    <w:rsid w:val="00924A43"/>
    <w:rsid w:val="00924A7F"/>
    <w:rsid w:val="00924C18"/>
    <w:rsid w:val="00924D89"/>
    <w:rsid w:val="00924EF8"/>
    <w:rsid w:val="0092516C"/>
    <w:rsid w:val="009253C2"/>
    <w:rsid w:val="0092549E"/>
    <w:rsid w:val="00925645"/>
    <w:rsid w:val="009256A0"/>
    <w:rsid w:val="00925792"/>
    <w:rsid w:val="009257DD"/>
    <w:rsid w:val="00925952"/>
    <w:rsid w:val="00925B46"/>
    <w:rsid w:val="00925CF5"/>
    <w:rsid w:val="00925D19"/>
    <w:rsid w:val="00925D9C"/>
    <w:rsid w:val="00925DD4"/>
    <w:rsid w:val="009261E6"/>
    <w:rsid w:val="009262B9"/>
    <w:rsid w:val="00926300"/>
    <w:rsid w:val="0092653E"/>
    <w:rsid w:val="00926845"/>
    <w:rsid w:val="00926888"/>
    <w:rsid w:val="0092689D"/>
    <w:rsid w:val="009268E1"/>
    <w:rsid w:val="00926940"/>
    <w:rsid w:val="00926C00"/>
    <w:rsid w:val="0092700B"/>
    <w:rsid w:val="00927029"/>
    <w:rsid w:val="0092729A"/>
    <w:rsid w:val="00927838"/>
    <w:rsid w:val="0092787C"/>
    <w:rsid w:val="00927894"/>
    <w:rsid w:val="0092790D"/>
    <w:rsid w:val="00927DE9"/>
    <w:rsid w:val="00927F6C"/>
    <w:rsid w:val="009301CD"/>
    <w:rsid w:val="0093023D"/>
    <w:rsid w:val="0093037A"/>
    <w:rsid w:val="009303F8"/>
    <w:rsid w:val="00930737"/>
    <w:rsid w:val="00930821"/>
    <w:rsid w:val="0093085D"/>
    <w:rsid w:val="00930997"/>
    <w:rsid w:val="00930A79"/>
    <w:rsid w:val="00930AD0"/>
    <w:rsid w:val="00930E4F"/>
    <w:rsid w:val="00930ED4"/>
    <w:rsid w:val="00930F27"/>
    <w:rsid w:val="00931064"/>
    <w:rsid w:val="0093110F"/>
    <w:rsid w:val="00931142"/>
    <w:rsid w:val="0093115D"/>
    <w:rsid w:val="0093121C"/>
    <w:rsid w:val="009312B4"/>
    <w:rsid w:val="009317E5"/>
    <w:rsid w:val="009319DC"/>
    <w:rsid w:val="00931A3C"/>
    <w:rsid w:val="00931CD9"/>
    <w:rsid w:val="00931DF9"/>
    <w:rsid w:val="00931EAE"/>
    <w:rsid w:val="00931F73"/>
    <w:rsid w:val="009320FF"/>
    <w:rsid w:val="009322D8"/>
    <w:rsid w:val="009322E9"/>
    <w:rsid w:val="00932439"/>
    <w:rsid w:val="00932566"/>
    <w:rsid w:val="009326BF"/>
    <w:rsid w:val="009327CA"/>
    <w:rsid w:val="00932913"/>
    <w:rsid w:val="009329F3"/>
    <w:rsid w:val="00932C4F"/>
    <w:rsid w:val="00932E45"/>
    <w:rsid w:val="00933660"/>
    <w:rsid w:val="00933982"/>
    <w:rsid w:val="009339C6"/>
    <w:rsid w:val="009339D6"/>
    <w:rsid w:val="00933C78"/>
    <w:rsid w:val="00933F1D"/>
    <w:rsid w:val="00933F80"/>
    <w:rsid w:val="00934202"/>
    <w:rsid w:val="0093428E"/>
    <w:rsid w:val="00934354"/>
    <w:rsid w:val="00934368"/>
    <w:rsid w:val="009343EF"/>
    <w:rsid w:val="00934527"/>
    <w:rsid w:val="0093456E"/>
    <w:rsid w:val="00934902"/>
    <w:rsid w:val="00934917"/>
    <w:rsid w:val="00934A44"/>
    <w:rsid w:val="00934ADF"/>
    <w:rsid w:val="00934B85"/>
    <w:rsid w:val="00934F0F"/>
    <w:rsid w:val="00935010"/>
    <w:rsid w:val="0093501F"/>
    <w:rsid w:val="009350E4"/>
    <w:rsid w:val="009351A3"/>
    <w:rsid w:val="009351E7"/>
    <w:rsid w:val="00935318"/>
    <w:rsid w:val="009357CF"/>
    <w:rsid w:val="009357EF"/>
    <w:rsid w:val="00935B57"/>
    <w:rsid w:val="00935C1D"/>
    <w:rsid w:val="00935CCD"/>
    <w:rsid w:val="00935E45"/>
    <w:rsid w:val="00935FE8"/>
    <w:rsid w:val="0093606E"/>
    <w:rsid w:val="009360EF"/>
    <w:rsid w:val="00936176"/>
    <w:rsid w:val="0093618C"/>
    <w:rsid w:val="00936194"/>
    <w:rsid w:val="0093629A"/>
    <w:rsid w:val="009362A2"/>
    <w:rsid w:val="009364CB"/>
    <w:rsid w:val="00936624"/>
    <w:rsid w:val="009366F7"/>
    <w:rsid w:val="0093672F"/>
    <w:rsid w:val="0093678A"/>
    <w:rsid w:val="00936BFB"/>
    <w:rsid w:val="00936C9F"/>
    <w:rsid w:val="00936CF0"/>
    <w:rsid w:val="00936EB7"/>
    <w:rsid w:val="009373A6"/>
    <w:rsid w:val="00937624"/>
    <w:rsid w:val="0093781D"/>
    <w:rsid w:val="00937A71"/>
    <w:rsid w:val="00937AD5"/>
    <w:rsid w:val="00937B81"/>
    <w:rsid w:val="00937C35"/>
    <w:rsid w:val="00937DB4"/>
    <w:rsid w:val="00937F47"/>
    <w:rsid w:val="00937F68"/>
    <w:rsid w:val="00940061"/>
    <w:rsid w:val="0094028C"/>
    <w:rsid w:val="0094029E"/>
    <w:rsid w:val="009405FE"/>
    <w:rsid w:val="0094085E"/>
    <w:rsid w:val="00940936"/>
    <w:rsid w:val="00940965"/>
    <w:rsid w:val="00940C6C"/>
    <w:rsid w:val="00940D22"/>
    <w:rsid w:val="00940E28"/>
    <w:rsid w:val="00940EAE"/>
    <w:rsid w:val="0094113E"/>
    <w:rsid w:val="009411C7"/>
    <w:rsid w:val="00941321"/>
    <w:rsid w:val="0094133B"/>
    <w:rsid w:val="00941405"/>
    <w:rsid w:val="009414DE"/>
    <w:rsid w:val="00941533"/>
    <w:rsid w:val="00941AE8"/>
    <w:rsid w:val="00941AF1"/>
    <w:rsid w:val="00941B1C"/>
    <w:rsid w:val="00941B23"/>
    <w:rsid w:val="00941B3D"/>
    <w:rsid w:val="00941CD2"/>
    <w:rsid w:val="00941E2E"/>
    <w:rsid w:val="00941F1D"/>
    <w:rsid w:val="009426B1"/>
    <w:rsid w:val="0094270A"/>
    <w:rsid w:val="00942755"/>
    <w:rsid w:val="00942845"/>
    <w:rsid w:val="00942887"/>
    <w:rsid w:val="009429BF"/>
    <w:rsid w:val="009429CD"/>
    <w:rsid w:val="00942E40"/>
    <w:rsid w:val="00942EAB"/>
    <w:rsid w:val="00942F39"/>
    <w:rsid w:val="00942F52"/>
    <w:rsid w:val="00942F6B"/>
    <w:rsid w:val="0094316F"/>
    <w:rsid w:val="009431CA"/>
    <w:rsid w:val="009435DD"/>
    <w:rsid w:val="009435E7"/>
    <w:rsid w:val="009438BD"/>
    <w:rsid w:val="00943919"/>
    <w:rsid w:val="00943A38"/>
    <w:rsid w:val="00943A5D"/>
    <w:rsid w:val="00943B00"/>
    <w:rsid w:val="00943C84"/>
    <w:rsid w:val="00943CDF"/>
    <w:rsid w:val="00943E23"/>
    <w:rsid w:val="00943E3C"/>
    <w:rsid w:val="00943E6B"/>
    <w:rsid w:val="00943F5C"/>
    <w:rsid w:val="00943FC2"/>
    <w:rsid w:val="0094417D"/>
    <w:rsid w:val="00944366"/>
    <w:rsid w:val="00944421"/>
    <w:rsid w:val="009444AE"/>
    <w:rsid w:val="009445C7"/>
    <w:rsid w:val="009445D8"/>
    <w:rsid w:val="009446B2"/>
    <w:rsid w:val="009448C0"/>
    <w:rsid w:val="00944CF0"/>
    <w:rsid w:val="00944E0F"/>
    <w:rsid w:val="00944E79"/>
    <w:rsid w:val="00945407"/>
    <w:rsid w:val="0094540A"/>
    <w:rsid w:val="0094586D"/>
    <w:rsid w:val="009458D5"/>
    <w:rsid w:val="00945955"/>
    <w:rsid w:val="00945A15"/>
    <w:rsid w:val="00945B6F"/>
    <w:rsid w:val="00945C4E"/>
    <w:rsid w:val="00945D2F"/>
    <w:rsid w:val="00945E7F"/>
    <w:rsid w:val="00946105"/>
    <w:rsid w:val="00946902"/>
    <w:rsid w:val="00946BFE"/>
    <w:rsid w:val="00946CAD"/>
    <w:rsid w:val="00946CEF"/>
    <w:rsid w:val="00946DA6"/>
    <w:rsid w:val="00946E9C"/>
    <w:rsid w:val="00946F26"/>
    <w:rsid w:val="0094706D"/>
    <w:rsid w:val="00947215"/>
    <w:rsid w:val="00947306"/>
    <w:rsid w:val="00947481"/>
    <w:rsid w:val="0094787E"/>
    <w:rsid w:val="009478AF"/>
    <w:rsid w:val="009478E3"/>
    <w:rsid w:val="00947BC0"/>
    <w:rsid w:val="00947C05"/>
    <w:rsid w:val="00947D53"/>
    <w:rsid w:val="00947D55"/>
    <w:rsid w:val="00947DA4"/>
    <w:rsid w:val="00950050"/>
    <w:rsid w:val="009500B0"/>
    <w:rsid w:val="0095057A"/>
    <w:rsid w:val="00950596"/>
    <w:rsid w:val="00950741"/>
    <w:rsid w:val="009507BD"/>
    <w:rsid w:val="00950BED"/>
    <w:rsid w:val="00950EF5"/>
    <w:rsid w:val="00950F16"/>
    <w:rsid w:val="009513D8"/>
    <w:rsid w:val="0095142D"/>
    <w:rsid w:val="0095151B"/>
    <w:rsid w:val="00951538"/>
    <w:rsid w:val="0095176D"/>
    <w:rsid w:val="0095177D"/>
    <w:rsid w:val="009517DE"/>
    <w:rsid w:val="009518B3"/>
    <w:rsid w:val="009519B8"/>
    <w:rsid w:val="00951A55"/>
    <w:rsid w:val="00952291"/>
    <w:rsid w:val="00952313"/>
    <w:rsid w:val="0095234F"/>
    <w:rsid w:val="00952462"/>
    <w:rsid w:val="009525A9"/>
    <w:rsid w:val="00952616"/>
    <w:rsid w:val="0095270F"/>
    <w:rsid w:val="009527A0"/>
    <w:rsid w:val="009527F4"/>
    <w:rsid w:val="00952AA7"/>
    <w:rsid w:val="00952AA9"/>
    <w:rsid w:val="00952D24"/>
    <w:rsid w:val="00952E5E"/>
    <w:rsid w:val="00952F34"/>
    <w:rsid w:val="00953021"/>
    <w:rsid w:val="00953216"/>
    <w:rsid w:val="00953434"/>
    <w:rsid w:val="009538CB"/>
    <w:rsid w:val="00953A5E"/>
    <w:rsid w:val="00953A86"/>
    <w:rsid w:val="00953BF6"/>
    <w:rsid w:val="00953D63"/>
    <w:rsid w:val="00953DCC"/>
    <w:rsid w:val="009540DD"/>
    <w:rsid w:val="009541B6"/>
    <w:rsid w:val="009541E0"/>
    <w:rsid w:val="00954290"/>
    <w:rsid w:val="00954311"/>
    <w:rsid w:val="0095431D"/>
    <w:rsid w:val="009543B1"/>
    <w:rsid w:val="00954426"/>
    <w:rsid w:val="0095447A"/>
    <w:rsid w:val="009547C9"/>
    <w:rsid w:val="00954AAA"/>
    <w:rsid w:val="00954DCE"/>
    <w:rsid w:val="00954E79"/>
    <w:rsid w:val="00954F1C"/>
    <w:rsid w:val="00955000"/>
    <w:rsid w:val="0095504B"/>
    <w:rsid w:val="00955317"/>
    <w:rsid w:val="0095556F"/>
    <w:rsid w:val="00955754"/>
    <w:rsid w:val="009557C1"/>
    <w:rsid w:val="00955886"/>
    <w:rsid w:val="00955977"/>
    <w:rsid w:val="00955A30"/>
    <w:rsid w:val="00955F89"/>
    <w:rsid w:val="00956045"/>
    <w:rsid w:val="00956082"/>
    <w:rsid w:val="0095608E"/>
    <w:rsid w:val="00956145"/>
    <w:rsid w:val="009562A9"/>
    <w:rsid w:val="0095658D"/>
    <w:rsid w:val="009568C8"/>
    <w:rsid w:val="00956C03"/>
    <w:rsid w:val="00956D87"/>
    <w:rsid w:val="00956DB8"/>
    <w:rsid w:val="00956E12"/>
    <w:rsid w:val="00956EAA"/>
    <w:rsid w:val="00957193"/>
    <w:rsid w:val="009572DA"/>
    <w:rsid w:val="0095746E"/>
    <w:rsid w:val="009574E8"/>
    <w:rsid w:val="00957699"/>
    <w:rsid w:val="00957925"/>
    <w:rsid w:val="00957973"/>
    <w:rsid w:val="00957C93"/>
    <w:rsid w:val="00960000"/>
    <w:rsid w:val="009602DC"/>
    <w:rsid w:val="009603DB"/>
    <w:rsid w:val="0096044A"/>
    <w:rsid w:val="00960895"/>
    <w:rsid w:val="0096094E"/>
    <w:rsid w:val="009609C1"/>
    <w:rsid w:val="00960A3E"/>
    <w:rsid w:val="00960CAC"/>
    <w:rsid w:val="00960D6E"/>
    <w:rsid w:val="00960F9D"/>
    <w:rsid w:val="0096133D"/>
    <w:rsid w:val="009616E2"/>
    <w:rsid w:val="0096172A"/>
    <w:rsid w:val="009618E1"/>
    <w:rsid w:val="009618FB"/>
    <w:rsid w:val="009619D4"/>
    <w:rsid w:val="00961A36"/>
    <w:rsid w:val="00961EDB"/>
    <w:rsid w:val="00961F1E"/>
    <w:rsid w:val="00962256"/>
    <w:rsid w:val="00962354"/>
    <w:rsid w:val="00962475"/>
    <w:rsid w:val="0096248F"/>
    <w:rsid w:val="009624BF"/>
    <w:rsid w:val="00962503"/>
    <w:rsid w:val="00962584"/>
    <w:rsid w:val="00962614"/>
    <w:rsid w:val="00962685"/>
    <w:rsid w:val="009626D5"/>
    <w:rsid w:val="009627D5"/>
    <w:rsid w:val="009627E5"/>
    <w:rsid w:val="00962968"/>
    <w:rsid w:val="00962AEA"/>
    <w:rsid w:val="00962D43"/>
    <w:rsid w:val="00962F8C"/>
    <w:rsid w:val="00962FA0"/>
    <w:rsid w:val="00963063"/>
    <w:rsid w:val="0096310C"/>
    <w:rsid w:val="00963176"/>
    <w:rsid w:val="009634B5"/>
    <w:rsid w:val="0096356E"/>
    <w:rsid w:val="0096358D"/>
    <w:rsid w:val="009635EA"/>
    <w:rsid w:val="00963B89"/>
    <w:rsid w:val="00963BB8"/>
    <w:rsid w:val="00963C75"/>
    <w:rsid w:val="00963D8D"/>
    <w:rsid w:val="009640F7"/>
    <w:rsid w:val="00964173"/>
    <w:rsid w:val="00964182"/>
    <w:rsid w:val="0096421E"/>
    <w:rsid w:val="0096425D"/>
    <w:rsid w:val="00964373"/>
    <w:rsid w:val="00964403"/>
    <w:rsid w:val="00964505"/>
    <w:rsid w:val="0096458A"/>
    <w:rsid w:val="009647F3"/>
    <w:rsid w:val="00964827"/>
    <w:rsid w:val="009648EA"/>
    <w:rsid w:val="00964AB4"/>
    <w:rsid w:val="00964B27"/>
    <w:rsid w:val="00964CE8"/>
    <w:rsid w:val="00964DA8"/>
    <w:rsid w:val="00964E45"/>
    <w:rsid w:val="00964FB8"/>
    <w:rsid w:val="00965170"/>
    <w:rsid w:val="009652C6"/>
    <w:rsid w:val="009652E7"/>
    <w:rsid w:val="0096538B"/>
    <w:rsid w:val="0096539F"/>
    <w:rsid w:val="00965524"/>
    <w:rsid w:val="00965581"/>
    <w:rsid w:val="00965637"/>
    <w:rsid w:val="00965714"/>
    <w:rsid w:val="00965B54"/>
    <w:rsid w:val="00965C66"/>
    <w:rsid w:val="0096606A"/>
    <w:rsid w:val="00966087"/>
    <w:rsid w:val="0096611C"/>
    <w:rsid w:val="00966222"/>
    <w:rsid w:val="0096645A"/>
    <w:rsid w:val="00966566"/>
    <w:rsid w:val="009666D9"/>
    <w:rsid w:val="009668CC"/>
    <w:rsid w:val="00966A38"/>
    <w:rsid w:val="00966A63"/>
    <w:rsid w:val="00966AD0"/>
    <w:rsid w:val="00966B51"/>
    <w:rsid w:val="00966DCC"/>
    <w:rsid w:val="00966DD0"/>
    <w:rsid w:val="00966E42"/>
    <w:rsid w:val="00966E7A"/>
    <w:rsid w:val="00967075"/>
    <w:rsid w:val="00967566"/>
    <w:rsid w:val="00967594"/>
    <w:rsid w:val="009677AA"/>
    <w:rsid w:val="0096781B"/>
    <w:rsid w:val="0096797D"/>
    <w:rsid w:val="00967AF2"/>
    <w:rsid w:val="00967B5D"/>
    <w:rsid w:val="00967BDF"/>
    <w:rsid w:val="00967C10"/>
    <w:rsid w:val="00967D12"/>
    <w:rsid w:val="00967D80"/>
    <w:rsid w:val="00967DEB"/>
    <w:rsid w:val="00967EB0"/>
    <w:rsid w:val="009701E9"/>
    <w:rsid w:val="009703AB"/>
    <w:rsid w:val="00970431"/>
    <w:rsid w:val="00970435"/>
    <w:rsid w:val="009704C6"/>
    <w:rsid w:val="00970521"/>
    <w:rsid w:val="0097076E"/>
    <w:rsid w:val="00970833"/>
    <w:rsid w:val="009709EB"/>
    <w:rsid w:val="00970AD7"/>
    <w:rsid w:val="00970D7C"/>
    <w:rsid w:val="00970E03"/>
    <w:rsid w:val="00970E73"/>
    <w:rsid w:val="00970E96"/>
    <w:rsid w:val="0097149A"/>
    <w:rsid w:val="009714EF"/>
    <w:rsid w:val="009715C5"/>
    <w:rsid w:val="009717C9"/>
    <w:rsid w:val="00971CEC"/>
    <w:rsid w:val="00971D6D"/>
    <w:rsid w:val="009720CC"/>
    <w:rsid w:val="009723C0"/>
    <w:rsid w:val="009726D4"/>
    <w:rsid w:val="00972799"/>
    <w:rsid w:val="009728EA"/>
    <w:rsid w:val="00972B74"/>
    <w:rsid w:val="00972BC1"/>
    <w:rsid w:val="00972D76"/>
    <w:rsid w:val="00972DBE"/>
    <w:rsid w:val="00972E5A"/>
    <w:rsid w:val="00972E78"/>
    <w:rsid w:val="00972F73"/>
    <w:rsid w:val="0097301B"/>
    <w:rsid w:val="009730BD"/>
    <w:rsid w:val="00973487"/>
    <w:rsid w:val="00973559"/>
    <w:rsid w:val="009737D6"/>
    <w:rsid w:val="009738EC"/>
    <w:rsid w:val="00973988"/>
    <w:rsid w:val="0097398C"/>
    <w:rsid w:val="00973A8B"/>
    <w:rsid w:val="00973AD1"/>
    <w:rsid w:val="00973D20"/>
    <w:rsid w:val="00973E3D"/>
    <w:rsid w:val="00973F1C"/>
    <w:rsid w:val="009740B0"/>
    <w:rsid w:val="00974258"/>
    <w:rsid w:val="00974308"/>
    <w:rsid w:val="00974313"/>
    <w:rsid w:val="00974338"/>
    <w:rsid w:val="00974379"/>
    <w:rsid w:val="009743EB"/>
    <w:rsid w:val="00974624"/>
    <w:rsid w:val="009746AC"/>
    <w:rsid w:val="009748F6"/>
    <w:rsid w:val="00974A01"/>
    <w:rsid w:val="00974A40"/>
    <w:rsid w:val="00974A9C"/>
    <w:rsid w:val="00974B59"/>
    <w:rsid w:val="00974F1B"/>
    <w:rsid w:val="00974FBF"/>
    <w:rsid w:val="0097515E"/>
    <w:rsid w:val="00975256"/>
    <w:rsid w:val="009752E9"/>
    <w:rsid w:val="009754C8"/>
    <w:rsid w:val="00975579"/>
    <w:rsid w:val="009755DF"/>
    <w:rsid w:val="009756D8"/>
    <w:rsid w:val="00975B35"/>
    <w:rsid w:val="00975C0B"/>
    <w:rsid w:val="00975C7B"/>
    <w:rsid w:val="00975F7B"/>
    <w:rsid w:val="009760BD"/>
    <w:rsid w:val="0097622C"/>
    <w:rsid w:val="0097636A"/>
    <w:rsid w:val="009765C6"/>
    <w:rsid w:val="0097673D"/>
    <w:rsid w:val="009767EA"/>
    <w:rsid w:val="009767F0"/>
    <w:rsid w:val="009769D5"/>
    <w:rsid w:val="00976A18"/>
    <w:rsid w:val="00976ABE"/>
    <w:rsid w:val="00976B44"/>
    <w:rsid w:val="00976C2C"/>
    <w:rsid w:val="00976C89"/>
    <w:rsid w:val="00976F87"/>
    <w:rsid w:val="009771D8"/>
    <w:rsid w:val="009773AA"/>
    <w:rsid w:val="009775CE"/>
    <w:rsid w:val="009777CA"/>
    <w:rsid w:val="0097788D"/>
    <w:rsid w:val="009778D9"/>
    <w:rsid w:val="00977953"/>
    <w:rsid w:val="00977B43"/>
    <w:rsid w:val="00977CD0"/>
    <w:rsid w:val="00977D00"/>
    <w:rsid w:val="00977D47"/>
    <w:rsid w:val="00977DF8"/>
    <w:rsid w:val="00977EDB"/>
    <w:rsid w:val="00980210"/>
    <w:rsid w:val="009804A3"/>
    <w:rsid w:val="009809C2"/>
    <w:rsid w:val="00980A07"/>
    <w:rsid w:val="00980A3C"/>
    <w:rsid w:val="00980AC8"/>
    <w:rsid w:val="00980D61"/>
    <w:rsid w:val="0098106B"/>
    <w:rsid w:val="00981392"/>
    <w:rsid w:val="00981750"/>
    <w:rsid w:val="00981957"/>
    <w:rsid w:val="0098197D"/>
    <w:rsid w:val="00981E77"/>
    <w:rsid w:val="00981FB7"/>
    <w:rsid w:val="00982037"/>
    <w:rsid w:val="009822CB"/>
    <w:rsid w:val="0098250B"/>
    <w:rsid w:val="0098252A"/>
    <w:rsid w:val="00982828"/>
    <w:rsid w:val="009829BC"/>
    <w:rsid w:val="00982BB4"/>
    <w:rsid w:val="00982C95"/>
    <w:rsid w:val="00982CB2"/>
    <w:rsid w:val="00982E0D"/>
    <w:rsid w:val="00982E7B"/>
    <w:rsid w:val="0098340B"/>
    <w:rsid w:val="009834E0"/>
    <w:rsid w:val="00983775"/>
    <w:rsid w:val="00983780"/>
    <w:rsid w:val="00983895"/>
    <w:rsid w:val="00983928"/>
    <w:rsid w:val="00983948"/>
    <w:rsid w:val="00983AA4"/>
    <w:rsid w:val="00983BBC"/>
    <w:rsid w:val="00983D8D"/>
    <w:rsid w:val="00983EFB"/>
    <w:rsid w:val="00983F8D"/>
    <w:rsid w:val="00983FEE"/>
    <w:rsid w:val="00983FFD"/>
    <w:rsid w:val="00984035"/>
    <w:rsid w:val="00984044"/>
    <w:rsid w:val="00984151"/>
    <w:rsid w:val="00984202"/>
    <w:rsid w:val="00984216"/>
    <w:rsid w:val="00984643"/>
    <w:rsid w:val="00984751"/>
    <w:rsid w:val="0098476F"/>
    <w:rsid w:val="00984885"/>
    <w:rsid w:val="00984893"/>
    <w:rsid w:val="00984DA1"/>
    <w:rsid w:val="00984E68"/>
    <w:rsid w:val="00984EA2"/>
    <w:rsid w:val="00984EF7"/>
    <w:rsid w:val="00984FC4"/>
    <w:rsid w:val="00984FFE"/>
    <w:rsid w:val="0098508A"/>
    <w:rsid w:val="00985382"/>
    <w:rsid w:val="009854A5"/>
    <w:rsid w:val="009855BE"/>
    <w:rsid w:val="0098561C"/>
    <w:rsid w:val="009859CE"/>
    <w:rsid w:val="00985BF3"/>
    <w:rsid w:val="00985CAB"/>
    <w:rsid w:val="00985DC2"/>
    <w:rsid w:val="00985DE3"/>
    <w:rsid w:val="00985E8F"/>
    <w:rsid w:val="00985ECC"/>
    <w:rsid w:val="00985ED8"/>
    <w:rsid w:val="0098613D"/>
    <w:rsid w:val="00986188"/>
    <w:rsid w:val="0098663A"/>
    <w:rsid w:val="009867C9"/>
    <w:rsid w:val="00986830"/>
    <w:rsid w:val="0098693F"/>
    <w:rsid w:val="00986A12"/>
    <w:rsid w:val="00986C96"/>
    <w:rsid w:val="00986CD6"/>
    <w:rsid w:val="00986D59"/>
    <w:rsid w:val="00986FB7"/>
    <w:rsid w:val="00986FEF"/>
    <w:rsid w:val="00986FF6"/>
    <w:rsid w:val="00987020"/>
    <w:rsid w:val="009870F5"/>
    <w:rsid w:val="009871B6"/>
    <w:rsid w:val="009871DF"/>
    <w:rsid w:val="009875CC"/>
    <w:rsid w:val="00987A73"/>
    <w:rsid w:val="00987C41"/>
    <w:rsid w:val="00987D3A"/>
    <w:rsid w:val="00987E48"/>
    <w:rsid w:val="00990050"/>
    <w:rsid w:val="00990079"/>
    <w:rsid w:val="00990327"/>
    <w:rsid w:val="00990451"/>
    <w:rsid w:val="009904CC"/>
    <w:rsid w:val="00990700"/>
    <w:rsid w:val="009907AB"/>
    <w:rsid w:val="00990924"/>
    <w:rsid w:val="00990A74"/>
    <w:rsid w:val="00990AB1"/>
    <w:rsid w:val="00990B46"/>
    <w:rsid w:val="00990D56"/>
    <w:rsid w:val="009911E0"/>
    <w:rsid w:val="00991387"/>
    <w:rsid w:val="009914B4"/>
    <w:rsid w:val="009914DE"/>
    <w:rsid w:val="009916CB"/>
    <w:rsid w:val="00991775"/>
    <w:rsid w:val="0099182E"/>
    <w:rsid w:val="0099188C"/>
    <w:rsid w:val="00991A87"/>
    <w:rsid w:val="00991B86"/>
    <w:rsid w:val="00991DC0"/>
    <w:rsid w:val="00991F0D"/>
    <w:rsid w:val="0099230B"/>
    <w:rsid w:val="00992431"/>
    <w:rsid w:val="009924C3"/>
    <w:rsid w:val="009924C5"/>
    <w:rsid w:val="0099262F"/>
    <w:rsid w:val="00992774"/>
    <w:rsid w:val="009927DC"/>
    <w:rsid w:val="00992803"/>
    <w:rsid w:val="00992AF9"/>
    <w:rsid w:val="00992FB2"/>
    <w:rsid w:val="00993102"/>
    <w:rsid w:val="00993122"/>
    <w:rsid w:val="009935F5"/>
    <w:rsid w:val="0099379C"/>
    <w:rsid w:val="00993A67"/>
    <w:rsid w:val="00993BE9"/>
    <w:rsid w:val="00993F62"/>
    <w:rsid w:val="00993F98"/>
    <w:rsid w:val="00993FBA"/>
    <w:rsid w:val="00994115"/>
    <w:rsid w:val="00994204"/>
    <w:rsid w:val="009943A8"/>
    <w:rsid w:val="00994431"/>
    <w:rsid w:val="00994442"/>
    <w:rsid w:val="00994494"/>
    <w:rsid w:val="0099449B"/>
    <w:rsid w:val="0099481A"/>
    <w:rsid w:val="009948DB"/>
    <w:rsid w:val="00994F9E"/>
    <w:rsid w:val="0099501F"/>
    <w:rsid w:val="009950C3"/>
    <w:rsid w:val="00995404"/>
    <w:rsid w:val="009955A4"/>
    <w:rsid w:val="0099560E"/>
    <w:rsid w:val="0099568B"/>
    <w:rsid w:val="009956A0"/>
    <w:rsid w:val="009956AB"/>
    <w:rsid w:val="009956BA"/>
    <w:rsid w:val="0099570E"/>
    <w:rsid w:val="00995AD5"/>
    <w:rsid w:val="00995BB1"/>
    <w:rsid w:val="00995CF4"/>
    <w:rsid w:val="009960A4"/>
    <w:rsid w:val="00996127"/>
    <w:rsid w:val="009961A3"/>
    <w:rsid w:val="009965F2"/>
    <w:rsid w:val="009966E5"/>
    <w:rsid w:val="00996718"/>
    <w:rsid w:val="009967FA"/>
    <w:rsid w:val="00996C3B"/>
    <w:rsid w:val="00996CAE"/>
    <w:rsid w:val="00996E22"/>
    <w:rsid w:val="00997249"/>
    <w:rsid w:val="00997294"/>
    <w:rsid w:val="00997586"/>
    <w:rsid w:val="00997594"/>
    <w:rsid w:val="00997608"/>
    <w:rsid w:val="009977B1"/>
    <w:rsid w:val="00997801"/>
    <w:rsid w:val="009978C4"/>
    <w:rsid w:val="00997B0D"/>
    <w:rsid w:val="00997C81"/>
    <w:rsid w:val="00997D22"/>
    <w:rsid w:val="009A0398"/>
    <w:rsid w:val="009A04ED"/>
    <w:rsid w:val="009A050B"/>
    <w:rsid w:val="009A077B"/>
    <w:rsid w:val="009A0917"/>
    <w:rsid w:val="009A0A44"/>
    <w:rsid w:val="009A0A9B"/>
    <w:rsid w:val="009A0ABC"/>
    <w:rsid w:val="009A0B22"/>
    <w:rsid w:val="009A0BA5"/>
    <w:rsid w:val="009A0C2D"/>
    <w:rsid w:val="009A0D6D"/>
    <w:rsid w:val="009A0DB8"/>
    <w:rsid w:val="009A0E73"/>
    <w:rsid w:val="009A0EA3"/>
    <w:rsid w:val="009A0EC8"/>
    <w:rsid w:val="009A0F7D"/>
    <w:rsid w:val="009A1173"/>
    <w:rsid w:val="009A1264"/>
    <w:rsid w:val="009A14C9"/>
    <w:rsid w:val="009A1567"/>
    <w:rsid w:val="009A15B6"/>
    <w:rsid w:val="009A18D4"/>
    <w:rsid w:val="009A1911"/>
    <w:rsid w:val="009A1A70"/>
    <w:rsid w:val="009A1B15"/>
    <w:rsid w:val="009A1C38"/>
    <w:rsid w:val="009A2068"/>
    <w:rsid w:val="009A223D"/>
    <w:rsid w:val="009A225B"/>
    <w:rsid w:val="009A2469"/>
    <w:rsid w:val="009A278E"/>
    <w:rsid w:val="009A2881"/>
    <w:rsid w:val="009A2884"/>
    <w:rsid w:val="009A296E"/>
    <w:rsid w:val="009A29A2"/>
    <w:rsid w:val="009A2AD8"/>
    <w:rsid w:val="009A2AE0"/>
    <w:rsid w:val="009A2CA6"/>
    <w:rsid w:val="009A2EF6"/>
    <w:rsid w:val="009A313E"/>
    <w:rsid w:val="009A3141"/>
    <w:rsid w:val="009A3285"/>
    <w:rsid w:val="009A32DB"/>
    <w:rsid w:val="009A3380"/>
    <w:rsid w:val="009A3AAA"/>
    <w:rsid w:val="009A3B2B"/>
    <w:rsid w:val="009A3B2F"/>
    <w:rsid w:val="009A3B39"/>
    <w:rsid w:val="009A3BD7"/>
    <w:rsid w:val="009A3C33"/>
    <w:rsid w:val="009A3CBC"/>
    <w:rsid w:val="009A3EC7"/>
    <w:rsid w:val="009A3F86"/>
    <w:rsid w:val="009A3FCA"/>
    <w:rsid w:val="009A4472"/>
    <w:rsid w:val="009A44EC"/>
    <w:rsid w:val="009A452C"/>
    <w:rsid w:val="009A469B"/>
    <w:rsid w:val="009A4D08"/>
    <w:rsid w:val="009A4DFD"/>
    <w:rsid w:val="009A4E15"/>
    <w:rsid w:val="009A4FF0"/>
    <w:rsid w:val="009A50F8"/>
    <w:rsid w:val="009A5233"/>
    <w:rsid w:val="009A56D6"/>
    <w:rsid w:val="009A583A"/>
    <w:rsid w:val="009A58FB"/>
    <w:rsid w:val="009A5A36"/>
    <w:rsid w:val="009A5E03"/>
    <w:rsid w:val="009A5F24"/>
    <w:rsid w:val="009A60A9"/>
    <w:rsid w:val="009A6296"/>
    <w:rsid w:val="009A6846"/>
    <w:rsid w:val="009A6AF8"/>
    <w:rsid w:val="009A6EF7"/>
    <w:rsid w:val="009A6F2F"/>
    <w:rsid w:val="009A6F7C"/>
    <w:rsid w:val="009A70F6"/>
    <w:rsid w:val="009A72BB"/>
    <w:rsid w:val="009A77B8"/>
    <w:rsid w:val="009A78CB"/>
    <w:rsid w:val="009A792F"/>
    <w:rsid w:val="009A7A81"/>
    <w:rsid w:val="009A7AA8"/>
    <w:rsid w:val="009A7B94"/>
    <w:rsid w:val="009A7D8A"/>
    <w:rsid w:val="009ABD93"/>
    <w:rsid w:val="009B0003"/>
    <w:rsid w:val="009B0266"/>
    <w:rsid w:val="009B02D6"/>
    <w:rsid w:val="009B02E3"/>
    <w:rsid w:val="009B04F2"/>
    <w:rsid w:val="009B05FC"/>
    <w:rsid w:val="009B0906"/>
    <w:rsid w:val="009B0C7A"/>
    <w:rsid w:val="009B0CF3"/>
    <w:rsid w:val="009B0D99"/>
    <w:rsid w:val="009B0ED4"/>
    <w:rsid w:val="009B0FD3"/>
    <w:rsid w:val="009B129A"/>
    <w:rsid w:val="009B1314"/>
    <w:rsid w:val="009B16F0"/>
    <w:rsid w:val="009B18CA"/>
    <w:rsid w:val="009B1A2B"/>
    <w:rsid w:val="009B1B27"/>
    <w:rsid w:val="009B1B85"/>
    <w:rsid w:val="009B1DB2"/>
    <w:rsid w:val="009B1EBB"/>
    <w:rsid w:val="009B1EEC"/>
    <w:rsid w:val="009B1FEC"/>
    <w:rsid w:val="009B1FFE"/>
    <w:rsid w:val="009B203C"/>
    <w:rsid w:val="009B209F"/>
    <w:rsid w:val="009B20BF"/>
    <w:rsid w:val="009B2350"/>
    <w:rsid w:val="009B240B"/>
    <w:rsid w:val="009B2425"/>
    <w:rsid w:val="009B2534"/>
    <w:rsid w:val="009B258B"/>
    <w:rsid w:val="009B25F9"/>
    <w:rsid w:val="009B2685"/>
    <w:rsid w:val="009B27DA"/>
    <w:rsid w:val="009B28CB"/>
    <w:rsid w:val="009B2E9B"/>
    <w:rsid w:val="009B3051"/>
    <w:rsid w:val="009B3113"/>
    <w:rsid w:val="009B32AD"/>
    <w:rsid w:val="009B336E"/>
    <w:rsid w:val="009B34E6"/>
    <w:rsid w:val="009B39E7"/>
    <w:rsid w:val="009B3A6E"/>
    <w:rsid w:val="009B3B25"/>
    <w:rsid w:val="009B3DD5"/>
    <w:rsid w:val="009B3E9C"/>
    <w:rsid w:val="009B3F40"/>
    <w:rsid w:val="009B40F9"/>
    <w:rsid w:val="009B4165"/>
    <w:rsid w:val="009B43E2"/>
    <w:rsid w:val="009B446E"/>
    <w:rsid w:val="009B4539"/>
    <w:rsid w:val="009B478E"/>
    <w:rsid w:val="009B485A"/>
    <w:rsid w:val="009B496E"/>
    <w:rsid w:val="009B4AF3"/>
    <w:rsid w:val="009B4B3C"/>
    <w:rsid w:val="009B4CA8"/>
    <w:rsid w:val="009B4F75"/>
    <w:rsid w:val="009B50E1"/>
    <w:rsid w:val="009B514D"/>
    <w:rsid w:val="009B54BE"/>
    <w:rsid w:val="009B5601"/>
    <w:rsid w:val="009B5745"/>
    <w:rsid w:val="009B57C1"/>
    <w:rsid w:val="009B57ED"/>
    <w:rsid w:val="009B59B5"/>
    <w:rsid w:val="009B5C1F"/>
    <w:rsid w:val="009B5FB2"/>
    <w:rsid w:val="009B6014"/>
    <w:rsid w:val="009B61D7"/>
    <w:rsid w:val="009B65E8"/>
    <w:rsid w:val="009B6729"/>
    <w:rsid w:val="009B6778"/>
    <w:rsid w:val="009B69E6"/>
    <w:rsid w:val="009B6B29"/>
    <w:rsid w:val="009B6E2A"/>
    <w:rsid w:val="009B6E5B"/>
    <w:rsid w:val="009B71BD"/>
    <w:rsid w:val="009B732C"/>
    <w:rsid w:val="009B74DB"/>
    <w:rsid w:val="009B7733"/>
    <w:rsid w:val="009B7819"/>
    <w:rsid w:val="009B784A"/>
    <w:rsid w:val="009B78D5"/>
    <w:rsid w:val="009B79FA"/>
    <w:rsid w:val="009B7A41"/>
    <w:rsid w:val="009B7E6B"/>
    <w:rsid w:val="009C00D0"/>
    <w:rsid w:val="009C029D"/>
    <w:rsid w:val="009C040A"/>
    <w:rsid w:val="009C0570"/>
    <w:rsid w:val="009C070E"/>
    <w:rsid w:val="009C08D3"/>
    <w:rsid w:val="009C0AF0"/>
    <w:rsid w:val="009C0B92"/>
    <w:rsid w:val="009C0C91"/>
    <w:rsid w:val="009C0D65"/>
    <w:rsid w:val="009C0EDA"/>
    <w:rsid w:val="009C1090"/>
    <w:rsid w:val="009C10C9"/>
    <w:rsid w:val="009C10FE"/>
    <w:rsid w:val="009C1273"/>
    <w:rsid w:val="009C12CB"/>
    <w:rsid w:val="009C1717"/>
    <w:rsid w:val="009C18B2"/>
    <w:rsid w:val="009C19D4"/>
    <w:rsid w:val="009C1AAD"/>
    <w:rsid w:val="009C1B47"/>
    <w:rsid w:val="009C1B5D"/>
    <w:rsid w:val="009C201B"/>
    <w:rsid w:val="009C2146"/>
    <w:rsid w:val="009C22B1"/>
    <w:rsid w:val="009C2453"/>
    <w:rsid w:val="009C256D"/>
    <w:rsid w:val="009C2832"/>
    <w:rsid w:val="009C28AF"/>
    <w:rsid w:val="009C2AAA"/>
    <w:rsid w:val="009C2CCB"/>
    <w:rsid w:val="009C2E2B"/>
    <w:rsid w:val="009C3171"/>
    <w:rsid w:val="009C31BE"/>
    <w:rsid w:val="009C37A4"/>
    <w:rsid w:val="009C3909"/>
    <w:rsid w:val="009C395F"/>
    <w:rsid w:val="009C39A1"/>
    <w:rsid w:val="009C3BEE"/>
    <w:rsid w:val="009C3D54"/>
    <w:rsid w:val="009C4048"/>
    <w:rsid w:val="009C407E"/>
    <w:rsid w:val="009C4161"/>
    <w:rsid w:val="009C4505"/>
    <w:rsid w:val="009C455C"/>
    <w:rsid w:val="009C4589"/>
    <w:rsid w:val="009C4646"/>
    <w:rsid w:val="009C4698"/>
    <w:rsid w:val="009C4748"/>
    <w:rsid w:val="009C4892"/>
    <w:rsid w:val="009C48B5"/>
    <w:rsid w:val="009C48E4"/>
    <w:rsid w:val="009C49A7"/>
    <w:rsid w:val="009C4A39"/>
    <w:rsid w:val="009C4A5F"/>
    <w:rsid w:val="009C4A63"/>
    <w:rsid w:val="009C4B17"/>
    <w:rsid w:val="009C4B1A"/>
    <w:rsid w:val="009C4C58"/>
    <w:rsid w:val="009C4CCF"/>
    <w:rsid w:val="009C4D14"/>
    <w:rsid w:val="009C4D8F"/>
    <w:rsid w:val="009C506F"/>
    <w:rsid w:val="009C51A2"/>
    <w:rsid w:val="009C5226"/>
    <w:rsid w:val="009C523B"/>
    <w:rsid w:val="009C5253"/>
    <w:rsid w:val="009C552E"/>
    <w:rsid w:val="009C572B"/>
    <w:rsid w:val="009C58A3"/>
    <w:rsid w:val="009C594F"/>
    <w:rsid w:val="009C5AAD"/>
    <w:rsid w:val="009C5C44"/>
    <w:rsid w:val="009C5D1F"/>
    <w:rsid w:val="009C5F77"/>
    <w:rsid w:val="009C61D0"/>
    <w:rsid w:val="009C62B5"/>
    <w:rsid w:val="009C63BE"/>
    <w:rsid w:val="009C6426"/>
    <w:rsid w:val="009C6550"/>
    <w:rsid w:val="009C66F2"/>
    <w:rsid w:val="009C67BC"/>
    <w:rsid w:val="009C6976"/>
    <w:rsid w:val="009C6A66"/>
    <w:rsid w:val="009C6C28"/>
    <w:rsid w:val="009C6C6B"/>
    <w:rsid w:val="009C6D0D"/>
    <w:rsid w:val="009C6EA7"/>
    <w:rsid w:val="009C6F10"/>
    <w:rsid w:val="009C7117"/>
    <w:rsid w:val="009C7194"/>
    <w:rsid w:val="009C72A7"/>
    <w:rsid w:val="009C7356"/>
    <w:rsid w:val="009C7413"/>
    <w:rsid w:val="009C7416"/>
    <w:rsid w:val="009C7717"/>
    <w:rsid w:val="009C7761"/>
    <w:rsid w:val="009C77E1"/>
    <w:rsid w:val="009C7928"/>
    <w:rsid w:val="009C79D0"/>
    <w:rsid w:val="009C7DF3"/>
    <w:rsid w:val="009C7FD5"/>
    <w:rsid w:val="009D01AE"/>
    <w:rsid w:val="009D02E4"/>
    <w:rsid w:val="009D0458"/>
    <w:rsid w:val="009D04AC"/>
    <w:rsid w:val="009D0674"/>
    <w:rsid w:val="009D0742"/>
    <w:rsid w:val="009D0B4D"/>
    <w:rsid w:val="009D0D4A"/>
    <w:rsid w:val="009D0E1E"/>
    <w:rsid w:val="009D0E2B"/>
    <w:rsid w:val="009D1080"/>
    <w:rsid w:val="009D10DF"/>
    <w:rsid w:val="009D116F"/>
    <w:rsid w:val="009D118C"/>
    <w:rsid w:val="009D1268"/>
    <w:rsid w:val="009D12CA"/>
    <w:rsid w:val="009D139B"/>
    <w:rsid w:val="009D1409"/>
    <w:rsid w:val="009D148F"/>
    <w:rsid w:val="009D1819"/>
    <w:rsid w:val="009D1AD2"/>
    <w:rsid w:val="009D1AFC"/>
    <w:rsid w:val="009D1C6A"/>
    <w:rsid w:val="009D208E"/>
    <w:rsid w:val="009D22A5"/>
    <w:rsid w:val="009D2476"/>
    <w:rsid w:val="009D268F"/>
    <w:rsid w:val="009D27E5"/>
    <w:rsid w:val="009D2859"/>
    <w:rsid w:val="009D2883"/>
    <w:rsid w:val="009D28A6"/>
    <w:rsid w:val="009D28ED"/>
    <w:rsid w:val="009D2A3D"/>
    <w:rsid w:val="009D2D2D"/>
    <w:rsid w:val="009D2D6B"/>
    <w:rsid w:val="009D2FA7"/>
    <w:rsid w:val="009D315C"/>
    <w:rsid w:val="009D338A"/>
    <w:rsid w:val="009D3478"/>
    <w:rsid w:val="009D34DC"/>
    <w:rsid w:val="009D3547"/>
    <w:rsid w:val="009D3604"/>
    <w:rsid w:val="009D3853"/>
    <w:rsid w:val="009D3A22"/>
    <w:rsid w:val="009D3D70"/>
    <w:rsid w:val="009D3DD6"/>
    <w:rsid w:val="009D3E55"/>
    <w:rsid w:val="009D3EF8"/>
    <w:rsid w:val="009D4110"/>
    <w:rsid w:val="009D4197"/>
    <w:rsid w:val="009D43E6"/>
    <w:rsid w:val="009D458F"/>
    <w:rsid w:val="009D45D6"/>
    <w:rsid w:val="009D490B"/>
    <w:rsid w:val="009D4A2D"/>
    <w:rsid w:val="009D4BEA"/>
    <w:rsid w:val="009D4BF0"/>
    <w:rsid w:val="009D4C51"/>
    <w:rsid w:val="009D4CF8"/>
    <w:rsid w:val="009D4D85"/>
    <w:rsid w:val="009D50A6"/>
    <w:rsid w:val="009D53B1"/>
    <w:rsid w:val="009D543F"/>
    <w:rsid w:val="009D54EA"/>
    <w:rsid w:val="009D565D"/>
    <w:rsid w:val="009D5828"/>
    <w:rsid w:val="009D59F7"/>
    <w:rsid w:val="009D5AE1"/>
    <w:rsid w:val="009D5B38"/>
    <w:rsid w:val="009D5F82"/>
    <w:rsid w:val="009D6170"/>
    <w:rsid w:val="009D64CA"/>
    <w:rsid w:val="009D65B3"/>
    <w:rsid w:val="009D66EE"/>
    <w:rsid w:val="009D6804"/>
    <w:rsid w:val="009D68B2"/>
    <w:rsid w:val="009D6911"/>
    <w:rsid w:val="009D698C"/>
    <w:rsid w:val="009D6ACD"/>
    <w:rsid w:val="009D6C7F"/>
    <w:rsid w:val="009D6D61"/>
    <w:rsid w:val="009D6DC3"/>
    <w:rsid w:val="009D704E"/>
    <w:rsid w:val="009D705F"/>
    <w:rsid w:val="009D70F6"/>
    <w:rsid w:val="009D7985"/>
    <w:rsid w:val="009D79B2"/>
    <w:rsid w:val="009D7B53"/>
    <w:rsid w:val="009E00AF"/>
    <w:rsid w:val="009E01D7"/>
    <w:rsid w:val="009E02A2"/>
    <w:rsid w:val="009E0522"/>
    <w:rsid w:val="009E055C"/>
    <w:rsid w:val="009E05E9"/>
    <w:rsid w:val="009E06B1"/>
    <w:rsid w:val="009E0DCB"/>
    <w:rsid w:val="009E0EC5"/>
    <w:rsid w:val="009E0F52"/>
    <w:rsid w:val="009E0FD0"/>
    <w:rsid w:val="009E1370"/>
    <w:rsid w:val="009E158A"/>
    <w:rsid w:val="009E170F"/>
    <w:rsid w:val="009E194F"/>
    <w:rsid w:val="009E1AAF"/>
    <w:rsid w:val="009E1B76"/>
    <w:rsid w:val="009E1DDB"/>
    <w:rsid w:val="009E2031"/>
    <w:rsid w:val="009E2702"/>
    <w:rsid w:val="009E2781"/>
    <w:rsid w:val="009E27FF"/>
    <w:rsid w:val="009E2AB3"/>
    <w:rsid w:val="009E2AB9"/>
    <w:rsid w:val="009E2ACF"/>
    <w:rsid w:val="009E2AF7"/>
    <w:rsid w:val="009E2B2F"/>
    <w:rsid w:val="009E2B63"/>
    <w:rsid w:val="009E2C83"/>
    <w:rsid w:val="009E2F73"/>
    <w:rsid w:val="009E2FD0"/>
    <w:rsid w:val="009E3444"/>
    <w:rsid w:val="009E3485"/>
    <w:rsid w:val="009E349A"/>
    <w:rsid w:val="009E34AE"/>
    <w:rsid w:val="009E3910"/>
    <w:rsid w:val="009E3C84"/>
    <w:rsid w:val="009E3D6C"/>
    <w:rsid w:val="009E3DD3"/>
    <w:rsid w:val="009E3E26"/>
    <w:rsid w:val="009E3FB5"/>
    <w:rsid w:val="009E4011"/>
    <w:rsid w:val="009E40DD"/>
    <w:rsid w:val="009E420D"/>
    <w:rsid w:val="009E4291"/>
    <w:rsid w:val="009E42C9"/>
    <w:rsid w:val="009E43BC"/>
    <w:rsid w:val="009E443A"/>
    <w:rsid w:val="009E4802"/>
    <w:rsid w:val="009E482C"/>
    <w:rsid w:val="009E4880"/>
    <w:rsid w:val="009E4997"/>
    <w:rsid w:val="009E4A26"/>
    <w:rsid w:val="009E4F08"/>
    <w:rsid w:val="009E5196"/>
    <w:rsid w:val="009E5318"/>
    <w:rsid w:val="009E564E"/>
    <w:rsid w:val="009E56BF"/>
    <w:rsid w:val="009E5A7E"/>
    <w:rsid w:val="009E5BA4"/>
    <w:rsid w:val="009E5CA6"/>
    <w:rsid w:val="009E63B1"/>
    <w:rsid w:val="009E63DA"/>
    <w:rsid w:val="009E66CC"/>
    <w:rsid w:val="009E66E4"/>
    <w:rsid w:val="009E66FE"/>
    <w:rsid w:val="009E69BD"/>
    <w:rsid w:val="009E6A86"/>
    <w:rsid w:val="009E6B30"/>
    <w:rsid w:val="009E6B7C"/>
    <w:rsid w:val="009E6E7A"/>
    <w:rsid w:val="009E6F7E"/>
    <w:rsid w:val="009E7001"/>
    <w:rsid w:val="009E71DE"/>
    <w:rsid w:val="009E72B4"/>
    <w:rsid w:val="009E752E"/>
    <w:rsid w:val="009E7558"/>
    <w:rsid w:val="009E7639"/>
    <w:rsid w:val="009E7A2A"/>
    <w:rsid w:val="009E7A57"/>
    <w:rsid w:val="009E7B12"/>
    <w:rsid w:val="009E7BF8"/>
    <w:rsid w:val="009E7CAD"/>
    <w:rsid w:val="009F01A7"/>
    <w:rsid w:val="009F0224"/>
    <w:rsid w:val="009F040A"/>
    <w:rsid w:val="009F0471"/>
    <w:rsid w:val="009F0735"/>
    <w:rsid w:val="009F078F"/>
    <w:rsid w:val="009F09EE"/>
    <w:rsid w:val="009F0A2C"/>
    <w:rsid w:val="009F0C7A"/>
    <w:rsid w:val="009F0DF7"/>
    <w:rsid w:val="009F0FAC"/>
    <w:rsid w:val="009F1032"/>
    <w:rsid w:val="009F1062"/>
    <w:rsid w:val="009F134D"/>
    <w:rsid w:val="009F138B"/>
    <w:rsid w:val="009F140B"/>
    <w:rsid w:val="009F141B"/>
    <w:rsid w:val="009F161E"/>
    <w:rsid w:val="009F1970"/>
    <w:rsid w:val="009F1E73"/>
    <w:rsid w:val="009F1E99"/>
    <w:rsid w:val="009F2466"/>
    <w:rsid w:val="009F249B"/>
    <w:rsid w:val="009F285E"/>
    <w:rsid w:val="009F28BE"/>
    <w:rsid w:val="009F29D5"/>
    <w:rsid w:val="009F29E4"/>
    <w:rsid w:val="009F2AD5"/>
    <w:rsid w:val="009F2D80"/>
    <w:rsid w:val="009F2DD2"/>
    <w:rsid w:val="009F3032"/>
    <w:rsid w:val="009F31B0"/>
    <w:rsid w:val="009F36F6"/>
    <w:rsid w:val="009F3762"/>
    <w:rsid w:val="009F3837"/>
    <w:rsid w:val="009F387A"/>
    <w:rsid w:val="009F390D"/>
    <w:rsid w:val="009F39B9"/>
    <w:rsid w:val="009F3B56"/>
    <w:rsid w:val="009F3B5A"/>
    <w:rsid w:val="009F3C1D"/>
    <w:rsid w:val="009F3C74"/>
    <w:rsid w:val="009F403D"/>
    <w:rsid w:val="009F415B"/>
    <w:rsid w:val="009F4510"/>
    <w:rsid w:val="009F493A"/>
    <w:rsid w:val="009F4B9D"/>
    <w:rsid w:val="009F4BDF"/>
    <w:rsid w:val="009F4C6B"/>
    <w:rsid w:val="009F4C90"/>
    <w:rsid w:val="009F4CF4"/>
    <w:rsid w:val="009F4D7A"/>
    <w:rsid w:val="009F4F6A"/>
    <w:rsid w:val="009F4FFA"/>
    <w:rsid w:val="009F532B"/>
    <w:rsid w:val="009F548E"/>
    <w:rsid w:val="009F55F2"/>
    <w:rsid w:val="009F57A7"/>
    <w:rsid w:val="009F57C2"/>
    <w:rsid w:val="009F590D"/>
    <w:rsid w:val="009F5B27"/>
    <w:rsid w:val="009F5DE8"/>
    <w:rsid w:val="009F6496"/>
    <w:rsid w:val="009F6BAD"/>
    <w:rsid w:val="009F6CD4"/>
    <w:rsid w:val="009F6CFB"/>
    <w:rsid w:val="009F6DB3"/>
    <w:rsid w:val="009F732F"/>
    <w:rsid w:val="009F7497"/>
    <w:rsid w:val="009F76D5"/>
    <w:rsid w:val="009F7722"/>
    <w:rsid w:val="009F7733"/>
    <w:rsid w:val="009F77E5"/>
    <w:rsid w:val="009F7AAD"/>
    <w:rsid w:val="009F7D62"/>
    <w:rsid w:val="009F7F52"/>
    <w:rsid w:val="009F7FD2"/>
    <w:rsid w:val="00A002A5"/>
    <w:rsid w:val="00A0043E"/>
    <w:rsid w:val="00A0056B"/>
    <w:rsid w:val="00A005F9"/>
    <w:rsid w:val="00A00634"/>
    <w:rsid w:val="00A0082F"/>
    <w:rsid w:val="00A00AF2"/>
    <w:rsid w:val="00A00C09"/>
    <w:rsid w:val="00A00C87"/>
    <w:rsid w:val="00A00D0B"/>
    <w:rsid w:val="00A00D34"/>
    <w:rsid w:val="00A00DED"/>
    <w:rsid w:val="00A00E20"/>
    <w:rsid w:val="00A013BD"/>
    <w:rsid w:val="00A01726"/>
    <w:rsid w:val="00A01864"/>
    <w:rsid w:val="00A01B1B"/>
    <w:rsid w:val="00A01BBE"/>
    <w:rsid w:val="00A01C5D"/>
    <w:rsid w:val="00A01D2C"/>
    <w:rsid w:val="00A01E2F"/>
    <w:rsid w:val="00A01EC4"/>
    <w:rsid w:val="00A02380"/>
    <w:rsid w:val="00A023B9"/>
    <w:rsid w:val="00A02737"/>
    <w:rsid w:val="00A028C9"/>
    <w:rsid w:val="00A02A71"/>
    <w:rsid w:val="00A02E1B"/>
    <w:rsid w:val="00A0304A"/>
    <w:rsid w:val="00A030BB"/>
    <w:rsid w:val="00A03155"/>
    <w:rsid w:val="00A03318"/>
    <w:rsid w:val="00A03696"/>
    <w:rsid w:val="00A037B4"/>
    <w:rsid w:val="00A03823"/>
    <w:rsid w:val="00A03B78"/>
    <w:rsid w:val="00A03CF0"/>
    <w:rsid w:val="00A03DEE"/>
    <w:rsid w:val="00A04084"/>
    <w:rsid w:val="00A040D5"/>
    <w:rsid w:val="00A04361"/>
    <w:rsid w:val="00A045AD"/>
    <w:rsid w:val="00A04666"/>
    <w:rsid w:val="00A046E7"/>
    <w:rsid w:val="00A048A3"/>
    <w:rsid w:val="00A04B48"/>
    <w:rsid w:val="00A04B74"/>
    <w:rsid w:val="00A04C57"/>
    <w:rsid w:val="00A050DD"/>
    <w:rsid w:val="00A05291"/>
    <w:rsid w:val="00A05408"/>
    <w:rsid w:val="00A05428"/>
    <w:rsid w:val="00A05689"/>
    <w:rsid w:val="00A056B3"/>
    <w:rsid w:val="00A0590E"/>
    <w:rsid w:val="00A059F6"/>
    <w:rsid w:val="00A05C62"/>
    <w:rsid w:val="00A05E5C"/>
    <w:rsid w:val="00A063FB"/>
    <w:rsid w:val="00A06459"/>
    <w:rsid w:val="00A06506"/>
    <w:rsid w:val="00A066C6"/>
    <w:rsid w:val="00A067B6"/>
    <w:rsid w:val="00A06CAB"/>
    <w:rsid w:val="00A06CB0"/>
    <w:rsid w:val="00A072A2"/>
    <w:rsid w:val="00A07377"/>
    <w:rsid w:val="00A07573"/>
    <w:rsid w:val="00A076A1"/>
    <w:rsid w:val="00A07906"/>
    <w:rsid w:val="00A07B45"/>
    <w:rsid w:val="00A07D81"/>
    <w:rsid w:val="00A07DA6"/>
    <w:rsid w:val="00A07ECE"/>
    <w:rsid w:val="00A07F1A"/>
    <w:rsid w:val="00A07FDA"/>
    <w:rsid w:val="00A10288"/>
    <w:rsid w:val="00A10398"/>
    <w:rsid w:val="00A103D7"/>
    <w:rsid w:val="00A10419"/>
    <w:rsid w:val="00A10659"/>
    <w:rsid w:val="00A107C2"/>
    <w:rsid w:val="00A1080F"/>
    <w:rsid w:val="00A108F9"/>
    <w:rsid w:val="00A10A6C"/>
    <w:rsid w:val="00A10BF8"/>
    <w:rsid w:val="00A10D61"/>
    <w:rsid w:val="00A10E46"/>
    <w:rsid w:val="00A10EF4"/>
    <w:rsid w:val="00A10F06"/>
    <w:rsid w:val="00A10F90"/>
    <w:rsid w:val="00A1111A"/>
    <w:rsid w:val="00A11204"/>
    <w:rsid w:val="00A11249"/>
    <w:rsid w:val="00A1126C"/>
    <w:rsid w:val="00A11321"/>
    <w:rsid w:val="00A11406"/>
    <w:rsid w:val="00A1143C"/>
    <w:rsid w:val="00A11481"/>
    <w:rsid w:val="00A116E3"/>
    <w:rsid w:val="00A116E4"/>
    <w:rsid w:val="00A11916"/>
    <w:rsid w:val="00A1193E"/>
    <w:rsid w:val="00A11A0B"/>
    <w:rsid w:val="00A11A42"/>
    <w:rsid w:val="00A11A93"/>
    <w:rsid w:val="00A11B02"/>
    <w:rsid w:val="00A11CD6"/>
    <w:rsid w:val="00A11D8C"/>
    <w:rsid w:val="00A120ED"/>
    <w:rsid w:val="00A12192"/>
    <w:rsid w:val="00A12386"/>
    <w:rsid w:val="00A12446"/>
    <w:rsid w:val="00A12533"/>
    <w:rsid w:val="00A126BE"/>
    <w:rsid w:val="00A128A5"/>
    <w:rsid w:val="00A12913"/>
    <w:rsid w:val="00A12989"/>
    <w:rsid w:val="00A12C8E"/>
    <w:rsid w:val="00A13033"/>
    <w:rsid w:val="00A13039"/>
    <w:rsid w:val="00A13149"/>
    <w:rsid w:val="00A1318F"/>
    <w:rsid w:val="00A131EE"/>
    <w:rsid w:val="00A1321F"/>
    <w:rsid w:val="00A1343E"/>
    <w:rsid w:val="00A13490"/>
    <w:rsid w:val="00A137D5"/>
    <w:rsid w:val="00A13B6C"/>
    <w:rsid w:val="00A13D15"/>
    <w:rsid w:val="00A13D36"/>
    <w:rsid w:val="00A13F88"/>
    <w:rsid w:val="00A13FC6"/>
    <w:rsid w:val="00A14081"/>
    <w:rsid w:val="00A140F8"/>
    <w:rsid w:val="00A140FA"/>
    <w:rsid w:val="00A14118"/>
    <w:rsid w:val="00A143D6"/>
    <w:rsid w:val="00A14465"/>
    <w:rsid w:val="00A14488"/>
    <w:rsid w:val="00A146E3"/>
    <w:rsid w:val="00A1479A"/>
    <w:rsid w:val="00A14824"/>
    <w:rsid w:val="00A14E17"/>
    <w:rsid w:val="00A14E48"/>
    <w:rsid w:val="00A14EC7"/>
    <w:rsid w:val="00A1502A"/>
    <w:rsid w:val="00A1506F"/>
    <w:rsid w:val="00A15133"/>
    <w:rsid w:val="00A151BB"/>
    <w:rsid w:val="00A1568D"/>
    <w:rsid w:val="00A1591A"/>
    <w:rsid w:val="00A15AF9"/>
    <w:rsid w:val="00A15B82"/>
    <w:rsid w:val="00A15C54"/>
    <w:rsid w:val="00A15FBA"/>
    <w:rsid w:val="00A16088"/>
    <w:rsid w:val="00A1612E"/>
    <w:rsid w:val="00A161A1"/>
    <w:rsid w:val="00A1626F"/>
    <w:rsid w:val="00A164CD"/>
    <w:rsid w:val="00A16532"/>
    <w:rsid w:val="00A16601"/>
    <w:rsid w:val="00A16918"/>
    <w:rsid w:val="00A16AE8"/>
    <w:rsid w:val="00A16D10"/>
    <w:rsid w:val="00A16E36"/>
    <w:rsid w:val="00A16F91"/>
    <w:rsid w:val="00A170EB"/>
    <w:rsid w:val="00A170FA"/>
    <w:rsid w:val="00A17121"/>
    <w:rsid w:val="00A1756F"/>
    <w:rsid w:val="00A1787E"/>
    <w:rsid w:val="00A179C8"/>
    <w:rsid w:val="00A17BAF"/>
    <w:rsid w:val="00A200A1"/>
    <w:rsid w:val="00A200E1"/>
    <w:rsid w:val="00A2054D"/>
    <w:rsid w:val="00A20810"/>
    <w:rsid w:val="00A2091B"/>
    <w:rsid w:val="00A20B64"/>
    <w:rsid w:val="00A20D31"/>
    <w:rsid w:val="00A20D36"/>
    <w:rsid w:val="00A20D70"/>
    <w:rsid w:val="00A20D7A"/>
    <w:rsid w:val="00A20DAD"/>
    <w:rsid w:val="00A20E61"/>
    <w:rsid w:val="00A20E8C"/>
    <w:rsid w:val="00A2111A"/>
    <w:rsid w:val="00A211FD"/>
    <w:rsid w:val="00A21535"/>
    <w:rsid w:val="00A21557"/>
    <w:rsid w:val="00A2168B"/>
    <w:rsid w:val="00A217CA"/>
    <w:rsid w:val="00A21820"/>
    <w:rsid w:val="00A21822"/>
    <w:rsid w:val="00A218D8"/>
    <w:rsid w:val="00A21991"/>
    <w:rsid w:val="00A21AC0"/>
    <w:rsid w:val="00A21ADA"/>
    <w:rsid w:val="00A21AFE"/>
    <w:rsid w:val="00A21B66"/>
    <w:rsid w:val="00A21C96"/>
    <w:rsid w:val="00A21CD7"/>
    <w:rsid w:val="00A21DC8"/>
    <w:rsid w:val="00A21FA1"/>
    <w:rsid w:val="00A2210E"/>
    <w:rsid w:val="00A22112"/>
    <w:rsid w:val="00A2212B"/>
    <w:rsid w:val="00A22195"/>
    <w:rsid w:val="00A223D0"/>
    <w:rsid w:val="00A225C0"/>
    <w:rsid w:val="00A228D3"/>
    <w:rsid w:val="00A22930"/>
    <w:rsid w:val="00A2297A"/>
    <w:rsid w:val="00A229E1"/>
    <w:rsid w:val="00A22A26"/>
    <w:rsid w:val="00A22A78"/>
    <w:rsid w:val="00A231FD"/>
    <w:rsid w:val="00A2352B"/>
    <w:rsid w:val="00A23815"/>
    <w:rsid w:val="00A23AA2"/>
    <w:rsid w:val="00A23D83"/>
    <w:rsid w:val="00A24252"/>
    <w:rsid w:val="00A24388"/>
    <w:rsid w:val="00A2453E"/>
    <w:rsid w:val="00A24569"/>
    <w:rsid w:val="00A24628"/>
    <w:rsid w:val="00A2484A"/>
    <w:rsid w:val="00A2484E"/>
    <w:rsid w:val="00A24961"/>
    <w:rsid w:val="00A2497D"/>
    <w:rsid w:val="00A249C2"/>
    <w:rsid w:val="00A24B10"/>
    <w:rsid w:val="00A24B3C"/>
    <w:rsid w:val="00A24B86"/>
    <w:rsid w:val="00A24BC1"/>
    <w:rsid w:val="00A24C44"/>
    <w:rsid w:val="00A24D90"/>
    <w:rsid w:val="00A24EC7"/>
    <w:rsid w:val="00A24FEE"/>
    <w:rsid w:val="00A25183"/>
    <w:rsid w:val="00A2534D"/>
    <w:rsid w:val="00A253A5"/>
    <w:rsid w:val="00A25551"/>
    <w:rsid w:val="00A25698"/>
    <w:rsid w:val="00A2578F"/>
    <w:rsid w:val="00A259D4"/>
    <w:rsid w:val="00A2605C"/>
    <w:rsid w:val="00A260EA"/>
    <w:rsid w:val="00A2654E"/>
    <w:rsid w:val="00A2680F"/>
    <w:rsid w:val="00A26A8C"/>
    <w:rsid w:val="00A26A8E"/>
    <w:rsid w:val="00A26B40"/>
    <w:rsid w:val="00A26B99"/>
    <w:rsid w:val="00A26BC5"/>
    <w:rsid w:val="00A26C27"/>
    <w:rsid w:val="00A26EA0"/>
    <w:rsid w:val="00A26F10"/>
    <w:rsid w:val="00A26F70"/>
    <w:rsid w:val="00A272EF"/>
    <w:rsid w:val="00A275C0"/>
    <w:rsid w:val="00A276D2"/>
    <w:rsid w:val="00A2771A"/>
    <w:rsid w:val="00A27AF4"/>
    <w:rsid w:val="00A27B06"/>
    <w:rsid w:val="00A27B08"/>
    <w:rsid w:val="00A27C91"/>
    <w:rsid w:val="00A27E32"/>
    <w:rsid w:val="00A27FCE"/>
    <w:rsid w:val="00A3015C"/>
    <w:rsid w:val="00A30178"/>
    <w:rsid w:val="00A30265"/>
    <w:rsid w:val="00A30394"/>
    <w:rsid w:val="00A303C6"/>
    <w:rsid w:val="00A30587"/>
    <w:rsid w:val="00A30608"/>
    <w:rsid w:val="00A309E4"/>
    <w:rsid w:val="00A30D5A"/>
    <w:rsid w:val="00A30E9B"/>
    <w:rsid w:val="00A310B6"/>
    <w:rsid w:val="00A3135A"/>
    <w:rsid w:val="00A31369"/>
    <w:rsid w:val="00A313CF"/>
    <w:rsid w:val="00A318A8"/>
    <w:rsid w:val="00A31B49"/>
    <w:rsid w:val="00A31B66"/>
    <w:rsid w:val="00A31B93"/>
    <w:rsid w:val="00A31D0E"/>
    <w:rsid w:val="00A31E97"/>
    <w:rsid w:val="00A31FAA"/>
    <w:rsid w:val="00A32285"/>
    <w:rsid w:val="00A322A1"/>
    <w:rsid w:val="00A322F7"/>
    <w:rsid w:val="00A32435"/>
    <w:rsid w:val="00A32560"/>
    <w:rsid w:val="00A32625"/>
    <w:rsid w:val="00A32780"/>
    <w:rsid w:val="00A32957"/>
    <w:rsid w:val="00A32AF1"/>
    <w:rsid w:val="00A32B2F"/>
    <w:rsid w:val="00A32D56"/>
    <w:rsid w:val="00A32ECA"/>
    <w:rsid w:val="00A32FAC"/>
    <w:rsid w:val="00A32FAF"/>
    <w:rsid w:val="00A3305D"/>
    <w:rsid w:val="00A330CD"/>
    <w:rsid w:val="00A332B2"/>
    <w:rsid w:val="00A3345E"/>
    <w:rsid w:val="00A33816"/>
    <w:rsid w:val="00A33980"/>
    <w:rsid w:val="00A33BEE"/>
    <w:rsid w:val="00A33C2C"/>
    <w:rsid w:val="00A33C6A"/>
    <w:rsid w:val="00A33C9C"/>
    <w:rsid w:val="00A33E8B"/>
    <w:rsid w:val="00A341EF"/>
    <w:rsid w:val="00A34383"/>
    <w:rsid w:val="00A343C9"/>
    <w:rsid w:val="00A3448C"/>
    <w:rsid w:val="00A3451B"/>
    <w:rsid w:val="00A34601"/>
    <w:rsid w:val="00A3474E"/>
    <w:rsid w:val="00A34792"/>
    <w:rsid w:val="00A347E2"/>
    <w:rsid w:val="00A34A94"/>
    <w:rsid w:val="00A34AC8"/>
    <w:rsid w:val="00A350EA"/>
    <w:rsid w:val="00A3515D"/>
    <w:rsid w:val="00A352D0"/>
    <w:rsid w:val="00A3557F"/>
    <w:rsid w:val="00A35689"/>
    <w:rsid w:val="00A35762"/>
    <w:rsid w:val="00A357A1"/>
    <w:rsid w:val="00A35945"/>
    <w:rsid w:val="00A3598E"/>
    <w:rsid w:val="00A35B66"/>
    <w:rsid w:val="00A35CF2"/>
    <w:rsid w:val="00A35D5A"/>
    <w:rsid w:val="00A35EA5"/>
    <w:rsid w:val="00A35EA6"/>
    <w:rsid w:val="00A35F19"/>
    <w:rsid w:val="00A35FEA"/>
    <w:rsid w:val="00A36012"/>
    <w:rsid w:val="00A360D3"/>
    <w:rsid w:val="00A36333"/>
    <w:rsid w:val="00A364A9"/>
    <w:rsid w:val="00A36559"/>
    <w:rsid w:val="00A36598"/>
    <w:rsid w:val="00A366F9"/>
    <w:rsid w:val="00A3676B"/>
    <w:rsid w:val="00A368AE"/>
    <w:rsid w:val="00A3694E"/>
    <w:rsid w:val="00A36988"/>
    <w:rsid w:val="00A369FB"/>
    <w:rsid w:val="00A36B22"/>
    <w:rsid w:val="00A36CF3"/>
    <w:rsid w:val="00A36D39"/>
    <w:rsid w:val="00A36E82"/>
    <w:rsid w:val="00A3700E"/>
    <w:rsid w:val="00A37268"/>
    <w:rsid w:val="00A37354"/>
    <w:rsid w:val="00A374A3"/>
    <w:rsid w:val="00A374FA"/>
    <w:rsid w:val="00A3761D"/>
    <w:rsid w:val="00A376DF"/>
    <w:rsid w:val="00A37725"/>
    <w:rsid w:val="00A37761"/>
    <w:rsid w:val="00A37935"/>
    <w:rsid w:val="00A37BA3"/>
    <w:rsid w:val="00A37BC0"/>
    <w:rsid w:val="00A37D48"/>
    <w:rsid w:val="00A37D7D"/>
    <w:rsid w:val="00A37E74"/>
    <w:rsid w:val="00A37EE1"/>
    <w:rsid w:val="00A37F30"/>
    <w:rsid w:val="00A37FA6"/>
    <w:rsid w:val="00A401DD"/>
    <w:rsid w:val="00A404A7"/>
    <w:rsid w:val="00A4075E"/>
    <w:rsid w:val="00A40921"/>
    <w:rsid w:val="00A40AC4"/>
    <w:rsid w:val="00A40BD8"/>
    <w:rsid w:val="00A40BEE"/>
    <w:rsid w:val="00A40D1A"/>
    <w:rsid w:val="00A40E34"/>
    <w:rsid w:val="00A40EAA"/>
    <w:rsid w:val="00A41396"/>
    <w:rsid w:val="00A41512"/>
    <w:rsid w:val="00A41532"/>
    <w:rsid w:val="00A4155A"/>
    <w:rsid w:val="00A41634"/>
    <w:rsid w:val="00A4190E"/>
    <w:rsid w:val="00A41A31"/>
    <w:rsid w:val="00A41D20"/>
    <w:rsid w:val="00A41F0D"/>
    <w:rsid w:val="00A422A3"/>
    <w:rsid w:val="00A422B4"/>
    <w:rsid w:val="00A4264A"/>
    <w:rsid w:val="00A42881"/>
    <w:rsid w:val="00A42899"/>
    <w:rsid w:val="00A428F8"/>
    <w:rsid w:val="00A42C06"/>
    <w:rsid w:val="00A42C36"/>
    <w:rsid w:val="00A42D79"/>
    <w:rsid w:val="00A42DEA"/>
    <w:rsid w:val="00A42EA1"/>
    <w:rsid w:val="00A42F59"/>
    <w:rsid w:val="00A42FD4"/>
    <w:rsid w:val="00A43031"/>
    <w:rsid w:val="00A434D6"/>
    <w:rsid w:val="00A43666"/>
    <w:rsid w:val="00A43706"/>
    <w:rsid w:val="00A438FD"/>
    <w:rsid w:val="00A43A1B"/>
    <w:rsid w:val="00A43A92"/>
    <w:rsid w:val="00A43D6E"/>
    <w:rsid w:val="00A43DF4"/>
    <w:rsid w:val="00A43EC3"/>
    <w:rsid w:val="00A43EC7"/>
    <w:rsid w:val="00A43F10"/>
    <w:rsid w:val="00A43F61"/>
    <w:rsid w:val="00A44117"/>
    <w:rsid w:val="00A44155"/>
    <w:rsid w:val="00A443AB"/>
    <w:rsid w:val="00A44652"/>
    <w:rsid w:val="00A4465F"/>
    <w:rsid w:val="00A4466D"/>
    <w:rsid w:val="00A44951"/>
    <w:rsid w:val="00A449C8"/>
    <w:rsid w:val="00A44BE1"/>
    <w:rsid w:val="00A44BF9"/>
    <w:rsid w:val="00A44DBE"/>
    <w:rsid w:val="00A44DC2"/>
    <w:rsid w:val="00A44E8D"/>
    <w:rsid w:val="00A44ED1"/>
    <w:rsid w:val="00A44F93"/>
    <w:rsid w:val="00A450EB"/>
    <w:rsid w:val="00A4512D"/>
    <w:rsid w:val="00A45519"/>
    <w:rsid w:val="00A455D1"/>
    <w:rsid w:val="00A456D9"/>
    <w:rsid w:val="00A45ABA"/>
    <w:rsid w:val="00A45C5C"/>
    <w:rsid w:val="00A45CAE"/>
    <w:rsid w:val="00A45DBD"/>
    <w:rsid w:val="00A45FC3"/>
    <w:rsid w:val="00A4602F"/>
    <w:rsid w:val="00A46454"/>
    <w:rsid w:val="00A46596"/>
    <w:rsid w:val="00A46639"/>
    <w:rsid w:val="00A466EC"/>
    <w:rsid w:val="00A469B0"/>
    <w:rsid w:val="00A46AE5"/>
    <w:rsid w:val="00A46D14"/>
    <w:rsid w:val="00A46D36"/>
    <w:rsid w:val="00A46F6E"/>
    <w:rsid w:val="00A47017"/>
    <w:rsid w:val="00A4706D"/>
    <w:rsid w:val="00A471F3"/>
    <w:rsid w:val="00A4735A"/>
    <w:rsid w:val="00A4772F"/>
    <w:rsid w:val="00A47B43"/>
    <w:rsid w:val="00A47B96"/>
    <w:rsid w:val="00A47BD5"/>
    <w:rsid w:val="00A47BD7"/>
    <w:rsid w:val="00A47C3F"/>
    <w:rsid w:val="00A47C7F"/>
    <w:rsid w:val="00A47D3F"/>
    <w:rsid w:val="00A47E8E"/>
    <w:rsid w:val="00A47E9B"/>
    <w:rsid w:val="00A500BF"/>
    <w:rsid w:val="00A5010F"/>
    <w:rsid w:val="00A501DB"/>
    <w:rsid w:val="00A5023C"/>
    <w:rsid w:val="00A50244"/>
    <w:rsid w:val="00A50321"/>
    <w:rsid w:val="00A50373"/>
    <w:rsid w:val="00A50442"/>
    <w:rsid w:val="00A50655"/>
    <w:rsid w:val="00A50669"/>
    <w:rsid w:val="00A50902"/>
    <w:rsid w:val="00A50B8E"/>
    <w:rsid w:val="00A50C88"/>
    <w:rsid w:val="00A51105"/>
    <w:rsid w:val="00A51250"/>
    <w:rsid w:val="00A512E0"/>
    <w:rsid w:val="00A512E6"/>
    <w:rsid w:val="00A513A3"/>
    <w:rsid w:val="00A51490"/>
    <w:rsid w:val="00A514E3"/>
    <w:rsid w:val="00A5150C"/>
    <w:rsid w:val="00A5164A"/>
    <w:rsid w:val="00A51914"/>
    <w:rsid w:val="00A519C1"/>
    <w:rsid w:val="00A51E6F"/>
    <w:rsid w:val="00A51F24"/>
    <w:rsid w:val="00A51F27"/>
    <w:rsid w:val="00A51F72"/>
    <w:rsid w:val="00A5224A"/>
    <w:rsid w:val="00A5249E"/>
    <w:rsid w:val="00A52521"/>
    <w:rsid w:val="00A52583"/>
    <w:rsid w:val="00A5263D"/>
    <w:rsid w:val="00A529E9"/>
    <w:rsid w:val="00A52A44"/>
    <w:rsid w:val="00A52D92"/>
    <w:rsid w:val="00A53948"/>
    <w:rsid w:val="00A53A68"/>
    <w:rsid w:val="00A53F86"/>
    <w:rsid w:val="00A54128"/>
    <w:rsid w:val="00A54495"/>
    <w:rsid w:val="00A54562"/>
    <w:rsid w:val="00A546B1"/>
    <w:rsid w:val="00A54A03"/>
    <w:rsid w:val="00A54D3D"/>
    <w:rsid w:val="00A54DF3"/>
    <w:rsid w:val="00A550DA"/>
    <w:rsid w:val="00A551AE"/>
    <w:rsid w:val="00A5522E"/>
    <w:rsid w:val="00A55297"/>
    <w:rsid w:val="00A55317"/>
    <w:rsid w:val="00A5536E"/>
    <w:rsid w:val="00A5540C"/>
    <w:rsid w:val="00A554AA"/>
    <w:rsid w:val="00A55553"/>
    <w:rsid w:val="00A555F4"/>
    <w:rsid w:val="00A558EA"/>
    <w:rsid w:val="00A55C17"/>
    <w:rsid w:val="00A55D5F"/>
    <w:rsid w:val="00A55F06"/>
    <w:rsid w:val="00A55F09"/>
    <w:rsid w:val="00A55FD4"/>
    <w:rsid w:val="00A56061"/>
    <w:rsid w:val="00A56087"/>
    <w:rsid w:val="00A56277"/>
    <w:rsid w:val="00A5633C"/>
    <w:rsid w:val="00A5648F"/>
    <w:rsid w:val="00A56780"/>
    <w:rsid w:val="00A567A5"/>
    <w:rsid w:val="00A5695A"/>
    <w:rsid w:val="00A5697F"/>
    <w:rsid w:val="00A56ABD"/>
    <w:rsid w:val="00A56CAD"/>
    <w:rsid w:val="00A56D83"/>
    <w:rsid w:val="00A56F17"/>
    <w:rsid w:val="00A5711A"/>
    <w:rsid w:val="00A571AE"/>
    <w:rsid w:val="00A57318"/>
    <w:rsid w:val="00A5734F"/>
    <w:rsid w:val="00A573DE"/>
    <w:rsid w:val="00A574CE"/>
    <w:rsid w:val="00A5766F"/>
    <w:rsid w:val="00A576CB"/>
    <w:rsid w:val="00A578B1"/>
    <w:rsid w:val="00A57A4E"/>
    <w:rsid w:val="00A57CF0"/>
    <w:rsid w:val="00A57D4B"/>
    <w:rsid w:val="00A57F85"/>
    <w:rsid w:val="00A60253"/>
    <w:rsid w:val="00A60378"/>
    <w:rsid w:val="00A60690"/>
    <w:rsid w:val="00A60887"/>
    <w:rsid w:val="00A60932"/>
    <w:rsid w:val="00A60A65"/>
    <w:rsid w:val="00A60D84"/>
    <w:rsid w:val="00A60DAC"/>
    <w:rsid w:val="00A60F49"/>
    <w:rsid w:val="00A61291"/>
    <w:rsid w:val="00A612DA"/>
    <w:rsid w:val="00A61426"/>
    <w:rsid w:val="00A61744"/>
    <w:rsid w:val="00A6179A"/>
    <w:rsid w:val="00A617A9"/>
    <w:rsid w:val="00A61845"/>
    <w:rsid w:val="00A618AF"/>
    <w:rsid w:val="00A618F0"/>
    <w:rsid w:val="00A61915"/>
    <w:rsid w:val="00A61A45"/>
    <w:rsid w:val="00A61AE7"/>
    <w:rsid w:val="00A61D02"/>
    <w:rsid w:val="00A61DF2"/>
    <w:rsid w:val="00A61E02"/>
    <w:rsid w:val="00A6200C"/>
    <w:rsid w:val="00A624FB"/>
    <w:rsid w:val="00A627D7"/>
    <w:rsid w:val="00A628E6"/>
    <w:rsid w:val="00A629A2"/>
    <w:rsid w:val="00A629EB"/>
    <w:rsid w:val="00A62A2C"/>
    <w:rsid w:val="00A62B5C"/>
    <w:rsid w:val="00A62BD6"/>
    <w:rsid w:val="00A62BFB"/>
    <w:rsid w:val="00A62CAA"/>
    <w:rsid w:val="00A63150"/>
    <w:rsid w:val="00A63726"/>
    <w:rsid w:val="00A638D2"/>
    <w:rsid w:val="00A63A7A"/>
    <w:rsid w:val="00A63AC4"/>
    <w:rsid w:val="00A63E25"/>
    <w:rsid w:val="00A63E44"/>
    <w:rsid w:val="00A63EF9"/>
    <w:rsid w:val="00A640BC"/>
    <w:rsid w:val="00A642A1"/>
    <w:rsid w:val="00A644D2"/>
    <w:rsid w:val="00A64570"/>
    <w:rsid w:val="00A645A3"/>
    <w:rsid w:val="00A6487F"/>
    <w:rsid w:val="00A64A1C"/>
    <w:rsid w:val="00A64AFE"/>
    <w:rsid w:val="00A64E96"/>
    <w:rsid w:val="00A64EFD"/>
    <w:rsid w:val="00A64FDC"/>
    <w:rsid w:val="00A64FF1"/>
    <w:rsid w:val="00A654A7"/>
    <w:rsid w:val="00A65596"/>
    <w:rsid w:val="00A656C7"/>
    <w:rsid w:val="00A657FE"/>
    <w:rsid w:val="00A6583C"/>
    <w:rsid w:val="00A658F3"/>
    <w:rsid w:val="00A65A07"/>
    <w:rsid w:val="00A65BBA"/>
    <w:rsid w:val="00A65BCA"/>
    <w:rsid w:val="00A65C09"/>
    <w:rsid w:val="00A65C71"/>
    <w:rsid w:val="00A65D64"/>
    <w:rsid w:val="00A65D75"/>
    <w:rsid w:val="00A65E47"/>
    <w:rsid w:val="00A65FC0"/>
    <w:rsid w:val="00A65FED"/>
    <w:rsid w:val="00A6612B"/>
    <w:rsid w:val="00A66229"/>
    <w:rsid w:val="00A66323"/>
    <w:rsid w:val="00A663CC"/>
    <w:rsid w:val="00A6641B"/>
    <w:rsid w:val="00A66421"/>
    <w:rsid w:val="00A66591"/>
    <w:rsid w:val="00A6675C"/>
    <w:rsid w:val="00A66762"/>
    <w:rsid w:val="00A667D2"/>
    <w:rsid w:val="00A66822"/>
    <w:rsid w:val="00A6689D"/>
    <w:rsid w:val="00A668D7"/>
    <w:rsid w:val="00A668F1"/>
    <w:rsid w:val="00A66A4D"/>
    <w:rsid w:val="00A66D8A"/>
    <w:rsid w:val="00A66DB9"/>
    <w:rsid w:val="00A66DDE"/>
    <w:rsid w:val="00A66F30"/>
    <w:rsid w:val="00A67048"/>
    <w:rsid w:val="00A670EB"/>
    <w:rsid w:val="00A6727C"/>
    <w:rsid w:val="00A67281"/>
    <w:rsid w:val="00A672D0"/>
    <w:rsid w:val="00A6744A"/>
    <w:rsid w:val="00A6746E"/>
    <w:rsid w:val="00A6775E"/>
    <w:rsid w:val="00A67C03"/>
    <w:rsid w:val="00A67FAC"/>
    <w:rsid w:val="00A67FB7"/>
    <w:rsid w:val="00A70067"/>
    <w:rsid w:val="00A700E7"/>
    <w:rsid w:val="00A70158"/>
    <w:rsid w:val="00A705AF"/>
    <w:rsid w:val="00A706C3"/>
    <w:rsid w:val="00A7083A"/>
    <w:rsid w:val="00A70A64"/>
    <w:rsid w:val="00A70A85"/>
    <w:rsid w:val="00A70A99"/>
    <w:rsid w:val="00A70B76"/>
    <w:rsid w:val="00A70E25"/>
    <w:rsid w:val="00A70E98"/>
    <w:rsid w:val="00A70FC9"/>
    <w:rsid w:val="00A7108C"/>
    <w:rsid w:val="00A710BB"/>
    <w:rsid w:val="00A71114"/>
    <w:rsid w:val="00A71178"/>
    <w:rsid w:val="00A71201"/>
    <w:rsid w:val="00A714E1"/>
    <w:rsid w:val="00A715AC"/>
    <w:rsid w:val="00A71830"/>
    <w:rsid w:val="00A7190A"/>
    <w:rsid w:val="00A719D4"/>
    <w:rsid w:val="00A719E1"/>
    <w:rsid w:val="00A71BAD"/>
    <w:rsid w:val="00A71BE0"/>
    <w:rsid w:val="00A71C38"/>
    <w:rsid w:val="00A71CE4"/>
    <w:rsid w:val="00A71CF4"/>
    <w:rsid w:val="00A71D32"/>
    <w:rsid w:val="00A71D4B"/>
    <w:rsid w:val="00A71ECE"/>
    <w:rsid w:val="00A71F21"/>
    <w:rsid w:val="00A72143"/>
    <w:rsid w:val="00A7216D"/>
    <w:rsid w:val="00A7230F"/>
    <w:rsid w:val="00A72454"/>
    <w:rsid w:val="00A724AF"/>
    <w:rsid w:val="00A724BB"/>
    <w:rsid w:val="00A724DF"/>
    <w:rsid w:val="00A726BC"/>
    <w:rsid w:val="00A72BA8"/>
    <w:rsid w:val="00A72C2F"/>
    <w:rsid w:val="00A72F5F"/>
    <w:rsid w:val="00A72F90"/>
    <w:rsid w:val="00A730B9"/>
    <w:rsid w:val="00A73224"/>
    <w:rsid w:val="00A73251"/>
    <w:rsid w:val="00A734C1"/>
    <w:rsid w:val="00A734FA"/>
    <w:rsid w:val="00A7383B"/>
    <w:rsid w:val="00A739F1"/>
    <w:rsid w:val="00A73B81"/>
    <w:rsid w:val="00A73BE0"/>
    <w:rsid w:val="00A73D2D"/>
    <w:rsid w:val="00A74345"/>
    <w:rsid w:val="00A74367"/>
    <w:rsid w:val="00A7439E"/>
    <w:rsid w:val="00A747A6"/>
    <w:rsid w:val="00A747E4"/>
    <w:rsid w:val="00A74907"/>
    <w:rsid w:val="00A749A4"/>
    <w:rsid w:val="00A74AC5"/>
    <w:rsid w:val="00A74BB0"/>
    <w:rsid w:val="00A74C92"/>
    <w:rsid w:val="00A74DF5"/>
    <w:rsid w:val="00A7511C"/>
    <w:rsid w:val="00A75121"/>
    <w:rsid w:val="00A75572"/>
    <w:rsid w:val="00A75634"/>
    <w:rsid w:val="00A757E7"/>
    <w:rsid w:val="00A75A2B"/>
    <w:rsid w:val="00A75CF1"/>
    <w:rsid w:val="00A75E3C"/>
    <w:rsid w:val="00A75EC6"/>
    <w:rsid w:val="00A75F36"/>
    <w:rsid w:val="00A76001"/>
    <w:rsid w:val="00A762AD"/>
    <w:rsid w:val="00A76417"/>
    <w:rsid w:val="00A764AB"/>
    <w:rsid w:val="00A765BF"/>
    <w:rsid w:val="00A76616"/>
    <w:rsid w:val="00A76721"/>
    <w:rsid w:val="00A76874"/>
    <w:rsid w:val="00A76938"/>
    <w:rsid w:val="00A76AB5"/>
    <w:rsid w:val="00A76B46"/>
    <w:rsid w:val="00A76B8B"/>
    <w:rsid w:val="00A76BA9"/>
    <w:rsid w:val="00A76DC5"/>
    <w:rsid w:val="00A76EA6"/>
    <w:rsid w:val="00A77071"/>
    <w:rsid w:val="00A77084"/>
    <w:rsid w:val="00A770E4"/>
    <w:rsid w:val="00A77270"/>
    <w:rsid w:val="00A773A7"/>
    <w:rsid w:val="00A77430"/>
    <w:rsid w:val="00A774B5"/>
    <w:rsid w:val="00A77696"/>
    <w:rsid w:val="00A777B8"/>
    <w:rsid w:val="00A778CA"/>
    <w:rsid w:val="00A778DE"/>
    <w:rsid w:val="00A7794F"/>
    <w:rsid w:val="00A779A1"/>
    <w:rsid w:val="00A77D29"/>
    <w:rsid w:val="00A77DC5"/>
    <w:rsid w:val="00A801FB"/>
    <w:rsid w:val="00A80248"/>
    <w:rsid w:val="00A80557"/>
    <w:rsid w:val="00A80604"/>
    <w:rsid w:val="00A806D9"/>
    <w:rsid w:val="00A806E1"/>
    <w:rsid w:val="00A807B0"/>
    <w:rsid w:val="00A80878"/>
    <w:rsid w:val="00A80910"/>
    <w:rsid w:val="00A80950"/>
    <w:rsid w:val="00A80C6B"/>
    <w:rsid w:val="00A80D44"/>
    <w:rsid w:val="00A80EF7"/>
    <w:rsid w:val="00A8116F"/>
    <w:rsid w:val="00A811E6"/>
    <w:rsid w:val="00A812EB"/>
    <w:rsid w:val="00A8136C"/>
    <w:rsid w:val="00A813EC"/>
    <w:rsid w:val="00A8144F"/>
    <w:rsid w:val="00A81488"/>
    <w:rsid w:val="00A814D4"/>
    <w:rsid w:val="00A81780"/>
    <w:rsid w:val="00A81795"/>
    <w:rsid w:val="00A8187F"/>
    <w:rsid w:val="00A81D0F"/>
    <w:rsid w:val="00A81D25"/>
    <w:rsid w:val="00A81D33"/>
    <w:rsid w:val="00A81FC5"/>
    <w:rsid w:val="00A82224"/>
    <w:rsid w:val="00A8230F"/>
    <w:rsid w:val="00A82581"/>
    <w:rsid w:val="00A825D8"/>
    <w:rsid w:val="00A825F6"/>
    <w:rsid w:val="00A8268B"/>
    <w:rsid w:val="00A82755"/>
    <w:rsid w:val="00A827AD"/>
    <w:rsid w:val="00A82A83"/>
    <w:rsid w:val="00A83011"/>
    <w:rsid w:val="00A83071"/>
    <w:rsid w:val="00A8309E"/>
    <w:rsid w:val="00A832E9"/>
    <w:rsid w:val="00A8333F"/>
    <w:rsid w:val="00A83512"/>
    <w:rsid w:val="00A83515"/>
    <w:rsid w:val="00A8373F"/>
    <w:rsid w:val="00A83768"/>
    <w:rsid w:val="00A83CBF"/>
    <w:rsid w:val="00A83D5A"/>
    <w:rsid w:val="00A83E9C"/>
    <w:rsid w:val="00A83FD1"/>
    <w:rsid w:val="00A84010"/>
    <w:rsid w:val="00A84204"/>
    <w:rsid w:val="00A843FA"/>
    <w:rsid w:val="00A84430"/>
    <w:rsid w:val="00A84469"/>
    <w:rsid w:val="00A844AC"/>
    <w:rsid w:val="00A8452B"/>
    <w:rsid w:val="00A84549"/>
    <w:rsid w:val="00A8462A"/>
    <w:rsid w:val="00A8472B"/>
    <w:rsid w:val="00A84980"/>
    <w:rsid w:val="00A84C28"/>
    <w:rsid w:val="00A84C57"/>
    <w:rsid w:val="00A84CB3"/>
    <w:rsid w:val="00A84E22"/>
    <w:rsid w:val="00A84F50"/>
    <w:rsid w:val="00A84FCB"/>
    <w:rsid w:val="00A84FD7"/>
    <w:rsid w:val="00A8507D"/>
    <w:rsid w:val="00A850D9"/>
    <w:rsid w:val="00A851DB"/>
    <w:rsid w:val="00A85540"/>
    <w:rsid w:val="00A8554E"/>
    <w:rsid w:val="00A856B6"/>
    <w:rsid w:val="00A856D8"/>
    <w:rsid w:val="00A85786"/>
    <w:rsid w:val="00A8599B"/>
    <w:rsid w:val="00A85A79"/>
    <w:rsid w:val="00A85B60"/>
    <w:rsid w:val="00A85B68"/>
    <w:rsid w:val="00A85B88"/>
    <w:rsid w:val="00A85B8B"/>
    <w:rsid w:val="00A85CB4"/>
    <w:rsid w:val="00A85D46"/>
    <w:rsid w:val="00A85DBF"/>
    <w:rsid w:val="00A8623D"/>
    <w:rsid w:val="00A86272"/>
    <w:rsid w:val="00A86300"/>
    <w:rsid w:val="00A86309"/>
    <w:rsid w:val="00A86528"/>
    <w:rsid w:val="00A8678D"/>
    <w:rsid w:val="00A868A2"/>
    <w:rsid w:val="00A86A84"/>
    <w:rsid w:val="00A86C5E"/>
    <w:rsid w:val="00A86CA7"/>
    <w:rsid w:val="00A86CED"/>
    <w:rsid w:val="00A86D0E"/>
    <w:rsid w:val="00A86E33"/>
    <w:rsid w:val="00A86F65"/>
    <w:rsid w:val="00A86FEF"/>
    <w:rsid w:val="00A874B1"/>
    <w:rsid w:val="00A87969"/>
    <w:rsid w:val="00A87B0E"/>
    <w:rsid w:val="00A87CB5"/>
    <w:rsid w:val="00A87DEA"/>
    <w:rsid w:val="00A901D4"/>
    <w:rsid w:val="00A9044D"/>
    <w:rsid w:val="00A907DB"/>
    <w:rsid w:val="00A9082E"/>
    <w:rsid w:val="00A909AE"/>
    <w:rsid w:val="00A909B7"/>
    <w:rsid w:val="00A90C45"/>
    <w:rsid w:val="00A90EEB"/>
    <w:rsid w:val="00A90F10"/>
    <w:rsid w:val="00A910DD"/>
    <w:rsid w:val="00A91434"/>
    <w:rsid w:val="00A914E5"/>
    <w:rsid w:val="00A91551"/>
    <w:rsid w:val="00A915E5"/>
    <w:rsid w:val="00A9190F"/>
    <w:rsid w:val="00A9197A"/>
    <w:rsid w:val="00A91B99"/>
    <w:rsid w:val="00A91D88"/>
    <w:rsid w:val="00A91EFD"/>
    <w:rsid w:val="00A92057"/>
    <w:rsid w:val="00A92068"/>
    <w:rsid w:val="00A9206B"/>
    <w:rsid w:val="00A923E9"/>
    <w:rsid w:val="00A9242A"/>
    <w:rsid w:val="00A92432"/>
    <w:rsid w:val="00A92658"/>
    <w:rsid w:val="00A927DF"/>
    <w:rsid w:val="00A9281E"/>
    <w:rsid w:val="00A92878"/>
    <w:rsid w:val="00A92B8E"/>
    <w:rsid w:val="00A92C80"/>
    <w:rsid w:val="00A92D5A"/>
    <w:rsid w:val="00A92DF1"/>
    <w:rsid w:val="00A92FF2"/>
    <w:rsid w:val="00A930AE"/>
    <w:rsid w:val="00A930BE"/>
    <w:rsid w:val="00A935EF"/>
    <w:rsid w:val="00A9383C"/>
    <w:rsid w:val="00A938C6"/>
    <w:rsid w:val="00A93B69"/>
    <w:rsid w:val="00A93CF1"/>
    <w:rsid w:val="00A93ED5"/>
    <w:rsid w:val="00A94111"/>
    <w:rsid w:val="00A94168"/>
    <w:rsid w:val="00A941BA"/>
    <w:rsid w:val="00A946E3"/>
    <w:rsid w:val="00A9481C"/>
    <w:rsid w:val="00A94C87"/>
    <w:rsid w:val="00A94CDB"/>
    <w:rsid w:val="00A94CFC"/>
    <w:rsid w:val="00A94D22"/>
    <w:rsid w:val="00A94D29"/>
    <w:rsid w:val="00A953C9"/>
    <w:rsid w:val="00A95AB3"/>
    <w:rsid w:val="00A95B12"/>
    <w:rsid w:val="00A95CC1"/>
    <w:rsid w:val="00A95CDB"/>
    <w:rsid w:val="00A960B1"/>
    <w:rsid w:val="00A960BA"/>
    <w:rsid w:val="00A96128"/>
    <w:rsid w:val="00A96266"/>
    <w:rsid w:val="00A962B5"/>
    <w:rsid w:val="00A96378"/>
    <w:rsid w:val="00A96747"/>
    <w:rsid w:val="00A96802"/>
    <w:rsid w:val="00A968E6"/>
    <w:rsid w:val="00A96B26"/>
    <w:rsid w:val="00A96B3A"/>
    <w:rsid w:val="00A96C0B"/>
    <w:rsid w:val="00A96D05"/>
    <w:rsid w:val="00A96D0A"/>
    <w:rsid w:val="00A96D1D"/>
    <w:rsid w:val="00A970E2"/>
    <w:rsid w:val="00A9714F"/>
    <w:rsid w:val="00A9735A"/>
    <w:rsid w:val="00A973D3"/>
    <w:rsid w:val="00A974BF"/>
    <w:rsid w:val="00A97EED"/>
    <w:rsid w:val="00A97F7F"/>
    <w:rsid w:val="00AA03A5"/>
    <w:rsid w:val="00AA058B"/>
    <w:rsid w:val="00AA07EF"/>
    <w:rsid w:val="00AA0805"/>
    <w:rsid w:val="00AA08DA"/>
    <w:rsid w:val="00AA08F3"/>
    <w:rsid w:val="00AA094F"/>
    <w:rsid w:val="00AA0B25"/>
    <w:rsid w:val="00AA0B5F"/>
    <w:rsid w:val="00AA0B9E"/>
    <w:rsid w:val="00AA0F4F"/>
    <w:rsid w:val="00AA0FD2"/>
    <w:rsid w:val="00AA1064"/>
    <w:rsid w:val="00AA13CD"/>
    <w:rsid w:val="00AA153E"/>
    <w:rsid w:val="00AA186B"/>
    <w:rsid w:val="00AA18BE"/>
    <w:rsid w:val="00AA1A95"/>
    <w:rsid w:val="00AA1ABB"/>
    <w:rsid w:val="00AA1E99"/>
    <w:rsid w:val="00AA2048"/>
    <w:rsid w:val="00AA20FD"/>
    <w:rsid w:val="00AA220F"/>
    <w:rsid w:val="00AA2275"/>
    <w:rsid w:val="00AA2292"/>
    <w:rsid w:val="00AA245B"/>
    <w:rsid w:val="00AA260F"/>
    <w:rsid w:val="00AA2807"/>
    <w:rsid w:val="00AA28AB"/>
    <w:rsid w:val="00AA2A26"/>
    <w:rsid w:val="00AA2B90"/>
    <w:rsid w:val="00AA2F1A"/>
    <w:rsid w:val="00AA2FFB"/>
    <w:rsid w:val="00AA3060"/>
    <w:rsid w:val="00AA31CC"/>
    <w:rsid w:val="00AA31DB"/>
    <w:rsid w:val="00AA32E4"/>
    <w:rsid w:val="00AA365F"/>
    <w:rsid w:val="00AA398D"/>
    <w:rsid w:val="00AA3B1A"/>
    <w:rsid w:val="00AA3D53"/>
    <w:rsid w:val="00AA4306"/>
    <w:rsid w:val="00AA4383"/>
    <w:rsid w:val="00AA4551"/>
    <w:rsid w:val="00AA459D"/>
    <w:rsid w:val="00AA4764"/>
    <w:rsid w:val="00AA4784"/>
    <w:rsid w:val="00AA4800"/>
    <w:rsid w:val="00AA4A7E"/>
    <w:rsid w:val="00AA4AF7"/>
    <w:rsid w:val="00AA4B19"/>
    <w:rsid w:val="00AA4BF3"/>
    <w:rsid w:val="00AA4C95"/>
    <w:rsid w:val="00AA4DE7"/>
    <w:rsid w:val="00AA5079"/>
    <w:rsid w:val="00AA5245"/>
    <w:rsid w:val="00AA53DD"/>
    <w:rsid w:val="00AA579C"/>
    <w:rsid w:val="00AA58CD"/>
    <w:rsid w:val="00AA590E"/>
    <w:rsid w:val="00AA5966"/>
    <w:rsid w:val="00AA5ABB"/>
    <w:rsid w:val="00AA5C28"/>
    <w:rsid w:val="00AA5E49"/>
    <w:rsid w:val="00AA5EFE"/>
    <w:rsid w:val="00AA600B"/>
    <w:rsid w:val="00AA600D"/>
    <w:rsid w:val="00AA6608"/>
    <w:rsid w:val="00AA6671"/>
    <w:rsid w:val="00AA66CA"/>
    <w:rsid w:val="00AA67B4"/>
    <w:rsid w:val="00AA67F6"/>
    <w:rsid w:val="00AA6854"/>
    <w:rsid w:val="00AA696E"/>
    <w:rsid w:val="00AA6AC9"/>
    <w:rsid w:val="00AA6B41"/>
    <w:rsid w:val="00AA6CE2"/>
    <w:rsid w:val="00AA6E80"/>
    <w:rsid w:val="00AA6ED3"/>
    <w:rsid w:val="00AA723B"/>
    <w:rsid w:val="00AA728D"/>
    <w:rsid w:val="00AA735F"/>
    <w:rsid w:val="00AA7385"/>
    <w:rsid w:val="00AA73C9"/>
    <w:rsid w:val="00AA75B4"/>
    <w:rsid w:val="00AA7643"/>
    <w:rsid w:val="00AA79F0"/>
    <w:rsid w:val="00AA7A09"/>
    <w:rsid w:val="00AA7BD3"/>
    <w:rsid w:val="00AA7CA6"/>
    <w:rsid w:val="00AA7E49"/>
    <w:rsid w:val="00AA7EBD"/>
    <w:rsid w:val="00AA7F25"/>
    <w:rsid w:val="00AA7F30"/>
    <w:rsid w:val="00AA7FFB"/>
    <w:rsid w:val="00AB027F"/>
    <w:rsid w:val="00AB02B2"/>
    <w:rsid w:val="00AB082F"/>
    <w:rsid w:val="00AB0859"/>
    <w:rsid w:val="00AB0AD7"/>
    <w:rsid w:val="00AB0CFD"/>
    <w:rsid w:val="00AB11BE"/>
    <w:rsid w:val="00AB1281"/>
    <w:rsid w:val="00AB1284"/>
    <w:rsid w:val="00AB155C"/>
    <w:rsid w:val="00AB15DF"/>
    <w:rsid w:val="00AB15E8"/>
    <w:rsid w:val="00AB171D"/>
    <w:rsid w:val="00AB178E"/>
    <w:rsid w:val="00AB18BA"/>
    <w:rsid w:val="00AB1A26"/>
    <w:rsid w:val="00AB1BAC"/>
    <w:rsid w:val="00AB1E1D"/>
    <w:rsid w:val="00AB1EA7"/>
    <w:rsid w:val="00AB1EE7"/>
    <w:rsid w:val="00AB1F21"/>
    <w:rsid w:val="00AB1F35"/>
    <w:rsid w:val="00AB238B"/>
    <w:rsid w:val="00AB2519"/>
    <w:rsid w:val="00AB26B5"/>
    <w:rsid w:val="00AB2735"/>
    <w:rsid w:val="00AB280E"/>
    <w:rsid w:val="00AB28E1"/>
    <w:rsid w:val="00AB294E"/>
    <w:rsid w:val="00AB29A7"/>
    <w:rsid w:val="00AB2DE3"/>
    <w:rsid w:val="00AB306E"/>
    <w:rsid w:val="00AB30D0"/>
    <w:rsid w:val="00AB3191"/>
    <w:rsid w:val="00AB35F7"/>
    <w:rsid w:val="00AB365B"/>
    <w:rsid w:val="00AB36C1"/>
    <w:rsid w:val="00AB3A0E"/>
    <w:rsid w:val="00AB3A9D"/>
    <w:rsid w:val="00AB3E53"/>
    <w:rsid w:val="00AB3F81"/>
    <w:rsid w:val="00AB43BF"/>
    <w:rsid w:val="00AB4554"/>
    <w:rsid w:val="00AB4682"/>
    <w:rsid w:val="00AB48E2"/>
    <w:rsid w:val="00AB49E2"/>
    <w:rsid w:val="00AB4A87"/>
    <w:rsid w:val="00AB4B29"/>
    <w:rsid w:val="00AB4B37"/>
    <w:rsid w:val="00AB4BBF"/>
    <w:rsid w:val="00AB4D14"/>
    <w:rsid w:val="00AB4D16"/>
    <w:rsid w:val="00AB4D52"/>
    <w:rsid w:val="00AB4DD1"/>
    <w:rsid w:val="00AB541F"/>
    <w:rsid w:val="00AB5492"/>
    <w:rsid w:val="00AB5762"/>
    <w:rsid w:val="00AB5C02"/>
    <w:rsid w:val="00AB5CBA"/>
    <w:rsid w:val="00AB5D40"/>
    <w:rsid w:val="00AB60DB"/>
    <w:rsid w:val="00AB6106"/>
    <w:rsid w:val="00AB65C9"/>
    <w:rsid w:val="00AB65D3"/>
    <w:rsid w:val="00AB6688"/>
    <w:rsid w:val="00AB6749"/>
    <w:rsid w:val="00AB67D0"/>
    <w:rsid w:val="00AB68A4"/>
    <w:rsid w:val="00AB6A51"/>
    <w:rsid w:val="00AB6BCE"/>
    <w:rsid w:val="00AB6C2D"/>
    <w:rsid w:val="00AB6F67"/>
    <w:rsid w:val="00AB7105"/>
    <w:rsid w:val="00AB71E9"/>
    <w:rsid w:val="00AB7214"/>
    <w:rsid w:val="00AB7475"/>
    <w:rsid w:val="00AB74AB"/>
    <w:rsid w:val="00AB76DB"/>
    <w:rsid w:val="00AB77E0"/>
    <w:rsid w:val="00AB781A"/>
    <w:rsid w:val="00AB7B43"/>
    <w:rsid w:val="00AB7E05"/>
    <w:rsid w:val="00AC008C"/>
    <w:rsid w:val="00AC00A3"/>
    <w:rsid w:val="00AC0195"/>
    <w:rsid w:val="00AC02AE"/>
    <w:rsid w:val="00AC04CE"/>
    <w:rsid w:val="00AC07AD"/>
    <w:rsid w:val="00AC0B16"/>
    <w:rsid w:val="00AC0BD0"/>
    <w:rsid w:val="00AC0CD2"/>
    <w:rsid w:val="00AC0F28"/>
    <w:rsid w:val="00AC1141"/>
    <w:rsid w:val="00AC1206"/>
    <w:rsid w:val="00AC1554"/>
    <w:rsid w:val="00AC160A"/>
    <w:rsid w:val="00AC168A"/>
    <w:rsid w:val="00AC16BF"/>
    <w:rsid w:val="00AC1749"/>
    <w:rsid w:val="00AC1A1A"/>
    <w:rsid w:val="00AC1ACB"/>
    <w:rsid w:val="00AC1D38"/>
    <w:rsid w:val="00AC1ED0"/>
    <w:rsid w:val="00AC2241"/>
    <w:rsid w:val="00AC2342"/>
    <w:rsid w:val="00AC2372"/>
    <w:rsid w:val="00AC23E3"/>
    <w:rsid w:val="00AC24E9"/>
    <w:rsid w:val="00AC25CC"/>
    <w:rsid w:val="00AC2679"/>
    <w:rsid w:val="00AC2847"/>
    <w:rsid w:val="00AC2BF6"/>
    <w:rsid w:val="00AC2F5A"/>
    <w:rsid w:val="00AC30DB"/>
    <w:rsid w:val="00AC34C2"/>
    <w:rsid w:val="00AC352F"/>
    <w:rsid w:val="00AC36A1"/>
    <w:rsid w:val="00AC3838"/>
    <w:rsid w:val="00AC3A0D"/>
    <w:rsid w:val="00AC3AEC"/>
    <w:rsid w:val="00AC3E33"/>
    <w:rsid w:val="00AC3F58"/>
    <w:rsid w:val="00AC3FFA"/>
    <w:rsid w:val="00AC417D"/>
    <w:rsid w:val="00AC4279"/>
    <w:rsid w:val="00AC437D"/>
    <w:rsid w:val="00AC43A6"/>
    <w:rsid w:val="00AC459E"/>
    <w:rsid w:val="00AC45B7"/>
    <w:rsid w:val="00AC45EE"/>
    <w:rsid w:val="00AC464B"/>
    <w:rsid w:val="00AC4758"/>
    <w:rsid w:val="00AC4818"/>
    <w:rsid w:val="00AC48FB"/>
    <w:rsid w:val="00AC49A2"/>
    <w:rsid w:val="00AC4BE4"/>
    <w:rsid w:val="00AC4C15"/>
    <w:rsid w:val="00AC4C83"/>
    <w:rsid w:val="00AC4CC8"/>
    <w:rsid w:val="00AC4D42"/>
    <w:rsid w:val="00AC506D"/>
    <w:rsid w:val="00AC508D"/>
    <w:rsid w:val="00AC50C5"/>
    <w:rsid w:val="00AC50E1"/>
    <w:rsid w:val="00AC52D3"/>
    <w:rsid w:val="00AC5301"/>
    <w:rsid w:val="00AC5BD3"/>
    <w:rsid w:val="00AC5BEF"/>
    <w:rsid w:val="00AC5E86"/>
    <w:rsid w:val="00AC5F83"/>
    <w:rsid w:val="00AC5F8F"/>
    <w:rsid w:val="00AC60F2"/>
    <w:rsid w:val="00AC61F0"/>
    <w:rsid w:val="00AC61FE"/>
    <w:rsid w:val="00AC6279"/>
    <w:rsid w:val="00AC62CF"/>
    <w:rsid w:val="00AC6428"/>
    <w:rsid w:val="00AC663A"/>
    <w:rsid w:val="00AC678E"/>
    <w:rsid w:val="00AC679C"/>
    <w:rsid w:val="00AC679E"/>
    <w:rsid w:val="00AC6921"/>
    <w:rsid w:val="00AC6A30"/>
    <w:rsid w:val="00AC6AB8"/>
    <w:rsid w:val="00AC6BF9"/>
    <w:rsid w:val="00AC70C5"/>
    <w:rsid w:val="00AC71EA"/>
    <w:rsid w:val="00AC7557"/>
    <w:rsid w:val="00AC75FE"/>
    <w:rsid w:val="00AC7662"/>
    <w:rsid w:val="00AC78A1"/>
    <w:rsid w:val="00AC7956"/>
    <w:rsid w:val="00AC7A0F"/>
    <w:rsid w:val="00AD0035"/>
    <w:rsid w:val="00AD00D7"/>
    <w:rsid w:val="00AD00DD"/>
    <w:rsid w:val="00AD0155"/>
    <w:rsid w:val="00AD0289"/>
    <w:rsid w:val="00AD0472"/>
    <w:rsid w:val="00AD0561"/>
    <w:rsid w:val="00AD05E6"/>
    <w:rsid w:val="00AD0737"/>
    <w:rsid w:val="00AD07A8"/>
    <w:rsid w:val="00AD09B1"/>
    <w:rsid w:val="00AD0D3F"/>
    <w:rsid w:val="00AD0D7F"/>
    <w:rsid w:val="00AD0DCF"/>
    <w:rsid w:val="00AD0E5B"/>
    <w:rsid w:val="00AD0F3C"/>
    <w:rsid w:val="00AD0FAA"/>
    <w:rsid w:val="00AD1004"/>
    <w:rsid w:val="00AD10C3"/>
    <w:rsid w:val="00AD10C8"/>
    <w:rsid w:val="00AD1414"/>
    <w:rsid w:val="00AD1496"/>
    <w:rsid w:val="00AD172D"/>
    <w:rsid w:val="00AD1849"/>
    <w:rsid w:val="00AD1962"/>
    <w:rsid w:val="00AD1BBC"/>
    <w:rsid w:val="00AD1C5A"/>
    <w:rsid w:val="00AD1D33"/>
    <w:rsid w:val="00AD1DC7"/>
    <w:rsid w:val="00AD1EEA"/>
    <w:rsid w:val="00AD1F3E"/>
    <w:rsid w:val="00AD1FB2"/>
    <w:rsid w:val="00AD21BD"/>
    <w:rsid w:val="00AD2263"/>
    <w:rsid w:val="00AD228C"/>
    <w:rsid w:val="00AD253B"/>
    <w:rsid w:val="00AD2570"/>
    <w:rsid w:val="00AD29E5"/>
    <w:rsid w:val="00AD2DE3"/>
    <w:rsid w:val="00AD2E0F"/>
    <w:rsid w:val="00AD2F15"/>
    <w:rsid w:val="00AD3014"/>
    <w:rsid w:val="00AD34D3"/>
    <w:rsid w:val="00AD36B9"/>
    <w:rsid w:val="00AD3869"/>
    <w:rsid w:val="00AD38C7"/>
    <w:rsid w:val="00AD3930"/>
    <w:rsid w:val="00AD3A23"/>
    <w:rsid w:val="00AD3A26"/>
    <w:rsid w:val="00AD3BD2"/>
    <w:rsid w:val="00AD3C1B"/>
    <w:rsid w:val="00AD3D02"/>
    <w:rsid w:val="00AD3F47"/>
    <w:rsid w:val="00AD40DE"/>
    <w:rsid w:val="00AD41F0"/>
    <w:rsid w:val="00AD4296"/>
    <w:rsid w:val="00AD42AC"/>
    <w:rsid w:val="00AD43C7"/>
    <w:rsid w:val="00AD44F8"/>
    <w:rsid w:val="00AD450F"/>
    <w:rsid w:val="00AD457B"/>
    <w:rsid w:val="00AD4590"/>
    <w:rsid w:val="00AD47CE"/>
    <w:rsid w:val="00AD48E9"/>
    <w:rsid w:val="00AD4AA2"/>
    <w:rsid w:val="00AD4BF1"/>
    <w:rsid w:val="00AD50CB"/>
    <w:rsid w:val="00AD54B4"/>
    <w:rsid w:val="00AD5540"/>
    <w:rsid w:val="00AD5650"/>
    <w:rsid w:val="00AD5683"/>
    <w:rsid w:val="00AD56AA"/>
    <w:rsid w:val="00AD56C5"/>
    <w:rsid w:val="00AD5794"/>
    <w:rsid w:val="00AD5B35"/>
    <w:rsid w:val="00AD5BDE"/>
    <w:rsid w:val="00AD5C3A"/>
    <w:rsid w:val="00AD5D5D"/>
    <w:rsid w:val="00AD5F2D"/>
    <w:rsid w:val="00AD60E8"/>
    <w:rsid w:val="00AD6265"/>
    <w:rsid w:val="00AD6330"/>
    <w:rsid w:val="00AD6726"/>
    <w:rsid w:val="00AD6D76"/>
    <w:rsid w:val="00AD6E4B"/>
    <w:rsid w:val="00AD71A2"/>
    <w:rsid w:val="00AD73B0"/>
    <w:rsid w:val="00AD73CA"/>
    <w:rsid w:val="00AD745F"/>
    <w:rsid w:val="00AD76D6"/>
    <w:rsid w:val="00AD77F0"/>
    <w:rsid w:val="00AD7997"/>
    <w:rsid w:val="00AD79AF"/>
    <w:rsid w:val="00AD7A0D"/>
    <w:rsid w:val="00AD7AEE"/>
    <w:rsid w:val="00AD7B03"/>
    <w:rsid w:val="00AD7B80"/>
    <w:rsid w:val="00AD7E5B"/>
    <w:rsid w:val="00AD7F03"/>
    <w:rsid w:val="00AD7F48"/>
    <w:rsid w:val="00AE002C"/>
    <w:rsid w:val="00AE0075"/>
    <w:rsid w:val="00AE02B8"/>
    <w:rsid w:val="00AE0388"/>
    <w:rsid w:val="00AE0430"/>
    <w:rsid w:val="00AE05B9"/>
    <w:rsid w:val="00AE07DF"/>
    <w:rsid w:val="00AE0950"/>
    <w:rsid w:val="00AE0AD9"/>
    <w:rsid w:val="00AE1822"/>
    <w:rsid w:val="00AE1A39"/>
    <w:rsid w:val="00AE1D20"/>
    <w:rsid w:val="00AE1D7D"/>
    <w:rsid w:val="00AE1FBE"/>
    <w:rsid w:val="00AE1FFC"/>
    <w:rsid w:val="00AE2031"/>
    <w:rsid w:val="00AE20A2"/>
    <w:rsid w:val="00AE2138"/>
    <w:rsid w:val="00AE226F"/>
    <w:rsid w:val="00AE2385"/>
    <w:rsid w:val="00AE2492"/>
    <w:rsid w:val="00AE24D8"/>
    <w:rsid w:val="00AE25A0"/>
    <w:rsid w:val="00AE29B4"/>
    <w:rsid w:val="00AE2A8B"/>
    <w:rsid w:val="00AE2AB2"/>
    <w:rsid w:val="00AE2B65"/>
    <w:rsid w:val="00AE2B8B"/>
    <w:rsid w:val="00AE2BA1"/>
    <w:rsid w:val="00AE2C35"/>
    <w:rsid w:val="00AE31E0"/>
    <w:rsid w:val="00AE3254"/>
    <w:rsid w:val="00AE3275"/>
    <w:rsid w:val="00AE3339"/>
    <w:rsid w:val="00AE3399"/>
    <w:rsid w:val="00AE3400"/>
    <w:rsid w:val="00AE3582"/>
    <w:rsid w:val="00AE366D"/>
    <w:rsid w:val="00AE3856"/>
    <w:rsid w:val="00AE3C0C"/>
    <w:rsid w:val="00AE3EEE"/>
    <w:rsid w:val="00AE3F64"/>
    <w:rsid w:val="00AE425A"/>
    <w:rsid w:val="00AE437B"/>
    <w:rsid w:val="00AE43F2"/>
    <w:rsid w:val="00AE473E"/>
    <w:rsid w:val="00AE4B5E"/>
    <w:rsid w:val="00AE4BCB"/>
    <w:rsid w:val="00AE4C78"/>
    <w:rsid w:val="00AE4DDC"/>
    <w:rsid w:val="00AE4F78"/>
    <w:rsid w:val="00AE51C6"/>
    <w:rsid w:val="00AE53A7"/>
    <w:rsid w:val="00AE57CA"/>
    <w:rsid w:val="00AE5998"/>
    <w:rsid w:val="00AE59B9"/>
    <w:rsid w:val="00AE5C27"/>
    <w:rsid w:val="00AE5D73"/>
    <w:rsid w:val="00AE5FF9"/>
    <w:rsid w:val="00AE6191"/>
    <w:rsid w:val="00AE6266"/>
    <w:rsid w:val="00AE65BC"/>
    <w:rsid w:val="00AE6702"/>
    <w:rsid w:val="00AE6917"/>
    <w:rsid w:val="00AE6922"/>
    <w:rsid w:val="00AE6B7A"/>
    <w:rsid w:val="00AE6DFE"/>
    <w:rsid w:val="00AE6E82"/>
    <w:rsid w:val="00AE6ECB"/>
    <w:rsid w:val="00AE73D8"/>
    <w:rsid w:val="00AE75EA"/>
    <w:rsid w:val="00AE7820"/>
    <w:rsid w:val="00AE7D46"/>
    <w:rsid w:val="00AE7D69"/>
    <w:rsid w:val="00AE7DDF"/>
    <w:rsid w:val="00AE7E23"/>
    <w:rsid w:val="00AE7EA1"/>
    <w:rsid w:val="00AF0099"/>
    <w:rsid w:val="00AF03FA"/>
    <w:rsid w:val="00AF04A1"/>
    <w:rsid w:val="00AF04E9"/>
    <w:rsid w:val="00AF0524"/>
    <w:rsid w:val="00AF058D"/>
    <w:rsid w:val="00AF059C"/>
    <w:rsid w:val="00AF05DD"/>
    <w:rsid w:val="00AF0644"/>
    <w:rsid w:val="00AF08B8"/>
    <w:rsid w:val="00AF0A11"/>
    <w:rsid w:val="00AF0B29"/>
    <w:rsid w:val="00AF0B72"/>
    <w:rsid w:val="00AF0E14"/>
    <w:rsid w:val="00AF0EE5"/>
    <w:rsid w:val="00AF109C"/>
    <w:rsid w:val="00AF11F1"/>
    <w:rsid w:val="00AF1402"/>
    <w:rsid w:val="00AF157B"/>
    <w:rsid w:val="00AF1596"/>
    <w:rsid w:val="00AF1881"/>
    <w:rsid w:val="00AF18EB"/>
    <w:rsid w:val="00AF1C0D"/>
    <w:rsid w:val="00AF1F07"/>
    <w:rsid w:val="00AF2359"/>
    <w:rsid w:val="00AF23E4"/>
    <w:rsid w:val="00AF2403"/>
    <w:rsid w:val="00AF2675"/>
    <w:rsid w:val="00AF28F3"/>
    <w:rsid w:val="00AF2B28"/>
    <w:rsid w:val="00AF2D5D"/>
    <w:rsid w:val="00AF2EBC"/>
    <w:rsid w:val="00AF30CF"/>
    <w:rsid w:val="00AF30EF"/>
    <w:rsid w:val="00AF329D"/>
    <w:rsid w:val="00AF353A"/>
    <w:rsid w:val="00AF363B"/>
    <w:rsid w:val="00AF372D"/>
    <w:rsid w:val="00AF3A1C"/>
    <w:rsid w:val="00AF3EF4"/>
    <w:rsid w:val="00AF410E"/>
    <w:rsid w:val="00AF42C3"/>
    <w:rsid w:val="00AF4330"/>
    <w:rsid w:val="00AF4572"/>
    <w:rsid w:val="00AF47C2"/>
    <w:rsid w:val="00AF4974"/>
    <w:rsid w:val="00AF49D6"/>
    <w:rsid w:val="00AF49EB"/>
    <w:rsid w:val="00AF4E58"/>
    <w:rsid w:val="00AF502E"/>
    <w:rsid w:val="00AF5219"/>
    <w:rsid w:val="00AF5256"/>
    <w:rsid w:val="00AF536F"/>
    <w:rsid w:val="00AF5923"/>
    <w:rsid w:val="00AF59E2"/>
    <w:rsid w:val="00AF5C37"/>
    <w:rsid w:val="00AF5E63"/>
    <w:rsid w:val="00AF5ECC"/>
    <w:rsid w:val="00AF623F"/>
    <w:rsid w:val="00AF6732"/>
    <w:rsid w:val="00AF67CA"/>
    <w:rsid w:val="00AF6A9F"/>
    <w:rsid w:val="00AF6EA4"/>
    <w:rsid w:val="00AF7386"/>
    <w:rsid w:val="00AF771D"/>
    <w:rsid w:val="00AF779F"/>
    <w:rsid w:val="00AF78FD"/>
    <w:rsid w:val="00AF792A"/>
    <w:rsid w:val="00AF7934"/>
    <w:rsid w:val="00AF79A7"/>
    <w:rsid w:val="00AF7A10"/>
    <w:rsid w:val="00AF7C8C"/>
    <w:rsid w:val="00AF7D2D"/>
    <w:rsid w:val="00AF7F0C"/>
    <w:rsid w:val="00AF7F2A"/>
    <w:rsid w:val="00AF7FD9"/>
    <w:rsid w:val="00B00122"/>
    <w:rsid w:val="00B003A9"/>
    <w:rsid w:val="00B004BF"/>
    <w:rsid w:val="00B00653"/>
    <w:rsid w:val="00B00779"/>
    <w:rsid w:val="00B008E3"/>
    <w:rsid w:val="00B009CA"/>
    <w:rsid w:val="00B00AE4"/>
    <w:rsid w:val="00B00B81"/>
    <w:rsid w:val="00B00C58"/>
    <w:rsid w:val="00B00F3F"/>
    <w:rsid w:val="00B0108B"/>
    <w:rsid w:val="00B01288"/>
    <w:rsid w:val="00B01404"/>
    <w:rsid w:val="00B014AB"/>
    <w:rsid w:val="00B0160B"/>
    <w:rsid w:val="00B01613"/>
    <w:rsid w:val="00B017AC"/>
    <w:rsid w:val="00B01A4B"/>
    <w:rsid w:val="00B0225C"/>
    <w:rsid w:val="00B023B5"/>
    <w:rsid w:val="00B024B0"/>
    <w:rsid w:val="00B024ED"/>
    <w:rsid w:val="00B02530"/>
    <w:rsid w:val="00B026F9"/>
    <w:rsid w:val="00B02706"/>
    <w:rsid w:val="00B029AF"/>
    <w:rsid w:val="00B02BB2"/>
    <w:rsid w:val="00B02E45"/>
    <w:rsid w:val="00B02EB1"/>
    <w:rsid w:val="00B03441"/>
    <w:rsid w:val="00B036B4"/>
    <w:rsid w:val="00B037BB"/>
    <w:rsid w:val="00B03931"/>
    <w:rsid w:val="00B03D05"/>
    <w:rsid w:val="00B03E14"/>
    <w:rsid w:val="00B0419C"/>
    <w:rsid w:val="00B04346"/>
    <w:rsid w:val="00B0435A"/>
    <w:rsid w:val="00B04580"/>
    <w:rsid w:val="00B04605"/>
    <w:rsid w:val="00B04625"/>
    <w:rsid w:val="00B046E7"/>
    <w:rsid w:val="00B04AD9"/>
    <w:rsid w:val="00B04B09"/>
    <w:rsid w:val="00B04DA6"/>
    <w:rsid w:val="00B04DFE"/>
    <w:rsid w:val="00B04F8D"/>
    <w:rsid w:val="00B04FE6"/>
    <w:rsid w:val="00B05136"/>
    <w:rsid w:val="00B05559"/>
    <w:rsid w:val="00B05793"/>
    <w:rsid w:val="00B057D8"/>
    <w:rsid w:val="00B05850"/>
    <w:rsid w:val="00B0586A"/>
    <w:rsid w:val="00B0587D"/>
    <w:rsid w:val="00B05883"/>
    <w:rsid w:val="00B05993"/>
    <w:rsid w:val="00B059F7"/>
    <w:rsid w:val="00B05A1E"/>
    <w:rsid w:val="00B05A2D"/>
    <w:rsid w:val="00B05A51"/>
    <w:rsid w:val="00B05DA7"/>
    <w:rsid w:val="00B05E00"/>
    <w:rsid w:val="00B05E97"/>
    <w:rsid w:val="00B05EA3"/>
    <w:rsid w:val="00B06091"/>
    <w:rsid w:val="00B0613F"/>
    <w:rsid w:val="00B061DF"/>
    <w:rsid w:val="00B063EA"/>
    <w:rsid w:val="00B064B1"/>
    <w:rsid w:val="00B064DE"/>
    <w:rsid w:val="00B0664B"/>
    <w:rsid w:val="00B06951"/>
    <w:rsid w:val="00B06EFB"/>
    <w:rsid w:val="00B06F71"/>
    <w:rsid w:val="00B0722E"/>
    <w:rsid w:val="00B072B3"/>
    <w:rsid w:val="00B07344"/>
    <w:rsid w:val="00B075B5"/>
    <w:rsid w:val="00B07671"/>
    <w:rsid w:val="00B078A3"/>
    <w:rsid w:val="00B07B4E"/>
    <w:rsid w:val="00B07C02"/>
    <w:rsid w:val="00B07C50"/>
    <w:rsid w:val="00B07D60"/>
    <w:rsid w:val="00B07E70"/>
    <w:rsid w:val="00B07EF3"/>
    <w:rsid w:val="00B1003E"/>
    <w:rsid w:val="00B10232"/>
    <w:rsid w:val="00B10321"/>
    <w:rsid w:val="00B10326"/>
    <w:rsid w:val="00B10619"/>
    <w:rsid w:val="00B106A5"/>
    <w:rsid w:val="00B10777"/>
    <w:rsid w:val="00B1088A"/>
    <w:rsid w:val="00B10994"/>
    <w:rsid w:val="00B10B44"/>
    <w:rsid w:val="00B10C03"/>
    <w:rsid w:val="00B10EFD"/>
    <w:rsid w:val="00B10F08"/>
    <w:rsid w:val="00B10F0A"/>
    <w:rsid w:val="00B10F2A"/>
    <w:rsid w:val="00B11010"/>
    <w:rsid w:val="00B11606"/>
    <w:rsid w:val="00B11887"/>
    <w:rsid w:val="00B1190F"/>
    <w:rsid w:val="00B11B9C"/>
    <w:rsid w:val="00B11CA4"/>
    <w:rsid w:val="00B11CDB"/>
    <w:rsid w:val="00B11F4A"/>
    <w:rsid w:val="00B12030"/>
    <w:rsid w:val="00B1245C"/>
    <w:rsid w:val="00B1250B"/>
    <w:rsid w:val="00B12964"/>
    <w:rsid w:val="00B12977"/>
    <w:rsid w:val="00B12B8C"/>
    <w:rsid w:val="00B12C01"/>
    <w:rsid w:val="00B12E2B"/>
    <w:rsid w:val="00B12E94"/>
    <w:rsid w:val="00B12F97"/>
    <w:rsid w:val="00B12FB4"/>
    <w:rsid w:val="00B13472"/>
    <w:rsid w:val="00B13591"/>
    <w:rsid w:val="00B1365E"/>
    <w:rsid w:val="00B13848"/>
    <w:rsid w:val="00B1390D"/>
    <w:rsid w:val="00B13A44"/>
    <w:rsid w:val="00B13B2B"/>
    <w:rsid w:val="00B13BE5"/>
    <w:rsid w:val="00B13C48"/>
    <w:rsid w:val="00B13C4E"/>
    <w:rsid w:val="00B13CC2"/>
    <w:rsid w:val="00B13D49"/>
    <w:rsid w:val="00B13D8E"/>
    <w:rsid w:val="00B13DBA"/>
    <w:rsid w:val="00B13E54"/>
    <w:rsid w:val="00B13FE8"/>
    <w:rsid w:val="00B14040"/>
    <w:rsid w:val="00B141B7"/>
    <w:rsid w:val="00B147D8"/>
    <w:rsid w:val="00B147DF"/>
    <w:rsid w:val="00B14819"/>
    <w:rsid w:val="00B148FE"/>
    <w:rsid w:val="00B14983"/>
    <w:rsid w:val="00B14B47"/>
    <w:rsid w:val="00B14F3B"/>
    <w:rsid w:val="00B15036"/>
    <w:rsid w:val="00B152BD"/>
    <w:rsid w:val="00B152DB"/>
    <w:rsid w:val="00B15452"/>
    <w:rsid w:val="00B157A6"/>
    <w:rsid w:val="00B158FB"/>
    <w:rsid w:val="00B158FC"/>
    <w:rsid w:val="00B15918"/>
    <w:rsid w:val="00B15A6B"/>
    <w:rsid w:val="00B15B04"/>
    <w:rsid w:val="00B15C7A"/>
    <w:rsid w:val="00B15E0F"/>
    <w:rsid w:val="00B15F31"/>
    <w:rsid w:val="00B16097"/>
    <w:rsid w:val="00B16451"/>
    <w:rsid w:val="00B16558"/>
    <w:rsid w:val="00B16A51"/>
    <w:rsid w:val="00B16B3B"/>
    <w:rsid w:val="00B16B4B"/>
    <w:rsid w:val="00B16B69"/>
    <w:rsid w:val="00B16BE5"/>
    <w:rsid w:val="00B17102"/>
    <w:rsid w:val="00B172E5"/>
    <w:rsid w:val="00B174CD"/>
    <w:rsid w:val="00B175E6"/>
    <w:rsid w:val="00B1767F"/>
    <w:rsid w:val="00B176AB"/>
    <w:rsid w:val="00B17704"/>
    <w:rsid w:val="00B17743"/>
    <w:rsid w:val="00B178B9"/>
    <w:rsid w:val="00B17B1E"/>
    <w:rsid w:val="00B17F2E"/>
    <w:rsid w:val="00B201D7"/>
    <w:rsid w:val="00B20452"/>
    <w:rsid w:val="00B20469"/>
    <w:rsid w:val="00B204AA"/>
    <w:rsid w:val="00B20505"/>
    <w:rsid w:val="00B207F8"/>
    <w:rsid w:val="00B2083F"/>
    <w:rsid w:val="00B20953"/>
    <w:rsid w:val="00B20C58"/>
    <w:rsid w:val="00B20E48"/>
    <w:rsid w:val="00B20EA8"/>
    <w:rsid w:val="00B20EB6"/>
    <w:rsid w:val="00B20FDF"/>
    <w:rsid w:val="00B20FF8"/>
    <w:rsid w:val="00B21204"/>
    <w:rsid w:val="00B21420"/>
    <w:rsid w:val="00B2173E"/>
    <w:rsid w:val="00B21808"/>
    <w:rsid w:val="00B2189B"/>
    <w:rsid w:val="00B21906"/>
    <w:rsid w:val="00B21CEE"/>
    <w:rsid w:val="00B21F9A"/>
    <w:rsid w:val="00B2262B"/>
    <w:rsid w:val="00B22742"/>
    <w:rsid w:val="00B22968"/>
    <w:rsid w:val="00B2299D"/>
    <w:rsid w:val="00B22BD8"/>
    <w:rsid w:val="00B22C76"/>
    <w:rsid w:val="00B22CD1"/>
    <w:rsid w:val="00B22EA2"/>
    <w:rsid w:val="00B231D3"/>
    <w:rsid w:val="00B23280"/>
    <w:rsid w:val="00B2374E"/>
    <w:rsid w:val="00B2385E"/>
    <w:rsid w:val="00B23AB1"/>
    <w:rsid w:val="00B23AC4"/>
    <w:rsid w:val="00B23B10"/>
    <w:rsid w:val="00B23C29"/>
    <w:rsid w:val="00B23CA0"/>
    <w:rsid w:val="00B23F11"/>
    <w:rsid w:val="00B23F3B"/>
    <w:rsid w:val="00B23FBE"/>
    <w:rsid w:val="00B2405D"/>
    <w:rsid w:val="00B241B7"/>
    <w:rsid w:val="00B24260"/>
    <w:rsid w:val="00B243B3"/>
    <w:rsid w:val="00B24583"/>
    <w:rsid w:val="00B245C5"/>
    <w:rsid w:val="00B247EA"/>
    <w:rsid w:val="00B24BE6"/>
    <w:rsid w:val="00B24E31"/>
    <w:rsid w:val="00B24E36"/>
    <w:rsid w:val="00B2504D"/>
    <w:rsid w:val="00B250DB"/>
    <w:rsid w:val="00B252F5"/>
    <w:rsid w:val="00B2536D"/>
    <w:rsid w:val="00B253C5"/>
    <w:rsid w:val="00B25440"/>
    <w:rsid w:val="00B255A1"/>
    <w:rsid w:val="00B256B8"/>
    <w:rsid w:val="00B256DE"/>
    <w:rsid w:val="00B257A3"/>
    <w:rsid w:val="00B25905"/>
    <w:rsid w:val="00B25A5B"/>
    <w:rsid w:val="00B25C43"/>
    <w:rsid w:val="00B25C9A"/>
    <w:rsid w:val="00B25DF1"/>
    <w:rsid w:val="00B25F02"/>
    <w:rsid w:val="00B261D3"/>
    <w:rsid w:val="00B2643F"/>
    <w:rsid w:val="00B26472"/>
    <w:rsid w:val="00B265F8"/>
    <w:rsid w:val="00B2668B"/>
    <w:rsid w:val="00B266D4"/>
    <w:rsid w:val="00B269B6"/>
    <w:rsid w:val="00B26A6C"/>
    <w:rsid w:val="00B26D83"/>
    <w:rsid w:val="00B26E46"/>
    <w:rsid w:val="00B27335"/>
    <w:rsid w:val="00B273EF"/>
    <w:rsid w:val="00B274AF"/>
    <w:rsid w:val="00B2751D"/>
    <w:rsid w:val="00B27554"/>
    <w:rsid w:val="00B27656"/>
    <w:rsid w:val="00B2766E"/>
    <w:rsid w:val="00B27693"/>
    <w:rsid w:val="00B277D7"/>
    <w:rsid w:val="00B277D8"/>
    <w:rsid w:val="00B278FC"/>
    <w:rsid w:val="00B27A64"/>
    <w:rsid w:val="00B27AF6"/>
    <w:rsid w:val="00B27C90"/>
    <w:rsid w:val="00B27D24"/>
    <w:rsid w:val="00B27E61"/>
    <w:rsid w:val="00B27ECD"/>
    <w:rsid w:val="00B300D0"/>
    <w:rsid w:val="00B30219"/>
    <w:rsid w:val="00B3082F"/>
    <w:rsid w:val="00B30852"/>
    <w:rsid w:val="00B30AB7"/>
    <w:rsid w:val="00B30B27"/>
    <w:rsid w:val="00B30CCC"/>
    <w:rsid w:val="00B30D65"/>
    <w:rsid w:val="00B30F8F"/>
    <w:rsid w:val="00B311C8"/>
    <w:rsid w:val="00B312C5"/>
    <w:rsid w:val="00B313E3"/>
    <w:rsid w:val="00B31448"/>
    <w:rsid w:val="00B3162F"/>
    <w:rsid w:val="00B3173B"/>
    <w:rsid w:val="00B31762"/>
    <w:rsid w:val="00B317D2"/>
    <w:rsid w:val="00B31C6D"/>
    <w:rsid w:val="00B31D02"/>
    <w:rsid w:val="00B31E98"/>
    <w:rsid w:val="00B31EC6"/>
    <w:rsid w:val="00B31F83"/>
    <w:rsid w:val="00B32100"/>
    <w:rsid w:val="00B32222"/>
    <w:rsid w:val="00B322FE"/>
    <w:rsid w:val="00B32569"/>
    <w:rsid w:val="00B32736"/>
    <w:rsid w:val="00B328FB"/>
    <w:rsid w:val="00B3297A"/>
    <w:rsid w:val="00B32D67"/>
    <w:rsid w:val="00B32ED0"/>
    <w:rsid w:val="00B3300D"/>
    <w:rsid w:val="00B33039"/>
    <w:rsid w:val="00B330CD"/>
    <w:rsid w:val="00B331AB"/>
    <w:rsid w:val="00B331B3"/>
    <w:rsid w:val="00B33268"/>
    <w:rsid w:val="00B332BC"/>
    <w:rsid w:val="00B3335B"/>
    <w:rsid w:val="00B334FC"/>
    <w:rsid w:val="00B335C6"/>
    <w:rsid w:val="00B336E1"/>
    <w:rsid w:val="00B339CE"/>
    <w:rsid w:val="00B33A5C"/>
    <w:rsid w:val="00B33BE0"/>
    <w:rsid w:val="00B33BE1"/>
    <w:rsid w:val="00B33C8D"/>
    <w:rsid w:val="00B33E24"/>
    <w:rsid w:val="00B33F3A"/>
    <w:rsid w:val="00B33F56"/>
    <w:rsid w:val="00B34082"/>
    <w:rsid w:val="00B34173"/>
    <w:rsid w:val="00B341E4"/>
    <w:rsid w:val="00B34311"/>
    <w:rsid w:val="00B34313"/>
    <w:rsid w:val="00B34355"/>
    <w:rsid w:val="00B3466D"/>
    <w:rsid w:val="00B3481A"/>
    <w:rsid w:val="00B34975"/>
    <w:rsid w:val="00B349E4"/>
    <w:rsid w:val="00B34AB7"/>
    <w:rsid w:val="00B34AE0"/>
    <w:rsid w:val="00B34B0B"/>
    <w:rsid w:val="00B34B5F"/>
    <w:rsid w:val="00B34C16"/>
    <w:rsid w:val="00B34C60"/>
    <w:rsid w:val="00B34D89"/>
    <w:rsid w:val="00B34EE8"/>
    <w:rsid w:val="00B34FCA"/>
    <w:rsid w:val="00B35052"/>
    <w:rsid w:val="00B35254"/>
    <w:rsid w:val="00B352C9"/>
    <w:rsid w:val="00B35363"/>
    <w:rsid w:val="00B3555A"/>
    <w:rsid w:val="00B35802"/>
    <w:rsid w:val="00B35D33"/>
    <w:rsid w:val="00B35FC4"/>
    <w:rsid w:val="00B3616F"/>
    <w:rsid w:val="00B3618D"/>
    <w:rsid w:val="00B36233"/>
    <w:rsid w:val="00B362B7"/>
    <w:rsid w:val="00B36343"/>
    <w:rsid w:val="00B3648F"/>
    <w:rsid w:val="00B365A7"/>
    <w:rsid w:val="00B365F3"/>
    <w:rsid w:val="00B3685A"/>
    <w:rsid w:val="00B36860"/>
    <w:rsid w:val="00B368F8"/>
    <w:rsid w:val="00B368FA"/>
    <w:rsid w:val="00B369AB"/>
    <w:rsid w:val="00B36C43"/>
    <w:rsid w:val="00B36C45"/>
    <w:rsid w:val="00B36EB8"/>
    <w:rsid w:val="00B36F21"/>
    <w:rsid w:val="00B36F34"/>
    <w:rsid w:val="00B370C9"/>
    <w:rsid w:val="00B3737D"/>
    <w:rsid w:val="00B373C4"/>
    <w:rsid w:val="00B376C6"/>
    <w:rsid w:val="00B37840"/>
    <w:rsid w:val="00B378CD"/>
    <w:rsid w:val="00B3797A"/>
    <w:rsid w:val="00B37A06"/>
    <w:rsid w:val="00B37A11"/>
    <w:rsid w:val="00B37A97"/>
    <w:rsid w:val="00B37D8F"/>
    <w:rsid w:val="00B402EB"/>
    <w:rsid w:val="00B403CC"/>
    <w:rsid w:val="00B404F7"/>
    <w:rsid w:val="00B406BC"/>
    <w:rsid w:val="00B407A2"/>
    <w:rsid w:val="00B40978"/>
    <w:rsid w:val="00B40A84"/>
    <w:rsid w:val="00B40E1E"/>
    <w:rsid w:val="00B40E66"/>
    <w:rsid w:val="00B40E79"/>
    <w:rsid w:val="00B410CD"/>
    <w:rsid w:val="00B4154D"/>
    <w:rsid w:val="00B415B5"/>
    <w:rsid w:val="00B4166A"/>
    <w:rsid w:val="00B41740"/>
    <w:rsid w:val="00B4178B"/>
    <w:rsid w:val="00B41A52"/>
    <w:rsid w:val="00B41EEF"/>
    <w:rsid w:val="00B41FBC"/>
    <w:rsid w:val="00B42023"/>
    <w:rsid w:val="00B4205C"/>
    <w:rsid w:val="00B42112"/>
    <w:rsid w:val="00B4211C"/>
    <w:rsid w:val="00B422AC"/>
    <w:rsid w:val="00B422D6"/>
    <w:rsid w:val="00B4239C"/>
    <w:rsid w:val="00B423FF"/>
    <w:rsid w:val="00B42851"/>
    <w:rsid w:val="00B428AE"/>
    <w:rsid w:val="00B42A01"/>
    <w:rsid w:val="00B42A8D"/>
    <w:rsid w:val="00B42C2C"/>
    <w:rsid w:val="00B42E42"/>
    <w:rsid w:val="00B42F66"/>
    <w:rsid w:val="00B4311E"/>
    <w:rsid w:val="00B4317C"/>
    <w:rsid w:val="00B43241"/>
    <w:rsid w:val="00B432E7"/>
    <w:rsid w:val="00B4345F"/>
    <w:rsid w:val="00B43CAE"/>
    <w:rsid w:val="00B44059"/>
    <w:rsid w:val="00B4405A"/>
    <w:rsid w:val="00B442BD"/>
    <w:rsid w:val="00B442F6"/>
    <w:rsid w:val="00B44334"/>
    <w:rsid w:val="00B447D5"/>
    <w:rsid w:val="00B449A9"/>
    <w:rsid w:val="00B44A01"/>
    <w:rsid w:val="00B44B8C"/>
    <w:rsid w:val="00B44C34"/>
    <w:rsid w:val="00B44CEB"/>
    <w:rsid w:val="00B44E1B"/>
    <w:rsid w:val="00B44EFB"/>
    <w:rsid w:val="00B44F47"/>
    <w:rsid w:val="00B44F87"/>
    <w:rsid w:val="00B450A6"/>
    <w:rsid w:val="00B45421"/>
    <w:rsid w:val="00B455DB"/>
    <w:rsid w:val="00B459AF"/>
    <w:rsid w:val="00B45AC7"/>
    <w:rsid w:val="00B45B96"/>
    <w:rsid w:val="00B45F3D"/>
    <w:rsid w:val="00B45F73"/>
    <w:rsid w:val="00B4602C"/>
    <w:rsid w:val="00B462FA"/>
    <w:rsid w:val="00B46309"/>
    <w:rsid w:val="00B463CA"/>
    <w:rsid w:val="00B464A0"/>
    <w:rsid w:val="00B464BF"/>
    <w:rsid w:val="00B466C1"/>
    <w:rsid w:val="00B468BE"/>
    <w:rsid w:val="00B469AF"/>
    <w:rsid w:val="00B46D2C"/>
    <w:rsid w:val="00B46E57"/>
    <w:rsid w:val="00B470A3"/>
    <w:rsid w:val="00B471D4"/>
    <w:rsid w:val="00B471F1"/>
    <w:rsid w:val="00B473A8"/>
    <w:rsid w:val="00B47574"/>
    <w:rsid w:val="00B47814"/>
    <w:rsid w:val="00B47CC8"/>
    <w:rsid w:val="00B47F81"/>
    <w:rsid w:val="00B47FF4"/>
    <w:rsid w:val="00B501EE"/>
    <w:rsid w:val="00B501F1"/>
    <w:rsid w:val="00B50322"/>
    <w:rsid w:val="00B50489"/>
    <w:rsid w:val="00B50683"/>
    <w:rsid w:val="00B5078E"/>
    <w:rsid w:val="00B507EC"/>
    <w:rsid w:val="00B50938"/>
    <w:rsid w:val="00B50947"/>
    <w:rsid w:val="00B5096B"/>
    <w:rsid w:val="00B50CB4"/>
    <w:rsid w:val="00B50DB7"/>
    <w:rsid w:val="00B50DFB"/>
    <w:rsid w:val="00B50F4B"/>
    <w:rsid w:val="00B50FDE"/>
    <w:rsid w:val="00B510E8"/>
    <w:rsid w:val="00B5158D"/>
    <w:rsid w:val="00B519C9"/>
    <w:rsid w:val="00B51A75"/>
    <w:rsid w:val="00B51E77"/>
    <w:rsid w:val="00B51E7A"/>
    <w:rsid w:val="00B5217E"/>
    <w:rsid w:val="00B5269A"/>
    <w:rsid w:val="00B5273E"/>
    <w:rsid w:val="00B52D3D"/>
    <w:rsid w:val="00B52FB0"/>
    <w:rsid w:val="00B530A6"/>
    <w:rsid w:val="00B530CF"/>
    <w:rsid w:val="00B53159"/>
    <w:rsid w:val="00B5344C"/>
    <w:rsid w:val="00B5372F"/>
    <w:rsid w:val="00B537EC"/>
    <w:rsid w:val="00B53988"/>
    <w:rsid w:val="00B53A29"/>
    <w:rsid w:val="00B53DBA"/>
    <w:rsid w:val="00B53E42"/>
    <w:rsid w:val="00B53E8C"/>
    <w:rsid w:val="00B53F47"/>
    <w:rsid w:val="00B53FE2"/>
    <w:rsid w:val="00B5414F"/>
    <w:rsid w:val="00B5459E"/>
    <w:rsid w:val="00B545C0"/>
    <w:rsid w:val="00B545D3"/>
    <w:rsid w:val="00B54ACA"/>
    <w:rsid w:val="00B54C80"/>
    <w:rsid w:val="00B550BF"/>
    <w:rsid w:val="00B550FC"/>
    <w:rsid w:val="00B55122"/>
    <w:rsid w:val="00B5526A"/>
    <w:rsid w:val="00B553CF"/>
    <w:rsid w:val="00B558DE"/>
    <w:rsid w:val="00B55D1E"/>
    <w:rsid w:val="00B55D4B"/>
    <w:rsid w:val="00B55D73"/>
    <w:rsid w:val="00B55EAA"/>
    <w:rsid w:val="00B55EBB"/>
    <w:rsid w:val="00B560DB"/>
    <w:rsid w:val="00B56106"/>
    <w:rsid w:val="00B56168"/>
    <w:rsid w:val="00B561E7"/>
    <w:rsid w:val="00B56222"/>
    <w:rsid w:val="00B5623A"/>
    <w:rsid w:val="00B567A9"/>
    <w:rsid w:val="00B569E7"/>
    <w:rsid w:val="00B56FD3"/>
    <w:rsid w:val="00B570F3"/>
    <w:rsid w:val="00B5720D"/>
    <w:rsid w:val="00B57249"/>
    <w:rsid w:val="00B576B9"/>
    <w:rsid w:val="00B57936"/>
    <w:rsid w:val="00B57C38"/>
    <w:rsid w:val="00B57D24"/>
    <w:rsid w:val="00B57DA4"/>
    <w:rsid w:val="00B57F97"/>
    <w:rsid w:val="00B60069"/>
    <w:rsid w:val="00B60128"/>
    <w:rsid w:val="00B601E6"/>
    <w:rsid w:val="00B6046A"/>
    <w:rsid w:val="00B60660"/>
    <w:rsid w:val="00B609DA"/>
    <w:rsid w:val="00B60ADE"/>
    <w:rsid w:val="00B60D24"/>
    <w:rsid w:val="00B60D84"/>
    <w:rsid w:val="00B60EFE"/>
    <w:rsid w:val="00B61090"/>
    <w:rsid w:val="00B61129"/>
    <w:rsid w:val="00B61401"/>
    <w:rsid w:val="00B61435"/>
    <w:rsid w:val="00B61646"/>
    <w:rsid w:val="00B6180B"/>
    <w:rsid w:val="00B6192B"/>
    <w:rsid w:val="00B61962"/>
    <w:rsid w:val="00B61978"/>
    <w:rsid w:val="00B619E7"/>
    <w:rsid w:val="00B61C14"/>
    <w:rsid w:val="00B61CC9"/>
    <w:rsid w:val="00B61E2B"/>
    <w:rsid w:val="00B62035"/>
    <w:rsid w:val="00B62087"/>
    <w:rsid w:val="00B620A0"/>
    <w:rsid w:val="00B620C9"/>
    <w:rsid w:val="00B6219F"/>
    <w:rsid w:val="00B62285"/>
    <w:rsid w:val="00B622ED"/>
    <w:rsid w:val="00B625F9"/>
    <w:rsid w:val="00B6290F"/>
    <w:rsid w:val="00B62920"/>
    <w:rsid w:val="00B629A7"/>
    <w:rsid w:val="00B62C63"/>
    <w:rsid w:val="00B62E6F"/>
    <w:rsid w:val="00B62E8B"/>
    <w:rsid w:val="00B62FC8"/>
    <w:rsid w:val="00B631E3"/>
    <w:rsid w:val="00B63268"/>
    <w:rsid w:val="00B636D9"/>
    <w:rsid w:val="00B638BF"/>
    <w:rsid w:val="00B63909"/>
    <w:rsid w:val="00B6398C"/>
    <w:rsid w:val="00B639F0"/>
    <w:rsid w:val="00B63CC4"/>
    <w:rsid w:val="00B63E23"/>
    <w:rsid w:val="00B64050"/>
    <w:rsid w:val="00B6418B"/>
    <w:rsid w:val="00B641A6"/>
    <w:rsid w:val="00B64362"/>
    <w:rsid w:val="00B643EC"/>
    <w:rsid w:val="00B6448C"/>
    <w:rsid w:val="00B64600"/>
    <w:rsid w:val="00B648AD"/>
    <w:rsid w:val="00B64A1F"/>
    <w:rsid w:val="00B64CBE"/>
    <w:rsid w:val="00B652E0"/>
    <w:rsid w:val="00B653BC"/>
    <w:rsid w:val="00B65427"/>
    <w:rsid w:val="00B6562D"/>
    <w:rsid w:val="00B6562E"/>
    <w:rsid w:val="00B6575E"/>
    <w:rsid w:val="00B6594B"/>
    <w:rsid w:val="00B65B3F"/>
    <w:rsid w:val="00B65D00"/>
    <w:rsid w:val="00B65F3D"/>
    <w:rsid w:val="00B660F4"/>
    <w:rsid w:val="00B66279"/>
    <w:rsid w:val="00B662EC"/>
    <w:rsid w:val="00B66375"/>
    <w:rsid w:val="00B668E6"/>
    <w:rsid w:val="00B66B3F"/>
    <w:rsid w:val="00B66B82"/>
    <w:rsid w:val="00B66E3A"/>
    <w:rsid w:val="00B671E1"/>
    <w:rsid w:val="00B67274"/>
    <w:rsid w:val="00B674CA"/>
    <w:rsid w:val="00B676F5"/>
    <w:rsid w:val="00B67855"/>
    <w:rsid w:val="00B6785E"/>
    <w:rsid w:val="00B678C1"/>
    <w:rsid w:val="00B67944"/>
    <w:rsid w:val="00B67A03"/>
    <w:rsid w:val="00B67B04"/>
    <w:rsid w:val="00B67B89"/>
    <w:rsid w:val="00B67E7F"/>
    <w:rsid w:val="00B67E8A"/>
    <w:rsid w:val="00B701FF"/>
    <w:rsid w:val="00B7022C"/>
    <w:rsid w:val="00B70277"/>
    <w:rsid w:val="00B7050E"/>
    <w:rsid w:val="00B70A7F"/>
    <w:rsid w:val="00B70EC6"/>
    <w:rsid w:val="00B70EDC"/>
    <w:rsid w:val="00B71009"/>
    <w:rsid w:val="00B711AE"/>
    <w:rsid w:val="00B71204"/>
    <w:rsid w:val="00B7139B"/>
    <w:rsid w:val="00B71700"/>
    <w:rsid w:val="00B7171C"/>
    <w:rsid w:val="00B71731"/>
    <w:rsid w:val="00B717B0"/>
    <w:rsid w:val="00B71A64"/>
    <w:rsid w:val="00B71AF0"/>
    <w:rsid w:val="00B71C9C"/>
    <w:rsid w:val="00B71F4E"/>
    <w:rsid w:val="00B71FB1"/>
    <w:rsid w:val="00B71FD5"/>
    <w:rsid w:val="00B72015"/>
    <w:rsid w:val="00B7201F"/>
    <w:rsid w:val="00B72075"/>
    <w:rsid w:val="00B720CB"/>
    <w:rsid w:val="00B72150"/>
    <w:rsid w:val="00B7218C"/>
    <w:rsid w:val="00B721D1"/>
    <w:rsid w:val="00B7234D"/>
    <w:rsid w:val="00B723BC"/>
    <w:rsid w:val="00B7245B"/>
    <w:rsid w:val="00B725C3"/>
    <w:rsid w:val="00B72772"/>
    <w:rsid w:val="00B72778"/>
    <w:rsid w:val="00B72804"/>
    <w:rsid w:val="00B728B1"/>
    <w:rsid w:val="00B728BD"/>
    <w:rsid w:val="00B728E1"/>
    <w:rsid w:val="00B72A32"/>
    <w:rsid w:val="00B72CBF"/>
    <w:rsid w:val="00B72CFE"/>
    <w:rsid w:val="00B72F36"/>
    <w:rsid w:val="00B72F51"/>
    <w:rsid w:val="00B7303A"/>
    <w:rsid w:val="00B730B2"/>
    <w:rsid w:val="00B730CD"/>
    <w:rsid w:val="00B738DA"/>
    <w:rsid w:val="00B738FC"/>
    <w:rsid w:val="00B73AB4"/>
    <w:rsid w:val="00B73B6F"/>
    <w:rsid w:val="00B73BF2"/>
    <w:rsid w:val="00B73C38"/>
    <w:rsid w:val="00B73C4B"/>
    <w:rsid w:val="00B73E39"/>
    <w:rsid w:val="00B73E5B"/>
    <w:rsid w:val="00B740ED"/>
    <w:rsid w:val="00B74392"/>
    <w:rsid w:val="00B74874"/>
    <w:rsid w:val="00B74A6C"/>
    <w:rsid w:val="00B74AE2"/>
    <w:rsid w:val="00B74B69"/>
    <w:rsid w:val="00B74CAD"/>
    <w:rsid w:val="00B74DFD"/>
    <w:rsid w:val="00B7533F"/>
    <w:rsid w:val="00B75346"/>
    <w:rsid w:val="00B75390"/>
    <w:rsid w:val="00B7548A"/>
    <w:rsid w:val="00B7555F"/>
    <w:rsid w:val="00B7557C"/>
    <w:rsid w:val="00B757CB"/>
    <w:rsid w:val="00B759B3"/>
    <w:rsid w:val="00B75A04"/>
    <w:rsid w:val="00B75A5A"/>
    <w:rsid w:val="00B75C4E"/>
    <w:rsid w:val="00B75FCE"/>
    <w:rsid w:val="00B76002"/>
    <w:rsid w:val="00B76442"/>
    <w:rsid w:val="00B7646E"/>
    <w:rsid w:val="00B76554"/>
    <w:rsid w:val="00B76593"/>
    <w:rsid w:val="00B765BA"/>
    <w:rsid w:val="00B768C2"/>
    <w:rsid w:val="00B76970"/>
    <w:rsid w:val="00B76A06"/>
    <w:rsid w:val="00B76AD1"/>
    <w:rsid w:val="00B7703A"/>
    <w:rsid w:val="00B77153"/>
    <w:rsid w:val="00B77203"/>
    <w:rsid w:val="00B7728B"/>
    <w:rsid w:val="00B77304"/>
    <w:rsid w:val="00B7750E"/>
    <w:rsid w:val="00B77688"/>
    <w:rsid w:val="00B778A2"/>
    <w:rsid w:val="00B77B47"/>
    <w:rsid w:val="00B77B6D"/>
    <w:rsid w:val="00B77CBE"/>
    <w:rsid w:val="00B77DB1"/>
    <w:rsid w:val="00B801D9"/>
    <w:rsid w:val="00B8047D"/>
    <w:rsid w:val="00B804E2"/>
    <w:rsid w:val="00B804FB"/>
    <w:rsid w:val="00B8059C"/>
    <w:rsid w:val="00B806E8"/>
    <w:rsid w:val="00B8073B"/>
    <w:rsid w:val="00B80ACE"/>
    <w:rsid w:val="00B80FD9"/>
    <w:rsid w:val="00B80FDA"/>
    <w:rsid w:val="00B80FDC"/>
    <w:rsid w:val="00B811F9"/>
    <w:rsid w:val="00B8166D"/>
    <w:rsid w:val="00B816B2"/>
    <w:rsid w:val="00B81EF8"/>
    <w:rsid w:val="00B8203C"/>
    <w:rsid w:val="00B8212C"/>
    <w:rsid w:val="00B8232C"/>
    <w:rsid w:val="00B825A5"/>
    <w:rsid w:val="00B82852"/>
    <w:rsid w:val="00B82906"/>
    <w:rsid w:val="00B829A1"/>
    <w:rsid w:val="00B829A8"/>
    <w:rsid w:val="00B82A1F"/>
    <w:rsid w:val="00B82AC9"/>
    <w:rsid w:val="00B82BC2"/>
    <w:rsid w:val="00B82C57"/>
    <w:rsid w:val="00B82D1B"/>
    <w:rsid w:val="00B82DB4"/>
    <w:rsid w:val="00B830AD"/>
    <w:rsid w:val="00B833B4"/>
    <w:rsid w:val="00B8344C"/>
    <w:rsid w:val="00B83496"/>
    <w:rsid w:val="00B83818"/>
    <w:rsid w:val="00B8386D"/>
    <w:rsid w:val="00B839B2"/>
    <w:rsid w:val="00B83A48"/>
    <w:rsid w:val="00B83CA2"/>
    <w:rsid w:val="00B83E0E"/>
    <w:rsid w:val="00B83EB3"/>
    <w:rsid w:val="00B84182"/>
    <w:rsid w:val="00B8439F"/>
    <w:rsid w:val="00B845F5"/>
    <w:rsid w:val="00B84696"/>
    <w:rsid w:val="00B84812"/>
    <w:rsid w:val="00B8485D"/>
    <w:rsid w:val="00B84A7D"/>
    <w:rsid w:val="00B84E29"/>
    <w:rsid w:val="00B84FB3"/>
    <w:rsid w:val="00B851A6"/>
    <w:rsid w:val="00B854B7"/>
    <w:rsid w:val="00B856E3"/>
    <w:rsid w:val="00B857AD"/>
    <w:rsid w:val="00B858F0"/>
    <w:rsid w:val="00B85A96"/>
    <w:rsid w:val="00B85B63"/>
    <w:rsid w:val="00B85C81"/>
    <w:rsid w:val="00B85CBC"/>
    <w:rsid w:val="00B85E71"/>
    <w:rsid w:val="00B85F5A"/>
    <w:rsid w:val="00B85F9C"/>
    <w:rsid w:val="00B8601D"/>
    <w:rsid w:val="00B86094"/>
    <w:rsid w:val="00B860FE"/>
    <w:rsid w:val="00B8610F"/>
    <w:rsid w:val="00B86234"/>
    <w:rsid w:val="00B86387"/>
    <w:rsid w:val="00B86543"/>
    <w:rsid w:val="00B8663F"/>
    <w:rsid w:val="00B867AD"/>
    <w:rsid w:val="00B868A5"/>
    <w:rsid w:val="00B8691B"/>
    <w:rsid w:val="00B869F2"/>
    <w:rsid w:val="00B86A3D"/>
    <w:rsid w:val="00B86B2D"/>
    <w:rsid w:val="00B86B40"/>
    <w:rsid w:val="00B86C1F"/>
    <w:rsid w:val="00B86DD6"/>
    <w:rsid w:val="00B87055"/>
    <w:rsid w:val="00B8710D"/>
    <w:rsid w:val="00B87704"/>
    <w:rsid w:val="00B87849"/>
    <w:rsid w:val="00B87864"/>
    <w:rsid w:val="00B87988"/>
    <w:rsid w:val="00B87AE6"/>
    <w:rsid w:val="00B87FA1"/>
    <w:rsid w:val="00B90141"/>
    <w:rsid w:val="00B902E9"/>
    <w:rsid w:val="00B90485"/>
    <w:rsid w:val="00B9053B"/>
    <w:rsid w:val="00B906F0"/>
    <w:rsid w:val="00B90801"/>
    <w:rsid w:val="00B90A66"/>
    <w:rsid w:val="00B90A95"/>
    <w:rsid w:val="00B90BB5"/>
    <w:rsid w:val="00B90C12"/>
    <w:rsid w:val="00B90C88"/>
    <w:rsid w:val="00B90D08"/>
    <w:rsid w:val="00B90F23"/>
    <w:rsid w:val="00B90F4C"/>
    <w:rsid w:val="00B90FE8"/>
    <w:rsid w:val="00B91127"/>
    <w:rsid w:val="00B9118E"/>
    <w:rsid w:val="00B912A2"/>
    <w:rsid w:val="00B912B2"/>
    <w:rsid w:val="00B91335"/>
    <w:rsid w:val="00B9146A"/>
    <w:rsid w:val="00B915D5"/>
    <w:rsid w:val="00B917F9"/>
    <w:rsid w:val="00B91B08"/>
    <w:rsid w:val="00B91B0C"/>
    <w:rsid w:val="00B91C31"/>
    <w:rsid w:val="00B91CF5"/>
    <w:rsid w:val="00B91D4C"/>
    <w:rsid w:val="00B91DDC"/>
    <w:rsid w:val="00B92039"/>
    <w:rsid w:val="00B9203B"/>
    <w:rsid w:val="00B92176"/>
    <w:rsid w:val="00B922B1"/>
    <w:rsid w:val="00B923A8"/>
    <w:rsid w:val="00B92518"/>
    <w:rsid w:val="00B9256D"/>
    <w:rsid w:val="00B925E1"/>
    <w:rsid w:val="00B92634"/>
    <w:rsid w:val="00B92905"/>
    <w:rsid w:val="00B92A1E"/>
    <w:rsid w:val="00B92B39"/>
    <w:rsid w:val="00B93014"/>
    <w:rsid w:val="00B93240"/>
    <w:rsid w:val="00B9328C"/>
    <w:rsid w:val="00B93347"/>
    <w:rsid w:val="00B93468"/>
    <w:rsid w:val="00B934CF"/>
    <w:rsid w:val="00B934F1"/>
    <w:rsid w:val="00B93851"/>
    <w:rsid w:val="00B93A82"/>
    <w:rsid w:val="00B93A89"/>
    <w:rsid w:val="00B93C8D"/>
    <w:rsid w:val="00B93C99"/>
    <w:rsid w:val="00B93FA6"/>
    <w:rsid w:val="00B94071"/>
    <w:rsid w:val="00B9420A"/>
    <w:rsid w:val="00B94252"/>
    <w:rsid w:val="00B943CE"/>
    <w:rsid w:val="00B94443"/>
    <w:rsid w:val="00B94583"/>
    <w:rsid w:val="00B9460E"/>
    <w:rsid w:val="00B9473F"/>
    <w:rsid w:val="00B9489F"/>
    <w:rsid w:val="00B94DDC"/>
    <w:rsid w:val="00B94E66"/>
    <w:rsid w:val="00B94EF0"/>
    <w:rsid w:val="00B94F26"/>
    <w:rsid w:val="00B95279"/>
    <w:rsid w:val="00B956DD"/>
    <w:rsid w:val="00B957AC"/>
    <w:rsid w:val="00B959A4"/>
    <w:rsid w:val="00B95B0E"/>
    <w:rsid w:val="00B95C2E"/>
    <w:rsid w:val="00B95D70"/>
    <w:rsid w:val="00B95D87"/>
    <w:rsid w:val="00B95D89"/>
    <w:rsid w:val="00B96007"/>
    <w:rsid w:val="00B9600E"/>
    <w:rsid w:val="00B9650A"/>
    <w:rsid w:val="00B96534"/>
    <w:rsid w:val="00B96603"/>
    <w:rsid w:val="00B9677A"/>
    <w:rsid w:val="00B9683C"/>
    <w:rsid w:val="00B968C6"/>
    <w:rsid w:val="00B96BAC"/>
    <w:rsid w:val="00B96C72"/>
    <w:rsid w:val="00B96ED1"/>
    <w:rsid w:val="00B96F4F"/>
    <w:rsid w:val="00B9715A"/>
    <w:rsid w:val="00B97287"/>
    <w:rsid w:val="00B97382"/>
    <w:rsid w:val="00B97435"/>
    <w:rsid w:val="00B97482"/>
    <w:rsid w:val="00B974E3"/>
    <w:rsid w:val="00B9770D"/>
    <w:rsid w:val="00B97712"/>
    <w:rsid w:val="00B978D6"/>
    <w:rsid w:val="00B979EE"/>
    <w:rsid w:val="00B97BB3"/>
    <w:rsid w:val="00B97D02"/>
    <w:rsid w:val="00B97D2C"/>
    <w:rsid w:val="00BA00DF"/>
    <w:rsid w:val="00BA02D7"/>
    <w:rsid w:val="00BA03D2"/>
    <w:rsid w:val="00BA0497"/>
    <w:rsid w:val="00BA0760"/>
    <w:rsid w:val="00BA08BC"/>
    <w:rsid w:val="00BA08CA"/>
    <w:rsid w:val="00BA098C"/>
    <w:rsid w:val="00BA0A3C"/>
    <w:rsid w:val="00BA0B71"/>
    <w:rsid w:val="00BA0BB7"/>
    <w:rsid w:val="00BA0C38"/>
    <w:rsid w:val="00BA0D88"/>
    <w:rsid w:val="00BA0DA8"/>
    <w:rsid w:val="00BA10DA"/>
    <w:rsid w:val="00BA140F"/>
    <w:rsid w:val="00BA14BE"/>
    <w:rsid w:val="00BA176D"/>
    <w:rsid w:val="00BA184D"/>
    <w:rsid w:val="00BA1ACB"/>
    <w:rsid w:val="00BA1C8A"/>
    <w:rsid w:val="00BA1CBF"/>
    <w:rsid w:val="00BA1E91"/>
    <w:rsid w:val="00BA200B"/>
    <w:rsid w:val="00BA21A9"/>
    <w:rsid w:val="00BA2242"/>
    <w:rsid w:val="00BA2382"/>
    <w:rsid w:val="00BA2392"/>
    <w:rsid w:val="00BA24CE"/>
    <w:rsid w:val="00BA2676"/>
    <w:rsid w:val="00BA2732"/>
    <w:rsid w:val="00BA293D"/>
    <w:rsid w:val="00BA2CDB"/>
    <w:rsid w:val="00BA2D0B"/>
    <w:rsid w:val="00BA2D55"/>
    <w:rsid w:val="00BA2F3C"/>
    <w:rsid w:val="00BA3294"/>
    <w:rsid w:val="00BA32FF"/>
    <w:rsid w:val="00BA3624"/>
    <w:rsid w:val="00BA362C"/>
    <w:rsid w:val="00BA368E"/>
    <w:rsid w:val="00BA373E"/>
    <w:rsid w:val="00BA38EE"/>
    <w:rsid w:val="00BA3C50"/>
    <w:rsid w:val="00BA3CE0"/>
    <w:rsid w:val="00BA3DBA"/>
    <w:rsid w:val="00BA3E98"/>
    <w:rsid w:val="00BA4023"/>
    <w:rsid w:val="00BA409C"/>
    <w:rsid w:val="00BA425B"/>
    <w:rsid w:val="00BA42E8"/>
    <w:rsid w:val="00BA4436"/>
    <w:rsid w:val="00BA45FB"/>
    <w:rsid w:val="00BA462E"/>
    <w:rsid w:val="00BA48A7"/>
    <w:rsid w:val="00BA49BC"/>
    <w:rsid w:val="00BA4B10"/>
    <w:rsid w:val="00BA4BFC"/>
    <w:rsid w:val="00BA4D21"/>
    <w:rsid w:val="00BA4FDD"/>
    <w:rsid w:val="00BA50C7"/>
    <w:rsid w:val="00BA5298"/>
    <w:rsid w:val="00BA5434"/>
    <w:rsid w:val="00BA54E9"/>
    <w:rsid w:val="00BA56B7"/>
    <w:rsid w:val="00BA5864"/>
    <w:rsid w:val="00BA587F"/>
    <w:rsid w:val="00BA59AB"/>
    <w:rsid w:val="00BA5AB7"/>
    <w:rsid w:val="00BA5AEB"/>
    <w:rsid w:val="00BA5B45"/>
    <w:rsid w:val="00BA5CA4"/>
    <w:rsid w:val="00BA5D1E"/>
    <w:rsid w:val="00BA6135"/>
    <w:rsid w:val="00BA6522"/>
    <w:rsid w:val="00BA653E"/>
    <w:rsid w:val="00BA6697"/>
    <w:rsid w:val="00BA6838"/>
    <w:rsid w:val="00BA6AA0"/>
    <w:rsid w:val="00BA6E90"/>
    <w:rsid w:val="00BA6FA6"/>
    <w:rsid w:val="00BA7034"/>
    <w:rsid w:val="00BA7285"/>
    <w:rsid w:val="00BA7287"/>
    <w:rsid w:val="00BA7356"/>
    <w:rsid w:val="00BA73A5"/>
    <w:rsid w:val="00BA74DD"/>
    <w:rsid w:val="00BA75AA"/>
    <w:rsid w:val="00BA7656"/>
    <w:rsid w:val="00BA7976"/>
    <w:rsid w:val="00BA79C3"/>
    <w:rsid w:val="00BA7A1E"/>
    <w:rsid w:val="00BA7A6C"/>
    <w:rsid w:val="00BA7B07"/>
    <w:rsid w:val="00BA7B20"/>
    <w:rsid w:val="00BA7BC5"/>
    <w:rsid w:val="00BA7CA9"/>
    <w:rsid w:val="00BA7D48"/>
    <w:rsid w:val="00BA7ED2"/>
    <w:rsid w:val="00BB002B"/>
    <w:rsid w:val="00BB03BC"/>
    <w:rsid w:val="00BB0577"/>
    <w:rsid w:val="00BB064C"/>
    <w:rsid w:val="00BB0683"/>
    <w:rsid w:val="00BB06A4"/>
    <w:rsid w:val="00BB0802"/>
    <w:rsid w:val="00BB0B14"/>
    <w:rsid w:val="00BB0D68"/>
    <w:rsid w:val="00BB0DBD"/>
    <w:rsid w:val="00BB0F77"/>
    <w:rsid w:val="00BB111C"/>
    <w:rsid w:val="00BB1167"/>
    <w:rsid w:val="00BB130A"/>
    <w:rsid w:val="00BB13FB"/>
    <w:rsid w:val="00BB149B"/>
    <w:rsid w:val="00BB14B8"/>
    <w:rsid w:val="00BB14D1"/>
    <w:rsid w:val="00BB1659"/>
    <w:rsid w:val="00BB1750"/>
    <w:rsid w:val="00BB1833"/>
    <w:rsid w:val="00BB18A7"/>
    <w:rsid w:val="00BB1929"/>
    <w:rsid w:val="00BB1954"/>
    <w:rsid w:val="00BB1A2F"/>
    <w:rsid w:val="00BB1B44"/>
    <w:rsid w:val="00BB2381"/>
    <w:rsid w:val="00BB24E2"/>
    <w:rsid w:val="00BB25FE"/>
    <w:rsid w:val="00BB266F"/>
    <w:rsid w:val="00BB26A9"/>
    <w:rsid w:val="00BB26D2"/>
    <w:rsid w:val="00BB271C"/>
    <w:rsid w:val="00BB2820"/>
    <w:rsid w:val="00BB2B9F"/>
    <w:rsid w:val="00BB2F6C"/>
    <w:rsid w:val="00BB3003"/>
    <w:rsid w:val="00BB3226"/>
    <w:rsid w:val="00BB3497"/>
    <w:rsid w:val="00BB34F5"/>
    <w:rsid w:val="00BB35A1"/>
    <w:rsid w:val="00BB366E"/>
    <w:rsid w:val="00BB3848"/>
    <w:rsid w:val="00BB3875"/>
    <w:rsid w:val="00BB39BA"/>
    <w:rsid w:val="00BB3A3E"/>
    <w:rsid w:val="00BB3B0F"/>
    <w:rsid w:val="00BB3C2C"/>
    <w:rsid w:val="00BB3E25"/>
    <w:rsid w:val="00BB3F11"/>
    <w:rsid w:val="00BB3F70"/>
    <w:rsid w:val="00BB429E"/>
    <w:rsid w:val="00BB445A"/>
    <w:rsid w:val="00BB4555"/>
    <w:rsid w:val="00BB4749"/>
    <w:rsid w:val="00BB489D"/>
    <w:rsid w:val="00BB49E1"/>
    <w:rsid w:val="00BB4B19"/>
    <w:rsid w:val="00BB4CC6"/>
    <w:rsid w:val="00BB4EA9"/>
    <w:rsid w:val="00BB4FE5"/>
    <w:rsid w:val="00BB5080"/>
    <w:rsid w:val="00BB522B"/>
    <w:rsid w:val="00BB5312"/>
    <w:rsid w:val="00BB5448"/>
    <w:rsid w:val="00BB56C7"/>
    <w:rsid w:val="00BB5796"/>
    <w:rsid w:val="00BB57A0"/>
    <w:rsid w:val="00BB5860"/>
    <w:rsid w:val="00BB58A1"/>
    <w:rsid w:val="00BB5CF8"/>
    <w:rsid w:val="00BB5D25"/>
    <w:rsid w:val="00BB5F11"/>
    <w:rsid w:val="00BB6087"/>
    <w:rsid w:val="00BB60EC"/>
    <w:rsid w:val="00BB6137"/>
    <w:rsid w:val="00BB6140"/>
    <w:rsid w:val="00BB6232"/>
    <w:rsid w:val="00BB64CF"/>
    <w:rsid w:val="00BB65ED"/>
    <w:rsid w:val="00BB68AA"/>
    <w:rsid w:val="00BB6941"/>
    <w:rsid w:val="00BB6981"/>
    <w:rsid w:val="00BB6AAD"/>
    <w:rsid w:val="00BB6AF7"/>
    <w:rsid w:val="00BB6C24"/>
    <w:rsid w:val="00BB6D0F"/>
    <w:rsid w:val="00BB6DF4"/>
    <w:rsid w:val="00BB6F54"/>
    <w:rsid w:val="00BB708B"/>
    <w:rsid w:val="00BB7162"/>
    <w:rsid w:val="00BB7266"/>
    <w:rsid w:val="00BB72D6"/>
    <w:rsid w:val="00BB72F8"/>
    <w:rsid w:val="00BB747D"/>
    <w:rsid w:val="00BB74B5"/>
    <w:rsid w:val="00BB77E5"/>
    <w:rsid w:val="00BB78AA"/>
    <w:rsid w:val="00BB7B57"/>
    <w:rsid w:val="00BB7D71"/>
    <w:rsid w:val="00BB7F39"/>
    <w:rsid w:val="00BC01C6"/>
    <w:rsid w:val="00BC029D"/>
    <w:rsid w:val="00BC02F4"/>
    <w:rsid w:val="00BC03C8"/>
    <w:rsid w:val="00BC04E8"/>
    <w:rsid w:val="00BC08FB"/>
    <w:rsid w:val="00BC0B0B"/>
    <w:rsid w:val="00BC0D5F"/>
    <w:rsid w:val="00BC0DE1"/>
    <w:rsid w:val="00BC0DF6"/>
    <w:rsid w:val="00BC0EE3"/>
    <w:rsid w:val="00BC0F8E"/>
    <w:rsid w:val="00BC0FBE"/>
    <w:rsid w:val="00BC0FDB"/>
    <w:rsid w:val="00BC10AD"/>
    <w:rsid w:val="00BC10BC"/>
    <w:rsid w:val="00BC1159"/>
    <w:rsid w:val="00BC139F"/>
    <w:rsid w:val="00BC15B1"/>
    <w:rsid w:val="00BC19A0"/>
    <w:rsid w:val="00BC1A95"/>
    <w:rsid w:val="00BC1AA8"/>
    <w:rsid w:val="00BC1BD1"/>
    <w:rsid w:val="00BC1CF4"/>
    <w:rsid w:val="00BC1F13"/>
    <w:rsid w:val="00BC20E6"/>
    <w:rsid w:val="00BC2736"/>
    <w:rsid w:val="00BC2800"/>
    <w:rsid w:val="00BC2990"/>
    <w:rsid w:val="00BC29A7"/>
    <w:rsid w:val="00BC2D4D"/>
    <w:rsid w:val="00BC2FB7"/>
    <w:rsid w:val="00BC306F"/>
    <w:rsid w:val="00BC33A7"/>
    <w:rsid w:val="00BC3555"/>
    <w:rsid w:val="00BC36B7"/>
    <w:rsid w:val="00BC3C05"/>
    <w:rsid w:val="00BC3C0E"/>
    <w:rsid w:val="00BC3CEC"/>
    <w:rsid w:val="00BC3D22"/>
    <w:rsid w:val="00BC3F1E"/>
    <w:rsid w:val="00BC3F3D"/>
    <w:rsid w:val="00BC4135"/>
    <w:rsid w:val="00BC41BE"/>
    <w:rsid w:val="00BC4230"/>
    <w:rsid w:val="00BC42EA"/>
    <w:rsid w:val="00BC44C7"/>
    <w:rsid w:val="00BC4623"/>
    <w:rsid w:val="00BC46AE"/>
    <w:rsid w:val="00BC47E1"/>
    <w:rsid w:val="00BC47F8"/>
    <w:rsid w:val="00BC49EE"/>
    <w:rsid w:val="00BC4A19"/>
    <w:rsid w:val="00BC4B15"/>
    <w:rsid w:val="00BC4BF4"/>
    <w:rsid w:val="00BC4DB4"/>
    <w:rsid w:val="00BC4E6D"/>
    <w:rsid w:val="00BC5018"/>
    <w:rsid w:val="00BC5181"/>
    <w:rsid w:val="00BC533E"/>
    <w:rsid w:val="00BC53BF"/>
    <w:rsid w:val="00BC53D0"/>
    <w:rsid w:val="00BC53D1"/>
    <w:rsid w:val="00BC5601"/>
    <w:rsid w:val="00BC563E"/>
    <w:rsid w:val="00BC5694"/>
    <w:rsid w:val="00BC58B4"/>
    <w:rsid w:val="00BC58DD"/>
    <w:rsid w:val="00BC598F"/>
    <w:rsid w:val="00BC5B75"/>
    <w:rsid w:val="00BC5DFA"/>
    <w:rsid w:val="00BC5E53"/>
    <w:rsid w:val="00BC6027"/>
    <w:rsid w:val="00BC61A9"/>
    <w:rsid w:val="00BC62C9"/>
    <w:rsid w:val="00BC62D3"/>
    <w:rsid w:val="00BC6304"/>
    <w:rsid w:val="00BC6576"/>
    <w:rsid w:val="00BC657C"/>
    <w:rsid w:val="00BC69B4"/>
    <w:rsid w:val="00BC6A72"/>
    <w:rsid w:val="00BC6B04"/>
    <w:rsid w:val="00BC6D43"/>
    <w:rsid w:val="00BC70EB"/>
    <w:rsid w:val="00BC725A"/>
    <w:rsid w:val="00BC73FC"/>
    <w:rsid w:val="00BC76FE"/>
    <w:rsid w:val="00BC79EE"/>
    <w:rsid w:val="00BC7A5F"/>
    <w:rsid w:val="00BC7BB1"/>
    <w:rsid w:val="00BC7C3D"/>
    <w:rsid w:val="00BC7E14"/>
    <w:rsid w:val="00BC7E66"/>
    <w:rsid w:val="00BC7EF6"/>
    <w:rsid w:val="00BD01CA"/>
    <w:rsid w:val="00BD0237"/>
    <w:rsid w:val="00BD05C1"/>
    <w:rsid w:val="00BD05C5"/>
    <w:rsid w:val="00BD0617"/>
    <w:rsid w:val="00BD0677"/>
    <w:rsid w:val="00BD0A5D"/>
    <w:rsid w:val="00BD0C79"/>
    <w:rsid w:val="00BD14AE"/>
    <w:rsid w:val="00BD1BA6"/>
    <w:rsid w:val="00BD1C17"/>
    <w:rsid w:val="00BD1D69"/>
    <w:rsid w:val="00BD2225"/>
    <w:rsid w:val="00BD27AC"/>
    <w:rsid w:val="00BD2893"/>
    <w:rsid w:val="00BD2988"/>
    <w:rsid w:val="00BD29A0"/>
    <w:rsid w:val="00BD2AFB"/>
    <w:rsid w:val="00BD2BAC"/>
    <w:rsid w:val="00BD2E9B"/>
    <w:rsid w:val="00BD2EBD"/>
    <w:rsid w:val="00BD3069"/>
    <w:rsid w:val="00BD3262"/>
    <w:rsid w:val="00BD3285"/>
    <w:rsid w:val="00BD33D2"/>
    <w:rsid w:val="00BD389D"/>
    <w:rsid w:val="00BD39F7"/>
    <w:rsid w:val="00BD3CE9"/>
    <w:rsid w:val="00BD3E63"/>
    <w:rsid w:val="00BD4348"/>
    <w:rsid w:val="00BD4562"/>
    <w:rsid w:val="00BD46A6"/>
    <w:rsid w:val="00BD4722"/>
    <w:rsid w:val="00BD48BC"/>
    <w:rsid w:val="00BD4939"/>
    <w:rsid w:val="00BD49DD"/>
    <w:rsid w:val="00BD4C0B"/>
    <w:rsid w:val="00BD4EE3"/>
    <w:rsid w:val="00BD501F"/>
    <w:rsid w:val="00BD531A"/>
    <w:rsid w:val="00BD53B0"/>
    <w:rsid w:val="00BD546A"/>
    <w:rsid w:val="00BD56C2"/>
    <w:rsid w:val="00BD56C9"/>
    <w:rsid w:val="00BD5760"/>
    <w:rsid w:val="00BD5866"/>
    <w:rsid w:val="00BD58F1"/>
    <w:rsid w:val="00BD590F"/>
    <w:rsid w:val="00BD5913"/>
    <w:rsid w:val="00BD592E"/>
    <w:rsid w:val="00BD5964"/>
    <w:rsid w:val="00BD5982"/>
    <w:rsid w:val="00BD5A7B"/>
    <w:rsid w:val="00BD5B78"/>
    <w:rsid w:val="00BD5C9C"/>
    <w:rsid w:val="00BD5D0F"/>
    <w:rsid w:val="00BD5E14"/>
    <w:rsid w:val="00BD5E24"/>
    <w:rsid w:val="00BD5E3E"/>
    <w:rsid w:val="00BD5E86"/>
    <w:rsid w:val="00BD602A"/>
    <w:rsid w:val="00BD6067"/>
    <w:rsid w:val="00BD607F"/>
    <w:rsid w:val="00BD6178"/>
    <w:rsid w:val="00BD61FC"/>
    <w:rsid w:val="00BD623D"/>
    <w:rsid w:val="00BD6243"/>
    <w:rsid w:val="00BD6365"/>
    <w:rsid w:val="00BD6403"/>
    <w:rsid w:val="00BD64ED"/>
    <w:rsid w:val="00BD6619"/>
    <w:rsid w:val="00BD66F0"/>
    <w:rsid w:val="00BD6819"/>
    <w:rsid w:val="00BD68A5"/>
    <w:rsid w:val="00BD6B23"/>
    <w:rsid w:val="00BD6B53"/>
    <w:rsid w:val="00BD6CA1"/>
    <w:rsid w:val="00BD6ED3"/>
    <w:rsid w:val="00BD7036"/>
    <w:rsid w:val="00BD714B"/>
    <w:rsid w:val="00BD714D"/>
    <w:rsid w:val="00BD7229"/>
    <w:rsid w:val="00BD7236"/>
    <w:rsid w:val="00BD7351"/>
    <w:rsid w:val="00BD74F5"/>
    <w:rsid w:val="00BD752D"/>
    <w:rsid w:val="00BD7610"/>
    <w:rsid w:val="00BD7617"/>
    <w:rsid w:val="00BD7BB7"/>
    <w:rsid w:val="00BD7D02"/>
    <w:rsid w:val="00BD7D25"/>
    <w:rsid w:val="00BD7E70"/>
    <w:rsid w:val="00BD7E7F"/>
    <w:rsid w:val="00BE0235"/>
    <w:rsid w:val="00BE03B4"/>
    <w:rsid w:val="00BE077E"/>
    <w:rsid w:val="00BE077F"/>
    <w:rsid w:val="00BE085A"/>
    <w:rsid w:val="00BE08CE"/>
    <w:rsid w:val="00BE08F8"/>
    <w:rsid w:val="00BE0920"/>
    <w:rsid w:val="00BE096D"/>
    <w:rsid w:val="00BE09DD"/>
    <w:rsid w:val="00BE0A06"/>
    <w:rsid w:val="00BE0C24"/>
    <w:rsid w:val="00BE0D49"/>
    <w:rsid w:val="00BE0DA3"/>
    <w:rsid w:val="00BE0F0E"/>
    <w:rsid w:val="00BE0FD7"/>
    <w:rsid w:val="00BE0FF5"/>
    <w:rsid w:val="00BE1038"/>
    <w:rsid w:val="00BE14E1"/>
    <w:rsid w:val="00BE155A"/>
    <w:rsid w:val="00BE1596"/>
    <w:rsid w:val="00BE15DE"/>
    <w:rsid w:val="00BE162E"/>
    <w:rsid w:val="00BE1659"/>
    <w:rsid w:val="00BE16BA"/>
    <w:rsid w:val="00BE16CA"/>
    <w:rsid w:val="00BE1B71"/>
    <w:rsid w:val="00BE1ECF"/>
    <w:rsid w:val="00BE2064"/>
    <w:rsid w:val="00BE20E3"/>
    <w:rsid w:val="00BE245C"/>
    <w:rsid w:val="00BE24CB"/>
    <w:rsid w:val="00BE289F"/>
    <w:rsid w:val="00BE2B0E"/>
    <w:rsid w:val="00BE2BFC"/>
    <w:rsid w:val="00BE2C47"/>
    <w:rsid w:val="00BE2E58"/>
    <w:rsid w:val="00BE2F64"/>
    <w:rsid w:val="00BE2F87"/>
    <w:rsid w:val="00BE3163"/>
    <w:rsid w:val="00BE33AE"/>
    <w:rsid w:val="00BE33D9"/>
    <w:rsid w:val="00BE33EB"/>
    <w:rsid w:val="00BE3542"/>
    <w:rsid w:val="00BE3572"/>
    <w:rsid w:val="00BE3789"/>
    <w:rsid w:val="00BE3858"/>
    <w:rsid w:val="00BE3991"/>
    <w:rsid w:val="00BE3A6D"/>
    <w:rsid w:val="00BE3AD7"/>
    <w:rsid w:val="00BE3B12"/>
    <w:rsid w:val="00BE3DAD"/>
    <w:rsid w:val="00BE3DC8"/>
    <w:rsid w:val="00BE3E64"/>
    <w:rsid w:val="00BE4057"/>
    <w:rsid w:val="00BE425E"/>
    <w:rsid w:val="00BE446F"/>
    <w:rsid w:val="00BE45A1"/>
    <w:rsid w:val="00BE4649"/>
    <w:rsid w:val="00BE4753"/>
    <w:rsid w:val="00BE47C0"/>
    <w:rsid w:val="00BE4871"/>
    <w:rsid w:val="00BE4894"/>
    <w:rsid w:val="00BE4B97"/>
    <w:rsid w:val="00BE4BD1"/>
    <w:rsid w:val="00BE4C21"/>
    <w:rsid w:val="00BE4C6F"/>
    <w:rsid w:val="00BE4D62"/>
    <w:rsid w:val="00BE4F01"/>
    <w:rsid w:val="00BE4F94"/>
    <w:rsid w:val="00BE51C8"/>
    <w:rsid w:val="00BE52F6"/>
    <w:rsid w:val="00BE53C3"/>
    <w:rsid w:val="00BE53EF"/>
    <w:rsid w:val="00BE5499"/>
    <w:rsid w:val="00BE556F"/>
    <w:rsid w:val="00BE55C1"/>
    <w:rsid w:val="00BE5A72"/>
    <w:rsid w:val="00BE5C08"/>
    <w:rsid w:val="00BE5EB1"/>
    <w:rsid w:val="00BE613A"/>
    <w:rsid w:val="00BE62A3"/>
    <w:rsid w:val="00BE6445"/>
    <w:rsid w:val="00BE6676"/>
    <w:rsid w:val="00BE672F"/>
    <w:rsid w:val="00BE6AEA"/>
    <w:rsid w:val="00BE6F91"/>
    <w:rsid w:val="00BE707A"/>
    <w:rsid w:val="00BE7105"/>
    <w:rsid w:val="00BE72A2"/>
    <w:rsid w:val="00BE72E3"/>
    <w:rsid w:val="00BE7351"/>
    <w:rsid w:val="00BE747E"/>
    <w:rsid w:val="00BE7547"/>
    <w:rsid w:val="00BE767C"/>
    <w:rsid w:val="00BE76B6"/>
    <w:rsid w:val="00BE790D"/>
    <w:rsid w:val="00BE79A3"/>
    <w:rsid w:val="00BE79E9"/>
    <w:rsid w:val="00BE7BA6"/>
    <w:rsid w:val="00BE7D39"/>
    <w:rsid w:val="00BE7D51"/>
    <w:rsid w:val="00BF008E"/>
    <w:rsid w:val="00BF01AD"/>
    <w:rsid w:val="00BF040B"/>
    <w:rsid w:val="00BF0828"/>
    <w:rsid w:val="00BF094A"/>
    <w:rsid w:val="00BF09E1"/>
    <w:rsid w:val="00BF0AB1"/>
    <w:rsid w:val="00BF0AC4"/>
    <w:rsid w:val="00BF0B4F"/>
    <w:rsid w:val="00BF1332"/>
    <w:rsid w:val="00BF14DF"/>
    <w:rsid w:val="00BF1500"/>
    <w:rsid w:val="00BF18D9"/>
    <w:rsid w:val="00BF18FF"/>
    <w:rsid w:val="00BF195E"/>
    <w:rsid w:val="00BF1A01"/>
    <w:rsid w:val="00BF1B6C"/>
    <w:rsid w:val="00BF1B7D"/>
    <w:rsid w:val="00BF1B84"/>
    <w:rsid w:val="00BF1CA1"/>
    <w:rsid w:val="00BF1E97"/>
    <w:rsid w:val="00BF207A"/>
    <w:rsid w:val="00BF211F"/>
    <w:rsid w:val="00BF2208"/>
    <w:rsid w:val="00BF23FF"/>
    <w:rsid w:val="00BF2801"/>
    <w:rsid w:val="00BF2A61"/>
    <w:rsid w:val="00BF2ABC"/>
    <w:rsid w:val="00BF2BA2"/>
    <w:rsid w:val="00BF2E4B"/>
    <w:rsid w:val="00BF2FAA"/>
    <w:rsid w:val="00BF31D3"/>
    <w:rsid w:val="00BF31FA"/>
    <w:rsid w:val="00BF334D"/>
    <w:rsid w:val="00BF3471"/>
    <w:rsid w:val="00BF3579"/>
    <w:rsid w:val="00BF35C6"/>
    <w:rsid w:val="00BF3633"/>
    <w:rsid w:val="00BF378A"/>
    <w:rsid w:val="00BF38F4"/>
    <w:rsid w:val="00BF3DFF"/>
    <w:rsid w:val="00BF3E5C"/>
    <w:rsid w:val="00BF3EE2"/>
    <w:rsid w:val="00BF4503"/>
    <w:rsid w:val="00BF456C"/>
    <w:rsid w:val="00BF45DD"/>
    <w:rsid w:val="00BF462F"/>
    <w:rsid w:val="00BF464C"/>
    <w:rsid w:val="00BF4965"/>
    <w:rsid w:val="00BF4AD6"/>
    <w:rsid w:val="00BF4B6B"/>
    <w:rsid w:val="00BF4B9A"/>
    <w:rsid w:val="00BF4E24"/>
    <w:rsid w:val="00BF4E99"/>
    <w:rsid w:val="00BF4FE4"/>
    <w:rsid w:val="00BF507F"/>
    <w:rsid w:val="00BF52BD"/>
    <w:rsid w:val="00BF52CD"/>
    <w:rsid w:val="00BF5540"/>
    <w:rsid w:val="00BF55A0"/>
    <w:rsid w:val="00BF5CCF"/>
    <w:rsid w:val="00BF5CDF"/>
    <w:rsid w:val="00BF5DFB"/>
    <w:rsid w:val="00BF6266"/>
    <w:rsid w:val="00BF63D5"/>
    <w:rsid w:val="00BF664E"/>
    <w:rsid w:val="00BF684F"/>
    <w:rsid w:val="00BF694A"/>
    <w:rsid w:val="00BF6A20"/>
    <w:rsid w:val="00BF6CE1"/>
    <w:rsid w:val="00BF6F7E"/>
    <w:rsid w:val="00BF7237"/>
    <w:rsid w:val="00BF75D6"/>
    <w:rsid w:val="00BF764D"/>
    <w:rsid w:val="00BF76CA"/>
    <w:rsid w:val="00BF777A"/>
    <w:rsid w:val="00BF7847"/>
    <w:rsid w:val="00BF7951"/>
    <w:rsid w:val="00BF7AD7"/>
    <w:rsid w:val="00BF7BAF"/>
    <w:rsid w:val="00BF7BC6"/>
    <w:rsid w:val="00BF7CD0"/>
    <w:rsid w:val="00BF7CE0"/>
    <w:rsid w:val="00BF7D50"/>
    <w:rsid w:val="00BF7EC2"/>
    <w:rsid w:val="00C000C1"/>
    <w:rsid w:val="00C000C3"/>
    <w:rsid w:val="00C0018C"/>
    <w:rsid w:val="00C0036E"/>
    <w:rsid w:val="00C00387"/>
    <w:rsid w:val="00C0039D"/>
    <w:rsid w:val="00C003A5"/>
    <w:rsid w:val="00C00571"/>
    <w:rsid w:val="00C00752"/>
    <w:rsid w:val="00C00930"/>
    <w:rsid w:val="00C00A52"/>
    <w:rsid w:val="00C0107E"/>
    <w:rsid w:val="00C0125A"/>
    <w:rsid w:val="00C0136C"/>
    <w:rsid w:val="00C01506"/>
    <w:rsid w:val="00C01536"/>
    <w:rsid w:val="00C01707"/>
    <w:rsid w:val="00C01DCF"/>
    <w:rsid w:val="00C01E73"/>
    <w:rsid w:val="00C01FED"/>
    <w:rsid w:val="00C0211A"/>
    <w:rsid w:val="00C021AF"/>
    <w:rsid w:val="00C02619"/>
    <w:rsid w:val="00C0265D"/>
    <w:rsid w:val="00C026D2"/>
    <w:rsid w:val="00C029F6"/>
    <w:rsid w:val="00C02A13"/>
    <w:rsid w:val="00C02ACA"/>
    <w:rsid w:val="00C02B09"/>
    <w:rsid w:val="00C02CB2"/>
    <w:rsid w:val="00C02E2C"/>
    <w:rsid w:val="00C02E41"/>
    <w:rsid w:val="00C02E4D"/>
    <w:rsid w:val="00C02FE7"/>
    <w:rsid w:val="00C03099"/>
    <w:rsid w:val="00C0347E"/>
    <w:rsid w:val="00C0361B"/>
    <w:rsid w:val="00C037AD"/>
    <w:rsid w:val="00C03850"/>
    <w:rsid w:val="00C0386D"/>
    <w:rsid w:val="00C03887"/>
    <w:rsid w:val="00C03C57"/>
    <w:rsid w:val="00C03D50"/>
    <w:rsid w:val="00C03E66"/>
    <w:rsid w:val="00C0442F"/>
    <w:rsid w:val="00C0447F"/>
    <w:rsid w:val="00C04E0E"/>
    <w:rsid w:val="00C04F6C"/>
    <w:rsid w:val="00C050EA"/>
    <w:rsid w:val="00C052AF"/>
    <w:rsid w:val="00C055BA"/>
    <w:rsid w:val="00C05AA4"/>
    <w:rsid w:val="00C05AE7"/>
    <w:rsid w:val="00C05CC3"/>
    <w:rsid w:val="00C05E6F"/>
    <w:rsid w:val="00C05F3B"/>
    <w:rsid w:val="00C060AD"/>
    <w:rsid w:val="00C060E7"/>
    <w:rsid w:val="00C0611D"/>
    <w:rsid w:val="00C062B4"/>
    <w:rsid w:val="00C06315"/>
    <w:rsid w:val="00C063D1"/>
    <w:rsid w:val="00C06409"/>
    <w:rsid w:val="00C064C7"/>
    <w:rsid w:val="00C0665A"/>
    <w:rsid w:val="00C0670D"/>
    <w:rsid w:val="00C0674F"/>
    <w:rsid w:val="00C0691D"/>
    <w:rsid w:val="00C06A84"/>
    <w:rsid w:val="00C06ACB"/>
    <w:rsid w:val="00C06B72"/>
    <w:rsid w:val="00C06BDF"/>
    <w:rsid w:val="00C06C07"/>
    <w:rsid w:val="00C06CD3"/>
    <w:rsid w:val="00C06DF4"/>
    <w:rsid w:val="00C072DA"/>
    <w:rsid w:val="00C07475"/>
    <w:rsid w:val="00C1029C"/>
    <w:rsid w:val="00C103E8"/>
    <w:rsid w:val="00C1062C"/>
    <w:rsid w:val="00C1073A"/>
    <w:rsid w:val="00C1075F"/>
    <w:rsid w:val="00C10873"/>
    <w:rsid w:val="00C109BA"/>
    <w:rsid w:val="00C10B46"/>
    <w:rsid w:val="00C10B7E"/>
    <w:rsid w:val="00C10B8C"/>
    <w:rsid w:val="00C10BD0"/>
    <w:rsid w:val="00C10D7C"/>
    <w:rsid w:val="00C10E53"/>
    <w:rsid w:val="00C110C2"/>
    <w:rsid w:val="00C11190"/>
    <w:rsid w:val="00C111E6"/>
    <w:rsid w:val="00C112FE"/>
    <w:rsid w:val="00C11309"/>
    <w:rsid w:val="00C113A5"/>
    <w:rsid w:val="00C113BF"/>
    <w:rsid w:val="00C114CC"/>
    <w:rsid w:val="00C117CC"/>
    <w:rsid w:val="00C1183B"/>
    <w:rsid w:val="00C11997"/>
    <w:rsid w:val="00C11A70"/>
    <w:rsid w:val="00C11BDC"/>
    <w:rsid w:val="00C11D54"/>
    <w:rsid w:val="00C11D88"/>
    <w:rsid w:val="00C11DE3"/>
    <w:rsid w:val="00C11E4A"/>
    <w:rsid w:val="00C11E8D"/>
    <w:rsid w:val="00C12029"/>
    <w:rsid w:val="00C121A0"/>
    <w:rsid w:val="00C12309"/>
    <w:rsid w:val="00C1237D"/>
    <w:rsid w:val="00C124AB"/>
    <w:rsid w:val="00C126FB"/>
    <w:rsid w:val="00C12B0E"/>
    <w:rsid w:val="00C12E70"/>
    <w:rsid w:val="00C1311A"/>
    <w:rsid w:val="00C131AC"/>
    <w:rsid w:val="00C1383A"/>
    <w:rsid w:val="00C13901"/>
    <w:rsid w:val="00C13975"/>
    <w:rsid w:val="00C13B09"/>
    <w:rsid w:val="00C140A5"/>
    <w:rsid w:val="00C140FE"/>
    <w:rsid w:val="00C14358"/>
    <w:rsid w:val="00C143B7"/>
    <w:rsid w:val="00C148F4"/>
    <w:rsid w:val="00C14B27"/>
    <w:rsid w:val="00C14D2D"/>
    <w:rsid w:val="00C14E15"/>
    <w:rsid w:val="00C14E2D"/>
    <w:rsid w:val="00C1514A"/>
    <w:rsid w:val="00C151C7"/>
    <w:rsid w:val="00C15211"/>
    <w:rsid w:val="00C152F0"/>
    <w:rsid w:val="00C15377"/>
    <w:rsid w:val="00C153F1"/>
    <w:rsid w:val="00C155C8"/>
    <w:rsid w:val="00C15702"/>
    <w:rsid w:val="00C1587D"/>
    <w:rsid w:val="00C158F5"/>
    <w:rsid w:val="00C15A1A"/>
    <w:rsid w:val="00C15C64"/>
    <w:rsid w:val="00C15CFF"/>
    <w:rsid w:val="00C15DD6"/>
    <w:rsid w:val="00C15EE1"/>
    <w:rsid w:val="00C15F01"/>
    <w:rsid w:val="00C16303"/>
    <w:rsid w:val="00C16355"/>
    <w:rsid w:val="00C16569"/>
    <w:rsid w:val="00C16796"/>
    <w:rsid w:val="00C168AC"/>
    <w:rsid w:val="00C16911"/>
    <w:rsid w:val="00C1693C"/>
    <w:rsid w:val="00C16AF2"/>
    <w:rsid w:val="00C16DD2"/>
    <w:rsid w:val="00C16ECB"/>
    <w:rsid w:val="00C17442"/>
    <w:rsid w:val="00C17457"/>
    <w:rsid w:val="00C175F5"/>
    <w:rsid w:val="00C17720"/>
    <w:rsid w:val="00C179A7"/>
    <w:rsid w:val="00C179F9"/>
    <w:rsid w:val="00C17EA9"/>
    <w:rsid w:val="00C2027C"/>
    <w:rsid w:val="00C20392"/>
    <w:rsid w:val="00C2052E"/>
    <w:rsid w:val="00C207C5"/>
    <w:rsid w:val="00C2096E"/>
    <w:rsid w:val="00C20BBF"/>
    <w:rsid w:val="00C20BDB"/>
    <w:rsid w:val="00C20CEB"/>
    <w:rsid w:val="00C210B1"/>
    <w:rsid w:val="00C21133"/>
    <w:rsid w:val="00C21154"/>
    <w:rsid w:val="00C2119C"/>
    <w:rsid w:val="00C213F4"/>
    <w:rsid w:val="00C214B2"/>
    <w:rsid w:val="00C216CB"/>
    <w:rsid w:val="00C2176E"/>
    <w:rsid w:val="00C2196F"/>
    <w:rsid w:val="00C21A57"/>
    <w:rsid w:val="00C21A7F"/>
    <w:rsid w:val="00C21B54"/>
    <w:rsid w:val="00C21BBB"/>
    <w:rsid w:val="00C21C58"/>
    <w:rsid w:val="00C21DBB"/>
    <w:rsid w:val="00C21F4C"/>
    <w:rsid w:val="00C220E6"/>
    <w:rsid w:val="00C2249C"/>
    <w:rsid w:val="00C224F5"/>
    <w:rsid w:val="00C225C4"/>
    <w:rsid w:val="00C2272B"/>
    <w:rsid w:val="00C2292B"/>
    <w:rsid w:val="00C22BAE"/>
    <w:rsid w:val="00C22BBB"/>
    <w:rsid w:val="00C22BF8"/>
    <w:rsid w:val="00C22D0A"/>
    <w:rsid w:val="00C22D52"/>
    <w:rsid w:val="00C22E56"/>
    <w:rsid w:val="00C23089"/>
    <w:rsid w:val="00C23114"/>
    <w:rsid w:val="00C23123"/>
    <w:rsid w:val="00C231B1"/>
    <w:rsid w:val="00C2336F"/>
    <w:rsid w:val="00C23430"/>
    <w:rsid w:val="00C23485"/>
    <w:rsid w:val="00C234C0"/>
    <w:rsid w:val="00C235A4"/>
    <w:rsid w:val="00C2367F"/>
    <w:rsid w:val="00C2372A"/>
    <w:rsid w:val="00C238BF"/>
    <w:rsid w:val="00C23A7F"/>
    <w:rsid w:val="00C23C95"/>
    <w:rsid w:val="00C240E6"/>
    <w:rsid w:val="00C2425E"/>
    <w:rsid w:val="00C242A3"/>
    <w:rsid w:val="00C242A7"/>
    <w:rsid w:val="00C242A8"/>
    <w:rsid w:val="00C247BA"/>
    <w:rsid w:val="00C24841"/>
    <w:rsid w:val="00C24941"/>
    <w:rsid w:val="00C249AC"/>
    <w:rsid w:val="00C24AF2"/>
    <w:rsid w:val="00C24BAF"/>
    <w:rsid w:val="00C24E7D"/>
    <w:rsid w:val="00C24F2C"/>
    <w:rsid w:val="00C2500D"/>
    <w:rsid w:val="00C25186"/>
    <w:rsid w:val="00C25246"/>
    <w:rsid w:val="00C25354"/>
    <w:rsid w:val="00C25579"/>
    <w:rsid w:val="00C258C5"/>
    <w:rsid w:val="00C2597A"/>
    <w:rsid w:val="00C25ADF"/>
    <w:rsid w:val="00C25F23"/>
    <w:rsid w:val="00C2644C"/>
    <w:rsid w:val="00C26704"/>
    <w:rsid w:val="00C2672E"/>
    <w:rsid w:val="00C267ED"/>
    <w:rsid w:val="00C268E5"/>
    <w:rsid w:val="00C26957"/>
    <w:rsid w:val="00C26BA0"/>
    <w:rsid w:val="00C26BAA"/>
    <w:rsid w:val="00C26DAB"/>
    <w:rsid w:val="00C26E91"/>
    <w:rsid w:val="00C26EA5"/>
    <w:rsid w:val="00C26ECF"/>
    <w:rsid w:val="00C27360"/>
    <w:rsid w:val="00C27609"/>
    <w:rsid w:val="00C279A3"/>
    <w:rsid w:val="00C27B2F"/>
    <w:rsid w:val="00C27CD0"/>
    <w:rsid w:val="00C27D67"/>
    <w:rsid w:val="00C27D68"/>
    <w:rsid w:val="00C27D6E"/>
    <w:rsid w:val="00C27E98"/>
    <w:rsid w:val="00C300B9"/>
    <w:rsid w:val="00C30420"/>
    <w:rsid w:val="00C30589"/>
    <w:rsid w:val="00C305B1"/>
    <w:rsid w:val="00C30660"/>
    <w:rsid w:val="00C30726"/>
    <w:rsid w:val="00C30BF2"/>
    <w:rsid w:val="00C30F38"/>
    <w:rsid w:val="00C31083"/>
    <w:rsid w:val="00C310E4"/>
    <w:rsid w:val="00C31140"/>
    <w:rsid w:val="00C31253"/>
    <w:rsid w:val="00C31264"/>
    <w:rsid w:val="00C312FD"/>
    <w:rsid w:val="00C313C2"/>
    <w:rsid w:val="00C31430"/>
    <w:rsid w:val="00C3157D"/>
    <w:rsid w:val="00C31602"/>
    <w:rsid w:val="00C3161D"/>
    <w:rsid w:val="00C31797"/>
    <w:rsid w:val="00C318F9"/>
    <w:rsid w:val="00C31C90"/>
    <w:rsid w:val="00C31E3C"/>
    <w:rsid w:val="00C31F77"/>
    <w:rsid w:val="00C320C7"/>
    <w:rsid w:val="00C3247F"/>
    <w:rsid w:val="00C324D1"/>
    <w:rsid w:val="00C32551"/>
    <w:rsid w:val="00C327B3"/>
    <w:rsid w:val="00C32811"/>
    <w:rsid w:val="00C32845"/>
    <w:rsid w:val="00C3293D"/>
    <w:rsid w:val="00C32D1C"/>
    <w:rsid w:val="00C32E74"/>
    <w:rsid w:val="00C32EDB"/>
    <w:rsid w:val="00C32F1C"/>
    <w:rsid w:val="00C33143"/>
    <w:rsid w:val="00C3317C"/>
    <w:rsid w:val="00C33191"/>
    <w:rsid w:val="00C3321C"/>
    <w:rsid w:val="00C332E0"/>
    <w:rsid w:val="00C33429"/>
    <w:rsid w:val="00C33749"/>
    <w:rsid w:val="00C33905"/>
    <w:rsid w:val="00C33B7B"/>
    <w:rsid w:val="00C33BB7"/>
    <w:rsid w:val="00C33D04"/>
    <w:rsid w:val="00C33EAC"/>
    <w:rsid w:val="00C33FB2"/>
    <w:rsid w:val="00C33FFA"/>
    <w:rsid w:val="00C3401A"/>
    <w:rsid w:val="00C3444F"/>
    <w:rsid w:val="00C34613"/>
    <w:rsid w:val="00C34EC8"/>
    <w:rsid w:val="00C34FE9"/>
    <w:rsid w:val="00C3508B"/>
    <w:rsid w:val="00C3518C"/>
    <w:rsid w:val="00C35883"/>
    <w:rsid w:val="00C35886"/>
    <w:rsid w:val="00C35970"/>
    <w:rsid w:val="00C35A5A"/>
    <w:rsid w:val="00C35BF0"/>
    <w:rsid w:val="00C36026"/>
    <w:rsid w:val="00C3641E"/>
    <w:rsid w:val="00C367D8"/>
    <w:rsid w:val="00C36800"/>
    <w:rsid w:val="00C36A11"/>
    <w:rsid w:val="00C36ADB"/>
    <w:rsid w:val="00C36BD2"/>
    <w:rsid w:val="00C36DA0"/>
    <w:rsid w:val="00C36DC0"/>
    <w:rsid w:val="00C36E3A"/>
    <w:rsid w:val="00C36E4C"/>
    <w:rsid w:val="00C36E66"/>
    <w:rsid w:val="00C36EA8"/>
    <w:rsid w:val="00C36EC9"/>
    <w:rsid w:val="00C3709F"/>
    <w:rsid w:val="00C370CF"/>
    <w:rsid w:val="00C3730F"/>
    <w:rsid w:val="00C3740F"/>
    <w:rsid w:val="00C37712"/>
    <w:rsid w:val="00C37746"/>
    <w:rsid w:val="00C3779D"/>
    <w:rsid w:val="00C377C4"/>
    <w:rsid w:val="00C377EF"/>
    <w:rsid w:val="00C378F8"/>
    <w:rsid w:val="00C3794E"/>
    <w:rsid w:val="00C37954"/>
    <w:rsid w:val="00C3797F"/>
    <w:rsid w:val="00C37D10"/>
    <w:rsid w:val="00C37D3F"/>
    <w:rsid w:val="00C37E78"/>
    <w:rsid w:val="00C400FC"/>
    <w:rsid w:val="00C401D3"/>
    <w:rsid w:val="00C40CDC"/>
    <w:rsid w:val="00C40E7A"/>
    <w:rsid w:val="00C40E94"/>
    <w:rsid w:val="00C40E9D"/>
    <w:rsid w:val="00C41210"/>
    <w:rsid w:val="00C4124A"/>
    <w:rsid w:val="00C4150D"/>
    <w:rsid w:val="00C41573"/>
    <w:rsid w:val="00C415F5"/>
    <w:rsid w:val="00C41746"/>
    <w:rsid w:val="00C41A1B"/>
    <w:rsid w:val="00C41AAC"/>
    <w:rsid w:val="00C41C7F"/>
    <w:rsid w:val="00C41F3B"/>
    <w:rsid w:val="00C423F4"/>
    <w:rsid w:val="00C423F6"/>
    <w:rsid w:val="00C42B17"/>
    <w:rsid w:val="00C42B8D"/>
    <w:rsid w:val="00C42BCD"/>
    <w:rsid w:val="00C42C3D"/>
    <w:rsid w:val="00C42DA3"/>
    <w:rsid w:val="00C42ED5"/>
    <w:rsid w:val="00C43016"/>
    <w:rsid w:val="00C4308A"/>
    <w:rsid w:val="00C43246"/>
    <w:rsid w:val="00C432E6"/>
    <w:rsid w:val="00C4377E"/>
    <w:rsid w:val="00C439CB"/>
    <w:rsid w:val="00C43A10"/>
    <w:rsid w:val="00C43A79"/>
    <w:rsid w:val="00C43BC6"/>
    <w:rsid w:val="00C43CBC"/>
    <w:rsid w:val="00C43D18"/>
    <w:rsid w:val="00C43E5C"/>
    <w:rsid w:val="00C43E9C"/>
    <w:rsid w:val="00C43F42"/>
    <w:rsid w:val="00C4416D"/>
    <w:rsid w:val="00C44599"/>
    <w:rsid w:val="00C448F5"/>
    <w:rsid w:val="00C44BCC"/>
    <w:rsid w:val="00C44BFF"/>
    <w:rsid w:val="00C44C10"/>
    <w:rsid w:val="00C44CEF"/>
    <w:rsid w:val="00C44D47"/>
    <w:rsid w:val="00C44E27"/>
    <w:rsid w:val="00C44F9A"/>
    <w:rsid w:val="00C44FBE"/>
    <w:rsid w:val="00C45063"/>
    <w:rsid w:val="00C45209"/>
    <w:rsid w:val="00C45313"/>
    <w:rsid w:val="00C45700"/>
    <w:rsid w:val="00C4576C"/>
    <w:rsid w:val="00C45791"/>
    <w:rsid w:val="00C457AD"/>
    <w:rsid w:val="00C4585D"/>
    <w:rsid w:val="00C459D7"/>
    <w:rsid w:val="00C45C0C"/>
    <w:rsid w:val="00C45CB4"/>
    <w:rsid w:val="00C45D5E"/>
    <w:rsid w:val="00C45EDA"/>
    <w:rsid w:val="00C45F2C"/>
    <w:rsid w:val="00C45F5D"/>
    <w:rsid w:val="00C45FA4"/>
    <w:rsid w:val="00C4631F"/>
    <w:rsid w:val="00C46564"/>
    <w:rsid w:val="00C46959"/>
    <w:rsid w:val="00C46A04"/>
    <w:rsid w:val="00C46DD8"/>
    <w:rsid w:val="00C46E12"/>
    <w:rsid w:val="00C46E8F"/>
    <w:rsid w:val="00C46F37"/>
    <w:rsid w:val="00C470EE"/>
    <w:rsid w:val="00C471DA"/>
    <w:rsid w:val="00C4729C"/>
    <w:rsid w:val="00C47619"/>
    <w:rsid w:val="00C477F8"/>
    <w:rsid w:val="00C47C85"/>
    <w:rsid w:val="00C47D99"/>
    <w:rsid w:val="00C47E3A"/>
    <w:rsid w:val="00C502FE"/>
    <w:rsid w:val="00C5042F"/>
    <w:rsid w:val="00C50470"/>
    <w:rsid w:val="00C5053C"/>
    <w:rsid w:val="00C505C7"/>
    <w:rsid w:val="00C506A0"/>
    <w:rsid w:val="00C507AF"/>
    <w:rsid w:val="00C508D3"/>
    <w:rsid w:val="00C50911"/>
    <w:rsid w:val="00C5096B"/>
    <w:rsid w:val="00C50AF7"/>
    <w:rsid w:val="00C50E16"/>
    <w:rsid w:val="00C50E75"/>
    <w:rsid w:val="00C50E99"/>
    <w:rsid w:val="00C50FA6"/>
    <w:rsid w:val="00C511B7"/>
    <w:rsid w:val="00C51471"/>
    <w:rsid w:val="00C5156F"/>
    <w:rsid w:val="00C517B7"/>
    <w:rsid w:val="00C519B3"/>
    <w:rsid w:val="00C51B00"/>
    <w:rsid w:val="00C51D57"/>
    <w:rsid w:val="00C51D62"/>
    <w:rsid w:val="00C52004"/>
    <w:rsid w:val="00C520F7"/>
    <w:rsid w:val="00C521D7"/>
    <w:rsid w:val="00C52285"/>
    <w:rsid w:val="00C523B9"/>
    <w:rsid w:val="00C52587"/>
    <w:rsid w:val="00C526BC"/>
    <w:rsid w:val="00C5290D"/>
    <w:rsid w:val="00C529E2"/>
    <w:rsid w:val="00C52BAC"/>
    <w:rsid w:val="00C52DA5"/>
    <w:rsid w:val="00C52E90"/>
    <w:rsid w:val="00C53360"/>
    <w:rsid w:val="00C5343B"/>
    <w:rsid w:val="00C534A1"/>
    <w:rsid w:val="00C534FE"/>
    <w:rsid w:val="00C53578"/>
    <w:rsid w:val="00C535D1"/>
    <w:rsid w:val="00C53C58"/>
    <w:rsid w:val="00C53D86"/>
    <w:rsid w:val="00C53E63"/>
    <w:rsid w:val="00C54020"/>
    <w:rsid w:val="00C540E2"/>
    <w:rsid w:val="00C54175"/>
    <w:rsid w:val="00C5425C"/>
    <w:rsid w:val="00C542C5"/>
    <w:rsid w:val="00C544AA"/>
    <w:rsid w:val="00C54605"/>
    <w:rsid w:val="00C54648"/>
    <w:rsid w:val="00C54829"/>
    <w:rsid w:val="00C54844"/>
    <w:rsid w:val="00C549DB"/>
    <w:rsid w:val="00C54A3B"/>
    <w:rsid w:val="00C54B0F"/>
    <w:rsid w:val="00C54CE0"/>
    <w:rsid w:val="00C54DE5"/>
    <w:rsid w:val="00C54EA0"/>
    <w:rsid w:val="00C54EDD"/>
    <w:rsid w:val="00C55218"/>
    <w:rsid w:val="00C55258"/>
    <w:rsid w:val="00C55638"/>
    <w:rsid w:val="00C5588C"/>
    <w:rsid w:val="00C558E0"/>
    <w:rsid w:val="00C55C0F"/>
    <w:rsid w:val="00C5627E"/>
    <w:rsid w:val="00C56297"/>
    <w:rsid w:val="00C562FF"/>
    <w:rsid w:val="00C5635A"/>
    <w:rsid w:val="00C563E1"/>
    <w:rsid w:val="00C56490"/>
    <w:rsid w:val="00C567FB"/>
    <w:rsid w:val="00C5687B"/>
    <w:rsid w:val="00C56A0C"/>
    <w:rsid w:val="00C56B5E"/>
    <w:rsid w:val="00C56B9B"/>
    <w:rsid w:val="00C56E00"/>
    <w:rsid w:val="00C57504"/>
    <w:rsid w:val="00C57538"/>
    <w:rsid w:val="00C575E1"/>
    <w:rsid w:val="00C577B8"/>
    <w:rsid w:val="00C577DA"/>
    <w:rsid w:val="00C579B4"/>
    <w:rsid w:val="00C57B02"/>
    <w:rsid w:val="00C57B10"/>
    <w:rsid w:val="00C57B62"/>
    <w:rsid w:val="00C600BC"/>
    <w:rsid w:val="00C60145"/>
    <w:rsid w:val="00C60324"/>
    <w:rsid w:val="00C60441"/>
    <w:rsid w:val="00C60477"/>
    <w:rsid w:val="00C604CE"/>
    <w:rsid w:val="00C605A8"/>
    <w:rsid w:val="00C606F5"/>
    <w:rsid w:val="00C607D8"/>
    <w:rsid w:val="00C60931"/>
    <w:rsid w:val="00C60987"/>
    <w:rsid w:val="00C60B63"/>
    <w:rsid w:val="00C60E74"/>
    <w:rsid w:val="00C60E81"/>
    <w:rsid w:val="00C60EA0"/>
    <w:rsid w:val="00C6103A"/>
    <w:rsid w:val="00C61063"/>
    <w:rsid w:val="00C611D0"/>
    <w:rsid w:val="00C613BC"/>
    <w:rsid w:val="00C61401"/>
    <w:rsid w:val="00C61411"/>
    <w:rsid w:val="00C6153F"/>
    <w:rsid w:val="00C615CA"/>
    <w:rsid w:val="00C6160C"/>
    <w:rsid w:val="00C616D2"/>
    <w:rsid w:val="00C6171D"/>
    <w:rsid w:val="00C6186C"/>
    <w:rsid w:val="00C618B1"/>
    <w:rsid w:val="00C61995"/>
    <w:rsid w:val="00C61B50"/>
    <w:rsid w:val="00C62266"/>
    <w:rsid w:val="00C623AF"/>
    <w:rsid w:val="00C6257B"/>
    <w:rsid w:val="00C6259E"/>
    <w:rsid w:val="00C625D7"/>
    <w:rsid w:val="00C62704"/>
    <w:rsid w:val="00C62741"/>
    <w:rsid w:val="00C62B76"/>
    <w:rsid w:val="00C62C22"/>
    <w:rsid w:val="00C62C9F"/>
    <w:rsid w:val="00C62DFE"/>
    <w:rsid w:val="00C62E97"/>
    <w:rsid w:val="00C62F39"/>
    <w:rsid w:val="00C62F90"/>
    <w:rsid w:val="00C62FB0"/>
    <w:rsid w:val="00C63193"/>
    <w:rsid w:val="00C63224"/>
    <w:rsid w:val="00C63255"/>
    <w:rsid w:val="00C63388"/>
    <w:rsid w:val="00C63497"/>
    <w:rsid w:val="00C634DF"/>
    <w:rsid w:val="00C634F6"/>
    <w:rsid w:val="00C63548"/>
    <w:rsid w:val="00C63673"/>
    <w:rsid w:val="00C636EB"/>
    <w:rsid w:val="00C639A5"/>
    <w:rsid w:val="00C639FF"/>
    <w:rsid w:val="00C63EB4"/>
    <w:rsid w:val="00C63F89"/>
    <w:rsid w:val="00C6406E"/>
    <w:rsid w:val="00C6418A"/>
    <w:rsid w:val="00C6422F"/>
    <w:rsid w:val="00C64233"/>
    <w:rsid w:val="00C64263"/>
    <w:rsid w:val="00C642E3"/>
    <w:rsid w:val="00C642EF"/>
    <w:rsid w:val="00C6438D"/>
    <w:rsid w:val="00C64404"/>
    <w:rsid w:val="00C644A9"/>
    <w:rsid w:val="00C644CC"/>
    <w:rsid w:val="00C64557"/>
    <w:rsid w:val="00C645ED"/>
    <w:rsid w:val="00C648F5"/>
    <w:rsid w:val="00C6490E"/>
    <w:rsid w:val="00C6517B"/>
    <w:rsid w:val="00C65294"/>
    <w:rsid w:val="00C65481"/>
    <w:rsid w:val="00C654BD"/>
    <w:rsid w:val="00C655B3"/>
    <w:rsid w:val="00C6560D"/>
    <w:rsid w:val="00C65636"/>
    <w:rsid w:val="00C658BF"/>
    <w:rsid w:val="00C65A40"/>
    <w:rsid w:val="00C65B26"/>
    <w:rsid w:val="00C65B6B"/>
    <w:rsid w:val="00C65C5D"/>
    <w:rsid w:val="00C660AB"/>
    <w:rsid w:val="00C66153"/>
    <w:rsid w:val="00C66210"/>
    <w:rsid w:val="00C6635E"/>
    <w:rsid w:val="00C6636A"/>
    <w:rsid w:val="00C6639A"/>
    <w:rsid w:val="00C66565"/>
    <w:rsid w:val="00C66655"/>
    <w:rsid w:val="00C66697"/>
    <w:rsid w:val="00C66A2B"/>
    <w:rsid w:val="00C66E69"/>
    <w:rsid w:val="00C66EF9"/>
    <w:rsid w:val="00C6711C"/>
    <w:rsid w:val="00C6745D"/>
    <w:rsid w:val="00C67478"/>
    <w:rsid w:val="00C67499"/>
    <w:rsid w:val="00C6766A"/>
    <w:rsid w:val="00C676E6"/>
    <w:rsid w:val="00C67869"/>
    <w:rsid w:val="00C679A9"/>
    <w:rsid w:val="00C67ACB"/>
    <w:rsid w:val="00C67BB1"/>
    <w:rsid w:val="00C7003D"/>
    <w:rsid w:val="00C7016A"/>
    <w:rsid w:val="00C7019E"/>
    <w:rsid w:val="00C702A6"/>
    <w:rsid w:val="00C70312"/>
    <w:rsid w:val="00C70523"/>
    <w:rsid w:val="00C706B1"/>
    <w:rsid w:val="00C709E9"/>
    <w:rsid w:val="00C70AD0"/>
    <w:rsid w:val="00C70B37"/>
    <w:rsid w:val="00C71373"/>
    <w:rsid w:val="00C71559"/>
    <w:rsid w:val="00C716A5"/>
    <w:rsid w:val="00C71973"/>
    <w:rsid w:val="00C71C32"/>
    <w:rsid w:val="00C71ED9"/>
    <w:rsid w:val="00C72090"/>
    <w:rsid w:val="00C72340"/>
    <w:rsid w:val="00C724B3"/>
    <w:rsid w:val="00C724F3"/>
    <w:rsid w:val="00C7272E"/>
    <w:rsid w:val="00C72848"/>
    <w:rsid w:val="00C728C9"/>
    <w:rsid w:val="00C72931"/>
    <w:rsid w:val="00C72C86"/>
    <w:rsid w:val="00C72E9B"/>
    <w:rsid w:val="00C72F1C"/>
    <w:rsid w:val="00C730B4"/>
    <w:rsid w:val="00C73185"/>
    <w:rsid w:val="00C73196"/>
    <w:rsid w:val="00C731CD"/>
    <w:rsid w:val="00C731FC"/>
    <w:rsid w:val="00C732F7"/>
    <w:rsid w:val="00C73418"/>
    <w:rsid w:val="00C735E5"/>
    <w:rsid w:val="00C73669"/>
    <w:rsid w:val="00C736E2"/>
    <w:rsid w:val="00C739D5"/>
    <w:rsid w:val="00C73A50"/>
    <w:rsid w:val="00C73B77"/>
    <w:rsid w:val="00C73CCF"/>
    <w:rsid w:val="00C73CD6"/>
    <w:rsid w:val="00C73D86"/>
    <w:rsid w:val="00C73D96"/>
    <w:rsid w:val="00C73DEC"/>
    <w:rsid w:val="00C73FD6"/>
    <w:rsid w:val="00C74156"/>
    <w:rsid w:val="00C742A7"/>
    <w:rsid w:val="00C7443E"/>
    <w:rsid w:val="00C744A8"/>
    <w:rsid w:val="00C74707"/>
    <w:rsid w:val="00C74BA9"/>
    <w:rsid w:val="00C74BBD"/>
    <w:rsid w:val="00C75077"/>
    <w:rsid w:val="00C753B6"/>
    <w:rsid w:val="00C7562E"/>
    <w:rsid w:val="00C757E2"/>
    <w:rsid w:val="00C75C2E"/>
    <w:rsid w:val="00C75D40"/>
    <w:rsid w:val="00C76322"/>
    <w:rsid w:val="00C764DE"/>
    <w:rsid w:val="00C76511"/>
    <w:rsid w:val="00C765B2"/>
    <w:rsid w:val="00C767B3"/>
    <w:rsid w:val="00C76C8C"/>
    <w:rsid w:val="00C76D09"/>
    <w:rsid w:val="00C76DE7"/>
    <w:rsid w:val="00C76E83"/>
    <w:rsid w:val="00C76FC8"/>
    <w:rsid w:val="00C77114"/>
    <w:rsid w:val="00C771C2"/>
    <w:rsid w:val="00C77317"/>
    <w:rsid w:val="00C7758F"/>
    <w:rsid w:val="00C7763F"/>
    <w:rsid w:val="00C7769C"/>
    <w:rsid w:val="00C77796"/>
    <w:rsid w:val="00C778A4"/>
    <w:rsid w:val="00C778AA"/>
    <w:rsid w:val="00C77A09"/>
    <w:rsid w:val="00C77A23"/>
    <w:rsid w:val="00C77A5D"/>
    <w:rsid w:val="00C77C41"/>
    <w:rsid w:val="00C77D45"/>
    <w:rsid w:val="00C77D5B"/>
    <w:rsid w:val="00C8016F"/>
    <w:rsid w:val="00C80184"/>
    <w:rsid w:val="00C8029A"/>
    <w:rsid w:val="00C804F7"/>
    <w:rsid w:val="00C80506"/>
    <w:rsid w:val="00C8063E"/>
    <w:rsid w:val="00C80781"/>
    <w:rsid w:val="00C808D4"/>
    <w:rsid w:val="00C8096C"/>
    <w:rsid w:val="00C80BB0"/>
    <w:rsid w:val="00C80C19"/>
    <w:rsid w:val="00C80D87"/>
    <w:rsid w:val="00C80DB4"/>
    <w:rsid w:val="00C80EE6"/>
    <w:rsid w:val="00C810F3"/>
    <w:rsid w:val="00C812A1"/>
    <w:rsid w:val="00C812D8"/>
    <w:rsid w:val="00C81304"/>
    <w:rsid w:val="00C81625"/>
    <w:rsid w:val="00C81754"/>
    <w:rsid w:val="00C81870"/>
    <w:rsid w:val="00C81895"/>
    <w:rsid w:val="00C81BC3"/>
    <w:rsid w:val="00C81C77"/>
    <w:rsid w:val="00C81D5A"/>
    <w:rsid w:val="00C81FE5"/>
    <w:rsid w:val="00C820EB"/>
    <w:rsid w:val="00C821B1"/>
    <w:rsid w:val="00C82291"/>
    <w:rsid w:val="00C823DA"/>
    <w:rsid w:val="00C823FD"/>
    <w:rsid w:val="00C82690"/>
    <w:rsid w:val="00C827DA"/>
    <w:rsid w:val="00C82935"/>
    <w:rsid w:val="00C82959"/>
    <w:rsid w:val="00C82B82"/>
    <w:rsid w:val="00C82E50"/>
    <w:rsid w:val="00C82ED1"/>
    <w:rsid w:val="00C82EEB"/>
    <w:rsid w:val="00C83103"/>
    <w:rsid w:val="00C832BF"/>
    <w:rsid w:val="00C832C4"/>
    <w:rsid w:val="00C83690"/>
    <w:rsid w:val="00C83700"/>
    <w:rsid w:val="00C838EF"/>
    <w:rsid w:val="00C838F7"/>
    <w:rsid w:val="00C83979"/>
    <w:rsid w:val="00C83B8E"/>
    <w:rsid w:val="00C83B99"/>
    <w:rsid w:val="00C83BFB"/>
    <w:rsid w:val="00C83E69"/>
    <w:rsid w:val="00C84298"/>
    <w:rsid w:val="00C842DC"/>
    <w:rsid w:val="00C843DF"/>
    <w:rsid w:val="00C84406"/>
    <w:rsid w:val="00C844AC"/>
    <w:rsid w:val="00C84568"/>
    <w:rsid w:val="00C845BE"/>
    <w:rsid w:val="00C847CE"/>
    <w:rsid w:val="00C848B2"/>
    <w:rsid w:val="00C84961"/>
    <w:rsid w:val="00C84A6D"/>
    <w:rsid w:val="00C84B46"/>
    <w:rsid w:val="00C84D0C"/>
    <w:rsid w:val="00C84D61"/>
    <w:rsid w:val="00C84E05"/>
    <w:rsid w:val="00C84E71"/>
    <w:rsid w:val="00C84EEE"/>
    <w:rsid w:val="00C85033"/>
    <w:rsid w:val="00C85359"/>
    <w:rsid w:val="00C8572D"/>
    <w:rsid w:val="00C85A33"/>
    <w:rsid w:val="00C85A5C"/>
    <w:rsid w:val="00C85DA7"/>
    <w:rsid w:val="00C85EB4"/>
    <w:rsid w:val="00C85F1C"/>
    <w:rsid w:val="00C85FC9"/>
    <w:rsid w:val="00C860B1"/>
    <w:rsid w:val="00C860D7"/>
    <w:rsid w:val="00C86380"/>
    <w:rsid w:val="00C865C2"/>
    <w:rsid w:val="00C867C7"/>
    <w:rsid w:val="00C86933"/>
    <w:rsid w:val="00C86B0F"/>
    <w:rsid w:val="00C86BD3"/>
    <w:rsid w:val="00C86CBE"/>
    <w:rsid w:val="00C86E0D"/>
    <w:rsid w:val="00C86E98"/>
    <w:rsid w:val="00C87081"/>
    <w:rsid w:val="00C8709F"/>
    <w:rsid w:val="00C87203"/>
    <w:rsid w:val="00C87290"/>
    <w:rsid w:val="00C8739B"/>
    <w:rsid w:val="00C87524"/>
    <w:rsid w:val="00C877AE"/>
    <w:rsid w:val="00C87B29"/>
    <w:rsid w:val="00C87C7B"/>
    <w:rsid w:val="00C87CE7"/>
    <w:rsid w:val="00C87CF7"/>
    <w:rsid w:val="00C9008B"/>
    <w:rsid w:val="00C900C1"/>
    <w:rsid w:val="00C904F1"/>
    <w:rsid w:val="00C905EF"/>
    <w:rsid w:val="00C90693"/>
    <w:rsid w:val="00C90695"/>
    <w:rsid w:val="00C906E8"/>
    <w:rsid w:val="00C90890"/>
    <w:rsid w:val="00C90986"/>
    <w:rsid w:val="00C90ADC"/>
    <w:rsid w:val="00C90BC4"/>
    <w:rsid w:val="00C90CC6"/>
    <w:rsid w:val="00C90DD3"/>
    <w:rsid w:val="00C9114A"/>
    <w:rsid w:val="00C911D3"/>
    <w:rsid w:val="00C91416"/>
    <w:rsid w:val="00C91544"/>
    <w:rsid w:val="00C918F1"/>
    <w:rsid w:val="00C91AC7"/>
    <w:rsid w:val="00C91B9B"/>
    <w:rsid w:val="00C91BB8"/>
    <w:rsid w:val="00C91C61"/>
    <w:rsid w:val="00C91D03"/>
    <w:rsid w:val="00C91D6A"/>
    <w:rsid w:val="00C91F34"/>
    <w:rsid w:val="00C9203C"/>
    <w:rsid w:val="00C921ED"/>
    <w:rsid w:val="00C9228B"/>
    <w:rsid w:val="00C92295"/>
    <w:rsid w:val="00C924AD"/>
    <w:rsid w:val="00C925DC"/>
    <w:rsid w:val="00C925E5"/>
    <w:rsid w:val="00C92654"/>
    <w:rsid w:val="00C92BE1"/>
    <w:rsid w:val="00C92F75"/>
    <w:rsid w:val="00C93025"/>
    <w:rsid w:val="00C931F6"/>
    <w:rsid w:val="00C93252"/>
    <w:rsid w:val="00C932C6"/>
    <w:rsid w:val="00C9346B"/>
    <w:rsid w:val="00C93577"/>
    <w:rsid w:val="00C93927"/>
    <w:rsid w:val="00C93A52"/>
    <w:rsid w:val="00C93A98"/>
    <w:rsid w:val="00C93F5A"/>
    <w:rsid w:val="00C940D1"/>
    <w:rsid w:val="00C9445E"/>
    <w:rsid w:val="00C944B3"/>
    <w:rsid w:val="00C945A9"/>
    <w:rsid w:val="00C94655"/>
    <w:rsid w:val="00C946A1"/>
    <w:rsid w:val="00C946D4"/>
    <w:rsid w:val="00C947D8"/>
    <w:rsid w:val="00C94802"/>
    <w:rsid w:val="00C94898"/>
    <w:rsid w:val="00C94A49"/>
    <w:rsid w:val="00C94BAF"/>
    <w:rsid w:val="00C94DAC"/>
    <w:rsid w:val="00C94E83"/>
    <w:rsid w:val="00C94E9A"/>
    <w:rsid w:val="00C94EE0"/>
    <w:rsid w:val="00C94EE1"/>
    <w:rsid w:val="00C950B2"/>
    <w:rsid w:val="00C95281"/>
    <w:rsid w:val="00C952B7"/>
    <w:rsid w:val="00C95303"/>
    <w:rsid w:val="00C95327"/>
    <w:rsid w:val="00C954C8"/>
    <w:rsid w:val="00C9550D"/>
    <w:rsid w:val="00C956B4"/>
    <w:rsid w:val="00C95B32"/>
    <w:rsid w:val="00C95C66"/>
    <w:rsid w:val="00C95CBD"/>
    <w:rsid w:val="00C95CD3"/>
    <w:rsid w:val="00C95CF4"/>
    <w:rsid w:val="00C961BA"/>
    <w:rsid w:val="00C9643B"/>
    <w:rsid w:val="00C96796"/>
    <w:rsid w:val="00C96839"/>
    <w:rsid w:val="00C96AD6"/>
    <w:rsid w:val="00C96C8B"/>
    <w:rsid w:val="00C96DE8"/>
    <w:rsid w:val="00C970E3"/>
    <w:rsid w:val="00C971DC"/>
    <w:rsid w:val="00C973D8"/>
    <w:rsid w:val="00C97615"/>
    <w:rsid w:val="00C9765A"/>
    <w:rsid w:val="00C97C3C"/>
    <w:rsid w:val="00C97C79"/>
    <w:rsid w:val="00C97E37"/>
    <w:rsid w:val="00CA0325"/>
    <w:rsid w:val="00CA03D5"/>
    <w:rsid w:val="00CA055F"/>
    <w:rsid w:val="00CA060D"/>
    <w:rsid w:val="00CA0860"/>
    <w:rsid w:val="00CA0885"/>
    <w:rsid w:val="00CA092A"/>
    <w:rsid w:val="00CA09B4"/>
    <w:rsid w:val="00CA0B77"/>
    <w:rsid w:val="00CA0D3B"/>
    <w:rsid w:val="00CA0E5F"/>
    <w:rsid w:val="00CA110C"/>
    <w:rsid w:val="00CA1207"/>
    <w:rsid w:val="00CA1243"/>
    <w:rsid w:val="00CA1344"/>
    <w:rsid w:val="00CA1367"/>
    <w:rsid w:val="00CA1383"/>
    <w:rsid w:val="00CA147C"/>
    <w:rsid w:val="00CA16B7"/>
    <w:rsid w:val="00CA1738"/>
    <w:rsid w:val="00CA187B"/>
    <w:rsid w:val="00CA19C0"/>
    <w:rsid w:val="00CA1A0F"/>
    <w:rsid w:val="00CA1A31"/>
    <w:rsid w:val="00CA1B3C"/>
    <w:rsid w:val="00CA1BB7"/>
    <w:rsid w:val="00CA2004"/>
    <w:rsid w:val="00CA2122"/>
    <w:rsid w:val="00CA22A2"/>
    <w:rsid w:val="00CA238C"/>
    <w:rsid w:val="00CA23F0"/>
    <w:rsid w:val="00CA24EF"/>
    <w:rsid w:val="00CA25FA"/>
    <w:rsid w:val="00CA2742"/>
    <w:rsid w:val="00CA2809"/>
    <w:rsid w:val="00CA2897"/>
    <w:rsid w:val="00CA2937"/>
    <w:rsid w:val="00CA2C81"/>
    <w:rsid w:val="00CA2E46"/>
    <w:rsid w:val="00CA340D"/>
    <w:rsid w:val="00CA3417"/>
    <w:rsid w:val="00CA34D1"/>
    <w:rsid w:val="00CA3542"/>
    <w:rsid w:val="00CA35AE"/>
    <w:rsid w:val="00CA38A9"/>
    <w:rsid w:val="00CA39A9"/>
    <w:rsid w:val="00CA39B8"/>
    <w:rsid w:val="00CA3C6E"/>
    <w:rsid w:val="00CA3CFB"/>
    <w:rsid w:val="00CA3D1D"/>
    <w:rsid w:val="00CA3DFD"/>
    <w:rsid w:val="00CA3E70"/>
    <w:rsid w:val="00CA3FB9"/>
    <w:rsid w:val="00CA3FDD"/>
    <w:rsid w:val="00CA40F9"/>
    <w:rsid w:val="00CA4462"/>
    <w:rsid w:val="00CA44A0"/>
    <w:rsid w:val="00CA4652"/>
    <w:rsid w:val="00CA472C"/>
    <w:rsid w:val="00CA4A8D"/>
    <w:rsid w:val="00CA4BE3"/>
    <w:rsid w:val="00CA4D7B"/>
    <w:rsid w:val="00CA4FDF"/>
    <w:rsid w:val="00CA5230"/>
    <w:rsid w:val="00CA53D4"/>
    <w:rsid w:val="00CA5500"/>
    <w:rsid w:val="00CA5645"/>
    <w:rsid w:val="00CA56FE"/>
    <w:rsid w:val="00CA5886"/>
    <w:rsid w:val="00CA5922"/>
    <w:rsid w:val="00CA59E2"/>
    <w:rsid w:val="00CA5A85"/>
    <w:rsid w:val="00CA5C2B"/>
    <w:rsid w:val="00CA5C49"/>
    <w:rsid w:val="00CA5F8B"/>
    <w:rsid w:val="00CA6231"/>
    <w:rsid w:val="00CA62AE"/>
    <w:rsid w:val="00CA6407"/>
    <w:rsid w:val="00CA6494"/>
    <w:rsid w:val="00CA64A2"/>
    <w:rsid w:val="00CA64A3"/>
    <w:rsid w:val="00CA66D5"/>
    <w:rsid w:val="00CA686A"/>
    <w:rsid w:val="00CA6BB9"/>
    <w:rsid w:val="00CA7088"/>
    <w:rsid w:val="00CA716A"/>
    <w:rsid w:val="00CA72B4"/>
    <w:rsid w:val="00CA75F8"/>
    <w:rsid w:val="00CA7630"/>
    <w:rsid w:val="00CA76E6"/>
    <w:rsid w:val="00CA7759"/>
    <w:rsid w:val="00CA78C2"/>
    <w:rsid w:val="00CA7969"/>
    <w:rsid w:val="00CA7A19"/>
    <w:rsid w:val="00CA7B92"/>
    <w:rsid w:val="00CA7C78"/>
    <w:rsid w:val="00CA7CF4"/>
    <w:rsid w:val="00CA7F93"/>
    <w:rsid w:val="00CA7FEF"/>
    <w:rsid w:val="00CB00DD"/>
    <w:rsid w:val="00CB0126"/>
    <w:rsid w:val="00CB0203"/>
    <w:rsid w:val="00CB0789"/>
    <w:rsid w:val="00CB07D3"/>
    <w:rsid w:val="00CB080E"/>
    <w:rsid w:val="00CB0910"/>
    <w:rsid w:val="00CB0960"/>
    <w:rsid w:val="00CB0968"/>
    <w:rsid w:val="00CB09AD"/>
    <w:rsid w:val="00CB09BD"/>
    <w:rsid w:val="00CB0B3D"/>
    <w:rsid w:val="00CB0B6B"/>
    <w:rsid w:val="00CB0D0D"/>
    <w:rsid w:val="00CB0D38"/>
    <w:rsid w:val="00CB0D4B"/>
    <w:rsid w:val="00CB0DB2"/>
    <w:rsid w:val="00CB0FBC"/>
    <w:rsid w:val="00CB120F"/>
    <w:rsid w:val="00CB127B"/>
    <w:rsid w:val="00CB13E7"/>
    <w:rsid w:val="00CB1795"/>
    <w:rsid w:val="00CB18CB"/>
    <w:rsid w:val="00CB1984"/>
    <w:rsid w:val="00CB1A02"/>
    <w:rsid w:val="00CB1A42"/>
    <w:rsid w:val="00CB1AFC"/>
    <w:rsid w:val="00CB1B26"/>
    <w:rsid w:val="00CB1B2B"/>
    <w:rsid w:val="00CB1DC6"/>
    <w:rsid w:val="00CB1E02"/>
    <w:rsid w:val="00CB1E1B"/>
    <w:rsid w:val="00CB1ED9"/>
    <w:rsid w:val="00CB1F38"/>
    <w:rsid w:val="00CB2178"/>
    <w:rsid w:val="00CB244E"/>
    <w:rsid w:val="00CB2587"/>
    <w:rsid w:val="00CB2627"/>
    <w:rsid w:val="00CB2652"/>
    <w:rsid w:val="00CB28C3"/>
    <w:rsid w:val="00CB2B28"/>
    <w:rsid w:val="00CB2B34"/>
    <w:rsid w:val="00CB2C6E"/>
    <w:rsid w:val="00CB2CB9"/>
    <w:rsid w:val="00CB2D01"/>
    <w:rsid w:val="00CB2F90"/>
    <w:rsid w:val="00CB3068"/>
    <w:rsid w:val="00CB312E"/>
    <w:rsid w:val="00CB31DB"/>
    <w:rsid w:val="00CB3257"/>
    <w:rsid w:val="00CB3514"/>
    <w:rsid w:val="00CB3518"/>
    <w:rsid w:val="00CB35D5"/>
    <w:rsid w:val="00CB3833"/>
    <w:rsid w:val="00CB3886"/>
    <w:rsid w:val="00CB3EF9"/>
    <w:rsid w:val="00CB4164"/>
    <w:rsid w:val="00CB419F"/>
    <w:rsid w:val="00CB4334"/>
    <w:rsid w:val="00CB435E"/>
    <w:rsid w:val="00CB44CC"/>
    <w:rsid w:val="00CB4502"/>
    <w:rsid w:val="00CB4709"/>
    <w:rsid w:val="00CB4959"/>
    <w:rsid w:val="00CB49BF"/>
    <w:rsid w:val="00CB4C25"/>
    <w:rsid w:val="00CB4C3D"/>
    <w:rsid w:val="00CB4C40"/>
    <w:rsid w:val="00CB4CCC"/>
    <w:rsid w:val="00CB4E8B"/>
    <w:rsid w:val="00CB4F37"/>
    <w:rsid w:val="00CB53A6"/>
    <w:rsid w:val="00CB5690"/>
    <w:rsid w:val="00CB5937"/>
    <w:rsid w:val="00CB5AB0"/>
    <w:rsid w:val="00CB5B1A"/>
    <w:rsid w:val="00CB5C0F"/>
    <w:rsid w:val="00CB5D6E"/>
    <w:rsid w:val="00CB5D73"/>
    <w:rsid w:val="00CB5E40"/>
    <w:rsid w:val="00CB5F05"/>
    <w:rsid w:val="00CB5F43"/>
    <w:rsid w:val="00CB5F74"/>
    <w:rsid w:val="00CB61E0"/>
    <w:rsid w:val="00CB66B7"/>
    <w:rsid w:val="00CB670E"/>
    <w:rsid w:val="00CB68D6"/>
    <w:rsid w:val="00CB6904"/>
    <w:rsid w:val="00CB6973"/>
    <w:rsid w:val="00CB6B3E"/>
    <w:rsid w:val="00CB6CC2"/>
    <w:rsid w:val="00CB6EEE"/>
    <w:rsid w:val="00CB6F9B"/>
    <w:rsid w:val="00CB7395"/>
    <w:rsid w:val="00CB73B9"/>
    <w:rsid w:val="00CB7626"/>
    <w:rsid w:val="00CB770D"/>
    <w:rsid w:val="00CB7721"/>
    <w:rsid w:val="00CB77BF"/>
    <w:rsid w:val="00CB7832"/>
    <w:rsid w:val="00CB7CF0"/>
    <w:rsid w:val="00CB7D97"/>
    <w:rsid w:val="00CC0218"/>
    <w:rsid w:val="00CC030D"/>
    <w:rsid w:val="00CC053E"/>
    <w:rsid w:val="00CC05AA"/>
    <w:rsid w:val="00CC069C"/>
    <w:rsid w:val="00CC07CA"/>
    <w:rsid w:val="00CC09BC"/>
    <w:rsid w:val="00CC13E2"/>
    <w:rsid w:val="00CC1440"/>
    <w:rsid w:val="00CC14B3"/>
    <w:rsid w:val="00CC14E8"/>
    <w:rsid w:val="00CC16FA"/>
    <w:rsid w:val="00CC175C"/>
    <w:rsid w:val="00CC1AA0"/>
    <w:rsid w:val="00CC1AEF"/>
    <w:rsid w:val="00CC1B89"/>
    <w:rsid w:val="00CC1BA6"/>
    <w:rsid w:val="00CC1BC3"/>
    <w:rsid w:val="00CC1CCB"/>
    <w:rsid w:val="00CC1DFA"/>
    <w:rsid w:val="00CC1E38"/>
    <w:rsid w:val="00CC20AB"/>
    <w:rsid w:val="00CC220B"/>
    <w:rsid w:val="00CC2238"/>
    <w:rsid w:val="00CC22DB"/>
    <w:rsid w:val="00CC2380"/>
    <w:rsid w:val="00CC25C6"/>
    <w:rsid w:val="00CC2658"/>
    <w:rsid w:val="00CC267E"/>
    <w:rsid w:val="00CC27B9"/>
    <w:rsid w:val="00CC283F"/>
    <w:rsid w:val="00CC2F18"/>
    <w:rsid w:val="00CC3178"/>
    <w:rsid w:val="00CC31A3"/>
    <w:rsid w:val="00CC3298"/>
    <w:rsid w:val="00CC3713"/>
    <w:rsid w:val="00CC3BAA"/>
    <w:rsid w:val="00CC3BE0"/>
    <w:rsid w:val="00CC3CD9"/>
    <w:rsid w:val="00CC3F96"/>
    <w:rsid w:val="00CC4060"/>
    <w:rsid w:val="00CC4219"/>
    <w:rsid w:val="00CC4315"/>
    <w:rsid w:val="00CC4330"/>
    <w:rsid w:val="00CC45D8"/>
    <w:rsid w:val="00CC4636"/>
    <w:rsid w:val="00CC463A"/>
    <w:rsid w:val="00CC47D9"/>
    <w:rsid w:val="00CC4CF6"/>
    <w:rsid w:val="00CC4D63"/>
    <w:rsid w:val="00CC4FDB"/>
    <w:rsid w:val="00CC4FDE"/>
    <w:rsid w:val="00CC50C4"/>
    <w:rsid w:val="00CC5112"/>
    <w:rsid w:val="00CC5249"/>
    <w:rsid w:val="00CC527F"/>
    <w:rsid w:val="00CC566F"/>
    <w:rsid w:val="00CC59B1"/>
    <w:rsid w:val="00CC5BCD"/>
    <w:rsid w:val="00CC5C43"/>
    <w:rsid w:val="00CC5D4F"/>
    <w:rsid w:val="00CC5E7A"/>
    <w:rsid w:val="00CC5E8E"/>
    <w:rsid w:val="00CC5F5A"/>
    <w:rsid w:val="00CC60E9"/>
    <w:rsid w:val="00CC62D8"/>
    <w:rsid w:val="00CC632C"/>
    <w:rsid w:val="00CC64FB"/>
    <w:rsid w:val="00CC651B"/>
    <w:rsid w:val="00CC6563"/>
    <w:rsid w:val="00CC65BE"/>
    <w:rsid w:val="00CC674D"/>
    <w:rsid w:val="00CC6BAC"/>
    <w:rsid w:val="00CC6CB6"/>
    <w:rsid w:val="00CC6EC9"/>
    <w:rsid w:val="00CC6ED5"/>
    <w:rsid w:val="00CC713C"/>
    <w:rsid w:val="00CC7285"/>
    <w:rsid w:val="00CC7350"/>
    <w:rsid w:val="00CC7378"/>
    <w:rsid w:val="00CC74BB"/>
    <w:rsid w:val="00CC7515"/>
    <w:rsid w:val="00CC778B"/>
    <w:rsid w:val="00CC7C92"/>
    <w:rsid w:val="00CC7F31"/>
    <w:rsid w:val="00CD02AE"/>
    <w:rsid w:val="00CD032F"/>
    <w:rsid w:val="00CD049E"/>
    <w:rsid w:val="00CD070E"/>
    <w:rsid w:val="00CD07B5"/>
    <w:rsid w:val="00CD0D27"/>
    <w:rsid w:val="00CD0E95"/>
    <w:rsid w:val="00CD0EB3"/>
    <w:rsid w:val="00CD0F66"/>
    <w:rsid w:val="00CD0FCC"/>
    <w:rsid w:val="00CD1006"/>
    <w:rsid w:val="00CD13C0"/>
    <w:rsid w:val="00CD1452"/>
    <w:rsid w:val="00CD1737"/>
    <w:rsid w:val="00CD189F"/>
    <w:rsid w:val="00CD18DD"/>
    <w:rsid w:val="00CD195D"/>
    <w:rsid w:val="00CD1CFD"/>
    <w:rsid w:val="00CD1DA3"/>
    <w:rsid w:val="00CD1DD3"/>
    <w:rsid w:val="00CD20E2"/>
    <w:rsid w:val="00CD23C5"/>
    <w:rsid w:val="00CD25AE"/>
    <w:rsid w:val="00CD2849"/>
    <w:rsid w:val="00CD2A4F"/>
    <w:rsid w:val="00CD2BA4"/>
    <w:rsid w:val="00CD2F4F"/>
    <w:rsid w:val="00CD2F75"/>
    <w:rsid w:val="00CD3206"/>
    <w:rsid w:val="00CD3252"/>
    <w:rsid w:val="00CD345A"/>
    <w:rsid w:val="00CD352B"/>
    <w:rsid w:val="00CD3538"/>
    <w:rsid w:val="00CD381C"/>
    <w:rsid w:val="00CD398B"/>
    <w:rsid w:val="00CD39B1"/>
    <w:rsid w:val="00CD3ABC"/>
    <w:rsid w:val="00CD3B91"/>
    <w:rsid w:val="00CD3C35"/>
    <w:rsid w:val="00CD3C66"/>
    <w:rsid w:val="00CD3CBE"/>
    <w:rsid w:val="00CD3E3E"/>
    <w:rsid w:val="00CD3E56"/>
    <w:rsid w:val="00CD42F0"/>
    <w:rsid w:val="00CD4441"/>
    <w:rsid w:val="00CD44AC"/>
    <w:rsid w:val="00CD44DE"/>
    <w:rsid w:val="00CD4525"/>
    <w:rsid w:val="00CD466D"/>
    <w:rsid w:val="00CD46C4"/>
    <w:rsid w:val="00CD47E6"/>
    <w:rsid w:val="00CD4B50"/>
    <w:rsid w:val="00CD4BFC"/>
    <w:rsid w:val="00CD4D08"/>
    <w:rsid w:val="00CD4ED9"/>
    <w:rsid w:val="00CD50CD"/>
    <w:rsid w:val="00CD527A"/>
    <w:rsid w:val="00CD527E"/>
    <w:rsid w:val="00CD5A4E"/>
    <w:rsid w:val="00CD5AA5"/>
    <w:rsid w:val="00CD5ADD"/>
    <w:rsid w:val="00CD5CCD"/>
    <w:rsid w:val="00CD5EA5"/>
    <w:rsid w:val="00CD6440"/>
    <w:rsid w:val="00CD6594"/>
    <w:rsid w:val="00CD66CB"/>
    <w:rsid w:val="00CD6720"/>
    <w:rsid w:val="00CD69B8"/>
    <w:rsid w:val="00CD69C8"/>
    <w:rsid w:val="00CD69D3"/>
    <w:rsid w:val="00CD69F2"/>
    <w:rsid w:val="00CD6DBC"/>
    <w:rsid w:val="00CD6E3E"/>
    <w:rsid w:val="00CD73F9"/>
    <w:rsid w:val="00CD759D"/>
    <w:rsid w:val="00CD771F"/>
    <w:rsid w:val="00CD78DA"/>
    <w:rsid w:val="00CD7AB8"/>
    <w:rsid w:val="00CD7B9B"/>
    <w:rsid w:val="00CD7DEB"/>
    <w:rsid w:val="00CD7EC7"/>
    <w:rsid w:val="00CE00C7"/>
    <w:rsid w:val="00CE019E"/>
    <w:rsid w:val="00CE03CA"/>
    <w:rsid w:val="00CE0442"/>
    <w:rsid w:val="00CE05E8"/>
    <w:rsid w:val="00CE0855"/>
    <w:rsid w:val="00CE0E22"/>
    <w:rsid w:val="00CE0E5A"/>
    <w:rsid w:val="00CE0E89"/>
    <w:rsid w:val="00CE0F4B"/>
    <w:rsid w:val="00CE0F52"/>
    <w:rsid w:val="00CE0FFB"/>
    <w:rsid w:val="00CE1002"/>
    <w:rsid w:val="00CE115D"/>
    <w:rsid w:val="00CE1279"/>
    <w:rsid w:val="00CE129F"/>
    <w:rsid w:val="00CE1354"/>
    <w:rsid w:val="00CE13F2"/>
    <w:rsid w:val="00CE15EB"/>
    <w:rsid w:val="00CE1607"/>
    <w:rsid w:val="00CE160A"/>
    <w:rsid w:val="00CE1626"/>
    <w:rsid w:val="00CE188C"/>
    <w:rsid w:val="00CE199F"/>
    <w:rsid w:val="00CE19A4"/>
    <w:rsid w:val="00CE1AB0"/>
    <w:rsid w:val="00CE1B5C"/>
    <w:rsid w:val="00CE1FFC"/>
    <w:rsid w:val="00CE21B1"/>
    <w:rsid w:val="00CE22F1"/>
    <w:rsid w:val="00CE2302"/>
    <w:rsid w:val="00CE2428"/>
    <w:rsid w:val="00CE2652"/>
    <w:rsid w:val="00CE27A6"/>
    <w:rsid w:val="00CE2A57"/>
    <w:rsid w:val="00CE2B46"/>
    <w:rsid w:val="00CE2C3D"/>
    <w:rsid w:val="00CE2E65"/>
    <w:rsid w:val="00CE306F"/>
    <w:rsid w:val="00CE347A"/>
    <w:rsid w:val="00CE3554"/>
    <w:rsid w:val="00CE373B"/>
    <w:rsid w:val="00CE37CC"/>
    <w:rsid w:val="00CE3845"/>
    <w:rsid w:val="00CE3BBF"/>
    <w:rsid w:val="00CE3BFB"/>
    <w:rsid w:val="00CE4035"/>
    <w:rsid w:val="00CE4130"/>
    <w:rsid w:val="00CE41EB"/>
    <w:rsid w:val="00CE429E"/>
    <w:rsid w:val="00CE476A"/>
    <w:rsid w:val="00CE47AA"/>
    <w:rsid w:val="00CE4820"/>
    <w:rsid w:val="00CE4AD4"/>
    <w:rsid w:val="00CE4AE2"/>
    <w:rsid w:val="00CE4BD1"/>
    <w:rsid w:val="00CE4C9C"/>
    <w:rsid w:val="00CE4E64"/>
    <w:rsid w:val="00CE4EA9"/>
    <w:rsid w:val="00CE4F6C"/>
    <w:rsid w:val="00CE50F2"/>
    <w:rsid w:val="00CE5435"/>
    <w:rsid w:val="00CE57B3"/>
    <w:rsid w:val="00CE57D7"/>
    <w:rsid w:val="00CE58B5"/>
    <w:rsid w:val="00CE59C9"/>
    <w:rsid w:val="00CE5BF7"/>
    <w:rsid w:val="00CE5CE4"/>
    <w:rsid w:val="00CE5E7E"/>
    <w:rsid w:val="00CE5F87"/>
    <w:rsid w:val="00CE619B"/>
    <w:rsid w:val="00CE6354"/>
    <w:rsid w:val="00CE63A9"/>
    <w:rsid w:val="00CE6502"/>
    <w:rsid w:val="00CE65FC"/>
    <w:rsid w:val="00CE662A"/>
    <w:rsid w:val="00CE66D5"/>
    <w:rsid w:val="00CE6AF2"/>
    <w:rsid w:val="00CE6C67"/>
    <w:rsid w:val="00CE6D29"/>
    <w:rsid w:val="00CE6D2A"/>
    <w:rsid w:val="00CE6E52"/>
    <w:rsid w:val="00CE6EBC"/>
    <w:rsid w:val="00CE71EF"/>
    <w:rsid w:val="00CE736D"/>
    <w:rsid w:val="00CE757C"/>
    <w:rsid w:val="00CE7603"/>
    <w:rsid w:val="00CE7664"/>
    <w:rsid w:val="00CE783D"/>
    <w:rsid w:val="00CE799E"/>
    <w:rsid w:val="00CE7A93"/>
    <w:rsid w:val="00CE7A98"/>
    <w:rsid w:val="00CE7B34"/>
    <w:rsid w:val="00CE7E78"/>
    <w:rsid w:val="00CF071F"/>
    <w:rsid w:val="00CF07C9"/>
    <w:rsid w:val="00CF08A1"/>
    <w:rsid w:val="00CF09A4"/>
    <w:rsid w:val="00CF0A22"/>
    <w:rsid w:val="00CF0BFD"/>
    <w:rsid w:val="00CF0D35"/>
    <w:rsid w:val="00CF0E32"/>
    <w:rsid w:val="00CF0FA6"/>
    <w:rsid w:val="00CF12E8"/>
    <w:rsid w:val="00CF16C0"/>
    <w:rsid w:val="00CF1732"/>
    <w:rsid w:val="00CF1802"/>
    <w:rsid w:val="00CF185F"/>
    <w:rsid w:val="00CF186A"/>
    <w:rsid w:val="00CF194E"/>
    <w:rsid w:val="00CF1AEF"/>
    <w:rsid w:val="00CF1B32"/>
    <w:rsid w:val="00CF1C6C"/>
    <w:rsid w:val="00CF1DC8"/>
    <w:rsid w:val="00CF2078"/>
    <w:rsid w:val="00CF22BF"/>
    <w:rsid w:val="00CF25BE"/>
    <w:rsid w:val="00CF25DD"/>
    <w:rsid w:val="00CF2877"/>
    <w:rsid w:val="00CF2D69"/>
    <w:rsid w:val="00CF2D7D"/>
    <w:rsid w:val="00CF2DD8"/>
    <w:rsid w:val="00CF2E82"/>
    <w:rsid w:val="00CF30AF"/>
    <w:rsid w:val="00CF3213"/>
    <w:rsid w:val="00CF3293"/>
    <w:rsid w:val="00CF35FD"/>
    <w:rsid w:val="00CF36D8"/>
    <w:rsid w:val="00CF395C"/>
    <w:rsid w:val="00CF399B"/>
    <w:rsid w:val="00CF399C"/>
    <w:rsid w:val="00CF3E07"/>
    <w:rsid w:val="00CF3F28"/>
    <w:rsid w:val="00CF3FDF"/>
    <w:rsid w:val="00CF40D3"/>
    <w:rsid w:val="00CF417A"/>
    <w:rsid w:val="00CF4397"/>
    <w:rsid w:val="00CF4734"/>
    <w:rsid w:val="00CF4A1E"/>
    <w:rsid w:val="00CF4A93"/>
    <w:rsid w:val="00CF4B34"/>
    <w:rsid w:val="00CF4B92"/>
    <w:rsid w:val="00CF4BE4"/>
    <w:rsid w:val="00CF4EBF"/>
    <w:rsid w:val="00CF4F1C"/>
    <w:rsid w:val="00CF500E"/>
    <w:rsid w:val="00CF50A1"/>
    <w:rsid w:val="00CF50B5"/>
    <w:rsid w:val="00CF511B"/>
    <w:rsid w:val="00CF5164"/>
    <w:rsid w:val="00CF5410"/>
    <w:rsid w:val="00CF54E5"/>
    <w:rsid w:val="00CF5521"/>
    <w:rsid w:val="00CF554F"/>
    <w:rsid w:val="00CF55E2"/>
    <w:rsid w:val="00CF5607"/>
    <w:rsid w:val="00CF5687"/>
    <w:rsid w:val="00CF57BC"/>
    <w:rsid w:val="00CF599A"/>
    <w:rsid w:val="00CF5AE0"/>
    <w:rsid w:val="00CF5C5A"/>
    <w:rsid w:val="00CF5DA8"/>
    <w:rsid w:val="00CF6702"/>
    <w:rsid w:val="00CF6866"/>
    <w:rsid w:val="00CF69F8"/>
    <w:rsid w:val="00CF6BA0"/>
    <w:rsid w:val="00CF6C52"/>
    <w:rsid w:val="00CF6EB2"/>
    <w:rsid w:val="00CF711D"/>
    <w:rsid w:val="00CF72FC"/>
    <w:rsid w:val="00CF74B4"/>
    <w:rsid w:val="00CF7567"/>
    <w:rsid w:val="00CF7AA4"/>
    <w:rsid w:val="00CF7B77"/>
    <w:rsid w:val="00CF7B8C"/>
    <w:rsid w:val="00CF7BCB"/>
    <w:rsid w:val="00CF7D2D"/>
    <w:rsid w:val="00CF7D3C"/>
    <w:rsid w:val="00CF7FCD"/>
    <w:rsid w:val="00D00045"/>
    <w:rsid w:val="00D000A8"/>
    <w:rsid w:val="00D001BA"/>
    <w:rsid w:val="00D00224"/>
    <w:rsid w:val="00D00337"/>
    <w:rsid w:val="00D00455"/>
    <w:rsid w:val="00D0073C"/>
    <w:rsid w:val="00D00825"/>
    <w:rsid w:val="00D009E5"/>
    <w:rsid w:val="00D00CF7"/>
    <w:rsid w:val="00D00ED7"/>
    <w:rsid w:val="00D01203"/>
    <w:rsid w:val="00D0152F"/>
    <w:rsid w:val="00D0156A"/>
    <w:rsid w:val="00D015BC"/>
    <w:rsid w:val="00D0168E"/>
    <w:rsid w:val="00D0187B"/>
    <w:rsid w:val="00D01942"/>
    <w:rsid w:val="00D01A01"/>
    <w:rsid w:val="00D01D13"/>
    <w:rsid w:val="00D01D34"/>
    <w:rsid w:val="00D01E5C"/>
    <w:rsid w:val="00D02259"/>
    <w:rsid w:val="00D02293"/>
    <w:rsid w:val="00D022DA"/>
    <w:rsid w:val="00D02334"/>
    <w:rsid w:val="00D02680"/>
    <w:rsid w:val="00D0280D"/>
    <w:rsid w:val="00D02908"/>
    <w:rsid w:val="00D029EC"/>
    <w:rsid w:val="00D02A7E"/>
    <w:rsid w:val="00D02C19"/>
    <w:rsid w:val="00D02C41"/>
    <w:rsid w:val="00D02D5F"/>
    <w:rsid w:val="00D02E97"/>
    <w:rsid w:val="00D03090"/>
    <w:rsid w:val="00D03152"/>
    <w:rsid w:val="00D03222"/>
    <w:rsid w:val="00D03269"/>
    <w:rsid w:val="00D03475"/>
    <w:rsid w:val="00D03820"/>
    <w:rsid w:val="00D03907"/>
    <w:rsid w:val="00D03933"/>
    <w:rsid w:val="00D03958"/>
    <w:rsid w:val="00D03AAF"/>
    <w:rsid w:val="00D03DC6"/>
    <w:rsid w:val="00D041D4"/>
    <w:rsid w:val="00D04282"/>
    <w:rsid w:val="00D0457C"/>
    <w:rsid w:val="00D045D5"/>
    <w:rsid w:val="00D046AC"/>
    <w:rsid w:val="00D04777"/>
    <w:rsid w:val="00D04A6C"/>
    <w:rsid w:val="00D04CF8"/>
    <w:rsid w:val="00D04D61"/>
    <w:rsid w:val="00D04DDA"/>
    <w:rsid w:val="00D05017"/>
    <w:rsid w:val="00D051FE"/>
    <w:rsid w:val="00D05322"/>
    <w:rsid w:val="00D05389"/>
    <w:rsid w:val="00D0554C"/>
    <w:rsid w:val="00D05650"/>
    <w:rsid w:val="00D0584E"/>
    <w:rsid w:val="00D059CC"/>
    <w:rsid w:val="00D05A05"/>
    <w:rsid w:val="00D05AEC"/>
    <w:rsid w:val="00D05C0D"/>
    <w:rsid w:val="00D05D5F"/>
    <w:rsid w:val="00D05E29"/>
    <w:rsid w:val="00D05E88"/>
    <w:rsid w:val="00D05FB8"/>
    <w:rsid w:val="00D06172"/>
    <w:rsid w:val="00D06226"/>
    <w:rsid w:val="00D0634E"/>
    <w:rsid w:val="00D064E0"/>
    <w:rsid w:val="00D064EA"/>
    <w:rsid w:val="00D06551"/>
    <w:rsid w:val="00D06691"/>
    <w:rsid w:val="00D0681C"/>
    <w:rsid w:val="00D0690C"/>
    <w:rsid w:val="00D06A82"/>
    <w:rsid w:val="00D06B1D"/>
    <w:rsid w:val="00D06C40"/>
    <w:rsid w:val="00D06E6C"/>
    <w:rsid w:val="00D06EA4"/>
    <w:rsid w:val="00D06EB4"/>
    <w:rsid w:val="00D06FA9"/>
    <w:rsid w:val="00D070B2"/>
    <w:rsid w:val="00D0724F"/>
    <w:rsid w:val="00D07469"/>
    <w:rsid w:val="00D0751C"/>
    <w:rsid w:val="00D0753E"/>
    <w:rsid w:val="00D07693"/>
    <w:rsid w:val="00D078F6"/>
    <w:rsid w:val="00D07A91"/>
    <w:rsid w:val="00D07C1F"/>
    <w:rsid w:val="00D07E24"/>
    <w:rsid w:val="00D07E26"/>
    <w:rsid w:val="00D100A2"/>
    <w:rsid w:val="00D10131"/>
    <w:rsid w:val="00D103B4"/>
    <w:rsid w:val="00D10553"/>
    <w:rsid w:val="00D107C3"/>
    <w:rsid w:val="00D10B4D"/>
    <w:rsid w:val="00D11274"/>
    <w:rsid w:val="00D1135B"/>
    <w:rsid w:val="00D11670"/>
    <w:rsid w:val="00D11874"/>
    <w:rsid w:val="00D119D6"/>
    <w:rsid w:val="00D11A60"/>
    <w:rsid w:val="00D11B41"/>
    <w:rsid w:val="00D11BAF"/>
    <w:rsid w:val="00D11EDF"/>
    <w:rsid w:val="00D11FDE"/>
    <w:rsid w:val="00D120BC"/>
    <w:rsid w:val="00D12684"/>
    <w:rsid w:val="00D127B8"/>
    <w:rsid w:val="00D1281B"/>
    <w:rsid w:val="00D12837"/>
    <w:rsid w:val="00D12974"/>
    <w:rsid w:val="00D12A4D"/>
    <w:rsid w:val="00D12CC2"/>
    <w:rsid w:val="00D12D6B"/>
    <w:rsid w:val="00D12FA4"/>
    <w:rsid w:val="00D1305B"/>
    <w:rsid w:val="00D130F5"/>
    <w:rsid w:val="00D13125"/>
    <w:rsid w:val="00D13223"/>
    <w:rsid w:val="00D13283"/>
    <w:rsid w:val="00D13484"/>
    <w:rsid w:val="00D134CA"/>
    <w:rsid w:val="00D13623"/>
    <w:rsid w:val="00D13741"/>
    <w:rsid w:val="00D13A31"/>
    <w:rsid w:val="00D13B0E"/>
    <w:rsid w:val="00D13C0E"/>
    <w:rsid w:val="00D13DC0"/>
    <w:rsid w:val="00D13EA9"/>
    <w:rsid w:val="00D1428E"/>
    <w:rsid w:val="00D143E9"/>
    <w:rsid w:val="00D1446C"/>
    <w:rsid w:val="00D146E0"/>
    <w:rsid w:val="00D147EB"/>
    <w:rsid w:val="00D14923"/>
    <w:rsid w:val="00D14A2D"/>
    <w:rsid w:val="00D14BC9"/>
    <w:rsid w:val="00D14C34"/>
    <w:rsid w:val="00D14DAF"/>
    <w:rsid w:val="00D14DCB"/>
    <w:rsid w:val="00D1506B"/>
    <w:rsid w:val="00D15147"/>
    <w:rsid w:val="00D152CB"/>
    <w:rsid w:val="00D157AE"/>
    <w:rsid w:val="00D15926"/>
    <w:rsid w:val="00D15B4F"/>
    <w:rsid w:val="00D15C69"/>
    <w:rsid w:val="00D15D9F"/>
    <w:rsid w:val="00D15DD4"/>
    <w:rsid w:val="00D15EEE"/>
    <w:rsid w:val="00D1600A"/>
    <w:rsid w:val="00D1601E"/>
    <w:rsid w:val="00D1607A"/>
    <w:rsid w:val="00D16136"/>
    <w:rsid w:val="00D161B3"/>
    <w:rsid w:val="00D16200"/>
    <w:rsid w:val="00D16248"/>
    <w:rsid w:val="00D16299"/>
    <w:rsid w:val="00D1633C"/>
    <w:rsid w:val="00D168EC"/>
    <w:rsid w:val="00D16CC7"/>
    <w:rsid w:val="00D16CFC"/>
    <w:rsid w:val="00D17218"/>
    <w:rsid w:val="00D17275"/>
    <w:rsid w:val="00D1741A"/>
    <w:rsid w:val="00D174A7"/>
    <w:rsid w:val="00D17629"/>
    <w:rsid w:val="00D17D91"/>
    <w:rsid w:val="00D17DAE"/>
    <w:rsid w:val="00D17F5D"/>
    <w:rsid w:val="00D20002"/>
    <w:rsid w:val="00D203A0"/>
    <w:rsid w:val="00D20451"/>
    <w:rsid w:val="00D20501"/>
    <w:rsid w:val="00D2050A"/>
    <w:rsid w:val="00D20573"/>
    <w:rsid w:val="00D2072D"/>
    <w:rsid w:val="00D209E5"/>
    <w:rsid w:val="00D20A23"/>
    <w:rsid w:val="00D20A65"/>
    <w:rsid w:val="00D20F74"/>
    <w:rsid w:val="00D21558"/>
    <w:rsid w:val="00D2191D"/>
    <w:rsid w:val="00D21A92"/>
    <w:rsid w:val="00D21ABD"/>
    <w:rsid w:val="00D22488"/>
    <w:rsid w:val="00D22658"/>
    <w:rsid w:val="00D228F6"/>
    <w:rsid w:val="00D22971"/>
    <w:rsid w:val="00D22A80"/>
    <w:rsid w:val="00D22ADA"/>
    <w:rsid w:val="00D22DAF"/>
    <w:rsid w:val="00D22DFD"/>
    <w:rsid w:val="00D22ED2"/>
    <w:rsid w:val="00D22EEA"/>
    <w:rsid w:val="00D22F6D"/>
    <w:rsid w:val="00D2300A"/>
    <w:rsid w:val="00D230A3"/>
    <w:rsid w:val="00D23167"/>
    <w:rsid w:val="00D231A6"/>
    <w:rsid w:val="00D231BD"/>
    <w:rsid w:val="00D232E1"/>
    <w:rsid w:val="00D2333B"/>
    <w:rsid w:val="00D234E2"/>
    <w:rsid w:val="00D237E9"/>
    <w:rsid w:val="00D23890"/>
    <w:rsid w:val="00D23B41"/>
    <w:rsid w:val="00D23B9A"/>
    <w:rsid w:val="00D2404D"/>
    <w:rsid w:val="00D241DA"/>
    <w:rsid w:val="00D241F1"/>
    <w:rsid w:val="00D2430D"/>
    <w:rsid w:val="00D24350"/>
    <w:rsid w:val="00D2456E"/>
    <w:rsid w:val="00D2459C"/>
    <w:rsid w:val="00D24C98"/>
    <w:rsid w:val="00D24D1C"/>
    <w:rsid w:val="00D24D82"/>
    <w:rsid w:val="00D24E84"/>
    <w:rsid w:val="00D24F6C"/>
    <w:rsid w:val="00D252BD"/>
    <w:rsid w:val="00D2562B"/>
    <w:rsid w:val="00D257E0"/>
    <w:rsid w:val="00D2580D"/>
    <w:rsid w:val="00D259E6"/>
    <w:rsid w:val="00D25A4C"/>
    <w:rsid w:val="00D25B67"/>
    <w:rsid w:val="00D25B9D"/>
    <w:rsid w:val="00D25C09"/>
    <w:rsid w:val="00D25F4C"/>
    <w:rsid w:val="00D261E4"/>
    <w:rsid w:val="00D26408"/>
    <w:rsid w:val="00D267E9"/>
    <w:rsid w:val="00D269D3"/>
    <w:rsid w:val="00D26A0E"/>
    <w:rsid w:val="00D26AB3"/>
    <w:rsid w:val="00D26D01"/>
    <w:rsid w:val="00D26E69"/>
    <w:rsid w:val="00D27088"/>
    <w:rsid w:val="00D2716F"/>
    <w:rsid w:val="00D273F4"/>
    <w:rsid w:val="00D27587"/>
    <w:rsid w:val="00D275C0"/>
    <w:rsid w:val="00D276B9"/>
    <w:rsid w:val="00D2774A"/>
    <w:rsid w:val="00D27948"/>
    <w:rsid w:val="00D2794F"/>
    <w:rsid w:val="00D27BB4"/>
    <w:rsid w:val="00D27C2D"/>
    <w:rsid w:val="00D27C37"/>
    <w:rsid w:val="00D27C81"/>
    <w:rsid w:val="00D27D64"/>
    <w:rsid w:val="00D27E1B"/>
    <w:rsid w:val="00D27F4D"/>
    <w:rsid w:val="00D30017"/>
    <w:rsid w:val="00D3014D"/>
    <w:rsid w:val="00D302F4"/>
    <w:rsid w:val="00D30300"/>
    <w:rsid w:val="00D30324"/>
    <w:rsid w:val="00D30424"/>
    <w:rsid w:val="00D30BCB"/>
    <w:rsid w:val="00D30D32"/>
    <w:rsid w:val="00D30D9B"/>
    <w:rsid w:val="00D30EB8"/>
    <w:rsid w:val="00D31010"/>
    <w:rsid w:val="00D31220"/>
    <w:rsid w:val="00D3122C"/>
    <w:rsid w:val="00D31313"/>
    <w:rsid w:val="00D313F5"/>
    <w:rsid w:val="00D31414"/>
    <w:rsid w:val="00D31620"/>
    <w:rsid w:val="00D31A79"/>
    <w:rsid w:val="00D31B3B"/>
    <w:rsid w:val="00D320A1"/>
    <w:rsid w:val="00D32169"/>
    <w:rsid w:val="00D32289"/>
    <w:rsid w:val="00D32394"/>
    <w:rsid w:val="00D3249C"/>
    <w:rsid w:val="00D32516"/>
    <w:rsid w:val="00D32A00"/>
    <w:rsid w:val="00D32CE2"/>
    <w:rsid w:val="00D32E30"/>
    <w:rsid w:val="00D32ECA"/>
    <w:rsid w:val="00D3338E"/>
    <w:rsid w:val="00D33B06"/>
    <w:rsid w:val="00D33C42"/>
    <w:rsid w:val="00D33D35"/>
    <w:rsid w:val="00D33D56"/>
    <w:rsid w:val="00D33F2C"/>
    <w:rsid w:val="00D33F72"/>
    <w:rsid w:val="00D33FF6"/>
    <w:rsid w:val="00D34036"/>
    <w:rsid w:val="00D34253"/>
    <w:rsid w:val="00D34292"/>
    <w:rsid w:val="00D342A9"/>
    <w:rsid w:val="00D34327"/>
    <w:rsid w:val="00D34405"/>
    <w:rsid w:val="00D344C4"/>
    <w:rsid w:val="00D34667"/>
    <w:rsid w:val="00D3483C"/>
    <w:rsid w:val="00D34ACD"/>
    <w:rsid w:val="00D34D65"/>
    <w:rsid w:val="00D34ED6"/>
    <w:rsid w:val="00D35692"/>
    <w:rsid w:val="00D35A21"/>
    <w:rsid w:val="00D35A4E"/>
    <w:rsid w:val="00D35E43"/>
    <w:rsid w:val="00D35EC0"/>
    <w:rsid w:val="00D36011"/>
    <w:rsid w:val="00D36054"/>
    <w:rsid w:val="00D36121"/>
    <w:rsid w:val="00D361B9"/>
    <w:rsid w:val="00D36315"/>
    <w:rsid w:val="00D363F1"/>
    <w:rsid w:val="00D365D7"/>
    <w:rsid w:val="00D365F9"/>
    <w:rsid w:val="00D367BA"/>
    <w:rsid w:val="00D3683A"/>
    <w:rsid w:val="00D36876"/>
    <w:rsid w:val="00D369C2"/>
    <w:rsid w:val="00D36B77"/>
    <w:rsid w:val="00D370A3"/>
    <w:rsid w:val="00D370DC"/>
    <w:rsid w:val="00D37182"/>
    <w:rsid w:val="00D371A3"/>
    <w:rsid w:val="00D371AF"/>
    <w:rsid w:val="00D37249"/>
    <w:rsid w:val="00D37333"/>
    <w:rsid w:val="00D375B8"/>
    <w:rsid w:val="00D375FD"/>
    <w:rsid w:val="00D37702"/>
    <w:rsid w:val="00D378FC"/>
    <w:rsid w:val="00D4001A"/>
    <w:rsid w:val="00D40024"/>
    <w:rsid w:val="00D40143"/>
    <w:rsid w:val="00D401E1"/>
    <w:rsid w:val="00D40223"/>
    <w:rsid w:val="00D40471"/>
    <w:rsid w:val="00D404CD"/>
    <w:rsid w:val="00D405AD"/>
    <w:rsid w:val="00D406DE"/>
    <w:rsid w:val="00D40755"/>
    <w:rsid w:val="00D408B4"/>
    <w:rsid w:val="00D40967"/>
    <w:rsid w:val="00D409DF"/>
    <w:rsid w:val="00D40E1F"/>
    <w:rsid w:val="00D40F07"/>
    <w:rsid w:val="00D4108A"/>
    <w:rsid w:val="00D41147"/>
    <w:rsid w:val="00D416E7"/>
    <w:rsid w:val="00D41844"/>
    <w:rsid w:val="00D418FE"/>
    <w:rsid w:val="00D41937"/>
    <w:rsid w:val="00D419F0"/>
    <w:rsid w:val="00D41F15"/>
    <w:rsid w:val="00D4203B"/>
    <w:rsid w:val="00D42065"/>
    <w:rsid w:val="00D423B1"/>
    <w:rsid w:val="00D4249E"/>
    <w:rsid w:val="00D4269B"/>
    <w:rsid w:val="00D42850"/>
    <w:rsid w:val="00D42A0A"/>
    <w:rsid w:val="00D42BF2"/>
    <w:rsid w:val="00D431BE"/>
    <w:rsid w:val="00D4332E"/>
    <w:rsid w:val="00D43378"/>
    <w:rsid w:val="00D43672"/>
    <w:rsid w:val="00D43786"/>
    <w:rsid w:val="00D43931"/>
    <w:rsid w:val="00D43970"/>
    <w:rsid w:val="00D43A03"/>
    <w:rsid w:val="00D43AB4"/>
    <w:rsid w:val="00D43DFD"/>
    <w:rsid w:val="00D43FDD"/>
    <w:rsid w:val="00D4434D"/>
    <w:rsid w:val="00D444ED"/>
    <w:rsid w:val="00D445B0"/>
    <w:rsid w:val="00D4461B"/>
    <w:rsid w:val="00D446D6"/>
    <w:rsid w:val="00D4473E"/>
    <w:rsid w:val="00D44BA3"/>
    <w:rsid w:val="00D44C7E"/>
    <w:rsid w:val="00D44EE0"/>
    <w:rsid w:val="00D44FC1"/>
    <w:rsid w:val="00D451D8"/>
    <w:rsid w:val="00D4521C"/>
    <w:rsid w:val="00D452B9"/>
    <w:rsid w:val="00D452D7"/>
    <w:rsid w:val="00D45370"/>
    <w:rsid w:val="00D45386"/>
    <w:rsid w:val="00D4572E"/>
    <w:rsid w:val="00D457F3"/>
    <w:rsid w:val="00D4580B"/>
    <w:rsid w:val="00D4587E"/>
    <w:rsid w:val="00D45888"/>
    <w:rsid w:val="00D45956"/>
    <w:rsid w:val="00D459BE"/>
    <w:rsid w:val="00D45AC2"/>
    <w:rsid w:val="00D45B1A"/>
    <w:rsid w:val="00D45B34"/>
    <w:rsid w:val="00D45B36"/>
    <w:rsid w:val="00D45BB6"/>
    <w:rsid w:val="00D45BC0"/>
    <w:rsid w:val="00D45CA5"/>
    <w:rsid w:val="00D45CC0"/>
    <w:rsid w:val="00D45D40"/>
    <w:rsid w:val="00D45D94"/>
    <w:rsid w:val="00D45E3C"/>
    <w:rsid w:val="00D45F09"/>
    <w:rsid w:val="00D45F28"/>
    <w:rsid w:val="00D45F7B"/>
    <w:rsid w:val="00D461E9"/>
    <w:rsid w:val="00D46286"/>
    <w:rsid w:val="00D462C4"/>
    <w:rsid w:val="00D46463"/>
    <w:rsid w:val="00D46608"/>
    <w:rsid w:val="00D46836"/>
    <w:rsid w:val="00D4686E"/>
    <w:rsid w:val="00D469B4"/>
    <w:rsid w:val="00D469EE"/>
    <w:rsid w:val="00D46AA5"/>
    <w:rsid w:val="00D46B02"/>
    <w:rsid w:val="00D46BFE"/>
    <w:rsid w:val="00D46EFA"/>
    <w:rsid w:val="00D470C3"/>
    <w:rsid w:val="00D470E5"/>
    <w:rsid w:val="00D47274"/>
    <w:rsid w:val="00D473CC"/>
    <w:rsid w:val="00D47479"/>
    <w:rsid w:val="00D47496"/>
    <w:rsid w:val="00D474E6"/>
    <w:rsid w:val="00D474FF"/>
    <w:rsid w:val="00D4757A"/>
    <w:rsid w:val="00D47879"/>
    <w:rsid w:val="00D47914"/>
    <w:rsid w:val="00D47B58"/>
    <w:rsid w:val="00D47C89"/>
    <w:rsid w:val="00D47E51"/>
    <w:rsid w:val="00D502E5"/>
    <w:rsid w:val="00D5068E"/>
    <w:rsid w:val="00D5076F"/>
    <w:rsid w:val="00D50797"/>
    <w:rsid w:val="00D5093D"/>
    <w:rsid w:val="00D50B7B"/>
    <w:rsid w:val="00D50BC9"/>
    <w:rsid w:val="00D50C9C"/>
    <w:rsid w:val="00D50CD1"/>
    <w:rsid w:val="00D50EE0"/>
    <w:rsid w:val="00D50FB6"/>
    <w:rsid w:val="00D511F2"/>
    <w:rsid w:val="00D51284"/>
    <w:rsid w:val="00D51621"/>
    <w:rsid w:val="00D51763"/>
    <w:rsid w:val="00D518EC"/>
    <w:rsid w:val="00D519B9"/>
    <w:rsid w:val="00D51A8B"/>
    <w:rsid w:val="00D51BEB"/>
    <w:rsid w:val="00D51CA5"/>
    <w:rsid w:val="00D51D48"/>
    <w:rsid w:val="00D51E5D"/>
    <w:rsid w:val="00D5209D"/>
    <w:rsid w:val="00D52313"/>
    <w:rsid w:val="00D52334"/>
    <w:rsid w:val="00D5234D"/>
    <w:rsid w:val="00D52451"/>
    <w:rsid w:val="00D524C8"/>
    <w:rsid w:val="00D52540"/>
    <w:rsid w:val="00D5267C"/>
    <w:rsid w:val="00D52771"/>
    <w:rsid w:val="00D527D8"/>
    <w:rsid w:val="00D52D5A"/>
    <w:rsid w:val="00D5300E"/>
    <w:rsid w:val="00D5315C"/>
    <w:rsid w:val="00D53162"/>
    <w:rsid w:val="00D53182"/>
    <w:rsid w:val="00D5332A"/>
    <w:rsid w:val="00D5359F"/>
    <w:rsid w:val="00D537B0"/>
    <w:rsid w:val="00D537B8"/>
    <w:rsid w:val="00D53A39"/>
    <w:rsid w:val="00D53BE9"/>
    <w:rsid w:val="00D5423C"/>
    <w:rsid w:val="00D544CA"/>
    <w:rsid w:val="00D544F4"/>
    <w:rsid w:val="00D547EF"/>
    <w:rsid w:val="00D54806"/>
    <w:rsid w:val="00D54A34"/>
    <w:rsid w:val="00D54BF5"/>
    <w:rsid w:val="00D54E9B"/>
    <w:rsid w:val="00D54EB8"/>
    <w:rsid w:val="00D55183"/>
    <w:rsid w:val="00D552FF"/>
    <w:rsid w:val="00D55396"/>
    <w:rsid w:val="00D5562B"/>
    <w:rsid w:val="00D55703"/>
    <w:rsid w:val="00D55910"/>
    <w:rsid w:val="00D55A8A"/>
    <w:rsid w:val="00D55CA7"/>
    <w:rsid w:val="00D55D1F"/>
    <w:rsid w:val="00D55DA4"/>
    <w:rsid w:val="00D55E1C"/>
    <w:rsid w:val="00D55E31"/>
    <w:rsid w:val="00D5608F"/>
    <w:rsid w:val="00D56174"/>
    <w:rsid w:val="00D5639C"/>
    <w:rsid w:val="00D565DB"/>
    <w:rsid w:val="00D56A8F"/>
    <w:rsid w:val="00D56B04"/>
    <w:rsid w:val="00D56B86"/>
    <w:rsid w:val="00D56C23"/>
    <w:rsid w:val="00D56CD6"/>
    <w:rsid w:val="00D56F59"/>
    <w:rsid w:val="00D56FBE"/>
    <w:rsid w:val="00D5712B"/>
    <w:rsid w:val="00D575FD"/>
    <w:rsid w:val="00D576AC"/>
    <w:rsid w:val="00D57799"/>
    <w:rsid w:val="00D5789A"/>
    <w:rsid w:val="00D579DE"/>
    <w:rsid w:val="00D57A1C"/>
    <w:rsid w:val="00D57D66"/>
    <w:rsid w:val="00D6000F"/>
    <w:rsid w:val="00D6009E"/>
    <w:rsid w:val="00D60135"/>
    <w:rsid w:val="00D6025F"/>
    <w:rsid w:val="00D60329"/>
    <w:rsid w:val="00D60431"/>
    <w:rsid w:val="00D604D1"/>
    <w:rsid w:val="00D6053E"/>
    <w:rsid w:val="00D60559"/>
    <w:rsid w:val="00D60639"/>
    <w:rsid w:val="00D60760"/>
    <w:rsid w:val="00D607D0"/>
    <w:rsid w:val="00D607DB"/>
    <w:rsid w:val="00D608C6"/>
    <w:rsid w:val="00D60BEF"/>
    <w:rsid w:val="00D60E25"/>
    <w:rsid w:val="00D6116F"/>
    <w:rsid w:val="00D61463"/>
    <w:rsid w:val="00D61920"/>
    <w:rsid w:val="00D619F1"/>
    <w:rsid w:val="00D61A50"/>
    <w:rsid w:val="00D61AF9"/>
    <w:rsid w:val="00D61BEB"/>
    <w:rsid w:val="00D61D3B"/>
    <w:rsid w:val="00D61DDE"/>
    <w:rsid w:val="00D62058"/>
    <w:rsid w:val="00D621B9"/>
    <w:rsid w:val="00D62248"/>
    <w:rsid w:val="00D6233B"/>
    <w:rsid w:val="00D623B5"/>
    <w:rsid w:val="00D623B8"/>
    <w:rsid w:val="00D6261E"/>
    <w:rsid w:val="00D62683"/>
    <w:rsid w:val="00D62880"/>
    <w:rsid w:val="00D62942"/>
    <w:rsid w:val="00D62C02"/>
    <w:rsid w:val="00D62C2F"/>
    <w:rsid w:val="00D62C88"/>
    <w:rsid w:val="00D62DAA"/>
    <w:rsid w:val="00D62F0B"/>
    <w:rsid w:val="00D63048"/>
    <w:rsid w:val="00D63056"/>
    <w:rsid w:val="00D6309D"/>
    <w:rsid w:val="00D63277"/>
    <w:rsid w:val="00D63652"/>
    <w:rsid w:val="00D63691"/>
    <w:rsid w:val="00D63A2C"/>
    <w:rsid w:val="00D63AAE"/>
    <w:rsid w:val="00D63BCC"/>
    <w:rsid w:val="00D63CE0"/>
    <w:rsid w:val="00D63D1C"/>
    <w:rsid w:val="00D640FF"/>
    <w:rsid w:val="00D6429F"/>
    <w:rsid w:val="00D64307"/>
    <w:rsid w:val="00D64632"/>
    <w:rsid w:val="00D6464F"/>
    <w:rsid w:val="00D648E2"/>
    <w:rsid w:val="00D6491F"/>
    <w:rsid w:val="00D6498E"/>
    <w:rsid w:val="00D64A5C"/>
    <w:rsid w:val="00D64E64"/>
    <w:rsid w:val="00D65119"/>
    <w:rsid w:val="00D65210"/>
    <w:rsid w:val="00D65254"/>
    <w:rsid w:val="00D65424"/>
    <w:rsid w:val="00D6563F"/>
    <w:rsid w:val="00D65853"/>
    <w:rsid w:val="00D65A33"/>
    <w:rsid w:val="00D65B6E"/>
    <w:rsid w:val="00D65C92"/>
    <w:rsid w:val="00D65CDC"/>
    <w:rsid w:val="00D65D1C"/>
    <w:rsid w:val="00D65D9B"/>
    <w:rsid w:val="00D65DCE"/>
    <w:rsid w:val="00D65DE6"/>
    <w:rsid w:val="00D65ECF"/>
    <w:rsid w:val="00D65F7A"/>
    <w:rsid w:val="00D65F93"/>
    <w:rsid w:val="00D66095"/>
    <w:rsid w:val="00D662B1"/>
    <w:rsid w:val="00D6639E"/>
    <w:rsid w:val="00D66428"/>
    <w:rsid w:val="00D66795"/>
    <w:rsid w:val="00D66869"/>
    <w:rsid w:val="00D668E8"/>
    <w:rsid w:val="00D66C0F"/>
    <w:rsid w:val="00D66F1A"/>
    <w:rsid w:val="00D66FF0"/>
    <w:rsid w:val="00D67001"/>
    <w:rsid w:val="00D670F8"/>
    <w:rsid w:val="00D67914"/>
    <w:rsid w:val="00D67AA1"/>
    <w:rsid w:val="00D67ADB"/>
    <w:rsid w:val="00D67F02"/>
    <w:rsid w:val="00D70097"/>
    <w:rsid w:val="00D700EC"/>
    <w:rsid w:val="00D70128"/>
    <w:rsid w:val="00D70339"/>
    <w:rsid w:val="00D7035B"/>
    <w:rsid w:val="00D704D8"/>
    <w:rsid w:val="00D70661"/>
    <w:rsid w:val="00D707CB"/>
    <w:rsid w:val="00D7091D"/>
    <w:rsid w:val="00D709B1"/>
    <w:rsid w:val="00D70C3A"/>
    <w:rsid w:val="00D70E24"/>
    <w:rsid w:val="00D70F90"/>
    <w:rsid w:val="00D71061"/>
    <w:rsid w:val="00D710C4"/>
    <w:rsid w:val="00D71119"/>
    <w:rsid w:val="00D71161"/>
    <w:rsid w:val="00D712AD"/>
    <w:rsid w:val="00D713AE"/>
    <w:rsid w:val="00D7140A"/>
    <w:rsid w:val="00D71467"/>
    <w:rsid w:val="00D714B3"/>
    <w:rsid w:val="00D71671"/>
    <w:rsid w:val="00D71914"/>
    <w:rsid w:val="00D71975"/>
    <w:rsid w:val="00D71AAD"/>
    <w:rsid w:val="00D71C94"/>
    <w:rsid w:val="00D71E44"/>
    <w:rsid w:val="00D71F3C"/>
    <w:rsid w:val="00D72057"/>
    <w:rsid w:val="00D721F8"/>
    <w:rsid w:val="00D72231"/>
    <w:rsid w:val="00D72298"/>
    <w:rsid w:val="00D722C4"/>
    <w:rsid w:val="00D72382"/>
    <w:rsid w:val="00D723FD"/>
    <w:rsid w:val="00D7255C"/>
    <w:rsid w:val="00D72857"/>
    <w:rsid w:val="00D7287C"/>
    <w:rsid w:val="00D72B61"/>
    <w:rsid w:val="00D72EC4"/>
    <w:rsid w:val="00D72F52"/>
    <w:rsid w:val="00D72FCC"/>
    <w:rsid w:val="00D72FFE"/>
    <w:rsid w:val="00D7306C"/>
    <w:rsid w:val="00D7326A"/>
    <w:rsid w:val="00D733D4"/>
    <w:rsid w:val="00D73589"/>
    <w:rsid w:val="00D73599"/>
    <w:rsid w:val="00D735F6"/>
    <w:rsid w:val="00D7367F"/>
    <w:rsid w:val="00D73730"/>
    <w:rsid w:val="00D7396D"/>
    <w:rsid w:val="00D73985"/>
    <w:rsid w:val="00D73AA1"/>
    <w:rsid w:val="00D73AF9"/>
    <w:rsid w:val="00D73C35"/>
    <w:rsid w:val="00D73C48"/>
    <w:rsid w:val="00D73CB2"/>
    <w:rsid w:val="00D73D16"/>
    <w:rsid w:val="00D73EC8"/>
    <w:rsid w:val="00D73FDF"/>
    <w:rsid w:val="00D74432"/>
    <w:rsid w:val="00D7445C"/>
    <w:rsid w:val="00D745DE"/>
    <w:rsid w:val="00D7465C"/>
    <w:rsid w:val="00D7471E"/>
    <w:rsid w:val="00D74B08"/>
    <w:rsid w:val="00D74CD3"/>
    <w:rsid w:val="00D74D10"/>
    <w:rsid w:val="00D74D3B"/>
    <w:rsid w:val="00D74E99"/>
    <w:rsid w:val="00D75057"/>
    <w:rsid w:val="00D75138"/>
    <w:rsid w:val="00D753D6"/>
    <w:rsid w:val="00D753FB"/>
    <w:rsid w:val="00D75588"/>
    <w:rsid w:val="00D755DA"/>
    <w:rsid w:val="00D7604D"/>
    <w:rsid w:val="00D76065"/>
    <w:rsid w:val="00D76271"/>
    <w:rsid w:val="00D762BC"/>
    <w:rsid w:val="00D764EC"/>
    <w:rsid w:val="00D7654B"/>
    <w:rsid w:val="00D76702"/>
    <w:rsid w:val="00D76754"/>
    <w:rsid w:val="00D767E8"/>
    <w:rsid w:val="00D76936"/>
    <w:rsid w:val="00D76A1D"/>
    <w:rsid w:val="00D76A4D"/>
    <w:rsid w:val="00D76E05"/>
    <w:rsid w:val="00D76FDA"/>
    <w:rsid w:val="00D770A3"/>
    <w:rsid w:val="00D772AE"/>
    <w:rsid w:val="00D772F0"/>
    <w:rsid w:val="00D774B8"/>
    <w:rsid w:val="00D775A0"/>
    <w:rsid w:val="00D776D1"/>
    <w:rsid w:val="00D77734"/>
    <w:rsid w:val="00D778C0"/>
    <w:rsid w:val="00D77AB6"/>
    <w:rsid w:val="00D77CF2"/>
    <w:rsid w:val="00D77D76"/>
    <w:rsid w:val="00D80031"/>
    <w:rsid w:val="00D80199"/>
    <w:rsid w:val="00D8030D"/>
    <w:rsid w:val="00D803DB"/>
    <w:rsid w:val="00D8051A"/>
    <w:rsid w:val="00D80628"/>
    <w:rsid w:val="00D8067D"/>
    <w:rsid w:val="00D806D3"/>
    <w:rsid w:val="00D80A07"/>
    <w:rsid w:val="00D80AA6"/>
    <w:rsid w:val="00D80BAC"/>
    <w:rsid w:val="00D80F46"/>
    <w:rsid w:val="00D80FDA"/>
    <w:rsid w:val="00D81027"/>
    <w:rsid w:val="00D81130"/>
    <w:rsid w:val="00D816DB"/>
    <w:rsid w:val="00D81AD4"/>
    <w:rsid w:val="00D81B69"/>
    <w:rsid w:val="00D81D25"/>
    <w:rsid w:val="00D81D53"/>
    <w:rsid w:val="00D81F55"/>
    <w:rsid w:val="00D82095"/>
    <w:rsid w:val="00D82138"/>
    <w:rsid w:val="00D824B0"/>
    <w:rsid w:val="00D824EF"/>
    <w:rsid w:val="00D82505"/>
    <w:rsid w:val="00D8250F"/>
    <w:rsid w:val="00D8274E"/>
    <w:rsid w:val="00D82825"/>
    <w:rsid w:val="00D82AA7"/>
    <w:rsid w:val="00D82DF0"/>
    <w:rsid w:val="00D82FB8"/>
    <w:rsid w:val="00D8316E"/>
    <w:rsid w:val="00D83369"/>
    <w:rsid w:val="00D836CE"/>
    <w:rsid w:val="00D836D5"/>
    <w:rsid w:val="00D83726"/>
    <w:rsid w:val="00D838B7"/>
    <w:rsid w:val="00D83947"/>
    <w:rsid w:val="00D83B5D"/>
    <w:rsid w:val="00D83B61"/>
    <w:rsid w:val="00D83D2B"/>
    <w:rsid w:val="00D83D49"/>
    <w:rsid w:val="00D83E78"/>
    <w:rsid w:val="00D84123"/>
    <w:rsid w:val="00D843AA"/>
    <w:rsid w:val="00D849B5"/>
    <w:rsid w:val="00D84C97"/>
    <w:rsid w:val="00D84D2B"/>
    <w:rsid w:val="00D84DE8"/>
    <w:rsid w:val="00D84E12"/>
    <w:rsid w:val="00D850B8"/>
    <w:rsid w:val="00D851E3"/>
    <w:rsid w:val="00D85548"/>
    <w:rsid w:val="00D856F9"/>
    <w:rsid w:val="00D857A0"/>
    <w:rsid w:val="00D85874"/>
    <w:rsid w:val="00D85C07"/>
    <w:rsid w:val="00D85CE4"/>
    <w:rsid w:val="00D85FCA"/>
    <w:rsid w:val="00D8601B"/>
    <w:rsid w:val="00D8607D"/>
    <w:rsid w:val="00D860CB"/>
    <w:rsid w:val="00D86187"/>
    <w:rsid w:val="00D861C2"/>
    <w:rsid w:val="00D863F2"/>
    <w:rsid w:val="00D866D8"/>
    <w:rsid w:val="00D866F9"/>
    <w:rsid w:val="00D8689F"/>
    <w:rsid w:val="00D86982"/>
    <w:rsid w:val="00D86A0C"/>
    <w:rsid w:val="00D86A21"/>
    <w:rsid w:val="00D86CEE"/>
    <w:rsid w:val="00D86DCD"/>
    <w:rsid w:val="00D86DE1"/>
    <w:rsid w:val="00D86E4F"/>
    <w:rsid w:val="00D86E95"/>
    <w:rsid w:val="00D86F47"/>
    <w:rsid w:val="00D87111"/>
    <w:rsid w:val="00D871E0"/>
    <w:rsid w:val="00D8728C"/>
    <w:rsid w:val="00D87427"/>
    <w:rsid w:val="00D874F8"/>
    <w:rsid w:val="00D874FA"/>
    <w:rsid w:val="00D87527"/>
    <w:rsid w:val="00D8773B"/>
    <w:rsid w:val="00D87982"/>
    <w:rsid w:val="00D87A64"/>
    <w:rsid w:val="00D87AD7"/>
    <w:rsid w:val="00D87B99"/>
    <w:rsid w:val="00D87CD3"/>
    <w:rsid w:val="00D87D39"/>
    <w:rsid w:val="00D87E07"/>
    <w:rsid w:val="00D87EF5"/>
    <w:rsid w:val="00D90089"/>
    <w:rsid w:val="00D900F1"/>
    <w:rsid w:val="00D9038E"/>
    <w:rsid w:val="00D904BB"/>
    <w:rsid w:val="00D904D1"/>
    <w:rsid w:val="00D9078A"/>
    <w:rsid w:val="00D908DC"/>
    <w:rsid w:val="00D90BA8"/>
    <w:rsid w:val="00D90D1D"/>
    <w:rsid w:val="00D90D56"/>
    <w:rsid w:val="00D90EB9"/>
    <w:rsid w:val="00D910B2"/>
    <w:rsid w:val="00D91194"/>
    <w:rsid w:val="00D911A6"/>
    <w:rsid w:val="00D912EA"/>
    <w:rsid w:val="00D91513"/>
    <w:rsid w:val="00D91520"/>
    <w:rsid w:val="00D91628"/>
    <w:rsid w:val="00D916A7"/>
    <w:rsid w:val="00D91826"/>
    <w:rsid w:val="00D91881"/>
    <w:rsid w:val="00D91A4B"/>
    <w:rsid w:val="00D91C57"/>
    <w:rsid w:val="00D91D1F"/>
    <w:rsid w:val="00D91FDD"/>
    <w:rsid w:val="00D9210A"/>
    <w:rsid w:val="00D921C4"/>
    <w:rsid w:val="00D92342"/>
    <w:rsid w:val="00D923BC"/>
    <w:rsid w:val="00D924C1"/>
    <w:rsid w:val="00D92600"/>
    <w:rsid w:val="00D926CE"/>
    <w:rsid w:val="00D929DB"/>
    <w:rsid w:val="00D92B1A"/>
    <w:rsid w:val="00D92B9A"/>
    <w:rsid w:val="00D92D93"/>
    <w:rsid w:val="00D9300C"/>
    <w:rsid w:val="00D93098"/>
    <w:rsid w:val="00D93175"/>
    <w:rsid w:val="00D93191"/>
    <w:rsid w:val="00D931F0"/>
    <w:rsid w:val="00D9331D"/>
    <w:rsid w:val="00D9345F"/>
    <w:rsid w:val="00D93526"/>
    <w:rsid w:val="00D93788"/>
    <w:rsid w:val="00D938DF"/>
    <w:rsid w:val="00D939BB"/>
    <w:rsid w:val="00D93C22"/>
    <w:rsid w:val="00D93FE7"/>
    <w:rsid w:val="00D94056"/>
    <w:rsid w:val="00D94164"/>
    <w:rsid w:val="00D9423F"/>
    <w:rsid w:val="00D94246"/>
    <w:rsid w:val="00D94263"/>
    <w:rsid w:val="00D9434E"/>
    <w:rsid w:val="00D94572"/>
    <w:rsid w:val="00D94938"/>
    <w:rsid w:val="00D949A3"/>
    <w:rsid w:val="00D94A00"/>
    <w:rsid w:val="00D94A9E"/>
    <w:rsid w:val="00D94ABA"/>
    <w:rsid w:val="00D94E42"/>
    <w:rsid w:val="00D9566F"/>
    <w:rsid w:val="00D956CA"/>
    <w:rsid w:val="00D9597A"/>
    <w:rsid w:val="00D95B7B"/>
    <w:rsid w:val="00D95BE6"/>
    <w:rsid w:val="00D95D6D"/>
    <w:rsid w:val="00D95DC5"/>
    <w:rsid w:val="00D95DE2"/>
    <w:rsid w:val="00D95E02"/>
    <w:rsid w:val="00D95ED8"/>
    <w:rsid w:val="00D961EA"/>
    <w:rsid w:val="00D96227"/>
    <w:rsid w:val="00D9629D"/>
    <w:rsid w:val="00D968AC"/>
    <w:rsid w:val="00D968FB"/>
    <w:rsid w:val="00D96AC1"/>
    <w:rsid w:val="00D96DEE"/>
    <w:rsid w:val="00D97128"/>
    <w:rsid w:val="00D97215"/>
    <w:rsid w:val="00D97251"/>
    <w:rsid w:val="00D972A0"/>
    <w:rsid w:val="00D9737E"/>
    <w:rsid w:val="00D973AE"/>
    <w:rsid w:val="00D9741C"/>
    <w:rsid w:val="00D9748C"/>
    <w:rsid w:val="00D975D1"/>
    <w:rsid w:val="00D97601"/>
    <w:rsid w:val="00D977AD"/>
    <w:rsid w:val="00D977CF"/>
    <w:rsid w:val="00D97872"/>
    <w:rsid w:val="00D978A3"/>
    <w:rsid w:val="00D97C8E"/>
    <w:rsid w:val="00D97EAD"/>
    <w:rsid w:val="00DA013E"/>
    <w:rsid w:val="00DA0148"/>
    <w:rsid w:val="00DA038D"/>
    <w:rsid w:val="00DA042A"/>
    <w:rsid w:val="00DA04B2"/>
    <w:rsid w:val="00DA04CF"/>
    <w:rsid w:val="00DA074F"/>
    <w:rsid w:val="00DA0934"/>
    <w:rsid w:val="00DA0F3A"/>
    <w:rsid w:val="00DA15C6"/>
    <w:rsid w:val="00DA1635"/>
    <w:rsid w:val="00DA1676"/>
    <w:rsid w:val="00DA178C"/>
    <w:rsid w:val="00DA1A52"/>
    <w:rsid w:val="00DA1ABA"/>
    <w:rsid w:val="00DA1BC5"/>
    <w:rsid w:val="00DA1BCC"/>
    <w:rsid w:val="00DA1D0E"/>
    <w:rsid w:val="00DA2146"/>
    <w:rsid w:val="00DA231D"/>
    <w:rsid w:val="00DA2389"/>
    <w:rsid w:val="00DA2449"/>
    <w:rsid w:val="00DA244A"/>
    <w:rsid w:val="00DA2606"/>
    <w:rsid w:val="00DA268D"/>
    <w:rsid w:val="00DA29BC"/>
    <w:rsid w:val="00DA2A28"/>
    <w:rsid w:val="00DA2AA0"/>
    <w:rsid w:val="00DA2B18"/>
    <w:rsid w:val="00DA2F5A"/>
    <w:rsid w:val="00DA2F5C"/>
    <w:rsid w:val="00DA2FBB"/>
    <w:rsid w:val="00DA2FFD"/>
    <w:rsid w:val="00DA315A"/>
    <w:rsid w:val="00DA3206"/>
    <w:rsid w:val="00DA3373"/>
    <w:rsid w:val="00DA38C5"/>
    <w:rsid w:val="00DA38CF"/>
    <w:rsid w:val="00DA3957"/>
    <w:rsid w:val="00DA3B74"/>
    <w:rsid w:val="00DA3BB8"/>
    <w:rsid w:val="00DA3BFB"/>
    <w:rsid w:val="00DA3D1D"/>
    <w:rsid w:val="00DA4054"/>
    <w:rsid w:val="00DA4080"/>
    <w:rsid w:val="00DA4104"/>
    <w:rsid w:val="00DA412C"/>
    <w:rsid w:val="00DA4148"/>
    <w:rsid w:val="00DA425C"/>
    <w:rsid w:val="00DA430B"/>
    <w:rsid w:val="00DA4970"/>
    <w:rsid w:val="00DA49AC"/>
    <w:rsid w:val="00DA4C5E"/>
    <w:rsid w:val="00DA4C60"/>
    <w:rsid w:val="00DA4C7A"/>
    <w:rsid w:val="00DA4C8C"/>
    <w:rsid w:val="00DA4EFB"/>
    <w:rsid w:val="00DA4F04"/>
    <w:rsid w:val="00DA4F6D"/>
    <w:rsid w:val="00DA4FF7"/>
    <w:rsid w:val="00DA50E5"/>
    <w:rsid w:val="00DA51E3"/>
    <w:rsid w:val="00DA52C2"/>
    <w:rsid w:val="00DA546F"/>
    <w:rsid w:val="00DA5485"/>
    <w:rsid w:val="00DA5513"/>
    <w:rsid w:val="00DA5593"/>
    <w:rsid w:val="00DA561B"/>
    <w:rsid w:val="00DA5674"/>
    <w:rsid w:val="00DA5967"/>
    <w:rsid w:val="00DA59DA"/>
    <w:rsid w:val="00DA5A21"/>
    <w:rsid w:val="00DA5B91"/>
    <w:rsid w:val="00DA5C02"/>
    <w:rsid w:val="00DA5C62"/>
    <w:rsid w:val="00DA5DAF"/>
    <w:rsid w:val="00DA601F"/>
    <w:rsid w:val="00DA6059"/>
    <w:rsid w:val="00DA605E"/>
    <w:rsid w:val="00DA6093"/>
    <w:rsid w:val="00DA62CF"/>
    <w:rsid w:val="00DA62D7"/>
    <w:rsid w:val="00DA6368"/>
    <w:rsid w:val="00DA6437"/>
    <w:rsid w:val="00DA645A"/>
    <w:rsid w:val="00DA65BB"/>
    <w:rsid w:val="00DA6636"/>
    <w:rsid w:val="00DA6923"/>
    <w:rsid w:val="00DA69CD"/>
    <w:rsid w:val="00DA6D32"/>
    <w:rsid w:val="00DA6DEB"/>
    <w:rsid w:val="00DA6E1B"/>
    <w:rsid w:val="00DA7045"/>
    <w:rsid w:val="00DA72EF"/>
    <w:rsid w:val="00DA73BF"/>
    <w:rsid w:val="00DA7481"/>
    <w:rsid w:val="00DA74F5"/>
    <w:rsid w:val="00DA76B8"/>
    <w:rsid w:val="00DA783D"/>
    <w:rsid w:val="00DA783F"/>
    <w:rsid w:val="00DA792E"/>
    <w:rsid w:val="00DA79F0"/>
    <w:rsid w:val="00DA7A0C"/>
    <w:rsid w:val="00DA7B23"/>
    <w:rsid w:val="00DA7B59"/>
    <w:rsid w:val="00DA7D1C"/>
    <w:rsid w:val="00DA7D20"/>
    <w:rsid w:val="00DA7D70"/>
    <w:rsid w:val="00DA7EBC"/>
    <w:rsid w:val="00DB0138"/>
    <w:rsid w:val="00DB01BA"/>
    <w:rsid w:val="00DB01CF"/>
    <w:rsid w:val="00DB01D4"/>
    <w:rsid w:val="00DB0290"/>
    <w:rsid w:val="00DB0330"/>
    <w:rsid w:val="00DB0470"/>
    <w:rsid w:val="00DB060B"/>
    <w:rsid w:val="00DB0669"/>
    <w:rsid w:val="00DB06FE"/>
    <w:rsid w:val="00DB0986"/>
    <w:rsid w:val="00DB09A0"/>
    <w:rsid w:val="00DB0A06"/>
    <w:rsid w:val="00DB0A22"/>
    <w:rsid w:val="00DB0AE3"/>
    <w:rsid w:val="00DB0B90"/>
    <w:rsid w:val="00DB0BC1"/>
    <w:rsid w:val="00DB0CCA"/>
    <w:rsid w:val="00DB0D5C"/>
    <w:rsid w:val="00DB0FCE"/>
    <w:rsid w:val="00DB1181"/>
    <w:rsid w:val="00DB1232"/>
    <w:rsid w:val="00DB13EB"/>
    <w:rsid w:val="00DB14EC"/>
    <w:rsid w:val="00DB18F8"/>
    <w:rsid w:val="00DB1E90"/>
    <w:rsid w:val="00DB20D6"/>
    <w:rsid w:val="00DB21B3"/>
    <w:rsid w:val="00DB226F"/>
    <w:rsid w:val="00DB2718"/>
    <w:rsid w:val="00DB2B16"/>
    <w:rsid w:val="00DB2FB1"/>
    <w:rsid w:val="00DB30FC"/>
    <w:rsid w:val="00DB320A"/>
    <w:rsid w:val="00DB3630"/>
    <w:rsid w:val="00DB3642"/>
    <w:rsid w:val="00DB38DF"/>
    <w:rsid w:val="00DB3C28"/>
    <w:rsid w:val="00DB3D8B"/>
    <w:rsid w:val="00DB3EEA"/>
    <w:rsid w:val="00DB3F8F"/>
    <w:rsid w:val="00DB40D6"/>
    <w:rsid w:val="00DB4138"/>
    <w:rsid w:val="00DB4201"/>
    <w:rsid w:val="00DB4260"/>
    <w:rsid w:val="00DB4294"/>
    <w:rsid w:val="00DB44F5"/>
    <w:rsid w:val="00DB477D"/>
    <w:rsid w:val="00DB4890"/>
    <w:rsid w:val="00DB4C84"/>
    <w:rsid w:val="00DB4CFE"/>
    <w:rsid w:val="00DB5210"/>
    <w:rsid w:val="00DB560F"/>
    <w:rsid w:val="00DB562C"/>
    <w:rsid w:val="00DB5696"/>
    <w:rsid w:val="00DB5854"/>
    <w:rsid w:val="00DB58CC"/>
    <w:rsid w:val="00DB596F"/>
    <w:rsid w:val="00DB5BB9"/>
    <w:rsid w:val="00DB5C1D"/>
    <w:rsid w:val="00DB5F05"/>
    <w:rsid w:val="00DB6286"/>
    <w:rsid w:val="00DB628F"/>
    <w:rsid w:val="00DB635D"/>
    <w:rsid w:val="00DB63B8"/>
    <w:rsid w:val="00DB645F"/>
    <w:rsid w:val="00DB6534"/>
    <w:rsid w:val="00DB6562"/>
    <w:rsid w:val="00DB67F7"/>
    <w:rsid w:val="00DB686F"/>
    <w:rsid w:val="00DB68F2"/>
    <w:rsid w:val="00DB6905"/>
    <w:rsid w:val="00DB6926"/>
    <w:rsid w:val="00DB6A59"/>
    <w:rsid w:val="00DB6B0F"/>
    <w:rsid w:val="00DB6C97"/>
    <w:rsid w:val="00DB6F0F"/>
    <w:rsid w:val="00DB6F92"/>
    <w:rsid w:val="00DB71FF"/>
    <w:rsid w:val="00DB723E"/>
    <w:rsid w:val="00DB74F9"/>
    <w:rsid w:val="00DB754F"/>
    <w:rsid w:val="00DB76E9"/>
    <w:rsid w:val="00DB7C47"/>
    <w:rsid w:val="00DB7CF8"/>
    <w:rsid w:val="00DB7D53"/>
    <w:rsid w:val="00DB7E58"/>
    <w:rsid w:val="00DC02F8"/>
    <w:rsid w:val="00DC040B"/>
    <w:rsid w:val="00DC069E"/>
    <w:rsid w:val="00DC069F"/>
    <w:rsid w:val="00DC06E4"/>
    <w:rsid w:val="00DC0882"/>
    <w:rsid w:val="00DC0A55"/>
    <w:rsid w:val="00DC0A67"/>
    <w:rsid w:val="00DC13D0"/>
    <w:rsid w:val="00DC1429"/>
    <w:rsid w:val="00DC16C1"/>
    <w:rsid w:val="00DC1810"/>
    <w:rsid w:val="00DC1878"/>
    <w:rsid w:val="00DC1A26"/>
    <w:rsid w:val="00DC1D39"/>
    <w:rsid w:val="00DC1D5E"/>
    <w:rsid w:val="00DC1D80"/>
    <w:rsid w:val="00DC1F9E"/>
    <w:rsid w:val="00DC2313"/>
    <w:rsid w:val="00DC23D5"/>
    <w:rsid w:val="00DC24B7"/>
    <w:rsid w:val="00DC26CA"/>
    <w:rsid w:val="00DC27AB"/>
    <w:rsid w:val="00DC2AD8"/>
    <w:rsid w:val="00DC2BF1"/>
    <w:rsid w:val="00DC2C12"/>
    <w:rsid w:val="00DC2D26"/>
    <w:rsid w:val="00DC2DE9"/>
    <w:rsid w:val="00DC2FC7"/>
    <w:rsid w:val="00DC305B"/>
    <w:rsid w:val="00DC305D"/>
    <w:rsid w:val="00DC311E"/>
    <w:rsid w:val="00DC323B"/>
    <w:rsid w:val="00DC32C1"/>
    <w:rsid w:val="00DC3529"/>
    <w:rsid w:val="00DC3746"/>
    <w:rsid w:val="00DC3760"/>
    <w:rsid w:val="00DC39F0"/>
    <w:rsid w:val="00DC3A2B"/>
    <w:rsid w:val="00DC3BAD"/>
    <w:rsid w:val="00DC3BC7"/>
    <w:rsid w:val="00DC3C01"/>
    <w:rsid w:val="00DC3DAE"/>
    <w:rsid w:val="00DC3DCD"/>
    <w:rsid w:val="00DC3F5F"/>
    <w:rsid w:val="00DC40CC"/>
    <w:rsid w:val="00DC433F"/>
    <w:rsid w:val="00DC437C"/>
    <w:rsid w:val="00DC43DD"/>
    <w:rsid w:val="00DC4700"/>
    <w:rsid w:val="00DC4751"/>
    <w:rsid w:val="00DC4DE9"/>
    <w:rsid w:val="00DC503A"/>
    <w:rsid w:val="00DC5220"/>
    <w:rsid w:val="00DC5251"/>
    <w:rsid w:val="00DC52E2"/>
    <w:rsid w:val="00DC5348"/>
    <w:rsid w:val="00DC549E"/>
    <w:rsid w:val="00DC582B"/>
    <w:rsid w:val="00DC5928"/>
    <w:rsid w:val="00DC59E8"/>
    <w:rsid w:val="00DC5C25"/>
    <w:rsid w:val="00DC5C9C"/>
    <w:rsid w:val="00DC5D92"/>
    <w:rsid w:val="00DC5F46"/>
    <w:rsid w:val="00DC601E"/>
    <w:rsid w:val="00DC6519"/>
    <w:rsid w:val="00DC6552"/>
    <w:rsid w:val="00DC662B"/>
    <w:rsid w:val="00DC66BA"/>
    <w:rsid w:val="00DC6768"/>
    <w:rsid w:val="00DC6796"/>
    <w:rsid w:val="00DC6833"/>
    <w:rsid w:val="00DC68F1"/>
    <w:rsid w:val="00DC6B08"/>
    <w:rsid w:val="00DC6C6E"/>
    <w:rsid w:val="00DC6EF2"/>
    <w:rsid w:val="00DC6FE4"/>
    <w:rsid w:val="00DC702C"/>
    <w:rsid w:val="00DC706C"/>
    <w:rsid w:val="00DC7414"/>
    <w:rsid w:val="00DC7530"/>
    <w:rsid w:val="00DC75FD"/>
    <w:rsid w:val="00DC76F2"/>
    <w:rsid w:val="00DC7726"/>
    <w:rsid w:val="00DC78CC"/>
    <w:rsid w:val="00DC7910"/>
    <w:rsid w:val="00DC7A57"/>
    <w:rsid w:val="00DC7B13"/>
    <w:rsid w:val="00DC7B16"/>
    <w:rsid w:val="00DC7B94"/>
    <w:rsid w:val="00DC7C05"/>
    <w:rsid w:val="00DC7C33"/>
    <w:rsid w:val="00DC7DCB"/>
    <w:rsid w:val="00DC7F0C"/>
    <w:rsid w:val="00DD03B9"/>
    <w:rsid w:val="00DD0536"/>
    <w:rsid w:val="00DD0561"/>
    <w:rsid w:val="00DD07A8"/>
    <w:rsid w:val="00DD0A32"/>
    <w:rsid w:val="00DD0C54"/>
    <w:rsid w:val="00DD0D73"/>
    <w:rsid w:val="00DD0D94"/>
    <w:rsid w:val="00DD0E37"/>
    <w:rsid w:val="00DD0F4C"/>
    <w:rsid w:val="00DD1076"/>
    <w:rsid w:val="00DD1503"/>
    <w:rsid w:val="00DD1602"/>
    <w:rsid w:val="00DD18E1"/>
    <w:rsid w:val="00DD1BC6"/>
    <w:rsid w:val="00DD1EC4"/>
    <w:rsid w:val="00DD2061"/>
    <w:rsid w:val="00DD2228"/>
    <w:rsid w:val="00DD226C"/>
    <w:rsid w:val="00DD23AC"/>
    <w:rsid w:val="00DD2480"/>
    <w:rsid w:val="00DD2722"/>
    <w:rsid w:val="00DD2A66"/>
    <w:rsid w:val="00DD2DC2"/>
    <w:rsid w:val="00DD2DD2"/>
    <w:rsid w:val="00DD2EC6"/>
    <w:rsid w:val="00DD2F80"/>
    <w:rsid w:val="00DD30A8"/>
    <w:rsid w:val="00DD323E"/>
    <w:rsid w:val="00DD329B"/>
    <w:rsid w:val="00DD3393"/>
    <w:rsid w:val="00DD33D2"/>
    <w:rsid w:val="00DD33E4"/>
    <w:rsid w:val="00DD34B6"/>
    <w:rsid w:val="00DD34F8"/>
    <w:rsid w:val="00DD3526"/>
    <w:rsid w:val="00DD3613"/>
    <w:rsid w:val="00DD39DF"/>
    <w:rsid w:val="00DD39E9"/>
    <w:rsid w:val="00DD39F3"/>
    <w:rsid w:val="00DD39F7"/>
    <w:rsid w:val="00DD3B1C"/>
    <w:rsid w:val="00DD3B9E"/>
    <w:rsid w:val="00DD3CEC"/>
    <w:rsid w:val="00DD3E97"/>
    <w:rsid w:val="00DD405F"/>
    <w:rsid w:val="00DD40A2"/>
    <w:rsid w:val="00DD40EF"/>
    <w:rsid w:val="00DD4195"/>
    <w:rsid w:val="00DD44B3"/>
    <w:rsid w:val="00DD44CD"/>
    <w:rsid w:val="00DD4570"/>
    <w:rsid w:val="00DD46C5"/>
    <w:rsid w:val="00DD46F1"/>
    <w:rsid w:val="00DD47E9"/>
    <w:rsid w:val="00DD48B7"/>
    <w:rsid w:val="00DD49B2"/>
    <w:rsid w:val="00DD4AC5"/>
    <w:rsid w:val="00DD4BD4"/>
    <w:rsid w:val="00DD51B0"/>
    <w:rsid w:val="00DD5273"/>
    <w:rsid w:val="00DD5729"/>
    <w:rsid w:val="00DD5882"/>
    <w:rsid w:val="00DD5A1C"/>
    <w:rsid w:val="00DD5EA7"/>
    <w:rsid w:val="00DD60E7"/>
    <w:rsid w:val="00DD68D3"/>
    <w:rsid w:val="00DD6906"/>
    <w:rsid w:val="00DD6B57"/>
    <w:rsid w:val="00DD6DA2"/>
    <w:rsid w:val="00DD6E4A"/>
    <w:rsid w:val="00DD6E99"/>
    <w:rsid w:val="00DD70DF"/>
    <w:rsid w:val="00DD73C2"/>
    <w:rsid w:val="00DD7567"/>
    <w:rsid w:val="00DD758B"/>
    <w:rsid w:val="00DD78ED"/>
    <w:rsid w:val="00DD7BAB"/>
    <w:rsid w:val="00DD7C2E"/>
    <w:rsid w:val="00DD7CF8"/>
    <w:rsid w:val="00DD7D18"/>
    <w:rsid w:val="00DD7D90"/>
    <w:rsid w:val="00DD7DAB"/>
    <w:rsid w:val="00DD7E77"/>
    <w:rsid w:val="00DD7F1C"/>
    <w:rsid w:val="00DD7F8B"/>
    <w:rsid w:val="00DD7FD0"/>
    <w:rsid w:val="00DD7FE1"/>
    <w:rsid w:val="00DE0095"/>
    <w:rsid w:val="00DE0100"/>
    <w:rsid w:val="00DE0255"/>
    <w:rsid w:val="00DE02FF"/>
    <w:rsid w:val="00DE0401"/>
    <w:rsid w:val="00DE046F"/>
    <w:rsid w:val="00DE0561"/>
    <w:rsid w:val="00DE05FE"/>
    <w:rsid w:val="00DE0602"/>
    <w:rsid w:val="00DE0B06"/>
    <w:rsid w:val="00DE0BB1"/>
    <w:rsid w:val="00DE0E60"/>
    <w:rsid w:val="00DE1216"/>
    <w:rsid w:val="00DE152C"/>
    <w:rsid w:val="00DE1631"/>
    <w:rsid w:val="00DE1676"/>
    <w:rsid w:val="00DE1764"/>
    <w:rsid w:val="00DE176F"/>
    <w:rsid w:val="00DE1C8B"/>
    <w:rsid w:val="00DE1F68"/>
    <w:rsid w:val="00DE2162"/>
    <w:rsid w:val="00DE24B1"/>
    <w:rsid w:val="00DE260A"/>
    <w:rsid w:val="00DE280D"/>
    <w:rsid w:val="00DE2A3E"/>
    <w:rsid w:val="00DE2BD5"/>
    <w:rsid w:val="00DE2DA8"/>
    <w:rsid w:val="00DE2FA6"/>
    <w:rsid w:val="00DE2FAB"/>
    <w:rsid w:val="00DE3355"/>
    <w:rsid w:val="00DE3377"/>
    <w:rsid w:val="00DE3520"/>
    <w:rsid w:val="00DE354C"/>
    <w:rsid w:val="00DE3650"/>
    <w:rsid w:val="00DE3677"/>
    <w:rsid w:val="00DE3749"/>
    <w:rsid w:val="00DE3974"/>
    <w:rsid w:val="00DE39A1"/>
    <w:rsid w:val="00DE39C5"/>
    <w:rsid w:val="00DE39E0"/>
    <w:rsid w:val="00DE3B58"/>
    <w:rsid w:val="00DE3D4D"/>
    <w:rsid w:val="00DE3D70"/>
    <w:rsid w:val="00DE3D7E"/>
    <w:rsid w:val="00DE3DE8"/>
    <w:rsid w:val="00DE3F0D"/>
    <w:rsid w:val="00DE3F17"/>
    <w:rsid w:val="00DE406B"/>
    <w:rsid w:val="00DE40A1"/>
    <w:rsid w:val="00DE40EA"/>
    <w:rsid w:val="00DE43A3"/>
    <w:rsid w:val="00DE45C6"/>
    <w:rsid w:val="00DE46E1"/>
    <w:rsid w:val="00DE4708"/>
    <w:rsid w:val="00DE4761"/>
    <w:rsid w:val="00DE4817"/>
    <w:rsid w:val="00DE4C5A"/>
    <w:rsid w:val="00DE4CA8"/>
    <w:rsid w:val="00DE4CDA"/>
    <w:rsid w:val="00DE50AD"/>
    <w:rsid w:val="00DE5404"/>
    <w:rsid w:val="00DE5463"/>
    <w:rsid w:val="00DE5525"/>
    <w:rsid w:val="00DE587E"/>
    <w:rsid w:val="00DE5C48"/>
    <w:rsid w:val="00DE5F6A"/>
    <w:rsid w:val="00DE632C"/>
    <w:rsid w:val="00DE6374"/>
    <w:rsid w:val="00DE63A4"/>
    <w:rsid w:val="00DE64C6"/>
    <w:rsid w:val="00DE64D6"/>
    <w:rsid w:val="00DE6532"/>
    <w:rsid w:val="00DE6612"/>
    <w:rsid w:val="00DE66B1"/>
    <w:rsid w:val="00DE6819"/>
    <w:rsid w:val="00DE688C"/>
    <w:rsid w:val="00DE69B4"/>
    <w:rsid w:val="00DE6C32"/>
    <w:rsid w:val="00DE6C4E"/>
    <w:rsid w:val="00DE71EC"/>
    <w:rsid w:val="00DE71F9"/>
    <w:rsid w:val="00DE72D7"/>
    <w:rsid w:val="00DE7792"/>
    <w:rsid w:val="00DE77B6"/>
    <w:rsid w:val="00DE7BC9"/>
    <w:rsid w:val="00DE7CBD"/>
    <w:rsid w:val="00DE7DFD"/>
    <w:rsid w:val="00DE7EE1"/>
    <w:rsid w:val="00DF007B"/>
    <w:rsid w:val="00DF019E"/>
    <w:rsid w:val="00DF01F7"/>
    <w:rsid w:val="00DF0419"/>
    <w:rsid w:val="00DF0491"/>
    <w:rsid w:val="00DF065E"/>
    <w:rsid w:val="00DF06CF"/>
    <w:rsid w:val="00DF0818"/>
    <w:rsid w:val="00DF0A48"/>
    <w:rsid w:val="00DF0A4E"/>
    <w:rsid w:val="00DF0B13"/>
    <w:rsid w:val="00DF0CBE"/>
    <w:rsid w:val="00DF0EF3"/>
    <w:rsid w:val="00DF0FC9"/>
    <w:rsid w:val="00DF13FA"/>
    <w:rsid w:val="00DF14B6"/>
    <w:rsid w:val="00DF16FA"/>
    <w:rsid w:val="00DF1744"/>
    <w:rsid w:val="00DF1760"/>
    <w:rsid w:val="00DF19E1"/>
    <w:rsid w:val="00DF1A57"/>
    <w:rsid w:val="00DF1F06"/>
    <w:rsid w:val="00DF213F"/>
    <w:rsid w:val="00DF2798"/>
    <w:rsid w:val="00DF2B1D"/>
    <w:rsid w:val="00DF2C73"/>
    <w:rsid w:val="00DF2DCE"/>
    <w:rsid w:val="00DF2EC5"/>
    <w:rsid w:val="00DF31BD"/>
    <w:rsid w:val="00DF3267"/>
    <w:rsid w:val="00DF34F3"/>
    <w:rsid w:val="00DF37BB"/>
    <w:rsid w:val="00DF3973"/>
    <w:rsid w:val="00DF3A37"/>
    <w:rsid w:val="00DF3CDF"/>
    <w:rsid w:val="00DF3D0B"/>
    <w:rsid w:val="00DF3D94"/>
    <w:rsid w:val="00DF3F2D"/>
    <w:rsid w:val="00DF4143"/>
    <w:rsid w:val="00DF4403"/>
    <w:rsid w:val="00DF4785"/>
    <w:rsid w:val="00DF486F"/>
    <w:rsid w:val="00DF4930"/>
    <w:rsid w:val="00DF4B58"/>
    <w:rsid w:val="00DF4BD0"/>
    <w:rsid w:val="00DF4BFB"/>
    <w:rsid w:val="00DF4C6E"/>
    <w:rsid w:val="00DF514A"/>
    <w:rsid w:val="00DF5319"/>
    <w:rsid w:val="00DF5367"/>
    <w:rsid w:val="00DF5462"/>
    <w:rsid w:val="00DF54C8"/>
    <w:rsid w:val="00DF5A0E"/>
    <w:rsid w:val="00DF5B5B"/>
    <w:rsid w:val="00DF5B99"/>
    <w:rsid w:val="00DF5E48"/>
    <w:rsid w:val="00DF5F47"/>
    <w:rsid w:val="00DF5FDE"/>
    <w:rsid w:val="00DF6069"/>
    <w:rsid w:val="00DF61A5"/>
    <w:rsid w:val="00DF628F"/>
    <w:rsid w:val="00DF659E"/>
    <w:rsid w:val="00DF6801"/>
    <w:rsid w:val="00DF6911"/>
    <w:rsid w:val="00DF69B8"/>
    <w:rsid w:val="00DF6C4A"/>
    <w:rsid w:val="00DF6CB2"/>
    <w:rsid w:val="00DF6D47"/>
    <w:rsid w:val="00DF6D4F"/>
    <w:rsid w:val="00DF6E1D"/>
    <w:rsid w:val="00DF6F58"/>
    <w:rsid w:val="00DF7082"/>
    <w:rsid w:val="00DF72FD"/>
    <w:rsid w:val="00DF7309"/>
    <w:rsid w:val="00DF74C7"/>
    <w:rsid w:val="00DF74E8"/>
    <w:rsid w:val="00DF75DD"/>
    <w:rsid w:val="00DF75F9"/>
    <w:rsid w:val="00DF7619"/>
    <w:rsid w:val="00DF77E7"/>
    <w:rsid w:val="00DF782A"/>
    <w:rsid w:val="00DF7B3C"/>
    <w:rsid w:val="00DF7D16"/>
    <w:rsid w:val="00DF7D36"/>
    <w:rsid w:val="00DF7EB7"/>
    <w:rsid w:val="00DF7F4A"/>
    <w:rsid w:val="00DF7F76"/>
    <w:rsid w:val="00E00039"/>
    <w:rsid w:val="00E00360"/>
    <w:rsid w:val="00E004B0"/>
    <w:rsid w:val="00E00676"/>
    <w:rsid w:val="00E00765"/>
    <w:rsid w:val="00E00781"/>
    <w:rsid w:val="00E00CE1"/>
    <w:rsid w:val="00E00D94"/>
    <w:rsid w:val="00E00DA5"/>
    <w:rsid w:val="00E00DD1"/>
    <w:rsid w:val="00E01076"/>
    <w:rsid w:val="00E01132"/>
    <w:rsid w:val="00E012D9"/>
    <w:rsid w:val="00E01538"/>
    <w:rsid w:val="00E01636"/>
    <w:rsid w:val="00E016DD"/>
    <w:rsid w:val="00E01855"/>
    <w:rsid w:val="00E01951"/>
    <w:rsid w:val="00E01999"/>
    <w:rsid w:val="00E01B25"/>
    <w:rsid w:val="00E01BEB"/>
    <w:rsid w:val="00E01D39"/>
    <w:rsid w:val="00E01E07"/>
    <w:rsid w:val="00E01E5C"/>
    <w:rsid w:val="00E020C7"/>
    <w:rsid w:val="00E020E7"/>
    <w:rsid w:val="00E02368"/>
    <w:rsid w:val="00E02408"/>
    <w:rsid w:val="00E0247D"/>
    <w:rsid w:val="00E026A8"/>
    <w:rsid w:val="00E027E6"/>
    <w:rsid w:val="00E028BD"/>
    <w:rsid w:val="00E02B79"/>
    <w:rsid w:val="00E02BAE"/>
    <w:rsid w:val="00E02D4B"/>
    <w:rsid w:val="00E02DCC"/>
    <w:rsid w:val="00E02EE0"/>
    <w:rsid w:val="00E03121"/>
    <w:rsid w:val="00E031B6"/>
    <w:rsid w:val="00E03233"/>
    <w:rsid w:val="00E03504"/>
    <w:rsid w:val="00E03883"/>
    <w:rsid w:val="00E03892"/>
    <w:rsid w:val="00E03976"/>
    <w:rsid w:val="00E03B60"/>
    <w:rsid w:val="00E03C55"/>
    <w:rsid w:val="00E03D6B"/>
    <w:rsid w:val="00E042A5"/>
    <w:rsid w:val="00E042D8"/>
    <w:rsid w:val="00E043B8"/>
    <w:rsid w:val="00E044FA"/>
    <w:rsid w:val="00E0452D"/>
    <w:rsid w:val="00E04564"/>
    <w:rsid w:val="00E046CC"/>
    <w:rsid w:val="00E0484A"/>
    <w:rsid w:val="00E048A5"/>
    <w:rsid w:val="00E04929"/>
    <w:rsid w:val="00E04D6E"/>
    <w:rsid w:val="00E04EC4"/>
    <w:rsid w:val="00E0514B"/>
    <w:rsid w:val="00E052BD"/>
    <w:rsid w:val="00E05403"/>
    <w:rsid w:val="00E05407"/>
    <w:rsid w:val="00E054FE"/>
    <w:rsid w:val="00E05680"/>
    <w:rsid w:val="00E05707"/>
    <w:rsid w:val="00E059D3"/>
    <w:rsid w:val="00E05A4F"/>
    <w:rsid w:val="00E05BDD"/>
    <w:rsid w:val="00E05DAB"/>
    <w:rsid w:val="00E05E12"/>
    <w:rsid w:val="00E05E34"/>
    <w:rsid w:val="00E05EF3"/>
    <w:rsid w:val="00E06181"/>
    <w:rsid w:val="00E06320"/>
    <w:rsid w:val="00E0646D"/>
    <w:rsid w:val="00E0657A"/>
    <w:rsid w:val="00E0667E"/>
    <w:rsid w:val="00E06727"/>
    <w:rsid w:val="00E06814"/>
    <w:rsid w:val="00E06C25"/>
    <w:rsid w:val="00E06D09"/>
    <w:rsid w:val="00E06DB1"/>
    <w:rsid w:val="00E06E33"/>
    <w:rsid w:val="00E06F8D"/>
    <w:rsid w:val="00E06FF9"/>
    <w:rsid w:val="00E070C7"/>
    <w:rsid w:val="00E072ED"/>
    <w:rsid w:val="00E07509"/>
    <w:rsid w:val="00E0761B"/>
    <w:rsid w:val="00E07648"/>
    <w:rsid w:val="00E07709"/>
    <w:rsid w:val="00E078D9"/>
    <w:rsid w:val="00E07941"/>
    <w:rsid w:val="00E07B37"/>
    <w:rsid w:val="00E07EE7"/>
    <w:rsid w:val="00E100D6"/>
    <w:rsid w:val="00E102A4"/>
    <w:rsid w:val="00E10377"/>
    <w:rsid w:val="00E10407"/>
    <w:rsid w:val="00E10465"/>
    <w:rsid w:val="00E105BD"/>
    <w:rsid w:val="00E105D0"/>
    <w:rsid w:val="00E10850"/>
    <w:rsid w:val="00E1087B"/>
    <w:rsid w:val="00E108B5"/>
    <w:rsid w:val="00E10A23"/>
    <w:rsid w:val="00E10AD7"/>
    <w:rsid w:val="00E10CF2"/>
    <w:rsid w:val="00E10DFA"/>
    <w:rsid w:val="00E1103B"/>
    <w:rsid w:val="00E111AE"/>
    <w:rsid w:val="00E11229"/>
    <w:rsid w:val="00E114E6"/>
    <w:rsid w:val="00E115C1"/>
    <w:rsid w:val="00E1171F"/>
    <w:rsid w:val="00E1179D"/>
    <w:rsid w:val="00E1188A"/>
    <w:rsid w:val="00E11A86"/>
    <w:rsid w:val="00E11A93"/>
    <w:rsid w:val="00E11D18"/>
    <w:rsid w:val="00E11DB0"/>
    <w:rsid w:val="00E11F22"/>
    <w:rsid w:val="00E120AA"/>
    <w:rsid w:val="00E12138"/>
    <w:rsid w:val="00E121FF"/>
    <w:rsid w:val="00E122F5"/>
    <w:rsid w:val="00E123EF"/>
    <w:rsid w:val="00E1274A"/>
    <w:rsid w:val="00E127D3"/>
    <w:rsid w:val="00E12829"/>
    <w:rsid w:val="00E12868"/>
    <w:rsid w:val="00E12DF9"/>
    <w:rsid w:val="00E12F29"/>
    <w:rsid w:val="00E13027"/>
    <w:rsid w:val="00E13172"/>
    <w:rsid w:val="00E131FB"/>
    <w:rsid w:val="00E13375"/>
    <w:rsid w:val="00E133BC"/>
    <w:rsid w:val="00E13FB2"/>
    <w:rsid w:val="00E13FD9"/>
    <w:rsid w:val="00E140AF"/>
    <w:rsid w:val="00E14366"/>
    <w:rsid w:val="00E1439F"/>
    <w:rsid w:val="00E146A5"/>
    <w:rsid w:val="00E14BF0"/>
    <w:rsid w:val="00E14E58"/>
    <w:rsid w:val="00E14E64"/>
    <w:rsid w:val="00E14EE1"/>
    <w:rsid w:val="00E14EEF"/>
    <w:rsid w:val="00E14F7B"/>
    <w:rsid w:val="00E1515E"/>
    <w:rsid w:val="00E15232"/>
    <w:rsid w:val="00E15260"/>
    <w:rsid w:val="00E152E7"/>
    <w:rsid w:val="00E154F8"/>
    <w:rsid w:val="00E154FA"/>
    <w:rsid w:val="00E1595B"/>
    <w:rsid w:val="00E15AF4"/>
    <w:rsid w:val="00E15D14"/>
    <w:rsid w:val="00E15F05"/>
    <w:rsid w:val="00E16020"/>
    <w:rsid w:val="00E1607F"/>
    <w:rsid w:val="00E16246"/>
    <w:rsid w:val="00E1660A"/>
    <w:rsid w:val="00E169D8"/>
    <w:rsid w:val="00E16DCB"/>
    <w:rsid w:val="00E16E3C"/>
    <w:rsid w:val="00E17430"/>
    <w:rsid w:val="00E17589"/>
    <w:rsid w:val="00E17713"/>
    <w:rsid w:val="00E17722"/>
    <w:rsid w:val="00E177E1"/>
    <w:rsid w:val="00E1787A"/>
    <w:rsid w:val="00E178AB"/>
    <w:rsid w:val="00E17940"/>
    <w:rsid w:val="00E179F8"/>
    <w:rsid w:val="00E17AC0"/>
    <w:rsid w:val="00E17B44"/>
    <w:rsid w:val="00E17E65"/>
    <w:rsid w:val="00E17FDC"/>
    <w:rsid w:val="00E20045"/>
    <w:rsid w:val="00E20048"/>
    <w:rsid w:val="00E20212"/>
    <w:rsid w:val="00E202FC"/>
    <w:rsid w:val="00E205CF"/>
    <w:rsid w:val="00E20B0B"/>
    <w:rsid w:val="00E20C4F"/>
    <w:rsid w:val="00E20DF0"/>
    <w:rsid w:val="00E20ED1"/>
    <w:rsid w:val="00E20EE2"/>
    <w:rsid w:val="00E210EF"/>
    <w:rsid w:val="00E21265"/>
    <w:rsid w:val="00E2145C"/>
    <w:rsid w:val="00E21701"/>
    <w:rsid w:val="00E2178B"/>
    <w:rsid w:val="00E21A6C"/>
    <w:rsid w:val="00E21BA2"/>
    <w:rsid w:val="00E21CD9"/>
    <w:rsid w:val="00E22058"/>
    <w:rsid w:val="00E22393"/>
    <w:rsid w:val="00E223F4"/>
    <w:rsid w:val="00E22547"/>
    <w:rsid w:val="00E22560"/>
    <w:rsid w:val="00E22595"/>
    <w:rsid w:val="00E225DF"/>
    <w:rsid w:val="00E22868"/>
    <w:rsid w:val="00E2289A"/>
    <w:rsid w:val="00E22928"/>
    <w:rsid w:val="00E22AC0"/>
    <w:rsid w:val="00E22D6C"/>
    <w:rsid w:val="00E22ED2"/>
    <w:rsid w:val="00E2301E"/>
    <w:rsid w:val="00E2304B"/>
    <w:rsid w:val="00E2311D"/>
    <w:rsid w:val="00E23188"/>
    <w:rsid w:val="00E233D1"/>
    <w:rsid w:val="00E235EC"/>
    <w:rsid w:val="00E238BE"/>
    <w:rsid w:val="00E23C8E"/>
    <w:rsid w:val="00E23D22"/>
    <w:rsid w:val="00E23E2D"/>
    <w:rsid w:val="00E23FD7"/>
    <w:rsid w:val="00E24018"/>
    <w:rsid w:val="00E2422D"/>
    <w:rsid w:val="00E24336"/>
    <w:rsid w:val="00E24797"/>
    <w:rsid w:val="00E2479F"/>
    <w:rsid w:val="00E24B25"/>
    <w:rsid w:val="00E24C6D"/>
    <w:rsid w:val="00E24ED1"/>
    <w:rsid w:val="00E24F6F"/>
    <w:rsid w:val="00E250C3"/>
    <w:rsid w:val="00E25109"/>
    <w:rsid w:val="00E25252"/>
    <w:rsid w:val="00E25501"/>
    <w:rsid w:val="00E2571E"/>
    <w:rsid w:val="00E2590C"/>
    <w:rsid w:val="00E2596A"/>
    <w:rsid w:val="00E25A63"/>
    <w:rsid w:val="00E25B45"/>
    <w:rsid w:val="00E2611E"/>
    <w:rsid w:val="00E262E2"/>
    <w:rsid w:val="00E26382"/>
    <w:rsid w:val="00E2643C"/>
    <w:rsid w:val="00E266E7"/>
    <w:rsid w:val="00E26795"/>
    <w:rsid w:val="00E26913"/>
    <w:rsid w:val="00E26C4E"/>
    <w:rsid w:val="00E26DA8"/>
    <w:rsid w:val="00E26F83"/>
    <w:rsid w:val="00E2703B"/>
    <w:rsid w:val="00E2703F"/>
    <w:rsid w:val="00E2707B"/>
    <w:rsid w:val="00E271D1"/>
    <w:rsid w:val="00E27570"/>
    <w:rsid w:val="00E2787D"/>
    <w:rsid w:val="00E278CB"/>
    <w:rsid w:val="00E27992"/>
    <w:rsid w:val="00E279E5"/>
    <w:rsid w:val="00E27A1C"/>
    <w:rsid w:val="00E27B88"/>
    <w:rsid w:val="00E27D83"/>
    <w:rsid w:val="00E27DC9"/>
    <w:rsid w:val="00E27EBF"/>
    <w:rsid w:val="00E27FEA"/>
    <w:rsid w:val="00E30294"/>
    <w:rsid w:val="00E304A3"/>
    <w:rsid w:val="00E306AF"/>
    <w:rsid w:val="00E306F4"/>
    <w:rsid w:val="00E30763"/>
    <w:rsid w:val="00E3079D"/>
    <w:rsid w:val="00E30852"/>
    <w:rsid w:val="00E308DC"/>
    <w:rsid w:val="00E3098F"/>
    <w:rsid w:val="00E30DB7"/>
    <w:rsid w:val="00E30FF0"/>
    <w:rsid w:val="00E312EF"/>
    <w:rsid w:val="00E31602"/>
    <w:rsid w:val="00E316CE"/>
    <w:rsid w:val="00E31810"/>
    <w:rsid w:val="00E31B2F"/>
    <w:rsid w:val="00E31C8B"/>
    <w:rsid w:val="00E31CAC"/>
    <w:rsid w:val="00E32142"/>
    <w:rsid w:val="00E321AE"/>
    <w:rsid w:val="00E3284E"/>
    <w:rsid w:val="00E32951"/>
    <w:rsid w:val="00E329F4"/>
    <w:rsid w:val="00E32B27"/>
    <w:rsid w:val="00E32CD2"/>
    <w:rsid w:val="00E32CFA"/>
    <w:rsid w:val="00E32E8B"/>
    <w:rsid w:val="00E32EE5"/>
    <w:rsid w:val="00E32F2F"/>
    <w:rsid w:val="00E3301F"/>
    <w:rsid w:val="00E331DF"/>
    <w:rsid w:val="00E3325D"/>
    <w:rsid w:val="00E332D1"/>
    <w:rsid w:val="00E333AD"/>
    <w:rsid w:val="00E336A7"/>
    <w:rsid w:val="00E337C8"/>
    <w:rsid w:val="00E339DA"/>
    <w:rsid w:val="00E33A49"/>
    <w:rsid w:val="00E33A50"/>
    <w:rsid w:val="00E33A74"/>
    <w:rsid w:val="00E33F1A"/>
    <w:rsid w:val="00E340B4"/>
    <w:rsid w:val="00E34240"/>
    <w:rsid w:val="00E349FF"/>
    <w:rsid w:val="00E34A1E"/>
    <w:rsid w:val="00E34C9C"/>
    <w:rsid w:val="00E34D19"/>
    <w:rsid w:val="00E34E0B"/>
    <w:rsid w:val="00E350EE"/>
    <w:rsid w:val="00E351D0"/>
    <w:rsid w:val="00E3579F"/>
    <w:rsid w:val="00E35A9E"/>
    <w:rsid w:val="00E35AF9"/>
    <w:rsid w:val="00E35C45"/>
    <w:rsid w:val="00E35E19"/>
    <w:rsid w:val="00E35EC5"/>
    <w:rsid w:val="00E35F81"/>
    <w:rsid w:val="00E3607A"/>
    <w:rsid w:val="00E3612C"/>
    <w:rsid w:val="00E362D4"/>
    <w:rsid w:val="00E36413"/>
    <w:rsid w:val="00E365D8"/>
    <w:rsid w:val="00E365F0"/>
    <w:rsid w:val="00E3666D"/>
    <w:rsid w:val="00E3667D"/>
    <w:rsid w:val="00E36926"/>
    <w:rsid w:val="00E36939"/>
    <w:rsid w:val="00E36A91"/>
    <w:rsid w:val="00E36A9C"/>
    <w:rsid w:val="00E36D54"/>
    <w:rsid w:val="00E36EE8"/>
    <w:rsid w:val="00E36F8B"/>
    <w:rsid w:val="00E36F9B"/>
    <w:rsid w:val="00E37034"/>
    <w:rsid w:val="00E370F4"/>
    <w:rsid w:val="00E373F1"/>
    <w:rsid w:val="00E3753C"/>
    <w:rsid w:val="00E37562"/>
    <w:rsid w:val="00E37590"/>
    <w:rsid w:val="00E3764C"/>
    <w:rsid w:val="00E37715"/>
    <w:rsid w:val="00E37797"/>
    <w:rsid w:val="00E37920"/>
    <w:rsid w:val="00E37970"/>
    <w:rsid w:val="00E37B58"/>
    <w:rsid w:val="00E37C51"/>
    <w:rsid w:val="00E37C58"/>
    <w:rsid w:val="00E37FE9"/>
    <w:rsid w:val="00E4016E"/>
    <w:rsid w:val="00E401A2"/>
    <w:rsid w:val="00E402CC"/>
    <w:rsid w:val="00E4043B"/>
    <w:rsid w:val="00E404E9"/>
    <w:rsid w:val="00E4074A"/>
    <w:rsid w:val="00E4086F"/>
    <w:rsid w:val="00E408FF"/>
    <w:rsid w:val="00E40D5A"/>
    <w:rsid w:val="00E40F6C"/>
    <w:rsid w:val="00E4105B"/>
    <w:rsid w:val="00E41577"/>
    <w:rsid w:val="00E41657"/>
    <w:rsid w:val="00E41781"/>
    <w:rsid w:val="00E418C9"/>
    <w:rsid w:val="00E41B0D"/>
    <w:rsid w:val="00E41B8B"/>
    <w:rsid w:val="00E41B91"/>
    <w:rsid w:val="00E41CAA"/>
    <w:rsid w:val="00E41D59"/>
    <w:rsid w:val="00E41F47"/>
    <w:rsid w:val="00E424E1"/>
    <w:rsid w:val="00E424EB"/>
    <w:rsid w:val="00E42767"/>
    <w:rsid w:val="00E42A7E"/>
    <w:rsid w:val="00E42D18"/>
    <w:rsid w:val="00E42DDC"/>
    <w:rsid w:val="00E430E3"/>
    <w:rsid w:val="00E43108"/>
    <w:rsid w:val="00E4312A"/>
    <w:rsid w:val="00E4315F"/>
    <w:rsid w:val="00E4332A"/>
    <w:rsid w:val="00E4332E"/>
    <w:rsid w:val="00E43523"/>
    <w:rsid w:val="00E435A0"/>
    <w:rsid w:val="00E43814"/>
    <w:rsid w:val="00E43B3C"/>
    <w:rsid w:val="00E43D7C"/>
    <w:rsid w:val="00E43F46"/>
    <w:rsid w:val="00E44733"/>
    <w:rsid w:val="00E447CE"/>
    <w:rsid w:val="00E44AFC"/>
    <w:rsid w:val="00E44C84"/>
    <w:rsid w:val="00E44CAC"/>
    <w:rsid w:val="00E44D9F"/>
    <w:rsid w:val="00E44E55"/>
    <w:rsid w:val="00E44EA2"/>
    <w:rsid w:val="00E44F7C"/>
    <w:rsid w:val="00E450DA"/>
    <w:rsid w:val="00E4517B"/>
    <w:rsid w:val="00E4525D"/>
    <w:rsid w:val="00E452EB"/>
    <w:rsid w:val="00E45792"/>
    <w:rsid w:val="00E458A1"/>
    <w:rsid w:val="00E45A04"/>
    <w:rsid w:val="00E45C86"/>
    <w:rsid w:val="00E45CCD"/>
    <w:rsid w:val="00E45F97"/>
    <w:rsid w:val="00E4604D"/>
    <w:rsid w:val="00E463C5"/>
    <w:rsid w:val="00E46435"/>
    <w:rsid w:val="00E464BF"/>
    <w:rsid w:val="00E465C4"/>
    <w:rsid w:val="00E4681A"/>
    <w:rsid w:val="00E46AA1"/>
    <w:rsid w:val="00E46AEE"/>
    <w:rsid w:val="00E46CCA"/>
    <w:rsid w:val="00E46D71"/>
    <w:rsid w:val="00E4705A"/>
    <w:rsid w:val="00E470FF"/>
    <w:rsid w:val="00E47177"/>
    <w:rsid w:val="00E4732F"/>
    <w:rsid w:val="00E47477"/>
    <w:rsid w:val="00E47673"/>
    <w:rsid w:val="00E47675"/>
    <w:rsid w:val="00E4781D"/>
    <w:rsid w:val="00E47AAA"/>
    <w:rsid w:val="00E47ABD"/>
    <w:rsid w:val="00E47AEB"/>
    <w:rsid w:val="00E47B1E"/>
    <w:rsid w:val="00E47F1C"/>
    <w:rsid w:val="00E50188"/>
    <w:rsid w:val="00E501CA"/>
    <w:rsid w:val="00E501EC"/>
    <w:rsid w:val="00E50202"/>
    <w:rsid w:val="00E50305"/>
    <w:rsid w:val="00E50723"/>
    <w:rsid w:val="00E50A1B"/>
    <w:rsid w:val="00E50A9A"/>
    <w:rsid w:val="00E50BB8"/>
    <w:rsid w:val="00E50C63"/>
    <w:rsid w:val="00E50E9C"/>
    <w:rsid w:val="00E50F4D"/>
    <w:rsid w:val="00E51136"/>
    <w:rsid w:val="00E5114F"/>
    <w:rsid w:val="00E5117A"/>
    <w:rsid w:val="00E51297"/>
    <w:rsid w:val="00E515CB"/>
    <w:rsid w:val="00E517FD"/>
    <w:rsid w:val="00E51803"/>
    <w:rsid w:val="00E51A1D"/>
    <w:rsid w:val="00E51C33"/>
    <w:rsid w:val="00E51C57"/>
    <w:rsid w:val="00E51CA8"/>
    <w:rsid w:val="00E51D7F"/>
    <w:rsid w:val="00E51DC3"/>
    <w:rsid w:val="00E51E27"/>
    <w:rsid w:val="00E51F66"/>
    <w:rsid w:val="00E52060"/>
    <w:rsid w:val="00E520AC"/>
    <w:rsid w:val="00E5219B"/>
    <w:rsid w:val="00E52260"/>
    <w:rsid w:val="00E52595"/>
    <w:rsid w:val="00E5267B"/>
    <w:rsid w:val="00E527B0"/>
    <w:rsid w:val="00E5295D"/>
    <w:rsid w:val="00E52B4A"/>
    <w:rsid w:val="00E52C9B"/>
    <w:rsid w:val="00E52CF0"/>
    <w:rsid w:val="00E52E63"/>
    <w:rsid w:val="00E52FE0"/>
    <w:rsid w:val="00E5305D"/>
    <w:rsid w:val="00E53302"/>
    <w:rsid w:val="00E53616"/>
    <w:rsid w:val="00E536FE"/>
    <w:rsid w:val="00E5380F"/>
    <w:rsid w:val="00E53900"/>
    <w:rsid w:val="00E539A0"/>
    <w:rsid w:val="00E539E3"/>
    <w:rsid w:val="00E53A4E"/>
    <w:rsid w:val="00E53B08"/>
    <w:rsid w:val="00E53B59"/>
    <w:rsid w:val="00E53BA2"/>
    <w:rsid w:val="00E53C85"/>
    <w:rsid w:val="00E53DA8"/>
    <w:rsid w:val="00E53E53"/>
    <w:rsid w:val="00E53F35"/>
    <w:rsid w:val="00E540CD"/>
    <w:rsid w:val="00E54323"/>
    <w:rsid w:val="00E5435D"/>
    <w:rsid w:val="00E54544"/>
    <w:rsid w:val="00E54645"/>
    <w:rsid w:val="00E5464D"/>
    <w:rsid w:val="00E54751"/>
    <w:rsid w:val="00E54A73"/>
    <w:rsid w:val="00E54E43"/>
    <w:rsid w:val="00E54F18"/>
    <w:rsid w:val="00E55028"/>
    <w:rsid w:val="00E550D6"/>
    <w:rsid w:val="00E55158"/>
    <w:rsid w:val="00E55170"/>
    <w:rsid w:val="00E55173"/>
    <w:rsid w:val="00E552D0"/>
    <w:rsid w:val="00E553B5"/>
    <w:rsid w:val="00E55460"/>
    <w:rsid w:val="00E55778"/>
    <w:rsid w:val="00E5599B"/>
    <w:rsid w:val="00E55AE1"/>
    <w:rsid w:val="00E55BC5"/>
    <w:rsid w:val="00E55CC4"/>
    <w:rsid w:val="00E55E07"/>
    <w:rsid w:val="00E55F01"/>
    <w:rsid w:val="00E55FB9"/>
    <w:rsid w:val="00E56079"/>
    <w:rsid w:val="00E5616C"/>
    <w:rsid w:val="00E561FD"/>
    <w:rsid w:val="00E5636C"/>
    <w:rsid w:val="00E567A2"/>
    <w:rsid w:val="00E568AA"/>
    <w:rsid w:val="00E568EF"/>
    <w:rsid w:val="00E56994"/>
    <w:rsid w:val="00E56A19"/>
    <w:rsid w:val="00E56C6E"/>
    <w:rsid w:val="00E56D59"/>
    <w:rsid w:val="00E56EB0"/>
    <w:rsid w:val="00E572D3"/>
    <w:rsid w:val="00E57360"/>
    <w:rsid w:val="00E5742A"/>
    <w:rsid w:val="00E57615"/>
    <w:rsid w:val="00E57782"/>
    <w:rsid w:val="00E57A4C"/>
    <w:rsid w:val="00E57A6A"/>
    <w:rsid w:val="00E57C2A"/>
    <w:rsid w:val="00E57F46"/>
    <w:rsid w:val="00E57F53"/>
    <w:rsid w:val="00E60002"/>
    <w:rsid w:val="00E60070"/>
    <w:rsid w:val="00E6026E"/>
    <w:rsid w:val="00E60423"/>
    <w:rsid w:val="00E6043E"/>
    <w:rsid w:val="00E60477"/>
    <w:rsid w:val="00E605E2"/>
    <w:rsid w:val="00E607B3"/>
    <w:rsid w:val="00E6095D"/>
    <w:rsid w:val="00E60E40"/>
    <w:rsid w:val="00E60FA1"/>
    <w:rsid w:val="00E61066"/>
    <w:rsid w:val="00E610A4"/>
    <w:rsid w:val="00E610F9"/>
    <w:rsid w:val="00E614DE"/>
    <w:rsid w:val="00E61508"/>
    <w:rsid w:val="00E616F0"/>
    <w:rsid w:val="00E618DB"/>
    <w:rsid w:val="00E6195F"/>
    <w:rsid w:val="00E61991"/>
    <w:rsid w:val="00E619FF"/>
    <w:rsid w:val="00E61AA9"/>
    <w:rsid w:val="00E61CCF"/>
    <w:rsid w:val="00E61D3A"/>
    <w:rsid w:val="00E61E08"/>
    <w:rsid w:val="00E61E14"/>
    <w:rsid w:val="00E62025"/>
    <w:rsid w:val="00E6215E"/>
    <w:rsid w:val="00E621B3"/>
    <w:rsid w:val="00E621DB"/>
    <w:rsid w:val="00E62247"/>
    <w:rsid w:val="00E62366"/>
    <w:rsid w:val="00E626FF"/>
    <w:rsid w:val="00E6285D"/>
    <w:rsid w:val="00E62923"/>
    <w:rsid w:val="00E62C32"/>
    <w:rsid w:val="00E62E04"/>
    <w:rsid w:val="00E6336B"/>
    <w:rsid w:val="00E634F8"/>
    <w:rsid w:val="00E63577"/>
    <w:rsid w:val="00E63671"/>
    <w:rsid w:val="00E63937"/>
    <w:rsid w:val="00E6398E"/>
    <w:rsid w:val="00E639B6"/>
    <w:rsid w:val="00E63AD6"/>
    <w:rsid w:val="00E63AD8"/>
    <w:rsid w:val="00E63B71"/>
    <w:rsid w:val="00E63D2C"/>
    <w:rsid w:val="00E63E53"/>
    <w:rsid w:val="00E640AE"/>
    <w:rsid w:val="00E64132"/>
    <w:rsid w:val="00E6434B"/>
    <w:rsid w:val="00E645AE"/>
    <w:rsid w:val="00E6463D"/>
    <w:rsid w:val="00E646B5"/>
    <w:rsid w:val="00E646F8"/>
    <w:rsid w:val="00E648D1"/>
    <w:rsid w:val="00E648F3"/>
    <w:rsid w:val="00E64935"/>
    <w:rsid w:val="00E649FC"/>
    <w:rsid w:val="00E64A47"/>
    <w:rsid w:val="00E64AB1"/>
    <w:rsid w:val="00E64BE1"/>
    <w:rsid w:val="00E64C3F"/>
    <w:rsid w:val="00E64E64"/>
    <w:rsid w:val="00E64F1D"/>
    <w:rsid w:val="00E65502"/>
    <w:rsid w:val="00E65BB3"/>
    <w:rsid w:val="00E65C44"/>
    <w:rsid w:val="00E65CFB"/>
    <w:rsid w:val="00E65D6F"/>
    <w:rsid w:val="00E65D76"/>
    <w:rsid w:val="00E65DB1"/>
    <w:rsid w:val="00E65FCA"/>
    <w:rsid w:val="00E66123"/>
    <w:rsid w:val="00E66189"/>
    <w:rsid w:val="00E6620B"/>
    <w:rsid w:val="00E66210"/>
    <w:rsid w:val="00E665B7"/>
    <w:rsid w:val="00E667BC"/>
    <w:rsid w:val="00E66A45"/>
    <w:rsid w:val="00E66C05"/>
    <w:rsid w:val="00E66FD7"/>
    <w:rsid w:val="00E67030"/>
    <w:rsid w:val="00E67144"/>
    <w:rsid w:val="00E675A4"/>
    <w:rsid w:val="00E675B1"/>
    <w:rsid w:val="00E6783B"/>
    <w:rsid w:val="00E67E25"/>
    <w:rsid w:val="00E67E79"/>
    <w:rsid w:val="00E701FA"/>
    <w:rsid w:val="00E7032D"/>
    <w:rsid w:val="00E703A0"/>
    <w:rsid w:val="00E70574"/>
    <w:rsid w:val="00E705F3"/>
    <w:rsid w:val="00E70714"/>
    <w:rsid w:val="00E70847"/>
    <w:rsid w:val="00E70848"/>
    <w:rsid w:val="00E70854"/>
    <w:rsid w:val="00E70864"/>
    <w:rsid w:val="00E70B17"/>
    <w:rsid w:val="00E70CA8"/>
    <w:rsid w:val="00E70D00"/>
    <w:rsid w:val="00E70D72"/>
    <w:rsid w:val="00E71029"/>
    <w:rsid w:val="00E71132"/>
    <w:rsid w:val="00E7144E"/>
    <w:rsid w:val="00E71493"/>
    <w:rsid w:val="00E719C1"/>
    <w:rsid w:val="00E71A66"/>
    <w:rsid w:val="00E71D03"/>
    <w:rsid w:val="00E71D3B"/>
    <w:rsid w:val="00E71DAB"/>
    <w:rsid w:val="00E720D6"/>
    <w:rsid w:val="00E720EB"/>
    <w:rsid w:val="00E721B9"/>
    <w:rsid w:val="00E72289"/>
    <w:rsid w:val="00E722B8"/>
    <w:rsid w:val="00E72348"/>
    <w:rsid w:val="00E7242B"/>
    <w:rsid w:val="00E7274F"/>
    <w:rsid w:val="00E727D1"/>
    <w:rsid w:val="00E728B2"/>
    <w:rsid w:val="00E72A41"/>
    <w:rsid w:val="00E72C8A"/>
    <w:rsid w:val="00E72CB9"/>
    <w:rsid w:val="00E72E9B"/>
    <w:rsid w:val="00E730DB"/>
    <w:rsid w:val="00E733F0"/>
    <w:rsid w:val="00E7349E"/>
    <w:rsid w:val="00E73670"/>
    <w:rsid w:val="00E738F8"/>
    <w:rsid w:val="00E73B3D"/>
    <w:rsid w:val="00E73F15"/>
    <w:rsid w:val="00E74102"/>
    <w:rsid w:val="00E74134"/>
    <w:rsid w:val="00E742AA"/>
    <w:rsid w:val="00E74343"/>
    <w:rsid w:val="00E743D4"/>
    <w:rsid w:val="00E744A7"/>
    <w:rsid w:val="00E74527"/>
    <w:rsid w:val="00E74564"/>
    <w:rsid w:val="00E745CB"/>
    <w:rsid w:val="00E7471D"/>
    <w:rsid w:val="00E74760"/>
    <w:rsid w:val="00E74B77"/>
    <w:rsid w:val="00E74B96"/>
    <w:rsid w:val="00E74BB6"/>
    <w:rsid w:val="00E7520F"/>
    <w:rsid w:val="00E75453"/>
    <w:rsid w:val="00E75498"/>
    <w:rsid w:val="00E754E0"/>
    <w:rsid w:val="00E757D2"/>
    <w:rsid w:val="00E75880"/>
    <w:rsid w:val="00E759B1"/>
    <w:rsid w:val="00E75A59"/>
    <w:rsid w:val="00E75C92"/>
    <w:rsid w:val="00E75D2F"/>
    <w:rsid w:val="00E75D76"/>
    <w:rsid w:val="00E75D8A"/>
    <w:rsid w:val="00E75E82"/>
    <w:rsid w:val="00E75F4A"/>
    <w:rsid w:val="00E75F67"/>
    <w:rsid w:val="00E75F9D"/>
    <w:rsid w:val="00E76017"/>
    <w:rsid w:val="00E762D4"/>
    <w:rsid w:val="00E76322"/>
    <w:rsid w:val="00E763E7"/>
    <w:rsid w:val="00E7665D"/>
    <w:rsid w:val="00E76685"/>
    <w:rsid w:val="00E7671B"/>
    <w:rsid w:val="00E767FE"/>
    <w:rsid w:val="00E769F4"/>
    <w:rsid w:val="00E76CE5"/>
    <w:rsid w:val="00E77023"/>
    <w:rsid w:val="00E7797D"/>
    <w:rsid w:val="00E8000C"/>
    <w:rsid w:val="00E80311"/>
    <w:rsid w:val="00E804DB"/>
    <w:rsid w:val="00E8056D"/>
    <w:rsid w:val="00E805A0"/>
    <w:rsid w:val="00E8063C"/>
    <w:rsid w:val="00E8063F"/>
    <w:rsid w:val="00E8066E"/>
    <w:rsid w:val="00E806FF"/>
    <w:rsid w:val="00E80811"/>
    <w:rsid w:val="00E808C9"/>
    <w:rsid w:val="00E80A01"/>
    <w:rsid w:val="00E80B6A"/>
    <w:rsid w:val="00E8110C"/>
    <w:rsid w:val="00E81232"/>
    <w:rsid w:val="00E812F8"/>
    <w:rsid w:val="00E8138A"/>
    <w:rsid w:val="00E8196E"/>
    <w:rsid w:val="00E819D3"/>
    <w:rsid w:val="00E81B43"/>
    <w:rsid w:val="00E81E36"/>
    <w:rsid w:val="00E81E86"/>
    <w:rsid w:val="00E81F53"/>
    <w:rsid w:val="00E8201C"/>
    <w:rsid w:val="00E8209E"/>
    <w:rsid w:val="00E82218"/>
    <w:rsid w:val="00E822A1"/>
    <w:rsid w:val="00E8236D"/>
    <w:rsid w:val="00E824C5"/>
    <w:rsid w:val="00E8258D"/>
    <w:rsid w:val="00E825D3"/>
    <w:rsid w:val="00E82722"/>
    <w:rsid w:val="00E82724"/>
    <w:rsid w:val="00E8283E"/>
    <w:rsid w:val="00E8290E"/>
    <w:rsid w:val="00E82A89"/>
    <w:rsid w:val="00E82CEF"/>
    <w:rsid w:val="00E830A4"/>
    <w:rsid w:val="00E830B6"/>
    <w:rsid w:val="00E836D3"/>
    <w:rsid w:val="00E8370A"/>
    <w:rsid w:val="00E8379B"/>
    <w:rsid w:val="00E83808"/>
    <w:rsid w:val="00E839FA"/>
    <w:rsid w:val="00E83A71"/>
    <w:rsid w:val="00E83AE6"/>
    <w:rsid w:val="00E83B32"/>
    <w:rsid w:val="00E83BB0"/>
    <w:rsid w:val="00E83E40"/>
    <w:rsid w:val="00E83F61"/>
    <w:rsid w:val="00E84280"/>
    <w:rsid w:val="00E8469B"/>
    <w:rsid w:val="00E846F1"/>
    <w:rsid w:val="00E849DA"/>
    <w:rsid w:val="00E84C61"/>
    <w:rsid w:val="00E84DC8"/>
    <w:rsid w:val="00E84E71"/>
    <w:rsid w:val="00E84F84"/>
    <w:rsid w:val="00E85059"/>
    <w:rsid w:val="00E85089"/>
    <w:rsid w:val="00E8510E"/>
    <w:rsid w:val="00E8517E"/>
    <w:rsid w:val="00E85241"/>
    <w:rsid w:val="00E852AC"/>
    <w:rsid w:val="00E853C4"/>
    <w:rsid w:val="00E85621"/>
    <w:rsid w:val="00E858A7"/>
    <w:rsid w:val="00E85999"/>
    <w:rsid w:val="00E85A5C"/>
    <w:rsid w:val="00E85DAA"/>
    <w:rsid w:val="00E85DAE"/>
    <w:rsid w:val="00E85E27"/>
    <w:rsid w:val="00E86168"/>
    <w:rsid w:val="00E862D0"/>
    <w:rsid w:val="00E863FB"/>
    <w:rsid w:val="00E8641B"/>
    <w:rsid w:val="00E86511"/>
    <w:rsid w:val="00E86547"/>
    <w:rsid w:val="00E86558"/>
    <w:rsid w:val="00E86573"/>
    <w:rsid w:val="00E866D6"/>
    <w:rsid w:val="00E867C7"/>
    <w:rsid w:val="00E867E3"/>
    <w:rsid w:val="00E86814"/>
    <w:rsid w:val="00E868A6"/>
    <w:rsid w:val="00E86955"/>
    <w:rsid w:val="00E86C7C"/>
    <w:rsid w:val="00E87120"/>
    <w:rsid w:val="00E87144"/>
    <w:rsid w:val="00E875D9"/>
    <w:rsid w:val="00E875DA"/>
    <w:rsid w:val="00E87807"/>
    <w:rsid w:val="00E8789F"/>
    <w:rsid w:val="00E87982"/>
    <w:rsid w:val="00E87A16"/>
    <w:rsid w:val="00E87AD9"/>
    <w:rsid w:val="00E87DB4"/>
    <w:rsid w:val="00E87DC4"/>
    <w:rsid w:val="00E87DED"/>
    <w:rsid w:val="00E87F43"/>
    <w:rsid w:val="00E90005"/>
    <w:rsid w:val="00E90212"/>
    <w:rsid w:val="00E905FC"/>
    <w:rsid w:val="00E90776"/>
    <w:rsid w:val="00E9093F"/>
    <w:rsid w:val="00E90F04"/>
    <w:rsid w:val="00E90F54"/>
    <w:rsid w:val="00E91047"/>
    <w:rsid w:val="00E910D8"/>
    <w:rsid w:val="00E91284"/>
    <w:rsid w:val="00E912B0"/>
    <w:rsid w:val="00E9161A"/>
    <w:rsid w:val="00E91B94"/>
    <w:rsid w:val="00E91B96"/>
    <w:rsid w:val="00E91D02"/>
    <w:rsid w:val="00E91EE2"/>
    <w:rsid w:val="00E91EF8"/>
    <w:rsid w:val="00E91EFE"/>
    <w:rsid w:val="00E92083"/>
    <w:rsid w:val="00E922D2"/>
    <w:rsid w:val="00E92314"/>
    <w:rsid w:val="00E92349"/>
    <w:rsid w:val="00E9239C"/>
    <w:rsid w:val="00E923AC"/>
    <w:rsid w:val="00E92486"/>
    <w:rsid w:val="00E92533"/>
    <w:rsid w:val="00E92738"/>
    <w:rsid w:val="00E9275E"/>
    <w:rsid w:val="00E92764"/>
    <w:rsid w:val="00E92838"/>
    <w:rsid w:val="00E92C8C"/>
    <w:rsid w:val="00E92CAF"/>
    <w:rsid w:val="00E92D7C"/>
    <w:rsid w:val="00E92D91"/>
    <w:rsid w:val="00E92F3C"/>
    <w:rsid w:val="00E92FE0"/>
    <w:rsid w:val="00E930B8"/>
    <w:rsid w:val="00E930C0"/>
    <w:rsid w:val="00E93232"/>
    <w:rsid w:val="00E93369"/>
    <w:rsid w:val="00E933AE"/>
    <w:rsid w:val="00E93403"/>
    <w:rsid w:val="00E93475"/>
    <w:rsid w:val="00E93484"/>
    <w:rsid w:val="00E936A6"/>
    <w:rsid w:val="00E937C2"/>
    <w:rsid w:val="00E93B54"/>
    <w:rsid w:val="00E93E1B"/>
    <w:rsid w:val="00E93FD9"/>
    <w:rsid w:val="00E9401D"/>
    <w:rsid w:val="00E940D9"/>
    <w:rsid w:val="00E94102"/>
    <w:rsid w:val="00E941FA"/>
    <w:rsid w:val="00E944F1"/>
    <w:rsid w:val="00E9462E"/>
    <w:rsid w:val="00E946E7"/>
    <w:rsid w:val="00E94B5D"/>
    <w:rsid w:val="00E94B7A"/>
    <w:rsid w:val="00E94D8B"/>
    <w:rsid w:val="00E94ECD"/>
    <w:rsid w:val="00E94F5F"/>
    <w:rsid w:val="00E9525F"/>
    <w:rsid w:val="00E952C9"/>
    <w:rsid w:val="00E95669"/>
    <w:rsid w:val="00E957BE"/>
    <w:rsid w:val="00E959FF"/>
    <w:rsid w:val="00E95AB6"/>
    <w:rsid w:val="00E95D2B"/>
    <w:rsid w:val="00E96017"/>
    <w:rsid w:val="00E9601B"/>
    <w:rsid w:val="00E96160"/>
    <w:rsid w:val="00E966B3"/>
    <w:rsid w:val="00E966C6"/>
    <w:rsid w:val="00E96822"/>
    <w:rsid w:val="00E9689A"/>
    <w:rsid w:val="00E9693A"/>
    <w:rsid w:val="00E96A20"/>
    <w:rsid w:val="00E96A6E"/>
    <w:rsid w:val="00E96C9B"/>
    <w:rsid w:val="00E96CE5"/>
    <w:rsid w:val="00E96D23"/>
    <w:rsid w:val="00E96E80"/>
    <w:rsid w:val="00E97161"/>
    <w:rsid w:val="00E97421"/>
    <w:rsid w:val="00E97457"/>
    <w:rsid w:val="00E975A3"/>
    <w:rsid w:val="00E977D6"/>
    <w:rsid w:val="00E97A52"/>
    <w:rsid w:val="00E97C89"/>
    <w:rsid w:val="00EA0175"/>
    <w:rsid w:val="00EA017A"/>
    <w:rsid w:val="00EA0268"/>
    <w:rsid w:val="00EA0292"/>
    <w:rsid w:val="00EA0437"/>
    <w:rsid w:val="00EA0464"/>
    <w:rsid w:val="00EA04A1"/>
    <w:rsid w:val="00EA0517"/>
    <w:rsid w:val="00EA05AA"/>
    <w:rsid w:val="00EA07AC"/>
    <w:rsid w:val="00EA09FD"/>
    <w:rsid w:val="00EA0C8A"/>
    <w:rsid w:val="00EA0D5A"/>
    <w:rsid w:val="00EA0EF1"/>
    <w:rsid w:val="00EA1066"/>
    <w:rsid w:val="00EA1260"/>
    <w:rsid w:val="00EA16EE"/>
    <w:rsid w:val="00EA1832"/>
    <w:rsid w:val="00EA1859"/>
    <w:rsid w:val="00EA190C"/>
    <w:rsid w:val="00EA1B0C"/>
    <w:rsid w:val="00EA1BF0"/>
    <w:rsid w:val="00EA21C8"/>
    <w:rsid w:val="00EA2264"/>
    <w:rsid w:val="00EA246C"/>
    <w:rsid w:val="00EA265C"/>
    <w:rsid w:val="00EA2821"/>
    <w:rsid w:val="00EA28D2"/>
    <w:rsid w:val="00EA297C"/>
    <w:rsid w:val="00EA297F"/>
    <w:rsid w:val="00EA2DEB"/>
    <w:rsid w:val="00EA2F44"/>
    <w:rsid w:val="00EA311D"/>
    <w:rsid w:val="00EA3141"/>
    <w:rsid w:val="00EA319D"/>
    <w:rsid w:val="00EA31E4"/>
    <w:rsid w:val="00EA3362"/>
    <w:rsid w:val="00EA35B1"/>
    <w:rsid w:val="00EA35DE"/>
    <w:rsid w:val="00EA38E0"/>
    <w:rsid w:val="00EA3B9B"/>
    <w:rsid w:val="00EA3C67"/>
    <w:rsid w:val="00EA3DB5"/>
    <w:rsid w:val="00EA3ECB"/>
    <w:rsid w:val="00EA41D2"/>
    <w:rsid w:val="00EA4631"/>
    <w:rsid w:val="00EA4686"/>
    <w:rsid w:val="00EA470E"/>
    <w:rsid w:val="00EA47A7"/>
    <w:rsid w:val="00EA48F0"/>
    <w:rsid w:val="00EA4AB1"/>
    <w:rsid w:val="00EA4C8F"/>
    <w:rsid w:val="00EA4E32"/>
    <w:rsid w:val="00EA51A2"/>
    <w:rsid w:val="00EA5239"/>
    <w:rsid w:val="00EA53AB"/>
    <w:rsid w:val="00EA5442"/>
    <w:rsid w:val="00EA57EB"/>
    <w:rsid w:val="00EA5882"/>
    <w:rsid w:val="00EA5928"/>
    <w:rsid w:val="00EA5B49"/>
    <w:rsid w:val="00EA5ED6"/>
    <w:rsid w:val="00EA5F16"/>
    <w:rsid w:val="00EA5F93"/>
    <w:rsid w:val="00EA60C6"/>
    <w:rsid w:val="00EA61C2"/>
    <w:rsid w:val="00EA64F2"/>
    <w:rsid w:val="00EA6743"/>
    <w:rsid w:val="00EA6AA1"/>
    <w:rsid w:val="00EA6AC9"/>
    <w:rsid w:val="00EA6B94"/>
    <w:rsid w:val="00EA6D9B"/>
    <w:rsid w:val="00EA6E54"/>
    <w:rsid w:val="00EA6E88"/>
    <w:rsid w:val="00EA7057"/>
    <w:rsid w:val="00EA70A0"/>
    <w:rsid w:val="00EA715B"/>
    <w:rsid w:val="00EA7195"/>
    <w:rsid w:val="00EA7371"/>
    <w:rsid w:val="00EA7697"/>
    <w:rsid w:val="00EA76C0"/>
    <w:rsid w:val="00EA7A23"/>
    <w:rsid w:val="00EA7AD2"/>
    <w:rsid w:val="00EA7BEE"/>
    <w:rsid w:val="00EA7CD4"/>
    <w:rsid w:val="00EB0041"/>
    <w:rsid w:val="00EB0172"/>
    <w:rsid w:val="00EB026F"/>
    <w:rsid w:val="00EB0455"/>
    <w:rsid w:val="00EB05EF"/>
    <w:rsid w:val="00EB0698"/>
    <w:rsid w:val="00EB08B8"/>
    <w:rsid w:val="00EB0905"/>
    <w:rsid w:val="00EB0943"/>
    <w:rsid w:val="00EB0985"/>
    <w:rsid w:val="00EB09C1"/>
    <w:rsid w:val="00EB0BDC"/>
    <w:rsid w:val="00EB0C79"/>
    <w:rsid w:val="00EB0D3A"/>
    <w:rsid w:val="00EB1007"/>
    <w:rsid w:val="00EB1013"/>
    <w:rsid w:val="00EB10B3"/>
    <w:rsid w:val="00EB14E9"/>
    <w:rsid w:val="00EB1656"/>
    <w:rsid w:val="00EB1707"/>
    <w:rsid w:val="00EB1718"/>
    <w:rsid w:val="00EB17F6"/>
    <w:rsid w:val="00EB1883"/>
    <w:rsid w:val="00EB189D"/>
    <w:rsid w:val="00EB194E"/>
    <w:rsid w:val="00EB19F5"/>
    <w:rsid w:val="00EB1B41"/>
    <w:rsid w:val="00EB22AF"/>
    <w:rsid w:val="00EB22BA"/>
    <w:rsid w:val="00EB270C"/>
    <w:rsid w:val="00EB27CF"/>
    <w:rsid w:val="00EB2A4D"/>
    <w:rsid w:val="00EB2B25"/>
    <w:rsid w:val="00EB2C27"/>
    <w:rsid w:val="00EB2E16"/>
    <w:rsid w:val="00EB31F3"/>
    <w:rsid w:val="00EB3226"/>
    <w:rsid w:val="00EB382B"/>
    <w:rsid w:val="00EB388A"/>
    <w:rsid w:val="00EB3926"/>
    <w:rsid w:val="00EB3A3F"/>
    <w:rsid w:val="00EB3A50"/>
    <w:rsid w:val="00EB3AEF"/>
    <w:rsid w:val="00EB3CA1"/>
    <w:rsid w:val="00EB3D07"/>
    <w:rsid w:val="00EB3E04"/>
    <w:rsid w:val="00EB3EA8"/>
    <w:rsid w:val="00EB3F33"/>
    <w:rsid w:val="00EB3F81"/>
    <w:rsid w:val="00EB4213"/>
    <w:rsid w:val="00EB424C"/>
    <w:rsid w:val="00EB42D5"/>
    <w:rsid w:val="00EB4341"/>
    <w:rsid w:val="00EB435C"/>
    <w:rsid w:val="00EB43BF"/>
    <w:rsid w:val="00EB449B"/>
    <w:rsid w:val="00EB4550"/>
    <w:rsid w:val="00EB4554"/>
    <w:rsid w:val="00EB484B"/>
    <w:rsid w:val="00EB49ED"/>
    <w:rsid w:val="00EB4A3D"/>
    <w:rsid w:val="00EB4A5E"/>
    <w:rsid w:val="00EB4C86"/>
    <w:rsid w:val="00EB4E81"/>
    <w:rsid w:val="00EB5029"/>
    <w:rsid w:val="00EB5160"/>
    <w:rsid w:val="00EB5162"/>
    <w:rsid w:val="00EB5351"/>
    <w:rsid w:val="00EB53CB"/>
    <w:rsid w:val="00EB5552"/>
    <w:rsid w:val="00EB557D"/>
    <w:rsid w:val="00EB55B1"/>
    <w:rsid w:val="00EB5840"/>
    <w:rsid w:val="00EB58BD"/>
    <w:rsid w:val="00EB58D9"/>
    <w:rsid w:val="00EB59C6"/>
    <w:rsid w:val="00EB59E2"/>
    <w:rsid w:val="00EB5A35"/>
    <w:rsid w:val="00EB5AD9"/>
    <w:rsid w:val="00EB5B64"/>
    <w:rsid w:val="00EB5C05"/>
    <w:rsid w:val="00EB5D1B"/>
    <w:rsid w:val="00EB5DE0"/>
    <w:rsid w:val="00EB5E59"/>
    <w:rsid w:val="00EB5E8F"/>
    <w:rsid w:val="00EB5ECA"/>
    <w:rsid w:val="00EB601A"/>
    <w:rsid w:val="00EB60CB"/>
    <w:rsid w:val="00EB616A"/>
    <w:rsid w:val="00EB6222"/>
    <w:rsid w:val="00EB65C8"/>
    <w:rsid w:val="00EB6B98"/>
    <w:rsid w:val="00EB6C25"/>
    <w:rsid w:val="00EB6EE4"/>
    <w:rsid w:val="00EB718A"/>
    <w:rsid w:val="00EB752C"/>
    <w:rsid w:val="00EB778B"/>
    <w:rsid w:val="00EB78C0"/>
    <w:rsid w:val="00EB795E"/>
    <w:rsid w:val="00EB7BAD"/>
    <w:rsid w:val="00EC0328"/>
    <w:rsid w:val="00EC057B"/>
    <w:rsid w:val="00EC0761"/>
    <w:rsid w:val="00EC07C4"/>
    <w:rsid w:val="00EC07D0"/>
    <w:rsid w:val="00EC086F"/>
    <w:rsid w:val="00EC09D8"/>
    <w:rsid w:val="00EC0A2A"/>
    <w:rsid w:val="00EC0BAF"/>
    <w:rsid w:val="00EC0C21"/>
    <w:rsid w:val="00EC0CA0"/>
    <w:rsid w:val="00EC0E3B"/>
    <w:rsid w:val="00EC0F25"/>
    <w:rsid w:val="00EC0F43"/>
    <w:rsid w:val="00EC0F9D"/>
    <w:rsid w:val="00EC10A4"/>
    <w:rsid w:val="00EC1200"/>
    <w:rsid w:val="00EC1220"/>
    <w:rsid w:val="00EC1613"/>
    <w:rsid w:val="00EC1A26"/>
    <w:rsid w:val="00EC1C30"/>
    <w:rsid w:val="00EC1CC8"/>
    <w:rsid w:val="00EC1E07"/>
    <w:rsid w:val="00EC1F01"/>
    <w:rsid w:val="00EC1FE2"/>
    <w:rsid w:val="00EC20D2"/>
    <w:rsid w:val="00EC210A"/>
    <w:rsid w:val="00EC213A"/>
    <w:rsid w:val="00EC215E"/>
    <w:rsid w:val="00EC21CD"/>
    <w:rsid w:val="00EC2261"/>
    <w:rsid w:val="00EC26B2"/>
    <w:rsid w:val="00EC2A1A"/>
    <w:rsid w:val="00EC2BA9"/>
    <w:rsid w:val="00EC2C16"/>
    <w:rsid w:val="00EC2C47"/>
    <w:rsid w:val="00EC2C84"/>
    <w:rsid w:val="00EC2D2A"/>
    <w:rsid w:val="00EC2E1D"/>
    <w:rsid w:val="00EC2E31"/>
    <w:rsid w:val="00EC2E38"/>
    <w:rsid w:val="00EC2E41"/>
    <w:rsid w:val="00EC2E5C"/>
    <w:rsid w:val="00EC2FC8"/>
    <w:rsid w:val="00EC2FF4"/>
    <w:rsid w:val="00EC30D9"/>
    <w:rsid w:val="00EC323B"/>
    <w:rsid w:val="00EC3287"/>
    <w:rsid w:val="00EC3650"/>
    <w:rsid w:val="00EC368D"/>
    <w:rsid w:val="00EC39AF"/>
    <w:rsid w:val="00EC39EF"/>
    <w:rsid w:val="00EC3A26"/>
    <w:rsid w:val="00EC3ABC"/>
    <w:rsid w:val="00EC3D90"/>
    <w:rsid w:val="00EC3DC5"/>
    <w:rsid w:val="00EC3DCA"/>
    <w:rsid w:val="00EC3EF4"/>
    <w:rsid w:val="00EC3FC0"/>
    <w:rsid w:val="00EC4002"/>
    <w:rsid w:val="00EC4044"/>
    <w:rsid w:val="00EC41A7"/>
    <w:rsid w:val="00EC48BF"/>
    <w:rsid w:val="00EC4A13"/>
    <w:rsid w:val="00EC4D25"/>
    <w:rsid w:val="00EC4DDD"/>
    <w:rsid w:val="00EC4EAE"/>
    <w:rsid w:val="00EC4F18"/>
    <w:rsid w:val="00EC5018"/>
    <w:rsid w:val="00EC514F"/>
    <w:rsid w:val="00EC524A"/>
    <w:rsid w:val="00EC5297"/>
    <w:rsid w:val="00EC54BB"/>
    <w:rsid w:val="00EC5584"/>
    <w:rsid w:val="00EC57B0"/>
    <w:rsid w:val="00EC5803"/>
    <w:rsid w:val="00EC5ADE"/>
    <w:rsid w:val="00EC5EFE"/>
    <w:rsid w:val="00EC601A"/>
    <w:rsid w:val="00EC6224"/>
    <w:rsid w:val="00EC62A9"/>
    <w:rsid w:val="00EC6466"/>
    <w:rsid w:val="00EC6496"/>
    <w:rsid w:val="00EC6603"/>
    <w:rsid w:val="00EC662E"/>
    <w:rsid w:val="00EC6898"/>
    <w:rsid w:val="00EC6A95"/>
    <w:rsid w:val="00EC6A96"/>
    <w:rsid w:val="00EC6A9B"/>
    <w:rsid w:val="00EC6D02"/>
    <w:rsid w:val="00EC6D26"/>
    <w:rsid w:val="00EC6D70"/>
    <w:rsid w:val="00EC6DA6"/>
    <w:rsid w:val="00EC6E5A"/>
    <w:rsid w:val="00EC705A"/>
    <w:rsid w:val="00EC70D5"/>
    <w:rsid w:val="00EC7161"/>
    <w:rsid w:val="00EC7235"/>
    <w:rsid w:val="00EC7508"/>
    <w:rsid w:val="00EC7528"/>
    <w:rsid w:val="00EC75C5"/>
    <w:rsid w:val="00EC7609"/>
    <w:rsid w:val="00EC7744"/>
    <w:rsid w:val="00EC785B"/>
    <w:rsid w:val="00EC791B"/>
    <w:rsid w:val="00EC7A81"/>
    <w:rsid w:val="00EC7AB2"/>
    <w:rsid w:val="00EC7BC5"/>
    <w:rsid w:val="00EC7BE7"/>
    <w:rsid w:val="00EC7C4D"/>
    <w:rsid w:val="00ED00CD"/>
    <w:rsid w:val="00ED0294"/>
    <w:rsid w:val="00ED03F9"/>
    <w:rsid w:val="00ED0621"/>
    <w:rsid w:val="00ED0924"/>
    <w:rsid w:val="00ED0951"/>
    <w:rsid w:val="00ED0961"/>
    <w:rsid w:val="00ED096D"/>
    <w:rsid w:val="00ED0A01"/>
    <w:rsid w:val="00ED0B0C"/>
    <w:rsid w:val="00ED0DAD"/>
    <w:rsid w:val="00ED0F46"/>
    <w:rsid w:val="00ED12CE"/>
    <w:rsid w:val="00ED14AB"/>
    <w:rsid w:val="00ED154A"/>
    <w:rsid w:val="00ED162D"/>
    <w:rsid w:val="00ED1641"/>
    <w:rsid w:val="00ED16AD"/>
    <w:rsid w:val="00ED16BE"/>
    <w:rsid w:val="00ED1F3D"/>
    <w:rsid w:val="00ED1F73"/>
    <w:rsid w:val="00ED1FEE"/>
    <w:rsid w:val="00ED2090"/>
    <w:rsid w:val="00ED220A"/>
    <w:rsid w:val="00ED2280"/>
    <w:rsid w:val="00ED2291"/>
    <w:rsid w:val="00ED2373"/>
    <w:rsid w:val="00ED2542"/>
    <w:rsid w:val="00ED25CF"/>
    <w:rsid w:val="00ED2617"/>
    <w:rsid w:val="00ED26E1"/>
    <w:rsid w:val="00ED28CC"/>
    <w:rsid w:val="00ED28F9"/>
    <w:rsid w:val="00ED2949"/>
    <w:rsid w:val="00ED29DD"/>
    <w:rsid w:val="00ED2A74"/>
    <w:rsid w:val="00ED2A8B"/>
    <w:rsid w:val="00ED2B16"/>
    <w:rsid w:val="00ED2BA0"/>
    <w:rsid w:val="00ED2C97"/>
    <w:rsid w:val="00ED2DAF"/>
    <w:rsid w:val="00ED2F34"/>
    <w:rsid w:val="00ED318F"/>
    <w:rsid w:val="00ED3243"/>
    <w:rsid w:val="00ED340C"/>
    <w:rsid w:val="00ED362C"/>
    <w:rsid w:val="00ED379E"/>
    <w:rsid w:val="00ED3832"/>
    <w:rsid w:val="00ED39D0"/>
    <w:rsid w:val="00ED3AB3"/>
    <w:rsid w:val="00ED3CB7"/>
    <w:rsid w:val="00ED3CFA"/>
    <w:rsid w:val="00ED3F6C"/>
    <w:rsid w:val="00ED407E"/>
    <w:rsid w:val="00ED4C4C"/>
    <w:rsid w:val="00ED4C4D"/>
    <w:rsid w:val="00ED4CA5"/>
    <w:rsid w:val="00ED4F83"/>
    <w:rsid w:val="00ED5032"/>
    <w:rsid w:val="00ED5058"/>
    <w:rsid w:val="00ED511D"/>
    <w:rsid w:val="00ED552C"/>
    <w:rsid w:val="00ED55E4"/>
    <w:rsid w:val="00ED576A"/>
    <w:rsid w:val="00ED5A6B"/>
    <w:rsid w:val="00ED5A89"/>
    <w:rsid w:val="00ED5D87"/>
    <w:rsid w:val="00ED5E0A"/>
    <w:rsid w:val="00ED5E70"/>
    <w:rsid w:val="00ED5EB1"/>
    <w:rsid w:val="00ED5F66"/>
    <w:rsid w:val="00ED5F8A"/>
    <w:rsid w:val="00ED61F3"/>
    <w:rsid w:val="00ED63AE"/>
    <w:rsid w:val="00ED650F"/>
    <w:rsid w:val="00ED67DF"/>
    <w:rsid w:val="00ED691F"/>
    <w:rsid w:val="00ED6AB5"/>
    <w:rsid w:val="00ED6B84"/>
    <w:rsid w:val="00ED6B89"/>
    <w:rsid w:val="00ED6C35"/>
    <w:rsid w:val="00ED6D71"/>
    <w:rsid w:val="00ED6F28"/>
    <w:rsid w:val="00ED6FB9"/>
    <w:rsid w:val="00ED7012"/>
    <w:rsid w:val="00ED72BD"/>
    <w:rsid w:val="00ED72C6"/>
    <w:rsid w:val="00ED7367"/>
    <w:rsid w:val="00ED75E8"/>
    <w:rsid w:val="00ED76BE"/>
    <w:rsid w:val="00ED7964"/>
    <w:rsid w:val="00ED7A4F"/>
    <w:rsid w:val="00ED7AFF"/>
    <w:rsid w:val="00ED7C65"/>
    <w:rsid w:val="00ED7DE4"/>
    <w:rsid w:val="00ED7DE5"/>
    <w:rsid w:val="00ED7EF0"/>
    <w:rsid w:val="00ED7FCE"/>
    <w:rsid w:val="00EE001E"/>
    <w:rsid w:val="00EE009E"/>
    <w:rsid w:val="00EE00BD"/>
    <w:rsid w:val="00EE0127"/>
    <w:rsid w:val="00EE0265"/>
    <w:rsid w:val="00EE02D4"/>
    <w:rsid w:val="00EE03B0"/>
    <w:rsid w:val="00EE047F"/>
    <w:rsid w:val="00EE051B"/>
    <w:rsid w:val="00EE061C"/>
    <w:rsid w:val="00EE07F1"/>
    <w:rsid w:val="00EE0884"/>
    <w:rsid w:val="00EE0984"/>
    <w:rsid w:val="00EE0C38"/>
    <w:rsid w:val="00EE0C4E"/>
    <w:rsid w:val="00EE11DC"/>
    <w:rsid w:val="00EE1387"/>
    <w:rsid w:val="00EE1581"/>
    <w:rsid w:val="00EE16B7"/>
    <w:rsid w:val="00EE192A"/>
    <w:rsid w:val="00EE1ECA"/>
    <w:rsid w:val="00EE1FD7"/>
    <w:rsid w:val="00EE2308"/>
    <w:rsid w:val="00EE237F"/>
    <w:rsid w:val="00EE2387"/>
    <w:rsid w:val="00EE2395"/>
    <w:rsid w:val="00EE24AF"/>
    <w:rsid w:val="00EE2524"/>
    <w:rsid w:val="00EE2566"/>
    <w:rsid w:val="00EE25F8"/>
    <w:rsid w:val="00EE2684"/>
    <w:rsid w:val="00EE2687"/>
    <w:rsid w:val="00EE28D7"/>
    <w:rsid w:val="00EE2B3B"/>
    <w:rsid w:val="00EE2DFF"/>
    <w:rsid w:val="00EE32D3"/>
    <w:rsid w:val="00EE37C0"/>
    <w:rsid w:val="00EE39A1"/>
    <w:rsid w:val="00EE3A7F"/>
    <w:rsid w:val="00EE3B44"/>
    <w:rsid w:val="00EE3C1B"/>
    <w:rsid w:val="00EE3DE9"/>
    <w:rsid w:val="00EE3E8A"/>
    <w:rsid w:val="00EE3EC9"/>
    <w:rsid w:val="00EE3F57"/>
    <w:rsid w:val="00EE3FDE"/>
    <w:rsid w:val="00EE3FE8"/>
    <w:rsid w:val="00EE408D"/>
    <w:rsid w:val="00EE4374"/>
    <w:rsid w:val="00EE4465"/>
    <w:rsid w:val="00EE4474"/>
    <w:rsid w:val="00EE44B4"/>
    <w:rsid w:val="00EE4650"/>
    <w:rsid w:val="00EE4776"/>
    <w:rsid w:val="00EE4981"/>
    <w:rsid w:val="00EE49A6"/>
    <w:rsid w:val="00EE4A2D"/>
    <w:rsid w:val="00EE4B10"/>
    <w:rsid w:val="00EE4B25"/>
    <w:rsid w:val="00EE4BB1"/>
    <w:rsid w:val="00EE4BE2"/>
    <w:rsid w:val="00EE4BE8"/>
    <w:rsid w:val="00EE4C63"/>
    <w:rsid w:val="00EE4D9E"/>
    <w:rsid w:val="00EE4F74"/>
    <w:rsid w:val="00EE4FEC"/>
    <w:rsid w:val="00EE5033"/>
    <w:rsid w:val="00EE50CA"/>
    <w:rsid w:val="00EE52F5"/>
    <w:rsid w:val="00EE5310"/>
    <w:rsid w:val="00EE5418"/>
    <w:rsid w:val="00EE5476"/>
    <w:rsid w:val="00EE5533"/>
    <w:rsid w:val="00EE57BE"/>
    <w:rsid w:val="00EE5953"/>
    <w:rsid w:val="00EE5A1B"/>
    <w:rsid w:val="00EE5A42"/>
    <w:rsid w:val="00EE5CBA"/>
    <w:rsid w:val="00EE5E46"/>
    <w:rsid w:val="00EE5E51"/>
    <w:rsid w:val="00EE5EB0"/>
    <w:rsid w:val="00EE5F95"/>
    <w:rsid w:val="00EE5FC3"/>
    <w:rsid w:val="00EE62AC"/>
    <w:rsid w:val="00EE62B4"/>
    <w:rsid w:val="00EE636D"/>
    <w:rsid w:val="00EE6A74"/>
    <w:rsid w:val="00EE6B76"/>
    <w:rsid w:val="00EE6B80"/>
    <w:rsid w:val="00EE6F03"/>
    <w:rsid w:val="00EE7423"/>
    <w:rsid w:val="00EE743A"/>
    <w:rsid w:val="00EE76A4"/>
    <w:rsid w:val="00EE7831"/>
    <w:rsid w:val="00EE7851"/>
    <w:rsid w:val="00EE7B0A"/>
    <w:rsid w:val="00EE7B83"/>
    <w:rsid w:val="00EE7C23"/>
    <w:rsid w:val="00EE7C43"/>
    <w:rsid w:val="00EE7DEE"/>
    <w:rsid w:val="00EE7EB1"/>
    <w:rsid w:val="00EE7F2C"/>
    <w:rsid w:val="00EE7FA3"/>
    <w:rsid w:val="00EF0090"/>
    <w:rsid w:val="00EF0143"/>
    <w:rsid w:val="00EF0150"/>
    <w:rsid w:val="00EF0308"/>
    <w:rsid w:val="00EF0392"/>
    <w:rsid w:val="00EF03D9"/>
    <w:rsid w:val="00EF05A6"/>
    <w:rsid w:val="00EF0659"/>
    <w:rsid w:val="00EF0A39"/>
    <w:rsid w:val="00EF0DE6"/>
    <w:rsid w:val="00EF0EAA"/>
    <w:rsid w:val="00EF1068"/>
    <w:rsid w:val="00EF13CC"/>
    <w:rsid w:val="00EF15D2"/>
    <w:rsid w:val="00EF1682"/>
    <w:rsid w:val="00EF1AC2"/>
    <w:rsid w:val="00EF1CED"/>
    <w:rsid w:val="00EF1CF6"/>
    <w:rsid w:val="00EF1D56"/>
    <w:rsid w:val="00EF21B2"/>
    <w:rsid w:val="00EF23B4"/>
    <w:rsid w:val="00EF2819"/>
    <w:rsid w:val="00EF281F"/>
    <w:rsid w:val="00EF2884"/>
    <w:rsid w:val="00EF28C7"/>
    <w:rsid w:val="00EF2B2A"/>
    <w:rsid w:val="00EF2C29"/>
    <w:rsid w:val="00EF2C36"/>
    <w:rsid w:val="00EF2CD3"/>
    <w:rsid w:val="00EF2D70"/>
    <w:rsid w:val="00EF2FFC"/>
    <w:rsid w:val="00EF30CA"/>
    <w:rsid w:val="00EF3110"/>
    <w:rsid w:val="00EF320D"/>
    <w:rsid w:val="00EF330D"/>
    <w:rsid w:val="00EF35A7"/>
    <w:rsid w:val="00EF3778"/>
    <w:rsid w:val="00EF3802"/>
    <w:rsid w:val="00EF3864"/>
    <w:rsid w:val="00EF38B2"/>
    <w:rsid w:val="00EF3C31"/>
    <w:rsid w:val="00EF3C69"/>
    <w:rsid w:val="00EF3FD9"/>
    <w:rsid w:val="00EF401B"/>
    <w:rsid w:val="00EF41F5"/>
    <w:rsid w:val="00EF4551"/>
    <w:rsid w:val="00EF46AD"/>
    <w:rsid w:val="00EF47D0"/>
    <w:rsid w:val="00EF4904"/>
    <w:rsid w:val="00EF4C13"/>
    <w:rsid w:val="00EF4F63"/>
    <w:rsid w:val="00EF5044"/>
    <w:rsid w:val="00EF5331"/>
    <w:rsid w:val="00EF55BB"/>
    <w:rsid w:val="00EF563E"/>
    <w:rsid w:val="00EF5810"/>
    <w:rsid w:val="00EF5872"/>
    <w:rsid w:val="00EF5A39"/>
    <w:rsid w:val="00EF5AFF"/>
    <w:rsid w:val="00EF5E00"/>
    <w:rsid w:val="00EF614D"/>
    <w:rsid w:val="00EF61E1"/>
    <w:rsid w:val="00EF638C"/>
    <w:rsid w:val="00EF6459"/>
    <w:rsid w:val="00EF65F2"/>
    <w:rsid w:val="00EF670F"/>
    <w:rsid w:val="00EF6723"/>
    <w:rsid w:val="00EF68F0"/>
    <w:rsid w:val="00EF68FD"/>
    <w:rsid w:val="00EF690F"/>
    <w:rsid w:val="00EF6C92"/>
    <w:rsid w:val="00EF6CA0"/>
    <w:rsid w:val="00EF6D4A"/>
    <w:rsid w:val="00EF6E1D"/>
    <w:rsid w:val="00EF6ECA"/>
    <w:rsid w:val="00EF70FE"/>
    <w:rsid w:val="00EF7188"/>
    <w:rsid w:val="00EF7194"/>
    <w:rsid w:val="00EF721C"/>
    <w:rsid w:val="00EF727A"/>
    <w:rsid w:val="00EF731C"/>
    <w:rsid w:val="00EF74A5"/>
    <w:rsid w:val="00EF78FD"/>
    <w:rsid w:val="00EF7A4A"/>
    <w:rsid w:val="00EF7B5C"/>
    <w:rsid w:val="00EF7CF7"/>
    <w:rsid w:val="00EF7D03"/>
    <w:rsid w:val="00EF7F1C"/>
    <w:rsid w:val="00F0017B"/>
    <w:rsid w:val="00F004C0"/>
    <w:rsid w:val="00F009BD"/>
    <w:rsid w:val="00F00A41"/>
    <w:rsid w:val="00F00A70"/>
    <w:rsid w:val="00F00B7E"/>
    <w:rsid w:val="00F00C3C"/>
    <w:rsid w:val="00F00FB5"/>
    <w:rsid w:val="00F0103E"/>
    <w:rsid w:val="00F010E5"/>
    <w:rsid w:val="00F01330"/>
    <w:rsid w:val="00F013B7"/>
    <w:rsid w:val="00F014C6"/>
    <w:rsid w:val="00F016A2"/>
    <w:rsid w:val="00F01912"/>
    <w:rsid w:val="00F01A66"/>
    <w:rsid w:val="00F01C51"/>
    <w:rsid w:val="00F01CF6"/>
    <w:rsid w:val="00F01E61"/>
    <w:rsid w:val="00F01FF4"/>
    <w:rsid w:val="00F024D8"/>
    <w:rsid w:val="00F024E1"/>
    <w:rsid w:val="00F02A52"/>
    <w:rsid w:val="00F02B42"/>
    <w:rsid w:val="00F02C81"/>
    <w:rsid w:val="00F02FC3"/>
    <w:rsid w:val="00F03025"/>
    <w:rsid w:val="00F030B7"/>
    <w:rsid w:val="00F0349D"/>
    <w:rsid w:val="00F03564"/>
    <w:rsid w:val="00F0359A"/>
    <w:rsid w:val="00F03621"/>
    <w:rsid w:val="00F03C2E"/>
    <w:rsid w:val="00F03DD0"/>
    <w:rsid w:val="00F04212"/>
    <w:rsid w:val="00F04486"/>
    <w:rsid w:val="00F045C7"/>
    <w:rsid w:val="00F046F0"/>
    <w:rsid w:val="00F048E8"/>
    <w:rsid w:val="00F048ED"/>
    <w:rsid w:val="00F0493A"/>
    <w:rsid w:val="00F04947"/>
    <w:rsid w:val="00F049C9"/>
    <w:rsid w:val="00F049F6"/>
    <w:rsid w:val="00F04BDF"/>
    <w:rsid w:val="00F04FCF"/>
    <w:rsid w:val="00F050F8"/>
    <w:rsid w:val="00F052EF"/>
    <w:rsid w:val="00F0534E"/>
    <w:rsid w:val="00F055D5"/>
    <w:rsid w:val="00F056F0"/>
    <w:rsid w:val="00F05749"/>
    <w:rsid w:val="00F05946"/>
    <w:rsid w:val="00F05964"/>
    <w:rsid w:val="00F05A42"/>
    <w:rsid w:val="00F05AC9"/>
    <w:rsid w:val="00F05CD5"/>
    <w:rsid w:val="00F05FB4"/>
    <w:rsid w:val="00F06167"/>
    <w:rsid w:val="00F061D5"/>
    <w:rsid w:val="00F062F3"/>
    <w:rsid w:val="00F0650D"/>
    <w:rsid w:val="00F0675B"/>
    <w:rsid w:val="00F06984"/>
    <w:rsid w:val="00F06A91"/>
    <w:rsid w:val="00F06B9C"/>
    <w:rsid w:val="00F06C10"/>
    <w:rsid w:val="00F06F50"/>
    <w:rsid w:val="00F07553"/>
    <w:rsid w:val="00F0794D"/>
    <w:rsid w:val="00F079ED"/>
    <w:rsid w:val="00F07BF9"/>
    <w:rsid w:val="00F07C39"/>
    <w:rsid w:val="00F07C5E"/>
    <w:rsid w:val="00F07D4E"/>
    <w:rsid w:val="00F07DF6"/>
    <w:rsid w:val="00F10012"/>
    <w:rsid w:val="00F1016B"/>
    <w:rsid w:val="00F1042B"/>
    <w:rsid w:val="00F1042C"/>
    <w:rsid w:val="00F10455"/>
    <w:rsid w:val="00F10499"/>
    <w:rsid w:val="00F106DA"/>
    <w:rsid w:val="00F1096F"/>
    <w:rsid w:val="00F10AFA"/>
    <w:rsid w:val="00F10B41"/>
    <w:rsid w:val="00F10B6A"/>
    <w:rsid w:val="00F10F44"/>
    <w:rsid w:val="00F10F6C"/>
    <w:rsid w:val="00F10FA5"/>
    <w:rsid w:val="00F10FC4"/>
    <w:rsid w:val="00F11047"/>
    <w:rsid w:val="00F11076"/>
    <w:rsid w:val="00F1110D"/>
    <w:rsid w:val="00F111AD"/>
    <w:rsid w:val="00F11269"/>
    <w:rsid w:val="00F11270"/>
    <w:rsid w:val="00F11495"/>
    <w:rsid w:val="00F117D0"/>
    <w:rsid w:val="00F11A06"/>
    <w:rsid w:val="00F11B9C"/>
    <w:rsid w:val="00F11BD6"/>
    <w:rsid w:val="00F11E0F"/>
    <w:rsid w:val="00F11E41"/>
    <w:rsid w:val="00F11E69"/>
    <w:rsid w:val="00F12073"/>
    <w:rsid w:val="00F123B8"/>
    <w:rsid w:val="00F12464"/>
    <w:rsid w:val="00F1253B"/>
    <w:rsid w:val="00F12589"/>
    <w:rsid w:val="00F12595"/>
    <w:rsid w:val="00F1290D"/>
    <w:rsid w:val="00F12A14"/>
    <w:rsid w:val="00F12B14"/>
    <w:rsid w:val="00F12B1E"/>
    <w:rsid w:val="00F12C75"/>
    <w:rsid w:val="00F13331"/>
    <w:rsid w:val="00F13359"/>
    <w:rsid w:val="00F13389"/>
    <w:rsid w:val="00F134D9"/>
    <w:rsid w:val="00F135A6"/>
    <w:rsid w:val="00F13628"/>
    <w:rsid w:val="00F1363F"/>
    <w:rsid w:val="00F1370D"/>
    <w:rsid w:val="00F13A8B"/>
    <w:rsid w:val="00F13BC3"/>
    <w:rsid w:val="00F13BD2"/>
    <w:rsid w:val="00F13EAC"/>
    <w:rsid w:val="00F1403D"/>
    <w:rsid w:val="00F1410E"/>
    <w:rsid w:val="00F145BB"/>
    <w:rsid w:val="00F1463F"/>
    <w:rsid w:val="00F14674"/>
    <w:rsid w:val="00F148EE"/>
    <w:rsid w:val="00F14992"/>
    <w:rsid w:val="00F14A81"/>
    <w:rsid w:val="00F14BA9"/>
    <w:rsid w:val="00F14D63"/>
    <w:rsid w:val="00F14EB7"/>
    <w:rsid w:val="00F1519A"/>
    <w:rsid w:val="00F151C4"/>
    <w:rsid w:val="00F152EE"/>
    <w:rsid w:val="00F1531D"/>
    <w:rsid w:val="00F15629"/>
    <w:rsid w:val="00F1562C"/>
    <w:rsid w:val="00F15831"/>
    <w:rsid w:val="00F1596A"/>
    <w:rsid w:val="00F15A06"/>
    <w:rsid w:val="00F15A99"/>
    <w:rsid w:val="00F15BB8"/>
    <w:rsid w:val="00F15C52"/>
    <w:rsid w:val="00F15CE5"/>
    <w:rsid w:val="00F15E2D"/>
    <w:rsid w:val="00F15E51"/>
    <w:rsid w:val="00F15FC8"/>
    <w:rsid w:val="00F162E7"/>
    <w:rsid w:val="00F1635E"/>
    <w:rsid w:val="00F163E0"/>
    <w:rsid w:val="00F16400"/>
    <w:rsid w:val="00F1679F"/>
    <w:rsid w:val="00F167FC"/>
    <w:rsid w:val="00F169D3"/>
    <w:rsid w:val="00F16BFF"/>
    <w:rsid w:val="00F16CBA"/>
    <w:rsid w:val="00F16DE6"/>
    <w:rsid w:val="00F16E58"/>
    <w:rsid w:val="00F16E75"/>
    <w:rsid w:val="00F1719A"/>
    <w:rsid w:val="00F174F1"/>
    <w:rsid w:val="00F178D9"/>
    <w:rsid w:val="00F179B8"/>
    <w:rsid w:val="00F17AA6"/>
    <w:rsid w:val="00F17C0B"/>
    <w:rsid w:val="00F17C67"/>
    <w:rsid w:val="00F200FC"/>
    <w:rsid w:val="00F20104"/>
    <w:rsid w:val="00F2028A"/>
    <w:rsid w:val="00F202A4"/>
    <w:rsid w:val="00F203AE"/>
    <w:rsid w:val="00F205AC"/>
    <w:rsid w:val="00F205DD"/>
    <w:rsid w:val="00F20766"/>
    <w:rsid w:val="00F20A6A"/>
    <w:rsid w:val="00F20D17"/>
    <w:rsid w:val="00F20DBF"/>
    <w:rsid w:val="00F20DCA"/>
    <w:rsid w:val="00F2101C"/>
    <w:rsid w:val="00F21039"/>
    <w:rsid w:val="00F210D7"/>
    <w:rsid w:val="00F211EE"/>
    <w:rsid w:val="00F21302"/>
    <w:rsid w:val="00F213D5"/>
    <w:rsid w:val="00F21703"/>
    <w:rsid w:val="00F21902"/>
    <w:rsid w:val="00F21932"/>
    <w:rsid w:val="00F21988"/>
    <w:rsid w:val="00F21AB7"/>
    <w:rsid w:val="00F21BCC"/>
    <w:rsid w:val="00F21CEB"/>
    <w:rsid w:val="00F21D17"/>
    <w:rsid w:val="00F21D68"/>
    <w:rsid w:val="00F21D6E"/>
    <w:rsid w:val="00F21F39"/>
    <w:rsid w:val="00F21F50"/>
    <w:rsid w:val="00F22039"/>
    <w:rsid w:val="00F220AE"/>
    <w:rsid w:val="00F22261"/>
    <w:rsid w:val="00F22313"/>
    <w:rsid w:val="00F22370"/>
    <w:rsid w:val="00F22720"/>
    <w:rsid w:val="00F22A8E"/>
    <w:rsid w:val="00F22B27"/>
    <w:rsid w:val="00F22C97"/>
    <w:rsid w:val="00F22D56"/>
    <w:rsid w:val="00F22F6B"/>
    <w:rsid w:val="00F232BB"/>
    <w:rsid w:val="00F234C0"/>
    <w:rsid w:val="00F237B3"/>
    <w:rsid w:val="00F237F3"/>
    <w:rsid w:val="00F23856"/>
    <w:rsid w:val="00F23860"/>
    <w:rsid w:val="00F239E3"/>
    <w:rsid w:val="00F23AFB"/>
    <w:rsid w:val="00F23B5C"/>
    <w:rsid w:val="00F23C06"/>
    <w:rsid w:val="00F23E5F"/>
    <w:rsid w:val="00F23EDA"/>
    <w:rsid w:val="00F23F87"/>
    <w:rsid w:val="00F243AA"/>
    <w:rsid w:val="00F244EB"/>
    <w:rsid w:val="00F24701"/>
    <w:rsid w:val="00F247F4"/>
    <w:rsid w:val="00F24976"/>
    <w:rsid w:val="00F24A04"/>
    <w:rsid w:val="00F24AFF"/>
    <w:rsid w:val="00F24B91"/>
    <w:rsid w:val="00F24CE5"/>
    <w:rsid w:val="00F24DC2"/>
    <w:rsid w:val="00F24FF1"/>
    <w:rsid w:val="00F25759"/>
    <w:rsid w:val="00F2590F"/>
    <w:rsid w:val="00F259BB"/>
    <w:rsid w:val="00F259EF"/>
    <w:rsid w:val="00F25B00"/>
    <w:rsid w:val="00F25DA2"/>
    <w:rsid w:val="00F25DDF"/>
    <w:rsid w:val="00F25EA5"/>
    <w:rsid w:val="00F26084"/>
    <w:rsid w:val="00F260A2"/>
    <w:rsid w:val="00F2612E"/>
    <w:rsid w:val="00F26286"/>
    <w:rsid w:val="00F264DF"/>
    <w:rsid w:val="00F2691F"/>
    <w:rsid w:val="00F26A11"/>
    <w:rsid w:val="00F26B2B"/>
    <w:rsid w:val="00F26BB5"/>
    <w:rsid w:val="00F26C71"/>
    <w:rsid w:val="00F26F30"/>
    <w:rsid w:val="00F26F4D"/>
    <w:rsid w:val="00F270E1"/>
    <w:rsid w:val="00F2725A"/>
    <w:rsid w:val="00F2738F"/>
    <w:rsid w:val="00F273DD"/>
    <w:rsid w:val="00F27854"/>
    <w:rsid w:val="00F27895"/>
    <w:rsid w:val="00F2789A"/>
    <w:rsid w:val="00F2789B"/>
    <w:rsid w:val="00F278D2"/>
    <w:rsid w:val="00F279C6"/>
    <w:rsid w:val="00F27A94"/>
    <w:rsid w:val="00F27E16"/>
    <w:rsid w:val="00F30029"/>
    <w:rsid w:val="00F301CF"/>
    <w:rsid w:val="00F303BD"/>
    <w:rsid w:val="00F30452"/>
    <w:rsid w:val="00F30466"/>
    <w:rsid w:val="00F307EB"/>
    <w:rsid w:val="00F307F6"/>
    <w:rsid w:val="00F3084C"/>
    <w:rsid w:val="00F308F2"/>
    <w:rsid w:val="00F30951"/>
    <w:rsid w:val="00F309E4"/>
    <w:rsid w:val="00F30A35"/>
    <w:rsid w:val="00F30A88"/>
    <w:rsid w:val="00F30C99"/>
    <w:rsid w:val="00F30E53"/>
    <w:rsid w:val="00F30EA3"/>
    <w:rsid w:val="00F30F8B"/>
    <w:rsid w:val="00F312D9"/>
    <w:rsid w:val="00F3151D"/>
    <w:rsid w:val="00F3179C"/>
    <w:rsid w:val="00F31904"/>
    <w:rsid w:val="00F31C48"/>
    <w:rsid w:val="00F31CEA"/>
    <w:rsid w:val="00F31E08"/>
    <w:rsid w:val="00F31FF8"/>
    <w:rsid w:val="00F32127"/>
    <w:rsid w:val="00F321DE"/>
    <w:rsid w:val="00F32410"/>
    <w:rsid w:val="00F3241F"/>
    <w:rsid w:val="00F324FA"/>
    <w:rsid w:val="00F3256D"/>
    <w:rsid w:val="00F325F3"/>
    <w:rsid w:val="00F328B2"/>
    <w:rsid w:val="00F32990"/>
    <w:rsid w:val="00F32B48"/>
    <w:rsid w:val="00F32C28"/>
    <w:rsid w:val="00F32C83"/>
    <w:rsid w:val="00F32D0B"/>
    <w:rsid w:val="00F32D3E"/>
    <w:rsid w:val="00F33016"/>
    <w:rsid w:val="00F3307C"/>
    <w:rsid w:val="00F33138"/>
    <w:rsid w:val="00F33360"/>
    <w:rsid w:val="00F33542"/>
    <w:rsid w:val="00F336CD"/>
    <w:rsid w:val="00F33713"/>
    <w:rsid w:val="00F33777"/>
    <w:rsid w:val="00F337BD"/>
    <w:rsid w:val="00F33957"/>
    <w:rsid w:val="00F33990"/>
    <w:rsid w:val="00F33AD7"/>
    <w:rsid w:val="00F33B66"/>
    <w:rsid w:val="00F33CEC"/>
    <w:rsid w:val="00F33D87"/>
    <w:rsid w:val="00F341C1"/>
    <w:rsid w:val="00F342A3"/>
    <w:rsid w:val="00F34314"/>
    <w:rsid w:val="00F3437E"/>
    <w:rsid w:val="00F3438F"/>
    <w:rsid w:val="00F343F1"/>
    <w:rsid w:val="00F34512"/>
    <w:rsid w:val="00F345E6"/>
    <w:rsid w:val="00F346E5"/>
    <w:rsid w:val="00F34857"/>
    <w:rsid w:val="00F34A7A"/>
    <w:rsid w:val="00F35079"/>
    <w:rsid w:val="00F3518F"/>
    <w:rsid w:val="00F35336"/>
    <w:rsid w:val="00F353F2"/>
    <w:rsid w:val="00F355BB"/>
    <w:rsid w:val="00F35651"/>
    <w:rsid w:val="00F35654"/>
    <w:rsid w:val="00F3566D"/>
    <w:rsid w:val="00F356E2"/>
    <w:rsid w:val="00F357EC"/>
    <w:rsid w:val="00F35809"/>
    <w:rsid w:val="00F358AE"/>
    <w:rsid w:val="00F359FB"/>
    <w:rsid w:val="00F35AA1"/>
    <w:rsid w:val="00F35C08"/>
    <w:rsid w:val="00F35C75"/>
    <w:rsid w:val="00F35E94"/>
    <w:rsid w:val="00F3613E"/>
    <w:rsid w:val="00F36184"/>
    <w:rsid w:val="00F361C4"/>
    <w:rsid w:val="00F363A2"/>
    <w:rsid w:val="00F36559"/>
    <w:rsid w:val="00F36582"/>
    <w:rsid w:val="00F36592"/>
    <w:rsid w:val="00F36680"/>
    <w:rsid w:val="00F36881"/>
    <w:rsid w:val="00F3694A"/>
    <w:rsid w:val="00F36A0E"/>
    <w:rsid w:val="00F36AC3"/>
    <w:rsid w:val="00F36AC8"/>
    <w:rsid w:val="00F36B4A"/>
    <w:rsid w:val="00F36F1A"/>
    <w:rsid w:val="00F36FE7"/>
    <w:rsid w:val="00F3706F"/>
    <w:rsid w:val="00F37520"/>
    <w:rsid w:val="00F3796C"/>
    <w:rsid w:val="00F37C9F"/>
    <w:rsid w:val="00F37ED8"/>
    <w:rsid w:val="00F37F49"/>
    <w:rsid w:val="00F37FB3"/>
    <w:rsid w:val="00F37FBF"/>
    <w:rsid w:val="00F4005B"/>
    <w:rsid w:val="00F4024E"/>
    <w:rsid w:val="00F4024F"/>
    <w:rsid w:val="00F4029C"/>
    <w:rsid w:val="00F404D8"/>
    <w:rsid w:val="00F405DD"/>
    <w:rsid w:val="00F40648"/>
    <w:rsid w:val="00F40A56"/>
    <w:rsid w:val="00F40F21"/>
    <w:rsid w:val="00F40FC9"/>
    <w:rsid w:val="00F41235"/>
    <w:rsid w:val="00F4143C"/>
    <w:rsid w:val="00F418E7"/>
    <w:rsid w:val="00F41ABD"/>
    <w:rsid w:val="00F41C90"/>
    <w:rsid w:val="00F41E47"/>
    <w:rsid w:val="00F41EFF"/>
    <w:rsid w:val="00F4206C"/>
    <w:rsid w:val="00F420DB"/>
    <w:rsid w:val="00F421B9"/>
    <w:rsid w:val="00F42290"/>
    <w:rsid w:val="00F42319"/>
    <w:rsid w:val="00F423B0"/>
    <w:rsid w:val="00F42425"/>
    <w:rsid w:val="00F424C1"/>
    <w:rsid w:val="00F42578"/>
    <w:rsid w:val="00F42760"/>
    <w:rsid w:val="00F427F0"/>
    <w:rsid w:val="00F42830"/>
    <w:rsid w:val="00F42851"/>
    <w:rsid w:val="00F42896"/>
    <w:rsid w:val="00F42C59"/>
    <w:rsid w:val="00F43115"/>
    <w:rsid w:val="00F433CF"/>
    <w:rsid w:val="00F434AC"/>
    <w:rsid w:val="00F4351E"/>
    <w:rsid w:val="00F4385B"/>
    <w:rsid w:val="00F4396F"/>
    <w:rsid w:val="00F44027"/>
    <w:rsid w:val="00F440F5"/>
    <w:rsid w:val="00F4427C"/>
    <w:rsid w:val="00F442F6"/>
    <w:rsid w:val="00F4440E"/>
    <w:rsid w:val="00F44621"/>
    <w:rsid w:val="00F44702"/>
    <w:rsid w:val="00F449EA"/>
    <w:rsid w:val="00F44D3E"/>
    <w:rsid w:val="00F44F67"/>
    <w:rsid w:val="00F4509E"/>
    <w:rsid w:val="00F45186"/>
    <w:rsid w:val="00F452E7"/>
    <w:rsid w:val="00F4541F"/>
    <w:rsid w:val="00F454B0"/>
    <w:rsid w:val="00F456D7"/>
    <w:rsid w:val="00F45AF0"/>
    <w:rsid w:val="00F45B81"/>
    <w:rsid w:val="00F45C44"/>
    <w:rsid w:val="00F45C62"/>
    <w:rsid w:val="00F461E2"/>
    <w:rsid w:val="00F46524"/>
    <w:rsid w:val="00F46D4C"/>
    <w:rsid w:val="00F46D86"/>
    <w:rsid w:val="00F46EBB"/>
    <w:rsid w:val="00F46F82"/>
    <w:rsid w:val="00F470F7"/>
    <w:rsid w:val="00F471E1"/>
    <w:rsid w:val="00F475B1"/>
    <w:rsid w:val="00F4766F"/>
    <w:rsid w:val="00F477BA"/>
    <w:rsid w:val="00F47886"/>
    <w:rsid w:val="00F478D2"/>
    <w:rsid w:val="00F4797B"/>
    <w:rsid w:val="00F47998"/>
    <w:rsid w:val="00F47A13"/>
    <w:rsid w:val="00F47A5F"/>
    <w:rsid w:val="00F47AE3"/>
    <w:rsid w:val="00F47B6E"/>
    <w:rsid w:val="00F47DA2"/>
    <w:rsid w:val="00F47DB0"/>
    <w:rsid w:val="00F47E68"/>
    <w:rsid w:val="00F47E81"/>
    <w:rsid w:val="00F47EDE"/>
    <w:rsid w:val="00F47FCE"/>
    <w:rsid w:val="00F47FF8"/>
    <w:rsid w:val="00F50082"/>
    <w:rsid w:val="00F5047F"/>
    <w:rsid w:val="00F504E4"/>
    <w:rsid w:val="00F5050F"/>
    <w:rsid w:val="00F50608"/>
    <w:rsid w:val="00F508EC"/>
    <w:rsid w:val="00F5090B"/>
    <w:rsid w:val="00F509EB"/>
    <w:rsid w:val="00F50ADC"/>
    <w:rsid w:val="00F50C32"/>
    <w:rsid w:val="00F50CA1"/>
    <w:rsid w:val="00F50CBB"/>
    <w:rsid w:val="00F50D12"/>
    <w:rsid w:val="00F50EEB"/>
    <w:rsid w:val="00F50EF1"/>
    <w:rsid w:val="00F50FED"/>
    <w:rsid w:val="00F510A3"/>
    <w:rsid w:val="00F515CB"/>
    <w:rsid w:val="00F516A0"/>
    <w:rsid w:val="00F519FC"/>
    <w:rsid w:val="00F51A73"/>
    <w:rsid w:val="00F51B25"/>
    <w:rsid w:val="00F51BB7"/>
    <w:rsid w:val="00F51BF1"/>
    <w:rsid w:val="00F51CB8"/>
    <w:rsid w:val="00F51D4F"/>
    <w:rsid w:val="00F51DB7"/>
    <w:rsid w:val="00F51DF0"/>
    <w:rsid w:val="00F5205D"/>
    <w:rsid w:val="00F52186"/>
    <w:rsid w:val="00F52340"/>
    <w:rsid w:val="00F5234E"/>
    <w:rsid w:val="00F52445"/>
    <w:rsid w:val="00F5287F"/>
    <w:rsid w:val="00F52D3B"/>
    <w:rsid w:val="00F52FA9"/>
    <w:rsid w:val="00F53090"/>
    <w:rsid w:val="00F5339D"/>
    <w:rsid w:val="00F533DC"/>
    <w:rsid w:val="00F53401"/>
    <w:rsid w:val="00F5346E"/>
    <w:rsid w:val="00F53685"/>
    <w:rsid w:val="00F537C2"/>
    <w:rsid w:val="00F53834"/>
    <w:rsid w:val="00F5398F"/>
    <w:rsid w:val="00F53B02"/>
    <w:rsid w:val="00F53B1E"/>
    <w:rsid w:val="00F53BF5"/>
    <w:rsid w:val="00F53DEE"/>
    <w:rsid w:val="00F53FAB"/>
    <w:rsid w:val="00F53FDB"/>
    <w:rsid w:val="00F54433"/>
    <w:rsid w:val="00F5445F"/>
    <w:rsid w:val="00F54566"/>
    <w:rsid w:val="00F545BA"/>
    <w:rsid w:val="00F54654"/>
    <w:rsid w:val="00F54681"/>
    <w:rsid w:val="00F54780"/>
    <w:rsid w:val="00F547E8"/>
    <w:rsid w:val="00F5482D"/>
    <w:rsid w:val="00F54B4C"/>
    <w:rsid w:val="00F54DAF"/>
    <w:rsid w:val="00F54DD2"/>
    <w:rsid w:val="00F54E16"/>
    <w:rsid w:val="00F54EC7"/>
    <w:rsid w:val="00F550D6"/>
    <w:rsid w:val="00F55365"/>
    <w:rsid w:val="00F559FE"/>
    <w:rsid w:val="00F55D4B"/>
    <w:rsid w:val="00F55E24"/>
    <w:rsid w:val="00F55ECD"/>
    <w:rsid w:val="00F55EF8"/>
    <w:rsid w:val="00F55F38"/>
    <w:rsid w:val="00F56118"/>
    <w:rsid w:val="00F56138"/>
    <w:rsid w:val="00F56322"/>
    <w:rsid w:val="00F569FB"/>
    <w:rsid w:val="00F56AFF"/>
    <w:rsid w:val="00F56C3A"/>
    <w:rsid w:val="00F570E2"/>
    <w:rsid w:val="00F573B6"/>
    <w:rsid w:val="00F57506"/>
    <w:rsid w:val="00F576AB"/>
    <w:rsid w:val="00F577EF"/>
    <w:rsid w:val="00F5782D"/>
    <w:rsid w:val="00F57844"/>
    <w:rsid w:val="00F57A07"/>
    <w:rsid w:val="00F57A0D"/>
    <w:rsid w:val="00F57B08"/>
    <w:rsid w:val="00F57B3C"/>
    <w:rsid w:val="00F57BA3"/>
    <w:rsid w:val="00F57BDF"/>
    <w:rsid w:val="00F57C4B"/>
    <w:rsid w:val="00F57FBD"/>
    <w:rsid w:val="00F6007C"/>
    <w:rsid w:val="00F600F7"/>
    <w:rsid w:val="00F60284"/>
    <w:rsid w:val="00F602E9"/>
    <w:rsid w:val="00F60309"/>
    <w:rsid w:val="00F60328"/>
    <w:rsid w:val="00F605C2"/>
    <w:rsid w:val="00F60783"/>
    <w:rsid w:val="00F60DA0"/>
    <w:rsid w:val="00F6105B"/>
    <w:rsid w:val="00F610E3"/>
    <w:rsid w:val="00F612FD"/>
    <w:rsid w:val="00F613FB"/>
    <w:rsid w:val="00F616F0"/>
    <w:rsid w:val="00F61736"/>
    <w:rsid w:val="00F617A1"/>
    <w:rsid w:val="00F61C62"/>
    <w:rsid w:val="00F61DF7"/>
    <w:rsid w:val="00F61E73"/>
    <w:rsid w:val="00F61F8B"/>
    <w:rsid w:val="00F6205E"/>
    <w:rsid w:val="00F62147"/>
    <w:rsid w:val="00F622A6"/>
    <w:rsid w:val="00F6239D"/>
    <w:rsid w:val="00F6246B"/>
    <w:rsid w:val="00F624D6"/>
    <w:rsid w:val="00F626D3"/>
    <w:rsid w:val="00F62717"/>
    <w:rsid w:val="00F6280E"/>
    <w:rsid w:val="00F628F0"/>
    <w:rsid w:val="00F6292B"/>
    <w:rsid w:val="00F62A4D"/>
    <w:rsid w:val="00F62B02"/>
    <w:rsid w:val="00F62D00"/>
    <w:rsid w:val="00F62E81"/>
    <w:rsid w:val="00F630AD"/>
    <w:rsid w:val="00F63373"/>
    <w:rsid w:val="00F63455"/>
    <w:rsid w:val="00F63475"/>
    <w:rsid w:val="00F635E3"/>
    <w:rsid w:val="00F63816"/>
    <w:rsid w:val="00F63E28"/>
    <w:rsid w:val="00F64070"/>
    <w:rsid w:val="00F640BD"/>
    <w:rsid w:val="00F642E8"/>
    <w:rsid w:val="00F6434F"/>
    <w:rsid w:val="00F6439B"/>
    <w:rsid w:val="00F644E3"/>
    <w:rsid w:val="00F644E6"/>
    <w:rsid w:val="00F646B2"/>
    <w:rsid w:val="00F648EA"/>
    <w:rsid w:val="00F64AD0"/>
    <w:rsid w:val="00F64B6C"/>
    <w:rsid w:val="00F64BAE"/>
    <w:rsid w:val="00F64CF9"/>
    <w:rsid w:val="00F64CFB"/>
    <w:rsid w:val="00F64DF3"/>
    <w:rsid w:val="00F64DFA"/>
    <w:rsid w:val="00F64E4E"/>
    <w:rsid w:val="00F64E91"/>
    <w:rsid w:val="00F650A8"/>
    <w:rsid w:val="00F65132"/>
    <w:rsid w:val="00F65243"/>
    <w:rsid w:val="00F652C9"/>
    <w:rsid w:val="00F65411"/>
    <w:rsid w:val="00F6556C"/>
    <w:rsid w:val="00F656C9"/>
    <w:rsid w:val="00F6574D"/>
    <w:rsid w:val="00F65863"/>
    <w:rsid w:val="00F6587F"/>
    <w:rsid w:val="00F659C7"/>
    <w:rsid w:val="00F65B51"/>
    <w:rsid w:val="00F65BAD"/>
    <w:rsid w:val="00F65D01"/>
    <w:rsid w:val="00F66108"/>
    <w:rsid w:val="00F663D7"/>
    <w:rsid w:val="00F66604"/>
    <w:rsid w:val="00F66666"/>
    <w:rsid w:val="00F66884"/>
    <w:rsid w:val="00F668DE"/>
    <w:rsid w:val="00F669D0"/>
    <w:rsid w:val="00F66A7A"/>
    <w:rsid w:val="00F66CEB"/>
    <w:rsid w:val="00F66DFD"/>
    <w:rsid w:val="00F66EDD"/>
    <w:rsid w:val="00F66F85"/>
    <w:rsid w:val="00F66FE1"/>
    <w:rsid w:val="00F67078"/>
    <w:rsid w:val="00F674CE"/>
    <w:rsid w:val="00F674D9"/>
    <w:rsid w:val="00F676F0"/>
    <w:rsid w:val="00F677FE"/>
    <w:rsid w:val="00F67852"/>
    <w:rsid w:val="00F679C1"/>
    <w:rsid w:val="00F67B0A"/>
    <w:rsid w:val="00F67B7E"/>
    <w:rsid w:val="00F67BD0"/>
    <w:rsid w:val="00F67CD6"/>
    <w:rsid w:val="00F67D7F"/>
    <w:rsid w:val="00F67FE9"/>
    <w:rsid w:val="00F700D5"/>
    <w:rsid w:val="00F7011E"/>
    <w:rsid w:val="00F702B9"/>
    <w:rsid w:val="00F702F7"/>
    <w:rsid w:val="00F703D6"/>
    <w:rsid w:val="00F70411"/>
    <w:rsid w:val="00F70513"/>
    <w:rsid w:val="00F708F9"/>
    <w:rsid w:val="00F70906"/>
    <w:rsid w:val="00F70B0E"/>
    <w:rsid w:val="00F70BA9"/>
    <w:rsid w:val="00F70C9E"/>
    <w:rsid w:val="00F70F1B"/>
    <w:rsid w:val="00F71047"/>
    <w:rsid w:val="00F71073"/>
    <w:rsid w:val="00F71335"/>
    <w:rsid w:val="00F7134C"/>
    <w:rsid w:val="00F715D2"/>
    <w:rsid w:val="00F71981"/>
    <w:rsid w:val="00F71BBB"/>
    <w:rsid w:val="00F71DEA"/>
    <w:rsid w:val="00F71E39"/>
    <w:rsid w:val="00F71EBD"/>
    <w:rsid w:val="00F72170"/>
    <w:rsid w:val="00F723D9"/>
    <w:rsid w:val="00F72569"/>
    <w:rsid w:val="00F7269C"/>
    <w:rsid w:val="00F7274F"/>
    <w:rsid w:val="00F72862"/>
    <w:rsid w:val="00F72879"/>
    <w:rsid w:val="00F72914"/>
    <w:rsid w:val="00F72967"/>
    <w:rsid w:val="00F729B9"/>
    <w:rsid w:val="00F72AC4"/>
    <w:rsid w:val="00F72BC3"/>
    <w:rsid w:val="00F72BDF"/>
    <w:rsid w:val="00F72BFA"/>
    <w:rsid w:val="00F72D45"/>
    <w:rsid w:val="00F7328E"/>
    <w:rsid w:val="00F732E8"/>
    <w:rsid w:val="00F734D3"/>
    <w:rsid w:val="00F736D3"/>
    <w:rsid w:val="00F7372D"/>
    <w:rsid w:val="00F73762"/>
    <w:rsid w:val="00F739AE"/>
    <w:rsid w:val="00F73B78"/>
    <w:rsid w:val="00F73BE8"/>
    <w:rsid w:val="00F73C58"/>
    <w:rsid w:val="00F73E95"/>
    <w:rsid w:val="00F73FD9"/>
    <w:rsid w:val="00F74013"/>
    <w:rsid w:val="00F7409A"/>
    <w:rsid w:val="00F74292"/>
    <w:rsid w:val="00F742B9"/>
    <w:rsid w:val="00F744D3"/>
    <w:rsid w:val="00F74504"/>
    <w:rsid w:val="00F745D7"/>
    <w:rsid w:val="00F7472F"/>
    <w:rsid w:val="00F74AE9"/>
    <w:rsid w:val="00F74C85"/>
    <w:rsid w:val="00F75053"/>
    <w:rsid w:val="00F75438"/>
    <w:rsid w:val="00F75578"/>
    <w:rsid w:val="00F756DE"/>
    <w:rsid w:val="00F75771"/>
    <w:rsid w:val="00F75CD9"/>
    <w:rsid w:val="00F75ED7"/>
    <w:rsid w:val="00F760AA"/>
    <w:rsid w:val="00F76167"/>
    <w:rsid w:val="00F761BE"/>
    <w:rsid w:val="00F76265"/>
    <w:rsid w:val="00F763AA"/>
    <w:rsid w:val="00F7647B"/>
    <w:rsid w:val="00F765C9"/>
    <w:rsid w:val="00F7683A"/>
    <w:rsid w:val="00F76927"/>
    <w:rsid w:val="00F76AC4"/>
    <w:rsid w:val="00F76C85"/>
    <w:rsid w:val="00F76FA8"/>
    <w:rsid w:val="00F7707F"/>
    <w:rsid w:val="00F77140"/>
    <w:rsid w:val="00F771D6"/>
    <w:rsid w:val="00F774B1"/>
    <w:rsid w:val="00F774E8"/>
    <w:rsid w:val="00F77503"/>
    <w:rsid w:val="00F77758"/>
    <w:rsid w:val="00F77A02"/>
    <w:rsid w:val="00F77AA2"/>
    <w:rsid w:val="00F77C56"/>
    <w:rsid w:val="00F77EF7"/>
    <w:rsid w:val="00F77FF1"/>
    <w:rsid w:val="00F800B2"/>
    <w:rsid w:val="00F800DB"/>
    <w:rsid w:val="00F80165"/>
    <w:rsid w:val="00F80206"/>
    <w:rsid w:val="00F80370"/>
    <w:rsid w:val="00F80496"/>
    <w:rsid w:val="00F805EB"/>
    <w:rsid w:val="00F80681"/>
    <w:rsid w:val="00F8081F"/>
    <w:rsid w:val="00F80863"/>
    <w:rsid w:val="00F80898"/>
    <w:rsid w:val="00F809B3"/>
    <w:rsid w:val="00F80F31"/>
    <w:rsid w:val="00F8104E"/>
    <w:rsid w:val="00F8108B"/>
    <w:rsid w:val="00F8110B"/>
    <w:rsid w:val="00F81241"/>
    <w:rsid w:val="00F812C4"/>
    <w:rsid w:val="00F813D1"/>
    <w:rsid w:val="00F814AA"/>
    <w:rsid w:val="00F81509"/>
    <w:rsid w:val="00F81635"/>
    <w:rsid w:val="00F81655"/>
    <w:rsid w:val="00F8176D"/>
    <w:rsid w:val="00F817D8"/>
    <w:rsid w:val="00F81901"/>
    <w:rsid w:val="00F81B82"/>
    <w:rsid w:val="00F81BB7"/>
    <w:rsid w:val="00F81D20"/>
    <w:rsid w:val="00F81F35"/>
    <w:rsid w:val="00F81F4D"/>
    <w:rsid w:val="00F820C3"/>
    <w:rsid w:val="00F82427"/>
    <w:rsid w:val="00F8249D"/>
    <w:rsid w:val="00F82643"/>
    <w:rsid w:val="00F827FC"/>
    <w:rsid w:val="00F82814"/>
    <w:rsid w:val="00F828FE"/>
    <w:rsid w:val="00F82ABF"/>
    <w:rsid w:val="00F83077"/>
    <w:rsid w:val="00F831CC"/>
    <w:rsid w:val="00F833F3"/>
    <w:rsid w:val="00F83530"/>
    <w:rsid w:val="00F836E6"/>
    <w:rsid w:val="00F8382E"/>
    <w:rsid w:val="00F83905"/>
    <w:rsid w:val="00F83975"/>
    <w:rsid w:val="00F83A71"/>
    <w:rsid w:val="00F83C35"/>
    <w:rsid w:val="00F83DF7"/>
    <w:rsid w:val="00F83F17"/>
    <w:rsid w:val="00F8403F"/>
    <w:rsid w:val="00F8410D"/>
    <w:rsid w:val="00F842AB"/>
    <w:rsid w:val="00F842C9"/>
    <w:rsid w:val="00F84545"/>
    <w:rsid w:val="00F8456A"/>
    <w:rsid w:val="00F845DA"/>
    <w:rsid w:val="00F845F7"/>
    <w:rsid w:val="00F84628"/>
    <w:rsid w:val="00F84632"/>
    <w:rsid w:val="00F84682"/>
    <w:rsid w:val="00F847BD"/>
    <w:rsid w:val="00F8486F"/>
    <w:rsid w:val="00F848C6"/>
    <w:rsid w:val="00F848D1"/>
    <w:rsid w:val="00F84995"/>
    <w:rsid w:val="00F84B08"/>
    <w:rsid w:val="00F84F82"/>
    <w:rsid w:val="00F850AE"/>
    <w:rsid w:val="00F851DF"/>
    <w:rsid w:val="00F852ED"/>
    <w:rsid w:val="00F853D3"/>
    <w:rsid w:val="00F85422"/>
    <w:rsid w:val="00F85451"/>
    <w:rsid w:val="00F85585"/>
    <w:rsid w:val="00F85742"/>
    <w:rsid w:val="00F85772"/>
    <w:rsid w:val="00F85BBB"/>
    <w:rsid w:val="00F85CAE"/>
    <w:rsid w:val="00F85EA4"/>
    <w:rsid w:val="00F862A0"/>
    <w:rsid w:val="00F86B55"/>
    <w:rsid w:val="00F86C35"/>
    <w:rsid w:val="00F86CDD"/>
    <w:rsid w:val="00F86F1B"/>
    <w:rsid w:val="00F86F91"/>
    <w:rsid w:val="00F86FD4"/>
    <w:rsid w:val="00F87186"/>
    <w:rsid w:val="00F87710"/>
    <w:rsid w:val="00F87811"/>
    <w:rsid w:val="00F87A6B"/>
    <w:rsid w:val="00F87C36"/>
    <w:rsid w:val="00F900D8"/>
    <w:rsid w:val="00F9017A"/>
    <w:rsid w:val="00F9023E"/>
    <w:rsid w:val="00F9060A"/>
    <w:rsid w:val="00F9084D"/>
    <w:rsid w:val="00F90E85"/>
    <w:rsid w:val="00F91039"/>
    <w:rsid w:val="00F9139C"/>
    <w:rsid w:val="00F913FC"/>
    <w:rsid w:val="00F91462"/>
    <w:rsid w:val="00F91550"/>
    <w:rsid w:val="00F915BE"/>
    <w:rsid w:val="00F918E9"/>
    <w:rsid w:val="00F91A35"/>
    <w:rsid w:val="00F91B66"/>
    <w:rsid w:val="00F91C22"/>
    <w:rsid w:val="00F91E04"/>
    <w:rsid w:val="00F91EAC"/>
    <w:rsid w:val="00F91EB1"/>
    <w:rsid w:val="00F91F94"/>
    <w:rsid w:val="00F91F99"/>
    <w:rsid w:val="00F9208E"/>
    <w:rsid w:val="00F92168"/>
    <w:rsid w:val="00F921AE"/>
    <w:rsid w:val="00F927FB"/>
    <w:rsid w:val="00F9282E"/>
    <w:rsid w:val="00F928A0"/>
    <w:rsid w:val="00F92B94"/>
    <w:rsid w:val="00F92D52"/>
    <w:rsid w:val="00F92F8E"/>
    <w:rsid w:val="00F93116"/>
    <w:rsid w:val="00F93201"/>
    <w:rsid w:val="00F932B3"/>
    <w:rsid w:val="00F932DB"/>
    <w:rsid w:val="00F93441"/>
    <w:rsid w:val="00F935EA"/>
    <w:rsid w:val="00F936F4"/>
    <w:rsid w:val="00F93944"/>
    <w:rsid w:val="00F93A19"/>
    <w:rsid w:val="00F93A2F"/>
    <w:rsid w:val="00F93A9B"/>
    <w:rsid w:val="00F93B58"/>
    <w:rsid w:val="00F93F08"/>
    <w:rsid w:val="00F93F9E"/>
    <w:rsid w:val="00F9415F"/>
    <w:rsid w:val="00F94228"/>
    <w:rsid w:val="00F943E9"/>
    <w:rsid w:val="00F9447D"/>
    <w:rsid w:val="00F944EF"/>
    <w:rsid w:val="00F94503"/>
    <w:rsid w:val="00F94518"/>
    <w:rsid w:val="00F94547"/>
    <w:rsid w:val="00F9468A"/>
    <w:rsid w:val="00F946A1"/>
    <w:rsid w:val="00F9483D"/>
    <w:rsid w:val="00F94953"/>
    <w:rsid w:val="00F949A8"/>
    <w:rsid w:val="00F94CED"/>
    <w:rsid w:val="00F9547C"/>
    <w:rsid w:val="00F95500"/>
    <w:rsid w:val="00F957C1"/>
    <w:rsid w:val="00F95832"/>
    <w:rsid w:val="00F9597C"/>
    <w:rsid w:val="00F95A87"/>
    <w:rsid w:val="00F95C05"/>
    <w:rsid w:val="00F95D10"/>
    <w:rsid w:val="00F95DE0"/>
    <w:rsid w:val="00F95E4D"/>
    <w:rsid w:val="00F95EA4"/>
    <w:rsid w:val="00F95F76"/>
    <w:rsid w:val="00F96263"/>
    <w:rsid w:val="00F9657E"/>
    <w:rsid w:val="00F96664"/>
    <w:rsid w:val="00F9671C"/>
    <w:rsid w:val="00F967C5"/>
    <w:rsid w:val="00F96ABC"/>
    <w:rsid w:val="00F97044"/>
    <w:rsid w:val="00F97099"/>
    <w:rsid w:val="00F97224"/>
    <w:rsid w:val="00F9732D"/>
    <w:rsid w:val="00F97456"/>
    <w:rsid w:val="00F974C4"/>
    <w:rsid w:val="00F9766C"/>
    <w:rsid w:val="00F97777"/>
    <w:rsid w:val="00F9781A"/>
    <w:rsid w:val="00F978FC"/>
    <w:rsid w:val="00F97AE0"/>
    <w:rsid w:val="00F97B5B"/>
    <w:rsid w:val="00F97B8D"/>
    <w:rsid w:val="00F97BDA"/>
    <w:rsid w:val="00F97C1C"/>
    <w:rsid w:val="00FA0215"/>
    <w:rsid w:val="00FA0500"/>
    <w:rsid w:val="00FA0674"/>
    <w:rsid w:val="00FA06BE"/>
    <w:rsid w:val="00FA06C1"/>
    <w:rsid w:val="00FA0757"/>
    <w:rsid w:val="00FA0766"/>
    <w:rsid w:val="00FA076D"/>
    <w:rsid w:val="00FA0BA3"/>
    <w:rsid w:val="00FA0C13"/>
    <w:rsid w:val="00FA0CEF"/>
    <w:rsid w:val="00FA0DA4"/>
    <w:rsid w:val="00FA0DAB"/>
    <w:rsid w:val="00FA0DE3"/>
    <w:rsid w:val="00FA11A9"/>
    <w:rsid w:val="00FA1436"/>
    <w:rsid w:val="00FA14AD"/>
    <w:rsid w:val="00FA15C7"/>
    <w:rsid w:val="00FA1697"/>
    <w:rsid w:val="00FA18E1"/>
    <w:rsid w:val="00FA1B5A"/>
    <w:rsid w:val="00FA1CDF"/>
    <w:rsid w:val="00FA200A"/>
    <w:rsid w:val="00FA2228"/>
    <w:rsid w:val="00FA22DF"/>
    <w:rsid w:val="00FA2353"/>
    <w:rsid w:val="00FA23ED"/>
    <w:rsid w:val="00FA248C"/>
    <w:rsid w:val="00FA270A"/>
    <w:rsid w:val="00FA27C2"/>
    <w:rsid w:val="00FA28C4"/>
    <w:rsid w:val="00FA28D2"/>
    <w:rsid w:val="00FA2950"/>
    <w:rsid w:val="00FA29DA"/>
    <w:rsid w:val="00FA2B35"/>
    <w:rsid w:val="00FA2B7D"/>
    <w:rsid w:val="00FA2CEE"/>
    <w:rsid w:val="00FA2E11"/>
    <w:rsid w:val="00FA2E83"/>
    <w:rsid w:val="00FA304F"/>
    <w:rsid w:val="00FA3058"/>
    <w:rsid w:val="00FA318C"/>
    <w:rsid w:val="00FA35C4"/>
    <w:rsid w:val="00FA399B"/>
    <w:rsid w:val="00FA3B3B"/>
    <w:rsid w:val="00FA3EE0"/>
    <w:rsid w:val="00FA43B6"/>
    <w:rsid w:val="00FA467B"/>
    <w:rsid w:val="00FA4757"/>
    <w:rsid w:val="00FA476F"/>
    <w:rsid w:val="00FA4779"/>
    <w:rsid w:val="00FA4829"/>
    <w:rsid w:val="00FA4999"/>
    <w:rsid w:val="00FA4A7B"/>
    <w:rsid w:val="00FA4AED"/>
    <w:rsid w:val="00FA4AFE"/>
    <w:rsid w:val="00FA4DEC"/>
    <w:rsid w:val="00FA4F8E"/>
    <w:rsid w:val="00FA515F"/>
    <w:rsid w:val="00FA5423"/>
    <w:rsid w:val="00FA54C6"/>
    <w:rsid w:val="00FA551D"/>
    <w:rsid w:val="00FA5835"/>
    <w:rsid w:val="00FA5B9F"/>
    <w:rsid w:val="00FA60AC"/>
    <w:rsid w:val="00FA60DF"/>
    <w:rsid w:val="00FA612F"/>
    <w:rsid w:val="00FA617E"/>
    <w:rsid w:val="00FA655C"/>
    <w:rsid w:val="00FA67CD"/>
    <w:rsid w:val="00FA682C"/>
    <w:rsid w:val="00FA68A2"/>
    <w:rsid w:val="00FA68B6"/>
    <w:rsid w:val="00FA69FD"/>
    <w:rsid w:val="00FA6A2F"/>
    <w:rsid w:val="00FA6CE8"/>
    <w:rsid w:val="00FA6DD8"/>
    <w:rsid w:val="00FA6EC2"/>
    <w:rsid w:val="00FA7071"/>
    <w:rsid w:val="00FA71E7"/>
    <w:rsid w:val="00FA73F9"/>
    <w:rsid w:val="00FA753B"/>
    <w:rsid w:val="00FA75B9"/>
    <w:rsid w:val="00FA7705"/>
    <w:rsid w:val="00FA77B4"/>
    <w:rsid w:val="00FA77CE"/>
    <w:rsid w:val="00FA79C4"/>
    <w:rsid w:val="00FA7A42"/>
    <w:rsid w:val="00FA7AA8"/>
    <w:rsid w:val="00FA7E5D"/>
    <w:rsid w:val="00FA7FF5"/>
    <w:rsid w:val="00FB005B"/>
    <w:rsid w:val="00FB008B"/>
    <w:rsid w:val="00FB01E8"/>
    <w:rsid w:val="00FB030D"/>
    <w:rsid w:val="00FB0409"/>
    <w:rsid w:val="00FB04D6"/>
    <w:rsid w:val="00FB0795"/>
    <w:rsid w:val="00FB0A69"/>
    <w:rsid w:val="00FB0A7C"/>
    <w:rsid w:val="00FB0D06"/>
    <w:rsid w:val="00FB0D46"/>
    <w:rsid w:val="00FB0FA7"/>
    <w:rsid w:val="00FB1135"/>
    <w:rsid w:val="00FB1210"/>
    <w:rsid w:val="00FB128B"/>
    <w:rsid w:val="00FB1487"/>
    <w:rsid w:val="00FB14A6"/>
    <w:rsid w:val="00FB152B"/>
    <w:rsid w:val="00FB16AB"/>
    <w:rsid w:val="00FB1794"/>
    <w:rsid w:val="00FB1868"/>
    <w:rsid w:val="00FB19D2"/>
    <w:rsid w:val="00FB1C6B"/>
    <w:rsid w:val="00FB1E9B"/>
    <w:rsid w:val="00FB20F5"/>
    <w:rsid w:val="00FB2200"/>
    <w:rsid w:val="00FB22DA"/>
    <w:rsid w:val="00FB24DF"/>
    <w:rsid w:val="00FB2793"/>
    <w:rsid w:val="00FB27DE"/>
    <w:rsid w:val="00FB297F"/>
    <w:rsid w:val="00FB2ABB"/>
    <w:rsid w:val="00FB2F09"/>
    <w:rsid w:val="00FB2FB6"/>
    <w:rsid w:val="00FB3003"/>
    <w:rsid w:val="00FB301B"/>
    <w:rsid w:val="00FB3078"/>
    <w:rsid w:val="00FB32D7"/>
    <w:rsid w:val="00FB37B1"/>
    <w:rsid w:val="00FB3842"/>
    <w:rsid w:val="00FB38EC"/>
    <w:rsid w:val="00FB3C27"/>
    <w:rsid w:val="00FB3DAB"/>
    <w:rsid w:val="00FB3DAF"/>
    <w:rsid w:val="00FB3E29"/>
    <w:rsid w:val="00FB3F64"/>
    <w:rsid w:val="00FB40D4"/>
    <w:rsid w:val="00FB41FF"/>
    <w:rsid w:val="00FB438D"/>
    <w:rsid w:val="00FB46F1"/>
    <w:rsid w:val="00FB4989"/>
    <w:rsid w:val="00FB49A7"/>
    <w:rsid w:val="00FB49EC"/>
    <w:rsid w:val="00FB4A6E"/>
    <w:rsid w:val="00FB4B2F"/>
    <w:rsid w:val="00FB4C34"/>
    <w:rsid w:val="00FB4D5F"/>
    <w:rsid w:val="00FB4FB8"/>
    <w:rsid w:val="00FB4FD7"/>
    <w:rsid w:val="00FB50F3"/>
    <w:rsid w:val="00FB5200"/>
    <w:rsid w:val="00FB5339"/>
    <w:rsid w:val="00FB54CE"/>
    <w:rsid w:val="00FB5620"/>
    <w:rsid w:val="00FB56F8"/>
    <w:rsid w:val="00FB57A4"/>
    <w:rsid w:val="00FB5BC9"/>
    <w:rsid w:val="00FB5C2A"/>
    <w:rsid w:val="00FB5D07"/>
    <w:rsid w:val="00FB5DA9"/>
    <w:rsid w:val="00FB5E59"/>
    <w:rsid w:val="00FB5F71"/>
    <w:rsid w:val="00FB6078"/>
    <w:rsid w:val="00FB625C"/>
    <w:rsid w:val="00FB62BB"/>
    <w:rsid w:val="00FB65AC"/>
    <w:rsid w:val="00FB65B8"/>
    <w:rsid w:val="00FB6954"/>
    <w:rsid w:val="00FB6996"/>
    <w:rsid w:val="00FB69EE"/>
    <w:rsid w:val="00FB6E4D"/>
    <w:rsid w:val="00FB6F92"/>
    <w:rsid w:val="00FB7111"/>
    <w:rsid w:val="00FB7209"/>
    <w:rsid w:val="00FB723B"/>
    <w:rsid w:val="00FB72C7"/>
    <w:rsid w:val="00FB73AA"/>
    <w:rsid w:val="00FB744C"/>
    <w:rsid w:val="00FB7455"/>
    <w:rsid w:val="00FB7764"/>
    <w:rsid w:val="00FB7818"/>
    <w:rsid w:val="00FB7B32"/>
    <w:rsid w:val="00FB7E2B"/>
    <w:rsid w:val="00FB7E5F"/>
    <w:rsid w:val="00FB7FE9"/>
    <w:rsid w:val="00FC01B2"/>
    <w:rsid w:val="00FC026E"/>
    <w:rsid w:val="00FC026F"/>
    <w:rsid w:val="00FC0291"/>
    <w:rsid w:val="00FC0450"/>
    <w:rsid w:val="00FC0474"/>
    <w:rsid w:val="00FC04A3"/>
    <w:rsid w:val="00FC0501"/>
    <w:rsid w:val="00FC08CF"/>
    <w:rsid w:val="00FC0B4A"/>
    <w:rsid w:val="00FC0BBE"/>
    <w:rsid w:val="00FC0C00"/>
    <w:rsid w:val="00FC0C45"/>
    <w:rsid w:val="00FC0D5C"/>
    <w:rsid w:val="00FC0F82"/>
    <w:rsid w:val="00FC110E"/>
    <w:rsid w:val="00FC1795"/>
    <w:rsid w:val="00FC1BD3"/>
    <w:rsid w:val="00FC1D33"/>
    <w:rsid w:val="00FC1F8C"/>
    <w:rsid w:val="00FC20BB"/>
    <w:rsid w:val="00FC223F"/>
    <w:rsid w:val="00FC269F"/>
    <w:rsid w:val="00FC2791"/>
    <w:rsid w:val="00FC27FD"/>
    <w:rsid w:val="00FC28BB"/>
    <w:rsid w:val="00FC29BC"/>
    <w:rsid w:val="00FC2A1A"/>
    <w:rsid w:val="00FC2ADE"/>
    <w:rsid w:val="00FC2CC5"/>
    <w:rsid w:val="00FC2D17"/>
    <w:rsid w:val="00FC2FC6"/>
    <w:rsid w:val="00FC3189"/>
    <w:rsid w:val="00FC3387"/>
    <w:rsid w:val="00FC33DC"/>
    <w:rsid w:val="00FC38F1"/>
    <w:rsid w:val="00FC395F"/>
    <w:rsid w:val="00FC3AD4"/>
    <w:rsid w:val="00FC3B18"/>
    <w:rsid w:val="00FC3B87"/>
    <w:rsid w:val="00FC3C3E"/>
    <w:rsid w:val="00FC3E3E"/>
    <w:rsid w:val="00FC3ED9"/>
    <w:rsid w:val="00FC3F40"/>
    <w:rsid w:val="00FC438F"/>
    <w:rsid w:val="00FC43B6"/>
    <w:rsid w:val="00FC4528"/>
    <w:rsid w:val="00FC4827"/>
    <w:rsid w:val="00FC4A26"/>
    <w:rsid w:val="00FC4A48"/>
    <w:rsid w:val="00FC4A68"/>
    <w:rsid w:val="00FC4C13"/>
    <w:rsid w:val="00FC4D4F"/>
    <w:rsid w:val="00FC4D5E"/>
    <w:rsid w:val="00FC4F97"/>
    <w:rsid w:val="00FC503C"/>
    <w:rsid w:val="00FC5124"/>
    <w:rsid w:val="00FC551A"/>
    <w:rsid w:val="00FC566F"/>
    <w:rsid w:val="00FC5897"/>
    <w:rsid w:val="00FC5B29"/>
    <w:rsid w:val="00FC6054"/>
    <w:rsid w:val="00FC60DB"/>
    <w:rsid w:val="00FC6174"/>
    <w:rsid w:val="00FC61FE"/>
    <w:rsid w:val="00FC65A2"/>
    <w:rsid w:val="00FC66DA"/>
    <w:rsid w:val="00FC68B2"/>
    <w:rsid w:val="00FC6967"/>
    <w:rsid w:val="00FC6DDA"/>
    <w:rsid w:val="00FC70C2"/>
    <w:rsid w:val="00FC711D"/>
    <w:rsid w:val="00FC72CD"/>
    <w:rsid w:val="00FC755C"/>
    <w:rsid w:val="00FC7F39"/>
    <w:rsid w:val="00FC7FE8"/>
    <w:rsid w:val="00FD0083"/>
    <w:rsid w:val="00FD0199"/>
    <w:rsid w:val="00FD02DC"/>
    <w:rsid w:val="00FD03FA"/>
    <w:rsid w:val="00FD073C"/>
    <w:rsid w:val="00FD07AC"/>
    <w:rsid w:val="00FD08AE"/>
    <w:rsid w:val="00FD08AF"/>
    <w:rsid w:val="00FD0A2B"/>
    <w:rsid w:val="00FD0A4C"/>
    <w:rsid w:val="00FD0A6B"/>
    <w:rsid w:val="00FD0B2E"/>
    <w:rsid w:val="00FD0B71"/>
    <w:rsid w:val="00FD0C19"/>
    <w:rsid w:val="00FD0CC5"/>
    <w:rsid w:val="00FD0CD0"/>
    <w:rsid w:val="00FD0EBD"/>
    <w:rsid w:val="00FD1016"/>
    <w:rsid w:val="00FD11F7"/>
    <w:rsid w:val="00FD1348"/>
    <w:rsid w:val="00FD17B1"/>
    <w:rsid w:val="00FD1E27"/>
    <w:rsid w:val="00FD1F81"/>
    <w:rsid w:val="00FD2090"/>
    <w:rsid w:val="00FD2860"/>
    <w:rsid w:val="00FD2883"/>
    <w:rsid w:val="00FD2988"/>
    <w:rsid w:val="00FD2D9A"/>
    <w:rsid w:val="00FD2F18"/>
    <w:rsid w:val="00FD2F9B"/>
    <w:rsid w:val="00FD30B1"/>
    <w:rsid w:val="00FD31AB"/>
    <w:rsid w:val="00FD31EB"/>
    <w:rsid w:val="00FD3229"/>
    <w:rsid w:val="00FD32A9"/>
    <w:rsid w:val="00FD3870"/>
    <w:rsid w:val="00FD3D2A"/>
    <w:rsid w:val="00FD3EB4"/>
    <w:rsid w:val="00FD4347"/>
    <w:rsid w:val="00FD4435"/>
    <w:rsid w:val="00FD45D7"/>
    <w:rsid w:val="00FD4731"/>
    <w:rsid w:val="00FD4763"/>
    <w:rsid w:val="00FD49C2"/>
    <w:rsid w:val="00FD49EC"/>
    <w:rsid w:val="00FD4A46"/>
    <w:rsid w:val="00FD4C1A"/>
    <w:rsid w:val="00FD4D3F"/>
    <w:rsid w:val="00FD4E07"/>
    <w:rsid w:val="00FD5044"/>
    <w:rsid w:val="00FD5045"/>
    <w:rsid w:val="00FD53E0"/>
    <w:rsid w:val="00FD5577"/>
    <w:rsid w:val="00FD5691"/>
    <w:rsid w:val="00FD57A1"/>
    <w:rsid w:val="00FD5812"/>
    <w:rsid w:val="00FD591E"/>
    <w:rsid w:val="00FD5C85"/>
    <w:rsid w:val="00FD5E72"/>
    <w:rsid w:val="00FD5E93"/>
    <w:rsid w:val="00FD6063"/>
    <w:rsid w:val="00FD64DB"/>
    <w:rsid w:val="00FD65CE"/>
    <w:rsid w:val="00FD665F"/>
    <w:rsid w:val="00FD6676"/>
    <w:rsid w:val="00FD677B"/>
    <w:rsid w:val="00FD67C1"/>
    <w:rsid w:val="00FD67EB"/>
    <w:rsid w:val="00FD6D65"/>
    <w:rsid w:val="00FD6E73"/>
    <w:rsid w:val="00FD6FFF"/>
    <w:rsid w:val="00FD7008"/>
    <w:rsid w:val="00FD721E"/>
    <w:rsid w:val="00FD7250"/>
    <w:rsid w:val="00FD734C"/>
    <w:rsid w:val="00FD75F1"/>
    <w:rsid w:val="00FD7791"/>
    <w:rsid w:val="00FD77B0"/>
    <w:rsid w:val="00FD7814"/>
    <w:rsid w:val="00FD7CF4"/>
    <w:rsid w:val="00FD7D10"/>
    <w:rsid w:val="00FD7E31"/>
    <w:rsid w:val="00FE0062"/>
    <w:rsid w:val="00FE00C9"/>
    <w:rsid w:val="00FE0243"/>
    <w:rsid w:val="00FE027A"/>
    <w:rsid w:val="00FE02A8"/>
    <w:rsid w:val="00FE046F"/>
    <w:rsid w:val="00FE04DB"/>
    <w:rsid w:val="00FE0789"/>
    <w:rsid w:val="00FE0877"/>
    <w:rsid w:val="00FE0880"/>
    <w:rsid w:val="00FE0971"/>
    <w:rsid w:val="00FE0973"/>
    <w:rsid w:val="00FE0D04"/>
    <w:rsid w:val="00FE0D63"/>
    <w:rsid w:val="00FE0DFD"/>
    <w:rsid w:val="00FE0E37"/>
    <w:rsid w:val="00FE12E0"/>
    <w:rsid w:val="00FE12FB"/>
    <w:rsid w:val="00FE135E"/>
    <w:rsid w:val="00FE13EE"/>
    <w:rsid w:val="00FE1549"/>
    <w:rsid w:val="00FE184A"/>
    <w:rsid w:val="00FE19CF"/>
    <w:rsid w:val="00FE1D9E"/>
    <w:rsid w:val="00FE1DB9"/>
    <w:rsid w:val="00FE1DD8"/>
    <w:rsid w:val="00FE1EE5"/>
    <w:rsid w:val="00FE2675"/>
    <w:rsid w:val="00FE2987"/>
    <w:rsid w:val="00FE314B"/>
    <w:rsid w:val="00FE3156"/>
    <w:rsid w:val="00FE3395"/>
    <w:rsid w:val="00FE3536"/>
    <w:rsid w:val="00FE3646"/>
    <w:rsid w:val="00FE39B3"/>
    <w:rsid w:val="00FE3B0A"/>
    <w:rsid w:val="00FE3CFD"/>
    <w:rsid w:val="00FE3F39"/>
    <w:rsid w:val="00FE4058"/>
    <w:rsid w:val="00FE408B"/>
    <w:rsid w:val="00FE40FF"/>
    <w:rsid w:val="00FE4378"/>
    <w:rsid w:val="00FE438B"/>
    <w:rsid w:val="00FE43A6"/>
    <w:rsid w:val="00FE455C"/>
    <w:rsid w:val="00FE45F6"/>
    <w:rsid w:val="00FE465F"/>
    <w:rsid w:val="00FE48F6"/>
    <w:rsid w:val="00FE4B99"/>
    <w:rsid w:val="00FE4CEC"/>
    <w:rsid w:val="00FE4D84"/>
    <w:rsid w:val="00FE4FF5"/>
    <w:rsid w:val="00FE515D"/>
    <w:rsid w:val="00FE5351"/>
    <w:rsid w:val="00FE5419"/>
    <w:rsid w:val="00FE57D8"/>
    <w:rsid w:val="00FE592B"/>
    <w:rsid w:val="00FE5939"/>
    <w:rsid w:val="00FE5D7E"/>
    <w:rsid w:val="00FE5E9C"/>
    <w:rsid w:val="00FE627E"/>
    <w:rsid w:val="00FE6315"/>
    <w:rsid w:val="00FE6458"/>
    <w:rsid w:val="00FE6907"/>
    <w:rsid w:val="00FE6AF3"/>
    <w:rsid w:val="00FE6BD1"/>
    <w:rsid w:val="00FE6BD8"/>
    <w:rsid w:val="00FE6E2E"/>
    <w:rsid w:val="00FE6EA8"/>
    <w:rsid w:val="00FE70DD"/>
    <w:rsid w:val="00FE72C5"/>
    <w:rsid w:val="00FE7316"/>
    <w:rsid w:val="00FE7348"/>
    <w:rsid w:val="00FE7697"/>
    <w:rsid w:val="00FE77E5"/>
    <w:rsid w:val="00FE7A6E"/>
    <w:rsid w:val="00FE7BCD"/>
    <w:rsid w:val="00FE7CB3"/>
    <w:rsid w:val="00FF0117"/>
    <w:rsid w:val="00FF0360"/>
    <w:rsid w:val="00FF0458"/>
    <w:rsid w:val="00FF0907"/>
    <w:rsid w:val="00FF0AB0"/>
    <w:rsid w:val="00FF0C87"/>
    <w:rsid w:val="00FF0D31"/>
    <w:rsid w:val="00FF0D90"/>
    <w:rsid w:val="00FF0D9F"/>
    <w:rsid w:val="00FF0DB7"/>
    <w:rsid w:val="00FF0DFE"/>
    <w:rsid w:val="00FF1472"/>
    <w:rsid w:val="00FF1538"/>
    <w:rsid w:val="00FF1932"/>
    <w:rsid w:val="00FF1A11"/>
    <w:rsid w:val="00FF1B68"/>
    <w:rsid w:val="00FF1D7D"/>
    <w:rsid w:val="00FF1F82"/>
    <w:rsid w:val="00FF202B"/>
    <w:rsid w:val="00FF227B"/>
    <w:rsid w:val="00FF241F"/>
    <w:rsid w:val="00FF2477"/>
    <w:rsid w:val="00FF2622"/>
    <w:rsid w:val="00FF263C"/>
    <w:rsid w:val="00FF26B8"/>
    <w:rsid w:val="00FF26D0"/>
    <w:rsid w:val="00FF2819"/>
    <w:rsid w:val="00FF28AC"/>
    <w:rsid w:val="00FF28C8"/>
    <w:rsid w:val="00FF296C"/>
    <w:rsid w:val="00FF297B"/>
    <w:rsid w:val="00FF2AF9"/>
    <w:rsid w:val="00FF2B5C"/>
    <w:rsid w:val="00FF2E9C"/>
    <w:rsid w:val="00FF30D4"/>
    <w:rsid w:val="00FF30F7"/>
    <w:rsid w:val="00FF3138"/>
    <w:rsid w:val="00FF31C7"/>
    <w:rsid w:val="00FF3571"/>
    <w:rsid w:val="00FF3577"/>
    <w:rsid w:val="00FF36B2"/>
    <w:rsid w:val="00FF377D"/>
    <w:rsid w:val="00FF37FF"/>
    <w:rsid w:val="00FF3A49"/>
    <w:rsid w:val="00FF3ACA"/>
    <w:rsid w:val="00FF3CE3"/>
    <w:rsid w:val="00FF3E01"/>
    <w:rsid w:val="00FF3FDB"/>
    <w:rsid w:val="00FF40CC"/>
    <w:rsid w:val="00FF411A"/>
    <w:rsid w:val="00FF421F"/>
    <w:rsid w:val="00FF42E2"/>
    <w:rsid w:val="00FF434B"/>
    <w:rsid w:val="00FF45CF"/>
    <w:rsid w:val="00FF47F9"/>
    <w:rsid w:val="00FF480F"/>
    <w:rsid w:val="00FF494B"/>
    <w:rsid w:val="00FF49B8"/>
    <w:rsid w:val="00FF4AF2"/>
    <w:rsid w:val="00FF4BE5"/>
    <w:rsid w:val="00FF4C0E"/>
    <w:rsid w:val="00FF4DFA"/>
    <w:rsid w:val="00FF4E28"/>
    <w:rsid w:val="00FF4E76"/>
    <w:rsid w:val="00FF511C"/>
    <w:rsid w:val="00FF51C7"/>
    <w:rsid w:val="00FF5208"/>
    <w:rsid w:val="00FF5384"/>
    <w:rsid w:val="00FF53D0"/>
    <w:rsid w:val="00FF53E3"/>
    <w:rsid w:val="00FF5436"/>
    <w:rsid w:val="00FF54C0"/>
    <w:rsid w:val="00FF54CF"/>
    <w:rsid w:val="00FF5509"/>
    <w:rsid w:val="00FF552D"/>
    <w:rsid w:val="00FF5563"/>
    <w:rsid w:val="00FF56A1"/>
    <w:rsid w:val="00FF56D5"/>
    <w:rsid w:val="00FF58D8"/>
    <w:rsid w:val="00FF5D72"/>
    <w:rsid w:val="00FF5FF2"/>
    <w:rsid w:val="00FF6029"/>
    <w:rsid w:val="00FF60BC"/>
    <w:rsid w:val="00FF6200"/>
    <w:rsid w:val="00FF6202"/>
    <w:rsid w:val="00FF6218"/>
    <w:rsid w:val="00FF62AD"/>
    <w:rsid w:val="00FF6338"/>
    <w:rsid w:val="00FF6385"/>
    <w:rsid w:val="00FF63B3"/>
    <w:rsid w:val="00FF6696"/>
    <w:rsid w:val="00FF66B3"/>
    <w:rsid w:val="00FF681D"/>
    <w:rsid w:val="00FF68C5"/>
    <w:rsid w:val="00FF6961"/>
    <w:rsid w:val="00FF696B"/>
    <w:rsid w:val="00FF69AA"/>
    <w:rsid w:val="00FF69AB"/>
    <w:rsid w:val="00FF69C8"/>
    <w:rsid w:val="00FF6B16"/>
    <w:rsid w:val="00FF6E20"/>
    <w:rsid w:val="00FF6E70"/>
    <w:rsid w:val="00FF702A"/>
    <w:rsid w:val="00FF7030"/>
    <w:rsid w:val="00FF7607"/>
    <w:rsid w:val="00FF7643"/>
    <w:rsid w:val="00FF77A1"/>
    <w:rsid w:val="00FF77CC"/>
    <w:rsid w:val="00FF7867"/>
    <w:rsid w:val="00FF793B"/>
    <w:rsid w:val="00FF79AE"/>
    <w:rsid w:val="00FF7A9E"/>
    <w:rsid w:val="00FF7CD1"/>
    <w:rsid w:val="00FF7CFD"/>
    <w:rsid w:val="00FF7F1F"/>
    <w:rsid w:val="00FF7F62"/>
    <w:rsid w:val="00FF7FC3"/>
    <w:rsid w:val="012431F1"/>
    <w:rsid w:val="0133777D"/>
    <w:rsid w:val="014DAB03"/>
    <w:rsid w:val="01567E39"/>
    <w:rsid w:val="015C1D3F"/>
    <w:rsid w:val="01606A6A"/>
    <w:rsid w:val="01692BA1"/>
    <w:rsid w:val="017E0FEE"/>
    <w:rsid w:val="019D89EC"/>
    <w:rsid w:val="01B142D3"/>
    <w:rsid w:val="01C50E9C"/>
    <w:rsid w:val="01D012D4"/>
    <w:rsid w:val="01FAABF0"/>
    <w:rsid w:val="01FAF213"/>
    <w:rsid w:val="02112138"/>
    <w:rsid w:val="021221D6"/>
    <w:rsid w:val="022D630D"/>
    <w:rsid w:val="0245514D"/>
    <w:rsid w:val="02A4C4DA"/>
    <w:rsid w:val="02D269CA"/>
    <w:rsid w:val="030ACED4"/>
    <w:rsid w:val="031E04D5"/>
    <w:rsid w:val="031F1280"/>
    <w:rsid w:val="036D5A16"/>
    <w:rsid w:val="03AEC891"/>
    <w:rsid w:val="03B2139E"/>
    <w:rsid w:val="03CF7831"/>
    <w:rsid w:val="041E0880"/>
    <w:rsid w:val="0428ABC4"/>
    <w:rsid w:val="0446CA18"/>
    <w:rsid w:val="04533A96"/>
    <w:rsid w:val="04818E46"/>
    <w:rsid w:val="0485140D"/>
    <w:rsid w:val="04997085"/>
    <w:rsid w:val="04A2B648"/>
    <w:rsid w:val="04C5CBA8"/>
    <w:rsid w:val="04EEA37F"/>
    <w:rsid w:val="04FBC8D9"/>
    <w:rsid w:val="04FC2B82"/>
    <w:rsid w:val="050996A4"/>
    <w:rsid w:val="05197542"/>
    <w:rsid w:val="05308230"/>
    <w:rsid w:val="05956972"/>
    <w:rsid w:val="0598F687"/>
    <w:rsid w:val="05A69C74"/>
    <w:rsid w:val="05A88196"/>
    <w:rsid w:val="05D94F2D"/>
    <w:rsid w:val="05E544F4"/>
    <w:rsid w:val="05FC0990"/>
    <w:rsid w:val="06137BC7"/>
    <w:rsid w:val="0695903E"/>
    <w:rsid w:val="06B5B4B5"/>
    <w:rsid w:val="06B7C0F4"/>
    <w:rsid w:val="06DC8FC2"/>
    <w:rsid w:val="06F097A1"/>
    <w:rsid w:val="06F0DA3F"/>
    <w:rsid w:val="0712FE57"/>
    <w:rsid w:val="074FDEE1"/>
    <w:rsid w:val="075F01DF"/>
    <w:rsid w:val="07848519"/>
    <w:rsid w:val="07B9869F"/>
    <w:rsid w:val="07BC225F"/>
    <w:rsid w:val="07E4C1DC"/>
    <w:rsid w:val="0804DAA4"/>
    <w:rsid w:val="080A3107"/>
    <w:rsid w:val="0817544D"/>
    <w:rsid w:val="08691457"/>
    <w:rsid w:val="086DEC75"/>
    <w:rsid w:val="088D8C5A"/>
    <w:rsid w:val="08919B17"/>
    <w:rsid w:val="089C53AC"/>
    <w:rsid w:val="089E481F"/>
    <w:rsid w:val="08E204F1"/>
    <w:rsid w:val="090C985B"/>
    <w:rsid w:val="091044C4"/>
    <w:rsid w:val="094B0597"/>
    <w:rsid w:val="09512D8C"/>
    <w:rsid w:val="095ABDB3"/>
    <w:rsid w:val="09650A2B"/>
    <w:rsid w:val="09713C17"/>
    <w:rsid w:val="09B337AB"/>
    <w:rsid w:val="09DC867A"/>
    <w:rsid w:val="09EB8AFD"/>
    <w:rsid w:val="09F61E16"/>
    <w:rsid w:val="09F73E46"/>
    <w:rsid w:val="0A1DADB7"/>
    <w:rsid w:val="0A383084"/>
    <w:rsid w:val="0A3C286F"/>
    <w:rsid w:val="0A45EF72"/>
    <w:rsid w:val="0A4F5527"/>
    <w:rsid w:val="0A6A0792"/>
    <w:rsid w:val="0A6A546D"/>
    <w:rsid w:val="0A7CE8D3"/>
    <w:rsid w:val="0A8831DC"/>
    <w:rsid w:val="0A8BFA53"/>
    <w:rsid w:val="0A905091"/>
    <w:rsid w:val="0AA3BFD0"/>
    <w:rsid w:val="0ABE33AA"/>
    <w:rsid w:val="0ADF099F"/>
    <w:rsid w:val="0AEE1367"/>
    <w:rsid w:val="0B0D0F62"/>
    <w:rsid w:val="0B0DF453"/>
    <w:rsid w:val="0B3B3E93"/>
    <w:rsid w:val="0BA0A380"/>
    <w:rsid w:val="0C0982F3"/>
    <w:rsid w:val="0C1396C5"/>
    <w:rsid w:val="0C169FA4"/>
    <w:rsid w:val="0C4363AD"/>
    <w:rsid w:val="0C4C531D"/>
    <w:rsid w:val="0C5311F1"/>
    <w:rsid w:val="0C60192B"/>
    <w:rsid w:val="0CB5F63E"/>
    <w:rsid w:val="0CD60A64"/>
    <w:rsid w:val="0D0FD257"/>
    <w:rsid w:val="0D24D4BC"/>
    <w:rsid w:val="0D28A450"/>
    <w:rsid w:val="0D40EBC7"/>
    <w:rsid w:val="0D591736"/>
    <w:rsid w:val="0D5FE2CA"/>
    <w:rsid w:val="0D73EAC0"/>
    <w:rsid w:val="0DAAC1A4"/>
    <w:rsid w:val="0DC6C354"/>
    <w:rsid w:val="0E2CD214"/>
    <w:rsid w:val="0E5082AC"/>
    <w:rsid w:val="0E5AF932"/>
    <w:rsid w:val="0E64F50E"/>
    <w:rsid w:val="0E65FB70"/>
    <w:rsid w:val="0E7F41DA"/>
    <w:rsid w:val="0ECA6A45"/>
    <w:rsid w:val="0F062EB4"/>
    <w:rsid w:val="0F237EAA"/>
    <w:rsid w:val="0F3FDF61"/>
    <w:rsid w:val="0F51896C"/>
    <w:rsid w:val="0F6312B9"/>
    <w:rsid w:val="0F82525B"/>
    <w:rsid w:val="0F8E4D77"/>
    <w:rsid w:val="0F98573B"/>
    <w:rsid w:val="0FA8B874"/>
    <w:rsid w:val="0FAC7637"/>
    <w:rsid w:val="0FC4208A"/>
    <w:rsid w:val="0FE20837"/>
    <w:rsid w:val="100EC712"/>
    <w:rsid w:val="10105B19"/>
    <w:rsid w:val="1029B2F0"/>
    <w:rsid w:val="102A49E0"/>
    <w:rsid w:val="10307020"/>
    <w:rsid w:val="1035C69E"/>
    <w:rsid w:val="10363E31"/>
    <w:rsid w:val="103B9233"/>
    <w:rsid w:val="1042D676"/>
    <w:rsid w:val="10625AE3"/>
    <w:rsid w:val="1073D1EE"/>
    <w:rsid w:val="10B5509F"/>
    <w:rsid w:val="10E2D780"/>
    <w:rsid w:val="10F1AA5D"/>
    <w:rsid w:val="10F7B18A"/>
    <w:rsid w:val="10F838A9"/>
    <w:rsid w:val="110D76D6"/>
    <w:rsid w:val="11352AC6"/>
    <w:rsid w:val="113E6699"/>
    <w:rsid w:val="114B3874"/>
    <w:rsid w:val="1171C54F"/>
    <w:rsid w:val="1188850F"/>
    <w:rsid w:val="11A87918"/>
    <w:rsid w:val="11C028A3"/>
    <w:rsid w:val="11C691E9"/>
    <w:rsid w:val="11C96BE4"/>
    <w:rsid w:val="11F13F96"/>
    <w:rsid w:val="11F21025"/>
    <w:rsid w:val="120AC999"/>
    <w:rsid w:val="123CCA15"/>
    <w:rsid w:val="123D5135"/>
    <w:rsid w:val="124F38DB"/>
    <w:rsid w:val="1276EB8F"/>
    <w:rsid w:val="127747EC"/>
    <w:rsid w:val="12B69C17"/>
    <w:rsid w:val="12D573E6"/>
    <w:rsid w:val="12EC9BC0"/>
    <w:rsid w:val="12F7FE4F"/>
    <w:rsid w:val="131BE7FA"/>
    <w:rsid w:val="1324106F"/>
    <w:rsid w:val="132C26E5"/>
    <w:rsid w:val="133F7389"/>
    <w:rsid w:val="1367FD55"/>
    <w:rsid w:val="138B17D5"/>
    <w:rsid w:val="13A69009"/>
    <w:rsid w:val="13B78D9C"/>
    <w:rsid w:val="13C1DB85"/>
    <w:rsid w:val="13C84E81"/>
    <w:rsid w:val="13DEBD66"/>
    <w:rsid w:val="13E79B9B"/>
    <w:rsid w:val="13F648AD"/>
    <w:rsid w:val="141A82DE"/>
    <w:rsid w:val="1425FC51"/>
    <w:rsid w:val="143C9DBB"/>
    <w:rsid w:val="146C3EE6"/>
    <w:rsid w:val="14994752"/>
    <w:rsid w:val="14A1D3D2"/>
    <w:rsid w:val="14B6AD6E"/>
    <w:rsid w:val="14BB6B76"/>
    <w:rsid w:val="14CDEC02"/>
    <w:rsid w:val="14DD2B36"/>
    <w:rsid w:val="1512FF65"/>
    <w:rsid w:val="155EB37F"/>
    <w:rsid w:val="157B3C4F"/>
    <w:rsid w:val="1594999F"/>
    <w:rsid w:val="15B62BDC"/>
    <w:rsid w:val="15C9BB04"/>
    <w:rsid w:val="164C6053"/>
    <w:rsid w:val="1661D553"/>
    <w:rsid w:val="16631F0D"/>
    <w:rsid w:val="1666C89A"/>
    <w:rsid w:val="1672DB03"/>
    <w:rsid w:val="1696B4FB"/>
    <w:rsid w:val="16DA4523"/>
    <w:rsid w:val="16DEE53B"/>
    <w:rsid w:val="16EC7457"/>
    <w:rsid w:val="16F58051"/>
    <w:rsid w:val="16FEC8A1"/>
    <w:rsid w:val="175E68C8"/>
    <w:rsid w:val="17868623"/>
    <w:rsid w:val="17A2FA24"/>
    <w:rsid w:val="17C7C0F4"/>
    <w:rsid w:val="18096B54"/>
    <w:rsid w:val="184DED5F"/>
    <w:rsid w:val="1871DAA0"/>
    <w:rsid w:val="18720CE2"/>
    <w:rsid w:val="18A995A5"/>
    <w:rsid w:val="18AC3D9F"/>
    <w:rsid w:val="18B148FB"/>
    <w:rsid w:val="18B73602"/>
    <w:rsid w:val="18D11482"/>
    <w:rsid w:val="19163325"/>
    <w:rsid w:val="191C1DD0"/>
    <w:rsid w:val="192B9625"/>
    <w:rsid w:val="1941FFAB"/>
    <w:rsid w:val="1947B014"/>
    <w:rsid w:val="196F9008"/>
    <w:rsid w:val="197CCF8D"/>
    <w:rsid w:val="199A1E38"/>
    <w:rsid w:val="1A23F027"/>
    <w:rsid w:val="1A38B3ED"/>
    <w:rsid w:val="1A5C0ABF"/>
    <w:rsid w:val="1A7802FE"/>
    <w:rsid w:val="1A8DAC83"/>
    <w:rsid w:val="1AD0A04E"/>
    <w:rsid w:val="1AF47ABC"/>
    <w:rsid w:val="1B0F44C2"/>
    <w:rsid w:val="1B1011F3"/>
    <w:rsid w:val="1B299F9D"/>
    <w:rsid w:val="1B2FDABD"/>
    <w:rsid w:val="1B362A6D"/>
    <w:rsid w:val="1B4A33AC"/>
    <w:rsid w:val="1B6C69D2"/>
    <w:rsid w:val="1B76219C"/>
    <w:rsid w:val="1B780E52"/>
    <w:rsid w:val="1B7CD07A"/>
    <w:rsid w:val="1B9592EE"/>
    <w:rsid w:val="1B9D9EED"/>
    <w:rsid w:val="1BA6A89D"/>
    <w:rsid w:val="1BB70C73"/>
    <w:rsid w:val="1BC0C459"/>
    <w:rsid w:val="1BC4D1D3"/>
    <w:rsid w:val="1BC901F0"/>
    <w:rsid w:val="1BDE9A4C"/>
    <w:rsid w:val="1C147845"/>
    <w:rsid w:val="1C34250A"/>
    <w:rsid w:val="1C3A3F9F"/>
    <w:rsid w:val="1C4E4E60"/>
    <w:rsid w:val="1C598D13"/>
    <w:rsid w:val="1C6037B2"/>
    <w:rsid w:val="1C79E9E8"/>
    <w:rsid w:val="1CAEE6E9"/>
    <w:rsid w:val="1CD56DB4"/>
    <w:rsid w:val="1CDA93A1"/>
    <w:rsid w:val="1D03FA7C"/>
    <w:rsid w:val="1D04694B"/>
    <w:rsid w:val="1D0D8BD6"/>
    <w:rsid w:val="1D2117E8"/>
    <w:rsid w:val="1D308569"/>
    <w:rsid w:val="1D879BD6"/>
    <w:rsid w:val="1D96D00E"/>
    <w:rsid w:val="1DDE67E4"/>
    <w:rsid w:val="1DDF3804"/>
    <w:rsid w:val="1DE6F570"/>
    <w:rsid w:val="1E0CD93E"/>
    <w:rsid w:val="1E29F693"/>
    <w:rsid w:val="1E2B1E0D"/>
    <w:rsid w:val="1E2E13D5"/>
    <w:rsid w:val="1E556458"/>
    <w:rsid w:val="1E9C6AF1"/>
    <w:rsid w:val="1EA14CBB"/>
    <w:rsid w:val="1EA629C1"/>
    <w:rsid w:val="1EBAFB7F"/>
    <w:rsid w:val="1EE9EBBC"/>
    <w:rsid w:val="1F084678"/>
    <w:rsid w:val="1F245AD3"/>
    <w:rsid w:val="1F3396D7"/>
    <w:rsid w:val="1F34145A"/>
    <w:rsid w:val="1F3A5F43"/>
    <w:rsid w:val="1F476790"/>
    <w:rsid w:val="1F4A219E"/>
    <w:rsid w:val="1F951C98"/>
    <w:rsid w:val="1FE67035"/>
    <w:rsid w:val="1FEB09FB"/>
    <w:rsid w:val="1FF5B5A4"/>
    <w:rsid w:val="1FFC22A8"/>
    <w:rsid w:val="1FFCDBD2"/>
    <w:rsid w:val="20098DFF"/>
    <w:rsid w:val="200DBF49"/>
    <w:rsid w:val="2023C77B"/>
    <w:rsid w:val="2026C3B6"/>
    <w:rsid w:val="202C4BF2"/>
    <w:rsid w:val="20434B41"/>
    <w:rsid w:val="20830231"/>
    <w:rsid w:val="20A278D7"/>
    <w:rsid w:val="20BE3D36"/>
    <w:rsid w:val="20FBAF28"/>
    <w:rsid w:val="211ACCC5"/>
    <w:rsid w:val="211F7024"/>
    <w:rsid w:val="21341379"/>
    <w:rsid w:val="2141D032"/>
    <w:rsid w:val="215F5C00"/>
    <w:rsid w:val="21685C57"/>
    <w:rsid w:val="2194DEA4"/>
    <w:rsid w:val="219DCEC2"/>
    <w:rsid w:val="21A905F5"/>
    <w:rsid w:val="21A96760"/>
    <w:rsid w:val="21A9D005"/>
    <w:rsid w:val="21C22ABB"/>
    <w:rsid w:val="2222DE07"/>
    <w:rsid w:val="223AEC0A"/>
    <w:rsid w:val="2269A98D"/>
    <w:rsid w:val="22B05CE1"/>
    <w:rsid w:val="22F00125"/>
    <w:rsid w:val="231D9625"/>
    <w:rsid w:val="233E4D01"/>
    <w:rsid w:val="2344C395"/>
    <w:rsid w:val="2345699D"/>
    <w:rsid w:val="234D3982"/>
    <w:rsid w:val="236098A7"/>
    <w:rsid w:val="2362B4E2"/>
    <w:rsid w:val="23A06C53"/>
    <w:rsid w:val="23D83B03"/>
    <w:rsid w:val="23F4AAC1"/>
    <w:rsid w:val="23F4C0D2"/>
    <w:rsid w:val="240DE1BA"/>
    <w:rsid w:val="2410AC76"/>
    <w:rsid w:val="2411E613"/>
    <w:rsid w:val="24585769"/>
    <w:rsid w:val="24716982"/>
    <w:rsid w:val="24CE041A"/>
    <w:rsid w:val="24DCE5C5"/>
    <w:rsid w:val="24E3464C"/>
    <w:rsid w:val="24E746AE"/>
    <w:rsid w:val="24E77158"/>
    <w:rsid w:val="24F1A62D"/>
    <w:rsid w:val="24F297B3"/>
    <w:rsid w:val="24FF6864"/>
    <w:rsid w:val="2531C958"/>
    <w:rsid w:val="253297C3"/>
    <w:rsid w:val="25614669"/>
    <w:rsid w:val="25A9F25A"/>
    <w:rsid w:val="25CC9803"/>
    <w:rsid w:val="25DF98D3"/>
    <w:rsid w:val="25E13C2D"/>
    <w:rsid w:val="25E3222D"/>
    <w:rsid w:val="25E453AB"/>
    <w:rsid w:val="25E58DCF"/>
    <w:rsid w:val="25F99B0D"/>
    <w:rsid w:val="26126B9E"/>
    <w:rsid w:val="261D6084"/>
    <w:rsid w:val="26344D59"/>
    <w:rsid w:val="2654BE9A"/>
    <w:rsid w:val="265A54D7"/>
    <w:rsid w:val="26678441"/>
    <w:rsid w:val="26F71535"/>
    <w:rsid w:val="26FC949E"/>
    <w:rsid w:val="27034FA9"/>
    <w:rsid w:val="270885E3"/>
    <w:rsid w:val="2736D0F9"/>
    <w:rsid w:val="27606E07"/>
    <w:rsid w:val="278EF262"/>
    <w:rsid w:val="27F37A3E"/>
    <w:rsid w:val="27F7C8AB"/>
    <w:rsid w:val="27FEC3D9"/>
    <w:rsid w:val="280B22CA"/>
    <w:rsid w:val="2857FC38"/>
    <w:rsid w:val="285F3935"/>
    <w:rsid w:val="2879D182"/>
    <w:rsid w:val="28DC3C63"/>
    <w:rsid w:val="28E6D08A"/>
    <w:rsid w:val="28E742ED"/>
    <w:rsid w:val="28F292CC"/>
    <w:rsid w:val="28F894C2"/>
    <w:rsid w:val="291467FA"/>
    <w:rsid w:val="292E3F49"/>
    <w:rsid w:val="293747E0"/>
    <w:rsid w:val="2969C987"/>
    <w:rsid w:val="29744AC7"/>
    <w:rsid w:val="29DCBCB8"/>
    <w:rsid w:val="2A27E4E6"/>
    <w:rsid w:val="2A802E4C"/>
    <w:rsid w:val="2A84F249"/>
    <w:rsid w:val="2AB3FDE1"/>
    <w:rsid w:val="2AC46295"/>
    <w:rsid w:val="2AE559FE"/>
    <w:rsid w:val="2AF573CD"/>
    <w:rsid w:val="2B69B96D"/>
    <w:rsid w:val="2B739F83"/>
    <w:rsid w:val="2B7DA1A0"/>
    <w:rsid w:val="2B9B965D"/>
    <w:rsid w:val="2C0960B5"/>
    <w:rsid w:val="2C48A8B4"/>
    <w:rsid w:val="2C7CB4C2"/>
    <w:rsid w:val="2C9110FF"/>
    <w:rsid w:val="2D291CB5"/>
    <w:rsid w:val="2D495824"/>
    <w:rsid w:val="2D8FF742"/>
    <w:rsid w:val="2DD4D64E"/>
    <w:rsid w:val="2E3233C7"/>
    <w:rsid w:val="2E334834"/>
    <w:rsid w:val="2E3B7987"/>
    <w:rsid w:val="2E6B1A49"/>
    <w:rsid w:val="2E6DA88A"/>
    <w:rsid w:val="2E8522E3"/>
    <w:rsid w:val="2E865BB0"/>
    <w:rsid w:val="2E9DB42E"/>
    <w:rsid w:val="2EC5AEEE"/>
    <w:rsid w:val="2EFEC701"/>
    <w:rsid w:val="2EFF49B6"/>
    <w:rsid w:val="2F150401"/>
    <w:rsid w:val="2F329134"/>
    <w:rsid w:val="2F3D9867"/>
    <w:rsid w:val="2F62B418"/>
    <w:rsid w:val="2F996790"/>
    <w:rsid w:val="2FA282BD"/>
    <w:rsid w:val="2FB11E57"/>
    <w:rsid w:val="2FE4EE0C"/>
    <w:rsid w:val="2FF88F2F"/>
    <w:rsid w:val="2FF9CA20"/>
    <w:rsid w:val="300259E9"/>
    <w:rsid w:val="3017A9A9"/>
    <w:rsid w:val="302059AD"/>
    <w:rsid w:val="302FDB6D"/>
    <w:rsid w:val="30709E49"/>
    <w:rsid w:val="3072B4B7"/>
    <w:rsid w:val="3075D387"/>
    <w:rsid w:val="3091C5F0"/>
    <w:rsid w:val="30A87B93"/>
    <w:rsid w:val="30AF7884"/>
    <w:rsid w:val="30AFE68E"/>
    <w:rsid w:val="30BB032A"/>
    <w:rsid w:val="30F03345"/>
    <w:rsid w:val="30F644D4"/>
    <w:rsid w:val="31033345"/>
    <w:rsid w:val="312EC7F9"/>
    <w:rsid w:val="3130C467"/>
    <w:rsid w:val="31312ED4"/>
    <w:rsid w:val="314F7165"/>
    <w:rsid w:val="31B9DEE4"/>
    <w:rsid w:val="31C3F0F6"/>
    <w:rsid w:val="320FDAC8"/>
    <w:rsid w:val="3247B7A0"/>
    <w:rsid w:val="324A0AB2"/>
    <w:rsid w:val="32539F8E"/>
    <w:rsid w:val="325AB6B0"/>
    <w:rsid w:val="327271F6"/>
    <w:rsid w:val="32A7CD64"/>
    <w:rsid w:val="32CDD96E"/>
    <w:rsid w:val="32D0D949"/>
    <w:rsid w:val="32E8B5BB"/>
    <w:rsid w:val="33183A88"/>
    <w:rsid w:val="331AAE0E"/>
    <w:rsid w:val="331E77FB"/>
    <w:rsid w:val="3326488D"/>
    <w:rsid w:val="33566527"/>
    <w:rsid w:val="3370E8E4"/>
    <w:rsid w:val="33772022"/>
    <w:rsid w:val="337D06F6"/>
    <w:rsid w:val="33984026"/>
    <w:rsid w:val="339D354D"/>
    <w:rsid w:val="33B4F36A"/>
    <w:rsid w:val="33CD9A63"/>
    <w:rsid w:val="33D81C6A"/>
    <w:rsid w:val="33E6AACF"/>
    <w:rsid w:val="34381034"/>
    <w:rsid w:val="3446289B"/>
    <w:rsid w:val="34759FBF"/>
    <w:rsid w:val="3499F4FF"/>
    <w:rsid w:val="34A0A301"/>
    <w:rsid w:val="34C0A01A"/>
    <w:rsid w:val="34D00612"/>
    <w:rsid w:val="34D36FC5"/>
    <w:rsid w:val="3520A0D6"/>
    <w:rsid w:val="352A3BD1"/>
    <w:rsid w:val="35B361F3"/>
    <w:rsid w:val="35B77453"/>
    <w:rsid w:val="35D7EFFA"/>
    <w:rsid w:val="36029F48"/>
    <w:rsid w:val="36123EF3"/>
    <w:rsid w:val="3639BD79"/>
    <w:rsid w:val="363A5113"/>
    <w:rsid w:val="363B3F43"/>
    <w:rsid w:val="3680B85F"/>
    <w:rsid w:val="3690C19A"/>
    <w:rsid w:val="36A34AA4"/>
    <w:rsid w:val="36AF111B"/>
    <w:rsid w:val="36B018B0"/>
    <w:rsid w:val="36B11C23"/>
    <w:rsid w:val="36B48AE5"/>
    <w:rsid w:val="36CD47A1"/>
    <w:rsid w:val="371F4CF8"/>
    <w:rsid w:val="372B23D5"/>
    <w:rsid w:val="376BD9DB"/>
    <w:rsid w:val="377DCB4B"/>
    <w:rsid w:val="378FF97A"/>
    <w:rsid w:val="379D1957"/>
    <w:rsid w:val="37AC942A"/>
    <w:rsid w:val="37AF4D20"/>
    <w:rsid w:val="37C54D10"/>
    <w:rsid w:val="37C5E119"/>
    <w:rsid w:val="37DD9749"/>
    <w:rsid w:val="37E0EF94"/>
    <w:rsid w:val="3812EEFD"/>
    <w:rsid w:val="38231785"/>
    <w:rsid w:val="3826FD61"/>
    <w:rsid w:val="38378422"/>
    <w:rsid w:val="38550F0A"/>
    <w:rsid w:val="387E5A1E"/>
    <w:rsid w:val="38951805"/>
    <w:rsid w:val="3895CC3E"/>
    <w:rsid w:val="38ACC4FA"/>
    <w:rsid w:val="38C0FE97"/>
    <w:rsid w:val="38E67AA1"/>
    <w:rsid w:val="392200D6"/>
    <w:rsid w:val="39253E91"/>
    <w:rsid w:val="3927A0EC"/>
    <w:rsid w:val="392BF2BF"/>
    <w:rsid w:val="3933F970"/>
    <w:rsid w:val="393409B3"/>
    <w:rsid w:val="3963F43E"/>
    <w:rsid w:val="39659CE3"/>
    <w:rsid w:val="398C91D6"/>
    <w:rsid w:val="399D857C"/>
    <w:rsid w:val="39B67E37"/>
    <w:rsid w:val="39B83372"/>
    <w:rsid w:val="39C2F810"/>
    <w:rsid w:val="39D18940"/>
    <w:rsid w:val="39DB35AA"/>
    <w:rsid w:val="3A1A9BBA"/>
    <w:rsid w:val="3A30A86C"/>
    <w:rsid w:val="3A462B5C"/>
    <w:rsid w:val="3A46A7B5"/>
    <w:rsid w:val="3A8159F5"/>
    <w:rsid w:val="3AAACA5F"/>
    <w:rsid w:val="3AB7EEDF"/>
    <w:rsid w:val="3AB9D191"/>
    <w:rsid w:val="3ADE9C89"/>
    <w:rsid w:val="3AED1C36"/>
    <w:rsid w:val="3AF3D908"/>
    <w:rsid w:val="3B66A2B6"/>
    <w:rsid w:val="3B701DC0"/>
    <w:rsid w:val="3B80D8F8"/>
    <w:rsid w:val="3B8683F0"/>
    <w:rsid w:val="3BB2ECD5"/>
    <w:rsid w:val="3BD1E2D8"/>
    <w:rsid w:val="3BD52EB6"/>
    <w:rsid w:val="3C2E0326"/>
    <w:rsid w:val="3C49065D"/>
    <w:rsid w:val="3C4A2171"/>
    <w:rsid w:val="3C54D42E"/>
    <w:rsid w:val="3C6F806F"/>
    <w:rsid w:val="3C89CF7A"/>
    <w:rsid w:val="3CD90D6A"/>
    <w:rsid w:val="3D154CBC"/>
    <w:rsid w:val="3D2CACEB"/>
    <w:rsid w:val="3D6516B8"/>
    <w:rsid w:val="3D816C54"/>
    <w:rsid w:val="3DAFA2AF"/>
    <w:rsid w:val="3DC04788"/>
    <w:rsid w:val="3DF082C2"/>
    <w:rsid w:val="3DFF18CE"/>
    <w:rsid w:val="3E2D8B4F"/>
    <w:rsid w:val="3E3F7342"/>
    <w:rsid w:val="3EE0641E"/>
    <w:rsid w:val="3EF5F24E"/>
    <w:rsid w:val="3F2D4788"/>
    <w:rsid w:val="3F4C0CBF"/>
    <w:rsid w:val="3F4C47AA"/>
    <w:rsid w:val="3F576D4A"/>
    <w:rsid w:val="3F6C9B3B"/>
    <w:rsid w:val="3FA29776"/>
    <w:rsid w:val="3FA4110D"/>
    <w:rsid w:val="3FC3FAB1"/>
    <w:rsid w:val="3FD1422B"/>
    <w:rsid w:val="3FEE25C4"/>
    <w:rsid w:val="3FF0916F"/>
    <w:rsid w:val="400481ED"/>
    <w:rsid w:val="400C4A39"/>
    <w:rsid w:val="40215E35"/>
    <w:rsid w:val="40235AF5"/>
    <w:rsid w:val="402D802F"/>
    <w:rsid w:val="4033BA46"/>
    <w:rsid w:val="40ADA827"/>
    <w:rsid w:val="40B7AD00"/>
    <w:rsid w:val="40E40562"/>
    <w:rsid w:val="40FA2EF1"/>
    <w:rsid w:val="40FE28C8"/>
    <w:rsid w:val="41121E1A"/>
    <w:rsid w:val="4131FF2C"/>
    <w:rsid w:val="4149D4F0"/>
    <w:rsid w:val="4170C124"/>
    <w:rsid w:val="417643A8"/>
    <w:rsid w:val="417C6C64"/>
    <w:rsid w:val="417CFE77"/>
    <w:rsid w:val="417FB1EB"/>
    <w:rsid w:val="419C033E"/>
    <w:rsid w:val="41AE577E"/>
    <w:rsid w:val="41E0B562"/>
    <w:rsid w:val="41EE0E12"/>
    <w:rsid w:val="41F5C7B8"/>
    <w:rsid w:val="41F94E99"/>
    <w:rsid w:val="4208742F"/>
    <w:rsid w:val="4216F0BE"/>
    <w:rsid w:val="42207F9E"/>
    <w:rsid w:val="42ADBBC0"/>
    <w:rsid w:val="42EDBB5C"/>
    <w:rsid w:val="42FAB366"/>
    <w:rsid w:val="43122CED"/>
    <w:rsid w:val="434396CD"/>
    <w:rsid w:val="438AECA3"/>
    <w:rsid w:val="438E8540"/>
    <w:rsid w:val="43A1BBB2"/>
    <w:rsid w:val="43A96E6D"/>
    <w:rsid w:val="43CF80BE"/>
    <w:rsid w:val="43DA3F0F"/>
    <w:rsid w:val="43DE0912"/>
    <w:rsid w:val="43EBDA17"/>
    <w:rsid w:val="441090A8"/>
    <w:rsid w:val="4411A8B6"/>
    <w:rsid w:val="4430ACE8"/>
    <w:rsid w:val="443839E6"/>
    <w:rsid w:val="44448A51"/>
    <w:rsid w:val="44481BC7"/>
    <w:rsid w:val="448338AF"/>
    <w:rsid w:val="44A6C53F"/>
    <w:rsid w:val="44B8FFA0"/>
    <w:rsid w:val="44DC84F1"/>
    <w:rsid w:val="44E0C45A"/>
    <w:rsid w:val="44F5BD9E"/>
    <w:rsid w:val="451E3A0D"/>
    <w:rsid w:val="4524B21D"/>
    <w:rsid w:val="4550AD26"/>
    <w:rsid w:val="4573D56A"/>
    <w:rsid w:val="457D8359"/>
    <w:rsid w:val="45987A90"/>
    <w:rsid w:val="459C8F53"/>
    <w:rsid w:val="45C34ACA"/>
    <w:rsid w:val="45F0B6BB"/>
    <w:rsid w:val="460CEA20"/>
    <w:rsid w:val="4615D49F"/>
    <w:rsid w:val="4623E97E"/>
    <w:rsid w:val="463CCF7D"/>
    <w:rsid w:val="467CB931"/>
    <w:rsid w:val="469E7764"/>
    <w:rsid w:val="46A12CED"/>
    <w:rsid w:val="46A2631C"/>
    <w:rsid w:val="46CA00C9"/>
    <w:rsid w:val="46CCFD94"/>
    <w:rsid w:val="46D51598"/>
    <w:rsid w:val="470C061B"/>
    <w:rsid w:val="47153E5B"/>
    <w:rsid w:val="474949E4"/>
    <w:rsid w:val="476EE1B3"/>
    <w:rsid w:val="478192B2"/>
    <w:rsid w:val="478518BB"/>
    <w:rsid w:val="479CC1F7"/>
    <w:rsid w:val="47C165EA"/>
    <w:rsid w:val="47D06849"/>
    <w:rsid w:val="47DF5D41"/>
    <w:rsid w:val="47FE412F"/>
    <w:rsid w:val="482A0BC2"/>
    <w:rsid w:val="4837650C"/>
    <w:rsid w:val="4846AC1C"/>
    <w:rsid w:val="48655BC7"/>
    <w:rsid w:val="48AB762C"/>
    <w:rsid w:val="48BDDBE0"/>
    <w:rsid w:val="48C22E59"/>
    <w:rsid w:val="48E3E5DB"/>
    <w:rsid w:val="48FC4350"/>
    <w:rsid w:val="490E52FD"/>
    <w:rsid w:val="4928A8AC"/>
    <w:rsid w:val="49328050"/>
    <w:rsid w:val="493734C7"/>
    <w:rsid w:val="494424C5"/>
    <w:rsid w:val="49ACB7B1"/>
    <w:rsid w:val="49DA25B1"/>
    <w:rsid w:val="49DE0662"/>
    <w:rsid w:val="4A1B4F2C"/>
    <w:rsid w:val="4A2ED5B8"/>
    <w:rsid w:val="4A437913"/>
    <w:rsid w:val="4A59A760"/>
    <w:rsid w:val="4AD84EF6"/>
    <w:rsid w:val="4B015393"/>
    <w:rsid w:val="4B33E9BA"/>
    <w:rsid w:val="4B76CC66"/>
    <w:rsid w:val="4B7EB0AA"/>
    <w:rsid w:val="4B7FE97A"/>
    <w:rsid w:val="4BC0BF81"/>
    <w:rsid w:val="4BC3D440"/>
    <w:rsid w:val="4BCCEF63"/>
    <w:rsid w:val="4BE4269E"/>
    <w:rsid w:val="4BE7C8B0"/>
    <w:rsid w:val="4BEFFC07"/>
    <w:rsid w:val="4BF061F2"/>
    <w:rsid w:val="4BF85CCA"/>
    <w:rsid w:val="4BFA6CB1"/>
    <w:rsid w:val="4C036BF8"/>
    <w:rsid w:val="4C0B5684"/>
    <w:rsid w:val="4C255F27"/>
    <w:rsid w:val="4C679F62"/>
    <w:rsid w:val="4C9D718D"/>
    <w:rsid w:val="4CD57096"/>
    <w:rsid w:val="4CD7C79D"/>
    <w:rsid w:val="4D1C5280"/>
    <w:rsid w:val="4D5391E1"/>
    <w:rsid w:val="4D618214"/>
    <w:rsid w:val="4D886D52"/>
    <w:rsid w:val="4D90A101"/>
    <w:rsid w:val="4D9A93CF"/>
    <w:rsid w:val="4E05D66F"/>
    <w:rsid w:val="4E1B3407"/>
    <w:rsid w:val="4E459C4E"/>
    <w:rsid w:val="4E65BD60"/>
    <w:rsid w:val="4E7C97F1"/>
    <w:rsid w:val="4E9967E7"/>
    <w:rsid w:val="4EC0986B"/>
    <w:rsid w:val="4EC2B7CB"/>
    <w:rsid w:val="4ED28AAA"/>
    <w:rsid w:val="4F01D72B"/>
    <w:rsid w:val="4F0DD4AB"/>
    <w:rsid w:val="4F10B936"/>
    <w:rsid w:val="4F45F9AA"/>
    <w:rsid w:val="4F616479"/>
    <w:rsid w:val="4F7C978B"/>
    <w:rsid w:val="4F896182"/>
    <w:rsid w:val="500D75D2"/>
    <w:rsid w:val="501D3000"/>
    <w:rsid w:val="504ECB06"/>
    <w:rsid w:val="5086D04E"/>
    <w:rsid w:val="509312BE"/>
    <w:rsid w:val="50AE632D"/>
    <w:rsid w:val="50B59C1B"/>
    <w:rsid w:val="50BAA7ED"/>
    <w:rsid w:val="50D68958"/>
    <w:rsid w:val="50E70081"/>
    <w:rsid w:val="5101F058"/>
    <w:rsid w:val="5130F494"/>
    <w:rsid w:val="51392173"/>
    <w:rsid w:val="516DDCFE"/>
    <w:rsid w:val="51839EBF"/>
    <w:rsid w:val="518BF119"/>
    <w:rsid w:val="51915EF1"/>
    <w:rsid w:val="51A1C342"/>
    <w:rsid w:val="51A1D9D6"/>
    <w:rsid w:val="51A747A7"/>
    <w:rsid w:val="51BA1F39"/>
    <w:rsid w:val="51C08DB9"/>
    <w:rsid w:val="51D5EA5C"/>
    <w:rsid w:val="51EBDCBE"/>
    <w:rsid w:val="51F9CB88"/>
    <w:rsid w:val="5241E6D5"/>
    <w:rsid w:val="52423161"/>
    <w:rsid w:val="524C9335"/>
    <w:rsid w:val="525396D9"/>
    <w:rsid w:val="52D0F1F8"/>
    <w:rsid w:val="52D44F64"/>
    <w:rsid w:val="52D78510"/>
    <w:rsid w:val="52E7781E"/>
    <w:rsid w:val="531470DB"/>
    <w:rsid w:val="532521B8"/>
    <w:rsid w:val="53352533"/>
    <w:rsid w:val="535BE5EC"/>
    <w:rsid w:val="53624A61"/>
    <w:rsid w:val="53626588"/>
    <w:rsid w:val="5363B271"/>
    <w:rsid w:val="536945FA"/>
    <w:rsid w:val="536EAE33"/>
    <w:rsid w:val="53990C88"/>
    <w:rsid w:val="53CCA3F6"/>
    <w:rsid w:val="53D9DE1D"/>
    <w:rsid w:val="540F69B1"/>
    <w:rsid w:val="541337AF"/>
    <w:rsid w:val="54800F5D"/>
    <w:rsid w:val="54E035FE"/>
    <w:rsid w:val="55378E4E"/>
    <w:rsid w:val="556594A6"/>
    <w:rsid w:val="5567A9CE"/>
    <w:rsid w:val="556C148E"/>
    <w:rsid w:val="55956547"/>
    <w:rsid w:val="5599C028"/>
    <w:rsid w:val="55AD7760"/>
    <w:rsid w:val="55C30CD7"/>
    <w:rsid w:val="55C9323E"/>
    <w:rsid w:val="55F784AD"/>
    <w:rsid w:val="55FD63E3"/>
    <w:rsid w:val="56149392"/>
    <w:rsid w:val="5615E0EE"/>
    <w:rsid w:val="56179ACA"/>
    <w:rsid w:val="56584091"/>
    <w:rsid w:val="5667108B"/>
    <w:rsid w:val="56681BB2"/>
    <w:rsid w:val="5676AC16"/>
    <w:rsid w:val="56857154"/>
    <w:rsid w:val="568BB704"/>
    <w:rsid w:val="56BECC22"/>
    <w:rsid w:val="56C8C479"/>
    <w:rsid w:val="56E45CBB"/>
    <w:rsid w:val="56E93B6B"/>
    <w:rsid w:val="56ED5269"/>
    <w:rsid w:val="5705A0AC"/>
    <w:rsid w:val="57132504"/>
    <w:rsid w:val="572B546A"/>
    <w:rsid w:val="57339DA4"/>
    <w:rsid w:val="5768B826"/>
    <w:rsid w:val="5783DAF0"/>
    <w:rsid w:val="5784731A"/>
    <w:rsid w:val="58460EC8"/>
    <w:rsid w:val="5862569A"/>
    <w:rsid w:val="58C69D46"/>
    <w:rsid w:val="58C87A80"/>
    <w:rsid w:val="58C97BE9"/>
    <w:rsid w:val="58D355AA"/>
    <w:rsid w:val="58D8550A"/>
    <w:rsid w:val="58DB4ACB"/>
    <w:rsid w:val="58EBF32C"/>
    <w:rsid w:val="59252469"/>
    <w:rsid w:val="59351766"/>
    <w:rsid w:val="593C763F"/>
    <w:rsid w:val="5953680D"/>
    <w:rsid w:val="59578EA9"/>
    <w:rsid w:val="5982F5D4"/>
    <w:rsid w:val="598F13FF"/>
    <w:rsid w:val="5997C60A"/>
    <w:rsid w:val="599E39E1"/>
    <w:rsid w:val="59BFE395"/>
    <w:rsid w:val="59C955B2"/>
    <w:rsid w:val="5A0B00C0"/>
    <w:rsid w:val="5A192429"/>
    <w:rsid w:val="5A1B6B65"/>
    <w:rsid w:val="5A329B00"/>
    <w:rsid w:val="5A39D087"/>
    <w:rsid w:val="5A3F8892"/>
    <w:rsid w:val="5A7269B4"/>
    <w:rsid w:val="5A8209D3"/>
    <w:rsid w:val="5AB5F4D4"/>
    <w:rsid w:val="5ACB22C5"/>
    <w:rsid w:val="5AD48A77"/>
    <w:rsid w:val="5AD5E171"/>
    <w:rsid w:val="5AE5B9EF"/>
    <w:rsid w:val="5AEAA416"/>
    <w:rsid w:val="5B0A6698"/>
    <w:rsid w:val="5B17939F"/>
    <w:rsid w:val="5B347918"/>
    <w:rsid w:val="5B671121"/>
    <w:rsid w:val="5B8EFA73"/>
    <w:rsid w:val="5BB0DEC2"/>
    <w:rsid w:val="5BB8CD86"/>
    <w:rsid w:val="5C0301AC"/>
    <w:rsid w:val="5C51835A"/>
    <w:rsid w:val="5C53EB3C"/>
    <w:rsid w:val="5C6D6D42"/>
    <w:rsid w:val="5C753288"/>
    <w:rsid w:val="5C7D608D"/>
    <w:rsid w:val="5C8623EE"/>
    <w:rsid w:val="5C8FD4C8"/>
    <w:rsid w:val="5C90BD82"/>
    <w:rsid w:val="5CAFBEFC"/>
    <w:rsid w:val="5CC2F049"/>
    <w:rsid w:val="5CD48628"/>
    <w:rsid w:val="5CD72796"/>
    <w:rsid w:val="5D358BF3"/>
    <w:rsid w:val="5D494E14"/>
    <w:rsid w:val="5D4C8288"/>
    <w:rsid w:val="5D542EDE"/>
    <w:rsid w:val="5D8C9CE3"/>
    <w:rsid w:val="5DB30959"/>
    <w:rsid w:val="5DC76086"/>
    <w:rsid w:val="5DD17CF6"/>
    <w:rsid w:val="5DE05C70"/>
    <w:rsid w:val="5DE66964"/>
    <w:rsid w:val="5E520D4E"/>
    <w:rsid w:val="5E9E2153"/>
    <w:rsid w:val="5EBF92FE"/>
    <w:rsid w:val="5EC061EA"/>
    <w:rsid w:val="5EF2D846"/>
    <w:rsid w:val="5F045EC3"/>
    <w:rsid w:val="5F1AD955"/>
    <w:rsid w:val="5F20D0AF"/>
    <w:rsid w:val="5F219372"/>
    <w:rsid w:val="5F5EC1EE"/>
    <w:rsid w:val="5F6358C4"/>
    <w:rsid w:val="5F7C844C"/>
    <w:rsid w:val="5F907505"/>
    <w:rsid w:val="5FD0C0F5"/>
    <w:rsid w:val="6003C6C1"/>
    <w:rsid w:val="60677DCD"/>
    <w:rsid w:val="606FA850"/>
    <w:rsid w:val="6095EB46"/>
    <w:rsid w:val="60CF6798"/>
    <w:rsid w:val="60D36962"/>
    <w:rsid w:val="6130E6B2"/>
    <w:rsid w:val="6138FA0B"/>
    <w:rsid w:val="61499610"/>
    <w:rsid w:val="61675F49"/>
    <w:rsid w:val="618035B2"/>
    <w:rsid w:val="61A80808"/>
    <w:rsid w:val="61B9394D"/>
    <w:rsid w:val="6220D0C0"/>
    <w:rsid w:val="62552E55"/>
    <w:rsid w:val="627619E5"/>
    <w:rsid w:val="627E7D6B"/>
    <w:rsid w:val="62A0971B"/>
    <w:rsid w:val="62A88E2B"/>
    <w:rsid w:val="62C6E004"/>
    <w:rsid w:val="62D71A18"/>
    <w:rsid w:val="62ED6F14"/>
    <w:rsid w:val="62EDDD1B"/>
    <w:rsid w:val="635B5AB7"/>
    <w:rsid w:val="63B24631"/>
    <w:rsid w:val="63B2D4A6"/>
    <w:rsid w:val="64002889"/>
    <w:rsid w:val="642684B8"/>
    <w:rsid w:val="645771F7"/>
    <w:rsid w:val="645F5C62"/>
    <w:rsid w:val="647B35F1"/>
    <w:rsid w:val="647F57FC"/>
    <w:rsid w:val="64859455"/>
    <w:rsid w:val="64AB740B"/>
    <w:rsid w:val="64ACEEF3"/>
    <w:rsid w:val="64B3171E"/>
    <w:rsid w:val="64B48118"/>
    <w:rsid w:val="64BAF425"/>
    <w:rsid w:val="64C71F24"/>
    <w:rsid w:val="64DCCE24"/>
    <w:rsid w:val="650E47EC"/>
    <w:rsid w:val="651D4BCB"/>
    <w:rsid w:val="653ADC46"/>
    <w:rsid w:val="65488B7E"/>
    <w:rsid w:val="6570A445"/>
    <w:rsid w:val="657843BA"/>
    <w:rsid w:val="657C002C"/>
    <w:rsid w:val="65ACADE9"/>
    <w:rsid w:val="65C5EA98"/>
    <w:rsid w:val="65DA8691"/>
    <w:rsid w:val="65EEBE95"/>
    <w:rsid w:val="66017C98"/>
    <w:rsid w:val="661AC182"/>
    <w:rsid w:val="66386D93"/>
    <w:rsid w:val="6647ED7A"/>
    <w:rsid w:val="66728951"/>
    <w:rsid w:val="6677F19C"/>
    <w:rsid w:val="667B37C1"/>
    <w:rsid w:val="66943050"/>
    <w:rsid w:val="66A11FCE"/>
    <w:rsid w:val="66A40233"/>
    <w:rsid w:val="66C9A4BA"/>
    <w:rsid w:val="66EC147B"/>
    <w:rsid w:val="6704E3CA"/>
    <w:rsid w:val="670F46F7"/>
    <w:rsid w:val="672E4B6C"/>
    <w:rsid w:val="674692A2"/>
    <w:rsid w:val="6752A319"/>
    <w:rsid w:val="67537405"/>
    <w:rsid w:val="67935123"/>
    <w:rsid w:val="67B5E6FD"/>
    <w:rsid w:val="67BACFE8"/>
    <w:rsid w:val="67BB7C7F"/>
    <w:rsid w:val="67DDC19D"/>
    <w:rsid w:val="67EBDD89"/>
    <w:rsid w:val="67F0CBBD"/>
    <w:rsid w:val="67FFDE27"/>
    <w:rsid w:val="6807C344"/>
    <w:rsid w:val="683B03EB"/>
    <w:rsid w:val="683B71F7"/>
    <w:rsid w:val="684112BD"/>
    <w:rsid w:val="685E6435"/>
    <w:rsid w:val="686AB82B"/>
    <w:rsid w:val="689BAEBD"/>
    <w:rsid w:val="689E66CD"/>
    <w:rsid w:val="68C370D7"/>
    <w:rsid w:val="68C4EEAC"/>
    <w:rsid w:val="69578B52"/>
    <w:rsid w:val="697FAA93"/>
    <w:rsid w:val="697FFD67"/>
    <w:rsid w:val="69A5F6C3"/>
    <w:rsid w:val="69C4B87A"/>
    <w:rsid w:val="69C4D06D"/>
    <w:rsid w:val="69E41819"/>
    <w:rsid w:val="6A0C6131"/>
    <w:rsid w:val="6A1008A9"/>
    <w:rsid w:val="6A12841B"/>
    <w:rsid w:val="6A16ADF6"/>
    <w:rsid w:val="6A2BB019"/>
    <w:rsid w:val="6A3BCBAB"/>
    <w:rsid w:val="6A614B23"/>
    <w:rsid w:val="6AC18DF8"/>
    <w:rsid w:val="6ACA9E0E"/>
    <w:rsid w:val="6AF828B3"/>
    <w:rsid w:val="6AFBC89F"/>
    <w:rsid w:val="6B025717"/>
    <w:rsid w:val="6B0DE1B6"/>
    <w:rsid w:val="6B1D72A1"/>
    <w:rsid w:val="6B2572B5"/>
    <w:rsid w:val="6B4F7171"/>
    <w:rsid w:val="6BBDFBA0"/>
    <w:rsid w:val="6BDE8127"/>
    <w:rsid w:val="6BE0C2D1"/>
    <w:rsid w:val="6BE8A2F0"/>
    <w:rsid w:val="6BF2F5F0"/>
    <w:rsid w:val="6BFEC6B8"/>
    <w:rsid w:val="6C1E78F7"/>
    <w:rsid w:val="6C26DED8"/>
    <w:rsid w:val="6C270B32"/>
    <w:rsid w:val="6C74404F"/>
    <w:rsid w:val="6CAF94A0"/>
    <w:rsid w:val="6CBC7D0C"/>
    <w:rsid w:val="6CC6544D"/>
    <w:rsid w:val="6CDDD7F3"/>
    <w:rsid w:val="6CE1870E"/>
    <w:rsid w:val="6D1D1F42"/>
    <w:rsid w:val="6D3E45A1"/>
    <w:rsid w:val="6D418BB4"/>
    <w:rsid w:val="6D446B54"/>
    <w:rsid w:val="6D730B08"/>
    <w:rsid w:val="6D982C28"/>
    <w:rsid w:val="6DA468B5"/>
    <w:rsid w:val="6DCB1C91"/>
    <w:rsid w:val="6DCC2672"/>
    <w:rsid w:val="6DD5479A"/>
    <w:rsid w:val="6DE84A5D"/>
    <w:rsid w:val="6DEFF30E"/>
    <w:rsid w:val="6DF86E01"/>
    <w:rsid w:val="6E1E6020"/>
    <w:rsid w:val="6E23A481"/>
    <w:rsid w:val="6E3C51C5"/>
    <w:rsid w:val="6E5D1E38"/>
    <w:rsid w:val="6E748E09"/>
    <w:rsid w:val="6EA04722"/>
    <w:rsid w:val="6EA250BB"/>
    <w:rsid w:val="6EAE1B76"/>
    <w:rsid w:val="6ECDA812"/>
    <w:rsid w:val="6F080E77"/>
    <w:rsid w:val="6F68AD62"/>
    <w:rsid w:val="6F9C59A8"/>
    <w:rsid w:val="6FA92F63"/>
    <w:rsid w:val="6FC4AE21"/>
    <w:rsid w:val="6FD5E227"/>
    <w:rsid w:val="6FD9BFB7"/>
    <w:rsid w:val="6FDB3B93"/>
    <w:rsid w:val="7046B17A"/>
    <w:rsid w:val="70640528"/>
    <w:rsid w:val="706D2470"/>
    <w:rsid w:val="7074CFB9"/>
    <w:rsid w:val="70B77A7A"/>
    <w:rsid w:val="70B88681"/>
    <w:rsid w:val="70C922E6"/>
    <w:rsid w:val="70E1953B"/>
    <w:rsid w:val="70EBE02B"/>
    <w:rsid w:val="70F6AAAB"/>
    <w:rsid w:val="71A27BC7"/>
    <w:rsid w:val="71A91D30"/>
    <w:rsid w:val="71FCFA57"/>
    <w:rsid w:val="720A0028"/>
    <w:rsid w:val="7221272F"/>
    <w:rsid w:val="72693FA7"/>
    <w:rsid w:val="7280084D"/>
    <w:rsid w:val="728F9BF8"/>
    <w:rsid w:val="72AA2E94"/>
    <w:rsid w:val="72B6BCA6"/>
    <w:rsid w:val="72CE3E96"/>
    <w:rsid w:val="734F3AEC"/>
    <w:rsid w:val="7359C561"/>
    <w:rsid w:val="737B0D2D"/>
    <w:rsid w:val="73E1ABF8"/>
    <w:rsid w:val="73F59BCA"/>
    <w:rsid w:val="74293A8B"/>
    <w:rsid w:val="744EC6DC"/>
    <w:rsid w:val="745B06D5"/>
    <w:rsid w:val="746BD692"/>
    <w:rsid w:val="748C275E"/>
    <w:rsid w:val="7492F26A"/>
    <w:rsid w:val="74AAF475"/>
    <w:rsid w:val="74B396B3"/>
    <w:rsid w:val="74B65ECC"/>
    <w:rsid w:val="74CD76D6"/>
    <w:rsid w:val="74D358EB"/>
    <w:rsid w:val="74DBC7B0"/>
    <w:rsid w:val="74F6F119"/>
    <w:rsid w:val="750C68C4"/>
    <w:rsid w:val="7532CFC4"/>
    <w:rsid w:val="753F9F94"/>
    <w:rsid w:val="7545E284"/>
    <w:rsid w:val="756934E8"/>
    <w:rsid w:val="756C810F"/>
    <w:rsid w:val="756F20D1"/>
    <w:rsid w:val="7580D8B5"/>
    <w:rsid w:val="75A562CB"/>
    <w:rsid w:val="75F9C49D"/>
    <w:rsid w:val="761E5021"/>
    <w:rsid w:val="768AFEB0"/>
    <w:rsid w:val="76C37EAA"/>
    <w:rsid w:val="76CB737B"/>
    <w:rsid w:val="7766D022"/>
    <w:rsid w:val="777BC0A9"/>
    <w:rsid w:val="7787C8E2"/>
    <w:rsid w:val="778D31E5"/>
    <w:rsid w:val="77AE7F42"/>
    <w:rsid w:val="77D051BB"/>
    <w:rsid w:val="77F14085"/>
    <w:rsid w:val="77FDFA49"/>
    <w:rsid w:val="78436989"/>
    <w:rsid w:val="784B516E"/>
    <w:rsid w:val="7854BFC9"/>
    <w:rsid w:val="786BD384"/>
    <w:rsid w:val="7874D071"/>
    <w:rsid w:val="787F307D"/>
    <w:rsid w:val="78943265"/>
    <w:rsid w:val="78960390"/>
    <w:rsid w:val="78F1574D"/>
    <w:rsid w:val="79428A24"/>
    <w:rsid w:val="79726201"/>
    <w:rsid w:val="798C84A0"/>
    <w:rsid w:val="79942EA5"/>
    <w:rsid w:val="79AE7D54"/>
    <w:rsid w:val="79D642C9"/>
    <w:rsid w:val="79E1D934"/>
    <w:rsid w:val="79EDB23A"/>
    <w:rsid w:val="79FC66F2"/>
    <w:rsid w:val="7A184AF4"/>
    <w:rsid w:val="7A36E394"/>
    <w:rsid w:val="7A4552D2"/>
    <w:rsid w:val="7A4C1AD2"/>
    <w:rsid w:val="7A637F13"/>
    <w:rsid w:val="7A6E56C8"/>
    <w:rsid w:val="7A83533F"/>
    <w:rsid w:val="7A8F8FDF"/>
    <w:rsid w:val="7ABD2033"/>
    <w:rsid w:val="7AD8917F"/>
    <w:rsid w:val="7ADBE54F"/>
    <w:rsid w:val="7AE572C4"/>
    <w:rsid w:val="7AF29FA8"/>
    <w:rsid w:val="7B028A5C"/>
    <w:rsid w:val="7B037848"/>
    <w:rsid w:val="7B48E294"/>
    <w:rsid w:val="7B4988B3"/>
    <w:rsid w:val="7B6BB70C"/>
    <w:rsid w:val="7B7C268C"/>
    <w:rsid w:val="7B7F960D"/>
    <w:rsid w:val="7BC03F91"/>
    <w:rsid w:val="7BC3C390"/>
    <w:rsid w:val="7BCD30AC"/>
    <w:rsid w:val="7BFF53E6"/>
    <w:rsid w:val="7C1043DC"/>
    <w:rsid w:val="7C137575"/>
    <w:rsid w:val="7C34B181"/>
    <w:rsid w:val="7C394FBA"/>
    <w:rsid w:val="7C41ABA1"/>
    <w:rsid w:val="7C59BC01"/>
    <w:rsid w:val="7C71651A"/>
    <w:rsid w:val="7CCE6087"/>
    <w:rsid w:val="7CD06204"/>
    <w:rsid w:val="7CE7DB04"/>
    <w:rsid w:val="7CFF5227"/>
    <w:rsid w:val="7D034D45"/>
    <w:rsid w:val="7D034E7B"/>
    <w:rsid w:val="7D38766B"/>
    <w:rsid w:val="7D5CF7DC"/>
    <w:rsid w:val="7D7B0591"/>
    <w:rsid w:val="7D93FA95"/>
    <w:rsid w:val="7DA329DB"/>
    <w:rsid w:val="7DACD66C"/>
    <w:rsid w:val="7DADD481"/>
    <w:rsid w:val="7DD40405"/>
    <w:rsid w:val="7DF2E2C0"/>
    <w:rsid w:val="7DF5F269"/>
    <w:rsid w:val="7DFE7424"/>
    <w:rsid w:val="7E8C4A15"/>
    <w:rsid w:val="7E9BE58C"/>
    <w:rsid w:val="7EDA6C56"/>
    <w:rsid w:val="7EE729E5"/>
    <w:rsid w:val="7EE73656"/>
    <w:rsid w:val="7EFFD0A8"/>
    <w:rsid w:val="7F44B4AF"/>
    <w:rsid w:val="7F4ADD72"/>
    <w:rsid w:val="7F51EC49"/>
    <w:rsid w:val="7F6C01EA"/>
    <w:rsid w:val="7F76D251"/>
    <w:rsid w:val="7F78276F"/>
    <w:rsid w:val="7F8801E1"/>
    <w:rsid w:val="7F924E30"/>
    <w:rsid w:val="7F94BD59"/>
    <w:rsid w:val="7F99DD03"/>
    <w:rsid w:val="7FBCFF4A"/>
    <w:rsid w:val="7FC7604A"/>
    <w:rsid w:val="7FCF374C"/>
    <w:rsid w:val="7FE25518"/>
    <w:rsid w:val="7FF46E63"/>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5674FA"/>
  <w15:docId w15:val="{7DC4712C-5431-4266-AE57-69263661F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C37746"/>
    <w:pPr>
      <w:spacing w:before="120" w:after="120" w:line="276" w:lineRule="auto"/>
    </w:pPr>
    <w:rPr>
      <w:rFonts w:ascii="Arial" w:hAnsi="Arial"/>
      <w:color w:val="1E1545" w:themeColor="text1"/>
      <w:sz w:val="24"/>
      <w:szCs w:val="24"/>
      <w:lang w:eastAsia="en-US"/>
    </w:rPr>
  </w:style>
  <w:style w:type="paragraph" w:styleId="Heading1">
    <w:name w:val="heading 1"/>
    <w:next w:val="Normal"/>
    <w:link w:val="Heading1Char"/>
    <w:qFormat/>
    <w:rsid w:val="008A6FDC"/>
    <w:pPr>
      <w:keepNext/>
      <w:numPr>
        <w:numId w:val="10"/>
      </w:numPr>
      <w:spacing w:before="600" w:after="240"/>
      <w:ind w:left="567" w:hanging="567"/>
      <w:outlineLvl w:val="0"/>
    </w:pPr>
    <w:rPr>
      <w:rFonts w:ascii="Arial" w:hAnsi="Arial" w:cs="Arial"/>
      <w:b/>
      <w:bCs/>
      <w:color w:val="1E1545" w:themeColor="text1"/>
      <w:kern w:val="28"/>
      <w:sz w:val="60"/>
      <w:szCs w:val="36"/>
      <w:lang w:eastAsia="en-US"/>
    </w:rPr>
  </w:style>
  <w:style w:type="paragraph" w:styleId="Heading2">
    <w:name w:val="heading 2"/>
    <w:next w:val="Normal"/>
    <w:qFormat/>
    <w:rsid w:val="00A20D31"/>
    <w:pPr>
      <w:keepNext/>
      <w:numPr>
        <w:ilvl w:val="1"/>
        <w:numId w:val="10"/>
      </w:numPr>
      <w:spacing w:before="240" w:after="240"/>
      <w:ind w:left="794" w:hanging="794"/>
      <w:outlineLvl w:val="1"/>
    </w:pPr>
    <w:rPr>
      <w:rFonts w:ascii="Arial" w:hAnsi="Arial" w:cs="Arial"/>
      <w:b/>
      <w:bCs/>
      <w:iCs/>
      <w:color w:val="1E1545" w:themeColor="text1"/>
      <w:sz w:val="36"/>
      <w:szCs w:val="28"/>
      <w:lang w:eastAsia="en-US"/>
    </w:rPr>
  </w:style>
  <w:style w:type="paragraph" w:styleId="Heading3">
    <w:name w:val="heading 3"/>
    <w:basedOn w:val="Heading2nonumbers"/>
    <w:next w:val="Normal"/>
    <w:qFormat/>
    <w:rsid w:val="00EA246C"/>
    <w:pPr>
      <w:spacing w:before="240"/>
      <w:outlineLvl w:val="2"/>
    </w:pPr>
    <w:rPr>
      <w:bCs w:val="0"/>
      <w:sz w:val="28"/>
      <w:szCs w:val="24"/>
    </w:rPr>
  </w:style>
  <w:style w:type="paragraph" w:styleId="Heading4">
    <w:name w:val="heading 4"/>
    <w:next w:val="Normal"/>
    <w:qFormat/>
    <w:rsid w:val="00E169D8"/>
    <w:pPr>
      <w:keepNext/>
      <w:numPr>
        <w:ilvl w:val="3"/>
        <w:numId w:val="10"/>
      </w:numPr>
      <w:spacing w:before="240" w:after="60"/>
      <w:outlineLvl w:val="3"/>
    </w:pPr>
    <w:rPr>
      <w:rFonts w:ascii="Arial" w:hAnsi="Arial"/>
      <w:b/>
      <w:bCs/>
      <w:iCs/>
      <w:color w:val="1E1545" w:themeColor="text1"/>
      <w:sz w:val="24"/>
      <w:szCs w:val="24"/>
      <w:lang w:eastAsia="en-US"/>
    </w:rPr>
  </w:style>
  <w:style w:type="paragraph" w:styleId="Heading5">
    <w:name w:val="heading 5"/>
    <w:next w:val="Normal"/>
    <w:rsid w:val="00AA723B"/>
    <w:pPr>
      <w:keepNext/>
      <w:numPr>
        <w:ilvl w:val="4"/>
        <w:numId w:val="10"/>
      </w:numPr>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BF7AD7"/>
    <w:pPr>
      <w:keepNext/>
      <w:numPr>
        <w:ilvl w:val="5"/>
        <w:numId w:val="10"/>
      </w:numPr>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BF7AD7"/>
    <w:pPr>
      <w:keepNext/>
      <w:keepLines/>
      <w:numPr>
        <w:ilvl w:val="6"/>
        <w:numId w:val="10"/>
      </w:numPr>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semiHidden/>
    <w:unhideWhenUsed/>
    <w:qFormat/>
    <w:rsid w:val="00DC6FE4"/>
    <w:pPr>
      <w:keepNext/>
      <w:keepLines/>
      <w:numPr>
        <w:ilvl w:val="7"/>
        <w:numId w:val="10"/>
      </w:numPr>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semiHidden/>
    <w:unhideWhenUsed/>
    <w:qFormat/>
    <w:rsid w:val="00DC6FE4"/>
    <w:pPr>
      <w:keepNext/>
      <w:keepLines/>
      <w:numPr>
        <w:ilvl w:val="8"/>
        <w:numId w:val="10"/>
      </w:numPr>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2"/>
      </w:numPr>
      <w:tabs>
        <w:tab w:val="clear" w:pos="340"/>
        <w:tab w:val="num" w:pos="360"/>
      </w:tabs>
    </w:pPr>
  </w:style>
  <w:style w:type="paragraph" w:styleId="ListNumber2">
    <w:name w:val="List Number 2"/>
    <w:basedOn w:val="Normal"/>
    <w:qFormat/>
    <w:rsid w:val="00B87988"/>
    <w:pPr>
      <w:numPr>
        <w:numId w:val="1"/>
      </w:numPr>
      <w:tabs>
        <w:tab w:val="left" w:pos="340"/>
        <w:tab w:val="left" w:pos="680"/>
      </w:tabs>
      <w:spacing w:before="60" w:after="60"/>
    </w:pPr>
  </w:style>
  <w:style w:type="paragraph" w:styleId="ListNumber3">
    <w:name w:val="List Number 3"/>
    <w:aliases w:val="List Third Level"/>
    <w:basedOn w:val="ListNumber2"/>
    <w:rsid w:val="00BF7AD7"/>
    <w:pPr>
      <w:numPr>
        <w:numId w:val="3"/>
      </w:numPr>
      <w:tabs>
        <w:tab w:val="clear" w:pos="340"/>
        <w:tab w:val="num" w:pos="360"/>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7C4851"/>
    <w:pPr>
      <w:framePr w:hSpace="180" w:wrap="around" w:vAnchor="text" w:hAnchor="text" w:y="1"/>
      <w:suppressOverlap/>
    </w:pPr>
    <w:rPr>
      <w:color w:val="F1F2F2" w:themeColor="background1"/>
      <w:sz w:val="16"/>
      <w:szCs w:val="16"/>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next w:val="Tabletext"/>
    <w:qFormat/>
    <w:rsid w:val="00F307F6"/>
    <w:pPr>
      <w:spacing w:before="80" w:after="80"/>
    </w:pPr>
    <w:rPr>
      <w:rFonts w:ascii="Arial" w:eastAsia="Cambria" w:hAnsi="Arial"/>
      <w:b/>
      <w:color w:val="F1F2F2" w:themeColor="background1"/>
      <w:szCs w:val="22"/>
      <w:lang w:val="en-US" w:eastAsia="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FD08AF"/>
    <w:pPr>
      <w:spacing w:before="120"/>
    </w:pPr>
    <w:rPr>
      <w:rFonts w:ascii="Arial" w:hAnsi="Arial"/>
    </w:rPr>
    <w:tblPr>
      <w:tblBorders>
        <w:insideH w:val="single" w:sz="4" w:space="0" w:color="auto"/>
      </w:tblBorders>
    </w:tblPr>
    <w:tblStylePr w:type="firstRow">
      <w:rPr>
        <w:rFonts w:ascii="Arial" w:hAnsi="Arial"/>
        <w:b/>
        <w:color w:val="F1F2F2" w:themeColor="background1"/>
        <w:sz w:val="22"/>
      </w:rPr>
      <w:tblPr/>
      <w:tcPr>
        <w:shd w:val="clear" w:color="auto" w:fill="1E1545" w:themeFill="text1"/>
      </w:tcPr>
    </w:tblStyle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uiPriority w:val="99"/>
    <w:rsid w:val="002F3FAB"/>
    <w:pPr>
      <w:spacing w:before="120"/>
    </w:pPr>
    <w:rPr>
      <w:rFonts w:ascii="Arial" w:hAnsi="Arial"/>
      <w:sz w:val="18"/>
      <w:lang w:eastAsia="en-US"/>
    </w:rPr>
  </w:style>
  <w:style w:type="character" w:customStyle="1" w:styleId="FootnoteTextChar">
    <w:name w:val="Footnote Text Char"/>
    <w:basedOn w:val="DefaultParagraphFont"/>
    <w:link w:val="FootnoteText"/>
    <w:uiPriority w:val="99"/>
    <w:rsid w:val="002F3FAB"/>
    <w:rPr>
      <w:rFonts w:ascii="Arial" w:hAnsi="Arial"/>
      <w:sz w:val="18"/>
      <w:lang w:eastAsia="en-US"/>
    </w:rPr>
  </w:style>
  <w:style w:type="paragraph" w:styleId="Caption">
    <w:name w:val="caption"/>
    <w:basedOn w:val="Normal"/>
    <w:next w:val="Normal"/>
    <w:uiPriority w:val="35"/>
    <w:unhideWhenUsed/>
    <w:qFormat/>
    <w:rsid w:val="003D717D"/>
    <w:pPr>
      <w:keepNext/>
      <w:spacing w:after="200"/>
    </w:pPr>
    <w:rPr>
      <w:b/>
      <w:bCs/>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FF2819"/>
    <w:pPr>
      <w:jc w:val="right"/>
    </w:pPr>
    <w:rPr>
      <w:rFonts w:ascii="Arial" w:hAnsi="Arial"/>
      <w:color w:val="1E1545" w:themeColor="text1"/>
    </w:rPr>
    <w:tblPr>
      <w:tblStyleColBandSize w:val="1"/>
      <w:tblBorders>
        <w:top w:val="single" w:sz="4" w:space="0" w:color="1E1545" w:themeColor="text1"/>
        <w:bottom w:val="single" w:sz="4" w:space="0" w:color="1E1545" w:themeColor="text1"/>
        <w:insideH w:val="single" w:sz="4" w:space="0" w:color="1E1545" w:themeColor="text1"/>
      </w:tblBorders>
    </w:tblPr>
    <w:tcPr>
      <w:shd w:val="clear" w:color="auto" w:fill="auto"/>
    </w:tcPr>
    <w:tblStylePr w:type="firstRow">
      <w:rPr>
        <w:rFonts w:ascii="Arial" w:hAnsi="Arial"/>
        <w:sz w:val="20"/>
      </w:rPr>
      <w:tblPr/>
      <w:trPr>
        <w:tblHeader/>
      </w:trPr>
      <w:tcPr>
        <w:shd w:val="clear" w:color="auto" w:fill="1E1545" w:themeFill="text1"/>
      </w:tcPr>
    </w:tblStylePr>
    <w:tblStylePr w:type="lastRow">
      <w:rPr>
        <w:rFonts w:ascii="Arial" w:hAnsi="Arial"/>
        <w:color w:val="1E1545" w:themeColor="text1"/>
      </w:rPr>
    </w:tblStylePr>
    <w:tblStylePr w:type="firstCol">
      <w:pPr>
        <w:jc w:val="left"/>
      </w:pPr>
    </w:tblStylePr>
    <w:tblStylePr w:type="lastCol">
      <w:pPr>
        <w:jc w:val="right"/>
      </w:pPr>
      <w:tblPr/>
      <w:tcPr>
        <w:vAlign w:val="top"/>
      </w:tcPr>
    </w:tblStylePr>
    <w:tblStylePr w:type="band1Vert">
      <w:pPr>
        <w:jc w:val="right"/>
      </w:pPr>
      <w:tblPr/>
      <w:tcPr>
        <w:vAlign w:val="top"/>
      </w:tc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framePr w:wrap="around"/>
      <w:jc w:val="right"/>
    </w:pPr>
  </w:style>
  <w:style w:type="paragraph" w:customStyle="1" w:styleId="Tabletextright0">
    <w:name w:val="Table text right"/>
    <w:basedOn w:val="Tabletext"/>
    <w:rsid w:val="00BF7AD7"/>
    <w:pPr>
      <w:framePr w:wrap="around"/>
      <w:jc w:val="right"/>
    </w:pPr>
  </w:style>
  <w:style w:type="paragraph" w:customStyle="1" w:styleId="Tabletextcentre">
    <w:name w:val="Table text centre"/>
    <w:basedOn w:val="Tabletext"/>
    <w:rsid w:val="00BF7AD7"/>
    <w:pPr>
      <w:framePr w:wrap="around"/>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unhideWhenUsed/>
    <w:rsid w:val="00BF7AD7"/>
  </w:style>
  <w:style w:type="character" w:customStyle="1" w:styleId="BodyTextChar">
    <w:name w:val="Body Text Char"/>
    <w:basedOn w:val="DefaultParagraphFont"/>
    <w:link w:val="BodyText"/>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bulletpoint">
    <w:name w:val="TABLE bullet point"/>
    <w:basedOn w:val="Normal"/>
    <w:link w:val="TABLEbulletpointChar"/>
    <w:qFormat/>
    <w:rsid w:val="00DC3C01"/>
    <w:pPr>
      <w:numPr>
        <w:numId w:val="7"/>
      </w:numPr>
      <w:contextualSpacing/>
    </w:pPr>
    <w:rPr>
      <w:noProof/>
      <w:color w:val="1E1545"/>
      <w:sz w:val="20"/>
      <w:szCs w:val="20"/>
      <w:shd w:val="clear" w:color="auto" w:fill="FFFFFF"/>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8"/>
      </w:numPr>
    </w:pPr>
  </w:style>
  <w:style w:type="numbering" w:customStyle="1" w:styleId="CurrentList1">
    <w:name w:val="Current List1"/>
    <w:uiPriority w:val="99"/>
    <w:rsid w:val="008E6354"/>
    <w:pPr>
      <w:numPr>
        <w:numId w:val="9"/>
      </w:numPr>
    </w:pPr>
  </w:style>
  <w:style w:type="paragraph" w:styleId="TOCHeading">
    <w:name w:val="TOC Heading"/>
    <w:basedOn w:val="Heading1"/>
    <w:next w:val="Normal"/>
    <w:uiPriority w:val="39"/>
    <w:unhideWhenUsed/>
    <w:qFormat/>
    <w:rsid w:val="00715B3D"/>
    <w:pPr>
      <w:keepLines/>
      <w:spacing w:before="240" w:after="0" w:line="259" w:lineRule="auto"/>
      <w:outlineLvl w:val="9"/>
    </w:pPr>
    <w:rPr>
      <w:rFonts w:asciiTheme="majorHAnsi" w:eastAsiaTheme="majorEastAsia" w:hAnsiTheme="majorHAnsi" w:cstheme="majorBidi"/>
      <w:b w:val="0"/>
      <w:bCs w:val="0"/>
      <w:color w:val="1F848B" w:themeColor="accent1" w:themeShade="BF"/>
      <w:kern w:val="0"/>
      <w:sz w:val="32"/>
      <w:szCs w:val="32"/>
      <w:lang w:val="en-US"/>
    </w:rPr>
  </w:style>
  <w:style w:type="paragraph" w:styleId="TOC1">
    <w:name w:val="toc 1"/>
    <w:basedOn w:val="Normal"/>
    <w:next w:val="Normal"/>
    <w:autoRedefine/>
    <w:uiPriority w:val="39"/>
    <w:unhideWhenUsed/>
    <w:rsid w:val="008B5433"/>
    <w:pPr>
      <w:pBdr>
        <w:top w:val="single" w:sz="6" w:space="1" w:color="2AB1BB" w:themeColor="accent1"/>
        <w:bottom w:val="single" w:sz="6" w:space="1" w:color="2AB1BB" w:themeColor="accent1"/>
        <w:between w:val="single" w:sz="6" w:space="1" w:color="2AB1BB" w:themeColor="accent1"/>
      </w:pBdr>
      <w:tabs>
        <w:tab w:val="right" w:pos="9061"/>
      </w:tabs>
    </w:pPr>
    <w:rPr>
      <w:b/>
      <w:bCs/>
      <w:szCs w:val="20"/>
    </w:rPr>
  </w:style>
  <w:style w:type="paragraph" w:styleId="TOC2">
    <w:name w:val="toc 2"/>
    <w:basedOn w:val="Normal"/>
    <w:next w:val="Normal"/>
    <w:uiPriority w:val="39"/>
    <w:unhideWhenUsed/>
    <w:rsid w:val="00DD6906"/>
    <w:pPr>
      <w:pBdr>
        <w:top w:val="single" w:sz="6" w:space="1" w:color="2AB1BB" w:themeColor="accent1"/>
        <w:bottom w:val="single" w:sz="6" w:space="1" w:color="2AB1BB" w:themeColor="accent1"/>
        <w:between w:val="single" w:sz="6" w:space="1" w:color="2AB1BB" w:themeColor="accent1"/>
      </w:pBdr>
      <w:tabs>
        <w:tab w:val="right" w:pos="9060"/>
      </w:tabs>
    </w:pPr>
    <w:rPr>
      <w:rFonts w:cstheme="minorHAnsi"/>
      <w:noProof/>
      <w:szCs w:val="20"/>
    </w:rPr>
  </w:style>
  <w:style w:type="paragraph" w:styleId="TOC3">
    <w:name w:val="toc 3"/>
    <w:basedOn w:val="Normal"/>
    <w:next w:val="Normal"/>
    <w:autoRedefine/>
    <w:uiPriority w:val="39"/>
    <w:unhideWhenUsed/>
    <w:rsid w:val="00060EA1"/>
    <w:pPr>
      <w:tabs>
        <w:tab w:val="right" w:pos="9061"/>
      </w:tabs>
      <w:spacing w:before="0" w:after="0"/>
    </w:pPr>
    <w:rPr>
      <w:rFonts w:cs="Arial"/>
      <w:noProof/>
      <w:szCs w:val="20"/>
    </w:rPr>
  </w:style>
  <w:style w:type="paragraph" w:styleId="TOC4">
    <w:name w:val="toc 4"/>
    <w:basedOn w:val="Normal"/>
    <w:next w:val="Normal"/>
    <w:autoRedefine/>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nhideWhenUsed/>
    <w:rsid w:val="00DD6906"/>
    <w:pPr>
      <w:spacing w:before="0" w:after="0"/>
      <w:ind w:left="168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character" w:styleId="CommentReference">
    <w:name w:val="annotation reference"/>
    <w:basedOn w:val="DefaultParagraphFont"/>
    <w:uiPriority w:val="99"/>
    <w:semiHidden/>
    <w:unhideWhenUsed/>
    <w:rsid w:val="00A01BBE"/>
    <w:rPr>
      <w:sz w:val="16"/>
      <w:szCs w:val="16"/>
    </w:rPr>
  </w:style>
  <w:style w:type="paragraph" w:styleId="CommentText">
    <w:name w:val="annotation text"/>
    <w:basedOn w:val="Normal"/>
    <w:link w:val="CommentTextChar"/>
    <w:uiPriority w:val="99"/>
    <w:unhideWhenUsed/>
    <w:rsid w:val="00A01BBE"/>
    <w:pPr>
      <w:spacing w:line="240" w:lineRule="auto"/>
    </w:pPr>
    <w:rPr>
      <w:sz w:val="20"/>
      <w:szCs w:val="20"/>
    </w:rPr>
  </w:style>
  <w:style w:type="character" w:customStyle="1" w:styleId="CommentTextChar">
    <w:name w:val="Comment Text Char"/>
    <w:basedOn w:val="DefaultParagraphFont"/>
    <w:link w:val="CommentText"/>
    <w:uiPriority w:val="99"/>
    <w:rsid w:val="00A01BBE"/>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A01BBE"/>
    <w:rPr>
      <w:b/>
      <w:bCs/>
    </w:rPr>
  </w:style>
  <w:style w:type="character" w:customStyle="1" w:styleId="CommentSubjectChar">
    <w:name w:val="Comment Subject Char"/>
    <w:basedOn w:val="CommentTextChar"/>
    <w:link w:val="CommentSubject"/>
    <w:semiHidden/>
    <w:rsid w:val="00A01BBE"/>
    <w:rPr>
      <w:rFonts w:ascii="Arial" w:hAnsi="Arial"/>
      <w:b/>
      <w:bCs/>
      <w:color w:val="1E1545" w:themeColor="text1"/>
      <w:lang w:eastAsia="en-US"/>
    </w:rPr>
  </w:style>
  <w:style w:type="paragraph" w:styleId="TableofFigures">
    <w:name w:val="table of figures"/>
    <w:basedOn w:val="Normal"/>
    <w:next w:val="Normal"/>
    <w:uiPriority w:val="99"/>
    <w:unhideWhenUsed/>
    <w:rsid w:val="00A55317"/>
    <w:pPr>
      <w:spacing w:after="0"/>
    </w:pPr>
  </w:style>
  <w:style w:type="character" w:customStyle="1" w:styleId="Heading8Char">
    <w:name w:val="Heading 8 Char"/>
    <w:basedOn w:val="DefaultParagraphFont"/>
    <w:link w:val="Heading8"/>
    <w:semiHidden/>
    <w:rsid w:val="00DC6FE4"/>
    <w:rPr>
      <w:rFonts w:asciiTheme="majorHAnsi" w:eastAsiaTheme="majorEastAsia" w:hAnsiTheme="majorHAnsi" w:cstheme="majorBidi"/>
      <w:color w:val="332476" w:themeColor="text1" w:themeTint="D8"/>
      <w:sz w:val="21"/>
      <w:szCs w:val="21"/>
      <w:lang w:eastAsia="en-US"/>
    </w:rPr>
  </w:style>
  <w:style w:type="character" w:customStyle="1" w:styleId="Heading9Char">
    <w:name w:val="Heading 9 Char"/>
    <w:basedOn w:val="DefaultParagraphFont"/>
    <w:link w:val="Heading9"/>
    <w:semiHidden/>
    <w:rsid w:val="00DC6FE4"/>
    <w:rPr>
      <w:rFonts w:asciiTheme="majorHAnsi" w:eastAsiaTheme="majorEastAsia" w:hAnsiTheme="majorHAnsi" w:cstheme="majorBidi"/>
      <w:i/>
      <w:iCs/>
      <w:color w:val="332476" w:themeColor="text1" w:themeTint="D8"/>
      <w:sz w:val="21"/>
      <w:szCs w:val="21"/>
      <w:lang w:eastAsia="en-US"/>
    </w:rPr>
  </w:style>
  <w:style w:type="paragraph" w:customStyle="1" w:styleId="TableParagraphbold">
    <w:name w:val="Table Paragraph (bold)"/>
    <w:basedOn w:val="Normal"/>
    <w:uiPriority w:val="1"/>
    <w:qFormat/>
    <w:rsid w:val="00FF2819"/>
    <w:pPr>
      <w:widowControl w:val="0"/>
      <w:autoSpaceDE w:val="0"/>
      <w:autoSpaceDN w:val="0"/>
      <w:spacing w:before="40" w:after="0" w:line="240" w:lineRule="auto"/>
    </w:pPr>
    <w:rPr>
      <w:rFonts w:eastAsia="Degular" w:cs="Degular"/>
      <w:b/>
      <w:color w:val="auto"/>
      <w:sz w:val="20"/>
      <w:szCs w:val="22"/>
      <w:lang w:val="en-US"/>
    </w:rPr>
  </w:style>
  <w:style w:type="paragraph" w:styleId="EndnoteText">
    <w:name w:val="endnote text"/>
    <w:basedOn w:val="Normal"/>
    <w:link w:val="EndnoteTextChar"/>
    <w:semiHidden/>
    <w:unhideWhenUsed/>
    <w:rsid w:val="00930F27"/>
    <w:pPr>
      <w:spacing w:before="0" w:after="0" w:line="240" w:lineRule="auto"/>
    </w:pPr>
    <w:rPr>
      <w:sz w:val="20"/>
      <w:szCs w:val="20"/>
    </w:rPr>
  </w:style>
  <w:style w:type="character" w:customStyle="1" w:styleId="EndnoteTextChar">
    <w:name w:val="Endnote Text Char"/>
    <w:basedOn w:val="DefaultParagraphFont"/>
    <w:link w:val="EndnoteText"/>
    <w:semiHidden/>
    <w:rsid w:val="00930F27"/>
    <w:rPr>
      <w:rFonts w:ascii="Arial" w:hAnsi="Arial"/>
      <w:color w:val="1E1545" w:themeColor="text1"/>
      <w:lang w:eastAsia="en-US"/>
    </w:rPr>
  </w:style>
  <w:style w:type="character" w:styleId="EndnoteReference">
    <w:name w:val="endnote reference"/>
    <w:basedOn w:val="DefaultParagraphFont"/>
    <w:semiHidden/>
    <w:unhideWhenUsed/>
    <w:rsid w:val="00930F27"/>
    <w:rPr>
      <w:vertAlign w:val="superscript"/>
    </w:rPr>
  </w:style>
  <w:style w:type="character" w:styleId="UnresolvedMention">
    <w:name w:val="Unresolved Mention"/>
    <w:basedOn w:val="DefaultParagraphFont"/>
    <w:uiPriority w:val="99"/>
    <w:unhideWhenUsed/>
    <w:rsid w:val="00691F6C"/>
    <w:rPr>
      <w:color w:val="605E5C"/>
      <w:shd w:val="clear" w:color="auto" w:fill="E1DFDD"/>
    </w:rPr>
  </w:style>
  <w:style w:type="character" w:styleId="Mention">
    <w:name w:val="Mention"/>
    <w:basedOn w:val="DefaultParagraphFont"/>
    <w:uiPriority w:val="99"/>
    <w:unhideWhenUsed/>
    <w:rsid w:val="00625CEB"/>
    <w:rPr>
      <w:color w:val="2B579A"/>
      <w:shd w:val="clear" w:color="auto" w:fill="E1DFDD"/>
    </w:rPr>
  </w:style>
  <w:style w:type="character" w:styleId="FootnoteReference">
    <w:name w:val="footnote reference"/>
    <w:basedOn w:val="DefaultParagraphFont"/>
    <w:semiHidden/>
    <w:unhideWhenUsed/>
    <w:rsid w:val="002B5A99"/>
    <w:rPr>
      <w:vertAlign w:val="superscript"/>
    </w:rPr>
  </w:style>
  <w:style w:type="paragraph" w:styleId="Revision">
    <w:name w:val="Revision"/>
    <w:hidden/>
    <w:uiPriority w:val="99"/>
    <w:semiHidden/>
    <w:rsid w:val="00FC0501"/>
    <w:rPr>
      <w:rFonts w:ascii="Arial" w:hAnsi="Arial"/>
      <w:color w:val="1E1545" w:themeColor="text1"/>
      <w:sz w:val="24"/>
      <w:szCs w:val="24"/>
      <w:lang w:eastAsia="en-US"/>
    </w:rPr>
  </w:style>
  <w:style w:type="paragraph" w:customStyle="1" w:styleId="Default">
    <w:name w:val="Default"/>
    <w:rsid w:val="00CD73F9"/>
    <w:pPr>
      <w:autoSpaceDE w:val="0"/>
      <w:autoSpaceDN w:val="0"/>
      <w:adjustRightInd w:val="0"/>
    </w:pPr>
    <w:rPr>
      <w:rFonts w:ascii="Arial" w:hAnsi="Arial" w:cs="Arial"/>
      <w:color w:val="000000"/>
      <w:sz w:val="24"/>
      <w:szCs w:val="24"/>
    </w:rPr>
  </w:style>
  <w:style w:type="character" w:styleId="FollowedHyperlink">
    <w:name w:val="FollowedHyperlink"/>
    <w:basedOn w:val="DefaultParagraphFont"/>
    <w:uiPriority w:val="99"/>
    <w:semiHidden/>
    <w:unhideWhenUsed/>
    <w:rsid w:val="00FA22DF"/>
    <w:rPr>
      <w:color w:val="000000" w:themeColor="followedHyperlink"/>
      <w:u w:val="single"/>
    </w:rPr>
  </w:style>
  <w:style w:type="paragraph" w:customStyle="1" w:styleId="msonormal0">
    <w:name w:val="msonormal"/>
    <w:basedOn w:val="Normal"/>
    <w:rsid w:val="0027435D"/>
    <w:pPr>
      <w:spacing w:before="100" w:beforeAutospacing="1" w:after="100" w:afterAutospacing="1" w:line="240" w:lineRule="auto"/>
    </w:pPr>
    <w:rPr>
      <w:rFonts w:ascii="Times New Roman" w:hAnsi="Times New Roman"/>
      <w:color w:val="auto"/>
      <w:lang w:eastAsia="en-AU"/>
    </w:rPr>
  </w:style>
  <w:style w:type="paragraph" w:customStyle="1" w:styleId="xl66">
    <w:name w:val="xl66"/>
    <w:basedOn w:val="Normal"/>
    <w:rsid w:val="0027435D"/>
    <w:pPr>
      <w:pBdr>
        <w:top w:val="single" w:sz="12" w:space="0" w:color="009DD6"/>
        <w:bottom w:val="single" w:sz="8" w:space="0" w:color="009DD6"/>
      </w:pBdr>
      <w:spacing w:before="100" w:beforeAutospacing="1" w:after="100" w:afterAutospacing="1" w:line="240" w:lineRule="auto"/>
    </w:pPr>
    <w:rPr>
      <w:rFonts w:ascii="Times New Roman" w:hAnsi="Times New Roman"/>
      <w:color w:val="000000"/>
      <w:sz w:val="20"/>
      <w:szCs w:val="20"/>
      <w:lang w:eastAsia="en-AU"/>
    </w:rPr>
  </w:style>
  <w:style w:type="paragraph" w:customStyle="1" w:styleId="xl67">
    <w:name w:val="xl67"/>
    <w:basedOn w:val="Normal"/>
    <w:rsid w:val="0027435D"/>
    <w:pPr>
      <w:pBdr>
        <w:top w:val="single" w:sz="12" w:space="0" w:color="009DD6"/>
        <w:bottom w:val="single" w:sz="8" w:space="0" w:color="009DD6"/>
      </w:pBdr>
      <w:spacing w:before="100" w:beforeAutospacing="1" w:after="100" w:afterAutospacing="1" w:line="240" w:lineRule="auto"/>
      <w:jc w:val="right"/>
      <w:textAlignment w:val="center"/>
    </w:pPr>
    <w:rPr>
      <w:rFonts w:ascii="Segoe UI" w:hAnsi="Segoe UI" w:cs="Segoe UI"/>
      <w:color w:val="0076A1"/>
      <w:sz w:val="20"/>
      <w:szCs w:val="20"/>
      <w:lang w:eastAsia="en-AU"/>
    </w:rPr>
  </w:style>
  <w:style w:type="paragraph" w:customStyle="1" w:styleId="xl68">
    <w:name w:val="xl68"/>
    <w:basedOn w:val="Normal"/>
    <w:rsid w:val="0027435D"/>
    <w:pPr>
      <w:pBdr>
        <w:bottom w:val="single" w:sz="8" w:space="0" w:color="auto"/>
      </w:pBdr>
      <w:shd w:val="clear" w:color="000000" w:fill="F2F2F2"/>
      <w:spacing w:before="100" w:beforeAutospacing="1" w:after="100" w:afterAutospacing="1" w:line="240" w:lineRule="auto"/>
      <w:textAlignment w:val="center"/>
    </w:pPr>
    <w:rPr>
      <w:rFonts w:ascii="Segoe UI" w:hAnsi="Segoe UI" w:cs="Segoe UI"/>
      <w:b/>
      <w:bCs/>
      <w:color w:val="313131"/>
      <w:sz w:val="20"/>
      <w:szCs w:val="20"/>
      <w:lang w:eastAsia="en-AU"/>
    </w:rPr>
  </w:style>
  <w:style w:type="paragraph" w:customStyle="1" w:styleId="xl69">
    <w:name w:val="xl69"/>
    <w:basedOn w:val="Normal"/>
    <w:rsid w:val="0027435D"/>
    <w:pPr>
      <w:pBdr>
        <w:bottom w:val="single" w:sz="8" w:space="0" w:color="auto"/>
      </w:pBdr>
      <w:spacing w:before="100" w:beforeAutospacing="1" w:after="100" w:afterAutospacing="1" w:line="240" w:lineRule="auto"/>
      <w:textAlignment w:val="center"/>
    </w:pPr>
    <w:rPr>
      <w:rFonts w:ascii="Segoe UI" w:hAnsi="Segoe UI" w:cs="Segoe UI"/>
      <w:b/>
      <w:bCs/>
      <w:color w:val="313131"/>
      <w:sz w:val="20"/>
      <w:szCs w:val="20"/>
      <w:lang w:eastAsia="en-AU"/>
    </w:rPr>
  </w:style>
  <w:style w:type="paragraph" w:customStyle="1" w:styleId="xl70">
    <w:name w:val="xl70"/>
    <w:basedOn w:val="Normal"/>
    <w:rsid w:val="0027435D"/>
    <w:pPr>
      <w:pBdr>
        <w:bottom w:val="single" w:sz="8" w:space="0" w:color="auto"/>
      </w:pBdr>
      <w:spacing w:before="100" w:beforeAutospacing="1" w:after="100" w:afterAutospacing="1" w:line="240" w:lineRule="auto"/>
      <w:textAlignment w:val="center"/>
    </w:pPr>
    <w:rPr>
      <w:rFonts w:ascii="Segoe UI" w:hAnsi="Segoe UI" w:cs="Segoe UI"/>
      <w:b/>
      <w:bCs/>
      <w:i/>
      <w:iCs/>
      <w:color w:val="313131"/>
      <w:sz w:val="20"/>
      <w:szCs w:val="20"/>
      <w:lang w:eastAsia="en-AU"/>
    </w:rPr>
  </w:style>
  <w:style w:type="paragraph" w:customStyle="1" w:styleId="xl71">
    <w:name w:val="xl71"/>
    <w:basedOn w:val="Normal"/>
    <w:rsid w:val="0027435D"/>
    <w:pPr>
      <w:pBdr>
        <w:top w:val="single" w:sz="8" w:space="0" w:color="auto"/>
        <w:bottom w:val="single" w:sz="8" w:space="0" w:color="auto"/>
      </w:pBdr>
      <w:spacing w:before="100" w:beforeAutospacing="1" w:after="100" w:afterAutospacing="1" w:line="240" w:lineRule="auto"/>
      <w:ind w:firstLineChars="100" w:firstLine="100"/>
    </w:pPr>
    <w:rPr>
      <w:rFonts w:ascii="Times New Roman" w:hAnsi="Times New Roman"/>
      <w:color w:val="000000"/>
      <w:lang w:eastAsia="en-AU"/>
    </w:rPr>
  </w:style>
  <w:style w:type="paragraph" w:customStyle="1" w:styleId="xl72">
    <w:name w:val="xl72"/>
    <w:basedOn w:val="Normal"/>
    <w:rsid w:val="0027435D"/>
    <w:pPr>
      <w:pBdr>
        <w:top w:val="single" w:sz="8" w:space="0" w:color="auto"/>
        <w:bottom w:val="single" w:sz="8" w:space="0" w:color="auto"/>
      </w:pBdr>
      <w:shd w:val="clear" w:color="000000" w:fill="DBDBDB"/>
      <w:spacing w:before="100" w:beforeAutospacing="1" w:after="100" w:afterAutospacing="1" w:line="240" w:lineRule="auto"/>
      <w:textAlignment w:val="center"/>
    </w:pPr>
    <w:rPr>
      <w:rFonts w:ascii="Segoe UI" w:hAnsi="Segoe UI" w:cs="Segoe UI"/>
      <w:b/>
      <w:bCs/>
      <w:i/>
      <w:iCs/>
      <w:color w:val="313131"/>
      <w:sz w:val="20"/>
      <w:szCs w:val="20"/>
      <w:lang w:eastAsia="en-AU"/>
    </w:rPr>
  </w:style>
  <w:style w:type="paragraph" w:customStyle="1" w:styleId="xl73">
    <w:name w:val="xl73"/>
    <w:basedOn w:val="Normal"/>
    <w:rsid w:val="0027435D"/>
    <w:pPr>
      <w:pBdr>
        <w:top w:val="single" w:sz="8" w:space="0" w:color="auto"/>
        <w:bottom w:val="single" w:sz="8" w:space="0" w:color="auto"/>
      </w:pBdr>
      <w:spacing w:before="100" w:beforeAutospacing="1" w:after="100" w:afterAutospacing="1" w:line="240" w:lineRule="auto"/>
      <w:textAlignment w:val="center"/>
    </w:pPr>
    <w:rPr>
      <w:rFonts w:ascii="Segoe UI" w:hAnsi="Segoe UI" w:cs="Segoe UI"/>
      <w:b/>
      <w:bCs/>
      <w:i/>
      <w:iCs/>
      <w:color w:val="313131"/>
      <w:sz w:val="20"/>
      <w:szCs w:val="20"/>
      <w:lang w:eastAsia="en-AU"/>
    </w:rPr>
  </w:style>
  <w:style w:type="paragraph" w:customStyle="1" w:styleId="xl74">
    <w:name w:val="xl74"/>
    <w:basedOn w:val="Normal"/>
    <w:rsid w:val="0027435D"/>
    <w:pPr>
      <w:pBdr>
        <w:bottom w:val="single" w:sz="8" w:space="0" w:color="auto"/>
      </w:pBdr>
      <w:spacing w:before="100" w:beforeAutospacing="1" w:after="100" w:afterAutospacing="1" w:line="240" w:lineRule="auto"/>
      <w:jc w:val="right"/>
      <w:textAlignment w:val="center"/>
    </w:pPr>
    <w:rPr>
      <w:rFonts w:ascii="Segoe UI" w:hAnsi="Segoe UI" w:cs="Segoe UI"/>
      <w:color w:val="313131"/>
      <w:sz w:val="20"/>
      <w:szCs w:val="20"/>
      <w:lang w:eastAsia="en-AU"/>
    </w:rPr>
  </w:style>
  <w:style w:type="paragraph" w:customStyle="1" w:styleId="xl75">
    <w:name w:val="xl75"/>
    <w:basedOn w:val="Normal"/>
    <w:rsid w:val="0027435D"/>
    <w:pPr>
      <w:pBdr>
        <w:top w:val="single" w:sz="8" w:space="0" w:color="auto"/>
        <w:bottom w:val="single" w:sz="8" w:space="0" w:color="auto"/>
      </w:pBdr>
      <w:shd w:val="clear" w:color="000000" w:fill="DBDBDB"/>
      <w:spacing w:before="100" w:beforeAutospacing="1" w:after="100" w:afterAutospacing="1" w:line="240" w:lineRule="auto"/>
      <w:textAlignment w:val="center"/>
    </w:pPr>
    <w:rPr>
      <w:rFonts w:ascii="Segoe UI" w:hAnsi="Segoe UI" w:cs="Segoe UI"/>
      <w:b/>
      <w:bCs/>
      <w:color w:val="313131"/>
      <w:sz w:val="20"/>
      <w:szCs w:val="20"/>
      <w:lang w:eastAsia="en-AU"/>
    </w:rPr>
  </w:style>
  <w:style w:type="paragraph" w:customStyle="1" w:styleId="xl76">
    <w:name w:val="xl76"/>
    <w:basedOn w:val="Normal"/>
    <w:rsid w:val="0027435D"/>
    <w:pPr>
      <w:pBdr>
        <w:top w:val="single" w:sz="8" w:space="0" w:color="auto"/>
        <w:bottom w:val="single" w:sz="8" w:space="0" w:color="auto"/>
      </w:pBdr>
      <w:spacing w:before="100" w:beforeAutospacing="1" w:after="100" w:afterAutospacing="1" w:line="240" w:lineRule="auto"/>
      <w:textAlignment w:val="center"/>
    </w:pPr>
    <w:rPr>
      <w:rFonts w:ascii="Segoe UI" w:hAnsi="Segoe UI" w:cs="Segoe UI"/>
      <w:b/>
      <w:bCs/>
      <w:color w:val="313131"/>
      <w:sz w:val="20"/>
      <w:szCs w:val="20"/>
      <w:lang w:eastAsia="en-AU"/>
    </w:rPr>
  </w:style>
  <w:style w:type="paragraph" w:customStyle="1" w:styleId="xl77">
    <w:name w:val="xl77"/>
    <w:basedOn w:val="Normal"/>
    <w:rsid w:val="0027435D"/>
    <w:pPr>
      <w:pBdr>
        <w:top w:val="single" w:sz="8" w:space="0" w:color="auto"/>
        <w:bottom w:val="single" w:sz="8" w:space="0" w:color="auto"/>
      </w:pBdr>
      <w:spacing w:before="100" w:beforeAutospacing="1" w:after="100" w:afterAutospacing="1" w:line="240" w:lineRule="auto"/>
    </w:pPr>
    <w:rPr>
      <w:rFonts w:ascii="Times New Roman" w:hAnsi="Times New Roman"/>
      <w:color w:val="000000"/>
      <w:lang w:eastAsia="en-AU"/>
    </w:rPr>
  </w:style>
  <w:style w:type="paragraph" w:customStyle="1" w:styleId="xl78">
    <w:name w:val="xl78"/>
    <w:basedOn w:val="Normal"/>
    <w:rsid w:val="0027435D"/>
    <w:pPr>
      <w:pBdr>
        <w:top w:val="single" w:sz="8" w:space="0" w:color="auto"/>
        <w:bottom w:val="single" w:sz="8" w:space="0" w:color="auto"/>
      </w:pBdr>
      <w:shd w:val="clear" w:color="000000" w:fill="DDEBF7"/>
      <w:spacing w:before="100" w:beforeAutospacing="1" w:after="100" w:afterAutospacing="1" w:line="240" w:lineRule="auto"/>
      <w:textAlignment w:val="center"/>
    </w:pPr>
    <w:rPr>
      <w:rFonts w:ascii="Segoe UI" w:hAnsi="Segoe UI" w:cs="Segoe UI"/>
      <w:b/>
      <w:bCs/>
      <w:color w:val="313131"/>
      <w:sz w:val="20"/>
      <w:szCs w:val="20"/>
      <w:lang w:eastAsia="en-AU"/>
    </w:rPr>
  </w:style>
  <w:style w:type="paragraph" w:customStyle="1" w:styleId="xl79">
    <w:name w:val="xl79"/>
    <w:basedOn w:val="Normal"/>
    <w:rsid w:val="0027435D"/>
    <w:pPr>
      <w:pBdr>
        <w:top w:val="single" w:sz="8" w:space="0" w:color="auto"/>
        <w:bottom w:val="single" w:sz="8" w:space="0" w:color="auto"/>
      </w:pBdr>
      <w:spacing w:before="100" w:beforeAutospacing="1" w:after="100" w:afterAutospacing="1" w:line="240" w:lineRule="auto"/>
      <w:ind w:firstLineChars="100" w:firstLine="100"/>
    </w:pPr>
    <w:rPr>
      <w:rFonts w:ascii="Times New Roman" w:hAnsi="Times New Roman"/>
      <w:b/>
      <w:bCs/>
      <w:i/>
      <w:iCs/>
      <w:color w:val="000000"/>
      <w:lang w:eastAsia="en-AU"/>
    </w:rPr>
  </w:style>
  <w:style w:type="paragraph" w:customStyle="1" w:styleId="xl80">
    <w:name w:val="xl80"/>
    <w:basedOn w:val="Normal"/>
    <w:rsid w:val="0027435D"/>
    <w:pPr>
      <w:pBdr>
        <w:top w:val="single" w:sz="8" w:space="0" w:color="auto"/>
        <w:bottom w:val="single" w:sz="8" w:space="0" w:color="auto"/>
      </w:pBdr>
      <w:spacing w:before="100" w:beforeAutospacing="1" w:after="100" w:afterAutospacing="1" w:line="240" w:lineRule="auto"/>
      <w:ind w:firstLineChars="200" w:firstLine="200"/>
    </w:pPr>
    <w:rPr>
      <w:rFonts w:ascii="Times New Roman" w:hAnsi="Times New Roman"/>
      <w:color w:val="000000"/>
      <w:lang w:eastAsia="en-AU"/>
    </w:rPr>
  </w:style>
  <w:style w:type="paragraph" w:customStyle="1" w:styleId="xl81">
    <w:name w:val="xl81"/>
    <w:basedOn w:val="Normal"/>
    <w:rsid w:val="0027435D"/>
    <w:pPr>
      <w:pBdr>
        <w:bottom w:val="single" w:sz="8" w:space="0" w:color="auto"/>
      </w:pBdr>
      <w:spacing w:before="100" w:beforeAutospacing="1" w:after="100" w:afterAutospacing="1" w:line="240" w:lineRule="auto"/>
      <w:jc w:val="right"/>
      <w:textAlignment w:val="center"/>
    </w:pPr>
    <w:rPr>
      <w:rFonts w:ascii="Segoe UI" w:hAnsi="Segoe UI" w:cs="Segoe UI"/>
      <w:b/>
      <w:bCs/>
      <w:color w:val="313131"/>
      <w:sz w:val="20"/>
      <w:szCs w:val="20"/>
      <w:lang w:eastAsia="en-AU"/>
    </w:rPr>
  </w:style>
  <w:style w:type="paragraph" w:customStyle="1" w:styleId="xl82">
    <w:name w:val="xl82"/>
    <w:basedOn w:val="Normal"/>
    <w:rsid w:val="0027435D"/>
    <w:pPr>
      <w:pBdr>
        <w:top w:val="single" w:sz="8" w:space="0" w:color="auto"/>
        <w:bottom w:val="single" w:sz="8" w:space="0" w:color="auto"/>
      </w:pBdr>
      <w:spacing w:before="100" w:beforeAutospacing="1" w:after="100" w:afterAutospacing="1" w:line="240" w:lineRule="auto"/>
      <w:ind w:firstLineChars="100" w:firstLine="100"/>
      <w:textAlignment w:val="center"/>
    </w:pPr>
    <w:rPr>
      <w:rFonts w:ascii="Segoe UI" w:hAnsi="Segoe UI" w:cs="Segoe UI"/>
      <w:b/>
      <w:bCs/>
      <w:i/>
      <w:iCs/>
      <w:color w:val="313131"/>
      <w:sz w:val="20"/>
      <w:szCs w:val="20"/>
      <w:lang w:eastAsia="en-AU"/>
    </w:rPr>
  </w:style>
  <w:style w:type="paragraph" w:customStyle="1" w:styleId="xl83">
    <w:name w:val="xl83"/>
    <w:basedOn w:val="Normal"/>
    <w:rsid w:val="0027435D"/>
    <w:pPr>
      <w:pBdr>
        <w:bottom w:val="single" w:sz="8" w:space="0" w:color="auto"/>
      </w:pBdr>
      <w:spacing w:before="100" w:beforeAutospacing="1" w:after="100" w:afterAutospacing="1" w:line="240" w:lineRule="auto"/>
      <w:jc w:val="right"/>
      <w:textAlignment w:val="center"/>
    </w:pPr>
    <w:rPr>
      <w:rFonts w:ascii="Segoe UI" w:hAnsi="Segoe UI" w:cs="Segoe UI"/>
      <w:color w:val="313131"/>
      <w:sz w:val="20"/>
      <w:szCs w:val="20"/>
      <w:lang w:eastAsia="en-AU"/>
    </w:rPr>
  </w:style>
  <w:style w:type="paragraph" w:customStyle="1" w:styleId="xl84">
    <w:name w:val="xl84"/>
    <w:basedOn w:val="Normal"/>
    <w:rsid w:val="0027435D"/>
    <w:pPr>
      <w:pBdr>
        <w:bottom w:val="single" w:sz="8" w:space="0" w:color="auto"/>
      </w:pBdr>
      <w:shd w:val="clear" w:color="000000" w:fill="DBDBDB"/>
      <w:spacing w:before="100" w:beforeAutospacing="1" w:after="100" w:afterAutospacing="1" w:line="240" w:lineRule="auto"/>
      <w:jc w:val="right"/>
      <w:textAlignment w:val="center"/>
    </w:pPr>
    <w:rPr>
      <w:rFonts w:ascii="Segoe UI" w:hAnsi="Segoe UI" w:cs="Segoe UI"/>
      <w:b/>
      <w:bCs/>
      <w:color w:val="313131"/>
      <w:sz w:val="20"/>
      <w:szCs w:val="20"/>
      <w:lang w:eastAsia="en-AU"/>
    </w:rPr>
  </w:style>
  <w:style w:type="paragraph" w:customStyle="1" w:styleId="xl85">
    <w:name w:val="xl85"/>
    <w:basedOn w:val="Normal"/>
    <w:rsid w:val="0027435D"/>
    <w:pPr>
      <w:pBdr>
        <w:bottom w:val="single" w:sz="8" w:space="0" w:color="auto"/>
      </w:pBdr>
      <w:shd w:val="clear" w:color="000000" w:fill="DDEBF7"/>
      <w:spacing w:before="100" w:beforeAutospacing="1" w:after="100" w:afterAutospacing="1" w:line="240" w:lineRule="auto"/>
      <w:jc w:val="right"/>
      <w:textAlignment w:val="center"/>
    </w:pPr>
    <w:rPr>
      <w:rFonts w:ascii="Segoe UI" w:hAnsi="Segoe UI" w:cs="Segoe UI"/>
      <w:b/>
      <w:bCs/>
      <w:color w:val="313131"/>
      <w:sz w:val="20"/>
      <w:szCs w:val="20"/>
      <w:lang w:eastAsia="en-AU"/>
    </w:rPr>
  </w:style>
  <w:style w:type="paragraph" w:customStyle="1" w:styleId="xl86">
    <w:name w:val="xl86"/>
    <w:basedOn w:val="Normal"/>
    <w:rsid w:val="0027435D"/>
    <w:pPr>
      <w:pBdr>
        <w:bottom w:val="single" w:sz="8" w:space="0" w:color="auto"/>
      </w:pBdr>
      <w:spacing w:before="100" w:beforeAutospacing="1" w:after="100" w:afterAutospacing="1" w:line="240" w:lineRule="auto"/>
      <w:jc w:val="right"/>
      <w:textAlignment w:val="center"/>
    </w:pPr>
    <w:rPr>
      <w:rFonts w:ascii="Segoe UI" w:hAnsi="Segoe UI" w:cs="Segoe UI"/>
      <w:b/>
      <w:bCs/>
      <w:color w:val="313131"/>
      <w:sz w:val="20"/>
      <w:szCs w:val="20"/>
      <w:lang w:eastAsia="en-AU"/>
    </w:rPr>
  </w:style>
  <w:style w:type="character" w:customStyle="1" w:styleId="normaltextrun">
    <w:name w:val="normaltextrun"/>
    <w:basedOn w:val="DefaultParagraphFont"/>
    <w:rsid w:val="00D40024"/>
  </w:style>
  <w:style w:type="paragraph" w:customStyle="1" w:styleId="xl40">
    <w:name w:val="xl40"/>
    <w:basedOn w:val="Normal"/>
    <w:rsid w:val="00394B35"/>
    <w:pPr>
      <w:pBdr>
        <w:top w:val="single" w:sz="12" w:space="0" w:color="1E1545"/>
        <w:bottom w:val="single" w:sz="12" w:space="0" w:color="1E1545"/>
      </w:pBdr>
      <w:shd w:val="clear" w:color="000000" w:fill="1E1545"/>
      <w:spacing w:before="100" w:beforeAutospacing="1" w:after="100" w:afterAutospacing="1" w:line="240" w:lineRule="auto"/>
      <w:textAlignment w:val="center"/>
    </w:pPr>
    <w:rPr>
      <w:rFonts w:cs="Arial"/>
      <w:b/>
      <w:bCs/>
      <w:color w:val="F1F2F2"/>
      <w:sz w:val="20"/>
      <w:szCs w:val="20"/>
      <w:lang w:eastAsia="en-AU"/>
    </w:rPr>
  </w:style>
  <w:style w:type="paragraph" w:customStyle="1" w:styleId="xl54">
    <w:name w:val="xl54"/>
    <w:basedOn w:val="Normal"/>
    <w:rsid w:val="00394B35"/>
    <w:pPr>
      <w:pBdr>
        <w:top w:val="single" w:sz="8" w:space="0" w:color="auto"/>
        <w:bottom w:val="single" w:sz="8" w:space="0" w:color="auto"/>
      </w:pBdr>
      <w:shd w:val="clear" w:color="000000" w:fill="E3E6E6"/>
      <w:spacing w:before="100" w:beforeAutospacing="1" w:after="100" w:afterAutospacing="1" w:line="240" w:lineRule="auto"/>
      <w:textAlignment w:val="center"/>
    </w:pPr>
    <w:rPr>
      <w:rFonts w:cs="Arial"/>
      <w:b/>
      <w:bCs/>
      <w:color w:val="313131"/>
      <w:sz w:val="16"/>
      <w:szCs w:val="16"/>
      <w:lang w:eastAsia="en-AU"/>
    </w:rPr>
  </w:style>
  <w:style w:type="paragraph" w:customStyle="1" w:styleId="xl55">
    <w:name w:val="xl55"/>
    <w:basedOn w:val="Normal"/>
    <w:rsid w:val="00394B35"/>
    <w:pPr>
      <w:pBdr>
        <w:top w:val="single" w:sz="8" w:space="0" w:color="auto"/>
        <w:bottom w:val="single" w:sz="8" w:space="0" w:color="auto"/>
      </w:pBdr>
      <w:spacing w:before="100" w:beforeAutospacing="1" w:after="100" w:afterAutospacing="1" w:line="240" w:lineRule="auto"/>
      <w:ind w:firstLineChars="100" w:firstLine="100"/>
    </w:pPr>
    <w:rPr>
      <w:rFonts w:cs="Arial"/>
      <w:color w:val="000000"/>
      <w:sz w:val="16"/>
      <w:szCs w:val="16"/>
      <w:lang w:eastAsia="en-AU"/>
    </w:rPr>
  </w:style>
  <w:style w:type="paragraph" w:customStyle="1" w:styleId="xl56">
    <w:name w:val="xl56"/>
    <w:basedOn w:val="Normal"/>
    <w:rsid w:val="00394B35"/>
    <w:pPr>
      <w:pBdr>
        <w:bottom w:val="single" w:sz="8" w:space="0" w:color="auto"/>
      </w:pBdr>
      <w:spacing w:before="100" w:beforeAutospacing="1" w:after="100" w:afterAutospacing="1" w:line="240" w:lineRule="auto"/>
      <w:jc w:val="right"/>
      <w:textAlignment w:val="center"/>
    </w:pPr>
    <w:rPr>
      <w:rFonts w:cs="Arial"/>
      <w:color w:val="313131"/>
      <w:sz w:val="16"/>
      <w:szCs w:val="16"/>
      <w:lang w:eastAsia="en-AU"/>
    </w:rPr>
  </w:style>
  <w:style w:type="paragraph" w:customStyle="1" w:styleId="xl57">
    <w:name w:val="xl57"/>
    <w:basedOn w:val="Normal"/>
    <w:rsid w:val="00394B35"/>
    <w:pPr>
      <w:pBdr>
        <w:top w:val="single" w:sz="8" w:space="0" w:color="auto"/>
        <w:bottom w:val="single" w:sz="8" w:space="0" w:color="auto"/>
      </w:pBdr>
      <w:shd w:val="clear" w:color="000000" w:fill="E2DEF5"/>
      <w:spacing w:before="100" w:beforeAutospacing="1" w:after="100" w:afterAutospacing="1" w:line="240" w:lineRule="auto"/>
      <w:textAlignment w:val="center"/>
    </w:pPr>
    <w:rPr>
      <w:rFonts w:cs="Arial"/>
      <w:b/>
      <w:bCs/>
      <w:color w:val="313131"/>
      <w:sz w:val="16"/>
      <w:szCs w:val="16"/>
      <w:lang w:eastAsia="en-AU"/>
    </w:rPr>
  </w:style>
  <w:style w:type="paragraph" w:customStyle="1" w:styleId="xl59">
    <w:name w:val="xl59"/>
    <w:basedOn w:val="Normal"/>
    <w:rsid w:val="00394B35"/>
    <w:pPr>
      <w:pBdr>
        <w:top w:val="single" w:sz="8" w:space="0" w:color="auto"/>
        <w:bottom w:val="single" w:sz="8" w:space="0" w:color="auto"/>
      </w:pBdr>
      <w:shd w:val="clear" w:color="000000" w:fill="F1F2F2"/>
      <w:spacing w:before="100" w:beforeAutospacing="1" w:after="100" w:afterAutospacing="1" w:line="240" w:lineRule="auto"/>
      <w:textAlignment w:val="center"/>
    </w:pPr>
    <w:rPr>
      <w:rFonts w:cs="Arial"/>
      <w:b/>
      <w:bCs/>
      <w:color w:val="313131"/>
      <w:sz w:val="16"/>
      <w:szCs w:val="16"/>
      <w:lang w:eastAsia="en-AU"/>
    </w:rPr>
  </w:style>
  <w:style w:type="paragraph" w:customStyle="1" w:styleId="xl60">
    <w:name w:val="xl60"/>
    <w:basedOn w:val="Normal"/>
    <w:rsid w:val="00394B35"/>
    <w:pPr>
      <w:pBdr>
        <w:top w:val="single" w:sz="8" w:space="0" w:color="auto"/>
        <w:bottom w:val="single" w:sz="8" w:space="0" w:color="auto"/>
      </w:pBdr>
      <w:spacing w:before="100" w:beforeAutospacing="1" w:after="100" w:afterAutospacing="1" w:line="240" w:lineRule="auto"/>
      <w:textAlignment w:val="center"/>
    </w:pPr>
    <w:rPr>
      <w:rFonts w:cs="Arial"/>
      <w:b/>
      <w:bCs/>
      <w:i/>
      <w:iCs/>
      <w:color w:val="313131"/>
      <w:sz w:val="16"/>
      <w:szCs w:val="16"/>
      <w:lang w:eastAsia="en-AU"/>
    </w:rPr>
  </w:style>
  <w:style w:type="paragraph" w:customStyle="1" w:styleId="xl61">
    <w:name w:val="xl61"/>
    <w:basedOn w:val="Normal"/>
    <w:rsid w:val="00394B35"/>
    <w:pPr>
      <w:pBdr>
        <w:top w:val="single" w:sz="8" w:space="0" w:color="auto"/>
        <w:bottom w:val="single" w:sz="8" w:space="0" w:color="auto"/>
      </w:pBdr>
      <w:spacing w:before="100" w:beforeAutospacing="1" w:after="100" w:afterAutospacing="1" w:line="240" w:lineRule="auto"/>
      <w:textAlignment w:val="center"/>
    </w:pPr>
    <w:rPr>
      <w:rFonts w:cs="Arial"/>
      <w:b/>
      <w:bCs/>
      <w:color w:val="313131"/>
      <w:sz w:val="16"/>
      <w:szCs w:val="16"/>
      <w:lang w:eastAsia="en-AU"/>
    </w:rPr>
  </w:style>
  <w:style w:type="paragraph" w:customStyle="1" w:styleId="xl63">
    <w:name w:val="xl63"/>
    <w:basedOn w:val="Normal"/>
    <w:rsid w:val="00394B35"/>
    <w:pPr>
      <w:pBdr>
        <w:top w:val="single" w:sz="8" w:space="0" w:color="auto"/>
        <w:bottom w:val="single" w:sz="8" w:space="0" w:color="auto"/>
      </w:pBdr>
      <w:shd w:val="clear" w:color="000000" w:fill="B7ADE7"/>
      <w:spacing w:before="100" w:beforeAutospacing="1" w:after="100" w:afterAutospacing="1" w:line="240" w:lineRule="auto"/>
      <w:textAlignment w:val="center"/>
    </w:pPr>
    <w:rPr>
      <w:rFonts w:cs="Arial"/>
      <w:b/>
      <w:bCs/>
      <w:color w:val="313131"/>
      <w:sz w:val="16"/>
      <w:szCs w:val="16"/>
      <w:lang w:eastAsia="en-AU"/>
    </w:rPr>
  </w:style>
  <w:style w:type="paragraph" w:customStyle="1" w:styleId="xl104">
    <w:name w:val="xl104"/>
    <w:basedOn w:val="Normal"/>
    <w:rsid w:val="00394B35"/>
    <w:pPr>
      <w:pBdr>
        <w:top w:val="single" w:sz="12" w:space="0" w:color="1E1545"/>
        <w:bottom w:val="single" w:sz="12" w:space="0" w:color="1E1545"/>
      </w:pBdr>
      <w:shd w:val="clear" w:color="000000" w:fill="1E1545"/>
      <w:spacing w:before="100" w:beforeAutospacing="1" w:after="100" w:afterAutospacing="1" w:line="240" w:lineRule="auto"/>
      <w:jc w:val="center"/>
      <w:textAlignment w:val="center"/>
    </w:pPr>
    <w:rPr>
      <w:rFonts w:cs="Arial"/>
      <w:b/>
      <w:bCs/>
      <w:color w:val="F1F2F2"/>
      <w:sz w:val="20"/>
      <w:szCs w:val="20"/>
      <w:lang w:eastAsia="en-AU"/>
    </w:rPr>
  </w:style>
  <w:style w:type="paragraph" w:customStyle="1" w:styleId="xl65">
    <w:name w:val="xl65"/>
    <w:basedOn w:val="Normal"/>
    <w:rsid w:val="00394B35"/>
    <w:pPr>
      <w:pBdr>
        <w:top w:val="single" w:sz="12" w:space="0" w:color="1E1545"/>
        <w:bottom w:val="single" w:sz="12" w:space="0" w:color="1E1545"/>
      </w:pBdr>
      <w:shd w:val="clear" w:color="000000" w:fill="1E1545"/>
      <w:spacing w:before="100" w:beforeAutospacing="1" w:after="100" w:afterAutospacing="1" w:line="240" w:lineRule="auto"/>
      <w:textAlignment w:val="center"/>
    </w:pPr>
    <w:rPr>
      <w:rFonts w:cs="Arial"/>
      <w:b/>
      <w:bCs/>
      <w:color w:val="F1F2F2"/>
      <w:sz w:val="20"/>
      <w:szCs w:val="20"/>
      <w:lang w:eastAsia="en-AU"/>
    </w:rPr>
  </w:style>
  <w:style w:type="paragraph" w:customStyle="1" w:styleId="commentcontentpara">
    <w:name w:val="commentcontentpara"/>
    <w:basedOn w:val="Normal"/>
    <w:rsid w:val="006140CE"/>
    <w:pPr>
      <w:spacing w:before="100" w:beforeAutospacing="1" w:after="100" w:afterAutospacing="1" w:line="240" w:lineRule="auto"/>
    </w:pPr>
    <w:rPr>
      <w:rFonts w:ascii="Times New Roman" w:hAnsi="Times New Roman"/>
      <w:color w:val="auto"/>
      <w:lang w:eastAsia="en-AU"/>
    </w:rPr>
  </w:style>
  <w:style w:type="paragraph" w:styleId="TableofAuthorities">
    <w:name w:val="table of authorities"/>
    <w:next w:val="Normal"/>
    <w:unhideWhenUsed/>
    <w:rsid w:val="00483E71"/>
    <w:pPr>
      <w:spacing w:before="20" w:after="20"/>
    </w:pPr>
    <w:rPr>
      <w:rFonts w:ascii="Arial" w:hAnsi="Arial"/>
      <w:color w:val="1E1545" w:themeColor="text1"/>
      <w:szCs w:val="24"/>
      <w:lang w:eastAsia="en-US"/>
    </w:rPr>
  </w:style>
  <w:style w:type="paragraph" w:styleId="ListBullet">
    <w:name w:val="List Bullet"/>
    <w:basedOn w:val="Normal"/>
    <w:uiPriority w:val="99"/>
    <w:unhideWhenUsed/>
    <w:qFormat/>
    <w:rsid w:val="00147399"/>
    <w:pPr>
      <w:numPr>
        <w:numId w:val="14"/>
      </w:numPr>
      <w:tabs>
        <w:tab w:val="clear" w:pos="360"/>
      </w:tabs>
      <w:ind w:left="470" w:hanging="357"/>
      <w:contextualSpacing/>
    </w:pPr>
  </w:style>
  <w:style w:type="paragraph" w:customStyle="1" w:styleId="Heading2nonumbers">
    <w:name w:val="Heading 2 (no numbers)"/>
    <w:link w:val="Heading2nonumbersChar"/>
    <w:qFormat/>
    <w:rsid w:val="00147399"/>
    <w:pPr>
      <w:keepNext/>
      <w:spacing w:before="120" w:after="120"/>
      <w:outlineLvl w:val="1"/>
    </w:pPr>
    <w:rPr>
      <w:rFonts w:ascii="Arial" w:hAnsi="Arial" w:cs="Arial"/>
      <w:b/>
      <w:bCs/>
      <w:iCs/>
      <w:color w:val="1E1545" w:themeColor="text1"/>
      <w:sz w:val="32"/>
      <w:szCs w:val="28"/>
      <w:lang w:eastAsia="en-US"/>
    </w:rPr>
  </w:style>
  <w:style w:type="character" w:customStyle="1" w:styleId="Heading2nonumbersChar">
    <w:name w:val="Heading 2 (no numbers) Char"/>
    <w:basedOn w:val="DefaultParagraphFont"/>
    <w:link w:val="Heading2nonumbers"/>
    <w:rsid w:val="00147399"/>
    <w:rPr>
      <w:rFonts w:ascii="Arial" w:hAnsi="Arial" w:cs="Arial"/>
      <w:b/>
      <w:bCs/>
      <w:iCs/>
      <w:color w:val="1E1545" w:themeColor="text1"/>
      <w:sz w:val="32"/>
      <w:szCs w:val="28"/>
      <w:lang w:eastAsia="en-US"/>
    </w:rPr>
  </w:style>
  <w:style w:type="paragraph" w:customStyle="1" w:styleId="Heading1nonumber">
    <w:name w:val="Heading 1 (no number)"/>
    <w:basedOn w:val="Heading1"/>
    <w:link w:val="Heading1nonumberChar"/>
    <w:qFormat/>
    <w:rsid w:val="00400313"/>
    <w:pPr>
      <w:numPr>
        <w:numId w:val="0"/>
      </w:numPr>
    </w:pPr>
  </w:style>
  <w:style w:type="character" w:customStyle="1" w:styleId="Heading1Char">
    <w:name w:val="Heading 1 Char"/>
    <w:basedOn w:val="DefaultParagraphFont"/>
    <w:link w:val="Heading1"/>
    <w:rsid w:val="008A6FDC"/>
    <w:rPr>
      <w:rFonts w:ascii="Arial" w:hAnsi="Arial" w:cs="Arial"/>
      <w:b/>
      <w:bCs/>
      <w:color w:val="1E1545" w:themeColor="text1"/>
      <w:kern w:val="28"/>
      <w:sz w:val="60"/>
      <w:szCs w:val="36"/>
      <w:lang w:eastAsia="en-US"/>
    </w:rPr>
  </w:style>
  <w:style w:type="character" w:customStyle="1" w:styleId="Heading1nonumberChar">
    <w:name w:val="Heading 1 (no number) Char"/>
    <w:basedOn w:val="Heading1Char"/>
    <w:link w:val="Heading1nonumber"/>
    <w:rsid w:val="00400313"/>
    <w:rPr>
      <w:rFonts w:ascii="Arial" w:hAnsi="Arial" w:cs="Arial"/>
      <w:b/>
      <w:bCs/>
      <w:color w:val="1E1545" w:themeColor="text1"/>
      <w:kern w:val="28"/>
      <w:sz w:val="60"/>
      <w:szCs w:val="36"/>
      <w:lang w:eastAsia="en-US"/>
    </w:rPr>
  </w:style>
  <w:style w:type="paragraph" w:styleId="ListBullet3">
    <w:name w:val="List Bullet 3"/>
    <w:basedOn w:val="Normal"/>
    <w:unhideWhenUsed/>
    <w:rsid w:val="0004214B"/>
    <w:pPr>
      <w:numPr>
        <w:ilvl w:val="1"/>
        <w:numId w:val="12"/>
      </w:numPr>
      <w:contextualSpacing/>
    </w:pPr>
    <w:rPr>
      <w:spacing w:val="-4"/>
    </w:rPr>
  </w:style>
  <w:style w:type="paragraph" w:customStyle="1" w:styleId="Footnotetextlist">
    <w:name w:val="Footnote text (list)"/>
    <w:basedOn w:val="FootnoteText"/>
    <w:link w:val="FootnotetextlistChar"/>
    <w:qFormat/>
    <w:rsid w:val="008E2604"/>
    <w:pPr>
      <w:numPr>
        <w:numId w:val="15"/>
      </w:numPr>
      <w:spacing w:before="0"/>
      <w:ind w:left="714" w:hanging="357"/>
      <w:contextualSpacing/>
    </w:pPr>
  </w:style>
  <w:style w:type="character" w:customStyle="1" w:styleId="FootnotetextlistChar">
    <w:name w:val="Footnote text (list) Char"/>
    <w:basedOn w:val="FootnoteTextChar"/>
    <w:link w:val="Footnotetextlist"/>
    <w:rsid w:val="008E2604"/>
    <w:rPr>
      <w:rFonts w:ascii="Arial" w:hAnsi="Arial"/>
      <w:sz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49433">
      <w:bodyDiv w:val="1"/>
      <w:marLeft w:val="0"/>
      <w:marRight w:val="0"/>
      <w:marTop w:val="0"/>
      <w:marBottom w:val="0"/>
      <w:divBdr>
        <w:top w:val="none" w:sz="0" w:space="0" w:color="auto"/>
        <w:left w:val="none" w:sz="0" w:space="0" w:color="auto"/>
        <w:bottom w:val="none" w:sz="0" w:space="0" w:color="auto"/>
        <w:right w:val="none" w:sz="0" w:space="0" w:color="auto"/>
      </w:divBdr>
    </w:div>
    <w:div w:id="17393781">
      <w:bodyDiv w:val="1"/>
      <w:marLeft w:val="0"/>
      <w:marRight w:val="0"/>
      <w:marTop w:val="0"/>
      <w:marBottom w:val="0"/>
      <w:divBdr>
        <w:top w:val="none" w:sz="0" w:space="0" w:color="auto"/>
        <w:left w:val="none" w:sz="0" w:space="0" w:color="auto"/>
        <w:bottom w:val="none" w:sz="0" w:space="0" w:color="auto"/>
        <w:right w:val="none" w:sz="0" w:space="0" w:color="auto"/>
      </w:divBdr>
    </w:div>
    <w:div w:id="30422377">
      <w:bodyDiv w:val="1"/>
      <w:marLeft w:val="0"/>
      <w:marRight w:val="0"/>
      <w:marTop w:val="0"/>
      <w:marBottom w:val="0"/>
      <w:divBdr>
        <w:top w:val="none" w:sz="0" w:space="0" w:color="auto"/>
        <w:left w:val="none" w:sz="0" w:space="0" w:color="auto"/>
        <w:bottom w:val="none" w:sz="0" w:space="0" w:color="auto"/>
        <w:right w:val="none" w:sz="0" w:space="0" w:color="auto"/>
      </w:divBdr>
    </w:div>
    <w:div w:id="33359186">
      <w:bodyDiv w:val="1"/>
      <w:marLeft w:val="0"/>
      <w:marRight w:val="0"/>
      <w:marTop w:val="0"/>
      <w:marBottom w:val="0"/>
      <w:divBdr>
        <w:top w:val="none" w:sz="0" w:space="0" w:color="auto"/>
        <w:left w:val="none" w:sz="0" w:space="0" w:color="auto"/>
        <w:bottom w:val="none" w:sz="0" w:space="0" w:color="auto"/>
        <w:right w:val="none" w:sz="0" w:space="0" w:color="auto"/>
      </w:divBdr>
    </w:div>
    <w:div w:id="59449341">
      <w:bodyDiv w:val="1"/>
      <w:marLeft w:val="0"/>
      <w:marRight w:val="0"/>
      <w:marTop w:val="0"/>
      <w:marBottom w:val="0"/>
      <w:divBdr>
        <w:top w:val="none" w:sz="0" w:space="0" w:color="auto"/>
        <w:left w:val="none" w:sz="0" w:space="0" w:color="auto"/>
        <w:bottom w:val="none" w:sz="0" w:space="0" w:color="auto"/>
        <w:right w:val="none" w:sz="0" w:space="0" w:color="auto"/>
      </w:divBdr>
    </w:div>
    <w:div w:id="85731027">
      <w:bodyDiv w:val="1"/>
      <w:marLeft w:val="0"/>
      <w:marRight w:val="0"/>
      <w:marTop w:val="0"/>
      <w:marBottom w:val="0"/>
      <w:divBdr>
        <w:top w:val="none" w:sz="0" w:space="0" w:color="auto"/>
        <w:left w:val="none" w:sz="0" w:space="0" w:color="auto"/>
        <w:bottom w:val="none" w:sz="0" w:space="0" w:color="auto"/>
        <w:right w:val="none" w:sz="0" w:space="0" w:color="auto"/>
      </w:divBdr>
    </w:div>
    <w:div w:id="116072107">
      <w:bodyDiv w:val="1"/>
      <w:marLeft w:val="0"/>
      <w:marRight w:val="0"/>
      <w:marTop w:val="0"/>
      <w:marBottom w:val="0"/>
      <w:divBdr>
        <w:top w:val="none" w:sz="0" w:space="0" w:color="auto"/>
        <w:left w:val="none" w:sz="0" w:space="0" w:color="auto"/>
        <w:bottom w:val="none" w:sz="0" w:space="0" w:color="auto"/>
        <w:right w:val="none" w:sz="0" w:space="0" w:color="auto"/>
      </w:divBdr>
    </w:div>
    <w:div w:id="146216137">
      <w:bodyDiv w:val="1"/>
      <w:marLeft w:val="0"/>
      <w:marRight w:val="0"/>
      <w:marTop w:val="0"/>
      <w:marBottom w:val="0"/>
      <w:divBdr>
        <w:top w:val="none" w:sz="0" w:space="0" w:color="auto"/>
        <w:left w:val="none" w:sz="0" w:space="0" w:color="auto"/>
        <w:bottom w:val="none" w:sz="0" w:space="0" w:color="auto"/>
        <w:right w:val="none" w:sz="0" w:space="0" w:color="auto"/>
      </w:divBdr>
    </w:div>
    <w:div w:id="162211307">
      <w:bodyDiv w:val="1"/>
      <w:marLeft w:val="0"/>
      <w:marRight w:val="0"/>
      <w:marTop w:val="0"/>
      <w:marBottom w:val="0"/>
      <w:divBdr>
        <w:top w:val="none" w:sz="0" w:space="0" w:color="auto"/>
        <w:left w:val="none" w:sz="0" w:space="0" w:color="auto"/>
        <w:bottom w:val="none" w:sz="0" w:space="0" w:color="auto"/>
        <w:right w:val="none" w:sz="0" w:space="0" w:color="auto"/>
      </w:divBdr>
    </w:div>
    <w:div w:id="166137153">
      <w:bodyDiv w:val="1"/>
      <w:marLeft w:val="0"/>
      <w:marRight w:val="0"/>
      <w:marTop w:val="0"/>
      <w:marBottom w:val="0"/>
      <w:divBdr>
        <w:top w:val="none" w:sz="0" w:space="0" w:color="auto"/>
        <w:left w:val="none" w:sz="0" w:space="0" w:color="auto"/>
        <w:bottom w:val="none" w:sz="0" w:space="0" w:color="auto"/>
        <w:right w:val="none" w:sz="0" w:space="0" w:color="auto"/>
      </w:divBdr>
    </w:div>
    <w:div w:id="171186005">
      <w:bodyDiv w:val="1"/>
      <w:marLeft w:val="0"/>
      <w:marRight w:val="0"/>
      <w:marTop w:val="0"/>
      <w:marBottom w:val="0"/>
      <w:divBdr>
        <w:top w:val="none" w:sz="0" w:space="0" w:color="auto"/>
        <w:left w:val="none" w:sz="0" w:space="0" w:color="auto"/>
        <w:bottom w:val="none" w:sz="0" w:space="0" w:color="auto"/>
        <w:right w:val="none" w:sz="0" w:space="0" w:color="auto"/>
      </w:divBdr>
    </w:div>
    <w:div w:id="197670334">
      <w:bodyDiv w:val="1"/>
      <w:marLeft w:val="0"/>
      <w:marRight w:val="0"/>
      <w:marTop w:val="0"/>
      <w:marBottom w:val="0"/>
      <w:divBdr>
        <w:top w:val="none" w:sz="0" w:space="0" w:color="auto"/>
        <w:left w:val="none" w:sz="0" w:space="0" w:color="auto"/>
        <w:bottom w:val="none" w:sz="0" w:space="0" w:color="auto"/>
        <w:right w:val="none" w:sz="0" w:space="0" w:color="auto"/>
      </w:divBdr>
    </w:div>
    <w:div w:id="221216672">
      <w:bodyDiv w:val="1"/>
      <w:marLeft w:val="0"/>
      <w:marRight w:val="0"/>
      <w:marTop w:val="0"/>
      <w:marBottom w:val="0"/>
      <w:divBdr>
        <w:top w:val="none" w:sz="0" w:space="0" w:color="auto"/>
        <w:left w:val="none" w:sz="0" w:space="0" w:color="auto"/>
        <w:bottom w:val="none" w:sz="0" w:space="0" w:color="auto"/>
        <w:right w:val="none" w:sz="0" w:space="0" w:color="auto"/>
      </w:divBdr>
    </w:div>
    <w:div w:id="223878381">
      <w:bodyDiv w:val="1"/>
      <w:marLeft w:val="0"/>
      <w:marRight w:val="0"/>
      <w:marTop w:val="0"/>
      <w:marBottom w:val="0"/>
      <w:divBdr>
        <w:top w:val="none" w:sz="0" w:space="0" w:color="auto"/>
        <w:left w:val="none" w:sz="0" w:space="0" w:color="auto"/>
        <w:bottom w:val="none" w:sz="0" w:space="0" w:color="auto"/>
        <w:right w:val="none" w:sz="0" w:space="0" w:color="auto"/>
      </w:divBdr>
    </w:div>
    <w:div w:id="225533991">
      <w:bodyDiv w:val="1"/>
      <w:marLeft w:val="0"/>
      <w:marRight w:val="0"/>
      <w:marTop w:val="0"/>
      <w:marBottom w:val="0"/>
      <w:divBdr>
        <w:top w:val="none" w:sz="0" w:space="0" w:color="auto"/>
        <w:left w:val="none" w:sz="0" w:space="0" w:color="auto"/>
        <w:bottom w:val="none" w:sz="0" w:space="0" w:color="auto"/>
        <w:right w:val="none" w:sz="0" w:space="0" w:color="auto"/>
      </w:divBdr>
      <w:divsChild>
        <w:div w:id="2120372543">
          <w:marLeft w:val="0"/>
          <w:marRight w:val="0"/>
          <w:marTop w:val="0"/>
          <w:marBottom w:val="0"/>
          <w:divBdr>
            <w:top w:val="none" w:sz="0" w:space="0" w:color="auto"/>
            <w:left w:val="none" w:sz="0" w:space="0" w:color="auto"/>
            <w:bottom w:val="none" w:sz="0" w:space="0" w:color="auto"/>
            <w:right w:val="none" w:sz="0" w:space="0" w:color="auto"/>
          </w:divBdr>
        </w:div>
      </w:divsChild>
    </w:div>
    <w:div w:id="226065933">
      <w:bodyDiv w:val="1"/>
      <w:marLeft w:val="0"/>
      <w:marRight w:val="0"/>
      <w:marTop w:val="0"/>
      <w:marBottom w:val="0"/>
      <w:divBdr>
        <w:top w:val="none" w:sz="0" w:space="0" w:color="auto"/>
        <w:left w:val="none" w:sz="0" w:space="0" w:color="auto"/>
        <w:bottom w:val="none" w:sz="0" w:space="0" w:color="auto"/>
        <w:right w:val="none" w:sz="0" w:space="0" w:color="auto"/>
      </w:divBdr>
    </w:div>
    <w:div w:id="237910458">
      <w:bodyDiv w:val="1"/>
      <w:marLeft w:val="0"/>
      <w:marRight w:val="0"/>
      <w:marTop w:val="0"/>
      <w:marBottom w:val="0"/>
      <w:divBdr>
        <w:top w:val="none" w:sz="0" w:space="0" w:color="auto"/>
        <w:left w:val="none" w:sz="0" w:space="0" w:color="auto"/>
        <w:bottom w:val="none" w:sz="0" w:space="0" w:color="auto"/>
        <w:right w:val="none" w:sz="0" w:space="0" w:color="auto"/>
      </w:divBdr>
    </w:div>
    <w:div w:id="240067293">
      <w:bodyDiv w:val="1"/>
      <w:marLeft w:val="0"/>
      <w:marRight w:val="0"/>
      <w:marTop w:val="0"/>
      <w:marBottom w:val="0"/>
      <w:divBdr>
        <w:top w:val="none" w:sz="0" w:space="0" w:color="auto"/>
        <w:left w:val="none" w:sz="0" w:space="0" w:color="auto"/>
        <w:bottom w:val="none" w:sz="0" w:space="0" w:color="auto"/>
        <w:right w:val="none" w:sz="0" w:space="0" w:color="auto"/>
      </w:divBdr>
    </w:div>
    <w:div w:id="243682466">
      <w:bodyDiv w:val="1"/>
      <w:marLeft w:val="0"/>
      <w:marRight w:val="0"/>
      <w:marTop w:val="0"/>
      <w:marBottom w:val="0"/>
      <w:divBdr>
        <w:top w:val="none" w:sz="0" w:space="0" w:color="auto"/>
        <w:left w:val="none" w:sz="0" w:space="0" w:color="auto"/>
        <w:bottom w:val="none" w:sz="0" w:space="0" w:color="auto"/>
        <w:right w:val="none" w:sz="0" w:space="0" w:color="auto"/>
      </w:divBdr>
      <w:divsChild>
        <w:div w:id="97649481">
          <w:marLeft w:val="0"/>
          <w:marRight w:val="0"/>
          <w:marTop w:val="0"/>
          <w:marBottom w:val="0"/>
          <w:divBdr>
            <w:top w:val="none" w:sz="0" w:space="0" w:color="auto"/>
            <w:left w:val="none" w:sz="0" w:space="0" w:color="auto"/>
            <w:bottom w:val="none" w:sz="0" w:space="0" w:color="auto"/>
            <w:right w:val="none" w:sz="0" w:space="0" w:color="auto"/>
          </w:divBdr>
        </w:div>
      </w:divsChild>
    </w:div>
    <w:div w:id="243805523">
      <w:bodyDiv w:val="1"/>
      <w:marLeft w:val="0"/>
      <w:marRight w:val="0"/>
      <w:marTop w:val="0"/>
      <w:marBottom w:val="0"/>
      <w:divBdr>
        <w:top w:val="none" w:sz="0" w:space="0" w:color="auto"/>
        <w:left w:val="none" w:sz="0" w:space="0" w:color="auto"/>
        <w:bottom w:val="none" w:sz="0" w:space="0" w:color="auto"/>
        <w:right w:val="none" w:sz="0" w:space="0" w:color="auto"/>
      </w:divBdr>
    </w:div>
    <w:div w:id="250940446">
      <w:bodyDiv w:val="1"/>
      <w:marLeft w:val="0"/>
      <w:marRight w:val="0"/>
      <w:marTop w:val="0"/>
      <w:marBottom w:val="0"/>
      <w:divBdr>
        <w:top w:val="none" w:sz="0" w:space="0" w:color="auto"/>
        <w:left w:val="none" w:sz="0" w:space="0" w:color="auto"/>
        <w:bottom w:val="none" w:sz="0" w:space="0" w:color="auto"/>
        <w:right w:val="none" w:sz="0" w:space="0" w:color="auto"/>
      </w:divBdr>
    </w:div>
    <w:div w:id="266158984">
      <w:bodyDiv w:val="1"/>
      <w:marLeft w:val="0"/>
      <w:marRight w:val="0"/>
      <w:marTop w:val="0"/>
      <w:marBottom w:val="0"/>
      <w:divBdr>
        <w:top w:val="none" w:sz="0" w:space="0" w:color="auto"/>
        <w:left w:val="none" w:sz="0" w:space="0" w:color="auto"/>
        <w:bottom w:val="none" w:sz="0" w:space="0" w:color="auto"/>
        <w:right w:val="none" w:sz="0" w:space="0" w:color="auto"/>
      </w:divBdr>
    </w:div>
    <w:div w:id="270287484">
      <w:bodyDiv w:val="1"/>
      <w:marLeft w:val="0"/>
      <w:marRight w:val="0"/>
      <w:marTop w:val="0"/>
      <w:marBottom w:val="0"/>
      <w:divBdr>
        <w:top w:val="none" w:sz="0" w:space="0" w:color="auto"/>
        <w:left w:val="none" w:sz="0" w:space="0" w:color="auto"/>
        <w:bottom w:val="none" w:sz="0" w:space="0" w:color="auto"/>
        <w:right w:val="none" w:sz="0" w:space="0" w:color="auto"/>
      </w:divBdr>
    </w:div>
    <w:div w:id="272708358">
      <w:bodyDiv w:val="1"/>
      <w:marLeft w:val="0"/>
      <w:marRight w:val="0"/>
      <w:marTop w:val="0"/>
      <w:marBottom w:val="0"/>
      <w:divBdr>
        <w:top w:val="none" w:sz="0" w:space="0" w:color="auto"/>
        <w:left w:val="none" w:sz="0" w:space="0" w:color="auto"/>
        <w:bottom w:val="none" w:sz="0" w:space="0" w:color="auto"/>
        <w:right w:val="none" w:sz="0" w:space="0" w:color="auto"/>
      </w:divBdr>
    </w:div>
    <w:div w:id="283771389">
      <w:bodyDiv w:val="1"/>
      <w:marLeft w:val="0"/>
      <w:marRight w:val="0"/>
      <w:marTop w:val="0"/>
      <w:marBottom w:val="0"/>
      <w:divBdr>
        <w:top w:val="none" w:sz="0" w:space="0" w:color="auto"/>
        <w:left w:val="none" w:sz="0" w:space="0" w:color="auto"/>
        <w:bottom w:val="none" w:sz="0" w:space="0" w:color="auto"/>
        <w:right w:val="none" w:sz="0" w:space="0" w:color="auto"/>
      </w:divBdr>
    </w:div>
    <w:div w:id="286741871">
      <w:bodyDiv w:val="1"/>
      <w:marLeft w:val="0"/>
      <w:marRight w:val="0"/>
      <w:marTop w:val="0"/>
      <w:marBottom w:val="0"/>
      <w:divBdr>
        <w:top w:val="none" w:sz="0" w:space="0" w:color="auto"/>
        <w:left w:val="none" w:sz="0" w:space="0" w:color="auto"/>
        <w:bottom w:val="none" w:sz="0" w:space="0" w:color="auto"/>
        <w:right w:val="none" w:sz="0" w:space="0" w:color="auto"/>
      </w:divBdr>
    </w:div>
    <w:div w:id="297344994">
      <w:bodyDiv w:val="1"/>
      <w:marLeft w:val="0"/>
      <w:marRight w:val="0"/>
      <w:marTop w:val="0"/>
      <w:marBottom w:val="0"/>
      <w:divBdr>
        <w:top w:val="none" w:sz="0" w:space="0" w:color="auto"/>
        <w:left w:val="none" w:sz="0" w:space="0" w:color="auto"/>
        <w:bottom w:val="none" w:sz="0" w:space="0" w:color="auto"/>
        <w:right w:val="none" w:sz="0" w:space="0" w:color="auto"/>
      </w:divBdr>
    </w:div>
    <w:div w:id="312611119">
      <w:bodyDiv w:val="1"/>
      <w:marLeft w:val="0"/>
      <w:marRight w:val="0"/>
      <w:marTop w:val="0"/>
      <w:marBottom w:val="0"/>
      <w:divBdr>
        <w:top w:val="none" w:sz="0" w:space="0" w:color="auto"/>
        <w:left w:val="none" w:sz="0" w:space="0" w:color="auto"/>
        <w:bottom w:val="none" w:sz="0" w:space="0" w:color="auto"/>
        <w:right w:val="none" w:sz="0" w:space="0" w:color="auto"/>
      </w:divBdr>
    </w:div>
    <w:div w:id="313530045">
      <w:bodyDiv w:val="1"/>
      <w:marLeft w:val="0"/>
      <w:marRight w:val="0"/>
      <w:marTop w:val="0"/>
      <w:marBottom w:val="0"/>
      <w:divBdr>
        <w:top w:val="none" w:sz="0" w:space="0" w:color="auto"/>
        <w:left w:val="none" w:sz="0" w:space="0" w:color="auto"/>
        <w:bottom w:val="none" w:sz="0" w:space="0" w:color="auto"/>
        <w:right w:val="none" w:sz="0" w:space="0" w:color="auto"/>
      </w:divBdr>
    </w:div>
    <w:div w:id="342509610">
      <w:bodyDiv w:val="1"/>
      <w:marLeft w:val="0"/>
      <w:marRight w:val="0"/>
      <w:marTop w:val="0"/>
      <w:marBottom w:val="0"/>
      <w:divBdr>
        <w:top w:val="none" w:sz="0" w:space="0" w:color="auto"/>
        <w:left w:val="none" w:sz="0" w:space="0" w:color="auto"/>
        <w:bottom w:val="none" w:sz="0" w:space="0" w:color="auto"/>
        <w:right w:val="none" w:sz="0" w:space="0" w:color="auto"/>
      </w:divBdr>
      <w:divsChild>
        <w:div w:id="727610787">
          <w:marLeft w:val="0"/>
          <w:marRight w:val="0"/>
          <w:marTop w:val="0"/>
          <w:marBottom w:val="0"/>
          <w:divBdr>
            <w:top w:val="none" w:sz="0" w:space="0" w:color="auto"/>
            <w:left w:val="none" w:sz="0" w:space="0" w:color="auto"/>
            <w:bottom w:val="none" w:sz="0" w:space="0" w:color="auto"/>
            <w:right w:val="none" w:sz="0" w:space="0" w:color="auto"/>
          </w:divBdr>
        </w:div>
      </w:divsChild>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51610038">
      <w:bodyDiv w:val="1"/>
      <w:marLeft w:val="0"/>
      <w:marRight w:val="0"/>
      <w:marTop w:val="0"/>
      <w:marBottom w:val="0"/>
      <w:divBdr>
        <w:top w:val="none" w:sz="0" w:space="0" w:color="auto"/>
        <w:left w:val="none" w:sz="0" w:space="0" w:color="auto"/>
        <w:bottom w:val="none" w:sz="0" w:space="0" w:color="auto"/>
        <w:right w:val="none" w:sz="0" w:space="0" w:color="auto"/>
      </w:divBdr>
      <w:divsChild>
        <w:div w:id="1360282105">
          <w:marLeft w:val="274"/>
          <w:marRight w:val="0"/>
          <w:marTop w:val="0"/>
          <w:marBottom w:val="0"/>
          <w:divBdr>
            <w:top w:val="none" w:sz="0" w:space="0" w:color="auto"/>
            <w:left w:val="none" w:sz="0" w:space="0" w:color="auto"/>
            <w:bottom w:val="none" w:sz="0" w:space="0" w:color="auto"/>
            <w:right w:val="none" w:sz="0" w:space="0" w:color="auto"/>
          </w:divBdr>
        </w:div>
      </w:divsChild>
    </w:div>
    <w:div w:id="356666307">
      <w:bodyDiv w:val="1"/>
      <w:marLeft w:val="0"/>
      <w:marRight w:val="0"/>
      <w:marTop w:val="0"/>
      <w:marBottom w:val="0"/>
      <w:divBdr>
        <w:top w:val="none" w:sz="0" w:space="0" w:color="auto"/>
        <w:left w:val="none" w:sz="0" w:space="0" w:color="auto"/>
        <w:bottom w:val="none" w:sz="0" w:space="0" w:color="auto"/>
        <w:right w:val="none" w:sz="0" w:space="0" w:color="auto"/>
      </w:divBdr>
    </w:div>
    <w:div w:id="357779556">
      <w:bodyDiv w:val="1"/>
      <w:marLeft w:val="0"/>
      <w:marRight w:val="0"/>
      <w:marTop w:val="0"/>
      <w:marBottom w:val="0"/>
      <w:divBdr>
        <w:top w:val="none" w:sz="0" w:space="0" w:color="auto"/>
        <w:left w:val="none" w:sz="0" w:space="0" w:color="auto"/>
        <w:bottom w:val="none" w:sz="0" w:space="0" w:color="auto"/>
        <w:right w:val="none" w:sz="0" w:space="0" w:color="auto"/>
      </w:divBdr>
    </w:div>
    <w:div w:id="357976075">
      <w:bodyDiv w:val="1"/>
      <w:marLeft w:val="0"/>
      <w:marRight w:val="0"/>
      <w:marTop w:val="0"/>
      <w:marBottom w:val="0"/>
      <w:divBdr>
        <w:top w:val="none" w:sz="0" w:space="0" w:color="auto"/>
        <w:left w:val="none" w:sz="0" w:space="0" w:color="auto"/>
        <w:bottom w:val="none" w:sz="0" w:space="0" w:color="auto"/>
        <w:right w:val="none" w:sz="0" w:space="0" w:color="auto"/>
      </w:divBdr>
    </w:div>
    <w:div w:id="367875799">
      <w:bodyDiv w:val="1"/>
      <w:marLeft w:val="0"/>
      <w:marRight w:val="0"/>
      <w:marTop w:val="0"/>
      <w:marBottom w:val="0"/>
      <w:divBdr>
        <w:top w:val="none" w:sz="0" w:space="0" w:color="auto"/>
        <w:left w:val="none" w:sz="0" w:space="0" w:color="auto"/>
        <w:bottom w:val="none" w:sz="0" w:space="0" w:color="auto"/>
        <w:right w:val="none" w:sz="0" w:space="0" w:color="auto"/>
      </w:divBdr>
      <w:divsChild>
        <w:div w:id="107897697">
          <w:marLeft w:val="274"/>
          <w:marRight w:val="0"/>
          <w:marTop w:val="0"/>
          <w:marBottom w:val="0"/>
          <w:divBdr>
            <w:top w:val="none" w:sz="0" w:space="0" w:color="auto"/>
            <w:left w:val="none" w:sz="0" w:space="0" w:color="auto"/>
            <w:bottom w:val="none" w:sz="0" w:space="0" w:color="auto"/>
            <w:right w:val="none" w:sz="0" w:space="0" w:color="auto"/>
          </w:divBdr>
        </w:div>
        <w:div w:id="350421955">
          <w:marLeft w:val="274"/>
          <w:marRight w:val="0"/>
          <w:marTop w:val="0"/>
          <w:marBottom w:val="0"/>
          <w:divBdr>
            <w:top w:val="none" w:sz="0" w:space="0" w:color="auto"/>
            <w:left w:val="none" w:sz="0" w:space="0" w:color="auto"/>
            <w:bottom w:val="none" w:sz="0" w:space="0" w:color="auto"/>
            <w:right w:val="none" w:sz="0" w:space="0" w:color="auto"/>
          </w:divBdr>
        </w:div>
        <w:div w:id="650797096">
          <w:marLeft w:val="274"/>
          <w:marRight w:val="0"/>
          <w:marTop w:val="0"/>
          <w:marBottom w:val="0"/>
          <w:divBdr>
            <w:top w:val="none" w:sz="0" w:space="0" w:color="auto"/>
            <w:left w:val="none" w:sz="0" w:space="0" w:color="auto"/>
            <w:bottom w:val="none" w:sz="0" w:space="0" w:color="auto"/>
            <w:right w:val="none" w:sz="0" w:space="0" w:color="auto"/>
          </w:divBdr>
        </w:div>
        <w:div w:id="1250309072">
          <w:marLeft w:val="274"/>
          <w:marRight w:val="0"/>
          <w:marTop w:val="0"/>
          <w:marBottom w:val="0"/>
          <w:divBdr>
            <w:top w:val="none" w:sz="0" w:space="0" w:color="auto"/>
            <w:left w:val="none" w:sz="0" w:space="0" w:color="auto"/>
            <w:bottom w:val="none" w:sz="0" w:space="0" w:color="auto"/>
            <w:right w:val="none" w:sz="0" w:space="0" w:color="auto"/>
          </w:divBdr>
        </w:div>
      </w:divsChild>
    </w:div>
    <w:div w:id="369572700">
      <w:bodyDiv w:val="1"/>
      <w:marLeft w:val="0"/>
      <w:marRight w:val="0"/>
      <w:marTop w:val="0"/>
      <w:marBottom w:val="0"/>
      <w:divBdr>
        <w:top w:val="none" w:sz="0" w:space="0" w:color="auto"/>
        <w:left w:val="none" w:sz="0" w:space="0" w:color="auto"/>
        <w:bottom w:val="none" w:sz="0" w:space="0" w:color="auto"/>
        <w:right w:val="none" w:sz="0" w:space="0" w:color="auto"/>
      </w:divBdr>
      <w:divsChild>
        <w:div w:id="1774008178">
          <w:marLeft w:val="0"/>
          <w:marRight w:val="0"/>
          <w:marTop w:val="0"/>
          <w:marBottom w:val="0"/>
          <w:divBdr>
            <w:top w:val="none" w:sz="0" w:space="0" w:color="auto"/>
            <w:left w:val="none" w:sz="0" w:space="0" w:color="auto"/>
            <w:bottom w:val="none" w:sz="0" w:space="0" w:color="auto"/>
            <w:right w:val="none" w:sz="0" w:space="0" w:color="auto"/>
          </w:divBdr>
        </w:div>
      </w:divsChild>
    </w:div>
    <w:div w:id="369963638">
      <w:bodyDiv w:val="1"/>
      <w:marLeft w:val="0"/>
      <w:marRight w:val="0"/>
      <w:marTop w:val="0"/>
      <w:marBottom w:val="0"/>
      <w:divBdr>
        <w:top w:val="none" w:sz="0" w:space="0" w:color="auto"/>
        <w:left w:val="none" w:sz="0" w:space="0" w:color="auto"/>
        <w:bottom w:val="none" w:sz="0" w:space="0" w:color="auto"/>
        <w:right w:val="none" w:sz="0" w:space="0" w:color="auto"/>
      </w:divBdr>
    </w:div>
    <w:div w:id="376515516">
      <w:bodyDiv w:val="1"/>
      <w:marLeft w:val="0"/>
      <w:marRight w:val="0"/>
      <w:marTop w:val="0"/>
      <w:marBottom w:val="0"/>
      <w:divBdr>
        <w:top w:val="none" w:sz="0" w:space="0" w:color="auto"/>
        <w:left w:val="none" w:sz="0" w:space="0" w:color="auto"/>
        <w:bottom w:val="none" w:sz="0" w:space="0" w:color="auto"/>
        <w:right w:val="none" w:sz="0" w:space="0" w:color="auto"/>
      </w:divBdr>
    </w:div>
    <w:div w:id="393742332">
      <w:bodyDiv w:val="1"/>
      <w:marLeft w:val="0"/>
      <w:marRight w:val="0"/>
      <w:marTop w:val="0"/>
      <w:marBottom w:val="0"/>
      <w:divBdr>
        <w:top w:val="none" w:sz="0" w:space="0" w:color="auto"/>
        <w:left w:val="none" w:sz="0" w:space="0" w:color="auto"/>
        <w:bottom w:val="none" w:sz="0" w:space="0" w:color="auto"/>
        <w:right w:val="none" w:sz="0" w:space="0" w:color="auto"/>
      </w:divBdr>
    </w:div>
    <w:div w:id="402870836">
      <w:bodyDiv w:val="1"/>
      <w:marLeft w:val="0"/>
      <w:marRight w:val="0"/>
      <w:marTop w:val="0"/>
      <w:marBottom w:val="0"/>
      <w:divBdr>
        <w:top w:val="none" w:sz="0" w:space="0" w:color="auto"/>
        <w:left w:val="none" w:sz="0" w:space="0" w:color="auto"/>
        <w:bottom w:val="none" w:sz="0" w:space="0" w:color="auto"/>
        <w:right w:val="none" w:sz="0" w:space="0" w:color="auto"/>
      </w:divBdr>
      <w:divsChild>
        <w:div w:id="1613047461">
          <w:marLeft w:val="0"/>
          <w:marRight w:val="0"/>
          <w:marTop w:val="0"/>
          <w:marBottom w:val="0"/>
          <w:divBdr>
            <w:top w:val="none" w:sz="0" w:space="0" w:color="auto"/>
            <w:left w:val="none" w:sz="0" w:space="0" w:color="auto"/>
            <w:bottom w:val="none" w:sz="0" w:space="0" w:color="auto"/>
            <w:right w:val="none" w:sz="0" w:space="0" w:color="auto"/>
          </w:divBdr>
        </w:div>
      </w:divsChild>
    </w:div>
    <w:div w:id="403071706">
      <w:bodyDiv w:val="1"/>
      <w:marLeft w:val="0"/>
      <w:marRight w:val="0"/>
      <w:marTop w:val="0"/>
      <w:marBottom w:val="0"/>
      <w:divBdr>
        <w:top w:val="none" w:sz="0" w:space="0" w:color="auto"/>
        <w:left w:val="none" w:sz="0" w:space="0" w:color="auto"/>
        <w:bottom w:val="none" w:sz="0" w:space="0" w:color="auto"/>
        <w:right w:val="none" w:sz="0" w:space="0" w:color="auto"/>
      </w:divBdr>
    </w:div>
    <w:div w:id="427893369">
      <w:bodyDiv w:val="1"/>
      <w:marLeft w:val="0"/>
      <w:marRight w:val="0"/>
      <w:marTop w:val="0"/>
      <w:marBottom w:val="0"/>
      <w:divBdr>
        <w:top w:val="none" w:sz="0" w:space="0" w:color="auto"/>
        <w:left w:val="none" w:sz="0" w:space="0" w:color="auto"/>
        <w:bottom w:val="none" w:sz="0" w:space="0" w:color="auto"/>
        <w:right w:val="none" w:sz="0" w:space="0" w:color="auto"/>
      </w:divBdr>
      <w:divsChild>
        <w:div w:id="521478951">
          <w:marLeft w:val="0"/>
          <w:marRight w:val="0"/>
          <w:marTop w:val="0"/>
          <w:marBottom w:val="0"/>
          <w:divBdr>
            <w:top w:val="none" w:sz="0" w:space="0" w:color="auto"/>
            <w:left w:val="none" w:sz="0" w:space="0" w:color="auto"/>
            <w:bottom w:val="none" w:sz="0" w:space="0" w:color="auto"/>
            <w:right w:val="none" w:sz="0" w:space="0" w:color="auto"/>
          </w:divBdr>
        </w:div>
      </w:divsChild>
    </w:div>
    <w:div w:id="432556470">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43888782">
      <w:bodyDiv w:val="1"/>
      <w:marLeft w:val="0"/>
      <w:marRight w:val="0"/>
      <w:marTop w:val="0"/>
      <w:marBottom w:val="0"/>
      <w:divBdr>
        <w:top w:val="none" w:sz="0" w:space="0" w:color="auto"/>
        <w:left w:val="none" w:sz="0" w:space="0" w:color="auto"/>
        <w:bottom w:val="none" w:sz="0" w:space="0" w:color="auto"/>
        <w:right w:val="none" w:sz="0" w:space="0" w:color="auto"/>
      </w:divBdr>
    </w:div>
    <w:div w:id="467818134">
      <w:bodyDiv w:val="1"/>
      <w:marLeft w:val="0"/>
      <w:marRight w:val="0"/>
      <w:marTop w:val="0"/>
      <w:marBottom w:val="0"/>
      <w:divBdr>
        <w:top w:val="none" w:sz="0" w:space="0" w:color="auto"/>
        <w:left w:val="none" w:sz="0" w:space="0" w:color="auto"/>
        <w:bottom w:val="none" w:sz="0" w:space="0" w:color="auto"/>
        <w:right w:val="none" w:sz="0" w:space="0" w:color="auto"/>
      </w:divBdr>
    </w:div>
    <w:div w:id="473450265">
      <w:bodyDiv w:val="1"/>
      <w:marLeft w:val="0"/>
      <w:marRight w:val="0"/>
      <w:marTop w:val="0"/>
      <w:marBottom w:val="0"/>
      <w:divBdr>
        <w:top w:val="none" w:sz="0" w:space="0" w:color="auto"/>
        <w:left w:val="none" w:sz="0" w:space="0" w:color="auto"/>
        <w:bottom w:val="none" w:sz="0" w:space="0" w:color="auto"/>
        <w:right w:val="none" w:sz="0" w:space="0" w:color="auto"/>
      </w:divBdr>
      <w:divsChild>
        <w:div w:id="1855336932">
          <w:marLeft w:val="0"/>
          <w:marRight w:val="0"/>
          <w:marTop w:val="0"/>
          <w:marBottom w:val="0"/>
          <w:divBdr>
            <w:top w:val="none" w:sz="0" w:space="0" w:color="auto"/>
            <w:left w:val="none" w:sz="0" w:space="0" w:color="auto"/>
            <w:bottom w:val="none" w:sz="0" w:space="0" w:color="auto"/>
            <w:right w:val="none" w:sz="0" w:space="0" w:color="auto"/>
          </w:divBdr>
        </w:div>
      </w:divsChild>
    </w:div>
    <w:div w:id="501315880">
      <w:bodyDiv w:val="1"/>
      <w:marLeft w:val="0"/>
      <w:marRight w:val="0"/>
      <w:marTop w:val="0"/>
      <w:marBottom w:val="0"/>
      <w:divBdr>
        <w:top w:val="none" w:sz="0" w:space="0" w:color="auto"/>
        <w:left w:val="none" w:sz="0" w:space="0" w:color="auto"/>
        <w:bottom w:val="none" w:sz="0" w:space="0" w:color="auto"/>
        <w:right w:val="none" w:sz="0" w:space="0" w:color="auto"/>
      </w:divBdr>
    </w:div>
    <w:div w:id="503278106">
      <w:bodyDiv w:val="1"/>
      <w:marLeft w:val="0"/>
      <w:marRight w:val="0"/>
      <w:marTop w:val="0"/>
      <w:marBottom w:val="0"/>
      <w:divBdr>
        <w:top w:val="none" w:sz="0" w:space="0" w:color="auto"/>
        <w:left w:val="none" w:sz="0" w:space="0" w:color="auto"/>
        <w:bottom w:val="none" w:sz="0" w:space="0" w:color="auto"/>
        <w:right w:val="none" w:sz="0" w:space="0" w:color="auto"/>
      </w:divBdr>
      <w:divsChild>
        <w:div w:id="499664818">
          <w:marLeft w:val="0"/>
          <w:marRight w:val="0"/>
          <w:marTop w:val="0"/>
          <w:marBottom w:val="0"/>
          <w:divBdr>
            <w:top w:val="none" w:sz="0" w:space="0" w:color="auto"/>
            <w:left w:val="none" w:sz="0" w:space="0" w:color="auto"/>
            <w:bottom w:val="none" w:sz="0" w:space="0" w:color="auto"/>
            <w:right w:val="none" w:sz="0" w:space="0" w:color="auto"/>
          </w:divBdr>
        </w:div>
      </w:divsChild>
    </w:div>
    <w:div w:id="505249762">
      <w:bodyDiv w:val="1"/>
      <w:marLeft w:val="0"/>
      <w:marRight w:val="0"/>
      <w:marTop w:val="0"/>
      <w:marBottom w:val="0"/>
      <w:divBdr>
        <w:top w:val="none" w:sz="0" w:space="0" w:color="auto"/>
        <w:left w:val="none" w:sz="0" w:space="0" w:color="auto"/>
        <w:bottom w:val="none" w:sz="0" w:space="0" w:color="auto"/>
        <w:right w:val="none" w:sz="0" w:space="0" w:color="auto"/>
      </w:divBdr>
      <w:divsChild>
        <w:div w:id="978802885">
          <w:marLeft w:val="0"/>
          <w:marRight w:val="0"/>
          <w:marTop w:val="0"/>
          <w:marBottom w:val="0"/>
          <w:divBdr>
            <w:top w:val="none" w:sz="0" w:space="0" w:color="auto"/>
            <w:left w:val="none" w:sz="0" w:space="0" w:color="auto"/>
            <w:bottom w:val="none" w:sz="0" w:space="0" w:color="auto"/>
            <w:right w:val="none" w:sz="0" w:space="0" w:color="auto"/>
          </w:divBdr>
        </w:div>
      </w:divsChild>
    </w:div>
    <w:div w:id="511847163">
      <w:bodyDiv w:val="1"/>
      <w:marLeft w:val="0"/>
      <w:marRight w:val="0"/>
      <w:marTop w:val="0"/>
      <w:marBottom w:val="0"/>
      <w:divBdr>
        <w:top w:val="none" w:sz="0" w:space="0" w:color="auto"/>
        <w:left w:val="none" w:sz="0" w:space="0" w:color="auto"/>
        <w:bottom w:val="none" w:sz="0" w:space="0" w:color="auto"/>
        <w:right w:val="none" w:sz="0" w:space="0" w:color="auto"/>
      </w:divBdr>
      <w:divsChild>
        <w:div w:id="656423083">
          <w:marLeft w:val="360"/>
          <w:marRight w:val="0"/>
          <w:marTop w:val="0"/>
          <w:marBottom w:val="0"/>
          <w:divBdr>
            <w:top w:val="none" w:sz="0" w:space="0" w:color="auto"/>
            <w:left w:val="none" w:sz="0" w:space="0" w:color="auto"/>
            <w:bottom w:val="none" w:sz="0" w:space="0" w:color="auto"/>
            <w:right w:val="none" w:sz="0" w:space="0" w:color="auto"/>
          </w:divBdr>
        </w:div>
      </w:divsChild>
    </w:div>
    <w:div w:id="520708386">
      <w:bodyDiv w:val="1"/>
      <w:marLeft w:val="0"/>
      <w:marRight w:val="0"/>
      <w:marTop w:val="0"/>
      <w:marBottom w:val="0"/>
      <w:divBdr>
        <w:top w:val="none" w:sz="0" w:space="0" w:color="auto"/>
        <w:left w:val="none" w:sz="0" w:space="0" w:color="auto"/>
        <w:bottom w:val="none" w:sz="0" w:space="0" w:color="auto"/>
        <w:right w:val="none" w:sz="0" w:space="0" w:color="auto"/>
      </w:divBdr>
    </w:div>
    <w:div w:id="521162923">
      <w:bodyDiv w:val="1"/>
      <w:marLeft w:val="0"/>
      <w:marRight w:val="0"/>
      <w:marTop w:val="0"/>
      <w:marBottom w:val="0"/>
      <w:divBdr>
        <w:top w:val="none" w:sz="0" w:space="0" w:color="auto"/>
        <w:left w:val="none" w:sz="0" w:space="0" w:color="auto"/>
        <w:bottom w:val="none" w:sz="0" w:space="0" w:color="auto"/>
        <w:right w:val="none" w:sz="0" w:space="0" w:color="auto"/>
      </w:divBdr>
      <w:divsChild>
        <w:div w:id="579952190">
          <w:marLeft w:val="0"/>
          <w:marRight w:val="0"/>
          <w:marTop w:val="0"/>
          <w:marBottom w:val="0"/>
          <w:divBdr>
            <w:top w:val="none" w:sz="0" w:space="0" w:color="auto"/>
            <w:left w:val="none" w:sz="0" w:space="0" w:color="auto"/>
            <w:bottom w:val="none" w:sz="0" w:space="0" w:color="auto"/>
            <w:right w:val="none" w:sz="0" w:space="0" w:color="auto"/>
          </w:divBdr>
        </w:div>
      </w:divsChild>
    </w:div>
    <w:div w:id="538203104">
      <w:bodyDiv w:val="1"/>
      <w:marLeft w:val="0"/>
      <w:marRight w:val="0"/>
      <w:marTop w:val="0"/>
      <w:marBottom w:val="0"/>
      <w:divBdr>
        <w:top w:val="none" w:sz="0" w:space="0" w:color="auto"/>
        <w:left w:val="none" w:sz="0" w:space="0" w:color="auto"/>
        <w:bottom w:val="none" w:sz="0" w:space="0" w:color="auto"/>
        <w:right w:val="none" w:sz="0" w:space="0" w:color="auto"/>
      </w:divBdr>
    </w:div>
    <w:div w:id="548735325">
      <w:bodyDiv w:val="1"/>
      <w:marLeft w:val="0"/>
      <w:marRight w:val="0"/>
      <w:marTop w:val="0"/>
      <w:marBottom w:val="0"/>
      <w:divBdr>
        <w:top w:val="none" w:sz="0" w:space="0" w:color="auto"/>
        <w:left w:val="none" w:sz="0" w:space="0" w:color="auto"/>
        <w:bottom w:val="none" w:sz="0" w:space="0" w:color="auto"/>
        <w:right w:val="none" w:sz="0" w:space="0" w:color="auto"/>
      </w:divBdr>
    </w:div>
    <w:div w:id="550111962">
      <w:bodyDiv w:val="1"/>
      <w:marLeft w:val="0"/>
      <w:marRight w:val="0"/>
      <w:marTop w:val="0"/>
      <w:marBottom w:val="0"/>
      <w:divBdr>
        <w:top w:val="none" w:sz="0" w:space="0" w:color="auto"/>
        <w:left w:val="none" w:sz="0" w:space="0" w:color="auto"/>
        <w:bottom w:val="none" w:sz="0" w:space="0" w:color="auto"/>
        <w:right w:val="none" w:sz="0" w:space="0" w:color="auto"/>
      </w:divBdr>
    </w:div>
    <w:div w:id="556742968">
      <w:bodyDiv w:val="1"/>
      <w:marLeft w:val="0"/>
      <w:marRight w:val="0"/>
      <w:marTop w:val="0"/>
      <w:marBottom w:val="0"/>
      <w:divBdr>
        <w:top w:val="none" w:sz="0" w:space="0" w:color="auto"/>
        <w:left w:val="none" w:sz="0" w:space="0" w:color="auto"/>
        <w:bottom w:val="none" w:sz="0" w:space="0" w:color="auto"/>
        <w:right w:val="none" w:sz="0" w:space="0" w:color="auto"/>
      </w:divBdr>
    </w:div>
    <w:div w:id="568617307">
      <w:bodyDiv w:val="1"/>
      <w:marLeft w:val="0"/>
      <w:marRight w:val="0"/>
      <w:marTop w:val="0"/>
      <w:marBottom w:val="0"/>
      <w:divBdr>
        <w:top w:val="none" w:sz="0" w:space="0" w:color="auto"/>
        <w:left w:val="none" w:sz="0" w:space="0" w:color="auto"/>
        <w:bottom w:val="none" w:sz="0" w:space="0" w:color="auto"/>
        <w:right w:val="none" w:sz="0" w:space="0" w:color="auto"/>
      </w:divBdr>
    </w:div>
    <w:div w:id="580063722">
      <w:bodyDiv w:val="1"/>
      <w:marLeft w:val="0"/>
      <w:marRight w:val="0"/>
      <w:marTop w:val="0"/>
      <w:marBottom w:val="0"/>
      <w:divBdr>
        <w:top w:val="none" w:sz="0" w:space="0" w:color="auto"/>
        <w:left w:val="none" w:sz="0" w:space="0" w:color="auto"/>
        <w:bottom w:val="none" w:sz="0" w:space="0" w:color="auto"/>
        <w:right w:val="none" w:sz="0" w:space="0" w:color="auto"/>
      </w:divBdr>
    </w:div>
    <w:div w:id="609123100">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22199455">
      <w:bodyDiv w:val="1"/>
      <w:marLeft w:val="0"/>
      <w:marRight w:val="0"/>
      <w:marTop w:val="0"/>
      <w:marBottom w:val="0"/>
      <w:divBdr>
        <w:top w:val="none" w:sz="0" w:space="0" w:color="auto"/>
        <w:left w:val="none" w:sz="0" w:space="0" w:color="auto"/>
        <w:bottom w:val="none" w:sz="0" w:space="0" w:color="auto"/>
        <w:right w:val="none" w:sz="0" w:space="0" w:color="auto"/>
      </w:divBdr>
      <w:divsChild>
        <w:div w:id="2111780475">
          <w:marLeft w:val="0"/>
          <w:marRight w:val="0"/>
          <w:marTop w:val="0"/>
          <w:marBottom w:val="0"/>
          <w:divBdr>
            <w:top w:val="none" w:sz="0" w:space="0" w:color="auto"/>
            <w:left w:val="none" w:sz="0" w:space="0" w:color="auto"/>
            <w:bottom w:val="none" w:sz="0" w:space="0" w:color="auto"/>
            <w:right w:val="none" w:sz="0" w:space="0" w:color="auto"/>
          </w:divBdr>
        </w:div>
      </w:divsChild>
    </w:div>
    <w:div w:id="646401389">
      <w:bodyDiv w:val="1"/>
      <w:marLeft w:val="0"/>
      <w:marRight w:val="0"/>
      <w:marTop w:val="0"/>
      <w:marBottom w:val="0"/>
      <w:divBdr>
        <w:top w:val="none" w:sz="0" w:space="0" w:color="auto"/>
        <w:left w:val="none" w:sz="0" w:space="0" w:color="auto"/>
        <w:bottom w:val="none" w:sz="0" w:space="0" w:color="auto"/>
        <w:right w:val="none" w:sz="0" w:space="0" w:color="auto"/>
      </w:divBdr>
    </w:div>
    <w:div w:id="659623908">
      <w:bodyDiv w:val="1"/>
      <w:marLeft w:val="0"/>
      <w:marRight w:val="0"/>
      <w:marTop w:val="0"/>
      <w:marBottom w:val="0"/>
      <w:divBdr>
        <w:top w:val="none" w:sz="0" w:space="0" w:color="auto"/>
        <w:left w:val="none" w:sz="0" w:space="0" w:color="auto"/>
        <w:bottom w:val="none" w:sz="0" w:space="0" w:color="auto"/>
        <w:right w:val="none" w:sz="0" w:space="0" w:color="auto"/>
      </w:divBdr>
    </w:div>
    <w:div w:id="660348784">
      <w:bodyDiv w:val="1"/>
      <w:marLeft w:val="0"/>
      <w:marRight w:val="0"/>
      <w:marTop w:val="0"/>
      <w:marBottom w:val="0"/>
      <w:divBdr>
        <w:top w:val="none" w:sz="0" w:space="0" w:color="auto"/>
        <w:left w:val="none" w:sz="0" w:space="0" w:color="auto"/>
        <w:bottom w:val="none" w:sz="0" w:space="0" w:color="auto"/>
        <w:right w:val="none" w:sz="0" w:space="0" w:color="auto"/>
      </w:divBdr>
    </w:div>
    <w:div w:id="674725400">
      <w:bodyDiv w:val="1"/>
      <w:marLeft w:val="0"/>
      <w:marRight w:val="0"/>
      <w:marTop w:val="0"/>
      <w:marBottom w:val="0"/>
      <w:divBdr>
        <w:top w:val="none" w:sz="0" w:space="0" w:color="auto"/>
        <w:left w:val="none" w:sz="0" w:space="0" w:color="auto"/>
        <w:bottom w:val="none" w:sz="0" w:space="0" w:color="auto"/>
        <w:right w:val="none" w:sz="0" w:space="0" w:color="auto"/>
      </w:divBdr>
    </w:div>
    <w:div w:id="677344110">
      <w:bodyDiv w:val="1"/>
      <w:marLeft w:val="0"/>
      <w:marRight w:val="0"/>
      <w:marTop w:val="0"/>
      <w:marBottom w:val="0"/>
      <w:divBdr>
        <w:top w:val="none" w:sz="0" w:space="0" w:color="auto"/>
        <w:left w:val="none" w:sz="0" w:space="0" w:color="auto"/>
        <w:bottom w:val="none" w:sz="0" w:space="0" w:color="auto"/>
        <w:right w:val="none" w:sz="0" w:space="0" w:color="auto"/>
      </w:divBdr>
    </w:div>
    <w:div w:id="696467028">
      <w:bodyDiv w:val="1"/>
      <w:marLeft w:val="0"/>
      <w:marRight w:val="0"/>
      <w:marTop w:val="0"/>
      <w:marBottom w:val="0"/>
      <w:divBdr>
        <w:top w:val="none" w:sz="0" w:space="0" w:color="auto"/>
        <w:left w:val="none" w:sz="0" w:space="0" w:color="auto"/>
        <w:bottom w:val="none" w:sz="0" w:space="0" w:color="auto"/>
        <w:right w:val="none" w:sz="0" w:space="0" w:color="auto"/>
      </w:divBdr>
    </w:div>
    <w:div w:id="707225172">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77528784">
      <w:bodyDiv w:val="1"/>
      <w:marLeft w:val="0"/>
      <w:marRight w:val="0"/>
      <w:marTop w:val="0"/>
      <w:marBottom w:val="0"/>
      <w:divBdr>
        <w:top w:val="none" w:sz="0" w:space="0" w:color="auto"/>
        <w:left w:val="none" w:sz="0" w:space="0" w:color="auto"/>
        <w:bottom w:val="none" w:sz="0" w:space="0" w:color="auto"/>
        <w:right w:val="none" w:sz="0" w:space="0" w:color="auto"/>
      </w:divBdr>
      <w:divsChild>
        <w:div w:id="699628987">
          <w:marLeft w:val="0"/>
          <w:marRight w:val="0"/>
          <w:marTop w:val="0"/>
          <w:marBottom w:val="0"/>
          <w:divBdr>
            <w:top w:val="none" w:sz="0" w:space="0" w:color="auto"/>
            <w:left w:val="none" w:sz="0" w:space="0" w:color="auto"/>
            <w:bottom w:val="none" w:sz="0" w:space="0" w:color="auto"/>
            <w:right w:val="none" w:sz="0" w:space="0" w:color="auto"/>
          </w:divBdr>
        </w:div>
      </w:divsChild>
    </w:div>
    <w:div w:id="787703694">
      <w:bodyDiv w:val="1"/>
      <w:marLeft w:val="0"/>
      <w:marRight w:val="0"/>
      <w:marTop w:val="0"/>
      <w:marBottom w:val="0"/>
      <w:divBdr>
        <w:top w:val="none" w:sz="0" w:space="0" w:color="auto"/>
        <w:left w:val="none" w:sz="0" w:space="0" w:color="auto"/>
        <w:bottom w:val="none" w:sz="0" w:space="0" w:color="auto"/>
        <w:right w:val="none" w:sz="0" w:space="0" w:color="auto"/>
      </w:divBdr>
    </w:div>
    <w:div w:id="787965365">
      <w:bodyDiv w:val="1"/>
      <w:marLeft w:val="0"/>
      <w:marRight w:val="0"/>
      <w:marTop w:val="0"/>
      <w:marBottom w:val="0"/>
      <w:divBdr>
        <w:top w:val="none" w:sz="0" w:space="0" w:color="auto"/>
        <w:left w:val="none" w:sz="0" w:space="0" w:color="auto"/>
        <w:bottom w:val="none" w:sz="0" w:space="0" w:color="auto"/>
        <w:right w:val="none" w:sz="0" w:space="0" w:color="auto"/>
      </w:divBdr>
    </w:div>
    <w:div w:id="790057771">
      <w:bodyDiv w:val="1"/>
      <w:marLeft w:val="0"/>
      <w:marRight w:val="0"/>
      <w:marTop w:val="0"/>
      <w:marBottom w:val="0"/>
      <w:divBdr>
        <w:top w:val="none" w:sz="0" w:space="0" w:color="auto"/>
        <w:left w:val="none" w:sz="0" w:space="0" w:color="auto"/>
        <w:bottom w:val="none" w:sz="0" w:space="0" w:color="auto"/>
        <w:right w:val="none" w:sz="0" w:space="0" w:color="auto"/>
      </w:divBdr>
      <w:divsChild>
        <w:div w:id="398750369">
          <w:marLeft w:val="0"/>
          <w:marRight w:val="0"/>
          <w:marTop w:val="0"/>
          <w:marBottom w:val="0"/>
          <w:divBdr>
            <w:top w:val="none" w:sz="0" w:space="0" w:color="auto"/>
            <w:left w:val="none" w:sz="0" w:space="0" w:color="auto"/>
            <w:bottom w:val="none" w:sz="0" w:space="0" w:color="auto"/>
            <w:right w:val="none" w:sz="0" w:space="0" w:color="auto"/>
          </w:divBdr>
        </w:div>
      </w:divsChild>
    </w:div>
    <w:div w:id="793673622">
      <w:bodyDiv w:val="1"/>
      <w:marLeft w:val="0"/>
      <w:marRight w:val="0"/>
      <w:marTop w:val="0"/>
      <w:marBottom w:val="0"/>
      <w:divBdr>
        <w:top w:val="none" w:sz="0" w:space="0" w:color="auto"/>
        <w:left w:val="none" w:sz="0" w:space="0" w:color="auto"/>
        <w:bottom w:val="none" w:sz="0" w:space="0" w:color="auto"/>
        <w:right w:val="none" w:sz="0" w:space="0" w:color="auto"/>
      </w:divBdr>
    </w:div>
    <w:div w:id="815151304">
      <w:bodyDiv w:val="1"/>
      <w:marLeft w:val="0"/>
      <w:marRight w:val="0"/>
      <w:marTop w:val="0"/>
      <w:marBottom w:val="0"/>
      <w:divBdr>
        <w:top w:val="none" w:sz="0" w:space="0" w:color="auto"/>
        <w:left w:val="none" w:sz="0" w:space="0" w:color="auto"/>
        <w:bottom w:val="none" w:sz="0" w:space="0" w:color="auto"/>
        <w:right w:val="none" w:sz="0" w:space="0" w:color="auto"/>
      </w:divBdr>
    </w:div>
    <w:div w:id="824587815">
      <w:bodyDiv w:val="1"/>
      <w:marLeft w:val="0"/>
      <w:marRight w:val="0"/>
      <w:marTop w:val="0"/>
      <w:marBottom w:val="0"/>
      <w:divBdr>
        <w:top w:val="none" w:sz="0" w:space="0" w:color="auto"/>
        <w:left w:val="none" w:sz="0" w:space="0" w:color="auto"/>
        <w:bottom w:val="none" w:sz="0" w:space="0" w:color="auto"/>
        <w:right w:val="none" w:sz="0" w:space="0" w:color="auto"/>
      </w:divBdr>
    </w:div>
    <w:div w:id="837235999">
      <w:bodyDiv w:val="1"/>
      <w:marLeft w:val="0"/>
      <w:marRight w:val="0"/>
      <w:marTop w:val="0"/>
      <w:marBottom w:val="0"/>
      <w:divBdr>
        <w:top w:val="none" w:sz="0" w:space="0" w:color="auto"/>
        <w:left w:val="none" w:sz="0" w:space="0" w:color="auto"/>
        <w:bottom w:val="none" w:sz="0" w:space="0" w:color="auto"/>
        <w:right w:val="none" w:sz="0" w:space="0" w:color="auto"/>
      </w:divBdr>
      <w:divsChild>
        <w:div w:id="840848921">
          <w:marLeft w:val="0"/>
          <w:marRight w:val="0"/>
          <w:marTop w:val="0"/>
          <w:marBottom w:val="0"/>
          <w:divBdr>
            <w:top w:val="none" w:sz="0" w:space="0" w:color="auto"/>
            <w:left w:val="none" w:sz="0" w:space="0" w:color="auto"/>
            <w:bottom w:val="none" w:sz="0" w:space="0" w:color="auto"/>
            <w:right w:val="none" w:sz="0" w:space="0" w:color="auto"/>
          </w:divBdr>
        </w:div>
      </w:divsChild>
    </w:div>
    <w:div w:id="843669830">
      <w:bodyDiv w:val="1"/>
      <w:marLeft w:val="0"/>
      <w:marRight w:val="0"/>
      <w:marTop w:val="0"/>
      <w:marBottom w:val="0"/>
      <w:divBdr>
        <w:top w:val="none" w:sz="0" w:space="0" w:color="auto"/>
        <w:left w:val="none" w:sz="0" w:space="0" w:color="auto"/>
        <w:bottom w:val="none" w:sz="0" w:space="0" w:color="auto"/>
        <w:right w:val="none" w:sz="0" w:space="0" w:color="auto"/>
      </w:divBdr>
    </w:div>
    <w:div w:id="860047928">
      <w:bodyDiv w:val="1"/>
      <w:marLeft w:val="0"/>
      <w:marRight w:val="0"/>
      <w:marTop w:val="0"/>
      <w:marBottom w:val="0"/>
      <w:divBdr>
        <w:top w:val="none" w:sz="0" w:space="0" w:color="auto"/>
        <w:left w:val="none" w:sz="0" w:space="0" w:color="auto"/>
        <w:bottom w:val="none" w:sz="0" w:space="0" w:color="auto"/>
        <w:right w:val="none" w:sz="0" w:space="0" w:color="auto"/>
      </w:divBdr>
      <w:divsChild>
        <w:div w:id="108593247">
          <w:marLeft w:val="0"/>
          <w:marRight w:val="0"/>
          <w:marTop w:val="0"/>
          <w:marBottom w:val="0"/>
          <w:divBdr>
            <w:top w:val="none" w:sz="0" w:space="0" w:color="auto"/>
            <w:left w:val="none" w:sz="0" w:space="0" w:color="auto"/>
            <w:bottom w:val="none" w:sz="0" w:space="0" w:color="auto"/>
            <w:right w:val="none" w:sz="0" w:space="0" w:color="auto"/>
          </w:divBdr>
        </w:div>
      </w:divsChild>
    </w:div>
    <w:div w:id="862673231">
      <w:bodyDiv w:val="1"/>
      <w:marLeft w:val="0"/>
      <w:marRight w:val="0"/>
      <w:marTop w:val="0"/>
      <w:marBottom w:val="0"/>
      <w:divBdr>
        <w:top w:val="none" w:sz="0" w:space="0" w:color="auto"/>
        <w:left w:val="none" w:sz="0" w:space="0" w:color="auto"/>
        <w:bottom w:val="none" w:sz="0" w:space="0" w:color="auto"/>
        <w:right w:val="none" w:sz="0" w:space="0" w:color="auto"/>
      </w:divBdr>
    </w:div>
    <w:div w:id="875888772">
      <w:bodyDiv w:val="1"/>
      <w:marLeft w:val="0"/>
      <w:marRight w:val="0"/>
      <w:marTop w:val="0"/>
      <w:marBottom w:val="0"/>
      <w:divBdr>
        <w:top w:val="none" w:sz="0" w:space="0" w:color="auto"/>
        <w:left w:val="none" w:sz="0" w:space="0" w:color="auto"/>
        <w:bottom w:val="none" w:sz="0" w:space="0" w:color="auto"/>
        <w:right w:val="none" w:sz="0" w:space="0" w:color="auto"/>
      </w:divBdr>
    </w:div>
    <w:div w:id="879825062">
      <w:bodyDiv w:val="1"/>
      <w:marLeft w:val="0"/>
      <w:marRight w:val="0"/>
      <w:marTop w:val="0"/>
      <w:marBottom w:val="0"/>
      <w:divBdr>
        <w:top w:val="none" w:sz="0" w:space="0" w:color="auto"/>
        <w:left w:val="none" w:sz="0" w:space="0" w:color="auto"/>
        <w:bottom w:val="none" w:sz="0" w:space="0" w:color="auto"/>
        <w:right w:val="none" w:sz="0" w:space="0" w:color="auto"/>
      </w:divBdr>
    </w:div>
    <w:div w:id="880939096">
      <w:bodyDiv w:val="1"/>
      <w:marLeft w:val="0"/>
      <w:marRight w:val="0"/>
      <w:marTop w:val="0"/>
      <w:marBottom w:val="0"/>
      <w:divBdr>
        <w:top w:val="none" w:sz="0" w:space="0" w:color="auto"/>
        <w:left w:val="none" w:sz="0" w:space="0" w:color="auto"/>
        <w:bottom w:val="none" w:sz="0" w:space="0" w:color="auto"/>
        <w:right w:val="none" w:sz="0" w:space="0" w:color="auto"/>
      </w:divBdr>
      <w:divsChild>
        <w:div w:id="1292634057">
          <w:marLeft w:val="0"/>
          <w:marRight w:val="0"/>
          <w:marTop w:val="0"/>
          <w:marBottom w:val="0"/>
          <w:divBdr>
            <w:top w:val="none" w:sz="0" w:space="0" w:color="auto"/>
            <w:left w:val="none" w:sz="0" w:space="0" w:color="auto"/>
            <w:bottom w:val="none" w:sz="0" w:space="0" w:color="auto"/>
            <w:right w:val="none" w:sz="0" w:space="0" w:color="auto"/>
          </w:divBdr>
        </w:div>
      </w:divsChild>
    </w:div>
    <w:div w:id="884217121">
      <w:bodyDiv w:val="1"/>
      <w:marLeft w:val="0"/>
      <w:marRight w:val="0"/>
      <w:marTop w:val="0"/>
      <w:marBottom w:val="0"/>
      <w:divBdr>
        <w:top w:val="none" w:sz="0" w:space="0" w:color="auto"/>
        <w:left w:val="none" w:sz="0" w:space="0" w:color="auto"/>
        <w:bottom w:val="none" w:sz="0" w:space="0" w:color="auto"/>
        <w:right w:val="none" w:sz="0" w:space="0" w:color="auto"/>
      </w:divBdr>
      <w:divsChild>
        <w:div w:id="1852910563">
          <w:marLeft w:val="0"/>
          <w:marRight w:val="0"/>
          <w:marTop w:val="0"/>
          <w:marBottom w:val="0"/>
          <w:divBdr>
            <w:top w:val="none" w:sz="0" w:space="0" w:color="auto"/>
            <w:left w:val="none" w:sz="0" w:space="0" w:color="auto"/>
            <w:bottom w:val="none" w:sz="0" w:space="0" w:color="auto"/>
            <w:right w:val="none" w:sz="0" w:space="0" w:color="auto"/>
          </w:divBdr>
        </w:div>
      </w:divsChild>
    </w:div>
    <w:div w:id="909072563">
      <w:bodyDiv w:val="1"/>
      <w:marLeft w:val="0"/>
      <w:marRight w:val="0"/>
      <w:marTop w:val="0"/>
      <w:marBottom w:val="0"/>
      <w:divBdr>
        <w:top w:val="none" w:sz="0" w:space="0" w:color="auto"/>
        <w:left w:val="none" w:sz="0" w:space="0" w:color="auto"/>
        <w:bottom w:val="none" w:sz="0" w:space="0" w:color="auto"/>
        <w:right w:val="none" w:sz="0" w:space="0" w:color="auto"/>
      </w:divBdr>
    </w:div>
    <w:div w:id="915094758">
      <w:bodyDiv w:val="1"/>
      <w:marLeft w:val="0"/>
      <w:marRight w:val="0"/>
      <w:marTop w:val="0"/>
      <w:marBottom w:val="0"/>
      <w:divBdr>
        <w:top w:val="none" w:sz="0" w:space="0" w:color="auto"/>
        <w:left w:val="none" w:sz="0" w:space="0" w:color="auto"/>
        <w:bottom w:val="none" w:sz="0" w:space="0" w:color="auto"/>
        <w:right w:val="none" w:sz="0" w:space="0" w:color="auto"/>
      </w:divBdr>
    </w:div>
    <w:div w:id="924221189">
      <w:bodyDiv w:val="1"/>
      <w:marLeft w:val="0"/>
      <w:marRight w:val="0"/>
      <w:marTop w:val="0"/>
      <w:marBottom w:val="0"/>
      <w:divBdr>
        <w:top w:val="none" w:sz="0" w:space="0" w:color="auto"/>
        <w:left w:val="none" w:sz="0" w:space="0" w:color="auto"/>
        <w:bottom w:val="none" w:sz="0" w:space="0" w:color="auto"/>
        <w:right w:val="none" w:sz="0" w:space="0" w:color="auto"/>
      </w:divBdr>
    </w:div>
    <w:div w:id="958029455">
      <w:bodyDiv w:val="1"/>
      <w:marLeft w:val="0"/>
      <w:marRight w:val="0"/>
      <w:marTop w:val="0"/>
      <w:marBottom w:val="0"/>
      <w:divBdr>
        <w:top w:val="none" w:sz="0" w:space="0" w:color="auto"/>
        <w:left w:val="none" w:sz="0" w:space="0" w:color="auto"/>
        <w:bottom w:val="none" w:sz="0" w:space="0" w:color="auto"/>
        <w:right w:val="none" w:sz="0" w:space="0" w:color="auto"/>
      </w:divBdr>
    </w:div>
    <w:div w:id="966662488">
      <w:bodyDiv w:val="1"/>
      <w:marLeft w:val="0"/>
      <w:marRight w:val="0"/>
      <w:marTop w:val="0"/>
      <w:marBottom w:val="0"/>
      <w:divBdr>
        <w:top w:val="none" w:sz="0" w:space="0" w:color="auto"/>
        <w:left w:val="none" w:sz="0" w:space="0" w:color="auto"/>
        <w:bottom w:val="none" w:sz="0" w:space="0" w:color="auto"/>
        <w:right w:val="none" w:sz="0" w:space="0" w:color="auto"/>
      </w:divBdr>
    </w:div>
    <w:div w:id="970130026">
      <w:bodyDiv w:val="1"/>
      <w:marLeft w:val="0"/>
      <w:marRight w:val="0"/>
      <w:marTop w:val="0"/>
      <w:marBottom w:val="0"/>
      <w:divBdr>
        <w:top w:val="none" w:sz="0" w:space="0" w:color="auto"/>
        <w:left w:val="none" w:sz="0" w:space="0" w:color="auto"/>
        <w:bottom w:val="none" w:sz="0" w:space="0" w:color="auto"/>
        <w:right w:val="none" w:sz="0" w:space="0" w:color="auto"/>
      </w:divBdr>
    </w:div>
    <w:div w:id="971448325">
      <w:bodyDiv w:val="1"/>
      <w:marLeft w:val="0"/>
      <w:marRight w:val="0"/>
      <w:marTop w:val="0"/>
      <w:marBottom w:val="0"/>
      <w:divBdr>
        <w:top w:val="none" w:sz="0" w:space="0" w:color="auto"/>
        <w:left w:val="none" w:sz="0" w:space="0" w:color="auto"/>
        <w:bottom w:val="none" w:sz="0" w:space="0" w:color="auto"/>
        <w:right w:val="none" w:sz="0" w:space="0" w:color="auto"/>
      </w:divBdr>
    </w:div>
    <w:div w:id="976644675">
      <w:bodyDiv w:val="1"/>
      <w:marLeft w:val="0"/>
      <w:marRight w:val="0"/>
      <w:marTop w:val="0"/>
      <w:marBottom w:val="0"/>
      <w:divBdr>
        <w:top w:val="none" w:sz="0" w:space="0" w:color="auto"/>
        <w:left w:val="none" w:sz="0" w:space="0" w:color="auto"/>
        <w:bottom w:val="none" w:sz="0" w:space="0" w:color="auto"/>
        <w:right w:val="none" w:sz="0" w:space="0" w:color="auto"/>
      </w:divBdr>
    </w:div>
    <w:div w:id="1015113971">
      <w:bodyDiv w:val="1"/>
      <w:marLeft w:val="0"/>
      <w:marRight w:val="0"/>
      <w:marTop w:val="0"/>
      <w:marBottom w:val="0"/>
      <w:divBdr>
        <w:top w:val="none" w:sz="0" w:space="0" w:color="auto"/>
        <w:left w:val="none" w:sz="0" w:space="0" w:color="auto"/>
        <w:bottom w:val="none" w:sz="0" w:space="0" w:color="auto"/>
        <w:right w:val="none" w:sz="0" w:space="0" w:color="auto"/>
      </w:divBdr>
    </w:div>
    <w:div w:id="1040936674">
      <w:bodyDiv w:val="1"/>
      <w:marLeft w:val="0"/>
      <w:marRight w:val="0"/>
      <w:marTop w:val="0"/>
      <w:marBottom w:val="0"/>
      <w:divBdr>
        <w:top w:val="none" w:sz="0" w:space="0" w:color="auto"/>
        <w:left w:val="none" w:sz="0" w:space="0" w:color="auto"/>
        <w:bottom w:val="none" w:sz="0" w:space="0" w:color="auto"/>
        <w:right w:val="none" w:sz="0" w:space="0" w:color="auto"/>
      </w:divBdr>
    </w:div>
    <w:div w:id="1041436120">
      <w:bodyDiv w:val="1"/>
      <w:marLeft w:val="0"/>
      <w:marRight w:val="0"/>
      <w:marTop w:val="0"/>
      <w:marBottom w:val="0"/>
      <w:divBdr>
        <w:top w:val="none" w:sz="0" w:space="0" w:color="auto"/>
        <w:left w:val="none" w:sz="0" w:space="0" w:color="auto"/>
        <w:bottom w:val="none" w:sz="0" w:space="0" w:color="auto"/>
        <w:right w:val="none" w:sz="0" w:space="0" w:color="auto"/>
      </w:divBdr>
      <w:divsChild>
        <w:div w:id="1166093497">
          <w:marLeft w:val="0"/>
          <w:marRight w:val="0"/>
          <w:marTop w:val="0"/>
          <w:marBottom w:val="0"/>
          <w:divBdr>
            <w:top w:val="none" w:sz="0" w:space="0" w:color="auto"/>
            <w:left w:val="none" w:sz="0" w:space="0" w:color="auto"/>
            <w:bottom w:val="none" w:sz="0" w:space="0" w:color="auto"/>
            <w:right w:val="none" w:sz="0" w:space="0" w:color="auto"/>
          </w:divBdr>
        </w:div>
      </w:divsChild>
    </w:div>
    <w:div w:id="1042513528">
      <w:bodyDiv w:val="1"/>
      <w:marLeft w:val="0"/>
      <w:marRight w:val="0"/>
      <w:marTop w:val="0"/>
      <w:marBottom w:val="0"/>
      <w:divBdr>
        <w:top w:val="none" w:sz="0" w:space="0" w:color="auto"/>
        <w:left w:val="none" w:sz="0" w:space="0" w:color="auto"/>
        <w:bottom w:val="none" w:sz="0" w:space="0" w:color="auto"/>
        <w:right w:val="none" w:sz="0" w:space="0" w:color="auto"/>
      </w:divBdr>
    </w:div>
    <w:div w:id="1048215420">
      <w:bodyDiv w:val="1"/>
      <w:marLeft w:val="0"/>
      <w:marRight w:val="0"/>
      <w:marTop w:val="0"/>
      <w:marBottom w:val="0"/>
      <w:divBdr>
        <w:top w:val="none" w:sz="0" w:space="0" w:color="auto"/>
        <w:left w:val="none" w:sz="0" w:space="0" w:color="auto"/>
        <w:bottom w:val="none" w:sz="0" w:space="0" w:color="auto"/>
        <w:right w:val="none" w:sz="0" w:space="0" w:color="auto"/>
      </w:divBdr>
      <w:divsChild>
        <w:div w:id="1265500809">
          <w:marLeft w:val="0"/>
          <w:marRight w:val="0"/>
          <w:marTop w:val="0"/>
          <w:marBottom w:val="0"/>
          <w:divBdr>
            <w:top w:val="none" w:sz="0" w:space="0" w:color="auto"/>
            <w:left w:val="none" w:sz="0" w:space="0" w:color="auto"/>
            <w:bottom w:val="none" w:sz="0" w:space="0" w:color="auto"/>
            <w:right w:val="none" w:sz="0" w:space="0" w:color="auto"/>
          </w:divBdr>
        </w:div>
      </w:divsChild>
    </w:div>
    <w:div w:id="1049501446">
      <w:bodyDiv w:val="1"/>
      <w:marLeft w:val="0"/>
      <w:marRight w:val="0"/>
      <w:marTop w:val="0"/>
      <w:marBottom w:val="0"/>
      <w:divBdr>
        <w:top w:val="none" w:sz="0" w:space="0" w:color="auto"/>
        <w:left w:val="none" w:sz="0" w:space="0" w:color="auto"/>
        <w:bottom w:val="none" w:sz="0" w:space="0" w:color="auto"/>
        <w:right w:val="none" w:sz="0" w:space="0" w:color="auto"/>
      </w:divBdr>
    </w:div>
    <w:div w:id="1060443812">
      <w:bodyDiv w:val="1"/>
      <w:marLeft w:val="0"/>
      <w:marRight w:val="0"/>
      <w:marTop w:val="0"/>
      <w:marBottom w:val="0"/>
      <w:divBdr>
        <w:top w:val="none" w:sz="0" w:space="0" w:color="auto"/>
        <w:left w:val="none" w:sz="0" w:space="0" w:color="auto"/>
        <w:bottom w:val="none" w:sz="0" w:space="0" w:color="auto"/>
        <w:right w:val="none" w:sz="0" w:space="0" w:color="auto"/>
      </w:divBdr>
    </w:div>
    <w:div w:id="1069227307">
      <w:bodyDiv w:val="1"/>
      <w:marLeft w:val="0"/>
      <w:marRight w:val="0"/>
      <w:marTop w:val="0"/>
      <w:marBottom w:val="0"/>
      <w:divBdr>
        <w:top w:val="none" w:sz="0" w:space="0" w:color="auto"/>
        <w:left w:val="none" w:sz="0" w:space="0" w:color="auto"/>
        <w:bottom w:val="none" w:sz="0" w:space="0" w:color="auto"/>
        <w:right w:val="none" w:sz="0" w:space="0" w:color="auto"/>
      </w:divBdr>
    </w:div>
    <w:div w:id="1090783852">
      <w:bodyDiv w:val="1"/>
      <w:marLeft w:val="0"/>
      <w:marRight w:val="0"/>
      <w:marTop w:val="0"/>
      <w:marBottom w:val="0"/>
      <w:divBdr>
        <w:top w:val="none" w:sz="0" w:space="0" w:color="auto"/>
        <w:left w:val="none" w:sz="0" w:space="0" w:color="auto"/>
        <w:bottom w:val="none" w:sz="0" w:space="0" w:color="auto"/>
        <w:right w:val="none" w:sz="0" w:space="0" w:color="auto"/>
      </w:divBdr>
      <w:divsChild>
        <w:div w:id="827012765">
          <w:marLeft w:val="0"/>
          <w:marRight w:val="0"/>
          <w:marTop w:val="0"/>
          <w:marBottom w:val="0"/>
          <w:divBdr>
            <w:top w:val="none" w:sz="0" w:space="0" w:color="auto"/>
            <w:left w:val="none" w:sz="0" w:space="0" w:color="auto"/>
            <w:bottom w:val="none" w:sz="0" w:space="0" w:color="auto"/>
            <w:right w:val="none" w:sz="0" w:space="0" w:color="auto"/>
          </w:divBdr>
        </w:div>
      </w:divsChild>
    </w:div>
    <w:div w:id="1091704111">
      <w:bodyDiv w:val="1"/>
      <w:marLeft w:val="0"/>
      <w:marRight w:val="0"/>
      <w:marTop w:val="0"/>
      <w:marBottom w:val="0"/>
      <w:divBdr>
        <w:top w:val="none" w:sz="0" w:space="0" w:color="auto"/>
        <w:left w:val="none" w:sz="0" w:space="0" w:color="auto"/>
        <w:bottom w:val="none" w:sz="0" w:space="0" w:color="auto"/>
        <w:right w:val="none" w:sz="0" w:space="0" w:color="auto"/>
      </w:divBdr>
    </w:div>
    <w:div w:id="1101875791">
      <w:bodyDiv w:val="1"/>
      <w:marLeft w:val="0"/>
      <w:marRight w:val="0"/>
      <w:marTop w:val="0"/>
      <w:marBottom w:val="0"/>
      <w:divBdr>
        <w:top w:val="none" w:sz="0" w:space="0" w:color="auto"/>
        <w:left w:val="none" w:sz="0" w:space="0" w:color="auto"/>
        <w:bottom w:val="none" w:sz="0" w:space="0" w:color="auto"/>
        <w:right w:val="none" w:sz="0" w:space="0" w:color="auto"/>
      </w:divBdr>
      <w:divsChild>
        <w:div w:id="2046830693">
          <w:marLeft w:val="0"/>
          <w:marRight w:val="0"/>
          <w:marTop w:val="0"/>
          <w:marBottom w:val="0"/>
          <w:divBdr>
            <w:top w:val="none" w:sz="0" w:space="0" w:color="auto"/>
            <w:left w:val="none" w:sz="0" w:space="0" w:color="auto"/>
            <w:bottom w:val="none" w:sz="0" w:space="0" w:color="auto"/>
            <w:right w:val="none" w:sz="0" w:space="0" w:color="auto"/>
          </w:divBdr>
        </w:div>
      </w:divsChild>
    </w:div>
    <w:div w:id="1136340350">
      <w:bodyDiv w:val="1"/>
      <w:marLeft w:val="0"/>
      <w:marRight w:val="0"/>
      <w:marTop w:val="0"/>
      <w:marBottom w:val="0"/>
      <w:divBdr>
        <w:top w:val="none" w:sz="0" w:space="0" w:color="auto"/>
        <w:left w:val="none" w:sz="0" w:space="0" w:color="auto"/>
        <w:bottom w:val="none" w:sz="0" w:space="0" w:color="auto"/>
        <w:right w:val="none" w:sz="0" w:space="0" w:color="auto"/>
      </w:divBdr>
      <w:divsChild>
        <w:div w:id="2121798889">
          <w:marLeft w:val="0"/>
          <w:marRight w:val="0"/>
          <w:marTop w:val="0"/>
          <w:marBottom w:val="0"/>
          <w:divBdr>
            <w:top w:val="none" w:sz="0" w:space="0" w:color="auto"/>
            <w:left w:val="none" w:sz="0" w:space="0" w:color="auto"/>
            <w:bottom w:val="none" w:sz="0" w:space="0" w:color="auto"/>
            <w:right w:val="none" w:sz="0" w:space="0" w:color="auto"/>
          </w:divBdr>
        </w:div>
      </w:divsChild>
    </w:div>
    <w:div w:id="1137064811">
      <w:bodyDiv w:val="1"/>
      <w:marLeft w:val="0"/>
      <w:marRight w:val="0"/>
      <w:marTop w:val="0"/>
      <w:marBottom w:val="0"/>
      <w:divBdr>
        <w:top w:val="none" w:sz="0" w:space="0" w:color="auto"/>
        <w:left w:val="none" w:sz="0" w:space="0" w:color="auto"/>
        <w:bottom w:val="none" w:sz="0" w:space="0" w:color="auto"/>
        <w:right w:val="none" w:sz="0" w:space="0" w:color="auto"/>
      </w:divBdr>
      <w:divsChild>
        <w:div w:id="1346786448">
          <w:marLeft w:val="0"/>
          <w:marRight w:val="0"/>
          <w:marTop w:val="0"/>
          <w:marBottom w:val="0"/>
          <w:divBdr>
            <w:top w:val="none" w:sz="0" w:space="0" w:color="auto"/>
            <w:left w:val="none" w:sz="0" w:space="0" w:color="auto"/>
            <w:bottom w:val="none" w:sz="0" w:space="0" w:color="auto"/>
            <w:right w:val="none" w:sz="0" w:space="0" w:color="auto"/>
          </w:divBdr>
        </w:div>
      </w:divsChild>
    </w:div>
    <w:div w:id="1142692336">
      <w:bodyDiv w:val="1"/>
      <w:marLeft w:val="0"/>
      <w:marRight w:val="0"/>
      <w:marTop w:val="0"/>
      <w:marBottom w:val="0"/>
      <w:divBdr>
        <w:top w:val="none" w:sz="0" w:space="0" w:color="auto"/>
        <w:left w:val="none" w:sz="0" w:space="0" w:color="auto"/>
        <w:bottom w:val="none" w:sz="0" w:space="0" w:color="auto"/>
        <w:right w:val="none" w:sz="0" w:space="0" w:color="auto"/>
      </w:divBdr>
    </w:div>
    <w:div w:id="1151140559">
      <w:bodyDiv w:val="1"/>
      <w:marLeft w:val="0"/>
      <w:marRight w:val="0"/>
      <w:marTop w:val="0"/>
      <w:marBottom w:val="0"/>
      <w:divBdr>
        <w:top w:val="none" w:sz="0" w:space="0" w:color="auto"/>
        <w:left w:val="none" w:sz="0" w:space="0" w:color="auto"/>
        <w:bottom w:val="none" w:sz="0" w:space="0" w:color="auto"/>
        <w:right w:val="none" w:sz="0" w:space="0" w:color="auto"/>
      </w:divBdr>
    </w:div>
    <w:div w:id="1168326744">
      <w:bodyDiv w:val="1"/>
      <w:marLeft w:val="0"/>
      <w:marRight w:val="0"/>
      <w:marTop w:val="0"/>
      <w:marBottom w:val="0"/>
      <w:divBdr>
        <w:top w:val="none" w:sz="0" w:space="0" w:color="auto"/>
        <w:left w:val="none" w:sz="0" w:space="0" w:color="auto"/>
        <w:bottom w:val="none" w:sz="0" w:space="0" w:color="auto"/>
        <w:right w:val="none" w:sz="0" w:space="0" w:color="auto"/>
      </w:divBdr>
    </w:div>
    <w:div w:id="1211308186">
      <w:bodyDiv w:val="1"/>
      <w:marLeft w:val="0"/>
      <w:marRight w:val="0"/>
      <w:marTop w:val="0"/>
      <w:marBottom w:val="0"/>
      <w:divBdr>
        <w:top w:val="none" w:sz="0" w:space="0" w:color="auto"/>
        <w:left w:val="none" w:sz="0" w:space="0" w:color="auto"/>
        <w:bottom w:val="none" w:sz="0" w:space="0" w:color="auto"/>
        <w:right w:val="none" w:sz="0" w:space="0" w:color="auto"/>
      </w:divBdr>
    </w:div>
    <w:div w:id="1214922812">
      <w:bodyDiv w:val="1"/>
      <w:marLeft w:val="0"/>
      <w:marRight w:val="0"/>
      <w:marTop w:val="0"/>
      <w:marBottom w:val="0"/>
      <w:divBdr>
        <w:top w:val="none" w:sz="0" w:space="0" w:color="auto"/>
        <w:left w:val="none" w:sz="0" w:space="0" w:color="auto"/>
        <w:bottom w:val="none" w:sz="0" w:space="0" w:color="auto"/>
        <w:right w:val="none" w:sz="0" w:space="0" w:color="auto"/>
      </w:divBdr>
    </w:div>
    <w:div w:id="1229220902">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67621117">
      <w:bodyDiv w:val="1"/>
      <w:marLeft w:val="0"/>
      <w:marRight w:val="0"/>
      <w:marTop w:val="0"/>
      <w:marBottom w:val="0"/>
      <w:divBdr>
        <w:top w:val="none" w:sz="0" w:space="0" w:color="auto"/>
        <w:left w:val="none" w:sz="0" w:space="0" w:color="auto"/>
        <w:bottom w:val="none" w:sz="0" w:space="0" w:color="auto"/>
        <w:right w:val="none" w:sz="0" w:space="0" w:color="auto"/>
      </w:divBdr>
    </w:div>
    <w:div w:id="1298218197">
      <w:bodyDiv w:val="1"/>
      <w:marLeft w:val="0"/>
      <w:marRight w:val="0"/>
      <w:marTop w:val="0"/>
      <w:marBottom w:val="0"/>
      <w:divBdr>
        <w:top w:val="none" w:sz="0" w:space="0" w:color="auto"/>
        <w:left w:val="none" w:sz="0" w:space="0" w:color="auto"/>
        <w:bottom w:val="none" w:sz="0" w:space="0" w:color="auto"/>
        <w:right w:val="none" w:sz="0" w:space="0" w:color="auto"/>
      </w:divBdr>
    </w:div>
    <w:div w:id="1330598710">
      <w:bodyDiv w:val="1"/>
      <w:marLeft w:val="0"/>
      <w:marRight w:val="0"/>
      <w:marTop w:val="0"/>
      <w:marBottom w:val="0"/>
      <w:divBdr>
        <w:top w:val="none" w:sz="0" w:space="0" w:color="auto"/>
        <w:left w:val="none" w:sz="0" w:space="0" w:color="auto"/>
        <w:bottom w:val="none" w:sz="0" w:space="0" w:color="auto"/>
        <w:right w:val="none" w:sz="0" w:space="0" w:color="auto"/>
      </w:divBdr>
    </w:div>
    <w:div w:id="1337029232">
      <w:bodyDiv w:val="1"/>
      <w:marLeft w:val="0"/>
      <w:marRight w:val="0"/>
      <w:marTop w:val="0"/>
      <w:marBottom w:val="0"/>
      <w:divBdr>
        <w:top w:val="none" w:sz="0" w:space="0" w:color="auto"/>
        <w:left w:val="none" w:sz="0" w:space="0" w:color="auto"/>
        <w:bottom w:val="none" w:sz="0" w:space="0" w:color="auto"/>
        <w:right w:val="none" w:sz="0" w:space="0" w:color="auto"/>
      </w:divBdr>
    </w:div>
    <w:div w:id="1340084634">
      <w:bodyDiv w:val="1"/>
      <w:marLeft w:val="0"/>
      <w:marRight w:val="0"/>
      <w:marTop w:val="0"/>
      <w:marBottom w:val="0"/>
      <w:divBdr>
        <w:top w:val="none" w:sz="0" w:space="0" w:color="auto"/>
        <w:left w:val="none" w:sz="0" w:space="0" w:color="auto"/>
        <w:bottom w:val="none" w:sz="0" w:space="0" w:color="auto"/>
        <w:right w:val="none" w:sz="0" w:space="0" w:color="auto"/>
      </w:divBdr>
      <w:divsChild>
        <w:div w:id="730615382">
          <w:marLeft w:val="0"/>
          <w:marRight w:val="0"/>
          <w:marTop w:val="0"/>
          <w:marBottom w:val="0"/>
          <w:divBdr>
            <w:top w:val="none" w:sz="0" w:space="0" w:color="auto"/>
            <w:left w:val="none" w:sz="0" w:space="0" w:color="auto"/>
            <w:bottom w:val="none" w:sz="0" w:space="0" w:color="auto"/>
            <w:right w:val="none" w:sz="0" w:space="0" w:color="auto"/>
          </w:divBdr>
        </w:div>
      </w:divsChild>
    </w:div>
    <w:div w:id="1385718836">
      <w:bodyDiv w:val="1"/>
      <w:marLeft w:val="0"/>
      <w:marRight w:val="0"/>
      <w:marTop w:val="0"/>
      <w:marBottom w:val="0"/>
      <w:divBdr>
        <w:top w:val="none" w:sz="0" w:space="0" w:color="auto"/>
        <w:left w:val="none" w:sz="0" w:space="0" w:color="auto"/>
        <w:bottom w:val="none" w:sz="0" w:space="0" w:color="auto"/>
        <w:right w:val="none" w:sz="0" w:space="0" w:color="auto"/>
      </w:divBdr>
    </w:div>
    <w:div w:id="1385907277">
      <w:bodyDiv w:val="1"/>
      <w:marLeft w:val="0"/>
      <w:marRight w:val="0"/>
      <w:marTop w:val="0"/>
      <w:marBottom w:val="0"/>
      <w:divBdr>
        <w:top w:val="none" w:sz="0" w:space="0" w:color="auto"/>
        <w:left w:val="none" w:sz="0" w:space="0" w:color="auto"/>
        <w:bottom w:val="none" w:sz="0" w:space="0" w:color="auto"/>
        <w:right w:val="none" w:sz="0" w:space="0" w:color="auto"/>
      </w:divBdr>
    </w:div>
    <w:div w:id="1400519451">
      <w:bodyDiv w:val="1"/>
      <w:marLeft w:val="0"/>
      <w:marRight w:val="0"/>
      <w:marTop w:val="0"/>
      <w:marBottom w:val="0"/>
      <w:divBdr>
        <w:top w:val="none" w:sz="0" w:space="0" w:color="auto"/>
        <w:left w:val="none" w:sz="0" w:space="0" w:color="auto"/>
        <w:bottom w:val="none" w:sz="0" w:space="0" w:color="auto"/>
        <w:right w:val="none" w:sz="0" w:space="0" w:color="auto"/>
      </w:divBdr>
      <w:divsChild>
        <w:div w:id="1315336062">
          <w:marLeft w:val="0"/>
          <w:marRight w:val="0"/>
          <w:marTop w:val="0"/>
          <w:marBottom w:val="0"/>
          <w:divBdr>
            <w:top w:val="none" w:sz="0" w:space="0" w:color="auto"/>
            <w:left w:val="none" w:sz="0" w:space="0" w:color="auto"/>
            <w:bottom w:val="none" w:sz="0" w:space="0" w:color="auto"/>
            <w:right w:val="none" w:sz="0" w:space="0" w:color="auto"/>
          </w:divBdr>
        </w:div>
      </w:divsChild>
    </w:div>
    <w:div w:id="1407456178">
      <w:bodyDiv w:val="1"/>
      <w:marLeft w:val="0"/>
      <w:marRight w:val="0"/>
      <w:marTop w:val="0"/>
      <w:marBottom w:val="0"/>
      <w:divBdr>
        <w:top w:val="none" w:sz="0" w:space="0" w:color="auto"/>
        <w:left w:val="none" w:sz="0" w:space="0" w:color="auto"/>
        <w:bottom w:val="none" w:sz="0" w:space="0" w:color="auto"/>
        <w:right w:val="none" w:sz="0" w:space="0" w:color="auto"/>
      </w:divBdr>
      <w:divsChild>
        <w:div w:id="2075471851">
          <w:marLeft w:val="0"/>
          <w:marRight w:val="0"/>
          <w:marTop w:val="0"/>
          <w:marBottom w:val="0"/>
          <w:divBdr>
            <w:top w:val="none" w:sz="0" w:space="0" w:color="auto"/>
            <w:left w:val="none" w:sz="0" w:space="0" w:color="auto"/>
            <w:bottom w:val="none" w:sz="0" w:space="0" w:color="auto"/>
            <w:right w:val="none" w:sz="0" w:space="0" w:color="auto"/>
          </w:divBdr>
        </w:div>
      </w:divsChild>
    </w:div>
    <w:div w:id="1419056124">
      <w:bodyDiv w:val="1"/>
      <w:marLeft w:val="0"/>
      <w:marRight w:val="0"/>
      <w:marTop w:val="0"/>
      <w:marBottom w:val="0"/>
      <w:divBdr>
        <w:top w:val="none" w:sz="0" w:space="0" w:color="auto"/>
        <w:left w:val="none" w:sz="0" w:space="0" w:color="auto"/>
        <w:bottom w:val="none" w:sz="0" w:space="0" w:color="auto"/>
        <w:right w:val="none" w:sz="0" w:space="0" w:color="auto"/>
      </w:divBdr>
    </w:div>
    <w:div w:id="1420829790">
      <w:bodyDiv w:val="1"/>
      <w:marLeft w:val="0"/>
      <w:marRight w:val="0"/>
      <w:marTop w:val="0"/>
      <w:marBottom w:val="0"/>
      <w:divBdr>
        <w:top w:val="none" w:sz="0" w:space="0" w:color="auto"/>
        <w:left w:val="none" w:sz="0" w:space="0" w:color="auto"/>
        <w:bottom w:val="none" w:sz="0" w:space="0" w:color="auto"/>
        <w:right w:val="none" w:sz="0" w:space="0" w:color="auto"/>
      </w:divBdr>
    </w:div>
    <w:div w:id="1439183341">
      <w:bodyDiv w:val="1"/>
      <w:marLeft w:val="0"/>
      <w:marRight w:val="0"/>
      <w:marTop w:val="0"/>
      <w:marBottom w:val="0"/>
      <w:divBdr>
        <w:top w:val="none" w:sz="0" w:space="0" w:color="auto"/>
        <w:left w:val="none" w:sz="0" w:space="0" w:color="auto"/>
        <w:bottom w:val="none" w:sz="0" w:space="0" w:color="auto"/>
        <w:right w:val="none" w:sz="0" w:space="0" w:color="auto"/>
      </w:divBdr>
    </w:div>
    <w:div w:id="1442645390">
      <w:bodyDiv w:val="1"/>
      <w:marLeft w:val="0"/>
      <w:marRight w:val="0"/>
      <w:marTop w:val="0"/>
      <w:marBottom w:val="0"/>
      <w:divBdr>
        <w:top w:val="none" w:sz="0" w:space="0" w:color="auto"/>
        <w:left w:val="none" w:sz="0" w:space="0" w:color="auto"/>
        <w:bottom w:val="none" w:sz="0" w:space="0" w:color="auto"/>
        <w:right w:val="none" w:sz="0" w:space="0" w:color="auto"/>
      </w:divBdr>
    </w:div>
    <w:div w:id="1460608650">
      <w:bodyDiv w:val="1"/>
      <w:marLeft w:val="0"/>
      <w:marRight w:val="0"/>
      <w:marTop w:val="0"/>
      <w:marBottom w:val="0"/>
      <w:divBdr>
        <w:top w:val="none" w:sz="0" w:space="0" w:color="auto"/>
        <w:left w:val="none" w:sz="0" w:space="0" w:color="auto"/>
        <w:bottom w:val="none" w:sz="0" w:space="0" w:color="auto"/>
        <w:right w:val="none" w:sz="0" w:space="0" w:color="auto"/>
      </w:divBdr>
    </w:div>
    <w:div w:id="1469739825">
      <w:bodyDiv w:val="1"/>
      <w:marLeft w:val="0"/>
      <w:marRight w:val="0"/>
      <w:marTop w:val="0"/>
      <w:marBottom w:val="0"/>
      <w:divBdr>
        <w:top w:val="none" w:sz="0" w:space="0" w:color="auto"/>
        <w:left w:val="none" w:sz="0" w:space="0" w:color="auto"/>
        <w:bottom w:val="none" w:sz="0" w:space="0" w:color="auto"/>
        <w:right w:val="none" w:sz="0" w:space="0" w:color="auto"/>
      </w:divBdr>
    </w:div>
    <w:div w:id="1470593790">
      <w:bodyDiv w:val="1"/>
      <w:marLeft w:val="0"/>
      <w:marRight w:val="0"/>
      <w:marTop w:val="0"/>
      <w:marBottom w:val="0"/>
      <w:divBdr>
        <w:top w:val="none" w:sz="0" w:space="0" w:color="auto"/>
        <w:left w:val="none" w:sz="0" w:space="0" w:color="auto"/>
        <w:bottom w:val="none" w:sz="0" w:space="0" w:color="auto"/>
        <w:right w:val="none" w:sz="0" w:space="0" w:color="auto"/>
      </w:divBdr>
      <w:divsChild>
        <w:div w:id="83459647">
          <w:marLeft w:val="0"/>
          <w:marRight w:val="0"/>
          <w:marTop w:val="0"/>
          <w:marBottom w:val="0"/>
          <w:divBdr>
            <w:top w:val="none" w:sz="0" w:space="0" w:color="auto"/>
            <w:left w:val="none" w:sz="0" w:space="0" w:color="auto"/>
            <w:bottom w:val="none" w:sz="0" w:space="0" w:color="auto"/>
            <w:right w:val="none" w:sz="0" w:space="0" w:color="auto"/>
          </w:divBdr>
        </w:div>
      </w:divsChild>
    </w:div>
    <w:div w:id="1481534684">
      <w:bodyDiv w:val="1"/>
      <w:marLeft w:val="0"/>
      <w:marRight w:val="0"/>
      <w:marTop w:val="0"/>
      <w:marBottom w:val="0"/>
      <w:divBdr>
        <w:top w:val="none" w:sz="0" w:space="0" w:color="auto"/>
        <w:left w:val="none" w:sz="0" w:space="0" w:color="auto"/>
        <w:bottom w:val="none" w:sz="0" w:space="0" w:color="auto"/>
        <w:right w:val="none" w:sz="0" w:space="0" w:color="auto"/>
      </w:divBdr>
    </w:div>
    <w:div w:id="1486318601">
      <w:bodyDiv w:val="1"/>
      <w:marLeft w:val="0"/>
      <w:marRight w:val="0"/>
      <w:marTop w:val="0"/>
      <w:marBottom w:val="0"/>
      <w:divBdr>
        <w:top w:val="none" w:sz="0" w:space="0" w:color="auto"/>
        <w:left w:val="none" w:sz="0" w:space="0" w:color="auto"/>
        <w:bottom w:val="none" w:sz="0" w:space="0" w:color="auto"/>
        <w:right w:val="none" w:sz="0" w:space="0" w:color="auto"/>
      </w:divBdr>
      <w:divsChild>
        <w:div w:id="45641955">
          <w:marLeft w:val="0"/>
          <w:marRight w:val="0"/>
          <w:marTop w:val="0"/>
          <w:marBottom w:val="0"/>
          <w:divBdr>
            <w:top w:val="none" w:sz="0" w:space="0" w:color="auto"/>
            <w:left w:val="none" w:sz="0" w:space="0" w:color="auto"/>
            <w:bottom w:val="none" w:sz="0" w:space="0" w:color="auto"/>
            <w:right w:val="none" w:sz="0" w:space="0" w:color="auto"/>
          </w:divBdr>
        </w:div>
      </w:divsChild>
    </w:div>
    <w:div w:id="1502426727">
      <w:bodyDiv w:val="1"/>
      <w:marLeft w:val="0"/>
      <w:marRight w:val="0"/>
      <w:marTop w:val="0"/>
      <w:marBottom w:val="0"/>
      <w:divBdr>
        <w:top w:val="none" w:sz="0" w:space="0" w:color="auto"/>
        <w:left w:val="none" w:sz="0" w:space="0" w:color="auto"/>
        <w:bottom w:val="none" w:sz="0" w:space="0" w:color="auto"/>
        <w:right w:val="none" w:sz="0" w:space="0" w:color="auto"/>
      </w:divBdr>
    </w:div>
    <w:div w:id="1514687961">
      <w:bodyDiv w:val="1"/>
      <w:marLeft w:val="0"/>
      <w:marRight w:val="0"/>
      <w:marTop w:val="0"/>
      <w:marBottom w:val="0"/>
      <w:divBdr>
        <w:top w:val="none" w:sz="0" w:space="0" w:color="auto"/>
        <w:left w:val="none" w:sz="0" w:space="0" w:color="auto"/>
        <w:bottom w:val="none" w:sz="0" w:space="0" w:color="auto"/>
        <w:right w:val="none" w:sz="0" w:space="0" w:color="auto"/>
      </w:divBdr>
      <w:divsChild>
        <w:div w:id="1547258460">
          <w:marLeft w:val="0"/>
          <w:marRight w:val="0"/>
          <w:marTop w:val="0"/>
          <w:marBottom w:val="0"/>
          <w:divBdr>
            <w:top w:val="none" w:sz="0" w:space="0" w:color="auto"/>
            <w:left w:val="none" w:sz="0" w:space="0" w:color="auto"/>
            <w:bottom w:val="none" w:sz="0" w:space="0" w:color="auto"/>
            <w:right w:val="none" w:sz="0" w:space="0" w:color="auto"/>
          </w:divBdr>
        </w:div>
      </w:divsChild>
    </w:div>
    <w:div w:id="1514882419">
      <w:bodyDiv w:val="1"/>
      <w:marLeft w:val="0"/>
      <w:marRight w:val="0"/>
      <w:marTop w:val="0"/>
      <w:marBottom w:val="0"/>
      <w:divBdr>
        <w:top w:val="none" w:sz="0" w:space="0" w:color="auto"/>
        <w:left w:val="none" w:sz="0" w:space="0" w:color="auto"/>
        <w:bottom w:val="none" w:sz="0" w:space="0" w:color="auto"/>
        <w:right w:val="none" w:sz="0" w:space="0" w:color="auto"/>
      </w:divBdr>
    </w:div>
    <w:div w:id="1569530470">
      <w:bodyDiv w:val="1"/>
      <w:marLeft w:val="0"/>
      <w:marRight w:val="0"/>
      <w:marTop w:val="0"/>
      <w:marBottom w:val="0"/>
      <w:divBdr>
        <w:top w:val="none" w:sz="0" w:space="0" w:color="auto"/>
        <w:left w:val="none" w:sz="0" w:space="0" w:color="auto"/>
        <w:bottom w:val="none" w:sz="0" w:space="0" w:color="auto"/>
        <w:right w:val="none" w:sz="0" w:space="0" w:color="auto"/>
      </w:divBdr>
    </w:div>
    <w:div w:id="1592622386">
      <w:bodyDiv w:val="1"/>
      <w:marLeft w:val="0"/>
      <w:marRight w:val="0"/>
      <w:marTop w:val="0"/>
      <w:marBottom w:val="0"/>
      <w:divBdr>
        <w:top w:val="none" w:sz="0" w:space="0" w:color="auto"/>
        <w:left w:val="none" w:sz="0" w:space="0" w:color="auto"/>
        <w:bottom w:val="none" w:sz="0" w:space="0" w:color="auto"/>
        <w:right w:val="none" w:sz="0" w:space="0" w:color="auto"/>
      </w:divBdr>
    </w:div>
    <w:div w:id="1603807212">
      <w:bodyDiv w:val="1"/>
      <w:marLeft w:val="0"/>
      <w:marRight w:val="0"/>
      <w:marTop w:val="0"/>
      <w:marBottom w:val="0"/>
      <w:divBdr>
        <w:top w:val="none" w:sz="0" w:space="0" w:color="auto"/>
        <w:left w:val="none" w:sz="0" w:space="0" w:color="auto"/>
        <w:bottom w:val="none" w:sz="0" w:space="0" w:color="auto"/>
        <w:right w:val="none" w:sz="0" w:space="0" w:color="auto"/>
      </w:divBdr>
    </w:div>
    <w:div w:id="1604679974">
      <w:bodyDiv w:val="1"/>
      <w:marLeft w:val="0"/>
      <w:marRight w:val="0"/>
      <w:marTop w:val="0"/>
      <w:marBottom w:val="0"/>
      <w:divBdr>
        <w:top w:val="none" w:sz="0" w:space="0" w:color="auto"/>
        <w:left w:val="none" w:sz="0" w:space="0" w:color="auto"/>
        <w:bottom w:val="none" w:sz="0" w:space="0" w:color="auto"/>
        <w:right w:val="none" w:sz="0" w:space="0" w:color="auto"/>
      </w:divBdr>
      <w:divsChild>
        <w:div w:id="1225874704">
          <w:marLeft w:val="0"/>
          <w:marRight w:val="0"/>
          <w:marTop w:val="0"/>
          <w:marBottom w:val="0"/>
          <w:divBdr>
            <w:top w:val="none" w:sz="0" w:space="0" w:color="auto"/>
            <w:left w:val="none" w:sz="0" w:space="0" w:color="auto"/>
            <w:bottom w:val="none" w:sz="0" w:space="0" w:color="auto"/>
            <w:right w:val="none" w:sz="0" w:space="0" w:color="auto"/>
          </w:divBdr>
        </w:div>
      </w:divsChild>
    </w:div>
    <w:div w:id="1619099059">
      <w:bodyDiv w:val="1"/>
      <w:marLeft w:val="0"/>
      <w:marRight w:val="0"/>
      <w:marTop w:val="0"/>
      <w:marBottom w:val="0"/>
      <w:divBdr>
        <w:top w:val="none" w:sz="0" w:space="0" w:color="auto"/>
        <w:left w:val="none" w:sz="0" w:space="0" w:color="auto"/>
        <w:bottom w:val="none" w:sz="0" w:space="0" w:color="auto"/>
        <w:right w:val="none" w:sz="0" w:space="0" w:color="auto"/>
      </w:divBdr>
      <w:divsChild>
        <w:div w:id="629672062">
          <w:marLeft w:val="0"/>
          <w:marRight w:val="0"/>
          <w:marTop w:val="0"/>
          <w:marBottom w:val="0"/>
          <w:divBdr>
            <w:top w:val="none" w:sz="0" w:space="0" w:color="auto"/>
            <w:left w:val="none" w:sz="0" w:space="0" w:color="auto"/>
            <w:bottom w:val="none" w:sz="0" w:space="0" w:color="auto"/>
            <w:right w:val="none" w:sz="0" w:space="0" w:color="auto"/>
          </w:divBdr>
        </w:div>
      </w:divsChild>
    </w:div>
    <w:div w:id="1646202237">
      <w:bodyDiv w:val="1"/>
      <w:marLeft w:val="0"/>
      <w:marRight w:val="0"/>
      <w:marTop w:val="0"/>
      <w:marBottom w:val="0"/>
      <w:divBdr>
        <w:top w:val="none" w:sz="0" w:space="0" w:color="auto"/>
        <w:left w:val="none" w:sz="0" w:space="0" w:color="auto"/>
        <w:bottom w:val="none" w:sz="0" w:space="0" w:color="auto"/>
        <w:right w:val="none" w:sz="0" w:space="0" w:color="auto"/>
      </w:divBdr>
    </w:div>
    <w:div w:id="1647659937">
      <w:bodyDiv w:val="1"/>
      <w:marLeft w:val="0"/>
      <w:marRight w:val="0"/>
      <w:marTop w:val="0"/>
      <w:marBottom w:val="0"/>
      <w:divBdr>
        <w:top w:val="none" w:sz="0" w:space="0" w:color="auto"/>
        <w:left w:val="none" w:sz="0" w:space="0" w:color="auto"/>
        <w:bottom w:val="none" w:sz="0" w:space="0" w:color="auto"/>
        <w:right w:val="none" w:sz="0" w:space="0" w:color="auto"/>
      </w:divBdr>
    </w:div>
    <w:div w:id="1649742087">
      <w:bodyDiv w:val="1"/>
      <w:marLeft w:val="0"/>
      <w:marRight w:val="0"/>
      <w:marTop w:val="0"/>
      <w:marBottom w:val="0"/>
      <w:divBdr>
        <w:top w:val="none" w:sz="0" w:space="0" w:color="auto"/>
        <w:left w:val="none" w:sz="0" w:space="0" w:color="auto"/>
        <w:bottom w:val="none" w:sz="0" w:space="0" w:color="auto"/>
        <w:right w:val="none" w:sz="0" w:space="0" w:color="auto"/>
      </w:divBdr>
    </w:div>
    <w:div w:id="1652366895">
      <w:bodyDiv w:val="1"/>
      <w:marLeft w:val="0"/>
      <w:marRight w:val="0"/>
      <w:marTop w:val="0"/>
      <w:marBottom w:val="0"/>
      <w:divBdr>
        <w:top w:val="none" w:sz="0" w:space="0" w:color="auto"/>
        <w:left w:val="none" w:sz="0" w:space="0" w:color="auto"/>
        <w:bottom w:val="none" w:sz="0" w:space="0" w:color="auto"/>
        <w:right w:val="none" w:sz="0" w:space="0" w:color="auto"/>
      </w:divBdr>
    </w:div>
    <w:div w:id="1658142488">
      <w:bodyDiv w:val="1"/>
      <w:marLeft w:val="0"/>
      <w:marRight w:val="0"/>
      <w:marTop w:val="0"/>
      <w:marBottom w:val="0"/>
      <w:divBdr>
        <w:top w:val="none" w:sz="0" w:space="0" w:color="auto"/>
        <w:left w:val="none" w:sz="0" w:space="0" w:color="auto"/>
        <w:bottom w:val="none" w:sz="0" w:space="0" w:color="auto"/>
        <w:right w:val="none" w:sz="0" w:space="0" w:color="auto"/>
      </w:divBdr>
    </w:div>
    <w:div w:id="1663967056">
      <w:bodyDiv w:val="1"/>
      <w:marLeft w:val="0"/>
      <w:marRight w:val="0"/>
      <w:marTop w:val="0"/>
      <w:marBottom w:val="0"/>
      <w:divBdr>
        <w:top w:val="none" w:sz="0" w:space="0" w:color="auto"/>
        <w:left w:val="none" w:sz="0" w:space="0" w:color="auto"/>
        <w:bottom w:val="none" w:sz="0" w:space="0" w:color="auto"/>
        <w:right w:val="none" w:sz="0" w:space="0" w:color="auto"/>
      </w:divBdr>
    </w:div>
    <w:div w:id="1686859355">
      <w:bodyDiv w:val="1"/>
      <w:marLeft w:val="0"/>
      <w:marRight w:val="0"/>
      <w:marTop w:val="0"/>
      <w:marBottom w:val="0"/>
      <w:divBdr>
        <w:top w:val="none" w:sz="0" w:space="0" w:color="auto"/>
        <w:left w:val="none" w:sz="0" w:space="0" w:color="auto"/>
        <w:bottom w:val="none" w:sz="0" w:space="0" w:color="auto"/>
        <w:right w:val="none" w:sz="0" w:space="0" w:color="auto"/>
      </w:divBdr>
    </w:div>
    <w:div w:id="1699354790">
      <w:bodyDiv w:val="1"/>
      <w:marLeft w:val="0"/>
      <w:marRight w:val="0"/>
      <w:marTop w:val="0"/>
      <w:marBottom w:val="0"/>
      <w:divBdr>
        <w:top w:val="none" w:sz="0" w:space="0" w:color="auto"/>
        <w:left w:val="none" w:sz="0" w:space="0" w:color="auto"/>
        <w:bottom w:val="none" w:sz="0" w:space="0" w:color="auto"/>
        <w:right w:val="none" w:sz="0" w:space="0" w:color="auto"/>
      </w:divBdr>
    </w:div>
    <w:div w:id="1702977150">
      <w:bodyDiv w:val="1"/>
      <w:marLeft w:val="0"/>
      <w:marRight w:val="0"/>
      <w:marTop w:val="0"/>
      <w:marBottom w:val="0"/>
      <w:divBdr>
        <w:top w:val="none" w:sz="0" w:space="0" w:color="auto"/>
        <w:left w:val="none" w:sz="0" w:space="0" w:color="auto"/>
        <w:bottom w:val="none" w:sz="0" w:space="0" w:color="auto"/>
        <w:right w:val="none" w:sz="0" w:space="0" w:color="auto"/>
      </w:divBdr>
    </w:div>
    <w:div w:id="1752580152">
      <w:bodyDiv w:val="1"/>
      <w:marLeft w:val="0"/>
      <w:marRight w:val="0"/>
      <w:marTop w:val="0"/>
      <w:marBottom w:val="0"/>
      <w:divBdr>
        <w:top w:val="none" w:sz="0" w:space="0" w:color="auto"/>
        <w:left w:val="none" w:sz="0" w:space="0" w:color="auto"/>
        <w:bottom w:val="none" w:sz="0" w:space="0" w:color="auto"/>
        <w:right w:val="none" w:sz="0" w:space="0" w:color="auto"/>
      </w:divBdr>
    </w:div>
    <w:div w:id="1759860824">
      <w:bodyDiv w:val="1"/>
      <w:marLeft w:val="0"/>
      <w:marRight w:val="0"/>
      <w:marTop w:val="0"/>
      <w:marBottom w:val="0"/>
      <w:divBdr>
        <w:top w:val="none" w:sz="0" w:space="0" w:color="auto"/>
        <w:left w:val="none" w:sz="0" w:space="0" w:color="auto"/>
        <w:bottom w:val="none" w:sz="0" w:space="0" w:color="auto"/>
        <w:right w:val="none" w:sz="0" w:space="0" w:color="auto"/>
      </w:divBdr>
    </w:div>
    <w:div w:id="1771588164">
      <w:bodyDiv w:val="1"/>
      <w:marLeft w:val="0"/>
      <w:marRight w:val="0"/>
      <w:marTop w:val="0"/>
      <w:marBottom w:val="0"/>
      <w:divBdr>
        <w:top w:val="none" w:sz="0" w:space="0" w:color="auto"/>
        <w:left w:val="none" w:sz="0" w:space="0" w:color="auto"/>
        <w:bottom w:val="none" w:sz="0" w:space="0" w:color="auto"/>
        <w:right w:val="none" w:sz="0" w:space="0" w:color="auto"/>
      </w:divBdr>
    </w:div>
    <w:div w:id="1774856119">
      <w:bodyDiv w:val="1"/>
      <w:marLeft w:val="0"/>
      <w:marRight w:val="0"/>
      <w:marTop w:val="0"/>
      <w:marBottom w:val="0"/>
      <w:divBdr>
        <w:top w:val="none" w:sz="0" w:space="0" w:color="auto"/>
        <w:left w:val="none" w:sz="0" w:space="0" w:color="auto"/>
        <w:bottom w:val="none" w:sz="0" w:space="0" w:color="auto"/>
        <w:right w:val="none" w:sz="0" w:space="0" w:color="auto"/>
      </w:divBdr>
    </w:div>
    <w:div w:id="1788038329">
      <w:bodyDiv w:val="1"/>
      <w:marLeft w:val="0"/>
      <w:marRight w:val="0"/>
      <w:marTop w:val="0"/>
      <w:marBottom w:val="0"/>
      <w:divBdr>
        <w:top w:val="none" w:sz="0" w:space="0" w:color="auto"/>
        <w:left w:val="none" w:sz="0" w:space="0" w:color="auto"/>
        <w:bottom w:val="none" w:sz="0" w:space="0" w:color="auto"/>
        <w:right w:val="none" w:sz="0" w:space="0" w:color="auto"/>
      </w:divBdr>
      <w:divsChild>
        <w:div w:id="1104958819">
          <w:marLeft w:val="0"/>
          <w:marRight w:val="0"/>
          <w:marTop w:val="0"/>
          <w:marBottom w:val="0"/>
          <w:divBdr>
            <w:top w:val="none" w:sz="0" w:space="0" w:color="auto"/>
            <w:left w:val="none" w:sz="0" w:space="0" w:color="auto"/>
            <w:bottom w:val="none" w:sz="0" w:space="0" w:color="auto"/>
            <w:right w:val="none" w:sz="0" w:space="0" w:color="auto"/>
          </w:divBdr>
        </w:div>
      </w:divsChild>
    </w:div>
    <w:div w:id="1794975759">
      <w:bodyDiv w:val="1"/>
      <w:marLeft w:val="0"/>
      <w:marRight w:val="0"/>
      <w:marTop w:val="0"/>
      <w:marBottom w:val="0"/>
      <w:divBdr>
        <w:top w:val="none" w:sz="0" w:space="0" w:color="auto"/>
        <w:left w:val="none" w:sz="0" w:space="0" w:color="auto"/>
        <w:bottom w:val="none" w:sz="0" w:space="0" w:color="auto"/>
        <w:right w:val="none" w:sz="0" w:space="0" w:color="auto"/>
      </w:divBdr>
    </w:div>
    <w:div w:id="1809929993">
      <w:bodyDiv w:val="1"/>
      <w:marLeft w:val="0"/>
      <w:marRight w:val="0"/>
      <w:marTop w:val="0"/>
      <w:marBottom w:val="0"/>
      <w:divBdr>
        <w:top w:val="none" w:sz="0" w:space="0" w:color="auto"/>
        <w:left w:val="none" w:sz="0" w:space="0" w:color="auto"/>
        <w:bottom w:val="none" w:sz="0" w:space="0" w:color="auto"/>
        <w:right w:val="none" w:sz="0" w:space="0" w:color="auto"/>
      </w:divBdr>
    </w:div>
    <w:div w:id="1834442952">
      <w:bodyDiv w:val="1"/>
      <w:marLeft w:val="0"/>
      <w:marRight w:val="0"/>
      <w:marTop w:val="0"/>
      <w:marBottom w:val="0"/>
      <w:divBdr>
        <w:top w:val="none" w:sz="0" w:space="0" w:color="auto"/>
        <w:left w:val="none" w:sz="0" w:space="0" w:color="auto"/>
        <w:bottom w:val="none" w:sz="0" w:space="0" w:color="auto"/>
        <w:right w:val="none" w:sz="0" w:space="0" w:color="auto"/>
      </w:divBdr>
      <w:divsChild>
        <w:div w:id="1501971604">
          <w:marLeft w:val="0"/>
          <w:marRight w:val="0"/>
          <w:marTop w:val="0"/>
          <w:marBottom w:val="0"/>
          <w:divBdr>
            <w:top w:val="none" w:sz="0" w:space="0" w:color="auto"/>
            <w:left w:val="none" w:sz="0" w:space="0" w:color="auto"/>
            <w:bottom w:val="none" w:sz="0" w:space="0" w:color="auto"/>
            <w:right w:val="none" w:sz="0" w:space="0" w:color="auto"/>
          </w:divBdr>
        </w:div>
      </w:divsChild>
    </w:div>
    <w:div w:id="1836871383">
      <w:bodyDiv w:val="1"/>
      <w:marLeft w:val="0"/>
      <w:marRight w:val="0"/>
      <w:marTop w:val="0"/>
      <w:marBottom w:val="0"/>
      <w:divBdr>
        <w:top w:val="none" w:sz="0" w:space="0" w:color="auto"/>
        <w:left w:val="none" w:sz="0" w:space="0" w:color="auto"/>
        <w:bottom w:val="none" w:sz="0" w:space="0" w:color="auto"/>
        <w:right w:val="none" w:sz="0" w:space="0" w:color="auto"/>
      </w:divBdr>
    </w:div>
    <w:div w:id="1837380673">
      <w:bodyDiv w:val="1"/>
      <w:marLeft w:val="0"/>
      <w:marRight w:val="0"/>
      <w:marTop w:val="0"/>
      <w:marBottom w:val="0"/>
      <w:divBdr>
        <w:top w:val="none" w:sz="0" w:space="0" w:color="auto"/>
        <w:left w:val="none" w:sz="0" w:space="0" w:color="auto"/>
        <w:bottom w:val="none" w:sz="0" w:space="0" w:color="auto"/>
        <w:right w:val="none" w:sz="0" w:space="0" w:color="auto"/>
      </w:divBdr>
      <w:divsChild>
        <w:div w:id="1348290808">
          <w:marLeft w:val="0"/>
          <w:marRight w:val="0"/>
          <w:marTop w:val="0"/>
          <w:marBottom w:val="0"/>
          <w:divBdr>
            <w:top w:val="none" w:sz="0" w:space="0" w:color="auto"/>
            <w:left w:val="none" w:sz="0" w:space="0" w:color="auto"/>
            <w:bottom w:val="none" w:sz="0" w:space="0" w:color="auto"/>
            <w:right w:val="none" w:sz="0" w:space="0" w:color="auto"/>
          </w:divBdr>
        </w:div>
      </w:divsChild>
    </w:div>
    <w:div w:id="1839464945">
      <w:bodyDiv w:val="1"/>
      <w:marLeft w:val="0"/>
      <w:marRight w:val="0"/>
      <w:marTop w:val="0"/>
      <w:marBottom w:val="0"/>
      <w:divBdr>
        <w:top w:val="none" w:sz="0" w:space="0" w:color="auto"/>
        <w:left w:val="none" w:sz="0" w:space="0" w:color="auto"/>
        <w:bottom w:val="none" w:sz="0" w:space="0" w:color="auto"/>
        <w:right w:val="none" w:sz="0" w:space="0" w:color="auto"/>
      </w:divBdr>
      <w:divsChild>
        <w:div w:id="516773957">
          <w:marLeft w:val="0"/>
          <w:marRight w:val="0"/>
          <w:marTop w:val="0"/>
          <w:marBottom w:val="0"/>
          <w:divBdr>
            <w:top w:val="none" w:sz="0" w:space="0" w:color="auto"/>
            <w:left w:val="none" w:sz="0" w:space="0" w:color="auto"/>
            <w:bottom w:val="none" w:sz="0" w:space="0" w:color="auto"/>
            <w:right w:val="none" w:sz="0" w:space="0" w:color="auto"/>
          </w:divBdr>
        </w:div>
      </w:divsChild>
    </w:div>
    <w:div w:id="1847942385">
      <w:bodyDiv w:val="1"/>
      <w:marLeft w:val="0"/>
      <w:marRight w:val="0"/>
      <w:marTop w:val="0"/>
      <w:marBottom w:val="0"/>
      <w:divBdr>
        <w:top w:val="none" w:sz="0" w:space="0" w:color="auto"/>
        <w:left w:val="none" w:sz="0" w:space="0" w:color="auto"/>
        <w:bottom w:val="none" w:sz="0" w:space="0" w:color="auto"/>
        <w:right w:val="none" w:sz="0" w:space="0" w:color="auto"/>
      </w:divBdr>
      <w:divsChild>
        <w:div w:id="1823539483">
          <w:marLeft w:val="0"/>
          <w:marRight w:val="0"/>
          <w:marTop w:val="0"/>
          <w:marBottom w:val="0"/>
          <w:divBdr>
            <w:top w:val="none" w:sz="0" w:space="0" w:color="auto"/>
            <w:left w:val="none" w:sz="0" w:space="0" w:color="auto"/>
            <w:bottom w:val="none" w:sz="0" w:space="0" w:color="auto"/>
            <w:right w:val="none" w:sz="0" w:space="0" w:color="auto"/>
          </w:divBdr>
        </w:div>
      </w:divsChild>
    </w:div>
    <w:div w:id="1854999226">
      <w:bodyDiv w:val="1"/>
      <w:marLeft w:val="0"/>
      <w:marRight w:val="0"/>
      <w:marTop w:val="0"/>
      <w:marBottom w:val="0"/>
      <w:divBdr>
        <w:top w:val="none" w:sz="0" w:space="0" w:color="auto"/>
        <w:left w:val="none" w:sz="0" w:space="0" w:color="auto"/>
        <w:bottom w:val="none" w:sz="0" w:space="0" w:color="auto"/>
        <w:right w:val="none" w:sz="0" w:space="0" w:color="auto"/>
      </w:divBdr>
      <w:divsChild>
        <w:div w:id="1596403999">
          <w:marLeft w:val="0"/>
          <w:marRight w:val="0"/>
          <w:marTop w:val="45"/>
          <w:marBottom w:val="75"/>
          <w:divBdr>
            <w:top w:val="none" w:sz="0" w:space="0" w:color="auto"/>
            <w:left w:val="none" w:sz="0" w:space="0" w:color="auto"/>
            <w:bottom w:val="single" w:sz="6" w:space="2" w:color="E1E1E1"/>
            <w:right w:val="none" w:sz="0" w:space="0" w:color="auto"/>
          </w:divBdr>
        </w:div>
        <w:div w:id="2052655617">
          <w:marLeft w:val="0"/>
          <w:marRight w:val="0"/>
          <w:marTop w:val="0"/>
          <w:marBottom w:val="0"/>
          <w:divBdr>
            <w:top w:val="none" w:sz="0" w:space="0" w:color="auto"/>
            <w:left w:val="none" w:sz="0" w:space="0" w:color="auto"/>
            <w:bottom w:val="none" w:sz="0" w:space="0" w:color="auto"/>
            <w:right w:val="none" w:sz="0" w:space="0" w:color="auto"/>
          </w:divBdr>
        </w:div>
      </w:divsChild>
    </w:div>
    <w:div w:id="1858689926">
      <w:bodyDiv w:val="1"/>
      <w:marLeft w:val="0"/>
      <w:marRight w:val="0"/>
      <w:marTop w:val="0"/>
      <w:marBottom w:val="0"/>
      <w:divBdr>
        <w:top w:val="none" w:sz="0" w:space="0" w:color="auto"/>
        <w:left w:val="none" w:sz="0" w:space="0" w:color="auto"/>
        <w:bottom w:val="none" w:sz="0" w:space="0" w:color="auto"/>
        <w:right w:val="none" w:sz="0" w:space="0" w:color="auto"/>
      </w:divBdr>
    </w:div>
    <w:div w:id="1872642430">
      <w:bodyDiv w:val="1"/>
      <w:marLeft w:val="0"/>
      <w:marRight w:val="0"/>
      <w:marTop w:val="0"/>
      <w:marBottom w:val="0"/>
      <w:divBdr>
        <w:top w:val="none" w:sz="0" w:space="0" w:color="auto"/>
        <w:left w:val="none" w:sz="0" w:space="0" w:color="auto"/>
        <w:bottom w:val="none" w:sz="0" w:space="0" w:color="auto"/>
        <w:right w:val="none" w:sz="0" w:space="0" w:color="auto"/>
      </w:divBdr>
    </w:div>
    <w:div w:id="1873298528">
      <w:bodyDiv w:val="1"/>
      <w:marLeft w:val="0"/>
      <w:marRight w:val="0"/>
      <w:marTop w:val="0"/>
      <w:marBottom w:val="0"/>
      <w:divBdr>
        <w:top w:val="none" w:sz="0" w:space="0" w:color="auto"/>
        <w:left w:val="none" w:sz="0" w:space="0" w:color="auto"/>
        <w:bottom w:val="none" w:sz="0" w:space="0" w:color="auto"/>
        <w:right w:val="none" w:sz="0" w:space="0" w:color="auto"/>
      </w:divBdr>
    </w:div>
    <w:div w:id="1879271422">
      <w:bodyDiv w:val="1"/>
      <w:marLeft w:val="0"/>
      <w:marRight w:val="0"/>
      <w:marTop w:val="0"/>
      <w:marBottom w:val="0"/>
      <w:divBdr>
        <w:top w:val="none" w:sz="0" w:space="0" w:color="auto"/>
        <w:left w:val="none" w:sz="0" w:space="0" w:color="auto"/>
        <w:bottom w:val="none" w:sz="0" w:space="0" w:color="auto"/>
        <w:right w:val="none" w:sz="0" w:space="0" w:color="auto"/>
      </w:divBdr>
    </w:div>
    <w:div w:id="1879274570">
      <w:bodyDiv w:val="1"/>
      <w:marLeft w:val="0"/>
      <w:marRight w:val="0"/>
      <w:marTop w:val="0"/>
      <w:marBottom w:val="0"/>
      <w:divBdr>
        <w:top w:val="none" w:sz="0" w:space="0" w:color="auto"/>
        <w:left w:val="none" w:sz="0" w:space="0" w:color="auto"/>
        <w:bottom w:val="none" w:sz="0" w:space="0" w:color="auto"/>
        <w:right w:val="none" w:sz="0" w:space="0" w:color="auto"/>
      </w:divBdr>
    </w:div>
    <w:div w:id="1882090304">
      <w:bodyDiv w:val="1"/>
      <w:marLeft w:val="0"/>
      <w:marRight w:val="0"/>
      <w:marTop w:val="0"/>
      <w:marBottom w:val="0"/>
      <w:divBdr>
        <w:top w:val="none" w:sz="0" w:space="0" w:color="auto"/>
        <w:left w:val="none" w:sz="0" w:space="0" w:color="auto"/>
        <w:bottom w:val="none" w:sz="0" w:space="0" w:color="auto"/>
        <w:right w:val="none" w:sz="0" w:space="0" w:color="auto"/>
      </w:divBdr>
    </w:div>
    <w:div w:id="1896425823">
      <w:bodyDiv w:val="1"/>
      <w:marLeft w:val="0"/>
      <w:marRight w:val="0"/>
      <w:marTop w:val="0"/>
      <w:marBottom w:val="0"/>
      <w:divBdr>
        <w:top w:val="none" w:sz="0" w:space="0" w:color="auto"/>
        <w:left w:val="none" w:sz="0" w:space="0" w:color="auto"/>
        <w:bottom w:val="none" w:sz="0" w:space="0" w:color="auto"/>
        <w:right w:val="none" w:sz="0" w:space="0" w:color="auto"/>
      </w:divBdr>
    </w:div>
    <w:div w:id="1910194394">
      <w:bodyDiv w:val="1"/>
      <w:marLeft w:val="0"/>
      <w:marRight w:val="0"/>
      <w:marTop w:val="0"/>
      <w:marBottom w:val="0"/>
      <w:divBdr>
        <w:top w:val="none" w:sz="0" w:space="0" w:color="auto"/>
        <w:left w:val="none" w:sz="0" w:space="0" w:color="auto"/>
        <w:bottom w:val="none" w:sz="0" w:space="0" w:color="auto"/>
        <w:right w:val="none" w:sz="0" w:space="0" w:color="auto"/>
      </w:divBdr>
    </w:div>
    <w:div w:id="1910531790">
      <w:bodyDiv w:val="1"/>
      <w:marLeft w:val="0"/>
      <w:marRight w:val="0"/>
      <w:marTop w:val="0"/>
      <w:marBottom w:val="0"/>
      <w:divBdr>
        <w:top w:val="none" w:sz="0" w:space="0" w:color="auto"/>
        <w:left w:val="none" w:sz="0" w:space="0" w:color="auto"/>
        <w:bottom w:val="none" w:sz="0" w:space="0" w:color="auto"/>
        <w:right w:val="none" w:sz="0" w:space="0" w:color="auto"/>
      </w:divBdr>
    </w:div>
    <w:div w:id="1915893126">
      <w:bodyDiv w:val="1"/>
      <w:marLeft w:val="0"/>
      <w:marRight w:val="0"/>
      <w:marTop w:val="0"/>
      <w:marBottom w:val="0"/>
      <w:divBdr>
        <w:top w:val="none" w:sz="0" w:space="0" w:color="auto"/>
        <w:left w:val="none" w:sz="0" w:space="0" w:color="auto"/>
        <w:bottom w:val="none" w:sz="0" w:space="0" w:color="auto"/>
        <w:right w:val="none" w:sz="0" w:space="0" w:color="auto"/>
      </w:divBdr>
    </w:div>
    <w:div w:id="1929189514">
      <w:bodyDiv w:val="1"/>
      <w:marLeft w:val="0"/>
      <w:marRight w:val="0"/>
      <w:marTop w:val="0"/>
      <w:marBottom w:val="0"/>
      <w:divBdr>
        <w:top w:val="none" w:sz="0" w:space="0" w:color="auto"/>
        <w:left w:val="none" w:sz="0" w:space="0" w:color="auto"/>
        <w:bottom w:val="none" w:sz="0" w:space="0" w:color="auto"/>
        <w:right w:val="none" w:sz="0" w:space="0" w:color="auto"/>
      </w:divBdr>
      <w:divsChild>
        <w:div w:id="465439634">
          <w:marLeft w:val="0"/>
          <w:marRight w:val="0"/>
          <w:marTop w:val="0"/>
          <w:marBottom w:val="0"/>
          <w:divBdr>
            <w:top w:val="none" w:sz="0" w:space="0" w:color="auto"/>
            <w:left w:val="none" w:sz="0" w:space="0" w:color="auto"/>
            <w:bottom w:val="none" w:sz="0" w:space="0" w:color="auto"/>
            <w:right w:val="none" w:sz="0" w:space="0" w:color="auto"/>
          </w:divBdr>
        </w:div>
      </w:divsChild>
    </w:div>
    <w:div w:id="1930189888">
      <w:bodyDiv w:val="1"/>
      <w:marLeft w:val="0"/>
      <w:marRight w:val="0"/>
      <w:marTop w:val="0"/>
      <w:marBottom w:val="0"/>
      <w:divBdr>
        <w:top w:val="none" w:sz="0" w:space="0" w:color="auto"/>
        <w:left w:val="none" w:sz="0" w:space="0" w:color="auto"/>
        <w:bottom w:val="none" w:sz="0" w:space="0" w:color="auto"/>
        <w:right w:val="none" w:sz="0" w:space="0" w:color="auto"/>
      </w:divBdr>
    </w:div>
    <w:div w:id="1933783159">
      <w:bodyDiv w:val="1"/>
      <w:marLeft w:val="0"/>
      <w:marRight w:val="0"/>
      <w:marTop w:val="0"/>
      <w:marBottom w:val="0"/>
      <w:divBdr>
        <w:top w:val="none" w:sz="0" w:space="0" w:color="auto"/>
        <w:left w:val="none" w:sz="0" w:space="0" w:color="auto"/>
        <w:bottom w:val="none" w:sz="0" w:space="0" w:color="auto"/>
        <w:right w:val="none" w:sz="0" w:space="0" w:color="auto"/>
      </w:divBdr>
      <w:divsChild>
        <w:div w:id="1619530423">
          <w:marLeft w:val="0"/>
          <w:marRight w:val="0"/>
          <w:marTop w:val="0"/>
          <w:marBottom w:val="0"/>
          <w:divBdr>
            <w:top w:val="none" w:sz="0" w:space="0" w:color="auto"/>
            <w:left w:val="none" w:sz="0" w:space="0" w:color="auto"/>
            <w:bottom w:val="none" w:sz="0" w:space="0" w:color="auto"/>
            <w:right w:val="none" w:sz="0" w:space="0" w:color="auto"/>
          </w:divBdr>
        </w:div>
      </w:divsChild>
    </w:div>
    <w:div w:id="1970166487">
      <w:bodyDiv w:val="1"/>
      <w:marLeft w:val="0"/>
      <w:marRight w:val="0"/>
      <w:marTop w:val="0"/>
      <w:marBottom w:val="0"/>
      <w:divBdr>
        <w:top w:val="none" w:sz="0" w:space="0" w:color="auto"/>
        <w:left w:val="none" w:sz="0" w:space="0" w:color="auto"/>
        <w:bottom w:val="none" w:sz="0" w:space="0" w:color="auto"/>
        <w:right w:val="none" w:sz="0" w:space="0" w:color="auto"/>
      </w:divBdr>
    </w:div>
    <w:div w:id="1981039077">
      <w:bodyDiv w:val="1"/>
      <w:marLeft w:val="0"/>
      <w:marRight w:val="0"/>
      <w:marTop w:val="0"/>
      <w:marBottom w:val="0"/>
      <w:divBdr>
        <w:top w:val="none" w:sz="0" w:space="0" w:color="auto"/>
        <w:left w:val="none" w:sz="0" w:space="0" w:color="auto"/>
        <w:bottom w:val="none" w:sz="0" w:space="0" w:color="auto"/>
        <w:right w:val="none" w:sz="0" w:space="0" w:color="auto"/>
      </w:divBdr>
      <w:divsChild>
        <w:div w:id="1635985374">
          <w:marLeft w:val="0"/>
          <w:marRight w:val="0"/>
          <w:marTop w:val="0"/>
          <w:marBottom w:val="0"/>
          <w:divBdr>
            <w:top w:val="none" w:sz="0" w:space="0" w:color="auto"/>
            <w:left w:val="none" w:sz="0" w:space="0" w:color="auto"/>
            <w:bottom w:val="none" w:sz="0" w:space="0" w:color="auto"/>
            <w:right w:val="none" w:sz="0" w:space="0" w:color="auto"/>
          </w:divBdr>
        </w:div>
      </w:divsChild>
    </w:div>
    <w:div w:id="1982806835">
      <w:bodyDiv w:val="1"/>
      <w:marLeft w:val="0"/>
      <w:marRight w:val="0"/>
      <w:marTop w:val="0"/>
      <w:marBottom w:val="0"/>
      <w:divBdr>
        <w:top w:val="none" w:sz="0" w:space="0" w:color="auto"/>
        <w:left w:val="none" w:sz="0" w:space="0" w:color="auto"/>
        <w:bottom w:val="none" w:sz="0" w:space="0" w:color="auto"/>
        <w:right w:val="none" w:sz="0" w:space="0" w:color="auto"/>
      </w:divBdr>
    </w:div>
    <w:div w:id="2003729866">
      <w:bodyDiv w:val="1"/>
      <w:marLeft w:val="0"/>
      <w:marRight w:val="0"/>
      <w:marTop w:val="0"/>
      <w:marBottom w:val="0"/>
      <w:divBdr>
        <w:top w:val="none" w:sz="0" w:space="0" w:color="auto"/>
        <w:left w:val="none" w:sz="0" w:space="0" w:color="auto"/>
        <w:bottom w:val="none" w:sz="0" w:space="0" w:color="auto"/>
        <w:right w:val="none" w:sz="0" w:space="0" w:color="auto"/>
      </w:divBdr>
      <w:divsChild>
        <w:div w:id="910699689">
          <w:marLeft w:val="0"/>
          <w:marRight w:val="0"/>
          <w:marTop w:val="0"/>
          <w:marBottom w:val="0"/>
          <w:divBdr>
            <w:top w:val="none" w:sz="0" w:space="0" w:color="auto"/>
            <w:left w:val="none" w:sz="0" w:space="0" w:color="auto"/>
            <w:bottom w:val="none" w:sz="0" w:space="0" w:color="auto"/>
            <w:right w:val="none" w:sz="0" w:space="0" w:color="auto"/>
          </w:divBdr>
        </w:div>
      </w:divsChild>
    </w:div>
    <w:div w:id="2006280943">
      <w:bodyDiv w:val="1"/>
      <w:marLeft w:val="0"/>
      <w:marRight w:val="0"/>
      <w:marTop w:val="0"/>
      <w:marBottom w:val="0"/>
      <w:divBdr>
        <w:top w:val="none" w:sz="0" w:space="0" w:color="auto"/>
        <w:left w:val="none" w:sz="0" w:space="0" w:color="auto"/>
        <w:bottom w:val="none" w:sz="0" w:space="0" w:color="auto"/>
        <w:right w:val="none" w:sz="0" w:space="0" w:color="auto"/>
      </w:divBdr>
      <w:divsChild>
        <w:div w:id="743642240">
          <w:marLeft w:val="0"/>
          <w:marRight w:val="0"/>
          <w:marTop w:val="0"/>
          <w:marBottom w:val="0"/>
          <w:divBdr>
            <w:top w:val="none" w:sz="0" w:space="0" w:color="auto"/>
            <w:left w:val="none" w:sz="0" w:space="0" w:color="auto"/>
            <w:bottom w:val="none" w:sz="0" w:space="0" w:color="auto"/>
            <w:right w:val="none" w:sz="0" w:space="0" w:color="auto"/>
          </w:divBdr>
        </w:div>
      </w:divsChild>
    </w:div>
    <w:div w:id="2014648262">
      <w:bodyDiv w:val="1"/>
      <w:marLeft w:val="0"/>
      <w:marRight w:val="0"/>
      <w:marTop w:val="0"/>
      <w:marBottom w:val="0"/>
      <w:divBdr>
        <w:top w:val="none" w:sz="0" w:space="0" w:color="auto"/>
        <w:left w:val="none" w:sz="0" w:space="0" w:color="auto"/>
        <w:bottom w:val="none" w:sz="0" w:space="0" w:color="auto"/>
        <w:right w:val="none" w:sz="0" w:space="0" w:color="auto"/>
      </w:divBdr>
    </w:div>
    <w:div w:id="2018534917">
      <w:bodyDiv w:val="1"/>
      <w:marLeft w:val="0"/>
      <w:marRight w:val="0"/>
      <w:marTop w:val="0"/>
      <w:marBottom w:val="0"/>
      <w:divBdr>
        <w:top w:val="none" w:sz="0" w:space="0" w:color="auto"/>
        <w:left w:val="none" w:sz="0" w:space="0" w:color="auto"/>
        <w:bottom w:val="none" w:sz="0" w:space="0" w:color="auto"/>
        <w:right w:val="none" w:sz="0" w:space="0" w:color="auto"/>
      </w:divBdr>
    </w:div>
    <w:div w:id="2029986822">
      <w:bodyDiv w:val="1"/>
      <w:marLeft w:val="0"/>
      <w:marRight w:val="0"/>
      <w:marTop w:val="0"/>
      <w:marBottom w:val="0"/>
      <w:divBdr>
        <w:top w:val="none" w:sz="0" w:space="0" w:color="auto"/>
        <w:left w:val="none" w:sz="0" w:space="0" w:color="auto"/>
        <w:bottom w:val="none" w:sz="0" w:space="0" w:color="auto"/>
        <w:right w:val="none" w:sz="0" w:space="0" w:color="auto"/>
      </w:divBdr>
    </w:div>
    <w:div w:id="2045404261">
      <w:bodyDiv w:val="1"/>
      <w:marLeft w:val="0"/>
      <w:marRight w:val="0"/>
      <w:marTop w:val="0"/>
      <w:marBottom w:val="0"/>
      <w:divBdr>
        <w:top w:val="none" w:sz="0" w:space="0" w:color="auto"/>
        <w:left w:val="none" w:sz="0" w:space="0" w:color="auto"/>
        <w:bottom w:val="none" w:sz="0" w:space="0" w:color="auto"/>
        <w:right w:val="none" w:sz="0" w:space="0" w:color="auto"/>
      </w:divBdr>
    </w:div>
    <w:div w:id="2063479168">
      <w:bodyDiv w:val="1"/>
      <w:marLeft w:val="0"/>
      <w:marRight w:val="0"/>
      <w:marTop w:val="0"/>
      <w:marBottom w:val="0"/>
      <w:divBdr>
        <w:top w:val="none" w:sz="0" w:space="0" w:color="auto"/>
        <w:left w:val="none" w:sz="0" w:space="0" w:color="auto"/>
        <w:bottom w:val="none" w:sz="0" w:space="0" w:color="auto"/>
        <w:right w:val="none" w:sz="0" w:space="0" w:color="auto"/>
      </w:divBdr>
      <w:divsChild>
        <w:div w:id="1531605920">
          <w:marLeft w:val="0"/>
          <w:marRight w:val="0"/>
          <w:marTop w:val="0"/>
          <w:marBottom w:val="0"/>
          <w:divBdr>
            <w:top w:val="none" w:sz="0" w:space="0" w:color="auto"/>
            <w:left w:val="none" w:sz="0" w:space="0" w:color="auto"/>
            <w:bottom w:val="none" w:sz="0" w:space="0" w:color="auto"/>
            <w:right w:val="none" w:sz="0" w:space="0" w:color="auto"/>
          </w:divBdr>
        </w:div>
      </w:divsChild>
    </w:div>
    <w:div w:id="2098624887">
      <w:bodyDiv w:val="1"/>
      <w:marLeft w:val="0"/>
      <w:marRight w:val="0"/>
      <w:marTop w:val="0"/>
      <w:marBottom w:val="0"/>
      <w:divBdr>
        <w:top w:val="none" w:sz="0" w:space="0" w:color="auto"/>
        <w:left w:val="none" w:sz="0" w:space="0" w:color="auto"/>
        <w:bottom w:val="none" w:sz="0" w:space="0" w:color="auto"/>
        <w:right w:val="none" w:sz="0" w:space="0" w:color="auto"/>
      </w:divBdr>
      <w:divsChild>
        <w:div w:id="649594844">
          <w:marLeft w:val="274"/>
          <w:marRight w:val="0"/>
          <w:marTop w:val="0"/>
          <w:marBottom w:val="0"/>
          <w:divBdr>
            <w:top w:val="none" w:sz="0" w:space="0" w:color="auto"/>
            <w:left w:val="none" w:sz="0" w:space="0" w:color="auto"/>
            <w:bottom w:val="none" w:sz="0" w:space="0" w:color="auto"/>
            <w:right w:val="none" w:sz="0" w:space="0" w:color="auto"/>
          </w:divBdr>
        </w:div>
        <w:div w:id="680545058">
          <w:marLeft w:val="274"/>
          <w:marRight w:val="0"/>
          <w:marTop w:val="0"/>
          <w:marBottom w:val="0"/>
          <w:divBdr>
            <w:top w:val="none" w:sz="0" w:space="0" w:color="auto"/>
            <w:left w:val="none" w:sz="0" w:space="0" w:color="auto"/>
            <w:bottom w:val="none" w:sz="0" w:space="0" w:color="auto"/>
            <w:right w:val="none" w:sz="0" w:space="0" w:color="auto"/>
          </w:divBdr>
        </w:div>
        <w:div w:id="1909538320">
          <w:marLeft w:val="274"/>
          <w:marRight w:val="0"/>
          <w:marTop w:val="0"/>
          <w:marBottom w:val="0"/>
          <w:divBdr>
            <w:top w:val="none" w:sz="0" w:space="0" w:color="auto"/>
            <w:left w:val="none" w:sz="0" w:space="0" w:color="auto"/>
            <w:bottom w:val="none" w:sz="0" w:space="0" w:color="auto"/>
            <w:right w:val="none" w:sz="0" w:space="0" w:color="auto"/>
          </w:divBdr>
        </w:div>
      </w:divsChild>
    </w:div>
    <w:div w:id="2100249407">
      <w:bodyDiv w:val="1"/>
      <w:marLeft w:val="0"/>
      <w:marRight w:val="0"/>
      <w:marTop w:val="0"/>
      <w:marBottom w:val="0"/>
      <w:divBdr>
        <w:top w:val="none" w:sz="0" w:space="0" w:color="auto"/>
        <w:left w:val="none" w:sz="0" w:space="0" w:color="auto"/>
        <w:bottom w:val="none" w:sz="0" w:space="0" w:color="auto"/>
        <w:right w:val="none" w:sz="0" w:space="0" w:color="auto"/>
      </w:divBdr>
      <w:divsChild>
        <w:div w:id="1375233918">
          <w:marLeft w:val="0"/>
          <w:marRight w:val="0"/>
          <w:marTop w:val="0"/>
          <w:marBottom w:val="0"/>
          <w:divBdr>
            <w:top w:val="none" w:sz="0" w:space="0" w:color="auto"/>
            <w:left w:val="none" w:sz="0" w:space="0" w:color="auto"/>
            <w:bottom w:val="none" w:sz="0" w:space="0" w:color="auto"/>
            <w:right w:val="none" w:sz="0" w:space="0" w:color="auto"/>
          </w:divBdr>
        </w:div>
      </w:divsChild>
    </w:div>
    <w:div w:id="2109495489">
      <w:bodyDiv w:val="1"/>
      <w:marLeft w:val="0"/>
      <w:marRight w:val="0"/>
      <w:marTop w:val="0"/>
      <w:marBottom w:val="0"/>
      <w:divBdr>
        <w:top w:val="none" w:sz="0" w:space="0" w:color="auto"/>
        <w:left w:val="none" w:sz="0" w:space="0" w:color="auto"/>
        <w:bottom w:val="none" w:sz="0" w:space="0" w:color="auto"/>
        <w:right w:val="none" w:sz="0" w:space="0" w:color="auto"/>
      </w:divBdr>
    </w:div>
    <w:div w:id="2112696712">
      <w:bodyDiv w:val="1"/>
      <w:marLeft w:val="0"/>
      <w:marRight w:val="0"/>
      <w:marTop w:val="0"/>
      <w:marBottom w:val="0"/>
      <w:divBdr>
        <w:top w:val="none" w:sz="0" w:space="0" w:color="auto"/>
        <w:left w:val="none" w:sz="0" w:space="0" w:color="auto"/>
        <w:bottom w:val="none" w:sz="0" w:space="0" w:color="auto"/>
        <w:right w:val="none" w:sz="0" w:space="0" w:color="auto"/>
      </w:divBdr>
      <w:divsChild>
        <w:div w:id="1243947477">
          <w:marLeft w:val="0"/>
          <w:marRight w:val="0"/>
          <w:marTop w:val="0"/>
          <w:marBottom w:val="0"/>
          <w:divBdr>
            <w:top w:val="none" w:sz="0" w:space="0" w:color="auto"/>
            <w:left w:val="none" w:sz="0" w:space="0" w:color="auto"/>
            <w:bottom w:val="none" w:sz="0" w:space="0" w:color="auto"/>
            <w:right w:val="none" w:sz="0" w:space="0" w:color="auto"/>
          </w:divBdr>
        </w:div>
      </w:divsChild>
    </w:div>
    <w:div w:id="2131241850">
      <w:bodyDiv w:val="1"/>
      <w:marLeft w:val="0"/>
      <w:marRight w:val="0"/>
      <w:marTop w:val="0"/>
      <w:marBottom w:val="0"/>
      <w:divBdr>
        <w:top w:val="none" w:sz="0" w:space="0" w:color="auto"/>
        <w:left w:val="none" w:sz="0" w:space="0" w:color="auto"/>
        <w:bottom w:val="none" w:sz="0" w:space="0" w:color="auto"/>
        <w:right w:val="none" w:sz="0" w:space="0" w:color="auto"/>
      </w:divBdr>
      <w:divsChild>
        <w:div w:id="1013150995">
          <w:marLeft w:val="0"/>
          <w:marRight w:val="0"/>
          <w:marTop w:val="0"/>
          <w:marBottom w:val="0"/>
          <w:divBdr>
            <w:top w:val="none" w:sz="0" w:space="0" w:color="auto"/>
            <w:left w:val="none" w:sz="0" w:space="0" w:color="auto"/>
            <w:bottom w:val="none" w:sz="0" w:space="0" w:color="auto"/>
            <w:right w:val="none" w:sz="0" w:space="0" w:color="auto"/>
          </w:divBdr>
        </w:div>
      </w:divsChild>
    </w:div>
    <w:div w:id="2133593351">
      <w:bodyDiv w:val="1"/>
      <w:marLeft w:val="0"/>
      <w:marRight w:val="0"/>
      <w:marTop w:val="0"/>
      <w:marBottom w:val="0"/>
      <w:divBdr>
        <w:top w:val="none" w:sz="0" w:space="0" w:color="auto"/>
        <w:left w:val="none" w:sz="0" w:space="0" w:color="auto"/>
        <w:bottom w:val="none" w:sz="0" w:space="0" w:color="auto"/>
        <w:right w:val="none" w:sz="0" w:space="0" w:color="auto"/>
      </w:divBdr>
    </w:div>
    <w:div w:id="2138058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footer" Target="footer16.xml"/><Relationship Id="rId21" Type="http://schemas.openxmlformats.org/officeDocument/2006/relationships/hyperlink" Target="https://www.health.gov.au/committees-and-groups/aged-care-taskforce" TargetMode="External"/><Relationship Id="rId42" Type="http://schemas.openxmlformats.org/officeDocument/2006/relationships/chart" Target="charts/chart1.xml"/><Relationship Id="rId47" Type="http://schemas.openxmlformats.org/officeDocument/2006/relationships/header" Target="header8.xml"/><Relationship Id="rId63" Type="http://schemas.openxmlformats.org/officeDocument/2006/relationships/image" Target="media/image26.png"/><Relationship Id="rId68" Type="http://schemas.openxmlformats.org/officeDocument/2006/relationships/chart" Target="charts/chart3.xml"/><Relationship Id="rId84" Type="http://schemas.openxmlformats.org/officeDocument/2006/relationships/header" Target="header13.xml"/><Relationship Id="rId89" Type="http://schemas.openxmlformats.org/officeDocument/2006/relationships/image" Target="media/image42.png"/><Relationship Id="rId112" Type="http://schemas.openxmlformats.org/officeDocument/2006/relationships/image" Target="media/image63.png"/><Relationship Id="rId133" Type="http://schemas.openxmlformats.org/officeDocument/2006/relationships/footer" Target="footer20.xml"/><Relationship Id="rId138" Type="http://schemas.openxmlformats.org/officeDocument/2006/relationships/footer" Target="footer22.xml"/><Relationship Id="rId16" Type="http://schemas.openxmlformats.org/officeDocument/2006/relationships/header" Target="header4.xml"/><Relationship Id="rId107" Type="http://schemas.openxmlformats.org/officeDocument/2006/relationships/image" Target="media/image60.png"/><Relationship Id="rId11" Type="http://schemas.openxmlformats.org/officeDocument/2006/relationships/image" Target="media/image1.png"/><Relationship Id="rId32" Type="http://schemas.openxmlformats.org/officeDocument/2006/relationships/header" Target="header6.xml"/><Relationship Id="rId37" Type="http://schemas.openxmlformats.org/officeDocument/2006/relationships/image" Target="media/image10.png"/><Relationship Id="rId53" Type="http://schemas.openxmlformats.org/officeDocument/2006/relationships/image" Target="media/image21.png"/><Relationship Id="rId58" Type="http://schemas.openxmlformats.org/officeDocument/2006/relationships/header" Target="header10.xml"/><Relationship Id="rId74" Type="http://schemas.openxmlformats.org/officeDocument/2006/relationships/image" Target="media/image31.png"/><Relationship Id="rId79" Type="http://schemas.openxmlformats.org/officeDocument/2006/relationships/image" Target="media/image36.png"/><Relationship Id="rId102" Type="http://schemas.openxmlformats.org/officeDocument/2006/relationships/image" Target="media/image55.png"/><Relationship Id="rId123" Type="http://schemas.openxmlformats.org/officeDocument/2006/relationships/image" Target="media/image71.png"/><Relationship Id="rId128" Type="http://schemas.openxmlformats.org/officeDocument/2006/relationships/footer" Target="footer17.xml"/><Relationship Id="rId144"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43.png"/><Relationship Id="rId95" Type="http://schemas.openxmlformats.org/officeDocument/2006/relationships/image" Target="media/image48.png"/><Relationship Id="rId22" Type="http://schemas.openxmlformats.org/officeDocument/2006/relationships/hyperlink" Target="https://www.health.gov.au/resources/publications/delivering-the-largest-ever-pay-rise-to-aged-care-workers-budget-2023-24?language=en" TargetMode="External"/><Relationship Id="rId27" Type="http://schemas.openxmlformats.org/officeDocument/2006/relationships/image" Target="media/image5.png"/><Relationship Id="rId43" Type="http://schemas.openxmlformats.org/officeDocument/2006/relationships/image" Target="media/image15.png"/><Relationship Id="rId48" Type="http://schemas.openxmlformats.org/officeDocument/2006/relationships/footer" Target="footer7.xml"/><Relationship Id="rId64" Type="http://schemas.openxmlformats.org/officeDocument/2006/relationships/footer" Target="footer10.xml"/><Relationship Id="rId69" Type="http://schemas.openxmlformats.org/officeDocument/2006/relationships/hyperlink" Target="https://www.health.gov.au/our-work/places-to-people-embedding-choice-in-residential-aged-care" TargetMode="External"/><Relationship Id="rId113" Type="http://schemas.openxmlformats.org/officeDocument/2006/relationships/image" Target="media/image64.png"/><Relationship Id="rId118" Type="http://schemas.openxmlformats.org/officeDocument/2006/relationships/image" Target="media/image66.png"/><Relationship Id="rId134" Type="http://schemas.openxmlformats.org/officeDocument/2006/relationships/header" Target="header19.xml"/><Relationship Id="rId139" Type="http://schemas.openxmlformats.org/officeDocument/2006/relationships/header" Target="header22.xml"/><Relationship Id="rId80" Type="http://schemas.openxmlformats.org/officeDocument/2006/relationships/image" Target="media/image37.png"/><Relationship Id="rId85" Type="http://schemas.openxmlformats.org/officeDocument/2006/relationships/header" Target="header1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3.png"/><Relationship Id="rId33" Type="http://schemas.openxmlformats.org/officeDocument/2006/relationships/footer" Target="footer5.xml"/><Relationship Id="rId38" Type="http://schemas.openxmlformats.org/officeDocument/2006/relationships/image" Target="media/image11.png"/><Relationship Id="rId46" Type="http://schemas.openxmlformats.org/officeDocument/2006/relationships/header" Target="header7.xml"/><Relationship Id="rId59" Type="http://schemas.openxmlformats.org/officeDocument/2006/relationships/header" Target="header11.xml"/><Relationship Id="rId67" Type="http://schemas.openxmlformats.org/officeDocument/2006/relationships/chart" Target="charts/chart2.xml"/><Relationship Id="rId103" Type="http://schemas.openxmlformats.org/officeDocument/2006/relationships/image" Target="media/image56.png"/><Relationship Id="rId108" Type="http://schemas.openxmlformats.org/officeDocument/2006/relationships/footer" Target="footer13.xml"/><Relationship Id="rId116" Type="http://schemas.openxmlformats.org/officeDocument/2006/relationships/footer" Target="footer15.xml"/><Relationship Id="rId124" Type="http://schemas.openxmlformats.org/officeDocument/2006/relationships/image" Target="media/image72.png"/><Relationship Id="rId129" Type="http://schemas.openxmlformats.org/officeDocument/2006/relationships/footer" Target="footer18.xml"/><Relationship Id="rId137" Type="http://schemas.openxmlformats.org/officeDocument/2006/relationships/footer" Target="footer21.xml"/><Relationship Id="rId20" Type="http://schemas.openxmlformats.org/officeDocument/2006/relationships/hyperlink" Target="https://www.health.gov.au/our-work/places-to-people-embedding-choice-in-residential-aged-care" TargetMode="External"/><Relationship Id="rId41" Type="http://schemas.openxmlformats.org/officeDocument/2006/relationships/image" Target="media/image14.png"/><Relationship Id="rId54" Type="http://schemas.openxmlformats.org/officeDocument/2006/relationships/image" Target="media/image22.png"/><Relationship Id="rId62" Type="http://schemas.openxmlformats.org/officeDocument/2006/relationships/header" Target="header12.xml"/><Relationship Id="rId70" Type="http://schemas.openxmlformats.org/officeDocument/2006/relationships/image" Target="media/image28.png"/><Relationship Id="rId75" Type="http://schemas.openxmlformats.org/officeDocument/2006/relationships/image" Target="media/image32.png"/><Relationship Id="rId83" Type="http://schemas.openxmlformats.org/officeDocument/2006/relationships/image" Target="media/image40.png"/><Relationship Id="rId88" Type="http://schemas.openxmlformats.org/officeDocument/2006/relationships/image" Target="media/image41.png"/><Relationship Id="rId91" Type="http://schemas.openxmlformats.org/officeDocument/2006/relationships/image" Target="media/image44.png"/><Relationship Id="rId96" Type="http://schemas.openxmlformats.org/officeDocument/2006/relationships/image" Target="media/image49.png"/><Relationship Id="rId111" Type="http://schemas.openxmlformats.org/officeDocument/2006/relationships/image" Target="media/image62.png"/><Relationship Id="rId132" Type="http://schemas.openxmlformats.org/officeDocument/2006/relationships/footer" Target="footer19.xml"/><Relationship Id="rId140" Type="http://schemas.openxmlformats.org/officeDocument/2006/relationships/header" Target="header23.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www.health.gov.au/resources/publications/financial-report-on-the-australian-aged-care-sector-2020-21" TargetMode="External"/><Relationship Id="rId28" Type="http://schemas.openxmlformats.org/officeDocument/2006/relationships/footer" Target="footer3.xml"/><Relationship Id="rId36" Type="http://schemas.openxmlformats.org/officeDocument/2006/relationships/image" Target="media/image9.png"/><Relationship Id="rId49" Type="http://schemas.openxmlformats.org/officeDocument/2006/relationships/header" Target="header9.xml"/><Relationship Id="rId57" Type="http://schemas.openxmlformats.org/officeDocument/2006/relationships/image" Target="media/image25.png"/><Relationship Id="rId106" Type="http://schemas.openxmlformats.org/officeDocument/2006/relationships/image" Target="media/image59.png"/><Relationship Id="rId114" Type="http://schemas.openxmlformats.org/officeDocument/2006/relationships/image" Target="media/image65.png"/><Relationship Id="rId119" Type="http://schemas.openxmlformats.org/officeDocument/2006/relationships/image" Target="media/image67.png"/><Relationship Id="rId127" Type="http://schemas.openxmlformats.org/officeDocument/2006/relationships/header" Target="header17.xml"/><Relationship Id="rId10"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image" Target="media/image16.png"/><Relationship Id="rId52" Type="http://schemas.openxmlformats.org/officeDocument/2006/relationships/image" Target="media/image20.png"/><Relationship Id="rId60" Type="http://schemas.openxmlformats.org/officeDocument/2006/relationships/footer" Target="footer8.xml"/><Relationship Id="rId65" Type="http://schemas.openxmlformats.org/officeDocument/2006/relationships/footer" Target="footer11.xml"/><Relationship Id="rId73" Type="http://schemas.openxmlformats.org/officeDocument/2006/relationships/image" Target="media/image30.svg"/><Relationship Id="rId78" Type="http://schemas.openxmlformats.org/officeDocument/2006/relationships/image" Target="media/image35.png"/><Relationship Id="rId81" Type="http://schemas.openxmlformats.org/officeDocument/2006/relationships/image" Target="media/image38.png"/><Relationship Id="rId86" Type="http://schemas.openxmlformats.org/officeDocument/2006/relationships/footer" Target="footer12.xml"/><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122" Type="http://schemas.openxmlformats.org/officeDocument/2006/relationships/image" Target="media/image70.png"/><Relationship Id="rId130" Type="http://schemas.openxmlformats.org/officeDocument/2006/relationships/header" Target="header18.xml"/><Relationship Id="rId135" Type="http://schemas.openxmlformats.org/officeDocument/2006/relationships/header" Target="header20.xml"/><Relationship Id="rId143" Type="http://schemas.openxmlformats.org/officeDocument/2006/relationships/header" Target="header2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12.png"/><Relationship Id="rId109" Type="http://schemas.openxmlformats.org/officeDocument/2006/relationships/footer" Target="footer14.xml"/><Relationship Id="rId34" Type="http://schemas.openxmlformats.org/officeDocument/2006/relationships/footer" Target="footer6.xm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33.png"/><Relationship Id="rId97" Type="http://schemas.openxmlformats.org/officeDocument/2006/relationships/image" Target="media/image50.png"/><Relationship Id="rId104" Type="http://schemas.openxmlformats.org/officeDocument/2006/relationships/image" Target="media/image57.png"/><Relationship Id="rId120" Type="http://schemas.openxmlformats.org/officeDocument/2006/relationships/image" Target="media/image68.png"/><Relationship Id="rId125" Type="http://schemas.openxmlformats.org/officeDocument/2006/relationships/image" Target="media/image73.png"/><Relationship Id="rId141" Type="http://schemas.openxmlformats.org/officeDocument/2006/relationships/header" Target="header24.xml"/><Relationship Id="rId146" Type="http://schemas.microsoft.com/office/2019/05/relationships/documenttasks" Target="documenttasks/documenttasks1.xml"/><Relationship Id="rId7" Type="http://schemas.openxmlformats.org/officeDocument/2006/relationships/settings" Target="settings.xml"/><Relationship Id="rId71" Type="http://schemas.openxmlformats.org/officeDocument/2006/relationships/chart" Target="charts/chart4.xml"/><Relationship Id="rId92" Type="http://schemas.openxmlformats.org/officeDocument/2006/relationships/image" Target="media/image45.png"/><Relationship Id="rId2" Type="http://schemas.openxmlformats.org/officeDocument/2006/relationships/customXml" Target="../customXml/item2.xml"/><Relationship Id="rId29" Type="http://schemas.openxmlformats.org/officeDocument/2006/relationships/footer" Target="footer4.xml"/><Relationship Id="rId24" Type="http://schemas.openxmlformats.org/officeDocument/2006/relationships/hyperlink" Target="https://www.health.gov.au/committees-and-groups/aged-care-financing-authority-acfa" TargetMode="External"/><Relationship Id="rId40" Type="http://schemas.openxmlformats.org/officeDocument/2006/relationships/image" Target="media/image13.png"/><Relationship Id="rId45" Type="http://schemas.openxmlformats.org/officeDocument/2006/relationships/image" Target="media/image17.png"/><Relationship Id="rId66" Type="http://schemas.openxmlformats.org/officeDocument/2006/relationships/image" Target="media/image27.png"/><Relationship Id="rId87" Type="http://schemas.openxmlformats.org/officeDocument/2006/relationships/header" Target="header15.xml"/><Relationship Id="rId110" Type="http://schemas.openxmlformats.org/officeDocument/2006/relationships/image" Target="media/image61.png"/><Relationship Id="rId115" Type="http://schemas.openxmlformats.org/officeDocument/2006/relationships/header" Target="header16.xml"/><Relationship Id="rId131" Type="http://schemas.openxmlformats.org/officeDocument/2006/relationships/image" Target="media/image75.png"/><Relationship Id="rId136" Type="http://schemas.openxmlformats.org/officeDocument/2006/relationships/header" Target="header21.xml"/><Relationship Id="rId61" Type="http://schemas.openxmlformats.org/officeDocument/2006/relationships/footer" Target="footer9.xml"/><Relationship Id="rId82" Type="http://schemas.openxmlformats.org/officeDocument/2006/relationships/image" Target="media/image39.png"/><Relationship Id="rId19" Type="http://schemas.openxmlformats.org/officeDocument/2006/relationships/image" Target="media/image2.png"/><Relationship Id="rId14" Type="http://schemas.openxmlformats.org/officeDocument/2006/relationships/footer" Target="footer1.xml"/><Relationship Id="rId30" Type="http://schemas.openxmlformats.org/officeDocument/2006/relationships/image" Target="media/image6.png"/><Relationship Id="rId35" Type="http://schemas.openxmlformats.org/officeDocument/2006/relationships/image" Target="media/image8.png"/><Relationship Id="rId56" Type="http://schemas.openxmlformats.org/officeDocument/2006/relationships/image" Target="media/image24.png"/><Relationship Id="rId77" Type="http://schemas.openxmlformats.org/officeDocument/2006/relationships/image" Target="media/image34.png"/><Relationship Id="rId100" Type="http://schemas.openxmlformats.org/officeDocument/2006/relationships/image" Target="media/image53.png"/><Relationship Id="rId105" Type="http://schemas.openxmlformats.org/officeDocument/2006/relationships/image" Target="media/image58.png"/><Relationship Id="rId126" Type="http://schemas.openxmlformats.org/officeDocument/2006/relationships/image" Target="media/image74.png"/><Relationship Id="rId8" Type="http://schemas.openxmlformats.org/officeDocument/2006/relationships/webSettings" Target="webSettings.xml"/><Relationship Id="rId51" Type="http://schemas.openxmlformats.org/officeDocument/2006/relationships/image" Target="media/image19.png"/><Relationship Id="rId72" Type="http://schemas.openxmlformats.org/officeDocument/2006/relationships/image" Target="media/image29.png"/><Relationship Id="rId93" Type="http://schemas.openxmlformats.org/officeDocument/2006/relationships/image" Target="media/image46.png"/><Relationship Id="rId98" Type="http://schemas.openxmlformats.org/officeDocument/2006/relationships/image" Target="media/image51.png"/><Relationship Id="rId121" Type="http://schemas.openxmlformats.org/officeDocument/2006/relationships/image" Target="media/image69.png"/><Relationship Id="rId142" Type="http://schemas.openxmlformats.org/officeDocument/2006/relationships/footer" Target="footer2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win\Downloads\AGED_CARE_A4_REPORT_TEAL.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healthgov.sharepoint.com/sites/MAS/Shared%20Documents/Financial%20Report%20on%20the%20Australian%20Aged%20Care%20Sector/FRAACS%202021-22/Data%20Inputs/Updated%20Structure/Current%20Data%20Books/DRAFT_home_care_chapter.xlsx%20V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healthgov.sharepoint.com/sites/MAS/Shared%20Documents/Financial%20Report%20on%20the%20Australian%20Aged%20Care%20Sector/FRAACS%202021-22/Data%20Inputs/Updated%20Structure/Current%20Data%20Books/Draft_Residential_Care_Part_2%20V2.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1" Type="http://schemas.openxmlformats.org/officeDocument/2006/relationships/oleObject" Target="https://healthgov.sharepoint.com/sites/MAS/Shared%20Documents/Financial%20Report%20on%20the%20Australian%20Aged%20Care%20Sector/FRAACS%202021-22/Data%20Inputs/Updated%20Structure/Current%20Data%20Books/Draft_Residential_Care_Part_2%20V2.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https://healthgov.sharepoint.com/sites/MAS/Shared%20Documents/Financial%20Report%20on%20the%20Australian%20Aged%20Care%20Sector/FRAACS%202021-22/Data%20Inputs/Updated%20Structure/Current%20Data%20Books/Draft_Residential_Care_Part_2%20V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'Chart 1.8'!$A$33</c:f>
              <c:strCache>
                <c:ptCount val="1"/>
                <c:pt idx="0">
                  <c:v>Metropolitan</c:v>
                </c:pt>
              </c:strCache>
            </c:strRef>
          </c:tx>
          <c:spPr>
            <a:solidFill>
              <a:schemeClr val="tx2"/>
            </a:solidFill>
            <a:ln>
              <a:noFill/>
            </a:ln>
            <a:effectLst/>
          </c:spPr>
          <c:invertIfNegative val="0"/>
          <c:dLbls>
            <c:spPr>
              <a:noFill/>
              <a:ln>
                <a:noFill/>
              </a:ln>
              <a:effectLst/>
            </c:spPr>
            <c:txPr>
              <a:bodyPr rot="-540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1.8'!$C$32:$G$32</c:f>
              <c:strCache>
                <c:ptCount val="5"/>
                <c:pt idx="0">
                  <c:v>2017-18</c:v>
                </c:pt>
                <c:pt idx="1">
                  <c:v>2018-19</c:v>
                </c:pt>
                <c:pt idx="2">
                  <c:v>2019-20</c:v>
                </c:pt>
                <c:pt idx="3">
                  <c:v>2020-21</c:v>
                </c:pt>
                <c:pt idx="4">
                  <c:v>2021-22</c:v>
                </c:pt>
              </c:strCache>
            </c:strRef>
          </c:cat>
          <c:val>
            <c:numRef>
              <c:f>'Chart 1.8'!$C$33:$G$33</c:f>
              <c:numCache>
                <c:formatCode>"$"#,##0_);[Red]\("$"#,##0\)</c:formatCode>
                <c:ptCount val="5"/>
                <c:pt idx="0">
                  <c:v>1202</c:v>
                </c:pt>
                <c:pt idx="1">
                  <c:v>1470</c:v>
                </c:pt>
                <c:pt idx="2">
                  <c:v>1579</c:v>
                </c:pt>
                <c:pt idx="3">
                  <c:v>2046</c:v>
                </c:pt>
                <c:pt idx="4">
                  <c:v>1364</c:v>
                </c:pt>
              </c:numCache>
            </c:numRef>
          </c:val>
          <c:extLst>
            <c:ext xmlns:c16="http://schemas.microsoft.com/office/drawing/2014/chart" uri="{C3380CC4-5D6E-409C-BE32-E72D297353CC}">
              <c16:uniqueId val="{00000000-E8B8-4B6A-8247-B291F01B72A8}"/>
            </c:ext>
          </c:extLst>
        </c:ser>
        <c:ser>
          <c:idx val="1"/>
          <c:order val="1"/>
          <c:tx>
            <c:strRef>
              <c:f>'Chart 1.8'!$A$34</c:f>
              <c:strCache>
                <c:ptCount val="1"/>
                <c:pt idx="0">
                  <c:v>Regional</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1.8'!$C$32:$G$32</c:f>
              <c:strCache>
                <c:ptCount val="5"/>
                <c:pt idx="0">
                  <c:v>2017-18</c:v>
                </c:pt>
                <c:pt idx="1">
                  <c:v>2018-19</c:v>
                </c:pt>
                <c:pt idx="2">
                  <c:v>2019-20</c:v>
                </c:pt>
                <c:pt idx="3">
                  <c:v>2020-21</c:v>
                </c:pt>
                <c:pt idx="4">
                  <c:v>2021-22</c:v>
                </c:pt>
              </c:strCache>
            </c:strRef>
          </c:cat>
          <c:val>
            <c:numRef>
              <c:f>'Chart 1.8'!$C$34:$G$34</c:f>
              <c:numCache>
                <c:formatCode>"$"#,##0_);[Red]\("$"#,##0\)</c:formatCode>
                <c:ptCount val="5"/>
                <c:pt idx="0">
                  <c:v>1555</c:v>
                </c:pt>
                <c:pt idx="1">
                  <c:v>974</c:v>
                </c:pt>
                <c:pt idx="2">
                  <c:v>1899</c:v>
                </c:pt>
                <c:pt idx="3">
                  <c:v>1031</c:v>
                </c:pt>
                <c:pt idx="4">
                  <c:v>511</c:v>
                </c:pt>
              </c:numCache>
            </c:numRef>
          </c:val>
          <c:extLst>
            <c:ext xmlns:c16="http://schemas.microsoft.com/office/drawing/2014/chart" uri="{C3380CC4-5D6E-409C-BE32-E72D297353CC}">
              <c16:uniqueId val="{00000001-E8B8-4B6A-8247-B291F01B72A8}"/>
            </c:ext>
          </c:extLst>
        </c:ser>
        <c:ser>
          <c:idx val="2"/>
          <c:order val="2"/>
          <c:tx>
            <c:strRef>
              <c:f>'Chart 1.8'!$A$35</c:f>
              <c:strCache>
                <c:ptCount val="1"/>
                <c:pt idx="0">
                  <c:v>Metropolitan and Regional</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1.8'!$C$32:$G$32</c:f>
              <c:strCache>
                <c:ptCount val="5"/>
                <c:pt idx="0">
                  <c:v>2017-18</c:v>
                </c:pt>
                <c:pt idx="1">
                  <c:v>2018-19</c:v>
                </c:pt>
                <c:pt idx="2">
                  <c:v>2019-20</c:v>
                </c:pt>
                <c:pt idx="3">
                  <c:v>2020-21</c:v>
                </c:pt>
                <c:pt idx="4">
                  <c:v>2021-22</c:v>
                </c:pt>
              </c:strCache>
            </c:strRef>
          </c:cat>
          <c:val>
            <c:numRef>
              <c:f>'Chart 1.8'!$C$35:$G$35</c:f>
              <c:numCache>
                <c:formatCode>"$"#,##0_);[Red]\("$"#,##0\)</c:formatCode>
                <c:ptCount val="5"/>
                <c:pt idx="0">
                  <c:v>1026</c:v>
                </c:pt>
                <c:pt idx="1">
                  <c:v>1003</c:v>
                </c:pt>
                <c:pt idx="2">
                  <c:v>622</c:v>
                </c:pt>
                <c:pt idx="3">
                  <c:v>1757</c:v>
                </c:pt>
                <c:pt idx="4">
                  <c:v>1533</c:v>
                </c:pt>
              </c:numCache>
            </c:numRef>
          </c:val>
          <c:extLst>
            <c:ext xmlns:c16="http://schemas.microsoft.com/office/drawing/2014/chart" uri="{C3380CC4-5D6E-409C-BE32-E72D297353CC}">
              <c16:uniqueId val="{00000002-E8B8-4B6A-8247-B291F01B72A8}"/>
            </c:ext>
          </c:extLst>
        </c:ser>
        <c:dLbls>
          <c:dLblPos val="outEnd"/>
          <c:showLegendKey val="0"/>
          <c:showVal val="1"/>
          <c:showCatName val="0"/>
          <c:showSerName val="0"/>
          <c:showPercent val="0"/>
          <c:showBubbleSize val="0"/>
        </c:dLbls>
        <c:gapWidth val="100"/>
        <c:axId val="975498816"/>
        <c:axId val="975493240"/>
      </c:barChart>
      <c:catAx>
        <c:axId val="97549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75493240"/>
        <c:crosses val="autoZero"/>
        <c:auto val="1"/>
        <c:lblAlgn val="ctr"/>
        <c:lblOffset val="100"/>
        <c:noMultiLvlLbl val="0"/>
      </c:catAx>
      <c:valAx>
        <c:axId val="975493240"/>
        <c:scaling>
          <c:orientation val="minMax"/>
        </c:scaling>
        <c:delete val="0"/>
        <c:axPos val="l"/>
        <c:majorGridlines>
          <c:spPr>
            <a:ln w="9525" cap="flat" cmpd="sng" algn="ctr">
              <a:solidFill>
                <a:schemeClr val="bg1">
                  <a:lumMod val="90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Average EBITDA per recipient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75498816"/>
        <c:crosses val="autoZero"/>
        <c:crossBetween val="between"/>
      </c:valAx>
      <c:spPr>
        <a:noFill/>
        <a:ln w="19050">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rgbClr val="FFFFFF"/>
    </a:solidFill>
    <a:ln w="9525" cap="flat" cmpd="sng" algn="ctr">
      <a:noFill/>
      <a:round/>
    </a:ln>
    <a:effectLst/>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911083193746511E-2"/>
          <c:y val="0.13708194444444444"/>
          <c:w val="0.50691809743160243"/>
          <c:h val="0.80701361111111114"/>
        </c:manualLayout>
      </c:layout>
      <c:doughnutChart>
        <c:varyColors val="1"/>
        <c:ser>
          <c:idx val="0"/>
          <c:order val="0"/>
          <c:dPt>
            <c:idx val="0"/>
            <c:bubble3D val="0"/>
            <c:spPr>
              <a:solidFill>
                <a:schemeClr val="tx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C42-4B1B-9F1A-8CBEA2E3631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C42-4B1B-9F1A-8CBEA2E3631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C42-4B1B-9F1A-8CBEA2E3631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C42-4B1B-9F1A-8CBEA2E36315}"/>
              </c:ext>
            </c:extLst>
          </c:dPt>
          <c:dPt>
            <c:idx val="4"/>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C42-4B1B-9F1A-8CBEA2E36315}"/>
              </c:ext>
            </c:extLst>
          </c:dPt>
          <c:dPt>
            <c:idx val="5"/>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C42-4B1B-9F1A-8CBEA2E36315}"/>
              </c:ext>
            </c:extLst>
          </c:dPt>
          <c:dPt>
            <c:idx val="6"/>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1C42-4B1B-9F1A-8CBEA2E36315}"/>
              </c:ext>
            </c:extLst>
          </c:dPt>
          <c:dLbls>
            <c:dLbl>
              <c:idx val="0"/>
              <c:layout>
                <c:manualLayout>
                  <c:x val="0.12120812395309882"/>
                  <c:y val="6.8279722222222228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1C42-4B1B-9F1A-8CBEA2E36315}"/>
                </c:ext>
              </c:extLst>
            </c:dLbl>
            <c:dLbl>
              <c:idx val="1"/>
              <c:layout>
                <c:manualLayout>
                  <c:x val="-2.9138574818537131E-2"/>
                  <c:y val="-0.20451305555555555"/>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1C42-4B1B-9F1A-8CBEA2E36315}"/>
                </c:ext>
              </c:extLst>
            </c:dLbl>
            <c:dLbl>
              <c:idx val="2"/>
              <c:layout>
                <c:manualLayout>
                  <c:x val="-8.6523939140145167E-2"/>
                  <c:y val="-4.9833333333333334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1C42-4B1B-9F1A-8CBEA2E36315}"/>
                </c:ext>
              </c:extLst>
            </c:dLbl>
            <c:dLbl>
              <c:idx val="3"/>
              <c:layout>
                <c:manualLayout>
                  <c:x val="-0.13383413346760542"/>
                  <c:y val="0.11229698514984314"/>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1C42-4B1B-9F1A-8CBEA2E36315}"/>
                </c:ext>
              </c:extLst>
            </c:dLbl>
            <c:dLbl>
              <c:idx val="4"/>
              <c:layout>
                <c:manualLayout>
                  <c:x val="-3.6942242748873609E-2"/>
                  <c:y val="-0.14561068215987566"/>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1C42-4B1B-9F1A-8CBEA2E36315}"/>
                </c:ext>
              </c:extLst>
            </c:dLbl>
            <c:dLbl>
              <c:idx val="5"/>
              <c:layout>
                <c:manualLayout>
                  <c:x val="-6.0575446677833614E-3"/>
                  <c:y val="-0.14218749999999999"/>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1C42-4B1B-9F1A-8CBEA2E36315}"/>
                </c:ext>
              </c:extLst>
            </c:dLbl>
            <c:dLbl>
              <c:idx val="6"/>
              <c:layout>
                <c:manualLayout>
                  <c:x val="3.7092929927414808E-2"/>
                  <c:y val="-0.13875472222222221"/>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1C42-4B1B-9F1A-8CBEA2E36315}"/>
                </c:ext>
              </c:extLst>
            </c:dLbl>
            <c:numFmt formatCode="0.0%" sourceLinked="0"/>
            <c:spPr>
              <a:noFill/>
              <a:ln>
                <a:noFill/>
              </a:ln>
              <a:effectLst>
                <a:softEdge rad="38100"/>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1"/>
            <c:showBubbleSize val="0"/>
            <c:separator>
</c:separator>
            <c:showLeaderLines val="0"/>
            <c:extLst>
              <c:ext xmlns:c15="http://schemas.microsoft.com/office/drawing/2012/chart" uri="{CE6537A1-D6FC-4f65-9D91-7224C49458BB}"/>
            </c:extLst>
          </c:dLbls>
          <c:cat>
            <c:strRef>
              <c:f>'Chart 3.1'!$A$3:$A$9</c:f>
              <c:strCache>
                <c:ptCount val="7"/>
                <c:pt idx="0">
                  <c:v>Basic care subsidy (ACFI)</c:v>
                </c:pt>
                <c:pt idx="1">
                  <c:v>COVID-19 funding</c:v>
                </c:pt>
                <c:pt idx="2">
                  <c:v>Basic Daily Fee</c:v>
                </c:pt>
                <c:pt idx="3">
                  <c:v>Respite subsidy and supplements</c:v>
                </c:pt>
                <c:pt idx="4">
                  <c:v>Other supplements</c:v>
                </c:pt>
                <c:pt idx="5">
                  <c:v>Accommodation supplements - Australian Government</c:v>
                </c:pt>
                <c:pt idx="6">
                  <c:v>Capital grants</c:v>
                </c:pt>
              </c:strCache>
            </c:strRef>
          </c:cat>
          <c:val>
            <c:numRef>
              <c:f>'Chart 3.1'!$B$3:$B$9</c:f>
              <c:numCache>
                <c:formatCode>"$"#,##0.00_);[Red]\("$"#,##0.00\)</c:formatCode>
                <c:ptCount val="7"/>
                <c:pt idx="0">
                  <c:v>11883.4</c:v>
                </c:pt>
                <c:pt idx="1">
                  <c:v>306.10000000000002</c:v>
                </c:pt>
                <c:pt idx="2">
                  <c:v>661</c:v>
                </c:pt>
                <c:pt idx="3">
                  <c:v>501</c:v>
                </c:pt>
                <c:pt idx="4">
                  <c:v>155.1</c:v>
                </c:pt>
                <c:pt idx="5">
                  <c:v>1323.2</c:v>
                </c:pt>
                <c:pt idx="6">
                  <c:v>131.69999999999999</c:v>
                </c:pt>
              </c:numCache>
            </c:numRef>
          </c:val>
          <c:extLst>
            <c:ext xmlns:c16="http://schemas.microsoft.com/office/drawing/2014/chart" uri="{C3380CC4-5D6E-409C-BE32-E72D297353CC}">
              <c16:uniqueId val="{0000000E-1C42-4B1B-9F1A-8CBEA2E36315}"/>
            </c:ext>
          </c:extLst>
        </c:ser>
        <c:dLbls>
          <c:showLegendKey val="0"/>
          <c:showVal val="0"/>
          <c:showCatName val="0"/>
          <c:showSerName val="0"/>
          <c:showPercent val="1"/>
          <c:showBubbleSize val="0"/>
          <c:showLeaderLines val="0"/>
        </c:dLbls>
        <c:firstSliceAng val="0"/>
        <c:holeSize val="59"/>
      </c:doughnutChart>
      <c:spPr>
        <a:noFill/>
        <a:ln>
          <a:noFill/>
        </a:ln>
        <a:effectLst/>
      </c:spPr>
    </c:plotArea>
    <c:legend>
      <c:legendPos val="r"/>
      <c:layout>
        <c:manualLayout>
          <c:xMode val="edge"/>
          <c:yMode val="edge"/>
          <c:x val="0.66428077889447246"/>
          <c:y val="2.5154166666666665E-2"/>
          <c:w val="0.33236931183696261"/>
          <c:h val="0.9748458333333333"/>
        </c:manualLayout>
      </c:layout>
      <c:overlay val="0"/>
      <c:spPr>
        <a:solidFill>
          <a:srgbClr val="FFFFFF">
            <a:alpha val="39000"/>
          </a:srgbClr>
        </a:solidFill>
        <a:ln>
          <a:noFill/>
        </a:ln>
        <a:effectLst/>
      </c:spPr>
      <c:txPr>
        <a:bodyPr rot="0" spcFirstLastPara="1" vertOverflow="ellipsis" vert="horz" wrap="square" anchor="ctr" anchorCtr="1"/>
        <a:lstStyle/>
        <a:p>
          <a:pPr rtl="0">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rgbClr val="FFFFFF"/>
    </a:solidFill>
    <a:ln w="9525" cap="flat" cmpd="sng" algn="ctr">
      <a:noFill/>
      <a:round/>
    </a:ln>
    <a:effectLst/>
  </c:spPr>
  <c:txPr>
    <a:bodyPr/>
    <a:lstStyle/>
    <a:p>
      <a:pPr>
        <a:defRPr sz="1100">
          <a:solidFill>
            <a:sysClr val="windowText" lastClr="000000"/>
          </a:solidFill>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07177619626994"/>
          <c:y val="6.9747848636401766E-2"/>
          <c:w val="0.86737226870447837"/>
          <c:h val="0.81439401709401704"/>
        </c:manualLayout>
      </c:layout>
      <c:barChart>
        <c:barDir val="col"/>
        <c:grouping val="clustered"/>
        <c:varyColors val="0"/>
        <c:ser>
          <c:idx val="0"/>
          <c:order val="0"/>
          <c:spPr>
            <a:solidFill>
              <a:schemeClr val="tx1"/>
            </a:solidFill>
            <a:ln>
              <a:noFill/>
            </a:ln>
            <a:effectLst/>
          </c:spPr>
          <c:invertIfNegative val="0"/>
          <c:dPt>
            <c:idx val="1"/>
            <c:invertIfNegative val="0"/>
            <c:bubble3D val="0"/>
            <c:extLst>
              <c:ext xmlns:c16="http://schemas.microsoft.com/office/drawing/2014/chart" uri="{C3380CC4-5D6E-409C-BE32-E72D297353CC}">
                <c16:uniqueId val="{00000000-9098-476C-8D4A-DF2AF085AADA}"/>
              </c:ext>
            </c:extLst>
          </c:dPt>
          <c:dLbls>
            <c:dLbl>
              <c:idx val="0"/>
              <c:tx>
                <c:rich>
                  <a:bodyPr/>
                  <a:lstStyle/>
                  <a:p>
                    <a:fld id="{CFFD3D7F-87D8-44A7-9645-145B44B2A642}" type="VALUE">
                      <a:rPr lang="en-US"/>
                      <a:pPr/>
                      <a:t>[VALUE]</a:t>
                    </a:fld>
                    <a:endParaRPr lang="en-AU"/>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098-476C-8D4A-DF2AF085AADA}"/>
                </c:ext>
              </c:extLst>
            </c:dLbl>
            <c:dLbl>
              <c:idx val="1"/>
              <c:tx>
                <c:rich>
                  <a:bodyPr/>
                  <a:lstStyle/>
                  <a:p>
                    <a:fld id="{D8C39DA4-A2D1-42F7-B424-95045ACA7ABF}" type="VALUE">
                      <a:rPr lang="en-US"/>
                      <a:pPr/>
                      <a:t>[VALUE]</a:t>
                    </a:fld>
                    <a:endParaRPr lang="en-AU"/>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098-476C-8D4A-DF2AF085AADA}"/>
                </c:ext>
              </c:extLst>
            </c:dLbl>
            <c:dLbl>
              <c:idx val="2"/>
              <c:tx>
                <c:rich>
                  <a:bodyPr/>
                  <a:lstStyle/>
                  <a:p>
                    <a:fld id="{78B4AC40-24B8-46AE-93FA-725E2F60A86D}" type="VALUE">
                      <a:rPr lang="en-US"/>
                      <a:pPr/>
                      <a:t>[VALUE]</a:t>
                    </a:fld>
                    <a:endParaRPr lang="en-AU"/>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9098-476C-8D4A-DF2AF085AADA}"/>
                </c:ext>
              </c:extLst>
            </c:dLbl>
            <c:dLbl>
              <c:idx val="3"/>
              <c:tx>
                <c:rich>
                  <a:bodyPr/>
                  <a:lstStyle/>
                  <a:p>
                    <a:fld id="{0CF0CDDB-8DAE-413F-BA18-07371AC9882C}" type="VALUE">
                      <a:rPr lang="en-US"/>
                      <a:pPr/>
                      <a:t>[VALUE]</a:t>
                    </a:fld>
                    <a:endParaRPr lang="en-AU"/>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098-476C-8D4A-DF2AF085AADA}"/>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'Chart 3.2'!$G$5:$K$5</c:f>
              <c:strCache>
                <c:ptCount val="5"/>
                <c:pt idx="0">
                  <c:v>2017-18</c:v>
                </c:pt>
                <c:pt idx="1">
                  <c:v>2018-19</c:v>
                </c:pt>
                <c:pt idx="2">
                  <c:v>2019-20</c:v>
                </c:pt>
                <c:pt idx="3">
                  <c:v>2020-21</c:v>
                </c:pt>
                <c:pt idx="4">
                  <c:v>2021-22</c:v>
                </c:pt>
              </c:strCache>
            </c:strRef>
          </c:cat>
          <c:val>
            <c:numRef>
              <c:f>'Chart 3.2'!$G$6:$K$6</c:f>
              <c:numCache>
                <c:formatCode>_-"$"* #,##0.0_-;\-"$"* #,##0.0_-;_-"$"* "-"??_-;_-@_-</c:formatCode>
                <c:ptCount val="5"/>
                <c:pt idx="0">
                  <c:v>349.8</c:v>
                </c:pt>
                <c:pt idx="1">
                  <c:v>392.3</c:v>
                </c:pt>
                <c:pt idx="2">
                  <c:v>421.8</c:v>
                </c:pt>
                <c:pt idx="3">
                  <c:v>458</c:v>
                </c:pt>
                <c:pt idx="4">
                  <c:v>509.2</c:v>
                </c:pt>
              </c:numCache>
            </c:numRef>
          </c:val>
          <c:extLst>
            <c:ext xmlns:c16="http://schemas.microsoft.com/office/drawing/2014/chart" uri="{C3380CC4-5D6E-409C-BE32-E72D297353CC}">
              <c16:uniqueId val="{00000004-9098-476C-8D4A-DF2AF085AADA}"/>
            </c:ext>
          </c:extLst>
        </c:ser>
        <c:dLbls>
          <c:dLblPos val="ctr"/>
          <c:showLegendKey val="0"/>
          <c:showVal val="1"/>
          <c:showCatName val="0"/>
          <c:showSerName val="0"/>
          <c:showPercent val="0"/>
          <c:showBubbleSize val="0"/>
        </c:dLbls>
        <c:gapWidth val="60"/>
        <c:axId val="259249280"/>
        <c:axId val="259250816"/>
      </c:barChart>
      <c:catAx>
        <c:axId val="259249280"/>
        <c:scaling>
          <c:orientation val="minMax"/>
        </c:scaling>
        <c:delete val="0"/>
        <c:axPos val="b"/>
        <c:numFmt formatCode="General" sourceLinked="0"/>
        <c:majorTickMark val="none"/>
        <c:minorTickMark val="none"/>
        <c:tickLblPos val="nextTo"/>
        <c:spPr>
          <a:noFill/>
          <a:ln w="9525" cap="flat" cmpd="sng" algn="ctr">
            <a:solidFill>
              <a:schemeClr val="bg1">
                <a:lumMod val="90000"/>
              </a:schemeClr>
            </a:solidFill>
            <a:round/>
          </a:ln>
          <a:effectLst/>
        </c:spPr>
        <c:txPr>
          <a:bodyPr rot="-60000000" vert="horz"/>
          <a:lstStyle/>
          <a:p>
            <a:pPr>
              <a:defRPr/>
            </a:pPr>
            <a:endParaRPr lang="en-US"/>
          </a:p>
        </c:txPr>
        <c:crossAx val="259250816"/>
        <c:crosses val="autoZero"/>
        <c:auto val="1"/>
        <c:lblAlgn val="ctr"/>
        <c:lblOffset val="100"/>
        <c:noMultiLvlLbl val="0"/>
      </c:catAx>
      <c:valAx>
        <c:axId val="259250816"/>
        <c:scaling>
          <c:orientation val="minMax"/>
        </c:scaling>
        <c:delete val="0"/>
        <c:axPos val="l"/>
        <c:majorGridlines>
          <c:spPr>
            <a:ln w="9525" cap="flat" cmpd="sng" algn="ctr">
              <a:solidFill>
                <a:schemeClr val="bg1">
                  <a:lumMod val="90000"/>
                </a:schemeClr>
              </a:solidFill>
              <a:round/>
            </a:ln>
            <a:effectLst/>
          </c:spPr>
        </c:majorGridlines>
        <c:title>
          <c:tx>
            <c:rich>
              <a:bodyPr rot="-5400000" vert="horz"/>
              <a:lstStyle/>
              <a:p>
                <a:pPr>
                  <a:defRPr/>
                </a:pPr>
                <a:r>
                  <a:rPr lang="en-AU"/>
                  <a:t>Overall expenditure ($m)</a:t>
                </a:r>
              </a:p>
            </c:rich>
          </c:tx>
          <c:layout>
            <c:manualLayout>
              <c:xMode val="edge"/>
              <c:yMode val="edge"/>
              <c:x val="0"/>
              <c:y val="0.19012051282051282"/>
            </c:manualLayout>
          </c:layout>
          <c:overlay val="0"/>
          <c:spPr>
            <a:noFill/>
            <a:ln>
              <a:noFill/>
            </a:ln>
            <a:effectLst/>
          </c:spPr>
        </c:title>
        <c:numFmt formatCode="&quot;$&quot;#,##0" sourceLinked="0"/>
        <c:majorTickMark val="out"/>
        <c:minorTickMark val="none"/>
        <c:tickLblPos val="nextTo"/>
        <c:spPr>
          <a:noFill/>
          <a:ln>
            <a:noFill/>
          </a:ln>
          <a:effectLst/>
        </c:spPr>
        <c:txPr>
          <a:bodyPr rot="-60000000" vert="horz"/>
          <a:lstStyle/>
          <a:p>
            <a:pPr>
              <a:defRPr/>
            </a:pPr>
            <a:endParaRPr lang="en-US"/>
          </a:p>
        </c:txPr>
        <c:crossAx val="259249280"/>
        <c:crosses val="autoZero"/>
        <c:crossBetween val="between"/>
      </c:valAx>
      <c:spPr>
        <a:noFill/>
        <a:ln w="25400">
          <a:noFill/>
        </a:ln>
        <a:effectLst/>
      </c:spPr>
    </c:plotArea>
    <c:plotVisOnly val="1"/>
    <c:dispBlanksAs val="gap"/>
    <c:showDLblsOverMax val="0"/>
  </c:chart>
  <c:spPr>
    <a:solidFill>
      <a:srgbClr val="FFFFFF"/>
    </a:solidFill>
    <a:ln w="9525" cap="flat" cmpd="sng" algn="ctr">
      <a:noFill/>
      <a:round/>
    </a:ln>
    <a:effectLst/>
  </c:spPr>
  <c:txPr>
    <a:bodyPr/>
    <a:lstStyle/>
    <a:p>
      <a:pPr>
        <a:defRPr sz="1200" b="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94844566447542E-2"/>
          <c:y val="9.9852222222222203E-2"/>
          <c:w val="0.45556061557788946"/>
          <c:h val="0.72525249999999997"/>
        </c:manualLayout>
      </c:layout>
      <c:doughnutChart>
        <c:varyColors val="1"/>
        <c:ser>
          <c:idx val="0"/>
          <c:order val="0"/>
          <c:dPt>
            <c:idx val="0"/>
            <c:bubble3D val="0"/>
            <c:spPr>
              <a:solidFill>
                <a:schemeClr val="tx2"/>
              </a:solidFill>
            </c:spPr>
            <c:extLst>
              <c:ext xmlns:c16="http://schemas.microsoft.com/office/drawing/2014/chart" uri="{C3380CC4-5D6E-409C-BE32-E72D297353CC}">
                <c16:uniqueId val="{00000001-6EBC-4618-A9B0-3A628E20844B}"/>
              </c:ext>
            </c:extLst>
          </c:dPt>
          <c:dPt>
            <c:idx val="1"/>
            <c:bubble3D val="0"/>
            <c:spPr>
              <a:solidFill>
                <a:schemeClr val="accent6"/>
              </a:solidFill>
            </c:spPr>
            <c:extLst>
              <c:ext xmlns:c16="http://schemas.microsoft.com/office/drawing/2014/chart" uri="{C3380CC4-5D6E-409C-BE32-E72D297353CC}">
                <c16:uniqueId val="{00000003-6EBC-4618-A9B0-3A628E20844B}"/>
              </c:ext>
            </c:extLst>
          </c:dPt>
          <c:dPt>
            <c:idx val="2"/>
            <c:bubble3D val="0"/>
            <c:spPr>
              <a:solidFill>
                <a:schemeClr val="accent2"/>
              </a:solidFill>
            </c:spPr>
            <c:extLst>
              <c:ext xmlns:c16="http://schemas.microsoft.com/office/drawing/2014/chart" uri="{C3380CC4-5D6E-409C-BE32-E72D297353CC}">
                <c16:uniqueId val="{00000005-6EBC-4618-A9B0-3A628E20844B}"/>
              </c:ext>
            </c:extLst>
          </c:dPt>
          <c:dPt>
            <c:idx val="3"/>
            <c:bubble3D val="0"/>
            <c:spPr>
              <a:solidFill>
                <a:schemeClr val="accent4"/>
              </a:solidFill>
            </c:spPr>
            <c:extLst>
              <c:ext xmlns:c16="http://schemas.microsoft.com/office/drawing/2014/chart" uri="{C3380CC4-5D6E-409C-BE32-E72D297353CC}">
                <c16:uniqueId val="{00000007-6EBC-4618-A9B0-3A628E20844B}"/>
              </c:ext>
            </c:extLst>
          </c:dPt>
          <c:dPt>
            <c:idx val="4"/>
            <c:bubble3D val="0"/>
            <c:spPr>
              <a:solidFill>
                <a:schemeClr val="accent3"/>
              </a:solidFill>
            </c:spPr>
            <c:extLst>
              <c:ext xmlns:c16="http://schemas.microsoft.com/office/drawing/2014/chart" uri="{C3380CC4-5D6E-409C-BE32-E72D297353CC}">
                <c16:uniqueId val="{00000009-6EBC-4618-A9B0-3A628E20844B}"/>
              </c:ext>
            </c:extLst>
          </c:dPt>
          <c:dPt>
            <c:idx val="5"/>
            <c:bubble3D val="0"/>
            <c:spPr>
              <a:solidFill>
                <a:schemeClr val="accent5"/>
              </a:solidFill>
            </c:spPr>
            <c:extLst>
              <c:ext xmlns:c16="http://schemas.microsoft.com/office/drawing/2014/chart" uri="{C3380CC4-5D6E-409C-BE32-E72D297353CC}">
                <c16:uniqueId val="{0000000B-6EBC-4618-A9B0-3A628E20844B}"/>
              </c:ext>
            </c:extLst>
          </c:dPt>
          <c:dPt>
            <c:idx val="6"/>
            <c:bubble3D val="0"/>
            <c:spPr>
              <a:solidFill>
                <a:schemeClr val="accent1"/>
              </a:solidFill>
            </c:spPr>
            <c:extLst>
              <c:ext xmlns:c16="http://schemas.microsoft.com/office/drawing/2014/chart" uri="{C3380CC4-5D6E-409C-BE32-E72D297353CC}">
                <c16:uniqueId val="{0000000D-6EBC-4618-A9B0-3A628E20844B}"/>
              </c:ext>
            </c:extLst>
          </c:dPt>
          <c:dLbls>
            <c:dLbl>
              <c:idx val="0"/>
              <c:layout>
                <c:manualLayout>
                  <c:x val="8.7535245672808487E-2"/>
                  <c:y val="0.11644583333333333"/>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6EBC-4618-A9B0-3A628E20844B}"/>
                </c:ext>
              </c:extLst>
            </c:dLbl>
            <c:dLbl>
              <c:idx val="1"/>
              <c:layout>
                <c:manualLayout>
                  <c:x val="-6.7137597710776098E-2"/>
                  <c:y val="9.4938055555555553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EBC-4618-A9B0-3A628E20844B}"/>
                </c:ext>
              </c:extLst>
            </c:dLbl>
            <c:dLbl>
              <c:idx val="2"/>
              <c:layout>
                <c:manualLayout>
                  <c:x val="-8.5838044388609716E-2"/>
                  <c:y val="4.5734444444444383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6EBC-4618-A9B0-3A628E20844B}"/>
                </c:ext>
              </c:extLst>
            </c:dLbl>
            <c:dLbl>
              <c:idx val="3"/>
              <c:layout>
                <c:manualLayout>
                  <c:x val="-8.043324260189838E-2"/>
                  <c:y val="-3.8888888888888891E-5"/>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6EBC-4618-A9B0-3A628E20844B}"/>
                </c:ext>
              </c:extLst>
            </c:dLbl>
            <c:dLbl>
              <c:idx val="4"/>
              <c:layout>
                <c:manualLayout>
                  <c:x val="-9.9609331379117816E-2"/>
                  <c:y val="-4.9301111111111108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6EBC-4618-A9B0-3A628E20844B}"/>
                </c:ext>
              </c:extLst>
            </c:dLbl>
            <c:dLbl>
              <c:idx val="5"/>
              <c:layout>
                <c:manualLayout>
                  <c:x val="-5.3841952819653843E-2"/>
                  <c:y val="-0.10554083333333333"/>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6EBC-4618-A9B0-3A628E20844B}"/>
                </c:ext>
              </c:extLst>
            </c:dLbl>
            <c:dLbl>
              <c:idx val="6"/>
              <c:layout>
                <c:manualLayout>
                  <c:x val="-2.4353713009491903E-2"/>
                  <c:y val="-0.11608527777777777"/>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6EBC-4618-A9B0-3A628E20844B}"/>
                </c:ext>
              </c:extLst>
            </c:dLbl>
            <c:numFmt formatCode="0.0%" sourceLinked="0"/>
            <c:spPr>
              <a:noFill/>
              <a:ln>
                <a:noFill/>
              </a:ln>
              <a:effectLst/>
            </c:spPr>
            <c:txPr>
              <a:bodyPr rot="0" vert="horz"/>
              <a:lstStyle/>
              <a:p>
                <a:pPr>
                  <a:defRPr/>
                </a:pPr>
                <a:endParaRPr lang="en-US"/>
              </a:p>
            </c:txPr>
            <c:showLegendKey val="0"/>
            <c:showVal val="1"/>
            <c:showCatName val="0"/>
            <c:showSerName val="0"/>
            <c:showPercent val="1"/>
            <c:showBubbleSize val="0"/>
            <c:separator>
</c:separator>
            <c:showLeaderLines val="0"/>
            <c:extLst>
              <c:ext xmlns:c15="http://schemas.microsoft.com/office/drawing/2012/chart" uri="{CE6537A1-D6FC-4f65-9D91-7224C49458BB}">
                <c15:spPr xmlns:c15="http://schemas.microsoft.com/office/drawing/2012/chart">
                  <a:prstGeom prst="rect">
                    <a:avLst/>
                  </a:prstGeom>
                </c15:spPr>
              </c:ext>
            </c:extLst>
          </c:dLbls>
          <c:cat>
            <c:strRef>
              <c:f>'Chart 3.3'!$A$24:$A$30</c:f>
              <c:strCache>
                <c:ptCount val="7"/>
                <c:pt idx="0">
                  <c:v>Australian Government care subsidies and supplements</c:v>
                </c:pt>
                <c:pt idx="1">
                  <c:v>Resident care contribution and other resident care fees</c:v>
                </c:pt>
                <c:pt idx="2">
                  <c:v>Australian Government accommodation supplements and capital grants</c:v>
                </c:pt>
                <c:pt idx="3">
                  <c:v>Resident accommodation payments</c:v>
                </c:pt>
                <c:pt idx="4">
                  <c:v>Living expenses (basic daily fee)</c:v>
                </c:pt>
                <c:pt idx="5">
                  <c:v>Extra and additional services</c:v>
                </c:pt>
                <c:pt idx="6">
                  <c:v>Other revenue</c:v>
                </c:pt>
              </c:strCache>
            </c:strRef>
          </c:cat>
          <c:val>
            <c:numRef>
              <c:f>'Chart 3.3'!$D$24:$D$30</c:f>
              <c:numCache>
                <c:formatCode>"$"#,##0_);[Red]\("$"#,##0\)</c:formatCode>
                <c:ptCount val="7"/>
                <c:pt idx="0">
                  <c:v>13506.6</c:v>
                </c:pt>
                <c:pt idx="1">
                  <c:v>792.3</c:v>
                </c:pt>
                <c:pt idx="2">
                  <c:v>1454.9</c:v>
                </c:pt>
                <c:pt idx="3">
                  <c:v>833.5</c:v>
                </c:pt>
                <c:pt idx="4">
                  <c:v>3651.1</c:v>
                </c:pt>
                <c:pt idx="5">
                  <c:v>301.60000000000002</c:v>
                </c:pt>
                <c:pt idx="6">
                  <c:v>1534.5</c:v>
                </c:pt>
              </c:numCache>
            </c:numRef>
          </c:val>
          <c:extLst>
            <c:ext xmlns:c16="http://schemas.microsoft.com/office/drawing/2014/chart" uri="{C3380CC4-5D6E-409C-BE32-E72D297353CC}">
              <c16:uniqueId val="{0000000E-6EBC-4618-A9B0-3A628E20844B}"/>
            </c:ext>
          </c:extLst>
        </c:ser>
        <c:dLbls>
          <c:showLegendKey val="0"/>
          <c:showVal val="1"/>
          <c:showCatName val="0"/>
          <c:showSerName val="0"/>
          <c:showPercent val="0"/>
          <c:showBubbleSize val="0"/>
          <c:showLeaderLines val="0"/>
        </c:dLbls>
        <c:firstSliceAng val="0"/>
        <c:holeSize val="59"/>
      </c:doughnutChart>
      <c:spPr>
        <a:noFill/>
        <a:ln>
          <a:noFill/>
        </a:ln>
        <a:effectLst/>
      </c:spPr>
    </c:plotArea>
    <c:legend>
      <c:legendPos val="b"/>
      <c:layout>
        <c:manualLayout>
          <c:xMode val="edge"/>
          <c:yMode val="edge"/>
          <c:x val="0.62970628999503708"/>
          <c:y val="1.9549475507480756E-2"/>
          <c:w val="0.34537143324790931"/>
          <c:h val="0.9704569757063195"/>
        </c:manualLayout>
      </c:layout>
      <c:overlay val="0"/>
      <c:spPr>
        <a:noFill/>
        <a:ln>
          <a:noFill/>
        </a:ln>
        <a:effectLst/>
      </c:spPr>
      <c:txPr>
        <a:bodyPr rot="0" vert="horz"/>
        <a:lstStyle/>
        <a:p>
          <a:pPr>
            <a:defRPr/>
          </a:pPr>
          <a:endParaRPr lang="en-US"/>
        </a:p>
      </c:txPr>
    </c:legend>
    <c:plotVisOnly val="1"/>
    <c:dispBlanksAs val="gap"/>
    <c:showDLblsOverMax val="0"/>
  </c:chart>
  <c:spPr>
    <a:solidFill>
      <a:srgbClr val="FFFFFF"/>
    </a:solidFill>
    <a:ln w="9525" cap="flat" cmpd="sng" algn="ctr">
      <a:noFill/>
      <a:round/>
    </a:ln>
    <a:effectLst/>
  </c:spPr>
  <c:txPr>
    <a:bodyPr/>
    <a:lstStyle/>
    <a:p>
      <a:pPr>
        <a:defRPr sz="1050">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ocumenttasks/documenttasks1.xml><?xml version="1.0" encoding="utf-8"?>
<t:Tasks xmlns:t="http://schemas.microsoft.com/office/tasks/2019/documenttasks" xmlns:oel="http://schemas.microsoft.com/office/2019/extlst">
  <t:Task id="{8529E0A4-0F68-42E9-99E2-1E9A633875CC}">
    <t:Anchor>
      <t:Comment id="675039462"/>
    </t:Anchor>
    <t:History>
      <t:Event id="{F0A7F0DE-09C5-4BC3-BF3A-A5CCA5D991B4}" time="2023-06-20T06:56:43.688Z">
        <t:Attribution userId="S::jaron.bailey@health.gov.au::14bd1259-b4a9-4d86-9905-835b810ee4c0" userProvider="AD" userName="BAILEY, Jaron"/>
        <t:Anchor>
          <t:Comment id="580900683"/>
        </t:Anchor>
        <t:Create/>
      </t:Event>
      <t:Event id="{0C9ADB6C-499A-4B6C-B949-F92613A4D6C8}" time="2023-06-20T06:56:43.688Z">
        <t:Attribution userId="S::jaron.bailey@health.gov.au::14bd1259-b4a9-4d86-9905-835b810ee4c0" userProvider="AD" userName="BAILEY, Jaron"/>
        <t:Anchor>
          <t:Comment id="580900683"/>
        </t:Anchor>
        <t:Assign userId="S::Edwina.MCCULLOCH@Health.gov.au::44a8ed97-0947-45a7-b4f4-af172576add2" userProvider="AD" userName="MCCULLOCH, Edwina"/>
      </t:Event>
      <t:Event id="{DF9EE281-811F-42D9-955A-72EA70FF0E09}" time="2023-06-20T06:56:43.688Z">
        <t:Attribution userId="S::jaron.bailey@health.gov.au::14bd1259-b4a9-4d86-9905-835b810ee4c0" userProvider="AD" userName="BAILEY, Jaron"/>
        <t:Anchor>
          <t:Comment id="580900683"/>
        </t:Anchor>
        <t:SetTitle title="Hi @MCCULLOCH, Edwina - in the text you calculate percentage growth on percentages (eg for 70-74 year males 0.3% to 1.7% is a 470% increase). While the text is clear, I am not sure it is helpful giving this type of statistic. It would be preferable to …"/>
      </t:Event>
    </t:History>
  </t:Task>
  <t:Task id="{3CA5AF1C-E968-440F-96A7-FD977B87A122}">
    <t:Anchor>
      <t:Comment id="674000473"/>
    </t:Anchor>
    <t:History>
      <t:Event id="{4F8BAA4F-24AE-41B6-9A7F-1CA47BDBD197}" time="2023-06-09T01:01:14.292Z">
        <t:Attribution userId="S::leah.deng@health.gov.au::7718ec30-7bbc-481b-9b24-1000efea551e" userProvider="AD" userName="DENG, Leah"/>
        <t:Anchor>
          <t:Comment id="498878628"/>
        </t:Anchor>
        <t:Create/>
      </t:Event>
      <t:Event id="{6A059CF2-879C-411E-8B2D-238293C5D041}" time="2023-06-09T01:01:14.292Z">
        <t:Attribution userId="S::leah.deng@health.gov.au::7718ec30-7bbc-481b-9b24-1000efea551e" userProvider="AD" userName="DENG, Leah"/>
        <t:Anchor>
          <t:Comment id="498878628"/>
        </t:Anchor>
        <t:Assign userId="S::Jason.Bloomfield@health.gov.au::da965f90-1c89-41cb-8e35-63cafb8b029d" userProvider="AD" userName="BLOOMFIELD, Jason"/>
      </t:Event>
      <t:Event id="{A2FF0C78-11A2-4589-87FB-1CE8237B75C7}" time="2023-06-09T01:01:14.292Z">
        <t:Attribution userId="S::leah.deng@health.gov.au::7718ec30-7bbc-481b-9b24-1000efea551e" userProvider="AD" userName="DENG, Leah"/>
        <t:Anchor>
          <t:Comment id="498878628"/>
        </t:Anchor>
        <t:SetTitle title="@BLOOMFIELD, Jason , could you please also mention the not received amount here? thanks!"/>
      </t:Event>
    </t:History>
  </t:Task>
  <t:Task id="{CF454D91-E247-4677-8F80-00838CEE730B}">
    <t:Anchor>
      <t:Comment id="2030312220"/>
    </t:Anchor>
    <t:History>
      <t:Event id="{BAAA4921-9AC3-47CD-BFF9-A0F2D8CE834A}" time="2023-06-09T06:50:31.193Z">
        <t:Attribution userId="S::marcus.perera@health.gov.au::752a351a-714b-4bdb-99ee-64d3abd790ff" userProvider="AD" userName="PERERA, Marcus"/>
        <t:Anchor>
          <t:Comment id="2030312220"/>
        </t:Anchor>
        <t:Create/>
      </t:Event>
      <t:Event id="{AA6D8CF5-3237-4594-BB71-76BEB1B5BCEE}" time="2023-06-09T06:50:31.193Z">
        <t:Attribution userId="S::marcus.perera@health.gov.au::752a351a-714b-4bdb-99ee-64d3abd790ff" userProvider="AD" userName="PERERA, Marcus"/>
        <t:Anchor>
          <t:Comment id="2030312220"/>
        </t:Anchor>
        <t:Assign userId="S::Edwina.MCCULLOCH@Health.gov.au::44a8ed97-0947-45a7-b4f4-af172576add2" userProvider="AD" userName="MCCULLOCH, Edwina"/>
      </t:Event>
      <t:Event id="{588C9D8C-6432-4912-9ACE-5F335275E9A6}" time="2023-06-09T06:50:31.193Z">
        <t:Attribution userId="S::marcus.perera@health.gov.au::752a351a-714b-4bdb-99ee-64d3abd790ff" userProvider="AD" userName="PERERA, Marcus"/>
        <t:Anchor>
          <t:Comment id="2030312220"/>
        </t:Anchor>
        <t:SetTitle title="@MCCULLOCH, Edwina Hi Edwina, our team is unable to confirm the specific subsidies included in the COVID-19 funding. If this wording hasn't been cleared by another team that has better knowledge, suggest keeping it high level &quot;The total amount of …"/>
      </t:Event>
    </t:History>
  </t:Task>
  <t:Task id="{309E2642-AA39-455A-86A3-E091367D8F85}">
    <t:Anchor>
      <t:Comment id="1359889427"/>
    </t:Anchor>
    <t:History>
      <t:Event id="{06847DC0-EF18-4A6D-AAC8-53302836AE1A}" time="2023-06-14T00:47:12.547Z">
        <t:Attribution userId="S::marcus.perera@health.gov.au::752a351a-714b-4bdb-99ee-64d3abd790ff" userProvider="AD" userName="PERERA, Marcus"/>
        <t:Anchor>
          <t:Comment id="1359889427"/>
        </t:Anchor>
        <t:Create/>
      </t:Event>
      <t:Event id="{192A4A9B-EE19-4ACE-9568-504AF77CF75E}" time="2023-06-14T00:47:12.547Z">
        <t:Attribution userId="S::marcus.perera@health.gov.au::752a351a-714b-4bdb-99ee-64d3abd790ff" userProvider="AD" userName="PERERA, Marcus"/>
        <t:Anchor>
          <t:Comment id="1359889427"/>
        </t:Anchor>
        <t:Assign userId="S::Jason.Bloomfield@health.gov.au::da965f90-1c89-41cb-8e35-63cafb8b029d" userProvider="AD" userName="BLOOMFIELD, Jason"/>
      </t:Event>
      <t:Event id="{88AEBFF0-3ABC-46A4-BC8C-F3C8F511CA36}" time="2023-06-14T00:47:12.547Z">
        <t:Attribution userId="S::marcus.perera@health.gov.au::752a351a-714b-4bdb-99ee-64d3abd790ff" userProvider="AD" userName="PERERA, Marcus"/>
        <t:Anchor>
          <t:Comment id="1359889427"/>
        </t:Anchor>
        <t:SetTitle title="Hi @BLOOMFIELD, Jason can you please change the 2021-22 Combination percentage to 21% so that it totals to 100%. Thanks :)"/>
      </t:Event>
    </t:History>
  </t:Task>
  <t:Task id="{406C345D-E030-4A20-B357-2912A7DE1B25}">
    <t:Anchor>
      <t:Comment id="673998800"/>
    </t:Anchor>
    <t:History>
      <t:Event id="{8445D506-CA0F-4DE1-B4A2-F40C52F2627F}" time="2023-06-13T01:49:48.231Z">
        <t:Attribution userId="S::leah.deng@health.gov.au::7718ec30-7bbc-481b-9b24-1000efea551e" userProvider="AD" userName="DENG, Leah"/>
        <t:Anchor>
          <t:Comment id="1360463565"/>
        </t:Anchor>
        <t:Create/>
      </t:Event>
      <t:Event id="{BFB5F984-15AC-41A7-AF50-4AD495485709}" time="2023-06-13T01:49:48.231Z">
        <t:Attribution userId="S::leah.deng@health.gov.au::7718ec30-7bbc-481b-9b24-1000efea551e" userProvider="AD" userName="DENG, Leah"/>
        <t:Anchor>
          <t:Comment id="1360463565"/>
        </t:Anchor>
        <t:Assign userId="S::Jason.Bloomfield@health.gov.au::da965f90-1c89-41cb-8e35-63cafb8b029d" userProvider="AD" userName="BLOOMFIELD, Jason"/>
      </t:Event>
      <t:Event id="{53DEF10B-2D6C-499E-A251-CD25ED5F994B}" time="2023-06-13T01:49:48.231Z">
        <t:Attribution userId="S::leah.deng@health.gov.au::7718ec30-7bbc-481b-9b24-1000efea551e" userProvider="AD" userName="DENG, Leah"/>
        <t:Anchor>
          <t:Comment id="1360463565"/>
        </t:Anchor>
        <t:SetTitle title="@BLOOMFIELD, Jason 661 BDF is still Australian Government funding, so you cannot change the total from 14961.5m to 14300.5m. Please keep it the same as the output file."/>
      </t:Event>
    </t:History>
  </t:Task>
  <t:Task id="{0AF91661-3EE7-4770-8BEE-92305E4CF629}">
    <t:Anchor>
      <t:Comment id="675147716"/>
    </t:Anchor>
    <t:History>
      <t:Event id="{D8493053-9961-473D-8344-113B9FD8F17B}" time="2023-06-26T07:18:18.846Z">
        <t:Attribution userId="S::leah.deng@health.gov.au::7718ec30-7bbc-481b-9b24-1000efea551e" userProvider="AD" userName="DENG, Leah"/>
        <t:Anchor>
          <t:Comment id="418455404"/>
        </t:Anchor>
        <t:Create/>
      </t:Event>
      <t:Event id="{6F8FAFF0-1DD7-4F5B-810F-96B41F3509E4}" time="2023-06-26T07:18:18.846Z">
        <t:Attribution userId="S::leah.deng@health.gov.au::7718ec30-7bbc-481b-9b24-1000efea551e" userProvider="AD" userName="DENG, Leah"/>
        <t:Anchor>
          <t:Comment id="418455404"/>
        </t:Anchor>
        <t:Assign userId="S::Eleanor.BROWNE@Health.gov.au::b5d3d1fc-c463-4585-89b2-42b39fdddb48" userProvider="AD" userName="BROWNE, Eleanor"/>
      </t:Event>
      <t:Event id="{0F82C863-0ACF-46A4-AB9B-72DDAF9A915B}" time="2023-06-26T07:18:18.846Z">
        <t:Attribution userId="S::leah.deng@health.gov.au::7718ec30-7bbc-481b-9b24-1000efea551e" userProvider="AD" userName="DENG, Leah"/>
        <t:Anchor>
          <t:Comment id="418455404"/>
        </t:Anchor>
        <t:SetTitle title="@BROWNE, Eleanor It means provider only run one home care service. A home care provider will have multiple services, just like Residential. They may use the service (or the branch) office address as a location, although they may serve recipients living …"/>
      </t:Event>
    </t:History>
  </t:Task>
  <t:Task id="{080474A6-3153-4CC2-9746-91EE3AFD9E68}">
    <t:Anchor>
      <t:Comment id="824196154"/>
    </t:Anchor>
    <t:History>
      <t:Event id="{6A31623A-9D50-441D-89B8-EABFDA9FE22D}" time="2023-06-15T22:36:50.432Z">
        <t:Attribution userId="S::paul.linden@health.gov.au::e09ab765-6be0-4adc-80ef-370e529edfa4" userProvider="AD" userName="LINDEN, Paul"/>
        <t:Anchor>
          <t:Comment id="824196154"/>
        </t:Anchor>
        <t:Create/>
      </t:Event>
      <t:Event id="{99A30CFC-7657-4F05-9C0A-1D068690ECBA}" time="2023-06-15T22:36:50.432Z">
        <t:Attribution userId="S::paul.linden@health.gov.au::e09ab765-6be0-4adc-80ef-370e529edfa4" userProvider="AD" userName="LINDEN, Paul"/>
        <t:Anchor>
          <t:Comment id="824196154"/>
        </t:Anchor>
        <t:Assign userId="S::Edwina.MCCULLOCH@Health.gov.au::44a8ed97-0947-45a7-b4f4-af172576add2" userProvider="AD" userName="MCCULLOCH, Edwina"/>
      </t:Event>
      <t:Event id="{5857F18F-EC1D-4A32-B4FF-E8DA4EE98DFB}" time="2023-06-15T22:36:50.432Z">
        <t:Attribution userId="S::paul.linden@health.gov.au::e09ab765-6be0-4adc-80ef-370e529edfa4" userProvider="AD" userName="LINDEN, Paul"/>
        <t:Anchor>
          <t:Comment id="824196154"/>
        </t:Anchor>
        <t:SetTitle title="@MCCULLOCH, Edwina suggest you get some words from Dave Monahan's team on this one - to explain that we haven't done an ACAR for a few years and as such haven't allocated any provisional places - which would explain some of the decrease which will …"/>
      </t:Event>
    </t:History>
  </t:Task>
  <t:Task id="{DDE71690-2949-440E-B9D9-D59B981F0B84}">
    <t:Anchor>
      <t:Comment id="675578428"/>
    </t:Anchor>
    <t:History>
      <t:Event id="{1F5D46A9-52EE-4CF3-B6A7-E2EA9B5A3266}" time="2023-06-27T04:01:25.801Z">
        <t:Attribution userId="S::leah.deng@health.gov.au::7718ec30-7bbc-481b-9b24-1000efea551e" userProvider="AD" userName="DENG, Leah"/>
        <t:Anchor>
          <t:Comment id="514999248"/>
        </t:Anchor>
        <t:Create/>
      </t:Event>
      <t:Event id="{92E52EDA-D742-433A-9FD8-4AC1890692D4}" time="2023-06-27T04:01:25.801Z">
        <t:Attribution userId="S::leah.deng@health.gov.au::7718ec30-7bbc-481b-9b24-1000efea551e" userProvider="AD" userName="DENG, Leah"/>
        <t:Anchor>
          <t:Comment id="514999248"/>
        </t:Anchor>
        <t:Assign userId="S::Eleanor.BROWNE@Health.gov.au::b5d3d1fc-c463-4585-89b2-42b39fdddb48" userProvider="AD" userName="BROWNE, Eleanor"/>
      </t:Event>
      <t:Event id="{B1076646-623E-4E1B-9E6B-490D2FA8B5D8}" time="2023-06-27T04:01:25.801Z">
        <t:Attribution userId="S::leah.deng@health.gov.au::7718ec30-7bbc-481b-9b24-1000efea551e" userProvider="AD" userName="DENG, Leah"/>
        <t:Anchor>
          <t:Comment id="514999248"/>
        </t:Anchor>
        <t:SetTitle title="@BROWNE, Eleanor this is the bed licence write off. Previously a provider will be given the number of beds by the Dept. The concept is a bit like Taxi license. It is treated as Asset on balance sheet. The removal of ACAR means the bed licences for aged …"/>
      </t:Event>
    </t:History>
  </t:Task>
  <t:Task id="{1F57380E-F937-48CB-B0DD-B7358487DF1A}">
    <t:Anchor>
      <t:Comment id="675562357"/>
    </t:Anchor>
    <t:History>
      <t:Event id="{2D087017-FD89-4132-9A52-588D483155F1}" time="2023-06-27T04:10:52.203Z">
        <t:Attribution userId="S::leah.deng@health.gov.au::7718ec30-7bbc-481b-9b24-1000efea551e" userProvider="AD" userName="DENG, Leah"/>
        <t:Anchor>
          <t:Comment id="1469956613"/>
        </t:Anchor>
        <t:Create/>
      </t:Event>
      <t:Event id="{04DBD476-4A80-4B81-B33B-B9C02CB8324D}" time="2023-06-27T04:10:52.203Z">
        <t:Attribution userId="S::leah.deng@health.gov.au::7718ec30-7bbc-481b-9b24-1000efea551e" userProvider="AD" userName="DENG, Leah"/>
        <t:Anchor>
          <t:Comment id="1469956613"/>
        </t:Anchor>
        <t:Assign userId="S::Eleanor.BROWNE@Health.gov.au::b5d3d1fc-c463-4585-89b2-42b39fdddb48" userProvider="AD" userName="BROWNE, Eleanor"/>
      </t:Event>
      <t:Event id="{F1F5A72E-1FE3-40DB-8F63-6AC51739034C}" time="2023-06-27T04:10:52.203Z">
        <t:Attribution userId="S::leah.deng@health.gov.au::7718ec30-7bbc-481b-9b24-1000efea551e" userProvider="AD" userName="DENG, Leah"/>
        <t:Anchor>
          <t:Comment id="1469956613"/>
        </t:Anchor>
        <t:SetTitle title="@BROWNE, Eleanor @BLOOMFIELD, Jason yes, the increase if mainly the BDF, which is $9.63. Although Covid funding is less than 2021, Resident income and other revenue made up the loss."/>
      </t:Event>
    </t:History>
  </t:Task>
</t:Tasks>
</file>

<file path=word/drawings/drawing1.xml><?xml version="1.0" encoding="utf-8"?>
<c:userShapes xmlns:c="http://schemas.openxmlformats.org/drawingml/2006/chart">
  <cdr:relSizeAnchor xmlns:cdr="http://schemas.openxmlformats.org/drawingml/2006/chartDrawing">
    <cdr:from>
      <cdr:x>0.22504</cdr:x>
      <cdr:y>0.38735</cdr:y>
    </cdr:from>
    <cdr:to>
      <cdr:x>0.40143</cdr:x>
      <cdr:y>0.66267</cdr:y>
    </cdr:to>
    <cdr:sp macro="" textlink="">
      <cdr:nvSpPr>
        <cdr:cNvPr id="2" name="TextBox 1"/>
        <cdr:cNvSpPr txBox="1"/>
      </cdr:nvSpPr>
      <cdr:spPr>
        <a:xfrm xmlns:a="http://schemas.openxmlformats.org/drawingml/2006/main">
          <a:off x="1289755" y="1394445"/>
          <a:ext cx="1010927" cy="991152"/>
        </a:xfrm>
        <a:prstGeom xmlns:a="http://schemas.openxmlformats.org/drawingml/2006/main" prst="rect">
          <a:avLst/>
        </a:prstGeom>
        <a:ln xmlns:a="http://schemas.openxmlformats.org/drawingml/2006/main">
          <a:no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AU" sz="1100" b="0">
              <a:latin typeface="Arial" panose="020B0604020202020204" pitchFamily="34" charset="0"/>
              <a:cs typeface="Arial" panose="020B0604020202020204" pitchFamily="34" charset="0"/>
            </a:rPr>
            <a:t>Total</a:t>
          </a:r>
          <a:r>
            <a:rPr lang="en-AU" sz="1100" b="0" baseline="0">
              <a:latin typeface="Arial" panose="020B0604020202020204" pitchFamily="34" charset="0"/>
              <a:cs typeface="Arial" panose="020B0604020202020204" pitchFamily="34" charset="0"/>
            </a:rPr>
            <a:t> Australian Government  </a:t>
          </a:r>
        </a:p>
        <a:p xmlns:a="http://schemas.openxmlformats.org/drawingml/2006/main">
          <a:pPr algn="ctr"/>
          <a:r>
            <a:rPr lang="en-AU" sz="1100" b="0" baseline="0">
              <a:latin typeface="Arial" panose="020B0604020202020204" pitchFamily="34" charset="0"/>
              <a:cs typeface="Arial" panose="020B0604020202020204" pitchFamily="34" charset="0"/>
            </a:rPr>
            <a:t>2021-22 </a:t>
          </a:r>
        </a:p>
        <a:p xmlns:a="http://schemas.openxmlformats.org/drawingml/2006/main">
          <a:pPr algn="ctr"/>
          <a:r>
            <a:rPr lang="en-AU" sz="1100" b="1" baseline="0">
              <a:solidFill>
                <a:sysClr val="windowText" lastClr="000000"/>
              </a:solidFill>
              <a:latin typeface="Arial" panose="020B0604020202020204" pitchFamily="34" charset="0"/>
              <a:cs typeface="Arial" panose="020B0604020202020204" pitchFamily="34" charset="0"/>
            </a:rPr>
            <a:t>$14,961.50</a:t>
          </a:r>
        </a:p>
      </cdr:txBody>
    </cdr:sp>
  </cdr:relSizeAnchor>
</c:userShapes>
</file>

<file path=word/drawings/drawing2.xml><?xml version="1.0" encoding="utf-8"?>
<c:userShapes xmlns:c="http://schemas.openxmlformats.org/drawingml/2006/chart">
  <cdr:relSizeAnchor xmlns:cdr="http://schemas.openxmlformats.org/drawingml/2006/chartDrawing">
    <cdr:from>
      <cdr:x>0.21474</cdr:x>
      <cdr:y>0.32166</cdr:y>
    </cdr:from>
    <cdr:to>
      <cdr:x>0.39938</cdr:x>
      <cdr:y>0.58024</cdr:y>
    </cdr:to>
    <cdr:sp macro="" textlink="">
      <cdr:nvSpPr>
        <cdr:cNvPr id="3" name="TextBox 2"/>
        <cdr:cNvSpPr txBox="1"/>
      </cdr:nvSpPr>
      <cdr:spPr>
        <a:xfrm xmlns:a="http://schemas.openxmlformats.org/drawingml/2006/main">
          <a:off x="1230702" y="1157988"/>
          <a:ext cx="1058208" cy="930888"/>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n-AU" sz="1100" b="0">
              <a:solidFill>
                <a:sysClr val="windowText" lastClr="000000"/>
              </a:solidFill>
              <a:latin typeface="Arial" panose="020B0604020202020204" pitchFamily="34" charset="0"/>
              <a:cs typeface="Arial" panose="020B0604020202020204" pitchFamily="34" charset="0"/>
            </a:rPr>
            <a:t>Total</a:t>
          </a:r>
          <a:r>
            <a:rPr lang="en-AU" sz="1100" b="0" baseline="0">
              <a:solidFill>
                <a:sysClr val="windowText" lastClr="000000"/>
              </a:solidFill>
              <a:latin typeface="Arial" panose="020B0604020202020204" pitchFamily="34" charset="0"/>
              <a:cs typeface="Arial" panose="020B0604020202020204" pitchFamily="34" charset="0"/>
            </a:rPr>
            <a:t> revenue </a:t>
          </a:r>
        </a:p>
        <a:p xmlns:a="http://schemas.openxmlformats.org/drawingml/2006/main">
          <a:pPr algn="ctr"/>
          <a:r>
            <a:rPr lang="en-AU" sz="1100" b="0" baseline="0">
              <a:solidFill>
                <a:sysClr val="windowText" lastClr="000000"/>
              </a:solidFill>
              <a:latin typeface="Arial" panose="020B0604020202020204" pitchFamily="34" charset="0"/>
              <a:cs typeface="Arial" panose="020B0604020202020204" pitchFamily="34" charset="0"/>
            </a:rPr>
            <a:t>2021-22</a:t>
          </a:r>
        </a:p>
        <a:p xmlns:a="http://schemas.openxmlformats.org/drawingml/2006/main">
          <a:pPr algn="ctr"/>
          <a:r>
            <a:rPr lang="en-AU" sz="1100" b="1" baseline="0">
              <a:solidFill>
                <a:sysClr val="windowText" lastClr="000000"/>
              </a:solidFill>
              <a:latin typeface="Arial" panose="020B0604020202020204" pitchFamily="34" charset="0"/>
              <a:cs typeface="Arial" panose="020B0604020202020204" pitchFamily="34" charset="0"/>
            </a:rPr>
            <a:t>$22,074.5</a:t>
          </a:r>
          <a:endParaRPr lang="en-AU" sz="1100" b="1">
            <a:solidFill>
              <a:sysClr val="windowText" lastClr="000000"/>
            </a:solidFill>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Department of health FRAACS colours">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6208BD6886DC48A8060F2792743D50" ma:contentTypeVersion="7" ma:contentTypeDescription="Create a new document." ma:contentTypeScope="" ma:versionID="ceb35bfe627182eab214973b6a421374">
  <xsd:schema xmlns:xsd="http://www.w3.org/2001/XMLSchema" xmlns:xs="http://www.w3.org/2001/XMLSchema" xmlns:p="http://schemas.microsoft.com/office/2006/metadata/properties" xmlns:ns2="e2b8796e-9625-4627-9d6d-0cf9fa56f928" xmlns:ns3="28507165-b82b-4d23-9ec5-cda0339a2bbf" targetNamespace="http://schemas.microsoft.com/office/2006/metadata/properties" ma:root="true" ma:fieldsID="cc719e4995a69a788a19bdfda0fa5d76" ns2:_="" ns3:_="">
    <xsd:import namespace="e2b8796e-9625-4627-9d6d-0cf9fa56f928"/>
    <xsd:import namespace="28507165-b82b-4d23-9ec5-cda0339a2bb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b8796e-9625-4627-9d6d-0cf9fa56f9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8507165-b82b-4d23-9ec5-cda0339a2bb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SharedWithUsers xmlns="28507165-b82b-4d23-9ec5-cda0339a2bbf">
      <UserInfo>
        <DisplayName>BLOOMFIELD, Jason</DisplayName>
        <AccountId>28</AccountId>
        <AccountType/>
      </UserInfo>
      <UserInfo>
        <DisplayName>ARNOLD, Timothy</DisplayName>
        <AccountId>41</AccountId>
        <AccountType/>
      </UserInfo>
      <UserInfo>
        <DisplayName>FLINT-PETERSON, Eamon</DisplayName>
        <AccountId>155</AccountId>
        <AccountType/>
      </UserInfo>
      <UserInfo>
        <DisplayName>DENG, Leah</DisplayName>
        <AccountId>50</AccountId>
        <AccountType/>
      </UserInfo>
      <UserInfo>
        <DisplayName>ACHARYA, Pranab</DisplayName>
        <AccountId>44</AccountId>
        <AccountType/>
      </UserInfo>
      <UserInfo>
        <DisplayName>BOWD, Jarrod</DisplayName>
        <AccountId>95</AccountId>
        <AccountType/>
      </UserInfo>
      <UserInfo>
        <DisplayName>LALJI, Priyanka</DisplayName>
        <AccountId>209</AccountId>
        <AccountType/>
      </UserInfo>
      <UserInfo>
        <DisplayName>MORISON, Anna</DisplayName>
        <AccountId>170</AccountId>
        <AccountType/>
      </UserInfo>
      <UserInfo>
        <DisplayName>STRAPP, Eliza</DisplayName>
        <AccountId>112</AccountId>
        <AccountType/>
      </UserInfo>
      <UserInfo>
        <DisplayName>HARTLAND, Nicholas</DisplayName>
        <AccountId>113</AccountId>
        <AccountType/>
      </UserInfo>
      <UserInfo>
        <DisplayName>GARRETT, Trish</DisplayName>
        <AccountId>214</AccountId>
        <AccountType/>
      </UserInfo>
      <UserInfo>
        <DisplayName>HUSBAND, Kate</DisplayName>
        <AccountId>82</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4F1DB59-E260-48B0-AEA0-BD70392A6E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2b8796e-9625-4627-9d6d-0cf9fa56f928"/>
    <ds:schemaRef ds:uri="28507165-b82b-4d23-9ec5-cda0339a2b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3.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28507165-b82b-4d23-9ec5-cda0339a2bbf"/>
  </ds:schemaRefs>
</ds:datastoreItem>
</file>

<file path=customXml/itemProps4.xml><?xml version="1.0" encoding="utf-8"?>
<ds:datastoreItem xmlns:ds="http://schemas.openxmlformats.org/officeDocument/2006/customXml" ds:itemID="{3BFCAFB5-863C-4C24-ACB5-1626D6CA35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AGED_CARE_A4_REPORT_TEAL.dotx</Template>
  <TotalTime>0</TotalTime>
  <Pages>144</Pages>
  <Words>30241</Words>
  <Characters>166798</Characters>
  <Application>Microsoft Office Word</Application>
  <DocSecurity>0</DocSecurity>
  <Lines>8096</Lines>
  <Paragraphs>5507</Paragraphs>
  <ScaleCrop>false</ScaleCrop>
  <HeadingPairs>
    <vt:vector size="2" baseType="variant">
      <vt:variant>
        <vt:lpstr>Title</vt:lpstr>
      </vt:variant>
      <vt:variant>
        <vt:i4>1</vt:i4>
      </vt:variant>
    </vt:vector>
  </HeadingPairs>
  <TitlesOfParts>
    <vt:vector size="1" baseType="lpstr">
      <vt:lpstr>Department of Health and Aged Care-</vt:lpstr>
    </vt:vector>
  </TitlesOfParts>
  <Manager/>
  <Company>Department of Health and Aged Care</Company>
  <LinksUpToDate>false</LinksUpToDate>
  <CharactersWithSpaces>193007</CharactersWithSpaces>
  <SharedDoc>false</SharedDoc>
  <HyperlinkBase/>
  <HLinks>
    <vt:vector size="822" baseType="variant">
      <vt:variant>
        <vt:i4>1048624</vt:i4>
      </vt:variant>
      <vt:variant>
        <vt:i4>1649</vt:i4>
      </vt:variant>
      <vt:variant>
        <vt:i4>0</vt:i4>
      </vt:variant>
      <vt:variant>
        <vt:i4>5</vt:i4>
      </vt:variant>
      <vt:variant>
        <vt:lpwstr/>
      </vt:variant>
      <vt:variant>
        <vt:lpwstr>_Toc141271702</vt:lpwstr>
      </vt:variant>
      <vt:variant>
        <vt:i4>1048624</vt:i4>
      </vt:variant>
      <vt:variant>
        <vt:i4>1643</vt:i4>
      </vt:variant>
      <vt:variant>
        <vt:i4>0</vt:i4>
      </vt:variant>
      <vt:variant>
        <vt:i4>5</vt:i4>
      </vt:variant>
      <vt:variant>
        <vt:lpwstr/>
      </vt:variant>
      <vt:variant>
        <vt:lpwstr>_Toc141271701</vt:lpwstr>
      </vt:variant>
      <vt:variant>
        <vt:i4>1048624</vt:i4>
      </vt:variant>
      <vt:variant>
        <vt:i4>1634</vt:i4>
      </vt:variant>
      <vt:variant>
        <vt:i4>0</vt:i4>
      </vt:variant>
      <vt:variant>
        <vt:i4>5</vt:i4>
      </vt:variant>
      <vt:variant>
        <vt:lpwstr/>
      </vt:variant>
      <vt:variant>
        <vt:lpwstr>_Toc141271700</vt:lpwstr>
      </vt:variant>
      <vt:variant>
        <vt:i4>1638449</vt:i4>
      </vt:variant>
      <vt:variant>
        <vt:i4>1628</vt:i4>
      </vt:variant>
      <vt:variant>
        <vt:i4>0</vt:i4>
      </vt:variant>
      <vt:variant>
        <vt:i4>5</vt:i4>
      </vt:variant>
      <vt:variant>
        <vt:lpwstr/>
      </vt:variant>
      <vt:variant>
        <vt:lpwstr>_Toc141271699</vt:lpwstr>
      </vt:variant>
      <vt:variant>
        <vt:i4>1638449</vt:i4>
      </vt:variant>
      <vt:variant>
        <vt:i4>1622</vt:i4>
      </vt:variant>
      <vt:variant>
        <vt:i4>0</vt:i4>
      </vt:variant>
      <vt:variant>
        <vt:i4>5</vt:i4>
      </vt:variant>
      <vt:variant>
        <vt:lpwstr/>
      </vt:variant>
      <vt:variant>
        <vt:lpwstr>_Toc141271698</vt:lpwstr>
      </vt:variant>
      <vt:variant>
        <vt:i4>1638449</vt:i4>
      </vt:variant>
      <vt:variant>
        <vt:i4>1616</vt:i4>
      </vt:variant>
      <vt:variant>
        <vt:i4>0</vt:i4>
      </vt:variant>
      <vt:variant>
        <vt:i4>5</vt:i4>
      </vt:variant>
      <vt:variant>
        <vt:lpwstr/>
      </vt:variant>
      <vt:variant>
        <vt:lpwstr>_Toc141271697</vt:lpwstr>
      </vt:variant>
      <vt:variant>
        <vt:i4>1638449</vt:i4>
      </vt:variant>
      <vt:variant>
        <vt:i4>1610</vt:i4>
      </vt:variant>
      <vt:variant>
        <vt:i4>0</vt:i4>
      </vt:variant>
      <vt:variant>
        <vt:i4>5</vt:i4>
      </vt:variant>
      <vt:variant>
        <vt:lpwstr/>
      </vt:variant>
      <vt:variant>
        <vt:lpwstr>_Toc141271696</vt:lpwstr>
      </vt:variant>
      <vt:variant>
        <vt:i4>1638449</vt:i4>
      </vt:variant>
      <vt:variant>
        <vt:i4>1604</vt:i4>
      </vt:variant>
      <vt:variant>
        <vt:i4>0</vt:i4>
      </vt:variant>
      <vt:variant>
        <vt:i4>5</vt:i4>
      </vt:variant>
      <vt:variant>
        <vt:lpwstr/>
      </vt:variant>
      <vt:variant>
        <vt:lpwstr>_Toc141271695</vt:lpwstr>
      </vt:variant>
      <vt:variant>
        <vt:i4>1638449</vt:i4>
      </vt:variant>
      <vt:variant>
        <vt:i4>1598</vt:i4>
      </vt:variant>
      <vt:variant>
        <vt:i4>0</vt:i4>
      </vt:variant>
      <vt:variant>
        <vt:i4>5</vt:i4>
      </vt:variant>
      <vt:variant>
        <vt:lpwstr/>
      </vt:variant>
      <vt:variant>
        <vt:lpwstr>_Toc141271694</vt:lpwstr>
      </vt:variant>
      <vt:variant>
        <vt:i4>1638449</vt:i4>
      </vt:variant>
      <vt:variant>
        <vt:i4>1592</vt:i4>
      </vt:variant>
      <vt:variant>
        <vt:i4>0</vt:i4>
      </vt:variant>
      <vt:variant>
        <vt:i4>5</vt:i4>
      </vt:variant>
      <vt:variant>
        <vt:lpwstr/>
      </vt:variant>
      <vt:variant>
        <vt:lpwstr>_Toc141271693</vt:lpwstr>
      </vt:variant>
      <vt:variant>
        <vt:i4>1638449</vt:i4>
      </vt:variant>
      <vt:variant>
        <vt:i4>1586</vt:i4>
      </vt:variant>
      <vt:variant>
        <vt:i4>0</vt:i4>
      </vt:variant>
      <vt:variant>
        <vt:i4>5</vt:i4>
      </vt:variant>
      <vt:variant>
        <vt:lpwstr/>
      </vt:variant>
      <vt:variant>
        <vt:lpwstr>_Toc141271692</vt:lpwstr>
      </vt:variant>
      <vt:variant>
        <vt:i4>1638449</vt:i4>
      </vt:variant>
      <vt:variant>
        <vt:i4>1580</vt:i4>
      </vt:variant>
      <vt:variant>
        <vt:i4>0</vt:i4>
      </vt:variant>
      <vt:variant>
        <vt:i4>5</vt:i4>
      </vt:variant>
      <vt:variant>
        <vt:lpwstr/>
      </vt:variant>
      <vt:variant>
        <vt:lpwstr>_Toc141271691</vt:lpwstr>
      </vt:variant>
      <vt:variant>
        <vt:i4>1638449</vt:i4>
      </vt:variant>
      <vt:variant>
        <vt:i4>1574</vt:i4>
      </vt:variant>
      <vt:variant>
        <vt:i4>0</vt:i4>
      </vt:variant>
      <vt:variant>
        <vt:i4>5</vt:i4>
      </vt:variant>
      <vt:variant>
        <vt:lpwstr/>
      </vt:variant>
      <vt:variant>
        <vt:lpwstr>_Toc141271690</vt:lpwstr>
      </vt:variant>
      <vt:variant>
        <vt:i4>1572913</vt:i4>
      </vt:variant>
      <vt:variant>
        <vt:i4>1568</vt:i4>
      </vt:variant>
      <vt:variant>
        <vt:i4>0</vt:i4>
      </vt:variant>
      <vt:variant>
        <vt:i4>5</vt:i4>
      </vt:variant>
      <vt:variant>
        <vt:lpwstr/>
      </vt:variant>
      <vt:variant>
        <vt:lpwstr>_Toc141271689</vt:lpwstr>
      </vt:variant>
      <vt:variant>
        <vt:i4>1572913</vt:i4>
      </vt:variant>
      <vt:variant>
        <vt:i4>1562</vt:i4>
      </vt:variant>
      <vt:variant>
        <vt:i4>0</vt:i4>
      </vt:variant>
      <vt:variant>
        <vt:i4>5</vt:i4>
      </vt:variant>
      <vt:variant>
        <vt:lpwstr/>
      </vt:variant>
      <vt:variant>
        <vt:lpwstr>_Toc141271688</vt:lpwstr>
      </vt:variant>
      <vt:variant>
        <vt:i4>1572913</vt:i4>
      </vt:variant>
      <vt:variant>
        <vt:i4>1556</vt:i4>
      </vt:variant>
      <vt:variant>
        <vt:i4>0</vt:i4>
      </vt:variant>
      <vt:variant>
        <vt:i4>5</vt:i4>
      </vt:variant>
      <vt:variant>
        <vt:lpwstr/>
      </vt:variant>
      <vt:variant>
        <vt:lpwstr>_Toc141271687</vt:lpwstr>
      </vt:variant>
      <vt:variant>
        <vt:i4>1572913</vt:i4>
      </vt:variant>
      <vt:variant>
        <vt:i4>1550</vt:i4>
      </vt:variant>
      <vt:variant>
        <vt:i4>0</vt:i4>
      </vt:variant>
      <vt:variant>
        <vt:i4>5</vt:i4>
      </vt:variant>
      <vt:variant>
        <vt:lpwstr/>
      </vt:variant>
      <vt:variant>
        <vt:lpwstr>_Toc141271686</vt:lpwstr>
      </vt:variant>
      <vt:variant>
        <vt:i4>1572913</vt:i4>
      </vt:variant>
      <vt:variant>
        <vt:i4>1544</vt:i4>
      </vt:variant>
      <vt:variant>
        <vt:i4>0</vt:i4>
      </vt:variant>
      <vt:variant>
        <vt:i4>5</vt:i4>
      </vt:variant>
      <vt:variant>
        <vt:lpwstr/>
      </vt:variant>
      <vt:variant>
        <vt:lpwstr>_Toc141271685</vt:lpwstr>
      </vt:variant>
      <vt:variant>
        <vt:i4>1572913</vt:i4>
      </vt:variant>
      <vt:variant>
        <vt:i4>1538</vt:i4>
      </vt:variant>
      <vt:variant>
        <vt:i4>0</vt:i4>
      </vt:variant>
      <vt:variant>
        <vt:i4>5</vt:i4>
      </vt:variant>
      <vt:variant>
        <vt:lpwstr/>
      </vt:variant>
      <vt:variant>
        <vt:lpwstr>_Toc141271684</vt:lpwstr>
      </vt:variant>
      <vt:variant>
        <vt:i4>1572913</vt:i4>
      </vt:variant>
      <vt:variant>
        <vt:i4>1532</vt:i4>
      </vt:variant>
      <vt:variant>
        <vt:i4>0</vt:i4>
      </vt:variant>
      <vt:variant>
        <vt:i4>5</vt:i4>
      </vt:variant>
      <vt:variant>
        <vt:lpwstr/>
      </vt:variant>
      <vt:variant>
        <vt:lpwstr>_Toc141271683</vt:lpwstr>
      </vt:variant>
      <vt:variant>
        <vt:i4>1572913</vt:i4>
      </vt:variant>
      <vt:variant>
        <vt:i4>1526</vt:i4>
      </vt:variant>
      <vt:variant>
        <vt:i4>0</vt:i4>
      </vt:variant>
      <vt:variant>
        <vt:i4>5</vt:i4>
      </vt:variant>
      <vt:variant>
        <vt:lpwstr/>
      </vt:variant>
      <vt:variant>
        <vt:lpwstr>_Toc141271682</vt:lpwstr>
      </vt:variant>
      <vt:variant>
        <vt:i4>1572913</vt:i4>
      </vt:variant>
      <vt:variant>
        <vt:i4>1520</vt:i4>
      </vt:variant>
      <vt:variant>
        <vt:i4>0</vt:i4>
      </vt:variant>
      <vt:variant>
        <vt:i4>5</vt:i4>
      </vt:variant>
      <vt:variant>
        <vt:lpwstr/>
      </vt:variant>
      <vt:variant>
        <vt:lpwstr>_Toc141271681</vt:lpwstr>
      </vt:variant>
      <vt:variant>
        <vt:i4>1572913</vt:i4>
      </vt:variant>
      <vt:variant>
        <vt:i4>1514</vt:i4>
      </vt:variant>
      <vt:variant>
        <vt:i4>0</vt:i4>
      </vt:variant>
      <vt:variant>
        <vt:i4>5</vt:i4>
      </vt:variant>
      <vt:variant>
        <vt:lpwstr/>
      </vt:variant>
      <vt:variant>
        <vt:lpwstr>_Toc141271680</vt:lpwstr>
      </vt:variant>
      <vt:variant>
        <vt:i4>1507377</vt:i4>
      </vt:variant>
      <vt:variant>
        <vt:i4>1508</vt:i4>
      </vt:variant>
      <vt:variant>
        <vt:i4>0</vt:i4>
      </vt:variant>
      <vt:variant>
        <vt:i4>5</vt:i4>
      </vt:variant>
      <vt:variant>
        <vt:lpwstr/>
      </vt:variant>
      <vt:variant>
        <vt:lpwstr>_Toc141271679</vt:lpwstr>
      </vt:variant>
      <vt:variant>
        <vt:i4>1507377</vt:i4>
      </vt:variant>
      <vt:variant>
        <vt:i4>1502</vt:i4>
      </vt:variant>
      <vt:variant>
        <vt:i4>0</vt:i4>
      </vt:variant>
      <vt:variant>
        <vt:i4>5</vt:i4>
      </vt:variant>
      <vt:variant>
        <vt:lpwstr/>
      </vt:variant>
      <vt:variant>
        <vt:lpwstr>_Toc141271678</vt:lpwstr>
      </vt:variant>
      <vt:variant>
        <vt:i4>1507377</vt:i4>
      </vt:variant>
      <vt:variant>
        <vt:i4>1496</vt:i4>
      </vt:variant>
      <vt:variant>
        <vt:i4>0</vt:i4>
      </vt:variant>
      <vt:variant>
        <vt:i4>5</vt:i4>
      </vt:variant>
      <vt:variant>
        <vt:lpwstr/>
      </vt:variant>
      <vt:variant>
        <vt:lpwstr>_Toc141271677</vt:lpwstr>
      </vt:variant>
      <vt:variant>
        <vt:i4>1507377</vt:i4>
      </vt:variant>
      <vt:variant>
        <vt:i4>1490</vt:i4>
      </vt:variant>
      <vt:variant>
        <vt:i4>0</vt:i4>
      </vt:variant>
      <vt:variant>
        <vt:i4>5</vt:i4>
      </vt:variant>
      <vt:variant>
        <vt:lpwstr/>
      </vt:variant>
      <vt:variant>
        <vt:lpwstr>_Toc141271676</vt:lpwstr>
      </vt:variant>
      <vt:variant>
        <vt:i4>1507377</vt:i4>
      </vt:variant>
      <vt:variant>
        <vt:i4>1481</vt:i4>
      </vt:variant>
      <vt:variant>
        <vt:i4>0</vt:i4>
      </vt:variant>
      <vt:variant>
        <vt:i4>5</vt:i4>
      </vt:variant>
      <vt:variant>
        <vt:lpwstr/>
      </vt:variant>
      <vt:variant>
        <vt:lpwstr>_Toc141271675</vt:lpwstr>
      </vt:variant>
      <vt:variant>
        <vt:i4>1507377</vt:i4>
      </vt:variant>
      <vt:variant>
        <vt:i4>1475</vt:i4>
      </vt:variant>
      <vt:variant>
        <vt:i4>0</vt:i4>
      </vt:variant>
      <vt:variant>
        <vt:i4>5</vt:i4>
      </vt:variant>
      <vt:variant>
        <vt:lpwstr/>
      </vt:variant>
      <vt:variant>
        <vt:lpwstr>_Toc141271674</vt:lpwstr>
      </vt:variant>
      <vt:variant>
        <vt:i4>1507377</vt:i4>
      </vt:variant>
      <vt:variant>
        <vt:i4>1469</vt:i4>
      </vt:variant>
      <vt:variant>
        <vt:i4>0</vt:i4>
      </vt:variant>
      <vt:variant>
        <vt:i4>5</vt:i4>
      </vt:variant>
      <vt:variant>
        <vt:lpwstr/>
      </vt:variant>
      <vt:variant>
        <vt:lpwstr>_Toc141271673</vt:lpwstr>
      </vt:variant>
      <vt:variant>
        <vt:i4>1507377</vt:i4>
      </vt:variant>
      <vt:variant>
        <vt:i4>1463</vt:i4>
      </vt:variant>
      <vt:variant>
        <vt:i4>0</vt:i4>
      </vt:variant>
      <vt:variant>
        <vt:i4>5</vt:i4>
      </vt:variant>
      <vt:variant>
        <vt:lpwstr/>
      </vt:variant>
      <vt:variant>
        <vt:lpwstr>_Toc141271672</vt:lpwstr>
      </vt:variant>
      <vt:variant>
        <vt:i4>1507377</vt:i4>
      </vt:variant>
      <vt:variant>
        <vt:i4>1457</vt:i4>
      </vt:variant>
      <vt:variant>
        <vt:i4>0</vt:i4>
      </vt:variant>
      <vt:variant>
        <vt:i4>5</vt:i4>
      </vt:variant>
      <vt:variant>
        <vt:lpwstr/>
      </vt:variant>
      <vt:variant>
        <vt:lpwstr>_Toc141271671</vt:lpwstr>
      </vt:variant>
      <vt:variant>
        <vt:i4>1507377</vt:i4>
      </vt:variant>
      <vt:variant>
        <vt:i4>1451</vt:i4>
      </vt:variant>
      <vt:variant>
        <vt:i4>0</vt:i4>
      </vt:variant>
      <vt:variant>
        <vt:i4>5</vt:i4>
      </vt:variant>
      <vt:variant>
        <vt:lpwstr/>
      </vt:variant>
      <vt:variant>
        <vt:lpwstr>_Toc141271670</vt:lpwstr>
      </vt:variant>
      <vt:variant>
        <vt:i4>1441841</vt:i4>
      </vt:variant>
      <vt:variant>
        <vt:i4>1445</vt:i4>
      </vt:variant>
      <vt:variant>
        <vt:i4>0</vt:i4>
      </vt:variant>
      <vt:variant>
        <vt:i4>5</vt:i4>
      </vt:variant>
      <vt:variant>
        <vt:lpwstr/>
      </vt:variant>
      <vt:variant>
        <vt:lpwstr>_Toc141271669</vt:lpwstr>
      </vt:variant>
      <vt:variant>
        <vt:i4>1441841</vt:i4>
      </vt:variant>
      <vt:variant>
        <vt:i4>1439</vt:i4>
      </vt:variant>
      <vt:variant>
        <vt:i4>0</vt:i4>
      </vt:variant>
      <vt:variant>
        <vt:i4>5</vt:i4>
      </vt:variant>
      <vt:variant>
        <vt:lpwstr/>
      </vt:variant>
      <vt:variant>
        <vt:lpwstr>_Toc141271668</vt:lpwstr>
      </vt:variant>
      <vt:variant>
        <vt:i4>1441841</vt:i4>
      </vt:variant>
      <vt:variant>
        <vt:i4>1433</vt:i4>
      </vt:variant>
      <vt:variant>
        <vt:i4>0</vt:i4>
      </vt:variant>
      <vt:variant>
        <vt:i4>5</vt:i4>
      </vt:variant>
      <vt:variant>
        <vt:lpwstr/>
      </vt:variant>
      <vt:variant>
        <vt:lpwstr>_Toc141271667</vt:lpwstr>
      </vt:variant>
      <vt:variant>
        <vt:i4>1441841</vt:i4>
      </vt:variant>
      <vt:variant>
        <vt:i4>1427</vt:i4>
      </vt:variant>
      <vt:variant>
        <vt:i4>0</vt:i4>
      </vt:variant>
      <vt:variant>
        <vt:i4>5</vt:i4>
      </vt:variant>
      <vt:variant>
        <vt:lpwstr/>
      </vt:variant>
      <vt:variant>
        <vt:lpwstr>_Toc141271666</vt:lpwstr>
      </vt:variant>
      <vt:variant>
        <vt:i4>1441841</vt:i4>
      </vt:variant>
      <vt:variant>
        <vt:i4>1421</vt:i4>
      </vt:variant>
      <vt:variant>
        <vt:i4>0</vt:i4>
      </vt:variant>
      <vt:variant>
        <vt:i4>5</vt:i4>
      </vt:variant>
      <vt:variant>
        <vt:lpwstr/>
      </vt:variant>
      <vt:variant>
        <vt:lpwstr>_Toc141271665</vt:lpwstr>
      </vt:variant>
      <vt:variant>
        <vt:i4>1441841</vt:i4>
      </vt:variant>
      <vt:variant>
        <vt:i4>1415</vt:i4>
      </vt:variant>
      <vt:variant>
        <vt:i4>0</vt:i4>
      </vt:variant>
      <vt:variant>
        <vt:i4>5</vt:i4>
      </vt:variant>
      <vt:variant>
        <vt:lpwstr/>
      </vt:variant>
      <vt:variant>
        <vt:lpwstr>_Toc141271664</vt:lpwstr>
      </vt:variant>
      <vt:variant>
        <vt:i4>1441841</vt:i4>
      </vt:variant>
      <vt:variant>
        <vt:i4>1409</vt:i4>
      </vt:variant>
      <vt:variant>
        <vt:i4>0</vt:i4>
      </vt:variant>
      <vt:variant>
        <vt:i4>5</vt:i4>
      </vt:variant>
      <vt:variant>
        <vt:lpwstr/>
      </vt:variant>
      <vt:variant>
        <vt:lpwstr>_Toc141271663</vt:lpwstr>
      </vt:variant>
      <vt:variant>
        <vt:i4>1441841</vt:i4>
      </vt:variant>
      <vt:variant>
        <vt:i4>1403</vt:i4>
      </vt:variant>
      <vt:variant>
        <vt:i4>0</vt:i4>
      </vt:variant>
      <vt:variant>
        <vt:i4>5</vt:i4>
      </vt:variant>
      <vt:variant>
        <vt:lpwstr/>
      </vt:variant>
      <vt:variant>
        <vt:lpwstr>_Toc141271662</vt:lpwstr>
      </vt:variant>
      <vt:variant>
        <vt:i4>1441841</vt:i4>
      </vt:variant>
      <vt:variant>
        <vt:i4>1397</vt:i4>
      </vt:variant>
      <vt:variant>
        <vt:i4>0</vt:i4>
      </vt:variant>
      <vt:variant>
        <vt:i4>5</vt:i4>
      </vt:variant>
      <vt:variant>
        <vt:lpwstr/>
      </vt:variant>
      <vt:variant>
        <vt:lpwstr>_Toc141271661</vt:lpwstr>
      </vt:variant>
      <vt:variant>
        <vt:i4>1441841</vt:i4>
      </vt:variant>
      <vt:variant>
        <vt:i4>1391</vt:i4>
      </vt:variant>
      <vt:variant>
        <vt:i4>0</vt:i4>
      </vt:variant>
      <vt:variant>
        <vt:i4>5</vt:i4>
      </vt:variant>
      <vt:variant>
        <vt:lpwstr/>
      </vt:variant>
      <vt:variant>
        <vt:lpwstr>_Toc141271660</vt:lpwstr>
      </vt:variant>
      <vt:variant>
        <vt:i4>1376305</vt:i4>
      </vt:variant>
      <vt:variant>
        <vt:i4>1385</vt:i4>
      </vt:variant>
      <vt:variant>
        <vt:i4>0</vt:i4>
      </vt:variant>
      <vt:variant>
        <vt:i4>5</vt:i4>
      </vt:variant>
      <vt:variant>
        <vt:lpwstr/>
      </vt:variant>
      <vt:variant>
        <vt:lpwstr>_Toc141271659</vt:lpwstr>
      </vt:variant>
      <vt:variant>
        <vt:i4>1376305</vt:i4>
      </vt:variant>
      <vt:variant>
        <vt:i4>1379</vt:i4>
      </vt:variant>
      <vt:variant>
        <vt:i4>0</vt:i4>
      </vt:variant>
      <vt:variant>
        <vt:i4>5</vt:i4>
      </vt:variant>
      <vt:variant>
        <vt:lpwstr/>
      </vt:variant>
      <vt:variant>
        <vt:lpwstr>_Toc141271658</vt:lpwstr>
      </vt:variant>
      <vt:variant>
        <vt:i4>1376305</vt:i4>
      </vt:variant>
      <vt:variant>
        <vt:i4>1373</vt:i4>
      </vt:variant>
      <vt:variant>
        <vt:i4>0</vt:i4>
      </vt:variant>
      <vt:variant>
        <vt:i4>5</vt:i4>
      </vt:variant>
      <vt:variant>
        <vt:lpwstr/>
      </vt:variant>
      <vt:variant>
        <vt:lpwstr>_Toc141271657</vt:lpwstr>
      </vt:variant>
      <vt:variant>
        <vt:i4>1376305</vt:i4>
      </vt:variant>
      <vt:variant>
        <vt:i4>1367</vt:i4>
      </vt:variant>
      <vt:variant>
        <vt:i4>0</vt:i4>
      </vt:variant>
      <vt:variant>
        <vt:i4>5</vt:i4>
      </vt:variant>
      <vt:variant>
        <vt:lpwstr/>
      </vt:variant>
      <vt:variant>
        <vt:lpwstr>_Toc141271656</vt:lpwstr>
      </vt:variant>
      <vt:variant>
        <vt:i4>1376305</vt:i4>
      </vt:variant>
      <vt:variant>
        <vt:i4>1361</vt:i4>
      </vt:variant>
      <vt:variant>
        <vt:i4>0</vt:i4>
      </vt:variant>
      <vt:variant>
        <vt:i4>5</vt:i4>
      </vt:variant>
      <vt:variant>
        <vt:lpwstr/>
      </vt:variant>
      <vt:variant>
        <vt:lpwstr>_Toc141271655</vt:lpwstr>
      </vt:variant>
      <vt:variant>
        <vt:i4>1376305</vt:i4>
      </vt:variant>
      <vt:variant>
        <vt:i4>1355</vt:i4>
      </vt:variant>
      <vt:variant>
        <vt:i4>0</vt:i4>
      </vt:variant>
      <vt:variant>
        <vt:i4>5</vt:i4>
      </vt:variant>
      <vt:variant>
        <vt:lpwstr/>
      </vt:variant>
      <vt:variant>
        <vt:lpwstr>_Toc141271654</vt:lpwstr>
      </vt:variant>
      <vt:variant>
        <vt:i4>1376305</vt:i4>
      </vt:variant>
      <vt:variant>
        <vt:i4>1349</vt:i4>
      </vt:variant>
      <vt:variant>
        <vt:i4>0</vt:i4>
      </vt:variant>
      <vt:variant>
        <vt:i4>5</vt:i4>
      </vt:variant>
      <vt:variant>
        <vt:lpwstr/>
      </vt:variant>
      <vt:variant>
        <vt:lpwstr>_Toc141271653</vt:lpwstr>
      </vt:variant>
      <vt:variant>
        <vt:i4>1376305</vt:i4>
      </vt:variant>
      <vt:variant>
        <vt:i4>1343</vt:i4>
      </vt:variant>
      <vt:variant>
        <vt:i4>0</vt:i4>
      </vt:variant>
      <vt:variant>
        <vt:i4>5</vt:i4>
      </vt:variant>
      <vt:variant>
        <vt:lpwstr/>
      </vt:variant>
      <vt:variant>
        <vt:lpwstr>_Toc141271652</vt:lpwstr>
      </vt:variant>
      <vt:variant>
        <vt:i4>1376305</vt:i4>
      </vt:variant>
      <vt:variant>
        <vt:i4>1337</vt:i4>
      </vt:variant>
      <vt:variant>
        <vt:i4>0</vt:i4>
      </vt:variant>
      <vt:variant>
        <vt:i4>5</vt:i4>
      </vt:variant>
      <vt:variant>
        <vt:lpwstr/>
      </vt:variant>
      <vt:variant>
        <vt:lpwstr>_Toc141271651</vt:lpwstr>
      </vt:variant>
      <vt:variant>
        <vt:i4>1376305</vt:i4>
      </vt:variant>
      <vt:variant>
        <vt:i4>1331</vt:i4>
      </vt:variant>
      <vt:variant>
        <vt:i4>0</vt:i4>
      </vt:variant>
      <vt:variant>
        <vt:i4>5</vt:i4>
      </vt:variant>
      <vt:variant>
        <vt:lpwstr/>
      </vt:variant>
      <vt:variant>
        <vt:lpwstr>_Toc141271650</vt:lpwstr>
      </vt:variant>
      <vt:variant>
        <vt:i4>1310769</vt:i4>
      </vt:variant>
      <vt:variant>
        <vt:i4>1325</vt:i4>
      </vt:variant>
      <vt:variant>
        <vt:i4>0</vt:i4>
      </vt:variant>
      <vt:variant>
        <vt:i4>5</vt:i4>
      </vt:variant>
      <vt:variant>
        <vt:lpwstr/>
      </vt:variant>
      <vt:variant>
        <vt:lpwstr>_Toc141271649</vt:lpwstr>
      </vt:variant>
      <vt:variant>
        <vt:i4>1310769</vt:i4>
      </vt:variant>
      <vt:variant>
        <vt:i4>1319</vt:i4>
      </vt:variant>
      <vt:variant>
        <vt:i4>0</vt:i4>
      </vt:variant>
      <vt:variant>
        <vt:i4>5</vt:i4>
      </vt:variant>
      <vt:variant>
        <vt:lpwstr/>
      </vt:variant>
      <vt:variant>
        <vt:lpwstr>_Toc141271648</vt:lpwstr>
      </vt:variant>
      <vt:variant>
        <vt:i4>1310769</vt:i4>
      </vt:variant>
      <vt:variant>
        <vt:i4>1313</vt:i4>
      </vt:variant>
      <vt:variant>
        <vt:i4>0</vt:i4>
      </vt:variant>
      <vt:variant>
        <vt:i4>5</vt:i4>
      </vt:variant>
      <vt:variant>
        <vt:lpwstr/>
      </vt:variant>
      <vt:variant>
        <vt:lpwstr>_Toc141271647</vt:lpwstr>
      </vt:variant>
      <vt:variant>
        <vt:i4>1310769</vt:i4>
      </vt:variant>
      <vt:variant>
        <vt:i4>1307</vt:i4>
      </vt:variant>
      <vt:variant>
        <vt:i4>0</vt:i4>
      </vt:variant>
      <vt:variant>
        <vt:i4>5</vt:i4>
      </vt:variant>
      <vt:variant>
        <vt:lpwstr/>
      </vt:variant>
      <vt:variant>
        <vt:lpwstr>_Toc141271646</vt:lpwstr>
      </vt:variant>
      <vt:variant>
        <vt:i4>1310769</vt:i4>
      </vt:variant>
      <vt:variant>
        <vt:i4>1301</vt:i4>
      </vt:variant>
      <vt:variant>
        <vt:i4>0</vt:i4>
      </vt:variant>
      <vt:variant>
        <vt:i4>5</vt:i4>
      </vt:variant>
      <vt:variant>
        <vt:lpwstr/>
      </vt:variant>
      <vt:variant>
        <vt:lpwstr>_Toc141271645</vt:lpwstr>
      </vt:variant>
      <vt:variant>
        <vt:i4>1310769</vt:i4>
      </vt:variant>
      <vt:variant>
        <vt:i4>1295</vt:i4>
      </vt:variant>
      <vt:variant>
        <vt:i4>0</vt:i4>
      </vt:variant>
      <vt:variant>
        <vt:i4>5</vt:i4>
      </vt:variant>
      <vt:variant>
        <vt:lpwstr/>
      </vt:variant>
      <vt:variant>
        <vt:lpwstr>_Toc141271644</vt:lpwstr>
      </vt:variant>
      <vt:variant>
        <vt:i4>1310769</vt:i4>
      </vt:variant>
      <vt:variant>
        <vt:i4>1289</vt:i4>
      </vt:variant>
      <vt:variant>
        <vt:i4>0</vt:i4>
      </vt:variant>
      <vt:variant>
        <vt:i4>5</vt:i4>
      </vt:variant>
      <vt:variant>
        <vt:lpwstr/>
      </vt:variant>
      <vt:variant>
        <vt:lpwstr>_Toc141271643</vt:lpwstr>
      </vt:variant>
      <vt:variant>
        <vt:i4>1310769</vt:i4>
      </vt:variant>
      <vt:variant>
        <vt:i4>1283</vt:i4>
      </vt:variant>
      <vt:variant>
        <vt:i4>0</vt:i4>
      </vt:variant>
      <vt:variant>
        <vt:i4>5</vt:i4>
      </vt:variant>
      <vt:variant>
        <vt:lpwstr/>
      </vt:variant>
      <vt:variant>
        <vt:lpwstr>_Toc141271642</vt:lpwstr>
      </vt:variant>
      <vt:variant>
        <vt:i4>1310769</vt:i4>
      </vt:variant>
      <vt:variant>
        <vt:i4>1277</vt:i4>
      </vt:variant>
      <vt:variant>
        <vt:i4>0</vt:i4>
      </vt:variant>
      <vt:variant>
        <vt:i4>5</vt:i4>
      </vt:variant>
      <vt:variant>
        <vt:lpwstr/>
      </vt:variant>
      <vt:variant>
        <vt:lpwstr>_Toc141271641</vt:lpwstr>
      </vt:variant>
      <vt:variant>
        <vt:i4>1310769</vt:i4>
      </vt:variant>
      <vt:variant>
        <vt:i4>1271</vt:i4>
      </vt:variant>
      <vt:variant>
        <vt:i4>0</vt:i4>
      </vt:variant>
      <vt:variant>
        <vt:i4>5</vt:i4>
      </vt:variant>
      <vt:variant>
        <vt:lpwstr/>
      </vt:variant>
      <vt:variant>
        <vt:lpwstr>_Toc141271640</vt:lpwstr>
      </vt:variant>
      <vt:variant>
        <vt:i4>1245233</vt:i4>
      </vt:variant>
      <vt:variant>
        <vt:i4>1265</vt:i4>
      </vt:variant>
      <vt:variant>
        <vt:i4>0</vt:i4>
      </vt:variant>
      <vt:variant>
        <vt:i4>5</vt:i4>
      </vt:variant>
      <vt:variant>
        <vt:lpwstr/>
      </vt:variant>
      <vt:variant>
        <vt:lpwstr>_Toc141271639</vt:lpwstr>
      </vt:variant>
      <vt:variant>
        <vt:i4>1245233</vt:i4>
      </vt:variant>
      <vt:variant>
        <vt:i4>1259</vt:i4>
      </vt:variant>
      <vt:variant>
        <vt:i4>0</vt:i4>
      </vt:variant>
      <vt:variant>
        <vt:i4>5</vt:i4>
      </vt:variant>
      <vt:variant>
        <vt:lpwstr/>
      </vt:variant>
      <vt:variant>
        <vt:lpwstr>_Toc141271638</vt:lpwstr>
      </vt:variant>
      <vt:variant>
        <vt:i4>1245233</vt:i4>
      </vt:variant>
      <vt:variant>
        <vt:i4>1253</vt:i4>
      </vt:variant>
      <vt:variant>
        <vt:i4>0</vt:i4>
      </vt:variant>
      <vt:variant>
        <vt:i4>5</vt:i4>
      </vt:variant>
      <vt:variant>
        <vt:lpwstr/>
      </vt:variant>
      <vt:variant>
        <vt:lpwstr>_Toc141271637</vt:lpwstr>
      </vt:variant>
      <vt:variant>
        <vt:i4>1245233</vt:i4>
      </vt:variant>
      <vt:variant>
        <vt:i4>1247</vt:i4>
      </vt:variant>
      <vt:variant>
        <vt:i4>0</vt:i4>
      </vt:variant>
      <vt:variant>
        <vt:i4>5</vt:i4>
      </vt:variant>
      <vt:variant>
        <vt:lpwstr/>
      </vt:variant>
      <vt:variant>
        <vt:lpwstr>_Toc141271636</vt:lpwstr>
      </vt:variant>
      <vt:variant>
        <vt:i4>1245233</vt:i4>
      </vt:variant>
      <vt:variant>
        <vt:i4>1241</vt:i4>
      </vt:variant>
      <vt:variant>
        <vt:i4>0</vt:i4>
      </vt:variant>
      <vt:variant>
        <vt:i4>5</vt:i4>
      </vt:variant>
      <vt:variant>
        <vt:lpwstr/>
      </vt:variant>
      <vt:variant>
        <vt:lpwstr>_Toc141271635</vt:lpwstr>
      </vt:variant>
      <vt:variant>
        <vt:i4>1245233</vt:i4>
      </vt:variant>
      <vt:variant>
        <vt:i4>1235</vt:i4>
      </vt:variant>
      <vt:variant>
        <vt:i4>0</vt:i4>
      </vt:variant>
      <vt:variant>
        <vt:i4>5</vt:i4>
      </vt:variant>
      <vt:variant>
        <vt:lpwstr/>
      </vt:variant>
      <vt:variant>
        <vt:lpwstr>_Toc141271634</vt:lpwstr>
      </vt:variant>
      <vt:variant>
        <vt:i4>1245233</vt:i4>
      </vt:variant>
      <vt:variant>
        <vt:i4>1229</vt:i4>
      </vt:variant>
      <vt:variant>
        <vt:i4>0</vt:i4>
      </vt:variant>
      <vt:variant>
        <vt:i4>5</vt:i4>
      </vt:variant>
      <vt:variant>
        <vt:lpwstr/>
      </vt:variant>
      <vt:variant>
        <vt:lpwstr>_Toc141271633</vt:lpwstr>
      </vt:variant>
      <vt:variant>
        <vt:i4>1245233</vt:i4>
      </vt:variant>
      <vt:variant>
        <vt:i4>1223</vt:i4>
      </vt:variant>
      <vt:variant>
        <vt:i4>0</vt:i4>
      </vt:variant>
      <vt:variant>
        <vt:i4>5</vt:i4>
      </vt:variant>
      <vt:variant>
        <vt:lpwstr/>
      </vt:variant>
      <vt:variant>
        <vt:lpwstr>_Toc141271632</vt:lpwstr>
      </vt:variant>
      <vt:variant>
        <vt:i4>1245233</vt:i4>
      </vt:variant>
      <vt:variant>
        <vt:i4>1217</vt:i4>
      </vt:variant>
      <vt:variant>
        <vt:i4>0</vt:i4>
      </vt:variant>
      <vt:variant>
        <vt:i4>5</vt:i4>
      </vt:variant>
      <vt:variant>
        <vt:lpwstr/>
      </vt:variant>
      <vt:variant>
        <vt:lpwstr>_Toc141271631</vt:lpwstr>
      </vt:variant>
      <vt:variant>
        <vt:i4>1245233</vt:i4>
      </vt:variant>
      <vt:variant>
        <vt:i4>1211</vt:i4>
      </vt:variant>
      <vt:variant>
        <vt:i4>0</vt:i4>
      </vt:variant>
      <vt:variant>
        <vt:i4>5</vt:i4>
      </vt:variant>
      <vt:variant>
        <vt:lpwstr/>
      </vt:variant>
      <vt:variant>
        <vt:lpwstr>_Toc141271630</vt:lpwstr>
      </vt:variant>
      <vt:variant>
        <vt:i4>1179697</vt:i4>
      </vt:variant>
      <vt:variant>
        <vt:i4>1205</vt:i4>
      </vt:variant>
      <vt:variant>
        <vt:i4>0</vt:i4>
      </vt:variant>
      <vt:variant>
        <vt:i4>5</vt:i4>
      </vt:variant>
      <vt:variant>
        <vt:lpwstr/>
      </vt:variant>
      <vt:variant>
        <vt:lpwstr>_Toc141271629</vt:lpwstr>
      </vt:variant>
      <vt:variant>
        <vt:i4>1179697</vt:i4>
      </vt:variant>
      <vt:variant>
        <vt:i4>1199</vt:i4>
      </vt:variant>
      <vt:variant>
        <vt:i4>0</vt:i4>
      </vt:variant>
      <vt:variant>
        <vt:i4>5</vt:i4>
      </vt:variant>
      <vt:variant>
        <vt:lpwstr/>
      </vt:variant>
      <vt:variant>
        <vt:lpwstr>_Toc141271628</vt:lpwstr>
      </vt:variant>
      <vt:variant>
        <vt:i4>1179697</vt:i4>
      </vt:variant>
      <vt:variant>
        <vt:i4>1193</vt:i4>
      </vt:variant>
      <vt:variant>
        <vt:i4>0</vt:i4>
      </vt:variant>
      <vt:variant>
        <vt:i4>5</vt:i4>
      </vt:variant>
      <vt:variant>
        <vt:lpwstr/>
      </vt:variant>
      <vt:variant>
        <vt:lpwstr>_Toc141271627</vt:lpwstr>
      </vt:variant>
      <vt:variant>
        <vt:i4>1179697</vt:i4>
      </vt:variant>
      <vt:variant>
        <vt:i4>1187</vt:i4>
      </vt:variant>
      <vt:variant>
        <vt:i4>0</vt:i4>
      </vt:variant>
      <vt:variant>
        <vt:i4>5</vt:i4>
      </vt:variant>
      <vt:variant>
        <vt:lpwstr/>
      </vt:variant>
      <vt:variant>
        <vt:lpwstr>_Toc141271626</vt:lpwstr>
      </vt:variant>
      <vt:variant>
        <vt:i4>1179697</vt:i4>
      </vt:variant>
      <vt:variant>
        <vt:i4>1181</vt:i4>
      </vt:variant>
      <vt:variant>
        <vt:i4>0</vt:i4>
      </vt:variant>
      <vt:variant>
        <vt:i4>5</vt:i4>
      </vt:variant>
      <vt:variant>
        <vt:lpwstr/>
      </vt:variant>
      <vt:variant>
        <vt:lpwstr>_Toc141271625</vt:lpwstr>
      </vt:variant>
      <vt:variant>
        <vt:i4>1179697</vt:i4>
      </vt:variant>
      <vt:variant>
        <vt:i4>1175</vt:i4>
      </vt:variant>
      <vt:variant>
        <vt:i4>0</vt:i4>
      </vt:variant>
      <vt:variant>
        <vt:i4>5</vt:i4>
      </vt:variant>
      <vt:variant>
        <vt:lpwstr/>
      </vt:variant>
      <vt:variant>
        <vt:lpwstr>_Toc141271624</vt:lpwstr>
      </vt:variant>
      <vt:variant>
        <vt:i4>1179697</vt:i4>
      </vt:variant>
      <vt:variant>
        <vt:i4>1169</vt:i4>
      </vt:variant>
      <vt:variant>
        <vt:i4>0</vt:i4>
      </vt:variant>
      <vt:variant>
        <vt:i4>5</vt:i4>
      </vt:variant>
      <vt:variant>
        <vt:lpwstr/>
      </vt:variant>
      <vt:variant>
        <vt:lpwstr>_Toc141271623</vt:lpwstr>
      </vt:variant>
      <vt:variant>
        <vt:i4>1179697</vt:i4>
      </vt:variant>
      <vt:variant>
        <vt:i4>1163</vt:i4>
      </vt:variant>
      <vt:variant>
        <vt:i4>0</vt:i4>
      </vt:variant>
      <vt:variant>
        <vt:i4>5</vt:i4>
      </vt:variant>
      <vt:variant>
        <vt:lpwstr/>
      </vt:variant>
      <vt:variant>
        <vt:lpwstr>_Toc141271622</vt:lpwstr>
      </vt:variant>
      <vt:variant>
        <vt:i4>1179697</vt:i4>
      </vt:variant>
      <vt:variant>
        <vt:i4>1157</vt:i4>
      </vt:variant>
      <vt:variant>
        <vt:i4>0</vt:i4>
      </vt:variant>
      <vt:variant>
        <vt:i4>5</vt:i4>
      </vt:variant>
      <vt:variant>
        <vt:lpwstr/>
      </vt:variant>
      <vt:variant>
        <vt:lpwstr>_Toc141271621</vt:lpwstr>
      </vt:variant>
      <vt:variant>
        <vt:i4>1179697</vt:i4>
      </vt:variant>
      <vt:variant>
        <vt:i4>1151</vt:i4>
      </vt:variant>
      <vt:variant>
        <vt:i4>0</vt:i4>
      </vt:variant>
      <vt:variant>
        <vt:i4>5</vt:i4>
      </vt:variant>
      <vt:variant>
        <vt:lpwstr/>
      </vt:variant>
      <vt:variant>
        <vt:lpwstr>_Toc141271620</vt:lpwstr>
      </vt:variant>
      <vt:variant>
        <vt:i4>1114161</vt:i4>
      </vt:variant>
      <vt:variant>
        <vt:i4>1145</vt:i4>
      </vt:variant>
      <vt:variant>
        <vt:i4>0</vt:i4>
      </vt:variant>
      <vt:variant>
        <vt:i4>5</vt:i4>
      </vt:variant>
      <vt:variant>
        <vt:lpwstr/>
      </vt:variant>
      <vt:variant>
        <vt:lpwstr>_Toc141271619</vt:lpwstr>
      </vt:variant>
      <vt:variant>
        <vt:i4>1114161</vt:i4>
      </vt:variant>
      <vt:variant>
        <vt:i4>1139</vt:i4>
      </vt:variant>
      <vt:variant>
        <vt:i4>0</vt:i4>
      </vt:variant>
      <vt:variant>
        <vt:i4>5</vt:i4>
      </vt:variant>
      <vt:variant>
        <vt:lpwstr/>
      </vt:variant>
      <vt:variant>
        <vt:lpwstr>_Toc141271618</vt:lpwstr>
      </vt:variant>
      <vt:variant>
        <vt:i4>1114161</vt:i4>
      </vt:variant>
      <vt:variant>
        <vt:i4>1133</vt:i4>
      </vt:variant>
      <vt:variant>
        <vt:i4>0</vt:i4>
      </vt:variant>
      <vt:variant>
        <vt:i4>5</vt:i4>
      </vt:variant>
      <vt:variant>
        <vt:lpwstr/>
      </vt:variant>
      <vt:variant>
        <vt:lpwstr>_Toc141271617</vt:lpwstr>
      </vt:variant>
      <vt:variant>
        <vt:i4>1114161</vt:i4>
      </vt:variant>
      <vt:variant>
        <vt:i4>1127</vt:i4>
      </vt:variant>
      <vt:variant>
        <vt:i4>0</vt:i4>
      </vt:variant>
      <vt:variant>
        <vt:i4>5</vt:i4>
      </vt:variant>
      <vt:variant>
        <vt:lpwstr/>
      </vt:variant>
      <vt:variant>
        <vt:lpwstr>_Toc141271616</vt:lpwstr>
      </vt:variant>
      <vt:variant>
        <vt:i4>1114161</vt:i4>
      </vt:variant>
      <vt:variant>
        <vt:i4>1121</vt:i4>
      </vt:variant>
      <vt:variant>
        <vt:i4>0</vt:i4>
      </vt:variant>
      <vt:variant>
        <vt:i4>5</vt:i4>
      </vt:variant>
      <vt:variant>
        <vt:lpwstr/>
      </vt:variant>
      <vt:variant>
        <vt:lpwstr>_Toc141271615</vt:lpwstr>
      </vt:variant>
      <vt:variant>
        <vt:i4>1114161</vt:i4>
      </vt:variant>
      <vt:variant>
        <vt:i4>1115</vt:i4>
      </vt:variant>
      <vt:variant>
        <vt:i4>0</vt:i4>
      </vt:variant>
      <vt:variant>
        <vt:i4>5</vt:i4>
      </vt:variant>
      <vt:variant>
        <vt:lpwstr/>
      </vt:variant>
      <vt:variant>
        <vt:lpwstr>_Toc141271614</vt:lpwstr>
      </vt:variant>
      <vt:variant>
        <vt:i4>917570</vt:i4>
      </vt:variant>
      <vt:variant>
        <vt:i4>597</vt:i4>
      </vt:variant>
      <vt:variant>
        <vt:i4>0</vt:i4>
      </vt:variant>
      <vt:variant>
        <vt:i4>5</vt:i4>
      </vt:variant>
      <vt:variant>
        <vt:lpwstr>https://www.health.gov.au/our-work/places-to-people-embedding-choice-in-residential-aged-care</vt:lpwstr>
      </vt:variant>
      <vt:variant>
        <vt:lpwstr/>
      </vt:variant>
      <vt:variant>
        <vt:i4>4063265</vt:i4>
      </vt:variant>
      <vt:variant>
        <vt:i4>267</vt:i4>
      </vt:variant>
      <vt:variant>
        <vt:i4>0</vt:i4>
      </vt:variant>
      <vt:variant>
        <vt:i4>5</vt:i4>
      </vt:variant>
      <vt:variant>
        <vt:lpwstr>https://www.health.gov.au/committees-and-groups/aged-care-financing-authority-acfa</vt:lpwstr>
      </vt:variant>
      <vt:variant>
        <vt:lpwstr>annual-reports-on-funding-and-financing-of-the-aged-care-industry</vt:lpwstr>
      </vt:variant>
      <vt:variant>
        <vt:i4>1507333</vt:i4>
      </vt:variant>
      <vt:variant>
        <vt:i4>264</vt:i4>
      </vt:variant>
      <vt:variant>
        <vt:i4>0</vt:i4>
      </vt:variant>
      <vt:variant>
        <vt:i4>5</vt:i4>
      </vt:variant>
      <vt:variant>
        <vt:lpwstr>https://www.health.gov.au/resources/publications/financial-report-on-the-australian-aged-care-sector-2020-21</vt:lpwstr>
      </vt:variant>
      <vt:variant>
        <vt:lpwstr/>
      </vt:variant>
      <vt:variant>
        <vt:i4>5439498</vt:i4>
      </vt:variant>
      <vt:variant>
        <vt:i4>261</vt:i4>
      </vt:variant>
      <vt:variant>
        <vt:i4>0</vt:i4>
      </vt:variant>
      <vt:variant>
        <vt:i4>5</vt:i4>
      </vt:variant>
      <vt:variant>
        <vt:lpwstr>https://www.health.gov.au/resources/publications/delivering-the-largest-ever-pay-rise-to-aged-care-workers-budget-2023-24?language=en</vt:lpwstr>
      </vt:variant>
      <vt:variant>
        <vt:lpwstr/>
      </vt:variant>
      <vt:variant>
        <vt:i4>8192117</vt:i4>
      </vt:variant>
      <vt:variant>
        <vt:i4>258</vt:i4>
      </vt:variant>
      <vt:variant>
        <vt:i4>0</vt:i4>
      </vt:variant>
      <vt:variant>
        <vt:i4>5</vt:i4>
      </vt:variant>
      <vt:variant>
        <vt:lpwstr>https://www.health.gov.au/committees-and-groups/aged-care-taskforce</vt:lpwstr>
      </vt:variant>
      <vt:variant>
        <vt:lpwstr/>
      </vt:variant>
      <vt:variant>
        <vt:i4>917570</vt:i4>
      </vt:variant>
      <vt:variant>
        <vt:i4>255</vt:i4>
      </vt:variant>
      <vt:variant>
        <vt:i4>0</vt:i4>
      </vt:variant>
      <vt:variant>
        <vt:i4>5</vt:i4>
      </vt:variant>
      <vt:variant>
        <vt:lpwstr>https://www.health.gov.au/our-work/places-to-people-embedding-choice-in-residential-aged-care</vt:lpwstr>
      </vt:variant>
      <vt:variant>
        <vt:lpwstr/>
      </vt:variant>
      <vt:variant>
        <vt:i4>1638448</vt:i4>
      </vt:variant>
      <vt:variant>
        <vt:i4>248</vt:i4>
      </vt:variant>
      <vt:variant>
        <vt:i4>0</vt:i4>
      </vt:variant>
      <vt:variant>
        <vt:i4>5</vt:i4>
      </vt:variant>
      <vt:variant>
        <vt:lpwstr/>
      </vt:variant>
      <vt:variant>
        <vt:lpwstr>_Toc141271798</vt:lpwstr>
      </vt:variant>
      <vt:variant>
        <vt:i4>1638448</vt:i4>
      </vt:variant>
      <vt:variant>
        <vt:i4>242</vt:i4>
      </vt:variant>
      <vt:variant>
        <vt:i4>0</vt:i4>
      </vt:variant>
      <vt:variant>
        <vt:i4>5</vt:i4>
      </vt:variant>
      <vt:variant>
        <vt:lpwstr/>
      </vt:variant>
      <vt:variant>
        <vt:lpwstr>_Toc141271797</vt:lpwstr>
      </vt:variant>
      <vt:variant>
        <vt:i4>1638448</vt:i4>
      </vt:variant>
      <vt:variant>
        <vt:i4>236</vt:i4>
      </vt:variant>
      <vt:variant>
        <vt:i4>0</vt:i4>
      </vt:variant>
      <vt:variant>
        <vt:i4>5</vt:i4>
      </vt:variant>
      <vt:variant>
        <vt:lpwstr/>
      </vt:variant>
      <vt:variant>
        <vt:lpwstr>_Toc141271796</vt:lpwstr>
      </vt:variant>
      <vt:variant>
        <vt:i4>1638448</vt:i4>
      </vt:variant>
      <vt:variant>
        <vt:i4>230</vt:i4>
      </vt:variant>
      <vt:variant>
        <vt:i4>0</vt:i4>
      </vt:variant>
      <vt:variant>
        <vt:i4>5</vt:i4>
      </vt:variant>
      <vt:variant>
        <vt:lpwstr/>
      </vt:variant>
      <vt:variant>
        <vt:lpwstr>_Toc141271795</vt:lpwstr>
      </vt:variant>
      <vt:variant>
        <vt:i4>1638448</vt:i4>
      </vt:variant>
      <vt:variant>
        <vt:i4>224</vt:i4>
      </vt:variant>
      <vt:variant>
        <vt:i4>0</vt:i4>
      </vt:variant>
      <vt:variant>
        <vt:i4>5</vt:i4>
      </vt:variant>
      <vt:variant>
        <vt:lpwstr/>
      </vt:variant>
      <vt:variant>
        <vt:lpwstr>_Toc141271794</vt:lpwstr>
      </vt:variant>
      <vt:variant>
        <vt:i4>1638448</vt:i4>
      </vt:variant>
      <vt:variant>
        <vt:i4>218</vt:i4>
      </vt:variant>
      <vt:variant>
        <vt:i4>0</vt:i4>
      </vt:variant>
      <vt:variant>
        <vt:i4>5</vt:i4>
      </vt:variant>
      <vt:variant>
        <vt:lpwstr/>
      </vt:variant>
      <vt:variant>
        <vt:lpwstr>_Toc141271793</vt:lpwstr>
      </vt:variant>
      <vt:variant>
        <vt:i4>1638448</vt:i4>
      </vt:variant>
      <vt:variant>
        <vt:i4>212</vt:i4>
      </vt:variant>
      <vt:variant>
        <vt:i4>0</vt:i4>
      </vt:variant>
      <vt:variant>
        <vt:i4>5</vt:i4>
      </vt:variant>
      <vt:variant>
        <vt:lpwstr/>
      </vt:variant>
      <vt:variant>
        <vt:lpwstr>_Toc141271792</vt:lpwstr>
      </vt:variant>
      <vt:variant>
        <vt:i4>1638448</vt:i4>
      </vt:variant>
      <vt:variant>
        <vt:i4>206</vt:i4>
      </vt:variant>
      <vt:variant>
        <vt:i4>0</vt:i4>
      </vt:variant>
      <vt:variant>
        <vt:i4>5</vt:i4>
      </vt:variant>
      <vt:variant>
        <vt:lpwstr/>
      </vt:variant>
      <vt:variant>
        <vt:lpwstr>_Toc141271791</vt:lpwstr>
      </vt:variant>
      <vt:variant>
        <vt:i4>1638448</vt:i4>
      </vt:variant>
      <vt:variant>
        <vt:i4>200</vt:i4>
      </vt:variant>
      <vt:variant>
        <vt:i4>0</vt:i4>
      </vt:variant>
      <vt:variant>
        <vt:i4>5</vt:i4>
      </vt:variant>
      <vt:variant>
        <vt:lpwstr/>
      </vt:variant>
      <vt:variant>
        <vt:lpwstr>_Toc141271790</vt:lpwstr>
      </vt:variant>
      <vt:variant>
        <vt:i4>1572912</vt:i4>
      </vt:variant>
      <vt:variant>
        <vt:i4>194</vt:i4>
      </vt:variant>
      <vt:variant>
        <vt:i4>0</vt:i4>
      </vt:variant>
      <vt:variant>
        <vt:i4>5</vt:i4>
      </vt:variant>
      <vt:variant>
        <vt:lpwstr/>
      </vt:variant>
      <vt:variant>
        <vt:lpwstr>_Toc141271789</vt:lpwstr>
      </vt:variant>
      <vt:variant>
        <vt:i4>1572912</vt:i4>
      </vt:variant>
      <vt:variant>
        <vt:i4>188</vt:i4>
      </vt:variant>
      <vt:variant>
        <vt:i4>0</vt:i4>
      </vt:variant>
      <vt:variant>
        <vt:i4>5</vt:i4>
      </vt:variant>
      <vt:variant>
        <vt:lpwstr/>
      </vt:variant>
      <vt:variant>
        <vt:lpwstr>_Toc141271788</vt:lpwstr>
      </vt:variant>
      <vt:variant>
        <vt:i4>1572912</vt:i4>
      </vt:variant>
      <vt:variant>
        <vt:i4>182</vt:i4>
      </vt:variant>
      <vt:variant>
        <vt:i4>0</vt:i4>
      </vt:variant>
      <vt:variant>
        <vt:i4>5</vt:i4>
      </vt:variant>
      <vt:variant>
        <vt:lpwstr/>
      </vt:variant>
      <vt:variant>
        <vt:lpwstr>_Toc141271787</vt:lpwstr>
      </vt:variant>
      <vt:variant>
        <vt:i4>1572912</vt:i4>
      </vt:variant>
      <vt:variant>
        <vt:i4>176</vt:i4>
      </vt:variant>
      <vt:variant>
        <vt:i4>0</vt:i4>
      </vt:variant>
      <vt:variant>
        <vt:i4>5</vt:i4>
      </vt:variant>
      <vt:variant>
        <vt:lpwstr/>
      </vt:variant>
      <vt:variant>
        <vt:lpwstr>_Toc141271786</vt:lpwstr>
      </vt:variant>
      <vt:variant>
        <vt:i4>1572912</vt:i4>
      </vt:variant>
      <vt:variant>
        <vt:i4>170</vt:i4>
      </vt:variant>
      <vt:variant>
        <vt:i4>0</vt:i4>
      </vt:variant>
      <vt:variant>
        <vt:i4>5</vt:i4>
      </vt:variant>
      <vt:variant>
        <vt:lpwstr/>
      </vt:variant>
      <vt:variant>
        <vt:lpwstr>_Toc141271785</vt:lpwstr>
      </vt:variant>
      <vt:variant>
        <vt:i4>1572912</vt:i4>
      </vt:variant>
      <vt:variant>
        <vt:i4>164</vt:i4>
      </vt:variant>
      <vt:variant>
        <vt:i4>0</vt:i4>
      </vt:variant>
      <vt:variant>
        <vt:i4>5</vt:i4>
      </vt:variant>
      <vt:variant>
        <vt:lpwstr/>
      </vt:variant>
      <vt:variant>
        <vt:lpwstr>_Toc141271784</vt:lpwstr>
      </vt:variant>
      <vt:variant>
        <vt:i4>1572912</vt:i4>
      </vt:variant>
      <vt:variant>
        <vt:i4>158</vt:i4>
      </vt:variant>
      <vt:variant>
        <vt:i4>0</vt:i4>
      </vt:variant>
      <vt:variant>
        <vt:i4>5</vt:i4>
      </vt:variant>
      <vt:variant>
        <vt:lpwstr/>
      </vt:variant>
      <vt:variant>
        <vt:lpwstr>_Toc141271783</vt:lpwstr>
      </vt:variant>
      <vt:variant>
        <vt:i4>1572912</vt:i4>
      </vt:variant>
      <vt:variant>
        <vt:i4>152</vt:i4>
      </vt:variant>
      <vt:variant>
        <vt:i4>0</vt:i4>
      </vt:variant>
      <vt:variant>
        <vt:i4>5</vt:i4>
      </vt:variant>
      <vt:variant>
        <vt:lpwstr/>
      </vt:variant>
      <vt:variant>
        <vt:lpwstr>_Toc141271782</vt:lpwstr>
      </vt:variant>
      <vt:variant>
        <vt:i4>1572912</vt:i4>
      </vt:variant>
      <vt:variant>
        <vt:i4>146</vt:i4>
      </vt:variant>
      <vt:variant>
        <vt:i4>0</vt:i4>
      </vt:variant>
      <vt:variant>
        <vt:i4>5</vt:i4>
      </vt:variant>
      <vt:variant>
        <vt:lpwstr/>
      </vt:variant>
      <vt:variant>
        <vt:lpwstr>_Toc141271781</vt:lpwstr>
      </vt:variant>
      <vt:variant>
        <vt:i4>1572912</vt:i4>
      </vt:variant>
      <vt:variant>
        <vt:i4>140</vt:i4>
      </vt:variant>
      <vt:variant>
        <vt:i4>0</vt:i4>
      </vt:variant>
      <vt:variant>
        <vt:i4>5</vt:i4>
      </vt:variant>
      <vt:variant>
        <vt:lpwstr/>
      </vt:variant>
      <vt:variant>
        <vt:lpwstr>_Toc141271780</vt:lpwstr>
      </vt:variant>
      <vt:variant>
        <vt:i4>1507376</vt:i4>
      </vt:variant>
      <vt:variant>
        <vt:i4>134</vt:i4>
      </vt:variant>
      <vt:variant>
        <vt:i4>0</vt:i4>
      </vt:variant>
      <vt:variant>
        <vt:i4>5</vt:i4>
      </vt:variant>
      <vt:variant>
        <vt:lpwstr/>
      </vt:variant>
      <vt:variant>
        <vt:lpwstr>_Toc141271779</vt:lpwstr>
      </vt:variant>
      <vt:variant>
        <vt:i4>1507376</vt:i4>
      </vt:variant>
      <vt:variant>
        <vt:i4>128</vt:i4>
      </vt:variant>
      <vt:variant>
        <vt:i4>0</vt:i4>
      </vt:variant>
      <vt:variant>
        <vt:i4>5</vt:i4>
      </vt:variant>
      <vt:variant>
        <vt:lpwstr/>
      </vt:variant>
      <vt:variant>
        <vt:lpwstr>_Toc141271775</vt:lpwstr>
      </vt:variant>
      <vt:variant>
        <vt:i4>1507376</vt:i4>
      </vt:variant>
      <vt:variant>
        <vt:i4>122</vt:i4>
      </vt:variant>
      <vt:variant>
        <vt:i4>0</vt:i4>
      </vt:variant>
      <vt:variant>
        <vt:i4>5</vt:i4>
      </vt:variant>
      <vt:variant>
        <vt:lpwstr/>
      </vt:variant>
      <vt:variant>
        <vt:lpwstr>_Toc141271774</vt:lpwstr>
      </vt:variant>
      <vt:variant>
        <vt:i4>1507376</vt:i4>
      </vt:variant>
      <vt:variant>
        <vt:i4>116</vt:i4>
      </vt:variant>
      <vt:variant>
        <vt:i4>0</vt:i4>
      </vt:variant>
      <vt:variant>
        <vt:i4>5</vt:i4>
      </vt:variant>
      <vt:variant>
        <vt:lpwstr/>
      </vt:variant>
      <vt:variant>
        <vt:lpwstr>_Toc141271770</vt:lpwstr>
      </vt:variant>
      <vt:variant>
        <vt:i4>1441840</vt:i4>
      </vt:variant>
      <vt:variant>
        <vt:i4>110</vt:i4>
      </vt:variant>
      <vt:variant>
        <vt:i4>0</vt:i4>
      </vt:variant>
      <vt:variant>
        <vt:i4>5</vt:i4>
      </vt:variant>
      <vt:variant>
        <vt:lpwstr/>
      </vt:variant>
      <vt:variant>
        <vt:lpwstr>_Toc141271769</vt:lpwstr>
      </vt:variant>
      <vt:variant>
        <vt:i4>1441840</vt:i4>
      </vt:variant>
      <vt:variant>
        <vt:i4>104</vt:i4>
      </vt:variant>
      <vt:variant>
        <vt:i4>0</vt:i4>
      </vt:variant>
      <vt:variant>
        <vt:i4>5</vt:i4>
      </vt:variant>
      <vt:variant>
        <vt:lpwstr/>
      </vt:variant>
      <vt:variant>
        <vt:lpwstr>_Toc141271768</vt:lpwstr>
      </vt:variant>
      <vt:variant>
        <vt:i4>1441840</vt:i4>
      </vt:variant>
      <vt:variant>
        <vt:i4>98</vt:i4>
      </vt:variant>
      <vt:variant>
        <vt:i4>0</vt:i4>
      </vt:variant>
      <vt:variant>
        <vt:i4>5</vt:i4>
      </vt:variant>
      <vt:variant>
        <vt:lpwstr/>
      </vt:variant>
      <vt:variant>
        <vt:lpwstr>_Toc141271767</vt:lpwstr>
      </vt:variant>
      <vt:variant>
        <vt:i4>1441840</vt:i4>
      </vt:variant>
      <vt:variant>
        <vt:i4>92</vt:i4>
      </vt:variant>
      <vt:variant>
        <vt:i4>0</vt:i4>
      </vt:variant>
      <vt:variant>
        <vt:i4>5</vt:i4>
      </vt:variant>
      <vt:variant>
        <vt:lpwstr/>
      </vt:variant>
      <vt:variant>
        <vt:lpwstr>_Toc141271766</vt:lpwstr>
      </vt:variant>
      <vt:variant>
        <vt:i4>1441840</vt:i4>
      </vt:variant>
      <vt:variant>
        <vt:i4>86</vt:i4>
      </vt:variant>
      <vt:variant>
        <vt:i4>0</vt:i4>
      </vt:variant>
      <vt:variant>
        <vt:i4>5</vt:i4>
      </vt:variant>
      <vt:variant>
        <vt:lpwstr/>
      </vt:variant>
      <vt:variant>
        <vt:lpwstr>_Toc141271765</vt:lpwstr>
      </vt:variant>
      <vt:variant>
        <vt:i4>1441840</vt:i4>
      </vt:variant>
      <vt:variant>
        <vt:i4>80</vt:i4>
      </vt:variant>
      <vt:variant>
        <vt:i4>0</vt:i4>
      </vt:variant>
      <vt:variant>
        <vt:i4>5</vt:i4>
      </vt:variant>
      <vt:variant>
        <vt:lpwstr/>
      </vt:variant>
      <vt:variant>
        <vt:lpwstr>_Toc141271764</vt:lpwstr>
      </vt:variant>
      <vt:variant>
        <vt:i4>1441840</vt:i4>
      </vt:variant>
      <vt:variant>
        <vt:i4>74</vt:i4>
      </vt:variant>
      <vt:variant>
        <vt:i4>0</vt:i4>
      </vt:variant>
      <vt:variant>
        <vt:i4>5</vt:i4>
      </vt:variant>
      <vt:variant>
        <vt:lpwstr/>
      </vt:variant>
      <vt:variant>
        <vt:lpwstr>_Toc141271763</vt:lpwstr>
      </vt:variant>
      <vt:variant>
        <vt:i4>1441840</vt:i4>
      </vt:variant>
      <vt:variant>
        <vt:i4>68</vt:i4>
      </vt:variant>
      <vt:variant>
        <vt:i4>0</vt:i4>
      </vt:variant>
      <vt:variant>
        <vt:i4>5</vt:i4>
      </vt:variant>
      <vt:variant>
        <vt:lpwstr/>
      </vt:variant>
      <vt:variant>
        <vt:lpwstr>_Toc141271762</vt:lpwstr>
      </vt:variant>
      <vt:variant>
        <vt:i4>1441840</vt:i4>
      </vt:variant>
      <vt:variant>
        <vt:i4>62</vt:i4>
      </vt:variant>
      <vt:variant>
        <vt:i4>0</vt:i4>
      </vt:variant>
      <vt:variant>
        <vt:i4>5</vt:i4>
      </vt:variant>
      <vt:variant>
        <vt:lpwstr/>
      </vt:variant>
      <vt:variant>
        <vt:lpwstr>_Toc141271761</vt:lpwstr>
      </vt:variant>
      <vt:variant>
        <vt:i4>1441840</vt:i4>
      </vt:variant>
      <vt:variant>
        <vt:i4>56</vt:i4>
      </vt:variant>
      <vt:variant>
        <vt:i4>0</vt:i4>
      </vt:variant>
      <vt:variant>
        <vt:i4>5</vt:i4>
      </vt:variant>
      <vt:variant>
        <vt:lpwstr/>
      </vt:variant>
      <vt:variant>
        <vt:lpwstr>_Toc141271760</vt:lpwstr>
      </vt:variant>
      <vt:variant>
        <vt:i4>1376304</vt:i4>
      </vt:variant>
      <vt:variant>
        <vt:i4>50</vt:i4>
      </vt:variant>
      <vt:variant>
        <vt:i4>0</vt:i4>
      </vt:variant>
      <vt:variant>
        <vt:i4>5</vt:i4>
      </vt:variant>
      <vt:variant>
        <vt:lpwstr/>
      </vt:variant>
      <vt:variant>
        <vt:lpwstr>_Toc141271759</vt:lpwstr>
      </vt:variant>
      <vt:variant>
        <vt:i4>1376304</vt:i4>
      </vt:variant>
      <vt:variant>
        <vt:i4>44</vt:i4>
      </vt:variant>
      <vt:variant>
        <vt:i4>0</vt:i4>
      </vt:variant>
      <vt:variant>
        <vt:i4>5</vt:i4>
      </vt:variant>
      <vt:variant>
        <vt:lpwstr/>
      </vt:variant>
      <vt:variant>
        <vt:lpwstr>_Toc141271758</vt:lpwstr>
      </vt:variant>
      <vt:variant>
        <vt:i4>1376304</vt:i4>
      </vt:variant>
      <vt:variant>
        <vt:i4>38</vt:i4>
      </vt:variant>
      <vt:variant>
        <vt:i4>0</vt:i4>
      </vt:variant>
      <vt:variant>
        <vt:i4>5</vt:i4>
      </vt:variant>
      <vt:variant>
        <vt:lpwstr/>
      </vt:variant>
      <vt:variant>
        <vt:lpwstr>_Toc141271757</vt:lpwstr>
      </vt:variant>
      <vt:variant>
        <vt:i4>1376304</vt:i4>
      </vt:variant>
      <vt:variant>
        <vt:i4>32</vt:i4>
      </vt:variant>
      <vt:variant>
        <vt:i4>0</vt:i4>
      </vt:variant>
      <vt:variant>
        <vt:i4>5</vt:i4>
      </vt:variant>
      <vt:variant>
        <vt:lpwstr/>
      </vt:variant>
      <vt:variant>
        <vt:lpwstr>_Toc141271756</vt:lpwstr>
      </vt:variant>
      <vt:variant>
        <vt:i4>1376304</vt:i4>
      </vt:variant>
      <vt:variant>
        <vt:i4>26</vt:i4>
      </vt:variant>
      <vt:variant>
        <vt:i4>0</vt:i4>
      </vt:variant>
      <vt:variant>
        <vt:i4>5</vt:i4>
      </vt:variant>
      <vt:variant>
        <vt:lpwstr/>
      </vt:variant>
      <vt:variant>
        <vt:lpwstr>_Toc141271755</vt:lpwstr>
      </vt:variant>
      <vt:variant>
        <vt:i4>1376304</vt:i4>
      </vt:variant>
      <vt:variant>
        <vt:i4>20</vt:i4>
      </vt:variant>
      <vt:variant>
        <vt:i4>0</vt:i4>
      </vt:variant>
      <vt:variant>
        <vt:i4>5</vt:i4>
      </vt:variant>
      <vt:variant>
        <vt:lpwstr/>
      </vt:variant>
      <vt:variant>
        <vt:lpwstr>_Toc141271754</vt:lpwstr>
      </vt:variant>
      <vt:variant>
        <vt:i4>1376304</vt:i4>
      </vt:variant>
      <vt:variant>
        <vt:i4>14</vt:i4>
      </vt:variant>
      <vt:variant>
        <vt:i4>0</vt:i4>
      </vt:variant>
      <vt:variant>
        <vt:i4>5</vt:i4>
      </vt:variant>
      <vt:variant>
        <vt:lpwstr/>
      </vt:variant>
      <vt:variant>
        <vt:lpwstr>_Toc141271753</vt:lpwstr>
      </vt:variant>
      <vt:variant>
        <vt:i4>1376304</vt:i4>
      </vt:variant>
      <vt:variant>
        <vt:i4>8</vt:i4>
      </vt:variant>
      <vt:variant>
        <vt:i4>0</vt:i4>
      </vt:variant>
      <vt:variant>
        <vt:i4>5</vt:i4>
      </vt:variant>
      <vt:variant>
        <vt:lpwstr/>
      </vt:variant>
      <vt:variant>
        <vt:lpwstr>_Toc141271752</vt:lpwstr>
      </vt:variant>
      <vt:variant>
        <vt:i4>1376304</vt:i4>
      </vt:variant>
      <vt:variant>
        <vt:i4>2</vt:i4>
      </vt:variant>
      <vt:variant>
        <vt:i4>0</vt:i4>
      </vt:variant>
      <vt:variant>
        <vt:i4>5</vt:i4>
      </vt:variant>
      <vt:variant>
        <vt:lpwstr/>
      </vt:variant>
      <vt:variant>
        <vt:lpwstr>_Toc141271751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Financial Report on the Australian Aged Care Sector 2021–22</dc:title>
  <dc:subject>Aged Care, Senior Australians</dc:subject>
  <dc:creator>Australian Department of Health and Aged Care</dc:creator>
  <cp:keywords>Aged Care, Senior Australians</cp:keywords>
  <dc:description/>
  <cp:lastModifiedBy>MASCHKE, Elvia</cp:lastModifiedBy>
  <cp:revision>2</cp:revision>
  <cp:lastPrinted>2023-10-26T10:55:00Z</cp:lastPrinted>
  <dcterms:created xsi:type="dcterms:W3CDTF">2024-01-29T01:33:00Z</dcterms:created>
  <dcterms:modified xsi:type="dcterms:W3CDTF">2024-01-29T01:33:00Z</dcterms:modified>
  <cp:category>Aged Care</cp:category>
</cp:coreProperties>
</file>