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02D1" w14:textId="77777777" w:rsidR="00727C27" w:rsidRPr="0004654A" w:rsidRDefault="00727C27" w:rsidP="00C671E1">
      <w:pPr>
        <w:pStyle w:val="Title"/>
      </w:pPr>
      <w:r w:rsidRPr="0004654A">
        <w:t xml:space="preserve">Australian Technical Advisory Group on </w:t>
      </w:r>
      <w:r w:rsidRPr="00C671E1">
        <w:t>Immunisation</w:t>
      </w:r>
      <w:r w:rsidRPr="0004654A">
        <w:t xml:space="preserve"> (ATAGI)</w:t>
      </w:r>
    </w:p>
    <w:p w14:paraId="45CE0A18" w14:textId="245C01DF" w:rsidR="009C67A8" w:rsidRPr="0004654A" w:rsidRDefault="009C67A8" w:rsidP="00C671E1">
      <w:pPr>
        <w:pStyle w:val="Heading1"/>
      </w:pPr>
      <w:r w:rsidRPr="0004654A">
        <w:t xml:space="preserve">Guidance on the use of multi-dose vials for COVID-19 </w:t>
      </w:r>
      <w:r w:rsidRPr="00C671E1">
        <w:t>vaccination</w:t>
      </w:r>
    </w:p>
    <w:p w14:paraId="0369FF0E" w14:textId="73CAAE26" w:rsidR="00A762CD" w:rsidRPr="007C765D" w:rsidRDefault="03B2F4F5" w:rsidP="5615D64D">
      <w:pPr>
        <w:rPr>
          <w:lang w:val="en-GB"/>
        </w:rPr>
      </w:pPr>
      <w:r w:rsidRPr="007C765D">
        <w:rPr>
          <w:lang w:val="en-GB"/>
        </w:rPr>
        <w:t>Version 5.</w:t>
      </w:r>
      <w:r w:rsidR="4696A2F3" w:rsidRPr="007C765D">
        <w:rPr>
          <w:lang w:val="en-GB"/>
        </w:rPr>
        <w:t>1</w:t>
      </w:r>
    </w:p>
    <w:p w14:paraId="74B8A8B5" w14:textId="6E5515DF" w:rsidR="007A5E54" w:rsidRPr="00791DA4" w:rsidRDefault="001B0739" w:rsidP="5615D64D">
      <w:pPr>
        <w:rPr>
          <w:lang w:val="en-GB"/>
        </w:rPr>
      </w:pPr>
      <w:r w:rsidRPr="001B0739">
        <w:rPr>
          <w:b/>
          <w:bCs/>
          <w:lang w:val="en-GB"/>
        </w:rPr>
        <w:t xml:space="preserve">Updated: </w:t>
      </w:r>
      <w:r w:rsidR="00791DA4" w:rsidRPr="00791DA4">
        <w:rPr>
          <w:lang w:val="en-GB"/>
        </w:rPr>
        <w:t>11 January 2024</w:t>
      </w:r>
    </w:p>
    <w:p w14:paraId="6B2D270E" w14:textId="534DA002" w:rsidR="007A5E54" w:rsidRPr="007C765D" w:rsidRDefault="001B0739" w:rsidP="007A5E54">
      <w:pPr>
        <w:rPr>
          <w:szCs w:val="22"/>
        </w:rPr>
      </w:pPr>
      <w:r w:rsidRPr="001B0739">
        <w:rPr>
          <w:b/>
          <w:bCs/>
          <w:szCs w:val="22"/>
        </w:rPr>
        <w:t>What has changed</w:t>
      </w:r>
      <w:r w:rsidR="007A5E54" w:rsidRPr="007C765D">
        <w:rPr>
          <w:szCs w:val="22"/>
        </w:rPr>
        <w:t>:</w:t>
      </w:r>
    </w:p>
    <w:p w14:paraId="48EDD1AD" w14:textId="4A8B6E25" w:rsidR="02F8D0E8" w:rsidRPr="007C765D" w:rsidRDefault="02F8D0E8" w:rsidP="0027029B">
      <w:pPr>
        <w:pStyle w:val="ListBullet"/>
        <w:numPr>
          <w:ilvl w:val="0"/>
          <w:numId w:val="1"/>
        </w:numPr>
        <w:tabs>
          <w:tab w:val="num" w:pos="360"/>
        </w:tabs>
        <w:spacing w:after="60" w:line="259" w:lineRule="auto"/>
        <w:rPr>
          <w:rFonts w:eastAsia="Arial"/>
          <w:color w:val="auto"/>
          <w:lang w:val="en-GB"/>
        </w:rPr>
      </w:pPr>
      <w:r w:rsidRPr="007C765D">
        <w:rPr>
          <w:rFonts w:eastAsia="Arial"/>
          <w:color w:val="auto"/>
        </w:rPr>
        <w:t>Removal of vaccine formulations that are no longer available and addition of new formulations.</w:t>
      </w:r>
    </w:p>
    <w:p w14:paraId="3C60BD2F" w14:textId="413802FF" w:rsidR="0016398F" w:rsidRPr="00C671E1" w:rsidRDefault="19BEFF9F" w:rsidP="0AB5B8EA">
      <w:pPr>
        <w:pStyle w:val="ListBullet"/>
        <w:numPr>
          <w:ilvl w:val="0"/>
          <w:numId w:val="1"/>
        </w:numPr>
        <w:tabs>
          <w:tab w:val="num" w:pos="360"/>
        </w:tabs>
        <w:spacing w:after="60" w:line="259" w:lineRule="auto"/>
        <w:rPr>
          <w:rFonts w:eastAsia="Arial"/>
          <w:color w:val="auto"/>
          <w:lang w:val="en-GB"/>
        </w:rPr>
      </w:pPr>
      <w:r w:rsidRPr="007C765D">
        <w:rPr>
          <w:rFonts w:eastAsia="Arial"/>
          <w:color w:val="auto"/>
        </w:rPr>
        <w:t xml:space="preserve">To see ATAGI’s latest recommendations, visit the </w:t>
      </w:r>
      <w:hyperlink r:id="rId11" w:history="1">
        <w:r w:rsidRPr="00791DA4">
          <w:rPr>
            <w:rStyle w:val="Hyperlink"/>
            <w:rFonts w:eastAsia="Arial"/>
          </w:rPr>
          <w:t>Australian Immunisation Handbook</w:t>
        </w:r>
      </w:hyperlink>
      <w:r w:rsidRPr="007C765D">
        <w:rPr>
          <w:rFonts w:eastAsia="Arial"/>
          <w:color w:val="auto"/>
        </w:rPr>
        <w:t>.</w:t>
      </w:r>
    </w:p>
    <w:p w14:paraId="3CD01756" w14:textId="0A786694" w:rsidR="00A50AB3" w:rsidRPr="00672ADC" w:rsidRDefault="00A50AB3" w:rsidP="00C671E1">
      <w:r w:rsidRPr="5BED63B7">
        <w:t xml:space="preserve">These guidelines provide advice on the correct use of multi-dose vials and </w:t>
      </w:r>
      <w:r w:rsidR="007E4F42" w:rsidRPr="5BED63B7">
        <w:t xml:space="preserve">are </w:t>
      </w:r>
      <w:r w:rsidRPr="5BED63B7">
        <w:t xml:space="preserve">provided in the context of the COVID-19 pandemic to minimise the risks of vial contamination, administration errors </w:t>
      </w:r>
      <w:r w:rsidRPr="00672ADC">
        <w:t xml:space="preserve">and vaccine wastage. </w:t>
      </w:r>
    </w:p>
    <w:p w14:paraId="0BD027BA" w14:textId="695260BE" w:rsidR="007A5E54" w:rsidRPr="00672ADC" w:rsidRDefault="56983ADE" w:rsidP="5615D64D">
      <w:pPr>
        <w:rPr>
          <w:rStyle w:val="Hyperlink"/>
          <w:rFonts w:ascii="Segoe UI" w:eastAsia="Segoe UI" w:hAnsi="Segoe UI" w:cs="Segoe UI"/>
          <w:sz w:val="20"/>
        </w:rPr>
      </w:pPr>
      <w:r>
        <w:t xml:space="preserve">There are multiple formulations of COVID-19 vaccines. For detailed information refer to </w:t>
      </w:r>
      <w:hyperlink r:id="rId12" w:history="1">
        <w:r w:rsidR="00D86B40" w:rsidRPr="007C765D">
          <w:rPr>
            <w:rStyle w:val="Hyperlink"/>
          </w:rPr>
          <w:t>https://www.health.gov.au/resources/publications/covid-19-vaccines-in-australia-a3-poster?language=en</w:t>
        </w:r>
      </w:hyperlink>
      <w:r w:rsidRPr="007C765D">
        <w:rPr>
          <w:rStyle w:val="Hyperlink"/>
          <w:rFonts w:ascii="Segoe UI" w:eastAsia="Segoe UI" w:hAnsi="Segoe UI" w:cs="Segoe UI"/>
          <w:sz w:val="20"/>
        </w:rPr>
        <w:t>.</w:t>
      </w:r>
      <w:r w:rsidRPr="5615D64D">
        <w:rPr>
          <w:rStyle w:val="Hyperlink"/>
          <w:rFonts w:ascii="Segoe UI" w:eastAsia="Segoe UI" w:hAnsi="Segoe UI" w:cs="Segoe UI"/>
          <w:sz w:val="20"/>
        </w:rPr>
        <w:t xml:space="preserve"> </w:t>
      </w:r>
    </w:p>
    <w:p w14:paraId="6FEA4C49" w14:textId="4121BFBE" w:rsidR="0AB5B8EA" w:rsidRDefault="0AB5B8EA">
      <w:r>
        <w:br w:type="page"/>
      </w:r>
    </w:p>
    <w:p w14:paraId="161C0A4C" w14:textId="1B794E40" w:rsidR="00A50AB3" w:rsidRPr="00672ADC" w:rsidRDefault="18220077" w:rsidP="17CF8FCB">
      <w:pPr>
        <w:rPr>
          <w:rStyle w:val="Strong"/>
        </w:rPr>
      </w:pPr>
      <w:r w:rsidRPr="5615D64D">
        <w:rPr>
          <w:rStyle w:val="Strong"/>
        </w:rPr>
        <w:lastRenderedPageBreak/>
        <w:t xml:space="preserve">PLEASE </w:t>
      </w:r>
      <w:r w:rsidRPr="00791DA4">
        <w:rPr>
          <w:rStyle w:val="Strong"/>
        </w:rPr>
        <w:t xml:space="preserve">NOTE: </w:t>
      </w:r>
      <w:r w:rsidR="7A4CEC6A" w:rsidRPr="00791DA4">
        <w:rPr>
          <w:rStyle w:val="Strong"/>
        </w:rPr>
        <w:t xml:space="preserve">MOST </w:t>
      </w:r>
      <w:r w:rsidRPr="00791DA4">
        <w:rPr>
          <w:rStyle w:val="Strong"/>
        </w:rPr>
        <w:t>COVID-19 VACCINE</w:t>
      </w:r>
      <w:r w:rsidRPr="5615D64D">
        <w:rPr>
          <w:rStyle w:val="Strong"/>
        </w:rPr>
        <w:t xml:space="preserve"> VIALS CONTAIN MULTIPLE DOSES. DO NOT ADMINISTER THE ENTIRE CONTENTS OF A VIAL TO A SINGLE PATIENT.</w:t>
      </w:r>
    </w:p>
    <w:p w14:paraId="4CC3C719" w14:textId="5ED9C5B0" w:rsidR="00A50AB3" w:rsidRPr="00C671E1" w:rsidRDefault="00221643" w:rsidP="00C671E1">
      <w:pPr>
        <w:pStyle w:val="Heading2"/>
      </w:pPr>
      <w:r w:rsidRPr="00672ADC">
        <w:t xml:space="preserve">Equipment </w:t>
      </w:r>
      <w:proofErr w:type="gramStart"/>
      <w:r w:rsidRPr="00672ADC">
        <w:t>required</w:t>
      </w:r>
      <w:proofErr w:type="gramEnd"/>
    </w:p>
    <w:p w14:paraId="0DB9DA7C" w14:textId="2D98FE38" w:rsidR="00A50AB3" w:rsidRPr="00672ADC" w:rsidRDefault="00A50AB3" w:rsidP="007A5E54">
      <w:pPr>
        <w:rPr>
          <w:szCs w:val="22"/>
        </w:rPr>
      </w:pPr>
      <w:r w:rsidRPr="00672ADC">
        <w:rPr>
          <w:szCs w:val="22"/>
        </w:rPr>
        <w:t xml:space="preserve">Sites must have the equipment listed in the </w:t>
      </w:r>
      <w:hyperlink r:id="rId13">
        <w:r w:rsidRPr="00672ADC">
          <w:rPr>
            <w:rStyle w:val="Hyperlink"/>
            <w:szCs w:val="22"/>
          </w:rPr>
          <w:t>ATAGI Checklist of minimum equipment requirements to administer COVID-19 vaccines</w:t>
        </w:r>
      </w:hyperlink>
      <w:r w:rsidR="005634CC" w:rsidRPr="00672ADC">
        <w:rPr>
          <w:szCs w:val="22"/>
        </w:rPr>
        <w:t>, i</w:t>
      </w:r>
      <w:r w:rsidRPr="00672ADC">
        <w:rPr>
          <w:szCs w:val="22"/>
        </w:rPr>
        <w:t>ncluding:</w:t>
      </w:r>
    </w:p>
    <w:p w14:paraId="2DFF76B4" w14:textId="5CCE11DB" w:rsidR="00A50AB3" w:rsidRPr="00672ADC" w:rsidRDefault="31D226CA" w:rsidP="00C671E1">
      <w:pPr>
        <w:pStyle w:val="ListBullet"/>
      </w:pPr>
      <w:r w:rsidRPr="00672ADC">
        <w:t>a</w:t>
      </w:r>
      <w:r w:rsidR="00A50AB3" w:rsidRPr="00672ADC">
        <w:t xml:space="preserve">ccess to a clean preparation area for drawing up vaccine dose(s), away from direct patient contact and </w:t>
      </w:r>
      <w:proofErr w:type="gramStart"/>
      <w:r w:rsidR="00A50AB3" w:rsidRPr="00672ADC">
        <w:t>distraction</w:t>
      </w:r>
      <w:proofErr w:type="gramEnd"/>
    </w:p>
    <w:p w14:paraId="3C799EF3" w14:textId="66ADF0DE" w:rsidR="00A50AB3" w:rsidRPr="00672ADC" w:rsidRDefault="2BA9DA87" w:rsidP="00C671E1">
      <w:pPr>
        <w:pStyle w:val="ListBullet"/>
      </w:pPr>
      <w:r w:rsidRPr="00672ADC">
        <w:t>m</w:t>
      </w:r>
      <w:r w:rsidR="00A50AB3" w:rsidRPr="00672ADC">
        <w:t>ulti-dose vial(s) of COVID-19 vaccine</w:t>
      </w:r>
      <w:r w:rsidR="007A5E54" w:rsidRPr="00672ADC">
        <w:t>.</w:t>
      </w:r>
    </w:p>
    <w:p w14:paraId="20D395AA" w14:textId="79E47C11" w:rsidR="00A50AB3" w:rsidRPr="00672ADC" w:rsidRDefault="00A50AB3" w:rsidP="007A5E54">
      <w:r w:rsidRPr="00672ADC">
        <w:t xml:space="preserve">Note: </w:t>
      </w:r>
      <w:r w:rsidR="1DDAE6BF" w:rsidRPr="00672ADC">
        <w:t>v</w:t>
      </w:r>
      <w:r w:rsidRPr="00672ADC">
        <w:t>accine presentation and instructions for handling and vaccine administration vary by the brand and manufacturer</w:t>
      </w:r>
      <w:r w:rsidR="009D65C1" w:rsidRPr="00672ADC">
        <w:t>.</w:t>
      </w:r>
    </w:p>
    <w:p w14:paraId="702155E0" w14:textId="4D7888A5" w:rsidR="00A50AB3" w:rsidRPr="00C671E1" w:rsidRDefault="009D65C1" w:rsidP="007A5E54">
      <w:pPr>
        <w:rPr>
          <w:rStyle w:val="Strong"/>
        </w:rPr>
      </w:pPr>
      <w:r w:rsidRPr="00C671E1">
        <w:rPr>
          <w:rStyle w:val="Strong"/>
        </w:rPr>
        <w:t>F</w:t>
      </w:r>
      <w:r w:rsidR="00A50AB3" w:rsidRPr="00C671E1">
        <w:rPr>
          <w:rStyle w:val="Strong"/>
        </w:rPr>
        <w:t>or dose preparation:</w:t>
      </w:r>
    </w:p>
    <w:p w14:paraId="1D654803" w14:textId="241EEE25" w:rsidR="009D65C1" w:rsidRPr="00672ADC" w:rsidRDefault="009D65C1" w:rsidP="00C671E1">
      <w:pPr>
        <w:pStyle w:val="ListBullet"/>
      </w:pPr>
      <w:r w:rsidRPr="00672ADC">
        <w:t xml:space="preserve">A </w:t>
      </w:r>
      <w:r w:rsidR="00A50AB3" w:rsidRPr="00672ADC">
        <w:t xml:space="preserve">separate sterile single use syringe of an appropriate volume for each dose </w:t>
      </w:r>
      <w:r w:rsidR="005634CC" w:rsidRPr="00672ADC">
        <w:t xml:space="preserve">to </w:t>
      </w:r>
      <w:r w:rsidR="00A50AB3" w:rsidRPr="00672ADC">
        <w:t xml:space="preserve">be </w:t>
      </w:r>
      <w:proofErr w:type="gramStart"/>
      <w:r w:rsidR="00A50AB3" w:rsidRPr="00672ADC">
        <w:t>given</w:t>
      </w:r>
      <w:proofErr w:type="gramEnd"/>
    </w:p>
    <w:p w14:paraId="02918C70" w14:textId="4D13619A" w:rsidR="009D65C1" w:rsidRPr="00672ADC" w:rsidRDefault="00A50AB3" w:rsidP="00C671E1">
      <w:pPr>
        <w:pStyle w:val="ListBullet2"/>
      </w:pPr>
      <w:r w:rsidRPr="00672ADC">
        <w:t>a 1mL syringe for doses &lt; 0.5mL</w:t>
      </w:r>
    </w:p>
    <w:p w14:paraId="6B747BBD" w14:textId="00341BEF" w:rsidR="009D65C1" w:rsidRPr="00672ADC" w:rsidRDefault="005634CC" w:rsidP="00C671E1">
      <w:pPr>
        <w:pStyle w:val="ListBullet2"/>
      </w:pPr>
      <w:r w:rsidRPr="00672ADC">
        <w:t xml:space="preserve">a </w:t>
      </w:r>
      <w:r w:rsidR="141D4CE3" w:rsidRPr="00672ADC">
        <w:t xml:space="preserve">2-3mL syringe for doses </w:t>
      </w:r>
      <w:r w:rsidR="141D4CE3" w:rsidRPr="00672ADC">
        <w:rPr>
          <w:u w:val="single"/>
        </w:rPr>
        <w:t>&gt;</w:t>
      </w:r>
      <w:r w:rsidR="141D4CE3" w:rsidRPr="00672ADC">
        <w:t>0.5mL</w:t>
      </w:r>
    </w:p>
    <w:p w14:paraId="49E85847" w14:textId="1C6BC7F9" w:rsidR="00A50AB3" w:rsidRPr="00672ADC" w:rsidRDefault="4749827D" w:rsidP="00C671E1">
      <w:pPr>
        <w:pStyle w:val="ListBullet2"/>
      </w:pPr>
      <w:r w:rsidRPr="5615D64D">
        <w:t>a l</w:t>
      </w:r>
      <w:r w:rsidR="7997FBD2" w:rsidRPr="5615D64D">
        <w:t>ow dead space syringe is</w:t>
      </w:r>
      <w:r w:rsidR="72F327AB" w:rsidRPr="5615D64D">
        <w:t xml:space="preserve"> recommended</w:t>
      </w:r>
      <w:r w:rsidR="7997FBD2" w:rsidRPr="5615D64D">
        <w:t xml:space="preserve"> for</w:t>
      </w:r>
      <w:r w:rsidR="517D0943" w:rsidRPr="5615D64D">
        <w:t xml:space="preserve"> the</w:t>
      </w:r>
      <w:r w:rsidR="7997FBD2" w:rsidRPr="5615D64D">
        <w:t xml:space="preserve"> paediatric </w:t>
      </w:r>
      <w:proofErr w:type="gramStart"/>
      <w:r w:rsidR="517D0943" w:rsidRPr="5615D64D">
        <w:t>formulation</w:t>
      </w:r>
      <w:r w:rsidR="28962836" w:rsidRPr="5615D64D">
        <w:t>s</w:t>
      </w:r>
      <w:proofErr w:type="gramEnd"/>
    </w:p>
    <w:p w14:paraId="718F76D4" w14:textId="1329A414" w:rsidR="00A50AB3" w:rsidRPr="00672ADC" w:rsidRDefault="00A50AB3" w:rsidP="00C671E1">
      <w:pPr>
        <w:pStyle w:val="ListBullet"/>
      </w:pPr>
      <w:r w:rsidRPr="00672ADC">
        <w:t>sterile bevelled drawing up needle</w:t>
      </w:r>
      <w:r w:rsidR="00F968A9" w:rsidRPr="00672ADC">
        <w:t>, 19-21 gauge preferred</w:t>
      </w:r>
      <w:r w:rsidR="00737540" w:rsidRPr="00672ADC">
        <w:t xml:space="preserve"> (not required if using the same needle to draw up and administer the vaccine</w:t>
      </w:r>
      <w:r w:rsidR="703123FA" w:rsidRPr="00672ADC">
        <w:t>,</w:t>
      </w:r>
      <w:r w:rsidR="000757C8" w:rsidRPr="00672ADC">
        <w:t xml:space="preserve"> </w:t>
      </w:r>
      <w:r w:rsidR="000E10E8" w:rsidRPr="00672ADC">
        <w:t>for example with</w:t>
      </w:r>
      <w:r w:rsidR="000757C8" w:rsidRPr="00672ADC">
        <w:t xml:space="preserve"> the paediatric formulation of </w:t>
      </w:r>
      <w:r w:rsidR="026B7607" w:rsidRPr="00672ADC">
        <w:t xml:space="preserve">the </w:t>
      </w:r>
      <w:r w:rsidR="000757C8" w:rsidRPr="00672ADC">
        <w:t>Pfizer vaccine</w:t>
      </w:r>
      <w:r w:rsidR="00737540" w:rsidRPr="00672ADC">
        <w:t>)</w:t>
      </w:r>
      <w:r w:rsidR="009D65C1" w:rsidRPr="00672ADC">
        <w:t>.</w:t>
      </w:r>
    </w:p>
    <w:p w14:paraId="27CE9775" w14:textId="4FCE91CB" w:rsidR="00A50AB3" w:rsidRPr="00672ADC" w:rsidRDefault="08CF4DA1" w:rsidP="00C671E1">
      <w:pPr>
        <w:pStyle w:val="ListBullet"/>
      </w:pPr>
      <w:r w:rsidRPr="00672ADC">
        <w:t xml:space="preserve">separate sterile single use injecting needle </w:t>
      </w:r>
      <w:r w:rsidR="7554B8B6" w:rsidRPr="00672ADC">
        <w:t>(22-25 gauge</w:t>
      </w:r>
      <w:r w:rsidR="57A6878C" w:rsidRPr="00672ADC">
        <w:t xml:space="preserve">, 25mm long for </w:t>
      </w:r>
      <w:r w:rsidR="4511ADEE" w:rsidRPr="00672ADC">
        <w:t xml:space="preserve">a </w:t>
      </w:r>
      <w:r w:rsidR="57A6878C" w:rsidRPr="00672ADC">
        <w:t xml:space="preserve">child or adult, 38mm long for </w:t>
      </w:r>
      <w:r w:rsidR="3DCAA41F" w:rsidRPr="00672ADC">
        <w:t xml:space="preserve">a </w:t>
      </w:r>
      <w:r w:rsidR="57A6878C" w:rsidRPr="00672ADC">
        <w:t>very large or obese person</w:t>
      </w:r>
      <w:r w:rsidR="7554B8B6" w:rsidRPr="00672ADC">
        <w:t xml:space="preserve">) </w:t>
      </w:r>
      <w:r w:rsidRPr="00672ADC">
        <w:t>for each dose that will be given</w:t>
      </w:r>
      <w:r w:rsidR="0074699F" w:rsidRPr="00672ADC">
        <w:t xml:space="preserve">. </w:t>
      </w:r>
      <w:r w:rsidR="00DD2645" w:rsidRPr="00672ADC">
        <w:t>A</w:t>
      </w:r>
      <w:r w:rsidR="0074699F" w:rsidRPr="00672ADC">
        <w:t xml:space="preserve"> low dead space needle is </w:t>
      </w:r>
      <w:r w:rsidR="003B5A91" w:rsidRPr="00672ADC">
        <w:t>recommended</w:t>
      </w:r>
      <w:r w:rsidR="430B3EA7" w:rsidRPr="00672ADC">
        <w:t xml:space="preserve"> for paediatric formulations</w:t>
      </w:r>
      <w:r w:rsidR="000F1756" w:rsidRPr="00672ADC">
        <w:t>; where this is not available</w:t>
      </w:r>
      <w:r w:rsidR="00DD2645" w:rsidRPr="00672ADC">
        <w:t>,</w:t>
      </w:r>
      <w:r w:rsidR="000F1756" w:rsidRPr="00672ADC">
        <w:t xml:space="preserve"> a</w:t>
      </w:r>
      <w:r w:rsidR="008212AB" w:rsidRPr="00672ADC">
        <w:t xml:space="preserve"> standard </w:t>
      </w:r>
      <w:r w:rsidR="00E94EEF" w:rsidRPr="00672ADC">
        <w:t xml:space="preserve">sterile </w:t>
      </w:r>
      <w:r w:rsidR="000F1756" w:rsidRPr="00672ADC">
        <w:t>single use injecting needle is acceptable</w:t>
      </w:r>
      <w:r w:rsidR="009D65C1" w:rsidRPr="00672ADC">
        <w:t>.</w:t>
      </w:r>
    </w:p>
    <w:p w14:paraId="2881EF72" w14:textId="575F9640" w:rsidR="009D65C1" w:rsidRPr="00672ADC" w:rsidRDefault="00B02DD8" w:rsidP="00C671E1">
      <w:pPr>
        <w:pStyle w:val="ListBullet"/>
      </w:pPr>
      <w:r w:rsidRPr="5615D64D">
        <w:t xml:space="preserve">sterile 0.9% </w:t>
      </w:r>
      <w:r w:rsidR="00A31820" w:rsidRPr="5615D64D">
        <w:t>sodium chloride</w:t>
      </w:r>
      <w:r w:rsidRPr="5615D64D">
        <w:t xml:space="preserve"> (</w:t>
      </w:r>
      <w:r w:rsidR="00A31820" w:rsidRPr="5615D64D">
        <w:t>NaCl</w:t>
      </w:r>
      <w:r w:rsidRPr="5615D64D">
        <w:t>) without preservative for dilution of Pfizer</w:t>
      </w:r>
      <w:r w:rsidR="009D65C1" w:rsidRPr="5615D64D">
        <w:t>.</w:t>
      </w:r>
    </w:p>
    <w:p w14:paraId="0A77FFA8" w14:textId="654AA3CC" w:rsidR="009D65C1" w:rsidRPr="007A5E54" w:rsidRDefault="005634CC" w:rsidP="007963FB">
      <w:pPr>
        <w:pStyle w:val="ListBullet2"/>
      </w:pPr>
      <w:r w:rsidRPr="00672ADC">
        <w:t>a</w:t>
      </w:r>
      <w:r w:rsidR="791EA1E5" w:rsidRPr="00672ADC">
        <w:t xml:space="preserve">dolescent/adult </w:t>
      </w:r>
      <w:r w:rsidR="6E21FB33" w:rsidRPr="00672ADC">
        <w:t xml:space="preserve">formulation of </w:t>
      </w:r>
      <w:r w:rsidR="791EA1E5" w:rsidRPr="00672ADC">
        <w:t xml:space="preserve">Pfizer: </w:t>
      </w:r>
      <w:r w:rsidR="00B02DD8" w:rsidRPr="00672ADC">
        <w:t>1.8mL</w:t>
      </w:r>
      <w:r w:rsidR="00B02DD8" w:rsidRPr="007A5E54">
        <w:t xml:space="preserve"> for </w:t>
      </w:r>
      <w:r w:rsidR="00A31820" w:rsidRPr="007A5E54">
        <w:t>dilu</w:t>
      </w:r>
      <w:r w:rsidR="00B02DD8" w:rsidRPr="007A5E54">
        <w:t>tion</w:t>
      </w:r>
    </w:p>
    <w:p w14:paraId="6B675B99" w14:textId="2D1FFB0D" w:rsidR="00B02DD8" w:rsidRPr="007A5E54" w:rsidRDefault="005634CC" w:rsidP="00C671E1">
      <w:pPr>
        <w:pStyle w:val="ListBullet2"/>
      </w:pPr>
      <w:r w:rsidRPr="007A5E54">
        <w:t>p</w:t>
      </w:r>
      <w:r w:rsidR="370EBE49" w:rsidRPr="007A5E54">
        <w:t xml:space="preserve">aediatric </w:t>
      </w:r>
      <w:r w:rsidR="483381B0" w:rsidRPr="007A5E54">
        <w:t>formulation of Pfizer:</w:t>
      </w:r>
      <w:r w:rsidR="00B02DD8" w:rsidRPr="007A5E54">
        <w:t xml:space="preserve"> 1.3mL for dilution</w:t>
      </w:r>
    </w:p>
    <w:p w14:paraId="3B952178" w14:textId="7D0D9B33" w:rsidR="00A50AB3" w:rsidRPr="007A5E54" w:rsidRDefault="00A50AB3" w:rsidP="00C671E1">
      <w:pPr>
        <w:pStyle w:val="ListBullet"/>
      </w:pPr>
      <w:r w:rsidRPr="007A5E54">
        <w:t>procedure tray of suitable size to hold the prepared dose(s)</w:t>
      </w:r>
    </w:p>
    <w:p w14:paraId="6331DABF" w14:textId="629E6BFB" w:rsidR="00A50AB3" w:rsidRPr="00672ADC" w:rsidRDefault="00A50AB3" w:rsidP="00C671E1">
      <w:pPr>
        <w:pStyle w:val="ListBullet"/>
      </w:pPr>
      <w:r w:rsidRPr="007A5E54">
        <w:t>70</w:t>
      </w:r>
      <w:r w:rsidRPr="00672ADC">
        <w:t>% isopropyl alcohol wipes</w:t>
      </w:r>
    </w:p>
    <w:p w14:paraId="0AA1CFA5" w14:textId="39FE6E2F" w:rsidR="00A50AB3" w:rsidRPr="00672ADC" w:rsidRDefault="00A50AB3" w:rsidP="00C671E1">
      <w:pPr>
        <w:pStyle w:val="ListBullet"/>
      </w:pPr>
      <w:r w:rsidRPr="00672ADC">
        <w:t>approved suitable sharps disposal container</w:t>
      </w:r>
      <w:r w:rsidR="007A5E54" w:rsidRPr="00672ADC">
        <w:t>.</w:t>
      </w:r>
    </w:p>
    <w:p w14:paraId="7CA7A2E3" w14:textId="6DE361AA" w:rsidR="00A50AB3" w:rsidRPr="00672ADC" w:rsidRDefault="00A50AB3" w:rsidP="007A5E54">
      <w:r>
        <w:t>Note: fixed dose integrated needle/syringe devices</w:t>
      </w:r>
      <w:r w:rsidR="00AB7FEF">
        <w:t>,</w:t>
      </w:r>
      <w:r>
        <w:t xml:space="preserve"> such as the </w:t>
      </w:r>
      <w:proofErr w:type="spellStart"/>
      <w:r>
        <w:t>SoloShot</w:t>
      </w:r>
      <w:proofErr w:type="spellEnd"/>
      <w:r>
        <w:t xml:space="preserve"> </w:t>
      </w:r>
      <w:proofErr w:type="spellStart"/>
      <w:r>
        <w:t>Mini</w:t>
      </w:r>
      <w:r w:rsidRPr="5615D64D">
        <w:rPr>
          <w:vertAlign w:val="superscript"/>
        </w:rPr>
        <w:t>TM</w:t>
      </w:r>
      <w:proofErr w:type="spellEnd"/>
      <w:r>
        <w:t xml:space="preserve"> 0.5mL</w:t>
      </w:r>
      <w:r w:rsidR="00AB7FEF">
        <w:t>,</w:t>
      </w:r>
      <w:r>
        <w:t xml:space="preserve"> </w:t>
      </w:r>
      <w:r w:rsidR="002D2B08">
        <w:t xml:space="preserve">measure a fixed dose of 0.5mL. They can be used for vaccine doses which require 0.5mL. They </w:t>
      </w:r>
      <w:r>
        <w:t xml:space="preserve">are </w:t>
      </w:r>
      <w:r w:rsidRPr="5615D64D">
        <w:rPr>
          <w:rStyle w:val="Strong"/>
          <w:b w:val="0"/>
          <w:bCs w:val="0"/>
        </w:rPr>
        <w:t>not suitable</w:t>
      </w:r>
      <w:r w:rsidRPr="5615D64D">
        <w:rPr>
          <w:b/>
          <w:bCs/>
        </w:rPr>
        <w:t xml:space="preserve"> </w:t>
      </w:r>
      <w:r>
        <w:t>for use with</w:t>
      </w:r>
      <w:r w:rsidR="00F029EF">
        <w:t xml:space="preserve"> </w:t>
      </w:r>
      <w:r w:rsidR="4797070D">
        <w:t xml:space="preserve">Pfizer vaccines </w:t>
      </w:r>
      <w:r>
        <w:t xml:space="preserve">because they cannot be used to accurately measure the </w:t>
      </w:r>
      <w:r w:rsidR="007A5E54">
        <w:t xml:space="preserve">doses under </w:t>
      </w:r>
      <w:r w:rsidR="66117FED">
        <w:t>0.5mL.</w:t>
      </w:r>
    </w:p>
    <w:p w14:paraId="4620D646" w14:textId="6D882CFC" w:rsidR="00A50AB3" w:rsidRPr="00C671E1" w:rsidRDefault="007A5E54" w:rsidP="007A5E54">
      <w:pPr>
        <w:rPr>
          <w:rStyle w:val="Strong"/>
        </w:rPr>
      </w:pPr>
      <w:r w:rsidRPr="00C671E1">
        <w:rPr>
          <w:rStyle w:val="Strong"/>
        </w:rPr>
        <w:t>I</w:t>
      </w:r>
      <w:r w:rsidR="00A50AB3" w:rsidRPr="00C671E1">
        <w:rPr>
          <w:rStyle w:val="Strong"/>
        </w:rPr>
        <w:t>f drawing up several doses for use during an immunisation session, have a suitably sized, clean container and labelled clearly with</w:t>
      </w:r>
      <w:r w:rsidR="00AB7FEF" w:rsidRPr="00C671E1">
        <w:rPr>
          <w:rStyle w:val="Strong"/>
        </w:rPr>
        <w:t xml:space="preserve"> the</w:t>
      </w:r>
      <w:r w:rsidR="00A50AB3" w:rsidRPr="00C671E1">
        <w:rPr>
          <w:rStyle w:val="Strong"/>
        </w:rPr>
        <w:t>:</w:t>
      </w:r>
    </w:p>
    <w:p w14:paraId="74C92659" w14:textId="67C0C77C" w:rsidR="00A50AB3" w:rsidRPr="00672ADC" w:rsidRDefault="00A50AB3" w:rsidP="00C671E1">
      <w:pPr>
        <w:pStyle w:val="ListBullet"/>
      </w:pPr>
      <w:r w:rsidRPr="00672ADC">
        <w:t xml:space="preserve">date and time doses were </w:t>
      </w:r>
      <w:proofErr w:type="gramStart"/>
      <w:r w:rsidRPr="00672ADC">
        <w:t>drawn</w:t>
      </w:r>
      <w:proofErr w:type="gramEnd"/>
    </w:p>
    <w:p w14:paraId="63D12C40" w14:textId="69B1D4EF" w:rsidR="00A50AB3" w:rsidRPr="00672ADC" w:rsidRDefault="00A50AB3" w:rsidP="00C671E1">
      <w:pPr>
        <w:pStyle w:val="ListBullet"/>
      </w:pPr>
      <w:r w:rsidRPr="00672ADC">
        <w:t xml:space="preserve">name of the person who prepared the </w:t>
      </w:r>
      <w:proofErr w:type="gramStart"/>
      <w:r w:rsidRPr="00672ADC">
        <w:t>doses</w:t>
      </w:r>
      <w:proofErr w:type="gramEnd"/>
    </w:p>
    <w:p w14:paraId="6A9B8045" w14:textId="11DD90BE" w:rsidR="00A50AB3" w:rsidRPr="00672ADC" w:rsidRDefault="00A50AB3" w:rsidP="00C671E1">
      <w:pPr>
        <w:pStyle w:val="ListBullet"/>
      </w:pPr>
      <w:r w:rsidRPr="00672ADC">
        <w:t>vaccine name</w:t>
      </w:r>
    </w:p>
    <w:p w14:paraId="6A94BBEB" w14:textId="73C90DD6" w:rsidR="00A50AB3" w:rsidRPr="007A5E54" w:rsidRDefault="00A50AB3" w:rsidP="00C671E1">
      <w:pPr>
        <w:pStyle w:val="ListBullet"/>
      </w:pPr>
      <w:r w:rsidRPr="007A5E54">
        <w:t xml:space="preserve">vial batch number </w:t>
      </w:r>
    </w:p>
    <w:p w14:paraId="3AAA6355" w14:textId="230DF9CA" w:rsidR="00F13EE2" w:rsidRPr="007A5E54" w:rsidRDefault="00F13EE2" w:rsidP="00C671E1">
      <w:pPr>
        <w:pStyle w:val="ListBullet"/>
      </w:pPr>
      <w:r w:rsidRPr="007A5E54">
        <w:t>vial identifier (if available)</w:t>
      </w:r>
    </w:p>
    <w:p w14:paraId="6A348815" w14:textId="49D62525" w:rsidR="00F13EE2" w:rsidRPr="007A5E54" w:rsidRDefault="00F13EE2" w:rsidP="00C671E1">
      <w:pPr>
        <w:pStyle w:val="ListBullet"/>
      </w:pPr>
      <w:r w:rsidRPr="007A5E54">
        <w:t>expiry time of drawn doses</w:t>
      </w:r>
      <w:r w:rsidR="005634CC" w:rsidRPr="007A5E54">
        <w:t>.</w:t>
      </w:r>
    </w:p>
    <w:p w14:paraId="4AA9CDBB" w14:textId="5A906B33" w:rsidR="00737540" w:rsidRPr="00351EB2" w:rsidRDefault="00605B68" w:rsidP="007A5E54">
      <w:r w:rsidRPr="5BED63B7">
        <w:t xml:space="preserve">Prepared doses should be stored in line with current recommendations. </w:t>
      </w:r>
      <w:r w:rsidR="00737540" w:rsidRPr="5BED63B7">
        <w:t>ATAGI recommends that</w:t>
      </w:r>
      <w:r w:rsidR="1A71766B" w:rsidRPr="5BED63B7">
        <w:t>,</w:t>
      </w:r>
      <w:r w:rsidR="00737540" w:rsidRPr="5BED63B7">
        <w:t xml:space="preserve"> when possible, pre</w:t>
      </w:r>
      <w:r w:rsidR="00582D02" w:rsidRPr="5BED63B7">
        <w:t>-</w:t>
      </w:r>
      <w:r w:rsidR="00737540" w:rsidRPr="5BED63B7">
        <w:t>drawn doses in syringes should be used within</w:t>
      </w:r>
      <w:r w:rsidR="00AB7FEF" w:rsidRPr="5BED63B7">
        <w:t xml:space="preserve"> one </w:t>
      </w:r>
      <w:r w:rsidR="00737540" w:rsidRPr="5BED63B7">
        <w:t>hour if kept at room temperature, and within 6 hours if kept at 2</w:t>
      </w:r>
      <w:r w:rsidR="00AB7FEF" w:rsidRPr="5BED63B7">
        <w:t>–</w:t>
      </w:r>
      <w:r w:rsidR="00737540" w:rsidRPr="5BED63B7">
        <w:t>8°C. This is to minimise any risk of infection.</w:t>
      </w:r>
      <w:r w:rsidR="00D31FDA" w:rsidRPr="5BED63B7">
        <w:t xml:space="preserve"> However, </w:t>
      </w:r>
      <w:r w:rsidR="002C6252" w:rsidRPr="5BED63B7">
        <w:t xml:space="preserve">data on stability of pre-drawn doses </w:t>
      </w:r>
      <w:r w:rsidR="5FE7C47F" w:rsidRPr="5BED63B7">
        <w:t xml:space="preserve">of the Novavax vaccine </w:t>
      </w:r>
      <w:r w:rsidR="002C6252" w:rsidRPr="5BED63B7">
        <w:t>in syringes are not available and storing pre-drawn doses of this vaccine in syringes is not preferred</w:t>
      </w:r>
      <w:r w:rsidR="00D31FDA" w:rsidRPr="5BED63B7">
        <w:t>.</w:t>
      </w:r>
    </w:p>
    <w:p w14:paraId="130A98E2" w14:textId="77777777" w:rsidR="00E545BC" w:rsidRPr="007963FB" w:rsidRDefault="509DD0C4" w:rsidP="007A5E54">
      <w:r w:rsidRPr="5BED63B7">
        <w:rPr>
          <w:color w:val="auto"/>
        </w:rPr>
        <w:t>The age-</w:t>
      </w:r>
      <w:r w:rsidRPr="00672ADC">
        <w:rPr>
          <w:color w:val="auto"/>
        </w:rPr>
        <w:t xml:space="preserve">appropriate formulation </w:t>
      </w:r>
      <w:r w:rsidR="3EB604F6" w:rsidRPr="00672ADC">
        <w:rPr>
          <w:color w:val="auto"/>
        </w:rPr>
        <w:t xml:space="preserve">of any COVID-19 vaccine </w:t>
      </w:r>
      <w:r w:rsidRPr="00672ADC">
        <w:rPr>
          <w:color w:val="auto"/>
        </w:rPr>
        <w:t>should be used to ensure the correct dosage is administered</w:t>
      </w:r>
      <w:r w:rsidRPr="007963FB">
        <w:t>.</w:t>
      </w:r>
    </w:p>
    <w:p w14:paraId="5E95B4FA" w14:textId="57A52B2F" w:rsidR="00CE1C14" w:rsidRPr="007963FB" w:rsidRDefault="558FF580" w:rsidP="007A5E54">
      <w:r w:rsidRPr="00672ADC">
        <w:rPr>
          <w:color w:val="auto"/>
        </w:rPr>
        <w:lastRenderedPageBreak/>
        <w:t xml:space="preserve">To reduce the risk of administration error, </w:t>
      </w:r>
      <w:r w:rsidR="5FCA0D3A" w:rsidRPr="00672ADC">
        <w:rPr>
          <w:color w:val="auto"/>
        </w:rPr>
        <w:t xml:space="preserve">the paediatric and </w:t>
      </w:r>
      <w:r w:rsidR="2B1B4699" w:rsidRPr="00672ADC">
        <w:rPr>
          <w:color w:val="auto"/>
        </w:rPr>
        <w:t>adolescent/</w:t>
      </w:r>
      <w:r w:rsidR="5FCA0D3A" w:rsidRPr="00672ADC">
        <w:rPr>
          <w:color w:val="auto"/>
        </w:rPr>
        <w:t xml:space="preserve">adult </w:t>
      </w:r>
      <w:r w:rsidR="7A332D08" w:rsidRPr="00672ADC">
        <w:rPr>
          <w:color w:val="auto"/>
        </w:rPr>
        <w:t xml:space="preserve">formulations of </w:t>
      </w:r>
      <w:r w:rsidR="5F63925D" w:rsidRPr="00672ADC">
        <w:rPr>
          <w:color w:val="auto"/>
        </w:rPr>
        <w:t>COVID-19</w:t>
      </w:r>
      <w:r w:rsidR="7A332D08" w:rsidRPr="00672ADC">
        <w:rPr>
          <w:color w:val="auto"/>
        </w:rPr>
        <w:t xml:space="preserve"> </w:t>
      </w:r>
      <w:r w:rsidR="6932A295" w:rsidRPr="00672ADC">
        <w:rPr>
          <w:color w:val="auto"/>
        </w:rPr>
        <w:t xml:space="preserve">vaccine </w:t>
      </w:r>
      <w:r w:rsidR="7A332D08" w:rsidRPr="00672ADC">
        <w:rPr>
          <w:color w:val="auto"/>
        </w:rPr>
        <w:t>vials (</w:t>
      </w:r>
      <w:r w:rsidR="62A79AAA" w:rsidRPr="00672ADC">
        <w:rPr>
          <w:color w:val="auto"/>
        </w:rPr>
        <w:t>incl</w:t>
      </w:r>
      <w:r w:rsidR="55C08BC4" w:rsidRPr="00672ADC">
        <w:rPr>
          <w:color w:val="auto"/>
        </w:rPr>
        <w:t xml:space="preserve">uding both </w:t>
      </w:r>
      <w:r w:rsidR="7A332D08" w:rsidRPr="00672ADC">
        <w:rPr>
          <w:color w:val="auto"/>
        </w:rPr>
        <w:t>vaccine and saline solution) and</w:t>
      </w:r>
      <w:r w:rsidR="26799C04" w:rsidRPr="00672ADC">
        <w:rPr>
          <w:color w:val="auto"/>
        </w:rPr>
        <w:t xml:space="preserve"> any</w:t>
      </w:r>
      <w:r w:rsidR="7A332D08" w:rsidRPr="00672ADC">
        <w:rPr>
          <w:color w:val="auto"/>
        </w:rPr>
        <w:t xml:space="preserve"> prepared doses should be stored separately </w:t>
      </w:r>
      <w:r w:rsidR="542168CF" w:rsidRPr="00672ADC">
        <w:rPr>
          <w:color w:val="auto"/>
        </w:rPr>
        <w:t xml:space="preserve">from each other </w:t>
      </w:r>
      <w:r w:rsidR="7A332D08" w:rsidRPr="00672ADC">
        <w:rPr>
          <w:color w:val="auto"/>
        </w:rPr>
        <w:t xml:space="preserve">in clearly marked areas, </w:t>
      </w:r>
      <w:r w:rsidR="51F95C5A" w:rsidRPr="00672ADC">
        <w:rPr>
          <w:color w:val="auto"/>
        </w:rPr>
        <w:t>ideally</w:t>
      </w:r>
      <w:r w:rsidR="7A332D08" w:rsidRPr="00672ADC">
        <w:rPr>
          <w:color w:val="auto"/>
        </w:rPr>
        <w:t xml:space="preserve"> in </w:t>
      </w:r>
      <w:r w:rsidR="681DA480" w:rsidRPr="00672ADC">
        <w:rPr>
          <w:color w:val="auto"/>
        </w:rPr>
        <w:t xml:space="preserve">dedicated containers in </w:t>
      </w:r>
      <w:r w:rsidR="7A332D08" w:rsidRPr="00672ADC">
        <w:rPr>
          <w:color w:val="auto"/>
        </w:rPr>
        <w:t xml:space="preserve">separate </w:t>
      </w:r>
      <w:r w:rsidR="20144528" w:rsidRPr="00672ADC">
        <w:rPr>
          <w:color w:val="auto"/>
        </w:rPr>
        <w:t>spaces</w:t>
      </w:r>
      <w:r w:rsidR="681DA480" w:rsidRPr="00672ADC">
        <w:rPr>
          <w:color w:val="auto"/>
        </w:rPr>
        <w:t xml:space="preserve"> (</w:t>
      </w:r>
      <w:r w:rsidR="3CAFFF52" w:rsidRPr="00672ADC">
        <w:rPr>
          <w:color w:val="auto"/>
        </w:rPr>
        <w:t>e.g.,</w:t>
      </w:r>
      <w:r w:rsidR="681DA480" w:rsidRPr="00672ADC">
        <w:rPr>
          <w:color w:val="auto"/>
        </w:rPr>
        <w:t xml:space="preserve"> in</w:t>
      </w:r>
      <w:r w:rsidR="20144528" w:rsidRPr="00672ADC">
        <w:rPr>
          <w:color w:val="auto"/>
        </w:rPr>
        <w:t xml:space="preserve"> different shelves in a vaccine fridge or separate </w:t>
      </w:r>
      <w:r w:rsidR="7A332D08" w:rsidRPr="00672ADC">
        <w:rPr>
          <w:color w:val="auto"/>
        </w:rPr>
        <w:t>vaccine fridges</w:t>
      </w:r>
      <w:r w:rsidR="58903DE2" w:rsidRPr="00672ADC">
        <w:rPr>
          <w:color w:val="auto"/>
        </w:rPr>
        <w:t xml:space="preserve"> where possible</w:t>
      </w:r>
      <w:r w:rsidR="681DA480" w:rsidRPr="00672ADC">
        <w:rPr>
          <w:color w:val="auto"/>
        </w:rPr>
        <w:t>)</w:t>
      </w:r>
      <w:r w:rsidR="20144528" w:rsidRPr="00672ADC">
        <w:rPr>
          <w:color w:val="auto"/>
        </w:rPr>
        <w:t xml:space="preserve">. </w:t>
      </w:r>
      <w:r w:rsidR="7A332D08" w:rsidRPr="00672ADC">
        <w:rPr>
          <w:color w:val="auto"/>
        </w:rPr>
        <w:t>Prepared syringes should be labelled using colour coded labels to differentiate between paediatric and adolescent/adult doses</w:t>
      </w:r>
      <w:r w:rsidR="7A332D08" w:rsidRPr="007963FB">
        <w:t>.</w:t>
      </w:r>
    </w:p>
    <w:p w14:paraId="66B34CF3" w14:textId="35212742" w:rsidR="00582D02" w:rsidRPr="007A5E54" w:rsidRDefault="00582D02" w:rsidP="007A5E54">
      <w:pPr>
        <w:rPr>
          <w:rStyle w:val="Hyperlink"/>
          <w:sz w:val="20"/>
        </w:rPr>
      </w:pPr>
      <w:r w:rsidRPr="5BED63B7">
        <w:t xml:space="preserve">For more information </w:t>
      </w:r>
      <w:r w:rsidR="00D31FDA" w:rsidRPr="5BED63B7">
        <w:t xml:space="preserve">refer to the latest version of the Product Information of the respective vaccine and formation published on the TGA website: </w:t>
      </w:r>
      <w:hyperlink r:id="rId14">
        <w:r w:rsidR="00D31FDA" w:rsidRPr="007A5E54">
          <w:rPr>
            <w:rStyle w:val="Hyperlink"/>
            <w:szCs w:val="22"/>
          </w:rPr>
          <w:t>https://www.tga.gov.au/product-information-0</w:t>
        </w:r>
      </w:hyperlink>
      <w:r w:rsidR="006D0E89" w:rsidRPr="007A5E54">
        <w:rPr>
          <w:rStyle w:val="Hyperlink"/>
          <w:szCs w:val="22"/>
        </w:rPr>
        <w:t>.</w:t>
      </w:r>
    </w:p>
    <w:p w14:paraId="2953FDF1" w14:textId="5EBAF73E" w:rsidR="00A50AB3" w:rsidRPr="00A762CD" w:rsidRDefault="00221643" w:rsidP="00C671E1">
      <w:pPr>
        <w:pStyle w:val="Heading2"/>
      </w:pPr>
      <w:r w:rsidRPr="0004654A">
        <w:t>Procedure</w:t>
      </w:r>
    </w:p>
    <w:p w14:paraId="1641BF59" w14:textId="4ED953B6" w:rsidR="00A50AB3" w:rsidRPr="007A5E54" w:rsidRDefault="00A50AB3" w:rsidP="007A5E54">
      <w:pPr>
        <w:pStyle w:val="List"/>
        <w:numPr>
          <w:ilvl w:val="0"/>
          <w:numId w:val="4"/>
        </w:numPr>
        <w:spacing w:after="120"/>
        <w:ind w:left="357" w:hanging="357"/>
        <w:rPr>
          <w:szCs w:val="22"/>
        </w:rPr>
      </w:pPr>
      <w:r w:rsidRPr="007A5E54">
        <w:rPr>
          <w:szCs w:val="22"/>
        </w:rPr>
        <w:t>Maintain appropriate cold chain processes and ensure that the temperature of the refrigerator has not deviated from between +2°C and +8°. If the cold chain has not been maintained</w:t>
      </w:r>
      <w:r w:rsidR="00AB7FEF" w:rsidRPr="007A5E54">
        <w:rPr>
          <w:szCs w:val="22"/>
        </w:rPr>
        <w:t>,</w:t>
      </w:r>
      <w:r w:rsidR="00036807" w:rsidRPr="007A5E54">
        <w:rPr>
          <w:szCs w:val="22"/>
        </w:rPr>
        <w:t xml:space="preserve"> </w:t>
      </w:r>
      <w:r w:rsidRPr="007A5E54">
        <w:rPr>
          <w:szCs w:val="22"/>
        </w:rPr>
        <w:t>D</w:t>
      </w:r>
      <w:r w:rsidR="00AB7FEF" w:rsidRPr="007A5E54">
        <w:rPr>
          <w:szCs w:val="22"/>
        </w:rPr>
        <w:t>O </w:t>
      </w:r>
      <w:r w:rsidRPr="007A5E54">
        <w:rPr>
          <w:szCs w:val="22"/>
        </w:rPr>
        <w:t>NOT USE the multi-dose vial</w:t>
      </w:r>
      <w:r w:rsidR="00F968A9" w:rsidRPr="007A5E54">
        <w:rPr>
          <w:szCs w:val="22"/>
        </w:rPr>
        <w:t>.</w:t>
      </w:r>
    </w:p>
    <w:p w14:paraId="73568708" w14:textId="77777777" w:rsidR="00A50AB3" w:rsidRPr="007A5E54" w:rsidRDefault="00A50AB3" w:rsidP="007A5E54">
      <w:pPr>
        <w:pStyle w:val="List"/>
        <w:numPr>
          <w:ilvl w:val="0"/>
          <w:numId w:val="4"/>
        </w:numPr>
        <w:spacing w:after="120"/>
        <w:ind w:left="357" w:hanging="357"/>
        <w:rPr>
          <w:szCs w:val="22"/>
        </w:rPr>
      </w:pPr>
      <w:r w:rsidRPr="007A5E54">
        <w:rPr>
          <w:szCs w:val="22"/>
        </w:rPr>
        <w:t xml:space="preserve">Perform hand hygiene with either soap and water or an alcohol-based hand rub (ABHR) that contains a minimum of 70% alcohol before gathering supplies or handling vials. </w:t>
      </w:r>
    </w:p>
    <w:p w14:paraId="5987259B" w14:textId="77777777" w:rsidR="00A50AB3" w:rsidRPr="007A5E54" w:rsidRDefault="00A50AB3" w:rsidP="007A5E54">
      <w:pPr>
        <w:pStyle w:val="List"/>
        <w:numPr>
          <w:ilvl w:val="0"/>
          <w:numId w:val="4"/>
        </w:numPr>
        <w:spacing w:after="120"/>
        <w:ind w:left="357" w:hanging="357"/>
        <w:rPr>
          <w:szCs w:val="22"/>
        </w:rPr>
      </w:pPr>
      <w:r w:rsidRPr="007A5E54">
        <w:rPr>
          <w:szCs w:val="22"/>
        </w:rPr>
        <w:t xml:space="preserve">Establish a separate area for the preparation of vaccine doses, away from any clinical zones. </w:t>
      </w:r>
    </w:p>
    <w:p w14:paraId="30BA9422" w14:textId="313CE2F7" w:rsidR="00A50AB3" w:rsidRPr="007A5E54" w:rsidRDefault="00A50AB3" w:rsidP="007A5E54">
      <w:pPr>
        <w:pStyle w:val="List"/>
        <w:numPr>
          <w:ilvl w:val="0"/>
          <w:numId w:val="4"/>
        </w:numPr>
        <w:spacing w:after="120"/>
        <w:ind w:left="357" w:hanging="357"/>
        <w:rPr>
          <w:szCs w:val="22"/>
        </w:rPr>
      </w:pPr>
      <w:r w:rsidRPr="007A5E54">
        <w:rPr>
          <w:szCs w:val="22"/>
        </w:rPr>
        <w:t xml:space="preserve">Clean and disinfect the preparation area and procedure </w:t>
      </w:r>
      <w:r w:rsidR="34F84BC9" w:rsidRPr="007A5E54">
        <w:rPr>
          <w:szCs w:val="22"/>
        </w:rPr>
        <w:t>tray and</w:t>
      </w:r>
      <w:r w:rsidRPr="007A5E54">
        <w:rPr>
          <w:szCs w:val="22"/>
        </w:rPr>
        <w:t xml:space="preserve"> allow it to dry. Ensure the area is clear of other medications and equipment, including used vials and ampoules.</w:t>
      </w:r>
    </w:p>
    <w:p w14:paraId="00D1BA9E" w14:textId="77777777" w:rsidR="00A50AB3" w:rsidRPr="007A5E54" w:rsidRDefault="00A50AB3" w:rsidP="007A5E54">
      <w:pPr>
        <w:pStyle w:val="List"/>
        <w:numPr>
          <w:ilvl w:val="0"/>
          <w:numId w:val="4"/>
        </w:numPr>
        <w:spacing w:after="120"/>
        <w:ind w:left="357" w:hanging="357"/>
        <w:rPr>
          <w:szCs w:val="22"/>
        </w:rPr>
      </w:pPr>
      <w:r w:rsidRPr="007A5E54">
        <w:rPr>
          <w:szCs w:val="22"/>
        </w:rPr>
        <w:t xml:space="preserve">Collect the required equipment for the procedure, including the required number of syringes, injection needles and drawing up needles. </w:t>
      </w:r>
    </w:p>
    <w:p w14:paraId="08F0DFD9" w14:textId="77777777" w:rsidR="00A50AB3" w:rsidRPr="007A5E54" w:rsidRDefault="00A50AB3" w:rsidP="007A5E54">
      <w:pPr>
        <w:pStyle w:val="List"/>
        <w:numPr>
          <w:ilvl w:val="0"/>
          <w:numId w:val="4"/>
        </w:numPr>
        <w:spacing w:after="120"/>
        <w:ind w:left="357" w:hanging="357"/>
        <w:rPr>
          <w:szCs w:val="22"/>
        </w:rPr>
      </w:pPr>
      <w:r w:rsidRPr="007A5E54">
        <w:rPr>
          <w:szCs w:val="22"/>
        </w:rPr>
        <w:t>Remove a multi-dose vial from the fridge. Only one multi-dose vial should be accessed at a time. Check the expiry date. Always check the vial before removing the cap to make sure you have the correct vaccine. If the vial has previously been accessed (</w:t>
      </w:r>
      <w:proofErr w:type="gramStart"/>
      <w:r w:rsidRPr="007A5E54">
        <w:rPr>
          <w:szCs w:val="22"/>
        </w:rPr>
        <w:t>i.e.</w:t>
      </w:r>
      <w:proofErr w:type="gramEnd"/>
      <w:r w:rsidRPr="007A5E54">
        <w:rPr>
          <w:szCs w:val="22"/>
        </w:rPr>
        <w:t xml:space="preserve"> a dose withdrawn), check the time and date of first access recorded on the vial. DO NOT USE beyond the storage time specifications in the product information or if there is not date/time of first access recorded. If unopened, record on the side of the vial the date and time that the vial is first being accessed.</w:t>
      </w:r>
    </w:p>
    <w:p w14:paraId="1BC82DE6" w14:textId="2C9AB09F" w:rsidR="00A50AB3" w:rsidRPr="007A5E54" w:rsidRDefault="00A50AB3" w:rsidP="007A5E54">
      <w:pPr>
        <w:pStyle w:val="List"/>
        <w:numPr>
          <w:ilvl w:val="0"/>
          <w:numId w:val="4"/>
        </w:numPr>
        <w:spacing w:after="120"/>
        <w:ind w:left="357" w:hanging="357"/>
        <w:rPr>
          <w:szCs w:val="22"/>
        </w:rPr>
      </w:pPr>
      <w:r w:rsidRPr="007A5E54">
        <w:rPr>
          <w:szCs w:val="22"/>
        </w:rPr>
        <w:t>Examine the vial for any particulate matter</w:t>
      </w:r>
      <w:r w:rsidR="002566E8" w:rsidRPr="007A5E54">
        <w:rPr>
          <w:szCs w:val="22"/>
        </w:rPr>
        <w:t xml:space="preserve"> or</w:t>
      </w:r>
      <w:r w:rsidRPr="007A5E54">
        <w:rPr>
          <w:szCs w:val="22"/>
        </w:rPr>
        <w:t xml:space="preserve"> discoloration. If present, DO NOT USE. </w:t>
      </w:r>
    </w:p>
    <w:p w14:paraId="69959A05" w14:textId="77777777" w:rsidR="00A50AB3" w:rsidRPr="007A5E54" w:rsidRDefault="00A50AB3" w:rsidP="007A5E54">
      <w:pPr>
        <w:pStyle w:val="List"/>
        <w:numPr>
          <w:ilvl w:val="0"/>
          <w:numId w:val="4"/>
        </w:numPr>
        <w:spacing w:after="120"/>
        <w:ind w:left="357" w:hanging="357"/>
        <w:rPr>
          <w:szCs w:val="22"/>
        </w:rPr>
      </w:pPr>
      <w:r w:rsidRPr="007A5E54">
        <w:rPr>
          <w:szCs w:val="22"/>
        </w:rPr>
        <w:t xml:space="preserve">Perform hand hygiene again, prior to accessing the vial. </w:t>
      </w:r>
    </w:p>
    <w:p w14:paraId="2B42A29F" w14:textId="77777777" w:rsidR="00A50AB3" w:rsidRPr="007A5E54" w:rsidRDefault="00A50AB3" w:rsidP="007A5E54">
      <w:pPr>
        <w:pStyle w:val="List"/>
        <w:numPr>
          <w:ilvl w:val="0"/>
          <w:numId w:val="4"/>
        </w:numPr>
        <w:spacing w:after="120"/>
        <w:ind w:left="357" w:hanging="357"/>
        <w:rPr>
          <w:szCs w:val="22"/>
        </w:rPr>
      </w:pPr>
      <w:r w:rsidRPr="007A5E54">
        <w:rPr>
          <w:szCs w:val="22"/>
        </w:rPr>
        <w:t xml:space="preserve">Remove the protective plastic cap from the top of the vial. </w:t>
      </w:r>
    </w:p>
    <w:p w14:paraId="36658607" w14:textId="77777777" w:rsidR="00A50AB3" w:rsidRPr="007A5E54" w:rsidRDefault="00A50AB3" w:rsidP="007A5E54">
      <w:pPr>
        <w:pStyle w:val="List"/>
        <w:numPr>
          <w:ilvl w:val="0"/>
          <w:numId w:val="4"/>
        </w:numPr>
        <w:spacing w:after="120"/>
        <w:ind w:left="357" w:hanging="357"/>
        <w:rPr>
          <w:szCs w:val="22"/>
        </w:rPr>
      </w:pPr>
      <w:r w:rsidRPr="007A5E54">
        <w:rPr>
          <w:szCs w:val="22"/>
        </w:rPr>
        <w:t xml:space="preserve">Inspect the bung (also known as septum, </w:t>
      </w:r>
      <w:proofErr w:type="gramStart"/>
      <w:r w:rsidRPr="007A5E54">
        <w:rPr>
          <w:szCs w:val="22"/>
        </w:rPr>
        <w:t>stopper</w:t>
      </w:r>
      <w:proofErr w:type="gramEnd"/>
      <w:r w:rsidRPr="007A5E54">
        <w:rPr>
          <w:szCs w:val="22"/>
        </w:rPr>
        <w:t xml:space="preserve"> or diaphragm). If there is any doubt about the integrity of the bung, </w:t>
      </w:r>
      <w:proofErr w:type="gramStart"/>
      <w:r w:rsidRPr="007A5E54">
        <w:rPr>
          <w:szCs w:val="22"/>
        </w:rPr>
        <w:t>e.g.</w:t>
      </w:r>
      <w:proofErr w:type="gramEnd"/>
      <w:r w:rsidRPr="007A5E54">
        <w:rPr>
          <w:szCs w:val="22"/>
        </w:rPr>
        <w:t xml:space="preserve"> vial leaks when turned upside down, DO NOT USE. </w:t>
      </w:r>
    </w:p>
    <w:p w14:paraId="6FD39355" w14:textId="77777777" w:rsidR="00A50AB3" w:rsidRPr="007A5E54" w:rsidRDefault="00A50AB3" w:rsidP="007A5E54">
      <w:pPr>
        <w:pStyle w:val="List"/>
        <w:numPr>
          <w:ilvl w:val="0"/>
          <w:numId w:val="4"/>
        </w:numPr>
        <w:spacing w:after="120"/>
        <w:ind w:left="357" w:hanging="357"/>
        <w:rPr>
          <w:szCs w:val="22"/>
        </w:rPr>
      </w:pPr>
      <w:r w:rsidRPr="007A5E54">
        <w:rPr>
          <w:szCs w:val="22"/>
        </w:rPr>
        <w:t>Disinfect the bung of the multi-dose vial with a 70% isopropyl alcohol swab. Allow to dry for 30 seconds.</w:t>
      </w:r>
    </w:p>
    <w:p w14:paraId="17AEFFC3" w14:textId="4DC4FB2B" w:rsidR="000C278A" w:rsidRPr="007A5E54" w:rsidRDefault="3F751A0F" w:rsidP="007A5E54">
      <w:pPr>
        <w:pStyle w:val="List"/>
        <w:numPr>
          <w:ilvl w:val="0"/>
          <w:numId w:val="4"/>
        </w:numPr>
        <w:spacing w:after="120"/>
        <w:ind w:left="357" w:hanging="357"/>
        <w:rPr>
          <w:szCs w:val="22"/>
        </w:rPr>
      </w:pPr>
      <w:r w:rsidRPr="007A5E54">
        <w:rPr>
          <w:szCs w:val="22"/>
        </w:rPr>
        <w:t xml:space="preserve">Some COVID-19 vaccines may require reconstitution or dilution with a diluent. For </w:t>
      </w:r>
      <w:r w:rsidR="000C278A" w:rsidRPr="007A5E54">
        <w:rPr>
          <w:szCs w:val="22"/>
        </w:rPr>
        <w:t>further information</w:t>
      </w:r>
      <w:r w:rsidRPr="007A5E54">
        <w:rPr>
          <w:szCs w:val="22"/>
        </w:rPr>
        <w:t xml:space="preserve">, refer to the relevant vaccine’s product information. </w:t>
      </w:r>
    </w:p>
    <w:p w14:paraId="6EC49D59" w14:textId="3B172089" w:rsidR="00A50AB3" w:rsidRPr="0004654A" w:rsidRDefault="00A50AB3" w:rsidP="007A5E54">
      <w:pPr>
        <w:pStyle w:val="List"/>
        <w:numPr>
          <w:ilvl w:val="0"/>
          <w:numId w:val="4"/>
        </w:numPr>
        <w:spacing w:after="120"/>
        <w:ind w:left="357" w:hanging="357"/>
        <w:rPr>
          <w:sz w:val="20"/>
        </w:rPr>
      </w:pPr>
      <w:r w:rsidRPr="007A5E54">
        <w:rPr>
          <w:szCs w:val="22"/>
        </w:rPr>
        <w:t xml:space="preserve">Table </w:t>
      </w:r>
      <w:r w:rsidR="009D65C1" w:rsidRPr="007A5E54">
        <w:rPr>
          <w:szCs w:val="22"/>
        </w:rPr>
        <w:t>1</w:t>
      </w:r>
      <w:r w:rsidRPr="007A5E54">
        <w:rPr>
          <w:szCs w:val="22"/>
        </w:rPr>
        <w:t xml:space="preserve"> outlines vaccine preparation (following reconstitution or dilution, if required) for three scenarios</w:t>
      </w:r>
      <w:r w:rsidR="009D65C1" w:rsidRPr="007A5E54">
        <w:rPr>
          <w:szCs w:val="22"/>
        </w:rPr>
        <w:t>.</w:t>
      </w:r>
    </w:p>
    <w:p w14:paraId="63AEF0B3" w14:textId="36E35D9A" w:rsidR="001C2C1E" w:rsidRPr="0004654A" w:rsidRDefault="001C2C1E" w:rsidP="00A762CD">
      <w:pPr>
        <w:sectPr w:rsidR="001C2C1E" w:rsidRPr="0004654A" w:rsidSect="00B557A0">
          <w:footerReference w:type="default" r:id="rId15"/>
          <w:footerReference w:type="first" r:id="rId16"/>
          <w:type w:val="continuous"/>
          <w:pgSz w:w="11906" w:h="16838"/>
          <w:pgMar w:top="1134" w:right="1274" w:bottom="1418" w:left="1440" w:header="708" w:footer="386" w:gutter="0"/>
          <w:cols w:space="708"/>
          <w:titlePg/>
          <w:docGrid w:linePitch="360"/>
        </w:sectPr>
      </w:pPr>
      <w:r w:rsidRPr="0004654A">
        <w:br w:type="page"/>
      </w:r>
    </w:p>
    <w:p w14:paraId="4954FB96" w14:textId="3E4AAE16" w:rsidR="001C2C1E" w:rsidRPr="0004654A" w:rsidRDefault="00A762CD" w:rsidP="00A762CD">
      <w:pPr>
        <w:pStyle w:val="Caption"/>
      </w:pPr>
      <w:r>
        <w:lastRenderedPageBreak/>
        <w:t xml:space="preserve">Table </w:t>
      </w:r>
      <w:r w:rsidR="009D65C1">
        <w:t>1</w:t>
      </w:r>
      <w:r w:rsidR="59799FDE" w:rsidRPr="0004654A">
        <w:t>: Method</w:t>
      </w:r>
      <w:r w:rsidR="17ADF4F9" w:rsidRPr="0004654A">
        <w:t>s</w:t>
      </w:r>
      <w:r w:rsidR="59799FDE" w:rsidRPr="0004654A">
        <w:t xml:space="preserve"> for dose extraction</w:t>
      </w:r>
    </w:p>
    <w:tbl>
      <w:tblPr>
        <w:tblStyle w:val="TableGrid"/>
        <w:tblW w:w="14804" w:type="dxa"/>
        <w:tblLayout w:type="fixed"/>
        <w:tblCellMar>
          <w:top w:w="113" w:type="dxa"/>
          <w:bottom w:w="57" w:type="dxa"/>
        </w:tblCellMar>
        <w:tblLook w:val="0620" w:firstRow="1" w:lastRow="0" w:firstColumn="0" w:lastColumn="0" w:noHBand="1" w:noVBand="1"/>
        <w:tblDescription w:val="Table 2 is a list showing the methods for dose extraction"/>
      </w:tblPr>
      <w:tblGrid>
        <w:gridCol w:w="721"/>
        <w:gridCol w:w="4528"/>
        <w:gridCol w:w="4665"/>
        <w:gridCol w:w="4890"/>
      </w:tblGrid>
      <w:tr w:rsidR="007A5E54" w:rsidRPr="0004654A" w14:paraId="5FC177FE" w14:textId="77777777" w:rsidTr="5615D64D">
        <w:trPr>
          <w:cnfStyle w:val="100000000000" w:firstRow="1" w:lastRow="0" w:firstColumn="0" w:lastColumn="0" w:oddVBand="0" w:evenVBand="0" w:oddHBand="0" w:evenHBand="0" w:firstRowFirstColumn="0" w:firstRowLastColumn="0" w:lastRowFirstColumn="0" w:lastRowLastColumn="0"/>
          <w:trHeight w:val="943"/>
          <w:tblHeader/>
        </w:trPr>
        <w:tc>
          <w:tcPr>
            <w:tcW w:w="721" w:type="dxa"/>
            <w:tcBorders>
              <w:top w:val="single" w:sz="4" w:space="0" w:color="auto"/>
              <w:left w:val="single" w:sz="4" w:space="0" w:color="auto"/>
              <w:right w:val="single" w:sz="4" w:space="0" w:color="FFFFFF" w:themeColor="background1"/>
            </w:tcBorders>
            <w:shd w:val="clear" w:color="auto" w:fill="7030A1"/>
          </w:tcPr>
          <w:p w14:paraId="03CA9E2C" w14:textId="77777777" w:rsidR="007A5E54" w:rsidRPr="0004654A" w:rsidRDefault="007A5E54" w:rsidP="6B247164">
            <w:pPr>
              <w:spacing w:after="0"/>
              <w:jc w:val="center"/>
              <w:rPr>
                <w:rFonts w:cs="Arial"/>
                <w:b w:val="0"/>
                <w:bCs/>
                <w:color w:val="FFFFFF" w:themeColor="background1"/>
                <w:sz w:val="21"/>
              </w:rPr>
            </w:pPr>
            <w:r w:rsidRPr="0004654A">
              <w:rPr>
                <w:rFonts w:cs="Arial"/>
                <w:bCs/>
                <w:color w:val="FFFFFF" w:themeColor="background1"/>
                <w:sz w:val="21"/>
              </w:rPr>
              <w:t>Step</w:t>
            </w:r>
          </w:p>
        </w:tc>
        <w:tc>
          <w:tcPr>
            <w:tcW w:w="4528" w:type="dxa"/>
            <w:tcBorders>
              <w:top w:val="single" w:sz="4" w:space="0" w:color="auto"/>
              <w:left w:val="single" w:sz="4" w:space="0" w:color="FFFFFF" w:themeColor="background1"/>
              <w:right w:val="single" w:sz="4" w:space="0" w:color="FFFFFF" w:themeColor="background1"/>
            </w:tcBorders>
            <w:shd w:val="clear" w:color="auto" w:fill="7030A1"/>
          </w:tcPr>
          <w:p w14:paraId="0F22B942" w14:textId="3EBE5028" w:rsidR="007A5E54" w:rsidRPr="0004654A" w:rsidRDefault="007A5E54" w:rsidP="007A5E54">
            <w:pPr>
              <w:pStyle w:val="ListParagraph"/>
              <w:numPr>
                <w:ilvl w:val="0"/>
                <w:numId w:val="6"/>
              </w:numPr>
              <w:spacing w:before="0" w:after="0" w:line="288" w:lineRule="auto"/>
              <w:ind w:left="357" w:hanging="357"/>
              <w:rPr>
                <w:rFonts w:ascii="Arial" w:hAnsi="Arial" w:cs="Arial"/>
                <w:b w:val="0"/>
                <w:bCs/>
                <w:color w:val="FFFFFF" w:themeColor="background1"/>
                <w:sz w:val="21"/>
              </w:rPr>
            </w:pPr>
            <w:r w:rsidRPr="0004654A">
              <w:rPr>
                <w:rFonts w:ascii="Arial" w:hAnsi="Arial" w:cs="Arial"/>
                <w:bCs/>
                <w:color w:val="FFFFFF" w:themeColor="background1"/>
                <w:sz w:val="21"/>
              </w:rPr>
              <w:t xml:space="preserve">Method for extraction of a single dose of an adolescent/adult formulation at a time** </w:t>
            </w:r>
          </w:p>
        </w:tc>
        <w:tc>
          <w:tcPr>
            <w:tcW w:w="4665" w:type="dxa"/>
            <w:tcBorders>
              <w:top w:val="single" w:sz="4" w:space="0" w:color="auto"/>
              <w:left w:val="single" w:sz="4" w:space="0" w:color="FFFFFF" w:themeColor="background1"/>
              <w:right w:val="single" w:sz="4" w:space="0" w:color="FFFFFF" w:themeColor="background1"/>
            </w:tcBorders>
            <w:shd w:val="clear" w:color="auto" w:fill="7030A1"/>
          </w:tcPr>
          <w:p w14:paraId="4229C017" w14:textId="6F2789AF" w:rsidR="007A5E54" w:rsidRPr="0004654A" w:rsidRDefault="007A5E54" w:rsidP="007A5E54">
            <w:pPr>
              <w:pStyle w:val="ListParagraph"/>
              <w:numPr>
                <w:ilvl w:val="0"/>
                <w:numId w:val="6"/>
              </w:numPr>
              <w:spacing w:before="0" w:after="0" w:line="288" w:lineRule="auto"/>
              <w:ind w:left="357" w:hanging="357"/>
              <w:rPr>
                <w:rFonts w:ascii="Arial" w:hAnsi="Arial" w:cs="Arial"/>
                <w:b w:val="0"/>
                <w:bCs/>
                <w:color w:val="FFFFFF" w:themeColor="background1"/>
                <w:sz w:val="21"/>
              </w:rPr>
            </w:pPr>
            <w:r w:rsidRPr="0004654A">
              <w:rPr>
                <w:rFonts w:ascii="Arial" w:hAnsi="Arial" w:cs="Arial"/>
                <w:bCs/>
                <w:color w:val="FFFFFF" w:themeColor="background1"/>
                <w:sz w:val="21"/>
              </w:rPr>
              <w:t>Method for extraction of multiple doses of an adolescent/adult formulation using different needles for drawing up and administration**</w:t>
            </w:r>
          </w:p>
        </w:tc>
        <w:tc>
          <w:tcPr>
            <w:tcW w:w="4890" w:type="dxa"/>
            <w:tcBorders>
              <w:top w:val="single" w:sz="4" w:space="0" w:color="auto"/>
              <w:left w:val="single" w:sz="4" w:space="0" w:color="FFFFFF" w:themeColor="background1"/>
              <w:right w:val="single" w:sz="4" w:space="0" w:color="auto"/>
            </w:tcBorders>
            <w:shd w:val="clear" w:color="auto" w:fill="7030A1"/>
          </w:tcPr>
          <w:p w14:paraId="56BB0526" w14:textId="7C7303C4" w:rsidR="007A5E54" w:rsidRPr="00B557A0" w:rsidRDefault="007A5E54" w:rsidP="007A5E54">
            <w:pPr>
              <w:pStyle w:val="ListParagraph"/>
              <w:numPr>
                <w:ilvl w:val="0"/>
                <w:numId w:val="6"/>
              </w:numPr>
              <w:spacing w:before="0" w:after="0" w:line="288" w:lineRule="auto"/>
              <w:ind w:left="357" w:hanging="357"/>
              <w:contextualSpacing w:val="0"/>
              <w:rPr>
                <w:rFonts w:ascii="Arial" w:hAnsi="Arial" w:cs="Arial"/>
                <w:b w:val="0"/>
                <w:bCs/>
                <w:color w:val="FFFFFF" w:themeColor="background1"/>
                <w:sz w:val="21"/>
              </w:rPr>
            </w:pPr>
            <w:r w:rsidRPr="0004654A">
              <w:rPr>
                <w:rFonts w:ascii="Arial" w:hAnsi="Arial" w:cs="Arial"/>
                <w:bCs/>
                <w:color w:val="FFFFFF" w:themeColor="background1"/>
                <w:sz w:val="21"/>
              </w:rPr>
              <w:t>Method for extraction of multiple doses using the same needle for drawing up and administration***</w:t>
            </w:r>
          </w:p>
        </w:tc>
      </w:tr>
      <w:tr w:rsidR="001C2C1E" w:rsidRPr="0004654A" w14:paraId="3B4A1CD0" w14:textId="77777777" w:rsidTr="5615D64D">
        <w:trPr>
          <w:trHeight w:val="2284"/>
        </w:trPr>
        <w:tc>
          <w:tcPr>
            <w:tcW w:w="721" w:type="dxa"/>
            <w:shd w:val="clear" w:color="auto" w:fill="EBDCF6"/>
          </w:tcPr>
          <w:p w14:paraId="1C252869" w14:textId="77777777" w:rsidR="001C2C1E" w:rsidRPr="0004654A" w:rsidRDefault="001C2C1E" w:rsidP="6B247164">
            <w:pPr>
              <w:spacing w:after="0"/>
              <w:jc w:val="center"/>
              <w:rPr>
                <w:rFonts w:cs="Arial"/>
                <w:sz w:val="21"/>
              </w:rPr>
            </w:pPr>
          </w:p>
        </w:tc>
        <w:tc>
          <w:tcPr>
            <w:tcW w:w="4528" w:type="dxa"/>
            <w:shd w:val="clear" w:color="auto" w:fill="EBDCF6"/>
          </w:tcPr>
          <w:p w14:paraId="3AD9B67A" w14:textId="4726982A" w:rsidR="00AB7FEF" w:rsidRPr="0004039A" w:rsidRDefault="339E81F3" w:rsidP="5BED63B7">
            <w:pPr>
              <w:spacing w:after="60"/>
              <w:rPr>
                <w:rFonts w:cs="Arial"/>
                <w:sz w:val="21"/>
                <w:szCs w:val="21"/>
              </w:rPr>
            </w:pPr>
            <w:r w:rsidRPr="0004039A">
              <w:rPr>
                <w:rFonts w:cs="Arial"/>
                <w:sz w:val="21"/>
                <w:szCs w:val="21"/>
              </w:rPr>
              <w:t>This</w:t>
            </w:r>
            <w:r w:rsidR="59799FDE" w:rsidRPr="0004039A">
              <w:rPr>
                <w:rFonts w:cs="Arial"/>
                <w:sz w:val="21"/>
                <w:szCs w:val="21"/>
              </w:rPr>
              <w:t xml:space="preserve"> method </w:t>
            </w:r>
            <w:r w:rsidRPr="0004039A">
              <w:rPr>
                <w:rFonts w:cs="Arial"/>
                <w:sz w:val="21"/>
                <w:szCs w:val="21"/>
              </w:rPr>
              <w:t>is recommended w</w:t>
            </w:r>
            <w:r w:rsidR="59799FDE" w:rsidRPr="0004039A">
              <w:rPr>
                <w:rFonts w:cs="Arial"/>
                <w:sz w:val="21"/>
                <w:szCs w:val="21"/>
              </w:rPr>
              <w:t>henever one or more doses will be extracted from a vial and the remaining contents</w:t>
            </w:r>
            <w:r w:rsidR="1F68DDA6" w:rsidRPr="0004039A">
              <w:rPr>
                <w:rFonts w:cs="Arial"/>
                <w:sz w:val="21"/>
                <w:szCs w:val="21"/>
              </w:rPr>
              <w:t xml:space="preserve"> of the vial</w:t>
            </w:r>
            <w:r w:rsidR="59799FDE" w:rsidRPr="0004039A">
              <w:rPr>
                <w:rFonts w:cs="Arial"/>
                <w:sz w:val="21"/>
                <w:szCs w:val="21"/>
              </w:rPr>
              <w:t xml:space="preserve"> will be stored</w:t>
            </w:r>
            <w:r w:rsidR="3A549A69" w:rsidRPr="0004039A">
              <w:rPr>
                <w:rFonts w:cs="Arial"/>
                <w:sz w:val="21"/>
                <w:szCs w:val="21"/>
              </w:rPr>
              <w:t xml:space="preserve">, except for the </w:t>
            </w:r>
            <w:r w:rsidR="185B5377" w:rsidRPr="0004039A">
              <w:rPr>
                <w:sz w:val="21"/>
                <w:szCs w:val="21"/>
              </w:rPr>
              <w:t>Pfizer</w:t>
            </w:r>
            <w:r w:rsidR="185B5377" w:rsidRPr="0004039A">
              <w:rPr>
                <w:rFonts w:cs="Arial"/>
                <w:sz w:val="21"/>
                <w:szCs w:val="21"/>
              </w:rPr>
              <w:t xml:space="preserve"> </w:t>
            </w:r>
            <w:r w:rsidR="3A549A69" w:rsidRPr="0004039A">
              <w:rPr>
                <w:rFonts w:cs="Arial"/>
                <w:sz w:val="21"/>
                <w:szCs w:val="21"/>
              </w:rPr>
              <w:t>paediatric formulation</w:t>
            </w:r>
            <w:r w:rsidR="40D21A9B" w:rsidRPr="0004039A">
              <w:rPr>
                <w:rFonts w:cs="Arial"/>
                <w:sz w:val="21"/>
                <w:szCs w:val="21"/>
              </w:rPr>
              <w:t>s</w:t>
            </w:r>
            <w:r w:rsidR="59799FDE" w:rsidRPr="0004039A">
              <w:rPr>
                <w:sz w:val="21"/>
                <w:szCs w:val="21"/>
              </w:rPr>
              <w:t>.</w:t>
            </w:r>
            <w:r w:rsidR="59799FDE" w:rsidRPr="0004039A">
              <w:rPr>
                <w:rFonts w:cs="Arial"/>
                <w:sz w:val="21"/>
                <w:szCs w:val="21"/>
              </w:rPr>
              <w:t xml:space="preserve"> </w:t>
            </w:r>
          </w:p>
          <w:p w14:paraId="588C1584" w14:textId="61F2CE1A" w:rsidR="001C2C1E" w:rsidRPr="0004039A" w:rsidRDefault="59799FDE" w:rsidP="00AB7FEF">
            <w:pPr>
              <w:spacing w:after="60"/>
              <w:rPr>
                <w:rFonts w:cs="Arial"/>
                <w:sz w:val="21"/>
              </w:rPr>
            </w:pPr>
            <w:r w:rsidRPr="0004039A">
              <w:rPr>
                <w:rFonts w:cs="Arial"/>
                <w:sz w:val="21"/>
              </w:rPr>
              <w:t>Use an aseptic technique throughout this procedure.</w:t>
            </w:r>
          </w:p>
        </w:tc>
        <w:tc>
          <w:tcPr>
            <w:tcW w:w="4665" w:type="dxa"/>
            <w:shd w:val="clear" w:color="auto" w:fill="EBDCF6"/>
          </w:tcPr>
          <w:p w14:paraId="08CB2E76" w14:textId="77777777" w:rsidR="00AB7FEF" w:rsidRPr="0004039A" w:rsidRDefault="001C2C1E" w:rsidP="00AB7FEF">
            <w:pPr>
              <w:spacing w:after="60"/>
              <w:rPr>
                <w:rFonts w:cs="Arial"/>
                <w:sz w:val="21"/>
              </w:rPr>
            </w:pPr>
            <w:r w:rsidRPr="0004039A">
              <w:rPr>
                <w:rFonts w:cs="Arial"/>
                <w:sz w:val="21"/>
              </w:rPr>
              <w:t xml:space="preserve">This method is only appropriate where multiple doses from a vial are to be drawn up in immediate succession for administration within a single vaccination session. </w:t>
            </w:r>
          </w:p>
          <w:p w14:paraId="3271B68A" w14:textId="77777777" w:rsidR="00AB7FEF" w:rsidRPr="0004039A" w:rsidRDefault="001C2C1E" w:rsidP="00AB7FEF">
            <w:pPr>
              <w:spacing w:after="60"/>
              <w:rPr>
                <w:rFonts w:cs="Arial"/>
                <w:sz w:val="21"/>
              </w:rPr>
            </w:pPr>
            <w:r w:rsidRPr="0004039A">
              <w:rPr>
                <w:rFonts w:cs="Arial"/>
                <w:sz w:val="21"/>
              </w:rPr>
              <w:t xml:space="preserve">Use an aseptic technique throughout this procedure. </w:t>
            </w:r>
          </w:p>
          <w:p w14:paraId="11224CD6" w14:textId="75C21A23" w:rsidR="001C2C1E" w:rsidRPr="0004039A" w:rsidRDefault="001C2C1E" w:rsidP="00AB7FEF">
            <w:pPr>
              <w:spacing w:after="60"/>
              <w:rPr>
                <w:rFonts w:cs="Arial"/>
                <w:sz w:val="21"/>
                <w:szCs w:val="21"/>
              </w:rPr>
            </w:pPr>
            <w:r w:rsidRPr="0004039A">
              <w:rPr>
                <w:rFonts w:cs="Arial"/>
                <w:sz w:val="21"/>
              </w:rPr>
              <w:t xml:space="preserve">Vials should never be stored with a drawing up needle attached. </w:t>
            </w:r>
          </w:p>
        </w:tc>
        <w:tc>
          <w:tcPr>
            <w:tcW w:w="4890" w:type="dxa"/>
            <w:shd w:val="clear" w:color="auto" w:fill="EBDCF6"/>
          </w:tcPr>
          <w:p w14:paraId="4E369B2E" w14:textId="77777777" w:rsidR="00AB7FEF" w:rsidRPr="0004039A" w:rsidRDefault="3EEEE369" w:rsidP="00AB7FEF">
            <w:pPr>
              <w:spacing w:after="60"/>
              <w:rPr>
                <w:rFonts w:cs="Arial"/>
                <w:sz w:val="21"/>
              </w:rPr>
            </w:pPr>
            <w:r w:rsidRPr="0004039A">
              <w:rPr>
                <w:rFonts w:cs="Arial"/>
                <w:sz w:val="21"/>
              </w:rPr>
              <w:t xml:space="preserve">This method </w:t>
            </w:r>
            <w:r w:rsidR="1B7A44AB" w:rsidRPr="0004039A">
              <w:rPr>
                <w:rFonts w:cs="Arial"/>
                <w:sz w:val="21"/>
              </w:rPr>
              <w:t xml:space="preserve">uses </w:t>
            </w:r>
            <w:r w:rsidRPr="0004039A">
              <w:rPr>
                <w:rFonts w:cs="Arial"/>
                <w:sz w:val="21"/>
              </w:rPr>
              <w:t>the same needle to draw up and administer a vaccine dose.</w:t>
            </w:r>
          </w:p>
          <w:p w14:paraId="1F1D5F3A" w14:textId="2FF89A8D" w:rsidR="00AB7FEF" w:rsidRPr="0004039A" w:rsidRDefault="003557FC" w:rsidP="00AB7FEF">
            <w:pPr>
              <w:spacing w:after="60"/>
              <w:rPr>
                <w:rFonts w:cs="Arial"/>
                <w:sz w:val="21"/>
              </w:rPr>
            </w:pPr>
            <w:r w:rsidRPr="0004039A">
              <w:rPr>
                <w:rFonts w:cs="Arial"/>
                <w:sz w:val="21"/>
              </w:rPr>
              <w:t>This method can be used at mass vaccination clinics or high</w:t>
            </w:r>
            <w:r w:rsidR="002D4252" w:rsidRPr="0004039A">
              <w:rPr>
                <w:rFonts w:cs="Arial"/>
                <w:sz w:val="21"/>
              </w:rPr>
              <w:t>-</w:t>
            </w:r>
            <w:r w:rsidRPr="0004039A">
              <w:rPr>
                <w:rFonts w:cs="Arial"/>
                <w:sz w:val="21"/>
              </w:rPr>
              <w:t xml:space="preserve">volume primary </w:t>
            </w:r>
            <w:r w:rsidR="00AB7FEF" w:rsidRPr="0004039A">
              <w:rPr>
                <w:rFonts w:cs="Arial"/>
                <w:sz w:val="21"/>
              </w:rPr>
              <w:t>c</w:t>
            </w:r>
            <w:r w:rsidRPr="0004039A">
              <w:rPr>
                <w:rFonts w:cs="Arial"/>
                <w:sz w:val="21"/>
              </w:rPr>
              <w:t>are clinics.</w:t>
            </w:r>
          </w:p>
          <w:p w14:paraId="072833E6" w14:textId="77777777" w:rsidR="007A5E54" w:rsidRPr="0004039A" w:rsidRDefault="474299DB">
            <w:pPr>
              <w:spacing w:after="60"/>
              <w:rPr>
                <w:rFonts w:cs="Arial"/>
                <w:sz w:val="21"/>
                <w:szCs w:val="21"/>
              </w:rPr>
            </w:pPr>
            <w:r w:rsidRPr="0004039A">
              <w:rPr>
                <w:rFonts w:cs="Arial"/>
                <w:sz w:val="21"/>
                <w:szCs w:val="21"/>
              </w:rPr>
              <w:t xml:space="preserve">Use an aseptic technique throughout this procedure. </w:t>
            </w:r>
          </w:p>
          <w:p w14:paraId="1A5B4A9D" w14:textId="0CCBD0F7" w:rsidR="001C2C1E" w:rsidRPr="0004039A" w:rsidRDefault="007A5E54" w:rsidP="0AB5B8EA">
            <w:pPr>
              <w:spacing w:after="60"/>
              <w:rPr>
                <w:rFonts w:cs="Arial"/>
              </w:rPr>
            </w:pPr>
            <w:r w:rsidRPr="0004039A">
              <w:t xml:space="preserve">This is the preferred extraction method for single or multiple doses of the </w:t>
            </w:r>
            <w:r w:rsidR="78569963" w:rsidRPr="0004039A">
              <w:t xml:space="preserve">Pfizer </w:t>
            </w:r>
            <w:r w:rsidRPr="0004039A">
              <w:t>paediatric formulations***</w:t>
            </w:r>
          </w:p>
        </w:tc>
      </w:tr>
      <w:tr w:rsidR="001C2C1E" w:rsidRPr="0004654A" w14:paraId="738B99E8" w14:textId="77777777" w:rsidTr="5615D64D">
        <w:trPr>
          <w:trHeight w:val="669"/>
        </w:trPr>
        <w:tc>
          <w:tcPr>
            <w:tcW w:w="721" w:type="dxa"/>
          </w:tcPr>
          <w:p w14:paraId="25401EBF" w14:textId="77777777" w:rsidR="001C2C1E" w:rsidRPr="0004654A" w:rsidRDefault="59799FDE" w:rsidP="6B247164">
            <w:pPr>
              <w:spacing w:after="0"/>
              <w:jc w:val="center"/>
              <w:rPr>
                <w:rFonts w:cs="Arial"/>
                <w:sz w:val="21"/>
              </w:rPr>
            </w:pPr>
            <w:r w:rsidRPr="0004654A">
              <w:rPr>
                <w:rFonts w:cs="Arial"/>
                <w:sz w:val="21"/>
              </w:rPr>
              <w:t>A</w:t>
            </w:r>
          </w:p>
        </w:tc>
        <w:tc>
          <w:tcPr>
            <w:tcW w:w="4528" w:type="dxa"/>
          </w:tcPr>
          <w:p w14:paraId="27E84E4B" w14:textId="66AA20CE" w:rsidR="001C2C1E" w:rsidRPr="0004654A" w:rsidRDefault="001C2C1E" w:rsidP="0075315D">
            <w:pPr>
              <w:spacing w:after="0"/>
              <w:rPr>
                <w:rFonts w:cs="Arial"/>
                <w:sz w:val="21"/>
                <w:szCs w:val="21"/>
              </w:rPr>
            </w:pPr>
            <w:r w:rsidRPr="1D082226">
              <w:rPr>
                <w:rFonts w:cs="Arial"/>
                <w:sz w:val="21"/>
                <w:szCs w:val="21"/>
              </w:rPr>
              <w:t xml:space="preserve">Attach a sterile drawing up needle to a sterile syringe and insert the needle through the bung into the vial. </w:t>
            </w:r>
          </w:p>
        </w:tc>
        <w:tc>
          <w:tcPr>
            <w:tcW w:w="4665" w:type="dxa"/>
          </w:tcPr>
          <w:p w14:paraId="161062F9" w14:textId="27B97A3F" w:rsidR="001C2C1E" w:rsidRPr="00672ADC" w:rsidRDefault="001C2C1E" w:rsidP="0075315D">
            <w:pPr>
              <w:spacing w:after="0"/>
              <w:rPr>
                <w:rFonts w:cs="Arial"/>
                <w:sz w:val="21"/>
                <w:szCs w:val="21"/>
              </w:rPr>
            </w:pPr>
            <w:r w:rsidRPr="00672ADC">
              <w:rPr>
                <w:rFonts w:cs="Arial"/>
                <w:sz w:val="21"/>
                <w:szCs w:val="21"/>
              </w:rPr>
              <w:t xml:space="preserve">Attach a sterile drawing up needle to a sterile syringe and insert the needle through the bung into the vial. </w:t>
            </w:r>
          </w:p>
        </w:tc>
        <w:tc>
          <w:tcPr>
            <w:tcW w:w="4890" w:type="dxa"/>
          </w:tcPr>
          <w:p w14:paraId="0DB1A820" w14:textId="11937C96" w:rsidR="001C2C1E" w:rsidRPr="00672ADC" w:rsidRDefault="001C2C1E" w:rsidP="00BC5D62">
            <w:pPr>
              <w:spacing w:after="0"/>
              <w:rPr>
                <w:rFonts w:cs="Arial"/>
                <w:sz w:val="21"/>
                <w:szCs w:val="21"/>
              </w:rPr>
            </w:pPr>
            <w:r w:rsidRPr="00672ADC">
              <w:rPr>
                <w:rFonts w:cs="Arial"/>
                <w:sz w:val="21"/>
                <w:szCs w:val="21"/>
              </w:rPr>
              <w:t xml:space="preserve">Attach a sterile injection needle of appropriate gauge and length for the vaccine recipient* to a sterile syringe and insert the needle through the bung into the vial. </w:t>
            </w:r>
          </w:p>
        </w:tc>
      </w:tr>
      <w:tr w:rsidR="001C2C1E" w:rsidRPr="0004654A" w14:paraId="39FB09CC" w14:textId="77777777" w:rsidTr="5615D64D">
        <w:trPr>
          <w:trHeight w:val="659"/>
        </w:trPr>
        <w:tc>
          <w:tcPr>
            <w:tcW w:w="721" w:type="dxa"/>
          </w:tcPr>
          <w:p w14:paraId="4D9C41A8" w14:textId="77777777" w:rsidR="001C2C1E" w:rsidRPr="0004654A" w:rsidRDefault="59799FDE" w:rsidP="6B247164">
            <w:pPr>
              <w:spacing w:after="0"/>
              <w:jc w:val="center"/>
              <w:rPr>
                <w:rFonts w:cs="Arial"/>
                <w:sz w:val="21"/>
              </w:rPr>
            </w:pPr>
            <w:r w:rsidRPr="0004654A">
              <w:rPr>
                <w:rFonts w:cs="Arial"/>
                <w:sz w:val="21"/>
              </w:rPr>
              <w:t>B</w:t>
            </w:r>
          </w:p>
        </w:tc>
        <w:tc>
          <w:tcPr>
            <w:tcW w:w="4528" w:type="dxa"/>
          </w:tcPr>
          <w:p w14:paraId="7E8FA4EA" w14:textId="77777777" w:rsidR="001C2C1E" w:rsidRPr="0004654A" w:rsidRDefault="001C2C1E" w:rsidP="0075315D">
            <w:pPr>
              <w:spacing w:after="0"/>
              <w:rPr>
                <w:rFonts w:cs="Arial"/>
                <w:sz w:val="21"/>
                <w:szCs w:val="21"/>
              </w:rPr>
            </w:pPr>
            <w:r w:rsidRPr="0004654A">
              <w:rPr>
                <w:rFonts w:cs="Arial"/>
                <w:sz w:val="21"/>
                <w:szCs w:val="21"/>
              </w:rPr>
              <w:t>Draw up the required volume for a single dose. Do not touch the shaft of the needle and avoid moving the needle in and out of the vial.</w:t>
            </w:r>
          </w:p>
        </w:tc>
        <w:tc>
          <w:tcPr>
            <w:tcW w:w="4665" w:type="dxa"/>
          </w:tcPr>
          <w:p w14:paraId="67B6B1DF" w14:textId="77777777" w:rsidR="001C2C1E" w:rsidRPr="0004654A" w:rsidRDefault="001C2C1E" w:rsidP="0DAAE9B3">
            <w:pPr>
              <w:spacing w:after="0"/>
              <w:rPr>
                <w:rFonts w:cs="Arial"/>
                <w:sz w:val="21"/>
              </w:rPr>
            </w:pPr>
            <w:r w:rsidRPr="0004654A">
              <w:rPr>
                <w:rFonts w:cs="Arial"/>
                <w:sz w:val="21"/>
              </w:rPr>
              <w:t>Draw up the required volume for a single dose. Do not touch the shaft of the needle and avoid moving the needle in and out of the vial.</w:t>
            </w:r>
          </w:p>
        </w:tc>
        <w:tc>
          <w:tcPr>
            <w:tcW w:w="4890" w:type="dxa"/>
          </w:tcPr>
          <w:p w14:paraId="66D2A46E" w14:textId="77777777" w:rsidR="001C2C1E" w:rsidRPr="0004654A" w:rsidRDefault="001C2C1E" w:rsidP="0075315D">
            <w:pPr>
              <w:spacing w:after="0"/>
              <w:rPr>
                <w:rFonts w:cs="Arial"/>
                <w:sz w:val="21"/>
                <w:szCs w:val="21"/>
              </w:rPr>
            </w:pPr>
            <w:r w:rsidRPr="0004654A">
              <w:rPr>
                <w:rFonts w:cs="Arial"/>
                <w:sz w:val="21"/>
                <w:szCs w:val="21"/>
              </w:rPr>
              <w:t>Draw up the required volume for a single dose. Do not touch the shaft of the needle and avoid moving the needle in and out of the vial.</w:t>
            </w:r>
          </w:p>
        </w:tc>
      </w:tr>
      <w:tr w:rsidR="001C2C1E" w:rsidRPr="0004654A" w14:paraId="07436CB7" w14:textId="77777777" w:rsidTr="5615D64D">
        <w:trPr>
          <w:trHeight w:val="659"/>
        </w:trPr>
        <w:tc>
          <w:tcPr>
            <w:tcW w:w="721" w:type="dxa"/>
          </w:tcPr>
          <w:p w14:paraId="6EB397EB" w14:textId="77777777" w:rsidR="001C2C1E" w:rsidRPr="0004654A" w:rsidRDefault="59799FDE" w:rsidP="6B247164">
            <w:pPr>
              <w:spacing w:after="0"/>
              <w:jc w:val="center"/>
              <w:rPr>
                <w:rFonts w:cs="Arial"/>
                <w:sz w:val="21"/>
              </w:rPr>
            </w:pPr>
            <w:r w:rsidRPr="0004654A">
              <w:rPr>
                <w:rFonts w:cs="Arial"/>
                <w:sz w:val="21"/>
              </w:rPr>
              <w:t>C</w:t>
            </w:r>
          </w:p>
        </w:tc>
        <w:tc>
          <w:tcPr>
            <w:tcW w:w="4528" w:type="dxa"/>
          </w:tcPr>
          <w:p w14:paraId="7AD81724" w14:textId="77777777" w:rsidR="001C2C1E" w:rsidRPr="0004654A" w:rsidRDefault="001C2C1E" w:rsidP="0075315D">
            <w:pPr>
              <w:spacing w:after="0"/>
              <w:rPr>
                <w:rFonts w:cs="Arial"/>
                <w:sz w:val="21"/>
                <w:szCs w:val="21"/>
              </w:rPr>
            </w:pPr>
            <w:r w:rsidRPr="0004654A">
              <w:rPr>
                <w:rFonts w:cs="Arial"/>
                <w:sz w:val="21"/>
                <w:szCs w:val="21"/>
              </w:rPr>
              <w:t xml:space="preserve">Remove the filled syringe with the drawing up needle attached. Do not leave the drawing up needle in the vial. Avoid touching the top of the vial. </w:t>
            </w:r>
          </w:p>
        </w:tc>
        <w:tc>
          <w:tcPr>
            <w:tcW w:w="4665" w:type="dxa"/>
          </w:tcPr>
          <w:p w14:paraId="4EFCBB2F" w14:textId="269D2F41" w:rsidR="001C2C1E" w:rsidRPr="0004654A" w:rsidRDefault="001C2C1E" w:rsidP="0075315D">
            <w:pPr>
              <w:spacing w:after="0"/>
              <w:rPr>
                <w:rFonts w:cs="Arial"/>
                <w:sz w:val="21"/>
                <w:szCs w:val="21"/>
              </w:rPr>
            </w:pPr>
            <w:r w:rsidRPr="1D082226">
              <w:rPr>
                <w:rFonts w:cs="Arial"/>
                <w:sz w:val="21"/>
                <w:szCs w:val="21"/>
              </w:rPr>
              <w:t>Remove the filled syringe from the drawing up needle, leaving the drawing up needle in the bung.</w:t>
            </w:r>
            <w:r w:rsidR="7552ED32" w:rsidRPr="1D082226">
              <w:rPr>
                <w:rFonts w:cs="Arial"/>
                <w:sz w:val="21"/>
                <w:szCs w:val="21"/>
              </w:rPr>
              <w:t xml:space="preserve"> </w:t>
            </w:r>
          </w:p>
        </w:tc>
        <w:tc>
          <w:tcPr>
            <w:tcW w:w="4890" w:type="dxa"/>
          </w:tcPr>
          <w:p w14:paraId="50A5E4B2" w14:textId="77777777" w:rsidR="001C2C1E" w:rsidRPr="0004654A" w:rsidRDefault="001C2C1E" w:rsidP="0075315D">
            <w:pPr>
              <w:spacing w:after="0"/>
              <w:rPr>
                <w:rFonts w:cs="Arial"/>
                <w:sz w:val="21"/>
                <w:szCs w:val="21"/>
              </w:rPr>
            </w:pPr>
            <w:r w:rsidRPr="0004654A">
              <w:rPr>
                <w:rFonts w:cs="Arial"/>
                <w:sz w:val="21"/>
                <w:szCs w:val="21"/>
              </w:rPr>
              <w:t xml:space="preserve">Remove the filled syringe with the needle attached. Avoid touching the top of the vial. </w:t>
            </w:r>
          </w:p>
        </w:tc>
      </w:tr>
      <w:tr w:rsidR="001C2C1E" w:rsidRPr="0004654A" w14:paraId="6A961964" w14:textId="77777777" w:rsidTr="5615D64D">
        <w:trPr>
          <w:trHeight w:val="1170"/>
        </w:trPr>
        <w:tc>
          <w:tcPr>
            <w:tcW w:w="721" w:type="dxa"/>
          </w:tcPr>
          <w:p w14:paraId="40AE591C" w14:textId="77777777" w:rsidR="001C2C1E" w:rsidRPr="0004654A" w:rsidRDefault="59799FDE" w:rsidP="6B247164">
            <w:pPr>
              <w:spacing w:after="0"/>
              <w:jc w:val="center"/>
              <w:rPr>
                <w:rFonts w:cs="Arial"/>
                <w:sz w:val="21"/>
              </w:rPr>
            </w:pPr>
            <w:r w:rsidRPr="0004654A">
              <w:rPr>
                <w:rFonts w:cs="Arial"/>
                <w:sz w:val="21"/>
              </w:rPr>
              <w:t>D</w:t>
            </w:r>
          </w:p>
        </w:tc>
        <w:tc>
          <w:tcPr>
            <w:tcW w:w="4528" w:type="dxa"/>
          </w:tcPr>
          <w:p w14:paraId="1B0787C2" w14:textId="0268A38D" w:rsidR="001C2C1E" w:rsidRPr="0004654A" w:rsidRDefault="001C2C1E" w:rsidP="0075315D">
            <w:pPr>
              <w:spacing w:after="0"/>
              <w:rPr>
                <w:rFonts w:cs="Arial"/>
                <w:sz w:val="21"/>
                <w:szCs w:val="21"/>
              </w:rPr>
            </w:pPr>
            <w:r w:rsidRPr="1D082226">
              <w:rPr>
                <w:rFonts w:cs="Arial"/>
                <w:sz w:val="21"/>
                <w:szCs w:val="21"/>
              </w:rPr>
              <w:t xml:space="preserve">Detach the filled syringe and attach a new sterile injection needle*. </w:t>
            </w:r>
          </w:p>
        </w:tc>
        <w:tc>
          <w:tcPr>
            <w:tcW w:w="4665" w:type="dxa"/>
          </w:tcPr>
          <w:p w14:paraId="2EED7E45" w14:textId="15AAB97F" w:rsidR="001C2C1E" w:rsidRPr="0004654A" w:rsidRDefault="001C2C1E" w:rsidP="009A6CF4">
            <w:pPr>
              <w:spacing w:after="60"/>
              <w:rPr>
                <w:rFonts w:cs="Arial"/>
                <w:sz w:val="21"/>
                <w:szCs w:val="21"/>
              </w:rPr>
            </w:pPr>
            <w:r w:rsidRPr="0004654A">
              <w:rPr>
                <w:rFonts w:cs="Arial"/>
                <w:sz w:val="21"/>
                <w:szCs w:val="21"/>
              </w:rPr>
              <w:t>Attach a new sterile injection needle* to the filled syringe, ready for administration to the patient. Without delay or distraction, attach a new sterile syringe to the drawing up needle to draw up each dose.</w:t>
            </w:r>
          </w:p>
          <w:p w14:paraId="6811DD81" w14:textId="10F424AC" w:rsidR="001C2C1E" w:rsidRPr="0004654A" w:rsidRDefault="001C2C1E" w:rsidP="0075315D">
            <w:pPr>
              <w:spacing w:after="0"/>
              <w:rPr>
                <w:rFonts w:cs="Arial"/>
                <w:sz w:val="21"/>
                <w:szCs w:val="21"/>
              </w:rPr>
            </w:pPr>
            <w:r w:rsidRPr="0004654A">
              <w:rPr>
                <w:rFonts w:cs="Arial"/>
                <w:sz w:val="21"/>
                <w:szCs w:val="21"/>
              </w:rPr>
              <w:t xml:space="preserve">Attach a new sterile injection needle to each filled syringe. </w:t>
            </w:r>
          </w:p>
        </w:tc>
        <w:tc>
          <w:tcPr>
            <w:tcW w:w="4890" w:type="dxa"/>
          </w:tcPr>
          <w:p w14:paraId="106B7FCC" w14:textId="1B7C647A" w:rsidR="001C2C1E" w:rsidRPr="0004654A" w:rsidRDefault="001C2C1E" w:rsidP="009A6CF4">
            <w:pPr>
              <w:spacing w:after="60"/>
              <w:rPr>
                <w:rFonts w:cs="Arial"/>
                <w:sz w:val="21"/>
                <w:szCs w:val="21"/>
              </w:rPr>
            </w:pPr>
            <w:r w:rsidRPr="0004654A">
              <w:rPr>
                <w:rFonts w:cs="Arial"/>
                <w:sz w:val="21"/>
                <w:szCs w:val="21"/>
              </w:rPr>
              <w:t xml:space="preserve">If doses are not going to be administered immediately, the needle must be </w:t>
            </w:r>
            <w:proofErr w:type="spellStart"/>
            <w:r w:rsidRPr="0004654A">
              <w:rPr>
                <w:rFonts w:cs="Arial"/>
                <w:sz w:val="21"/>
                <w:szCs w:val="21"/>
              </w:rPr>
              <w:t>resheathed</w:t>
            </w:r>
            <w:proofErr w:type="spellEnd"/>
            <w:r w:rsidRPr="0004654A">
              <w:rPr>
                <w:rFonts w:cs="Arial"/>
                <w:sz w:val="21"/>
                <w:szCs w:val="21"/>
              </w:rPr>
              <w:t xml:space="preserve"> (using safe aseptic technique). </w:t>
            </w:r>
          </w:p>
          <w:p w14:paraId="07127819" w14:textId="77777777" w:rsidR="001C2C1E" w:rsidRPr="0004654A" w:rsidRDefault="001C2C1E" w:rsidP="0075315D">
            <w:pPr>
              <w:spacing w:after="0"/>
              <w:rPr>
                <w:rFonts w:cs="Arial"/>
                <w:sz w:val="21"/>
                <w:szCs w:val="21"/>
              </w:rPr>
            </w:pPr>
            <w:r w:rsidRPr="0004654A">
              <w:rPr>
                <w:rFonts w:cs="Arial"/>
                <w:sz w:val="21"/>
                <w:szCs w:val="21"/>
              </w:rPr>
              <w:t>Repeat the procedure for all required doses.</w:t>
            </w:r>
          </w:p>
        </w:tc>
      </w:tr>
      <w:tr w:rsidR="001C2C1E" w:rsidRPr="0004654A" w14:paraId="354E7EDE" w14:textId="77777777" w:rsidTr="5615D64D">
        <w:trPr>
          <w:trHeight w:val="4188"/>
        </w:trPr>
        <w:tc>
          <w:tcPr>
            <w:tcW w:w="721" w:type="dxa"/>
          </w:tcPr>
          <w:p w14:paraId="1B590804" w14:textId="77777777" w:rsidR="001C2C1E" w:rsidRPr="0004654A" w:rsidRDefault="59799FDE" w:rsidP="6B247164">
            <w:pPr>
              <w:spacing w:after="0"/>
              <w:jc w:val="center"/>
              <w:rPr>
                <w:rFonts w:cs="Arial"/>
                <w:sz w:val="21"/>
              </w:rPr>
            </w:pPr>
            <w:r w:rsidRPr="0004654A">
              <w:rPr>
                <w:rFonts w:cs="Arial"/>
                <w:sz w:val="21"/>
              </w:rPr>
              <w:t>E</w:t>
            </w:r>
          </w:p>
        </w:tc>
        <w:tc>
          <w:tcPr>
            <w:tcW w:w="4528" w:type="dxa"/>
          </w:tcPr>
          <w:p w14:paraId="41955081" w14:textId="7C2A4625" w:rsidR="001C2C1E" w:rsidRPr="0004654A" w:rsidRDefault="000D3DCC" w:rsidP="00FE12B7">
            <w:pPr>
              <w:spacing w:after="0"/>
              <w:rPr>
                <w:rFonts w:cs="Arial"/>
                <w:sz w:val="21"/>
                <w:szCs w:val="21"/>
              </w:rPr>
            </w:pPr>
            <w:r w:rsidRPr="0004654A">
              <w:rPr>
                <w:rFonts w:cs="Arial"/>
                <w:sz w:val="21"/>
                <w:szCs w:val="21"/>
              </w:rPr>
              <w:t>Administer the do</w:t>
            </w:r>
            <w:r w:rsidR="006906AA" w:rsidRPr="0004654A">
              <w:rPr>
                <w:rFonts w:cs="Arial"/>
                <w:sz w:val="21"/>
                <w:szCs w:val="21"/>
              </w:rPr>
              <w:t xml:space="preserve">se as soon as possible after drawing up. </w:t>
            </w:r>
          </w:p>
        </w:tc>
        <w:tc>
          <w:tcPr>
            <w:tcW w:w="4665" w:type="dxa"/>
          </w:tcPr>
          <w:p w14:paraId="0BB9DDF3" w14:textId="2A17EE31" w:rsidR="008449B0" w:rsidRPr="00351EB2" w:rsidRDefault="008449B0" w:rsidP="009A6CF4">
            <w:pPr>
              <w:spacing w:after="60"/>
              <w:rPr>
                <w:rFonts w:cs="Arial"/>
                <w:sz w:val="21"/>
                <w:szCs w:val="21"/>
              </w:rPr>
            </w:pPr>
            <w:r w:rsidRPr="00351EB2">
              <w:rPr>
                <w:rFonts w:cs="Arial"/>
                <w:sz w:val="21"/>
              </w:rPr>
              <w:t xml:space="preserve">The prepared dose can be administered immediately or must be used as soon as practical for the next recipient. </w:t>
            </w:r>
            <w:r w:rsidRPr="00351EB2">
              <w:rPr>
                <w:rFonts w:cs="Arial"/>
                <w:sz w:val="21"/>
                <w:szCs w:val="21"/>
              </w:rPr>
              <w:t xml:space="preserve">Doses drawn up into a syringe must </w:t>
            </w:r>
            <w:r w:rsidR="5288D2B2" w:rsidRPr="00351EB2">
              <w:rPr>
                <w:rFonts w:cs="Arial"/>
                <w:sz w:val="21"/>
                <w:szCs w:val="21"/>
              </w:rPr>
              <w:t xml:space="preserve">ideally </w:t>
            </w:r>
            <w:r w:rsidRPr="00351EB2">
              <w:rPr>
                <w:rFonts w:cs="Arial"/>
                <w:sz w:val="21"/>
                <w:szCs w:val="21"/>
              </w:rPr>
              <w:t>be used within 1h if kept at room temperature, or 6h if stored at 2</w:t>
            </w:r>
            <w:r w:rsidR="006D0E89" w:rsidRPr="00351EB2">
              <w:rPr>
                <w:rFonts w:cs="Arial"/>
                <w:sz w:val="21"/>
                <w:szCs w:val="21"/>
              </w:rPr>
              <w:noBreakHyphen/>
            </w:r>
            <w:r w:rsidRPr="00351EB2">
              <w:rPr>
                <w:rFonts w:cs="Arial"/>
                <w:sz w:val="21"/>
                <w:szCs w:val="21"/>
              </w:rPr>
              <w:t>8°C.</w:t>
            </w:r>
            <w:r w:rsidR="00D31FDA" w:rsidRPr="00351EB2">
              <w:rPr>
                <w:rFonts w:cs="Arial"/>
                <w:sz w:val="21"/>
              </w:rPr>
              <w:t xml:space="preserve"> </w:t>
            </w:r>
            <w:r w:rsidR="00FB41F1" w:rsidRPr="00351EB2">
              <w:rPr>
                <w:rFonts w:cs="Arial"/>
                <w:sz w:val="21"/>
                <w:szCs w:val="21"/>
              </w:rPr>
              <w:t xml:space="preserve">However, regarding the Novavax vaccine, </w:t>
            </w:r>
            <w:r w:rsidR="004C7DFB" w:rsidRPr="00351EB2">
              <w:rPr>
                <w:rFonts w:cs="Arial"/>
                <w:sz w:val="21"/>
                <w:szCs w:val="21"/>
              </w:rPr>
              <w:t>data on stability of pre-drawn doses in syringes are absent, and storing pre-drawn doses of this vaccine in syringes is not preferred.</w:t>
            </w:r>
          </w:p>
          <w:p w14:paraId="2F1DB0F3" w14:textId="185E587E" w:rsidR="008449B0" w:rsidRPr="00351EB2" w:rsidRDefault="001C2C1E" w:rsidP="009A6CF4">
            <w:pPr>
              <w:spacing w:after="60"/>
              <w:rPr>
                <w:rFonts w:cs="Arial"/>
                <w:sz w:val="21"/>
                <w:szCs w:val="21"/>
              </w:rPr>
            </w:pPr>
            <w:r w:rsidRPr="00351EB2">
              <w:rPr>
                <w:rFonts w:cs="Arial"/>
                <w:sz w:val="21"/>
                <w:szCs w:val="21"/>
              </w:rPr>
              <w:t xml:space="preserve">Until ready to be administered, store any prepared syringes at the appropriate temperature as per product information. This includes storing in a suitably sized, clean container. Label the container clearly with the date and time doses were drawn, the name of the person who prepared the doses, vaccine name, </w:t>
            </w:r>
            <w:r w:rsidR="00BC5D62" w:rsidRPr="00351EB2">
              <w:rPr>
                <w:rFonts w:cs="Arial"/>
                <w:sz w:val="21"/>
                <w:szCs w:val="21"/>
              </w:rPr>
              <w:t xml:space="preserve">age range, </w:t>
            </w:r>
            <w:r w:rsidRPr="00351EB2">
              <w:rPr>
                <w:rFonts w:cs="Arial"/>
                <w:sz w:val="21"/>
                <w:szCs w:val="21"/>
              </w:rPr>
              <w:t xml:space="preserve">vial batch number, vial identifier (if available) and expiry time of drawn doses. Discard any filled syringe where there is suspicion that contamination or a sterility breach has occurred. </w:t>
            </w:r>
          </w:p>
          <w:p w14:paraId="183E308B" w14:textId="78354825" w:rsidR="001C2C1E" w:rsidRPr="00351EB2" w:rsidRDefault="008449B0" w:rsidP="0075315D">
            <w:pPr>
              <w:spacing w:after="0"/>
              <w:rPr>
                <w:rFonts w:cs="Arial"/>
                <w:sz w:val="21"/>
                <w:szCs w:val="21"/>
              </w:rPr>
            </w:pPr>
            <w:r w:rsidRPr="00351EB2">
              <w:rPr>
                <w:rFonts w:cs="Arial"/>
                <w:sz w:val="21"/>
                <w:szCs w:val="21"/>
              </w:rPr>
              <w:t>Any unused doses that have been withdrawn into a syringe must be discarded after 6 hours, even if stored at 2-8</w:t>
            </w:r>
            <w:r w:rsidRPr="00351EB2">
              <w:rPr>
                <w:rFonts w:cs="Arial"/>
                <w:sz w:val="21"/>
                <w:szCs w:val="21"/>
                <w:shd w:val="clear" w:color="auto" w:fill="FFFFFF"/>
              </w:rPr>
              <w:t>°C, due to potential infection control concerns.</w:t>
            </w:r>
          </w:p>
        </w:tc>
        <w:tc>
          <w:tcPr>
            <w:tcW w:w="4890" w:type="dxa"/>
          </w:tcPr>
          <w:p w14:paraId="1157CEA8" w14:textId="5E50539F" w:rsidR="008449B0" w:rsidRPr="00351EB2" w:rsidRDefault="008449B0" w:rsidP="009A6CF4">
            <w:pPr>
              <w:spacing w:after="60"/>
              <w:rPr>
                <w:rFonts w:cs="Arial"/>
                <w:sz w:val="21"/>
              </w:rPr>
            </w:pPr>
            <w:r w:rsidRPr="00351EB2">
              <w:rPr>
                <w:rFonts w:cs="Arial"/>
                <w:sz w:val="21"/>
              </w:rPr>
              <w:t xml:space="preserve">The prepared dose can be administered immediately or must be used as soon as practical for the next recipient. Doses drawn up into a syringe must </w:t>
            </w:r>
            <w:r w:rsidR="170895B1" w:rsidRPr="00351EB2">
              <w:rPr>
                <w:rFonts w:cs="Arial"/>
                <w:sz w:val="21"/>
              </w:rPr>
              <w:t xml:space="preserve">ideally </w:t>
            </w:r>
            <w:r w:rsidRPr="00351EB2">
              <w:rPr>
                <w:rFonts w:cs="Arial"/>
                <w:sz w:val="21"/>
              </w:rPr>
              <w:t xml:space="preserve">be used within 1h if kept at room temperature, or </w:t>
            </w:r>
            <w:r w:rsidRPr="00351EB2">
              <w:rPr>
                <w:rFonts w:cs="Arial"/>
                <w:sz w:val="21"/>
                <w:szCs w:val="21"/>
              </w:rPr>
              <w:t>6h if stored at 2-8°C.</w:t>
            </w:r>
            <w:r w:rsidRPr="00351EB2">
              <w:rPr>
                <w:rFonts w:cs="Arial"/>
                <w:sz w:val="21"/>
              </w:rPr>
              <w:t xml:space="preserve"> </w:t>
            </w:r>
            <w:r w:rsidR="00FB41F1" w:rsidRPr="00351EB2">
              <w:rPr>
                <w:rFonts w:cs="Arial"/>
                <w:sz w:val="21"/>
                <w:szCs w:val="21"/>
              </w:rPr>
              <w:t xml:space="preserve">However, regarding the Novavax vaccine, </w:t>
            </w:r>
            <w:r w:rsidR="004C7DFB" w:rsidRPr="00351EB2">
              <w:rPr>
                <w:rFonts w:cs="Arial"/>
                <w:sz w:val="21"/>
                <w:szCs w:val="21"/>
              </w:rPr>
              <w:t>data on stability of pre-drawn doses in syringes are absent, and storing pre-drawn doses of this vaccine in syringes is not preferred</w:t>
            </w:r>
            <w:r w:rsidR="00FB41F1" w:rsidRPr="00351EB2">
              <w:rPr>
                <w:rFonts w:cs="Arial"/>
                <w:sz w:val="21"/>
                <w:szCs w:val="21"/>
              </w:rPr>
              <w:t>.</w:t>
            </w:r>
          </w:p>
          <w:p w14:paraId="06FCC1F6" w14:textId="7D7BFB23" w:rsidR="008449B0" w:rsidRPr="00351EB2" w:rsidRDefault="0071032B" w:rsidP="009A6CF4">
            <w:pPr>
              <w:spacing w:after="60"/>
              <w:rPr>
                <w:rFonts w:cs="Arial"/>
                <w:sz w:val="21"/>
                <w:szCs w:val="21"/>
              </w:rPr>
            </w:pPr>
            <w:r w:rsidRPr="00351EB2">
              <w:rPr>
                <w:rFonts w:cs="Arial"/>
                <w:sz w:val="21"/>
                <w:szCs w:val="21"/>
              </w:rPr>
              <w:t>Until ready to be administered, store any prepared syringes at the appropriate temperature as per product information. This includes storing in a suitably sized, clean container. Label the container clearly with the date and time doses were drawn, the name of the person who prepared the doses, vaccine name,</w:t>
            </w:r>
            <w:r w:rsidR="00BC5D62" w:rsidRPr="00351EB2">
              <w:rPr>
                <w:rFonts w:cs="Arial"/>
                <w:sz w:val="21"/>
                <w:szCs w:val="21"/>
              </w:rPr>
              <w:t xml:space="preserve"> age range,</w:t>
            </w:r>
            <w:r w:rsidRPr="00351EB2">
              <w:rPr>
                <w:rFonts w:cs="Arial"/>
                <w:sz w:val="21"/>
                <w:szCs w:val="21"/>
              </w:rPr>
              <w:t xml:space="preserve"> vial batch number, vial identifier (if available) and expiry time of drawn doses. Discard any filled syringe where there is suspicion that contamination or a sterility breach has occurred. </w:t>
            </w:r>
          </w:p>
          <w:p w14:paraId="24D90982" w14:textId="4D065521" w:rsidR="001C2C1E" w:rsidRPr="00351EB2" w:rsidRDefault="00802C30" w:rsidP="0075315D">
            <w:pPr>
              <w:spacing w:after="0"/>
              <w:rPr>
                <w:rFonts w:cs="Arial"/>
                <w:sz w:val="21"/>
                <w:szCs w:val="21"/>
              </w:rPr>
            </w:pPr>
            <w:r w:rsidRPr="00351EB2">
              <w:rPr>
                <w:rFonts w:cs="Arial"/>
                <w:sz w:val="21"/>
                <w:szCs w:val="21"/>
              </w:rPr>
              <w:t xml:space="preserve">Any unused doses that have been withdrawn into a syringe </w:t>
            </w:r>
            <w:r w:rsidR="008449B0" w:rsidRPr="00351EB2">
              <w:rPr>
                <w:rFonts w:cs="Arial"/>
                <w:sz w:val="21"/>
                <w:szCs w:val="21"/>
              </w:rPr>
              <w:t xml:space="preserve">must </w:t>
            </w:r>
            <w:r w:rsidRPr="00351EB2">
              <w:rPr>
                <w:rFonts w:cs="Arial"/>
                <w:sz w:val="21"/>
                <w:szCs w:val="21"/>
              </w:rPr>
              <w:t>be discarded after 6 hours, even if stored at 2-8</w:t>
            </w:r>
            <w:r w:rsidRPr="00351EB2">
              <w:rPr>
                <w:rFonts w:cs="Arial"/>
                <w:sz w:val="21"/>
                <w:szCs w:val="21"/>
                <w:shd w:val="clear" w:color="auto" w:fill="FFFFFF"/>
              </w:rPr>
              <w:t xml:space="preserve">°C, due to potential infection control concerns. </w:t>
            </w:r>
          </w:p>
        </w:tc>
      </w:tr>
    </w:tbl>
    <w:p w14:paraId="3596A658" w14:textId="070A894C" w:rsidR="007A5E54" w:rsidRPr="007A5E54" w:rsidRDefault="007A5E54" w:rsidP="007A5E54">
      <w:pPr>
        <w:rPr>
          <w:rStyle w:val="Hyperlink"/>
          <w:szCs w:val="22"/>
          <w:u w:val="none"/>
        </w:rPr>
      </w:pPr>
      <w:r w:rsidRPr="007A5E54">
        <w:rPr>
          <w:szCs w:val="22"/>
        </w:rPr>
        <w:t>* For guidance on the appropriate needle gauge and length, refer to the Australian Immunisation Handbook at:</w:t>
      </w:r>
      <w:r w:rsidRPr="007A5E54">
        <w:rPr>
          <w:rStyle w:val="Hyperlink"/>
          <w:color w:val="7030A0"/>
          <w:szCs w:val="22"/>
          <w:u w:val="none"/>
        </w:rPr>
        <w:t xml:space="preserve"> </w:t>
      </w:r>
      <w:hyperlink r:id="rId17">
        <w:r w:rsidRPr="007A5E54">
          <w:rPr>
            <w:rStyle w:val="Hyperlink"/>
            <w:szCs w:val="22"/>
          </w:rPr>
          <w:t>immunisationhandbook.health.gov.au/resources/handbook-tables/table-recommended-needle-size-length-and-angle-for-administering-vaccines</w:t>
        </w:r>
      </w:hyperlink>
    </w:p>
    <w:p w14:paraId="6F784333" w14:textId="77777777" w:rsidR="007A5E54" w:rsidRPr="007A5E54" w:rsidRDefault="007A5E54" w:rsidP="007A5E54">
      <w:pPr>
        <w:rPr>
          <w:szCs w:val="22"/>
        </w:rPr>
      </w:pPr>
      <w:r w:rsidRPr="007A5E54">
        <w:rPr>
          <w:szCs w:val="22"/>
        </w:rPr>
        <w:t xml:space="preserve">** </w:t>
      </w:r>
      <w:r w:rsidRPr="007A5E54">
        <w:rPr>
          <w:b/>
          <w:bCs/>
          <w:szCs w:val="22"/>
        </w:rPr>
        <w:t>Methods 1 and 2</w:t>
      </w:r>
      <w:r w:rsidRPr="007A5E54">
        <w:rPr>
          <w:szCs w:val="22"/>
        </w:rPr>
        <w:t xml:space="preserve"> reduce the</w:t>
      </w:r>
      <w:r w:rsidRPr="007A5E54">
        <w:rPr>
          <w:b/>
          <w:bCs/>
          <w:szCs w:val="22"/>
        </w:rPr>
        <w:t xml:space="preserve"> risk of local reactions </w:t>
      </w:r>
      <w:r w:rsidRPr="007A5E54">
        <w:rPr>
          <w:szCs w:val="22"/>
        </w:rPr>
        <w:t>by</w:t>
      </w:r>
      <w:r w:rsidRPr="007A5E54">
        <w:rPr>
          <w:b/>
          <w:bCs/>
          <w:szCs w:val="22"/>
        </w:rPr>
        <w:t xml:space="preserve"> avoiding vaccine on the exterior of the needle</w:t>
      </w:r>
      <w:r w:rsidRPr="007A5E54">
        <w:rPr>
          <w:szCs w:val="22"/>
        </w:rPr>
        <w:t xml:space="preserve">. The potential for minor under dosing (due to vaccine volume loss in the administration needle dead space) using these methods is not of </w:t>
      </w:r>
      <w:r w:rsidRPr="007A5E54">
        <w:rPr>
          <w:b/>
          <w:bCs/>
          <w:szCs w:val="22"/>
        </w:rPr>
        <w:t xml:space="preserve">concern </w:t>
      </w:r>
      <w:r w:rsidRPr="007A5E54">
        <w:rPr>
          <w:szCs w:val="22"/>
        </w:rPr>
        <w:t xml:space="preserve">for dose volumes of ≥0.3mL as the patient will still receive most of the dose. </w:t>
      </w:r>
    </w:p>
    <w:p w14:paraId="73B6F56F" w14:textId="1012E2E1" w:rsidR="007A5E54" w:rsidRPr="007A5E54" w:rsidRDefault="007A5E54" w:rsidP="5615D64D">
      <w:pPr>
        <w:rPr>
          <w:rStyle w:val="OrangetextChar"/>
          <w:sz w:val="22"/>
        </w:rPr>
      </w:pPr>
      <w:r>
        <w:t xml:space="preserve">*** </w:t>
      </w:r>
      <w:r w:rsidRPr="5615D64D">
        <w:rPr>
          <w:b/>
          <w:bCs/>
        </w:rPr>
        <w:t>Method 3</w:t>
      </w:r>
      <w:r>
        <w:t xml:space="preserve"> reduces the potential for minor volume loss (due to dead space) by using the same needle for drawing up and administering, but with an increased risk of </w:t>
      </w:r>
      <w:r w:rsidRPr="0004039A">
        <w:t>coring (compared to method 2) and potential greater frequency of injection site reactions.</w:t>
      </w:r>
      <w:r w:rsidRPr="0004039A">
        <w:rPr>
          <w:color w:val="7030A0"/>
        </w:rPr>
        <w:t xml:space="preserve"> </w:t>
      </w:r>
      <w:r w:rsidRPr="0004039A">
        <w:rPr>
          <w:rStyle w:val="OrangetextChar"/>
          <w:b w:val="0"/>
          <w:bCs w:val="0"/>
          <w:color w:val="auto"/>
          <w:sz w:val="22"/>
        </w:rPr>
        <w:t xml:space="preserve">Method 3 is preferred for extracting single or multiple doses of the </w:t>
      </w:r>
      <w:r w:rsidR="60A1743E" w:rsidRPr="0004039A">
        <w:rPr>
          <w:rStyle w:val="OrangetextChar"/>
          <w:b w:val="0"/>
          <w:bCs w:val="0"/>
          <w:color w:val="auto"/>
          <w:sz w:val="22"/>
        </w:rPr>
        <w:t xml:space="preserve">Pfizer </w:t>
      </w:r>
      <w:r w:rsidRPr="0004039A">
        <w:rPr>
          <w:rStyle w:val="OrangetextChar"/>
          <w:b w:val="0"/>
          <w:bCs w:val="0"/>
          <w:color w:val="auto"/>
          <w:sz w:val="22"/>
        </w:rPr>
        <w:t>paediatric</w:t>
      </w:r>
      <w:r w:rsidRPr="5615D64D">
        <w:rPr>
          <w:rStyle w:val="OrangetextChar"/>
          <w:b w:val="0"/>
          <w:bCs w:val="0"/>
          <w:color w:val="auto"/>
          <w:sz w:val="22"/>
        </w:rPr>
        <w:t xml:space="preserve"> formulation as the proportional loss of volume is greater for the lower volume paediatric dose compared to the adolescent/adult dose.</w:t>
      </w:r>
    </w:p>
    <w:p w14:paraId="4E81B5E9" w14:textId="77777777" w:rsidR="006D2CE6" w:rsidRDefault="006D2CE6" w:rsidP="00111AB9">
      <w:pPr>
        <w:keepNext/>
        <w:keepLines/>
        <w:spacing w:after="200"/>
        <w:rPr>
          <w:color w:val="7030A0"/>
        </w:rPr>
        <w:sectPr w:rsidR="006D2CE6" w:rsidSect="00111AB9">
          <w:headerReference w:type="default" r:id="rId18"/>
          <w:headerReference w:type="first" r:id="rId19"/>
          <w:pgSz w:w="16838" w:h="23811" w:code="8"/>
          <w:pgMar w:top="1361" w:right="1440" w:bottom="1418" w:left="1440" w:header="709" w:footer="709" w:gutter="0"/>
          <w:cols w:space="708"/>
          <w:docGrid w:linePitch="360"/>
        </w:sectPr>
      </w:pPr>
    </w:p>
    <w:p w14:paraId="2B781216" w14:textId="754A58AF" w:rsidR="00111AB9" w:rsidRPr="006D2CE6" w:rsidRDefault="006D2CE6" w:rsidP="00C671E1">
      <w:pPr>
        <w:pStyle w:val="Heading2"/>
      </w:pPr>
      <w:r w:rsidRPr="006D2CE6">
        <w:lastRenderedPageBreak/>
        <w:t>More information</w:t>
      </w:r>
    </w:p>
    <w:p w14:paraId="385AA4AB" w14:textId="77777777" w:rsidR="00111AB9" w:rsidRPr="002474C2" w:rsidRDefault="00111AB9" w:rsidP="00C671E1">
      <w:pPr>
        <w:pStyle w:val="ListBullet"/>
      </w:pPr>
      <w:r w:rsidRPr="002474C2">
        <w:t xml:space="preserve">Individual vaccine product </w:t>
      </w:r>
      <w:r w:rsidRPr="00C671E1">
        <w:t>information</w:t>
      </w:r>
      <w:r>
        <w:t xml:space="preserve"> - </w:t>
      </w:r>
      <w:r w:rsidRPr="002474C2">
        <w:t xml:space="preserve">refer to the latest version of the Product Information of the respective vaccine and formation published on the TGA website: </w:t>
      </w:r>
      <w:hyperlink r:id="rId20" w:history="1">
        <w:r w:rsidRPr="002474C2">
          <w:rPr>
            <w:rStyle w:val="Hyperlink"/>
            <w:szCs w:val="22"/>
          </w:rPr>
          <w:t>www.tga.gov.au/product-information-0</w:t>
        </w:r>
      </w:hyperlink>
    </w:p>
    <w:p w14:paraId="086C0353" w14:textId="0EC05DCB" w:rsidR="00111AB9" w:rsidRPr="00791DA4" w:rsidRDefault="00673CD9" w:rsidP="00C671E1">
      <w:pPr>
        <w:pStyle w:val="ListBullet"/>
      </w:pPr>
      <w:r w:rsidRPr="00791DA4">
        <w:t>Australian Immunisation Handbook</w:t>
      </w:r>
      <w:r w:rsidR="3FF3E6D7" w:rsidRPr="00791DA4">
        <w:t xml:space="preserve"> COVID-19 Chapter</w:t>
      </w:r>
      <w:r w:rsidR="0026753D" w:rsidRPr="00791DA4">
        <w:t>:</w:t>
      </w:r>
      <w:r w:rsidR="00111AB9" w:rsidRPr="00791DA4">
        <w:rPr>
          <w:rStyle w:val="Hyperlink"/>
          <w:u w:val="none"/>
        </w:rPr>
        <w:t xml:space="preserve"> </w:t>
      </w:r>
      <w:proofErr w:type="gramStart"/>
      <w:r w:rsidRPr="00791DA4">
        <w:rPr>
          <w:rStyle w:val="Hyperlink"/>
        </w:rPr>
        <w:t>https://immunisationhandbook.health.gov.au/contents/vaccine-preventable-diseases/covid-19</w:t>
      </w:r>
      <w:proofErr w:type="gramEnd"/>
    </w:p>
    <w:p w14:paraId="0583D5C4" w14:textId="27582342" w:rsidR="00111AB9" w:rsidRPr="00791DA4" w:rsidRDefault="69B00725" w:rsidP="00C671E1">
      <w:pPr>
        <w:pStyle w:val="ListBullet"/>
        <w:rPr>
          <w:b/>
        </w:rPr>
      </w:pPr>
      <w:r w:rsidRPr="00791DA4">
        <w:t xml:space="preserve">Australian Immunisation Handbook section ‘Vaccination Procedures’: </w:t>
      </w:r>
      <w:hyperlink r:id="rId21" w:history="1">
        <w:r w:rsidRPr="00791DA4">
          <w:rPr>
            <w:rStyle w:val="Hyperlink"/>
            <w:szCs w:val="22"/>
          </w:rPr>
          <w:t>immunisationhandbook.health.gov.au/vaccination-procedures</w:t>
        </w:r>
        <w:r w:rsidR="00791DA4" w:rsidRPr="00791DA4">
          <w:rPr>
            <w:rStyle w:val="Hyperlink"/>
            <w:szCs w:val="22"/>
          </w:rPr>
          <w:t xml:space="preserve"> </w:t>
        </w:r>
      </w:hyperlink>
      <w:r w:rsidRPr="00791DA4">
        <w:t xml:space="preserve"> </w:t>
      </w:r>
    </w:p>
    <w:p w14:paraId="4675648C" w14:textId="3DC5D8A9" w:rsidR="00111AB9" w:rsidRPr="00791DA4" w:rsidRDefault="00111AB9" w:rsidP="00C671E1">
      <w:pPr>
        <w:pStyle w:val="ListBullet"/>
      </w:pPr>
      <w:r w:rsidRPr="00791DA4">
        <w:t xml:space="preserve">National Health and Medical Research Council </w:t>
      </w:r>
      <w:r w:rsidR="773F9D5D" w:rsidRPr="00791DA4">
        <w:t xml:space="preserve">and Australian Commission on Safety and Quality in Healthcare </w:t>
      </w:r>
      <w:r w:rsidRPr="00791DA4">
        <w:rPr>
          <w:i/>
          <w:iCs/>
        </w:rPr>
        <w:t>Australian Guidelines for the Prevention and Control of Infection in Healthcare</w:t>
      </w:r>
      <w:r w:rsidRPr="00791DA4">
        <w:t xml:space="preserve">: </w:t>
      </w:r>
      <w:r w:rsidR="7E0766F3" w:rsidRPr="00791DA4">
        <w:t xml:space="preserve"> </w:t>
      </w:r>
      <w:hyperlink r:id="rId22" w:history="1">
        <w:r w:rsidR="000D3DD8" w:rsidRPr="005251F4">
          <w:rPr>
            <w:rStyle w:val="Hyperlink"/>
            <w:szCs w:val="22"/>
          </w:rPr>
          <w:t>https://www.safetyandquality.gov.au/publications-and-resources/resource-library/australian-guidelines-prevention-and-control-infection-healthcare</w:t>
        </w:r>
      </w:hyperlink>
      <w:r w:rsidR="00791DA4">
        <w:t xml:space="preserve"> </w:t>
      </w:r>
    </w:p>
    <w:p w14:paraId="209F349D" w14:textId="4C1762DB" w:rsidR="00111AB9" w:rsidRPr="0004654A" w:rsidRDefault="00111AB9" w:rsidP="00C671E1">
      <w:pPr>
        <w:pStyle w:val="ListBullet"/>
        <w:rPr>
          <w:u w:val="single"/>
        </w:rPr>
      </w:pPr>
      <w:r w:rsidRPr="5615D64D">
        <w:rPr>
          <w:szCs w:val="22"/>
        </w:rPr>
        <w:t xml:space="preserve">ATAGI Checklist for immunisation service provider sites: </w:t>
      </w:r>
      <w:hyperlink r:id="rId23">
        <w:r w:rsidR="00222115" w:rsidRPr="5615D64D">
          <w:rPr>
            <w:rStyle w:val="Hyperlink"/>
          </w:rPr>
          <w:t>www.health.gov.au/resources/</w:t>
        </w:r>
        <w:r>
          <w:br/>
        </w:r>
        <w:r w:rsidR="00222115" w:rsidRPr="5615D64D">
          <w:rPr>
            <w:rStyle w:val="Hyperlink"/>
          </w:rPr>
          <w:t>publications/covid-19-vaccination-site-requirements-for-covid-19-vaccination-clinics</w:t>
        </w:r>
      </w:hyperlink>
    </w:p>
    <w:p w14:paraId="16B23824" w14:textId="401198FF" w:rsidR="00111AB9" w:rsidRPr="0004654A" w:rsidRDefault="00111AB9" w:rsidP="00C671E1">
      <w:pPr>
        <w:pStyle w:val="ListBullet"/>
      </w:pPr>
      <w:r w:rsidRPr="5615D64D">
        <w:t>Office-based practices (including general practices) must adhere to the RACGP Infection Control Standards for Office-based Practices, 5th Edition</w:t>
      </w:r>
      <w:r w:rsidR="0026753D" w:rsidRPr="5615D64D">
        <w:t>:</w:t>
      </w:r>
      <w:r w:rsidRPr="5615D64D">
        <w:rPr>
          <w:rStyle w:val="Hyperlink"/>
          <w:u w:val="none"/>
        </w:rPr>
        <w:t xml:space="preserve"> </w:t>
      </w:r>
      <w:hyperlink r:id="rId24">
        <w:r w:rsidRPr="5615D64D">
          <w:rPr>
            <w:rStyle w:val="Hyperlink"/>
          </w:rPr>
          <w:t>www.racgp.org.au/running-a-practice/practice-standards/standards-for-other-health-care-settings/view-all-health-care-standards/infection-prevention-and-control</w:t>
        </w:r>
      </w:hyperlink>
    </w:p>
    <w:p w14:paraId="65C3E8E3" w14:textId="195F23F3" w:rsidR="00A50AB3" w:rsidRPr="00A762CD" w:rsidRDefault="00111AB9" w:rsidP="00C671E1">
      <w:pPr>
        <w:pStyle w:val="ListBullet"/>
      </w:pPr>
      <w:r w:rsidRPr="5615D64D">
        <w:rPr>
          <w:rStyle w:val="Hyperlink"/>
          <w:color w:val="auto"/>
          <w:u w:val="none"/>
        </w:rPr>
        <w:t xml:space="preserve">Services Australia website using the search term ‘Australian Immunisation Register’ – </w:t>
      </w:r>
      <w:r w:rsidRPr="5615D64D">
        <w:rPr>
          <w:szCs w:val="22"/>
        </w:rPr>
        <w:t>Information on mandatory recording of COVID-19 vaccinations in the Australian Immunisation Register (AIR)</w:t>
      </w:r>
      <w:r w:rsidR="0026753D" w:rsidRPr="5615D64D">
        <w:rPr>
          <w:szCs w:val="22"/>
        </w:rPr>
        <w:t>:</w:t>
      </w:r>
      <w:r w:rsidR="00A762CD" w:rsidRPr="5615D64D">
        <w:rPr>
          <w:szCs w:val="22"/>
        </w:rPr>
        <w:t xml:space="preserve"> </w:t>
      </w:r>
      <w:hyperlink r:id="rId25">
        <w:r w:rsidR="00A762CD" w:rsidRPr="5615D64D">
          <w:rPr>
            <w:rStyle w:val="Hyperlink"/>
          </w:rPr>
          <w:t>www.servicesaustralia.gov.au/australian-immunisation-register-for-health-professionals</w:t>
        </w:r>
      </w:hyperlink>
    </w:p>
    <w:sectPr w:rsidR="00A50AB3" w:rsidRPr="00A762CD" w:rsidSect="006D2CE6">
      <w:pgSz w:w="11906" w:h="16838" w:code="9"/>
      <w:pgMar w:top="1361"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0FBC2" w14:textId="77777777" w:rsidR="00D2268E" w:rsidRDefault="00D2268E" w:rsidP="00F702C3">
      <w:r>
        <w:separator/>
      </w:r>
    </w:p>
  </w:endnote>
  <w:endnote w:type="continuationSeparator" w:id="0">
    <w:p w14:paraId="01BCD9D4" w14:textId="77777777" w:rsidR="00D2268E" w:rsidRDefault="00D2268E" w:rsidP="00F702C3">
      <w:r>
        <w:continuationSeparator/>
      </w:r>
    </w:p>
  </w:endnote>
  <w:endnote w:type="continuationNotice" w:id="1">
    <w:p w14:paraId="44C66A1F" w14:textId="77777777" w:rsidR="00D2268E" w:rsidRDefault="00D226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Rg">
    <w:altName w:val="Tahoma"/>
    <w:panose1 w:val="00000000000000000000"/>
    <w:charset w:val="4D"/>
    <w:family w:val="auto"/>
    <w:notTrueType/>
    <w:pitch w:val="variable"/>
    <w:sig w:usb0="800000AF" w:usb1="5000E0FB" w:usb2="00000000" w:usb3="00000000" w:csb0="000001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DE60" w14:textId="07C8B997" w:rsidR="005634CC" w:rsidRPr="000757C8" w:rsidRDefault="005634CC" w:rsidP="005634CC">
    <w:pPr>
      <w:pStyle w:val="Footer"/>
      <w:spacing w:after="0"/>
      <w:rPr>
        <w:color w:val="000000" w:themeColor="text1"/>
        <w:spacing w:val="0"/>
        <w:sz w:val="18"/>
        <w:szCs w:val="18"/>
        <w:highlight w:val="yellow"/>
        <w:lang w:val="en-GB"/>
      </w:rPr>
    </w:pPr>
    <w:r w:rsidRPr="00727C27">
      <w:rPr>
        <w:color w:val="000000" w:themeColor="text1"/>
        <w:spacing w:val="0"/>
        <w:sz w:val="18"/>
        <w:szCs w:val="18"/>
        <w:lang w:val="en-GB"/>
      </w:rPr>
      <w:t xml:space="preserve">ATAGI </w:t>
    </w:r>
    <w:r>
      <w:rPr>
        <w:color w:val="000000" w:themeColor="text1"/>
        <w:spacing w:val="0"/>
        <w:sz w:val="18"/>
        <w:szCs w:val="18"/>
        <w:lang w:val="en-GB"/>
      </w:rPr>
      <w:t xml:space="preserve">Guidance on </w:t>
    </w:r>
    <w:r w:rsidRPr="00582D02">
      <w:rPr>
        <w:color w:val="000000" w:themeColor="text1"/>
        <w:spacing w:val="0"/>
        <w:sz w:val="18"/>
        <w:szCs w:val="18"/>
        <w:lang w:val="en-GB"/>
      </w:rPr>
      <w:t xml:space="preserve">the use of multi-dose vials for COVID-19 </w:t>
    </w:r>
    <w:r w:rsidRPr="005A270A">
      <w:rPr>
        <w:color w:val="000000" w:themeColor="text1"/>
        <w:spacing w:val="0"/>
        <w:sz w:val="18"/>
        <w:szCs w:val="18"/>
        <w:lang w:val="en-GB"/>
      </w:rPr>
      <w:t>vaccination</w:t>
    </w:r>
    <w:r>
      <w:rPr>
        <w:color w:val="000000" w:themeColor="text1"/>
        <w:spacing w:val="0"/>
        <w:sz w:val="18"/>
        <w:szCs w:val="18"/>
        <w:lang w:val="en-GB"/>
      </w:rPr>
      <w:t xml:space="preserve"> – </w:t>
    </w:r>
    <w:r w:rsidR="00AE1270" w:rsidRPr="005A270A">
      <w:rPr>
        <w:color w:val="000000" w:themeColor="text1"/>
        <w:spacing w:val="0"/>
        <w:sz w:val="18"/>
        <w:szCs w:val="18"/>
        <w:lang w:val="en-GB"/>
      </w:rPr>
      <w:t>V</w:t>
    </w:r>
    <w:r w:rsidR="009D65C1">
      <w:rPr>
        <w:color w:val="000000" w:themeColor="text1"/>
        <w:spacing w:val="0"/>
        <w:sz w:val="18"/>
        <w:szCs w:val="18"/>
        <w:lang w:val="en-GB"/>
      </w:rPr>
      <w:t>5.</w:t>
    </w:r>
    <w:r w:rsidR="007C39DE">
      <w:rPr>
        <w:color w:val="000000" w:themeColor="text1"/>
        <w:spacing w:val="0"/>
        <w:sz w:val="18"/>
        <w:szCs w:val="18"/>
        <w:lang w:val="en-GB"/>
      </w:rPr>
      <w:t>1</w:t>
    </w:r>
  </w:p>
  <w:p w14:paraId="4470A785" w14:textId="487355FA" w:rsidR="00DC33AE" w:rsidRPr="00582D02" w:rsidRDefault="00955AE7" w:rsidP="00506176">
    <w:pPr>
      <w:pStyle w:val="Footer"/>
      <w:tabs>
        <w:tab w:val="clear" w:pos="4513"/>
        <w:tab w:val="center" w:pos="8931"/>
      </w:tabs>
    </w:pPr>
    <w:r w:rsidRPr="002C6252">
      <w:rPr>
        <w:color w:val="000000" w:themeColor="text1"/>
        <w:spacing w:val="0"/>
        <w:sz w:val="18"/>
        <w:szCs w:val="18"/>
        <w:lang w:val="en-GB"/>
      </w:rPr>
      <w:t>Date</w:t>
    </w:r>
    <w:r w:rsidR="009D65C1">
      <w:rPr>
        <w:color w:val="000000" w:themeColor="text1"/>
        <w:spacing w:val="0"/>
        <w:sz w:val="18"/>
        <w:szCs w:val="18"/>
        <w:lang w:val="en-GB"/>
      </w:rPr>
      <w:t xml:space="preserve">: </w:t>
    </w:r>
    <w:r w:rsidR="000D3DD8">
      <w:rPr>
        <w:color w:val="000000" w:themeColor="text1"/>
        <w:spacing w:val="0"/>
        <w:sz w:val="18"/>
        <w:szCs w:val="18"/>
        <w:lang w:val="en-GB"/>
      </w:rPr>
      <w:t>1</w:t>
    </w:r>
    <w:r w:rsidR="002344D8">
      <w:rPr>
        <w:color w:val="000000" w:themeColor="text1"/>
        <w:spacing w:val="0"/>
        <w:sz w:val="18"/>
        <w:szCs w:val="18"/>
        <w:lang w:val="en-GB"/>
      </w:rPr>
      <w:t>2</w:t>
    </w:r>
    <w:r w:rsidR="000D3DD8">
      <w:rPr>
        <w:color w:val="000000" w:themeColor="text1"/>
        <w:spacing w:val="0"/>
        <w:sz w:val="18"/>
        <w:szCs w:val="18"/>
        <w:lang w:val="en-GB"/>
      </w:rPr>
      <w:t xml:space="preserve"> January 2024</w:t>
    </w:r>
    <w:r w:rsidR="000D3DD8">
      <w:rPr>
        <w:color w:val="000000" w:themeColor="text1"/>
        <w:spacing w:val="0"/>
        <w:sz w:val="18"/>
        <w:szCs w:val="18"/>
        <w:lang w:val="en-GB"/>
      </w:rPr>
      <w:tab/>
    </w:r>
    <w:r w:rsidR="000D3DD8">
      <w:rPr>
        <w:color w:val="000000" w:themeColor="text1"/>
        <w:spacing w:val="0"/>
        <w:sz w:val="18"/>
        <w:szCs w:val="18"/>
        <w:lang w:val="en-GB"/>
      </w:rPr>
      <w:tab/>
    </w:r>
    <w:r w:rsidRPr="002C6252">
      <w:rPr>
        <w:color w:val="000000" w:themeColor="text1"/>
        <w:spacing w:val="0"/>
        <w:sz w:val="18"/>
        <w:szCs w:val="18"/>
        <w:lang w:val="en-GB"/>
      </w:rPr>
      <w:fldChar w:fldCharType="begin"/>
    </w:r>
    <w:r w:rsidRPr="002C6252">
      <w:rPr>
        <w:color w:val="000000" w:themeColor="text1"/>
        <w:spacing w:val="0"/>
        <w:sz w:val="18"/>
        <w:szCs w:val="18"/>
        <w:lang w:val="en-GB"/>
      </w:rPr>
      <w:instrText xml:space="preserve"> PAGE   \* MERGEFORMAT </w:instrText>
    </w:r>
    <w:r w:rsidRPr="002C6252">
      <w:rPr>
        <w:color w:val="000000" w:themeColor="text1"/>
        <w:spacing w:val="0"/>
        <w:sz w:val="18"/>
        <w:szCs w:val="18"/>
        <w:lang w:val="en-GB"/>
      </w:rPr>
      <w:fldChar w:fldCharType="separate"/>
    </w:r>
    <w:r w:rsidR="00A42BD1">
      <w:rPr>
        <w:noProof/>
        <w:color w:val="000000" w:themeColor="text1"/>
        <w:spacing w:val="0"/>
        <w:sz w:val="18"/>
        <w:szCs w:val="18"/>
        <w:lang w:val="en-GB"/>
      </w:rPr>
      <w:t>6</w:t>
    </w:r>
    <w:r w:rsidRPr="002C6252">
      <w:rPr>
        <w:noProof/>
        <w:color w:val="000000" w:themeColor="text1"/>
        <w:spacing w:val="0"/>
        <w:sz w:val="18"/>
        <w:szCs w:val="18"/>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3FB1" w14:textId="2F5D7EBB" w:rsidR="00506176" w:rsidRPr="00D87C94" w:rsidRDefault="00506176" w:rsidP="005634CC">
    <w:pPr>
      <w:pStyle w:val="Footer"/>
      <w:spacing w:after="0"/>
      <w:rPr>
        <w:color w:val="000000" w:themeColor="text1"/>
        <w:spacing w:val="0"/>
        <w:sz w:val="18"/>
        <w:szCs w:val="18"/>
        <w:lang w:val="en-GB"/>
      </w:rPr>
    </w:pPr>
    <w:r w:rsidRPr="00727C27">
      <w:rPr>
        <w:color w:val="000000" w:themeColor="text1"/>
        <w:spacing w:val="0"/>
        <w:sz w:val="18"/>
        <w:szCs w:val="18"/>
        <w:lang w:val="en-GB"/>
      </w:rPr>
      <w:t xml:space="preserve">ATAGI </w:t>
    </w:r>
    <w:r w:rsidR="009B243B">
      <w:rPr>
        <w:color w:val="000000" w:themeColor="text1"/>
        <w:spacing w:val="0"/>
        <w:sz w:val="18"/>
        <w:szCs w:val="18"/>
        <w:lang w:val="en-GB"/>
      </w:rPr>
      <w:t xml:space="preserve">Guidance on </w:t>
    </w:r>
    <w:r w:rsidR="009B243B" w:rsidRPr="00582D02">
      <w:rPr>
        <w:color w:val="000000" w:themeColor="text1"/>
        <w:spacing w:val="0"/>
        <w:sz w:val="18"/>
        <w:szCs w:val="18"/>
        <w:lang w:val="en-GB"/>
      </w:rPr>
      <w:t>the use of multi-dose vials</w:t>
    </w:r>
    <w:r w:rsidR="0075315D" w:rsidRPr="00582D02">
      <w:rPr>
        <w:color w:val="000000" w:themeColor="text1"/>
        <w:spacing w:val="0"/>
        <w:sz w:val="18"/>
        <w:szCs w:val="18"/>
        <w:lang w:val="en-GB"/>
      </w:rPr>
      <w:t xml:space="preserve"> for COVID-19 </w:t>
    </w:r>
    <w:r w:rsidR="0075315D" w:rsidRPr="005A270A">
      <w:rPr>
        <w:color w:val="000000" w:themeColor="text1"/>
        <w:spacing w:val="0"/>
        <w:sz w:val="18"/>
        <w:szCs w:val="18"/>
        <w:lang w:val="en-GB"/>
      </w:rPr>
      <w:t>vaccination</w:t>
    </w:r>
    <w:r w:rsidR="005634CC">
      <w:rPr>
        <w:color w:val="000000" w:themeColor="text1"/>
        <w:spacing w:val="0"/>
        <w:sz w:val="18"/>
        <w:szCs w:val="18"/>
        <w:lang w:val="en-GB"/>
      </w:rPr>
      <w:t xml:space="preserve"> – </w:t>
    </w:r>
    <w:r w:rsidR="0075315D" w:rsidRPr="00D87C94">
      <w:rPr>
        <w:color w:val="000000" w:themeColor="text1"/>
        <w:spacing w:val="0"/>
        <w:sz w:val="18"/>
        <w:szCs w:val="18"/>
        <w:lang w:val="en-GB"/>
      </w:rPr>
      <w:t>V</w:t>
    </w:r>
    <w:r w:rsidR="009D65C1">
      <w:rPr>
        <w:color w:val="000000" w:themeColor="text1"/>
        <w:spacing w:val="0"/>
        <w:sz w:val="18"/>
        <w:szCs w:val="18"/>
        <w:lang w:val="en-GB"/>
      </w:rPr>
      <w:t>5.</w:t>
    </w:r>
    <w:r w:rsidR="002344D8">
      <w:rPr>
        <w:color w:val="000000" w:themeColor="text1"/>
        <w:spacing w:val="0"/>
        <w:sz w:val="18"/>
        <w:szCs w:val="18"/>
        <w:lang w:val="en-GB"/>
      </w:rPr>
      <w:t>1</w:t>
    </w:r>
  </w:p>
  <w:p w14:paraId="09230B15" w14:textId="75253EA9" w:rsidR="00506176" w:rsidRDefault="00506176" w:rsidP="00506176">
    <w:pPr>
      <w:pStyle w:val="Footer"/>
      <w:tabs>
        <w:tab w:val="clear" w:pos="4513"/>
        <w:tab w:val="center" w:pos="8931"/>
      </w:tabs>
    </w:pPr>
    <w:r w:rsidRPr="00D87C94">
      <w:rPr>
        <w:color w:val="000000" w:themeColor="text1"/>
        <w:spacing w:val="0"/>
        <w:sz w:val="18"/>
        <w:szCs w:val="18"/>
        <w:lang w:val="en-GB"/>
      </w:rPr>
      <w:t xml:space="preserve">Date: </w:t>
    </w:r>
    <w:r w:rsidR="002344D8">
      <w:rPr>
        <w:color w:val="000000" w:themeColor="text1"/>
        <w:spacing w:val="0"/>
        <w:sz w:val="18"/>
        <w:szCs w:val="18"/>
        <w:lang w:val="en-GB"/>
      </w:rPr>
      <w:t>12 January 2024</w:t>
    </w:r>
    <w:r w:rsidRPr="00D87C94">
      <w:rPr>
        <w:color w:val="000000" w:themeColor="text1"/>
        <w:spacing w:val="0"/>
        <w:sz w:val="18"/>
        <w:szCs w:val="18"/>
        <w:lang w:val="en-GB"/>
      </w:rPr>
      <w:tab/>
    </w:r>
    <w:r w:rsidRPr="00D87C94">
      <w:rPr>
        <w:noProof/>
        <w:color w:val="000000" w:themeColor="text1"/>
        <w:spacing w:val="0"/>
        <w:sz w:val="18"/>
        <w:szCs w:val="18"/>
        <w:lang w:val="en-GB"/>
      </w:rPr>
      <w:fldChar w:fldCharType="begin"/>
    </w:r>
    <w:r w:rsidRPr="00D87C94">
      <w:rPr>
        <w:color w:val="000000" w:themeColor="text1"/>
        <w:spacing w:val="0"/>
        <w:sz w:val="18"/>
        <w:szCs w:val="18"/>
        <w:lang w:val="en-GB"/>
      </w:rPr>
      <w:instrText xml:space="preserve"> PAGE   \* MERGEFORMAT </w:instrText>
    </w:r>
    <w:r w:rsidRPr="00D87C94">
      <w:rPr>
        <w:noProof/>
        <w:color w:val="000000" w:themeColor="text1"/>
        <w:spacing w:val="0"/>
        <w:sz w:val="18"/>
        <w:szCs w:val="18"/>
        <w:lang w:val="en-GB"/>
      </w:rPr>
      <w:fldChar w:fldCharType="separate"/>
    </w:r>
    <w:r w:rsidR="00A42BD1" w:rsidRPr="00A42BD1">
      <w:rPr>
        <w:noProof/>
        <w:color w:val="000000" w:themeColor="text1"/>
        <w:sz w:val="18"/>
        <w:szCs w:val="18"/>
        <w:lang w:val="en-GB"/>
      </w:rPr>
      <w:t>1</w:t>
    </w:r>
    <w:r w:rsidRPr="00D87C94">
      <w:rPr>
        <w:noProof/>
        <w:color w:val="000000" w:themeColor="text1"/>
        <w:spacing w:val="0"/>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176D" w14:textId="77777777" w:rsidR="00D2268E" w:rsidRDefault="00D2268E" w:rsidP="00F702C3">
      <w:r>
        <w:separator/>
      </w:r>
    </w:p>
  </w:footnote>
  <w:footnote w:type="continuationSeparator" w:id="0">
    <w:p w14:paraId="27347B11" w14:textId="77777777" w:rsidR="00D2268E" w:rsidRDefault="00D2268E" w:rsidP="00F702C3">
      <w:r>
        <w:continuationSeparator/>
      </w:r>
    </w:p>
  </w:footnote>
  <w:footnote w:type="continuationNotice" w:id="1">
    <w:p w14:paraId="044E91D2" w14:textId="77777777" w:rsidR="00D2268E" w:rsidRDefault="00D226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1152" w14:textId="578D1FAD" w:rsidR="00A51E77" w:rsidRDefault="00A51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40C271C" w14:paraId="5A5930A0" w14:textId="77777777" w:rsidTr="00C01AD8">
      <w:tc>
        <w:tcPr>
          <w:tcW w:w="3020" w:type="dxa"/>
        </w:tcPr>
        <w:p w14:paraId="0BFF7B19" w14:textId="5E41D420" w:rsidR="740C271C" w:rsidRDefault="740C271C" w:rsidP="00C01AD8">
          <w:pPr>
            <w:pStyle w:val="Header"/>
            <w:ind w:left="-115"/>
          </w:pPr>
        </w:p>
      </w:tc>
      <w:tc>
        <w:tcPr>
          <w:tcW w:w="3020" w:type="dxa"/>
        </w:tcPr>
        <w:p w14:paraId="3460E765" w14:textId="21DFE09C" w:rsidR="740C271C" w:rsidRDefault="740C271C" w:rsidP="00C01AD8">
          <w:pPr>
            <w:pStyle w:val="Header"/>
            <w:jc w:val="center"/>
          </w:pPr>
        </w:p>
      </w:tc>
      <w:tc>
        <w:tcPr>
          <w:tcW w:w="3020" w:type="dxa"/>
        </w:tcPr>
        <w:p w14:paraId="23F58FA9" w14:textId="49659079" w:rsidR="740C271C" w:rsidRDefault="740C271C" w:rsidP="00C01AD8">
          <w:pPr>
            <w:pStyle w:val="Header"/>
            <w:ind w:right="-115"/>
            <w:jc w:val="right"/>
          </w:pPr>
        </w:p>
      </w:tc>
    </w:tr>
  </w:tbl>
  <w:p w14:paraId="186AAFD8" w14:textId="16D4E669" w:rsidR="00A51E77" w:rsidRDefault="00A51E77">
    <w:pPr>
      <w:pStyle w:val="Header"/>
    </w:pPr>
  </w:p>
</w:hdr>
</file>

<file path=word/intelligence.xml><?xml version="1.0" encoding="utf-8"?>
<int:Intelligence xmlns:int="http://schemas.microsoft.com/office/intelligence/2019/intelligence">
  <int:IntelligenceSettings/>
  <int:Manifest>
    <int:WordHash hashCode="Oatc4BxsyXjB+3" id="Y1xsyTcZ"/>
    <int:WordHash hashCode="6TioX+590yKKBG" id="r+aVYb63"/>
    <int:WordHash hashCode="IvIcbG13UK18j1" id="xGbphbX7"/>
    <int:WordHash hashCode="mxDPX6oNctJNuA" id="AEqhva/T"/>
    <int:ParagraphRange paragraphId="1208121454" textId="1014808378" start="228" length="11" invalidationStart="228" invalidationLength="11" id="3on8kaCL"/>
    <int:ParagraphRange paragraphId="1586869498" textId="1123080408" start="293" length="4" invalidationStart="293" invalidationLength="4" id="zUd3gFQD"/>
    <int:ParagraphRange paragraphId="150003673" textId="2004318071" start="251" length="4" invalidationStart="251" invalidationLength="4" id="L2niofRB"/>
    <int:ParagraphRange paragraphId="912623111" textId="2004318071" start="118" length="4" invalidationStart="118" invalidationLength="4" id="2GpHf4Sf"/>
    <int:ParagraphRange paragraphId="442190493" textId="921697776" start="130" length="11" invalidationStart="130" invalidationLength="11" id="CDYTZIX7"/>
  </int:Manifest>
  <int:Observations>
    <int:Content id="Y1xsyTcZ">
      <int:Rejection type="LegacyProofing"/>
    </int:Content>
    <int:Content id="r+aVYb63">
      <int:Rejection type="LegacyProofing"/>
    </int:Content>
    <int:Content id="xGbphbX7">
      <int:Rejection type="LegacyProofing"/>
    </int:Content>
    <int:Content id="AEqhva/T">
      <int:Rejection type="LegacyProofing"/>
    </int:Content>
    <int:Content id="3on8kaCL">
      <int:Rejection type="LegacyProofing"/>
    </int:Content>
    <int:Content id="zUd3gFQD">
      <int:Rejection type="LegacyProofing"/>
    </int:Content>
    <int:Content id="L2niofRB">
      <int:Rejection type="LegacyProofing"/>
    </int:Content>
    <int:Content id="2GpHf4Sf">
      <int:Rejection type="LegacyProofing"/>
    </int:Content>
    <int:Content id="CDYTZIX7">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2C0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746B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C2D8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86F7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BADE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C20A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608E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20ADD4"/>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EA647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2B3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54CB6"/>
    <w:multiLevelType w:val="hybridMultilevel"/>
    <w:tmpl w:val="4C249A92"/>
    <w:lvl w:ilvl="0" w:tplc="0C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4056F50"/>
    <w:multiLevelType w:val="hybridMultilevel"/>
    <w:tmpl w:val="393C3C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E001F5"/>
    <w:multiLevelType w:val="hybridMultilevel"/>
    <w:tmpl w:val="CEDEBD48"/>
    <w:lvl w:ilvl="0" w:tplc="0BC4B0AE">
      <w:start w:val="1"/>
      <w:numFmt w:val="bullet"/>
      <w:lvlText w:val=""/>
      <w:lvlJc w:val="left"/>
      <w:pPr>
        <w:ind w:left="720" w:hanging="360"/>
      </w:pPr>
      <w:rPr>
        <w:rFonts w:ascii="Symbol" w:hAnsi="Symbol" w:hint="default"/>
      </w:rPr>
    </w:lvl>
    <w:lvl w:ilvl="1" w:tplc="87E86790">
      <w:start w:val="1"/>
      <w:numFmt w:val="bullet"/>
      <w:lvlText w:val="o"/>
      <w:lvlJc w:val="left"/>
      <w:pPr>
        <w:ind w:left="1440" w:hanging="360"/>
      </w:pPr>
      <w:rPr>
        <w:rFonts w:ascii="Courier New" w:hAnsi="Courier New" w:hint="default"/>
      </w:rPr>
    </w:lvl>
    <w:lvl w:ilvl="2" w:tplc="7034E73C">
      <w:start w:val="1"/>
      <w:numFmt w:val="bullet"/>
      <w:lvlText w:val=""/>
      <w:lvlJc w:val="left"/>
      <w:pPr>
        <w:ind w:left="2160" w:hanging="360"/>
      </w:pPr>
      <w:rPr>
        <w:rFonts w:ascii="Wingdings" w:hAnsi="Wingdings" w:hint="default"/>
      </w:rPr>
    </w:lvl>
    <w:lvl w:ilvl="3" w:tplc="B0DEDD56">
      <w:start w:val="1"/>
      <w:numFmt w:val="bullet"/>
      <w:lvlText w:val=""/>
      <w:lvlJc w:val="left"/>
      <w:pPr>
        <w:ind w:left="2880" w:hanging="360"/>
      </w:pPr>
      <w:rPr>
        <w:rFonts w:ascii="Symbol" w:hAnsi="Symbol" w:hint="default"/>
      </w:rPr>
    </w:lvl>
    <w:lvl w:ilvl="4" w:tplc="A86E229E">
      <w:start w:val="1"/>
      <w:numFmt w:val="bullet"/>
      <w:lvlText w:val="o"/>
      <w:lvlJc w:val="left"/>
      <w:pPr>
        <w:ind w:left="3600" w:hanging="360"/>
      </w:pPr>
      <w:rPr>
        <w:rFonts w:ascii="Courier New" w:hAnsi="Courier New" w:hint="default"/>
      </w:rPr>
    </w:lvl>
    <w:lvl w:ilvl="5" w:tplc="6282878C">
      <w:start w:val="1"/>
      <w:numFmt w:val="bullet"/>
      <w:lvlText w:val=""/>
      <w:lvlJc w:val="left"/>
      <w:pPr>
        <w:ind w:left="4320" w:hanging="360"/>
      </w:pPr>
      <w:rPr>
        <w:rFonts w:ascii="Wingdings" w:hAnsi="Wingdings" w:hint="default"/>
      </w:rPr>
    </w:lvl>
    <w:lvl w:ilvl="6" w:tplc="7CA8B6E6">
      <w:start w:val="1"/>
      <w:numFmt w:val="bullet"/>
      <w:lvlText w:val=""/>
      <w:lvlJc w:val="left"/>
      <w:pPr>
        <w:ind w:left="5040" w:hanging="360"/>
      </w:pPr>
      <w:rPr>
        <w:rFonts w:ascii="Symbol" w:hAnsi="Symbol" w:hint="default"/>
      </w:rPr>
    </w:lvl>
    <w:lvl w:ilvl="7" w:tplc="3788C7AE">
      <w:start w:val="1"/>
      <w:numFmt w:val="bullet"/>
      <w:lvlText w:val="o"/>
      <w:lvlJc w:val="left"/>
      <w:pPr>
        <w:ind w:left="5760" w:hanging="360"/>
      </w:pPr>
      <w:rPr>
        <w:rFonts w:ascii="Courier New" w:hAnsi="Courier New" w:hint="default"/>
      </w:rPr>
    </w:lvl>
    <w:lvl w:ilvl="8" w:tplc="E0E65B96">
      <w:start w:val="1"/>
      <w:numFmt w:val="bullet"/>
      <w:lvlText w:val=""/>
      <w:lvlJc w:val="left"/>
      <w:pPr>
        <w:ind w:left="6480" w:hanging="360"/>
      </w:pPr>
      <w:rPr>
        <w:rFonts w:ascii="Wingdings" w:hAnsi="Wingdings" w:hint="default"/>
      </w:rPr>
    </w:lvl>
  </w:abstractNum>
  <w:abstractNum w:abstractNumId="13" w15:restartNumberingAfterBreak="0">
    <w:nsid w:val="54603E0F"/>
    <w:multiLevelType w:val="hybridMultilevel"/>
    <w:tmpl w:val="019ADB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EA646E"/>
    <w:multiLevelType w:val="hybridMultilevel"/>
    <w:tmpl w:val="37C4DB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8132A9"/>
    <w:multiLevelType w:val="multilevel"/>
    <w:tmpl w:val="5F1042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BA06C0"/>
    <w:multiLevelType w:val="hybridMultilevel"/>
    <w:tmpl w:val="437669FA"/>
    <w:lvl w:ilvl="0" w:tplc="0058740A">
      <w:start w:val="14"/>
      <w:numFmt w:val="bullet"/>
      <w:pStyle w:val="bulletpoint"/>
      <w:lvlText w:val=""/>
      <w:lvlJc w:val="left"/>
      <w:pPr>
        <w:ind w:left="363" w:hanging="360"/>
      </w:pPr>
      <w:rPr>
        <w:rFonts w:ascii="Symbol" w:hAnsi="Symbol" w:hint="default"/>
        <w:color w:val="auto"/>
      </w:rPr>
    </w:lvl>
    <w:lvl w:ilvl="1" w:tplc="031EF1AC">
      <w:start w:val="1"/>
      <w:numFmt w:val="bullet"/>
      <w:lvlText w:val="o"/>
      <w:lvlJc w:val="left"/>
      <w:pPr>
        <w:ind w:left="1083" w:hanging="360"/>
      </w:pPr>
      <w:rPr>
        <w:rFonts w:ascii="Courier New" w:hAnsi="Courier New" w:hint="default"/>
      </w:rPr>
    </w:lvl>
    <w:lvl w:ilvl="2" w:tplc="F9002664" w:tentative="1">
      <w:start w:val="1"/>
      <w:numFmt w:val="bullet"/>
      <w:lvlText w:val=""/>
      <w:lvlJc w:val="left"/>
      <w:pPr>
        <w:ind w:left="1803" w:hanging="360"/>
      </w:pPr>
      <w:rPr>
        <w:rFonts w:ascii="Wingdings" w:hAnsi="Wingdings" w:hint="default"/>
      </w:rPr>
    </w:lvl>
    <w:lvl w:ilvl="3" w:tplc="1A884A3E" w:tentative="1">
      <w:start w:val="1"/>
      <w:numFmt w:val="bullet"/>
      <w:lvlText w:val=""/>
      <w:lvlJc w:val="left"/>
      <w:pPr>
        <w:ind w:left="2523" w:hanging="360"/>
      </w:pPr>
      <w:rPr>
        <w:rFonts w:ascii="Symbol" w:hAnsi="Symbol" w:hint="default"/>
      </w:rPr>
    </w:lvl>
    <w:lvl w:ilvl="4" w:tplc="A44EE6D6" w:tentative="1">
      <w:start w:val="1"/>
      <w:numFmt w:val="bullet"/>
      <w:lvlText w:val="o"/>
      <w:lvlJc w:val="left"/>
      <w:pPr>
        <w:ind w:left="3243" w:hanging="360"/>
      </w:pPr>
      <w:rPr>
        <w:rFonts w:ascii="Courier New" w:hAnsi="Courier New" w:hint="default"/>
      </w:rPr>
    </w:lvl>
    <w:lvl w:ilvl="5" w:tplc="5AB099B2" w:tentative="1">
      <w:start w:val="1"/>
      <w:numFmt w:val="bullet"/>
      <w:lvlText w:val=""/>
      <w:lvlJc w:val="left"/>
      <w:pPr>
        <w:ind w:left="3963" w:hanging="360"/>
      </w:pPr>
      <w:rPr>
        <w:rFonts w:ascii="Wingdings" w:hAnsi="Wingdings" w:hint="default"/>
      </w:rPr>
    </w:lvl>
    <w:lvl w:ilvl="6" w:tplc="AD9A99DA" w:tentative="1">
      <w:start w:val="1"/>
      <w:numFmt w:val="bullet"/>
      <w:lvlText w:val=""/>
      <w:lvlJc w:val="left"/>
      <w:pPr>
        <w:ind w:left="4683" w:hanging="360"/>
      </w:pPr>
      <w:rPr>
        <w:rFonts w:ascii="Symbol" w:hAnsi="Symbol" w:hint="default"/>
      </w:rPr>
    </w:lvl>
    <w:lvl w:ilvl="7" w:tplc="C19650A6" w:tentative="1">
      <w:start w:val="1"/>
      <w:numFmt w:val="bullet"/>
      <w:lvlText w:val="o"/>
      <w:lvlJc w:val="left"/>
      <w:pPr>
        <w:ind w:left="5403" w:hanging="360"/>
      </w:pPr>
      <w:rPr>
        <w:rFonts w:ascii="Courier New" w:hAnsi="Courier New" w:hint="default"/>
      </w:rPr>
    </w:lvl>
    <w:lvl w:ilvl="8" w:tplc="695C871E" w:tentative="1">
      <w:start w:val="1"/>
      <w:numFmt w:val="bullet"/>
      <w:lvlText w:val=""/>
      <w:lvlJc w:val="left"/>
      <w:pPr>
        <w:ind w:left="6123" w:hanging="360"/>
      </w:pPr>
      <w:rPr>
        <w:rFonts w:ascii="Wingdings" w:hAnsi="Wingdings" w:hint="default"/>
      </w:rPr>
    </w:lvl>
  </w:abstractNum>
  <w:abstractNum w:abstractNumId="17" w15:restartNumberingAfterBreak="0">
    <w:nsid w:val="79657D02"/>
    <w:multiLevelType w:val="hybridMultilevel"/>
    <w:tmpl w:val="069AB8AA"/>
    <w:lvl w:ilvl="0" w:tplc="2124D4D8">
      <w:start w:val="1"/>
      <w:numFmt w:val="bullet"/>
      <w:lvlText w:val=""/>
      <w:lvlJc w:val="left"/>
      <w:pPr>
        <w:ind w:left="360" w:hanging="360"/>
      </w:pPr>
      <w:rPr>
        <w:rFonts w:ascii="Symbol" w:hAnsi="Symbol" w:hint="default"/>
      </w:rPr>
    </w:lvl>
    <w:lvl w:ilvl="1" w:tplc="10C2266E" w:tentative="1">
      <w:start w:val="1"/>
      <w:numFmt w:val="bullet"/>
      <w:lvlText w:val="o"/>
      <w:lvlJc w:val="left"/>
      <w:pPr>
        <w:ind w:left="1080" w:hanging="360"/>
      </w:pPr>
      <w:rPr>
        <w:rFonts w:ascii="Courier New" w:hAnsi="Courier New" w:hint="default"/>
      </w:rPr>
    </w:lvl>
    <w:lvl w:ilvl="2" w:tplc="9A16D11E" w:tentative="1">
      <w:start w:val="1"/>
      <w:numFmt w:val="bullet"/>
      <w:lvlText w:val=""/>
      <w:lvlJc w:val="left"/>
      <w:pPr>
        <w:ind w:left="1800" w:hanging="360"/>
      </w:pPr>
      <w:rPr>
        <w:rFonts w:ascii="Wingdings" w:hAnsi="Wingdings" w:hint="default"/>
      </w:rPr>
    </w:lvl>
    <w:lvl w:ilvl="3" w:tplc="26B41688" w:tentative="1">
      <w:start w:val="1"/>
      <w:numFmt w:val="bullet"/>
      <w:lvlText w:val=""/>
      <w:lvlJc w:val="left"/>
      <w:pPr>
        <w:ind w:left="2520" w:hanging="360"/>
      </w:pPr>
      <w:rPr>
        <w:rFonts w:ascii="Symbol" w:hAnsi="Symbol" w:hint="default"/>
      </w:rPr>
    </w:lvl>
    <w:lvl w:ilvl="4" w:tplc="BF2A6984" w:tentative="1">
      <w:start w:val="1"/>
      <w:numFmt w:val="bullet"/>
      <w:lvlText w:val="o"/>
      <w:lvlJc w:val="left"/>
      <w:pPr>
        <w:ind w:left="3240" w:hanging="360"/>
      </w:pPr>
      <w:rPr>
        <w:rFonts w:ascii="Courier New" w:hAnsi="Courier New" w:hint="default"/>
      </w:rPr>
    </w:lvl>
    <w:lvl w:ilvl="5" w:tplc="51E299C4" w:tentative="1">
      <w:start w:val="1"/>
      <w:numFmt w:val="bullet"/>
      <w:lvlText w:val=""/>
      <w:lvlJc w:val="left"/>
      <w:pPr>
        <w:ind w:left="3960" w:hanging="360"/>
      </w:pPr>
      <w:rPr>
        <w:rFonts w:ascii="Wingdings" w:hAnsi="Wingdings" w:hint="default"/>
      </w:rPr>
    </w:lvl>
    <w:lvl w:ilvl="6" w:tplc="85EC500C" w:tentative="1">
      <w:start w:val="1"/>
      <w:numFmt w:val="bullet"/>
      <w:lvlText w:val=""/>
      <w:lvlJc w:val="left"/>
      <w:pPr>
        <w:ind w:left="4680" w:hanging="360"/>
      </w:pPr>
      <w:rPr>
        <w:rFonts w:ascii="Symbol" w:hAnsi="Symbol" w:hint="default"/>
      </w:rPr>
    </w:lvl>
    <w:lvl w:ilvl="7" w:tplc="5BA4392E" w:tentative="1">
      <w:start w:val="1"/>
      <w:numFmt w:val="bullet"/>
      <w:lvlText w:val="o"/>
      <w:lvlJc w:val="left"/>
      <w:pPr>
        <w:ind w:left="5400" w:hanging="360"/>
      </w:pPr>
      <w:rPr>
        <w:rFonts w:ascii="Courier New" w:hAnsi="Courier New" w:hint="default"/>
      </w:rPr>
    </w:lvl>
    <w:lvl w:ilvl="8" w:tplc="E65AB2D6" w:tentative="1">
      <w:start w:val="1"/>
      <w:numFmt w:val="bullet"/>
      <w:lvlText w:val=""/>
      <w:lvlJc w:val="left"/>
      <w:pPr>
        <w:ind w:left="6120" w:hanging="360"/>
      </w:pPr>
      <w:rPr>
        <w:rFonts w:ascii="Wingdings" w:hAnsi="Wingdings" w:hint="default"/>
      </w:rPr>
    </w:lvl>
  </w:abstractNum>
  <w:num w:numId="1" w16cid:durableId="119417211">
    <w:abstractNumId w:val="12"/>
  </w:num>
  <w:num w:numId="2" w16cid:durableId="377171797">
    <w:abstractNumId w:val="16"/>
  </w:num>
  <w:num w:numId="3" w16cid:durableId="1163159704">
    <w:abstractNumId w:val="10"/>
  </w:num>
  <w:num w:numId="4" w16cid:durableId="1972321881">
    <w:abstractNumId w:val="11"/>
  </w:num>
  <w:num w:numId="5" w16cid:durableId="442657397">
    <w:abstractNumId w:val="17"/>
  </w:num>
  <w:num w:numId="6" w16cid:durableId="1034620244">
    <w:abstractNumId w:val="14"/>
  </w:num>
  <w:num w:numId="7" w16cid:durableId="1434276279">
    <w:abstractNumId w:val="15"/>
  </w:num>
  <w:num w:numId="8" w16cid:durableId="453717497">
    <w:abstractNumId w:val="9"/>
  </w:num>
  <w:num w:numId="9" w16cid:durableId="1875726291">
    <w:abstractNumId w:val="7"/>
  </w:num>
  <w:num w:numId="10" w16cid:durableId="332075167">
    <w:abstractNumId w:val="6"/>
  </w:num>
  <w:num w:numId="11" w16cid:durableId="1975984752">
    <w:abstractNumId w:val="5"/>
  </w:num>
  <w:num w:numId="12" w16cid:durableId="1465466340">
    <w:abstractNumId w:val="4"/>
  </w:num>
  <w:num w:numId="13" w16cid:durableId="1215461421">
    <w:abstractNumId w:val="8"/>
  </w:num>
  <w:num w:numId="14" w16cid:durableId="979110960">
    <w:abstractNumId w:val="3"/>
  </w:num>
  <w:num w:numId="15" w16cid:durableId="466092947">
    <w:abstractNumId w:val="2"/>
  </w:num>
  <w:num w:numId="16" w16cid:durableId="1210730584">
    <w:abstractNumId w:val="1"/>
  </w:num>
  <w:num w:numId="17" w16cid:durableId="133445958">
    <w:abstractNumId w:val="0"/>
  </w:num>
  <w:num w:numId="18" w16cid:durableId="1599871037">
    <w:abstractNumId w:val="10"/>
  </w:num>
  <w:num w:numId="19" w16cid:durableId="831288883">
    <w:abstractNumId w:val="13"/>
  </w:num>
  <w:num w:numId="20" w16cid:durableId="66901909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2C3"/>
    <w:rsid w:val="00001F26"/>
    <w:rsid w:val="00005490"/>
    <w:rsid w:val="00006403"/>
    <w:rsid w:val="00011C95"/>
    <w:rsid w:val="000205E5"/>
    <w:rsid w:val="00024255"/>
    <w:rsid w:val="00036807"/>
    <w:rsid w:val="0004039A"/>
    <w:rsid w:val="00042183"/>
    <w:rsid w:val="0004654A"/>
    <w:rsid w:val="00053FD6"/>
    <w:rsid w:val="00054371"/>
    <w:rsid w:val="000667B0"/>
    <w:rsid w:val="00067974"/>
    <w:rsid w:val="000721D3"/>
    <w:rsid w:val="000757C8"/>
    <w:rsid w:val="00077B6E"/>
    <w:rsid w:val="000847EA"/>
    <w:rsid w:val="000861ED"/>
    <w:rsid w:val="000863DF"/>
    <w:rsid w:val="00095DB9"/>
    <w:rsid w:val="00097EC9"/>
    <w:rsid w:val="000A1765"/>
    <w:rsid w:val="000B3687"/>
    <w:rsid w:val="000B5DCD"/>
    <w:rsid w:val="000B6CF9"/>
    <w:rsid w:val="000C0606"/>
    <w:rsid w:val="000C15E9"/>
    <w:rsid w:val="000C278A"/>
    <w:rsid w:val="000C6F02"/>
    <w:rsid w:val="000D3BE3"/>
    <w:rsid w:val="000D3DCC"/>
    <w:rsid w:val="000D3DD8"/>
    <w:rsid w:val="000D70DD"/>
    <w:rsid w:val="000E10E8"/>
    <w:rsid w:val="000E1BBE"/>
    <w:rsid w:val="000E1FFA"/>
    <w:rsid w:val="000E3B97"/>
    <w:rsid w:val="000E401E"/>
    <w:rsid w:val="000F1756"/>
    <w:rsid w:val="000F25B6"/>
    <w:rsid w:val="000F5480"/>
    <w:rsid w:val="000F5D17"/>
    <w:rsid w:val="000F68BF"/>
    <w:rsid w:val="000F7E27"/>
    <w:rsid w:val="00105F68"/>
    <w:rsid w:val="00107CDD"/>
    <w:rsid w:val="00111AB9"/>
    <w:rsid w:val="00121E08"/>
    <w:rsid w:val="00130932"/>
    <w:rsid w:val="00133910"/>
    <w:rsid w:val="00133B9F"/>
    <w:rsid w:val="001464A9"/>
    <w:rsid w:val="001475F9"/>
    <w:rsid w:val="001509D7"/>
    <w:rsid w:val="0015517F"/>
    <w:rsid w:val="00155A06"/>
    <w:rsid w:val="001576EA"/>
    <w:rsid w:val="00157EC6"/>
    <w:rsid w:val="0016398F"/>
    <w:rsid w:val="00164B6A"/>
    <w:rsid w:val="0017217C"/>
    <w:rsid w:val="00172F7E"/>
    <w:rsid w:val="00184F89"/>
    <w:rsid w:val="00190122"/>
    <w:rsid w:val="00190C0F"/>
    <w:rsid w:val="001A34DA"/>
    <w:rsid w:val="001A64F2"/>
    <w:rsid w:val="001B0739"/>
    <w:rsid w:val="001B1F56"/>
    <w:rsid w:val="001B290E"/>
    <w:rsid w:val="001B779F"/>
    <w:rsid w:val="001C1A91"/>
    <w:rsid w:val="001C1C52"/>
    <w:rsid w:val="001C2C1E"/>
    <w:rsid w:val="001C577E"/>
    <w:rsid w:val="001C5B9D"/>
    <w:rsid w:val="001D65F3"/>
    <w:rsid w:val="001E123B"/>
    <w:rsid w:val="001E2A1A"/>
    <w:rsid w:val="001F2E7C"/>
    <w:rsid w:val="001F35F5"/>
    <w:rsid w:val="001F6CF7"/>
    <w:rsid w:val="001F7F81"/>
    <w:rsid w:val="00207F1D"/>
    <w:rsid w:val="00216940"/>
    <w:rsid w:val="00221643"/>
    <w:rsid w:val="00222115"/>
    <w:rsid w:val="00226B53"/>
    <w:rsid w:val="00231647"/>
    <w:rsid w:val="0023179A"/>
    <w:rsid w:val="002330A7"/>
    <w:rsid w:val="002333C6"/>
    <w:rsid w:val="002344D8"/>
    <w:rsid w:val="00240533"/>
    <w:rsid w:val="002447F0"/>
    <w:rsid w:val="0025092A"/>
    <w:rsid w:val="002536F3"/>
    <w:rsid w:val="002566E8"/>
    <w:rsid w:val="00256954"/>
    <w:rsid w:val="00264B3E"/>
    <w:rsid w:val="0026753D"/>
    <w:rsid w:val="0027029B"/>
    <w:rsid w:val="002729BA"/>
    <w:rsid w:val="00275084"/>
    <w:rsid w:val="00275354"/>
    <w:rsid w:val="00277673"/>
    <w:rsid w:val="002777F2"/>
    <w:rsid w:val="00286033"/>
    <w:rsid w:val="00294041"/>
    <w:rsid w:val="00294553"/>
    <w:rsid w:val="002953CB"/>
    <w:rsid w:val="002A5A9B"/>
    <w:rsid w:val="002B7421"/>
    <w:rsid w:val="002B78A5"/>
    <w:rsid w:val="002C0D33"/>
    <w:rsid w:val="002C52DC"/>
    <w:rsid w:val="002C6252"/>
    <w:rsid w:val="002D2B08"/>
    <w:rsid w:val="002D4252"/>
    <w:rsid w:val="002E2B60"/>
    <w:rsid w:val="002E4EDA"/>
    <w:rsid w:val="002F333A"/>
    <w:rsid w:val="002F5969"/>
    <w:rsid w:val="002F7978"/>
    <w:rsid w:val="00312996"/>
    <w:rsid w:val="00313CE1"/>
    <w:rsid w:val="00314C3E"/>
    <w:rsid w:val="003245AD"/>
    <w:rsid w:val="0032562A"/>
    <w:rsid w:val="0032586C"/>
    <w:rsid w:val="003331C5"/>
    <w:rsid w:val="00345318"/>
    <w:rsid w:val="00350656"/>
    <w:rsid w:val="00350680"/>
    <w:rsid w:val="00351EB2"/>
    <w:rsid w:val="00352445"/>
    <w:rsid w:val="003557FC"/>
    <w:rsid w:val="0036684C"/>
    <w:rsid w:val="00367668"/>
    <w:rsid w:val="00382B0D"/>
    <w:rsid w:val="0038365E"/>
    <w:rsid w:val="00391176"/>
    <w:rsid w:val="003926A0"/>
    <w:rsid w:val="003A0ABC"/>
    <w:rsid w:val="003A3DA9"/>
    <w:rsid w:val="003A4600"/>
    <w:rsid w:val="003A7F0B"/>
    <w:rsid w:val="003B1E84"/>
    <w:rsid w:val="003B5A91"/>
    <w:rsid w:val="003B68C5"/>
    <w:rsid w:val="003C4349"/>
    <w:rsid w:val="003D29CD"/>
    <w:rsid w:val="003D2C23"/>
    <w:rsid w:val="003D7651"/>
    <w:rsid w:val="003E0824"/>
    <w:rsid w:val="003E6191"/>
    <w:rsid w:val="003F0ACB"/>
    <w:rsid w:val="004037D0"/>
    <w:rsid w:val="00407DCD"/>
    <w:rsid w:val="00410E50"/>
    <w:rsid w:val="00421418"/>
    <w:rsid w:val="0042351C"/>
    <w:rsid w:val="0042447E"/>
    <w:rsid w:val="00432785"/>
    <w:rsid w:val="00433F5A"/>
    <w:rsid w:val="0043438F"/>
    <w:rsid w:val="004350D6"/>
    <w:rsid w:val="00435C5D"/>
    <w:rsid w:val="004417F6"/>
    <w:rsid w:val="00442375"/>
    <w:rsid w:val="0044614A"/>
    <w:rsid w:val="004561FB"/>
    <w:rsid w:val="00456A0F"/>
    <w:rsid w:val="004606FF"/>
    <w:rsid w:val="00462CD7"/>
    <w:rsid w:val="00462CE9"/>
    <w:rsid w:val="00471630"/>
    <w:rsid w:val="004757B3"/>
    <w:rsid w:val="00476681"/>
    <w:rsid w:val="00491989"/>
    <w:rsid w:val="004931E3"/>
    <w:rsid w:val="00497525"/>
    <w:rsid w:val="004A22FF"/>
    <w:rsid w:val="004B51BD"/>
    <w:rsid w:val="004BCC33"/>
    <w:rsid w:val="004C06A4"/>
    <w:rsid w:val="004C1184"/>
    <w:rsid w:val="004C2058"/>
    <w:rsid w:val="004C5D2E"/>
    <w:rsid w:val="004C7DFB"/>
    <w:rsid w:val="004D06D6"/>
    <w:rsid w:val="004D73A1"/>
    <w:rsid w:val="004D7798"/>
    <w:rsid w:val="004E3733"/>
    <w:rsid w:val="004F10E5"/>
    <w:rsid w:val="004F7492"/>
    <w:rsid w:val="004F76A2"/>
    <w:rsid w:val="00501578"/>
    <w:rsid w:val="005042F0"/>
    <w:rsid w:val="00506176"/>
    <w:rsid w:val="005063D2"/>
    <w:rsid w:val="005237DF"/>
    <w:rsid w:val="005246F8"/>
    <w:rsid w:val="00524BD9"/>
    <w:rsid w:val="00525B77"/>
    <w:rsid w:val="00525F07"/>
    <w:rsid w:val="00530C7A"/>
    <w:rsid w:val="0053601F"/>
    <w:rsid w:val="00562611"/>
    <w:rsid w:val="005634CC"/>
    <w:rsid w:val="00565358"/>
    <w:rsid w:val="00571438"/>
    <w:rsid w:val="00573A68"/>
    <w:rsid w:val="00573F63"/>
    <w:rsid w:val="00575A37"/>
    <w:rsid w:val="00576F8E"/>
    <w:rsid w:val="005772B1"/>
    <w:rsid w:val="00582D02"/>
    <w:rsid w:val="005A1B4D"/>
    <w:rsid w:val="005A270A"/>
    <w:rsid w:val="005A497D"/>
    <w:rsid w:val="005A5B14"/>
    <w:rsid w:val="005B0659"/>
    <w:rsid w:val="005B1335"/>
    <w:rsid w:val="005B147D"/>
    <w:rsid w:val="005C1270"/>
    <w:rsid w:val="005C42FA"/>
    <w:rsid w:val="005C53E3"/>
    <w:rsid w:val="005C708F"/>
    <w:rsid w:val="005E6593"/>
    <w:rsid w:val="005E6EB3"/>
    <w:rsid w:val="005F29F5"/>
    <w:rsid w:val="005F2D24"/>
    <w:rsid w:val="005F7EE2"/>
    <w:rsid w:val="006047B3"/>
    <w:rsid w:val="00605B68"/>
    <w:rsid w:val="006104EC"/>
    <w:rsid w:val="006124CE"/>
    <w:rsid w:val="0061252A"/>
    <w:rsid w:val="00616FCF"/>
    <w:rsid w:val="0062163E"/>
    <w:rsid w:val="006306B1"/>
    <w:rsid w:val="00634D43"/>
    <w:rsid w:val="00643903"/>
    <w:rsid w:val="00650D61"/>
    <w:rsid w:val="006534E3"/>
    <w:rsid w:val="00653C89"/>
    <w:rsid w:val="00656D42"/>
    <w:rsid w:val="0065786A"/>
    <w:rsid w:val="00665D82"/>
    <w:rsid w:val="00665F5D"/>
    <w:rsid w:val="00670CB0"/>
    <w:rsid w:val="00672ADC"/>
    <w:rsid w:val="00672C72"/>
    <w:rsid w:val="00673CD9"/>
    <w:rsid w:val="006840D0"/>
    <w:rsid w:val="006906AA"/>
    <w:rsid w:val="006948FC"/>
    <w:rsid w:val="006968B4"/>
    <w:rsid w:val="006A3804"/>
    <w:rsid w:val="006A42E7"/>
    <w:rsid w:val="006A5506"/>
    <w:rsid w:val="006A6D81"/>
    <w:rsid w:val="006B06EF"/>
    <w:rsid w:val="006C1C37"/>
    <w:rsid w:val="006C1F5D"/>
    <w:rsid w:val="006D0E89"/>
    <w:rsid w:val="006D2CE6"/>
    <w:rsid w:val="006D49D5"/>
    <w:rsid w:val="006D4CCF"/>
    <w:rsid w:val="006E147D"/>
    <w:rsid w:val="006E2B7D"/>
    <w:rsid w:val="006F4812"/>
    <w:rsid w:val="006F6C27"/>
    <w:rsid w:val="0071016D"/>
    <w:rsid w:val="0071032B"/>
    <w:rsid w:val="00714974"/>
    <w:rsid w:val="00716E4B"/>
    <w:rsid w:val="007173E0"/>
    <w:rsid w:val="007205CA"/>
    <w:rsid w:val="00727C27"/>
    <w:rsid w:val="00737540"/>
    <w:rsid w:val="00744749"/>
    <w:rsid w:val="0074699F"/>
    <w:rsid w:val="0075315D"/>
    <w:rsid w:val="007534BF"/>
    <w:rsid w:val="0075776D"/>
    <w:rsid w:val="0077724D"/>
    <w:rsid w:val="00777B26"/>
    <w:rsid w:val="007833DE"/>
    <w:rsid w:val="00791DA4"/>
    <w:rsid w:val="0079385F"/>
    <w:rsid w:val="007963FB"/>
    <w:rsid w:val="00797178"/>
    <w:rsid w:val="0079728E"/>
    <w:rsid w:val="007A111F"/>
    <w:rsid w:val="007A3803"/>
    <w:rsid w:val="007A5E54"/>
    <w:rsid w:val="007B097E"/>
    <w:rsid w:val="007B5D0F"/>
    <w:rsid w:val="007C035A"/>
    <w:rsid w:val="007C34DD"/>
    <w:rsid w:val="007C39DE"/>
    <w:rsid w:val="007C765D"/>
    <w:rsid w:val="007D27B2"/>
    <w:rsid w:val="007D4F1B"/>
    <w:rsid w:val="007D7A1C"/>
    <w:rsid w:val="007E4F42"/>
    <w:rsid w:val="007E5376"/>
    <w:rsid w:val="007E79AC"/>
    <w:rsid w:val="007F0C37"/>
    <w:rsid w:val="007F12BC"/>
    <w:rsid w:val="007F1B35"/>
    <w:rsid w:val="007F274A"/>
    <w:rsid w:val="007F3935"/>
    <w:rsid w:val="007F73A1"/>
    <w:rsid w:val="00801063"/>
    <w:rsid w:val="0080163D"/>
    <w:rsid w:val="00802C30"/>
    <w:rsid w:val="008109D8"/>
    <w:rsid w:val="008112A6"/>
    <w:rsid w:val="008212AB"/>
    <w:rsid w:val="00821F3D"/>
    <w:rsid w:val="00824A09"/>
    <w:rsid w:val="0082F2F1"/>
    <w:rsid w:val="00834CFD"/>
    <w:rsid w:val="00835D09"/>
    <w:rsid w:val="00841D30"/>
    <w:rsid w:val="008449B0"/>
    <w:rsid w:val="00845AEF"/>
    <w:rsid w:val="008471C3"/>
    <w:rsid w:val="00852A3D"/>
    <w:rsid w:val="008638CB"/>
    <w:rsid w:val="0087492D"/>
    <w:rsid w:val="00875F7A"/>
    <w:rsid w:val="00887A6B"/>
    <w:rsid w:val="008A3388"/>
    <w:rsid w:val="008A5596"/>
    <w:rsid w:val="008B0DC0"/>
    <w:rsid w:val="008B1E1E"/>
    <w:rsid w:val="008B34C7"/>
    <w:rsid w:val="008B41A0"/>
    <w:rsid w:val="008B5683"/>
    <w:rsid w:val="008B6BD8"/>
    <w:rsid w:val="008C26EB"/>
    <w:rsid w:val="008C36A9"/>
    <w:rsid w:val="008C3987"/>
    <w:rsid w:val="008C39F0"/>
    <w:rsid w:val="008C5496"/>
    <w:rsid w:val="008C73A5"/>
    <w:rsid w:val="008D3160"/>
    <w:rsid w:val="009014F4"/>
    <w:rsid w:val="00902739"/>
    <w:rsid w:val="00915A7B"/>
    <w:rsid w:val="0093311B"/>
    <w:rsid w:val="009341DA"/>
    <w:rsid w:val="00934755"/>
    <w:rsid w:val="00934903"/>
    <w:rsid w:val="009364DE"/>
    <w:rsid w:val="0094167C"/>
    <w:rsid w:val="00942E74"/>
    <w:rsid w:val="00943B26"/>
    <w:rsid w:val="00947497"/>
    <w:rsid w:val="009507E3"/>
    <w:rsid w:val="0095309C"/>
    <w:rsid w:val="00955AE7"/>
    <w:rsid w:val="00955DA6"/>
    <w:rsid w:val="00964E71"/>
    <w:rsid w:val="00966B29"/>
    <w:rsid w:val="009706CD"/>
    <w:rsid w:val="00974D81"/>
    <w:rsid w:val="00976033"/>
    <w:rsid w:val="00976315"/>
    <w:rsid w:val="009914CD"/>
    <w:rsid w:val="00995A20"/>
    <w:rsid w:val="00995AF1"/>
    <w:rsid w:val="0099709C"/>
    <w:rsid w:val="009A0195"/>
    <w:rsid w:val="009A2E25"/>
    <w:rsid w:val="009A5594"/>
    <w:rsid w:val="009A609C"/>
    <w:rsid w:val="009A6CF4"/>
    <w:rsid w:val="009B0949"/>
    <w:rsid w:val="009B13BC"/>
    <w:rsid w:val="009B243B"/>
    <w:rsid w:val="009B5E57"/>
    <w:rsid w:val="009C67A8"/>
    <w:rsid w:val="009D5472"/>
    <w:rsid w:val="009D635D"/>
    <w:rsid w:val="009D65C1"/>
    <w:rsid w:val="00A059FE"/>
    <w:rsid w:val="00A20E13"/>
    <w:rsid w:val="00A30870"/>
    <w:rsid w:val="00A31820"/>
    <w:rsid w:val="00A35AB4"/>
    <w:rsid w:val="00A42BD1"/>
    <w:rsid w:val="00A50AB3"/>
    <w:rsid w:val="00A50C3A"/>
    <w:rsid w:val="00A51E77"/>
    <w:rsid w:val="00A57CC6"/>
    <w:rsid w:val="00A60AC5"/>
    <w:rsid w:val="00A70441"/>
    <w:rsid w:val="00A71768"/>
    <w:rsid w:val="00A71CFF"/>
    <w:rsid w:val="00A7205D"/>
    <w:rsid w:val="00A76104"/>
    <w:rsid w:val="00A762CD"/>
    <w:rsid w:val="00A81DD2"/>
    <w:rsid w:val="00A82161"/>
    <w:rsid w:val="00A83B0F"/>
    <w:rsid w:val="00A84C46"/>
    <w:rsid w:val="00A8618A"/>
    <w:rsid w:val="00A866D8"/>
    <w:rsid w:val="00A90345"/>
    <w:rsid w:val="00A90ECA"/>
    <w:rsid w:val="00A928FF"/>
    <w:rsid w:val="00A93ADA"/>
    <w:rsid w:val="00AA0932"/>
    <w:rsid w:val="00AA37D8"/>
    <w:rsid w:val="00AB10D8"/>
    <w:rsid w:val="00AB6D71"/>
    <w:rsid w:val="00AB7FEF"/>
    <w:rsid w:val="00AC41EB"/>
    <w:rsid w:val="00AD1D4C"/>
    <w:rsid w:val="00AE1270"/>
    <w:rsid w:val="00AE291D"/>
    <w:rsid w:val="00AF15AF"/>
    <w:rsid w:val="00B02DD8"/>
    <w:rsid w:val="00B03036"/>
    <w:rsid w:val="00B065E0"/>
    <w:rsid w:val="00B146D6"/>
    <w:rsid w:val="00B16DEC"/>
    <w:rsid w:val="00B21BA1"/>
    <w:rsid w:val="00B2296A"/>
    <w:rsid w:val="00B2561D"/>
    <w:rsid w:val="00B34250"/>
    <w:rsid w:val="00B37CE0"/>
    <w:rsid w:val="00B46AFF"/>
    <w:rsid w:val="00B557A0"/>
    <w:rsid w:val="00B57FF1"/>
    <w:rsid w:val="00B64E50"/>
    <w:rsid w:val="00B7078C"/>
    <w:rsid w:val="00B73ABF"/>
    <w:rsid w:val="00B73F58"/>
    <w:rsid w:val="00B77711"/>
    <w:rsid w:val="00B80AE2"/>
    <w:rsid w:val="00B90079"/>
    <w:rsid w:val="00B9665C"/>
    <w:rsid w:val="00B97671"/>
    <w:rsid w:val="00BA14EC"/>
    <w:rsid w:val="00BA1D04"/>
    <w:rsid w:val="00BA2F22"/>
    <w:rsid w:val="00BA4480"/>
    <w:rsid w:val="00BA5BA1"/>
    <w:rsid w:val="00BB1139"/>
    <w:rsid w:val="00BB6B14"/>
    <w:rsid w:val="00BB71BD"/>
    <w:rsid w:val="00BC531B"/>
    <w:rsid w:val="00BC5D62"/>
    <w:rsid w:val="00BD2AA6"/>
    <w:rsid w:val="00BE1DC6"/>
    <w:rsid w:val="00BE28F1"/>
    <w:rsid w:val="00BE2980"/>
    <w:rsid w:val="00BE5646"/>
    <w:rsid w:val="00BE5E35"/>
    <w:rsid w:val="00BE741A"/>
    <w:rsid w:val="00BF0764"/>
    <w:rsid w:val="00BF0E48"/>
    <w:rsid w:val="00BF211A"/>
    <w:rsid w:val="00BF34CF"/>
    <w:rsid w:val="00BF6AEC"/>
    <w:rsid w:val="00C0067B"/>
    <w:rsid w:val="00C01AD8"/>
    <w:rsid w:val="00C048B9"/>
    <w:rsid w:val="00C0789E"/>
    <w:rsid w:val="00C09CD0"/>
    <w:rsid w:val="00C14F36"/>
    <w:rsid w:val="00C16CA4"/>
    <w:rsid w:val="00C218A9"/>
    <w:rsid w:val="00C3535B"/>
    <w:rsid w:val="00C4888C"/>
    <w:rsid w:val="00C5101F"/>
    <w:rsid w:val="00C55614"/>
    <w:rsid w:val="00C57202"/>
    <w:rsid w:val="00C6128C"/>
    <w:rsid w:val="00C671E1"/>
    <w:rsid w:val="00C67B2C"/>
    <w:rsid w:val="00C70F22"/>
    <w:rsid w:val="00C75836"/>
    <w:rsid w:val="00C77C52"/>
    <w:rsid w:val="00C875C6"/>
    <w:rsid w:val="00C92764"/>
    <w:rsid w:val="00C9700F"/>
    <w:rsid w:val="00C97274"/>
    <w:rsid w:val="00CA0D57"/>
    <w:rsid w:val="00CA7724"/>
    <w:rsid w:val="00CB064E"/>
    <w:rsid w:val="00CB5A13"/>
    <w:rsid w:val="00CC7744"/>
    <w:rsid w:val="00CD36CE"/>
    <w:rsid w:val="00CE1C14"/>
    <w:rsid w:val="00CE34B5"/>
    <w:rsid w:val="00CE3997"/>
    <w:rsid w:val="00CF3B1C"/>
    <w:rsid w:val="00CF790B"/>
    <w:rsid w:val="00D040E4"/>
    <w:rsid w:val="00D04771"/>
    <w:rsid w:val="00D055AA"/>
    <w:rsid w:val="00D11BE7"/>
    <w:rsid w:val="00D12D68"/>
    <w:rsid w:val="00D14E6D"/>
    <w:rsid w:val="00D2268E"/>
    <w:rsid w:val="00D30AB5"/>
    <w:rsid w:val="00D31FDA"/>
    <w:rsid w:val="00D32501"/>
    <w:rsid w:val="00D36CD2"/>
    <w:rsid w:val="00D42351"/>
    <w:rsid w:val="00D468B5"/>
    <w:rsid w:val="00D47BB6"/>
    <w:rsid w:val="00D5245B"/>
    <w:rsid w:val="00D56EF3"/>
    <w:rsid w:val="00D664AB"/>
    <w:rsid w:val="00D72171"/>
    <w:rsid w:val="00D75403"/>
    <w:rsid w:val="00D8113A"/>
    <w:rsid w:val="00D814A4"/>
    <w:rsid w:val="00D81BD7"/>
    <w:rsid w:val="00D8256A"/>
    <w:rsid w:val="00D82EAB"/>
    <w:rsid w:val="00D86250"/>
    <w:rsid w:val="00D86B40"/>
    <w:rsid w:val="00D878EC"/>
    <w:rsid w:val="00D87C94"/>
    <w:rsid w:val="00D97297"/>
    <w:rsid w:val="00D9796D"/>
    <w:rsid w:val="00DB0A48"/>
    <w:rsid w:val="00DB1AEC"/>
    <w:rsid w:val="00DB43FF"/>
    <w:rsid w:val="00DB760C"/>
    <w:rsid w:val="00DB7944"/>
    <w:rsid w:val="00DC2204"/>
    <w:rsid w:val="00DC33AE"/>
    <w:rsid w:val="00DD1ABC"/>
    <w:rsid w:val="00DD2645"/>
    <w:rsid w:val="00DD6517"/>
    <w:rsid w:val="00DE4FE7"/>
    <w:rsid w:val="00DF6937"/>
    <w:rsid w:val="00DF7866"/>
    <w:rsid w:val="00E049BD"/>
    <w:rsid w:val="00E10FAF"/>
    <w:rsid w:val="00E11FFC"/>
    <w:rsid w:val="00E12977"/>
    <w:rsid w:val="00E17696"/>
    <w:rsid w:val="00E21684"/>
    <w:rsid w:val="00E35CF9"/>
    <w:rsid w:val="00E41032"/>
    <w:rsid w:val="00E42CAE"/>
    <w:rsid w:val="00E43641"/>
    <w:rsid w:val="00E46331"/>
    <w:rsid w:val="00E46AC3"/>
    <w:rsid w:val="00E5005C"/>
    <w:rsid w:val="00E5198D"/>
    <w:rsid w:val="00E544C7"/>
    <w:rsid w:val="00E545BC"/>
    <w:rsid w:val="00E57E92"/>
    <w:rsid w:val="00E616EA"/>
    <w:rsid w:val="00E630AE"/>
    <w:rsid w:val="00E6347B"/>
    <w:rsid w:val="00E74E72"/>
    <w:rsid w:val="00E76729"/>
    <w:rsid w:val="00E8054F"/>
    <w:rsid w:val="00E80E8B"/>
    <w:rsid w:val="00E81C31"/>
    <w:rsid w:val="00E843E5"/>
    <w:rsid w:val="00E86F9B"/>
    <w:rsid w:val="00E90BE8"/>
    <w:rsid w:val="00E949D7"/>
    <w:rsid w:val="00E94EEF"/>
    <w:rsid w:val="00EA36ED"/>
    <w:rsid w:val="00EB15FF"/>
    <w:rsid w:val="00EB18C6"/>
    <w:rsid w:val="00EB5ED3"/>
    <w:rsid w:val="00EC1B87"/>
    <w:rsid w:val="00ED1342"/>
    <w:rsid w:val="00ED6333"/>
    <w:rsid w:val="00EE01F8"/>
    <w:rsid w:val="00EE21B5"/>
    <w:rsid w:val="00EE3096"/>
    <w:rsid w:val="00EE7C83"/>
    <w:rsid w:val="00EF1C9F"/>
    <w:rsid w:val="00EF768F"/>
    <w:rsid w:val="00F01B38"/>
    <w:rsid w:val="00F029EF"/>
    <w:rsid w:val="00F113AA"/>
    <w:rsid w:val="00F13EE2"/>
    <w:rsid w:val="00F2091E"/>
    <w:rsid w:val="00F21B83"/>
    <w:rsid w:val="00F34C19"/>
    <w:rsid w:val="00F620E0"/>
    <w:rsid w:val="00F6258D"/>
    <w:rsid w:val="00F6586F"/>
    <w:rsid w:val="00F6611F"/>
    <w:rsid w:val="00F66790"/>
    <w:rsid w:val="00F702C3"/>
    <w:rsid w:val="00F71BC6"/>
    <w:rsid w:val="00F82C17"/>
    <w:rsid w:val="00F85A8C"/>
    <w:rsid w:val="00F85D75"/>
    <w:rsid w:val="00F874C8"/>
    <w:rsid w:val="00F93049"/>
    <w:rsid w:val="00F95A0F"/>
    <w:rsid w:val="00F95EEB"/>
    <w:rsid w:val="00F968A9"/>
    <w:rsid w:val="00F97409"/>
    <w:rsid w:val="00FA19C1"/>
    <w:rsid w:val="00FA1A4F"/>
    <w:rsid w:val="00FA3D87"/>
    <w:rsid w:val="00FB41F1"/>
    <w:rsid w:val="00FB7DAB"/>
    <w:rsid w:val="00FC3091"/>
    <w:rsid w:val="00FD1C2E"/>
    <w:rsid w:val="00FE12B7"/>
    <w:rsid w:val="00FE54EC"/>
    <w:rsid w:val="00FF13CB"/>
    <w:rsid w:val="00FF2898"/>
    <w:rsid w:val="019A812F"/>
    <w:rsid w:val="01A1BEB4"/>
    <w:rsid w:val="01A31B1A"/>
    <w:rsid w:val="01BC12F7"/>
    <w:rsid w:val="01EDBA39"/>
    <w:rsid w:val="01FB486E"/>
    <w:rsid w:val="026B7607"/>
    <w:rsid w:val="02F8D0E8"/>
    <w:rsid w:val="03B2F4F5"/>
    <w:rsid w:val="03F20C08"/>
    <w:rsid w:val="041A115C"/>
    <w:rsid w:val="04D4A675"/>
    <w:rsid w:val="05154E45"/>
    <w:rsid w:val="056FE0C1"/>
    <w:rsid w:val="05A916F0"/>
    <w:rsid w:val="05B4E23D"/>
    <w:rsid w:val="05BBBEA9"/>
    <w:rsid w:val="05CF06DD"/>
    <w:rsid w:val="06999D1C"/>
    <w:rsid w:val="06A22F9E"/>
    <w:rsid w:val="074D8516"/>
    <w:rsid w:val="075C95DD"/>
    <w:rsid w:val="076AD73E"/>
    <w:rsid w:val="078DA807"/>
    <w:rsid w:val="0836F1FC"/>
    <w:rsid w:val="08B8E5D5"/>
    <w:rsid w:val="08CF4DA1"/>
    <w:rsid w:val="099E034D"/>
    <w:rsid w:val="09B9A373"/>
    <w:rsid w:val="09C53085"/>
    <w:rsid w:val="09F09898"/>
    <w:rsid w:val="0AB5B8EA"/>
    <w:rsid w:val="0B660EA0"/>
    <w:rsid w:val="0BA6140E"/>
    <w:rsid w:val="0BE2FC38"/>
    <w:rsid w:val="0C0D4869"/>
    <w:rsid w:val="0C64EBF4"/>
    <w:rsid w:val="0C90A2C6"/>
    <w:rsid w:val="0CC75EBA"/>
    <w:rsid w:val="0CFDAD3D"/>
    <w:rsid w:val="0D10D9AA"/>
    <w:rsid w:val="0D1E9F94"/>
    <w:rsid w:val="0D71D744"/>
    <w:rsid w:val="0DAAE9B3"/>
    <w:rsid w:val="0E69EC8C"/>
    <w:rsid w:val="0F02C9DC"/>
    <w:rsid w:val="0F7A8DBD"/>
    <w:rsid w:val="0FA10476"/>
    <w:rsid w:val="10A3B38D"/>
    <w:rsid w:val="1141A3B0"/>
    <w:rsid w:val="11461B16"/>
    <w:rsid w:val="117889D1"/>
    <w:rsid w:val="11A820F6"/>
    <w:rsid w:val="12B25014"/>
    <w:rsid w:val="133DEE69"/>
    <w:rsid w:val="1390F9B7"/>
    <w:rsid w:val="13CEEABF"/>
    <w:rsid w:val="141D4CE3"/>
    <w:rsid w:val="143031E9"/>
    <w:rsid w:val="14C50333"/>
    <w:rsid w:val="14D18067"/>
    <w:rsid w:val="154E710C"/>
    <w:rsid w:val="15EB743E"/>
    <w:rsid w:val="163A1A0C"/>
    <w:rsid w:val="170895B1"/>
    <w:rsid w:val="1776609D"/>
    <w:rsid w:val="17ADF4F9"/>
    <w:rsid w:val="17CF8FCB"/>
    <w:rsid w:val="18220077"/>
    <w:rsid w:val="185B5377"/>
    <w:rsid w:val="18BFF996"/>
    <w:rsid w:val="190B3316"/>
    <w:rsid w:val="197EA592"/>
    <w:rsid w:val="199DED54"/>
    <w:rsid w:val="19BEFF9F"/>
    <w:rsid w:val="1A5D075F"/>
    <w:rsid w:val="1A71766B"/>
    <w:rsid w:val="1ABEC554"/>
    <w:rsid w:val="1AE13981"/>
    <w:rsid w:val="1B7A44AB"/>
    <w:rsid w:val="1BB711D1"/>
    <w:rsid w:val="1BD30250"/>
    <w:rsid w:val="1C2B59B9"/>
    <w:rsid w:val="1C461E3E"/>
    <w:rsid w:val="1CD0F224"/>
    <w:rsid w:val="1CDFF72B"/>
    <w:rsid w:val="1D082226"/>
    <w:rsid w:val="1DDAE6BF"/>
    <w:rsid w:val="1DDE4C2D"/>
    <w:rsid w:val="1E022F82"/>
    <w:rsid w:val="1EBB60D8"/>
    <w:rsid w:val="1ED18149"/>
    <w:rsid w:val="1EE94DF3"/>
    <w:rsid w:val="1F0532F0"/>
    <w:rsid w:val="1F68DDA6"/>
    <w:rsid w:val="1FB37EE3"/>
    <w:rsid w:val="1FD5DA73"/>
    <w:rsid w:val="20144528"/>
    <w:rsid w:val="206113E0"/>
    <w:rsid w:val="20BF08B5"/>
    <w:rsid w:val="20F7AA3D"/>
    <w:rsid w:val="213CA12C"/>
    <w:rsid w:val="219B49AE"/>
    <w:rsid w:val="2293F1C0"/>
    <w:rsid w:val="24B31CB7"/>
    <w:rsid w:val="25321DBA"/>
    <w:rsid w:val="257714A9"/>
    <w:rsid w:val="26799C04"/>
    <w:rsid w:val="268CB334"/>
    <w:rsid w:val="26ADD159"/>
    <w:rsid w:val="279471ED"/>
    <w:rsid w:val="27B48B2C"/>
    <w:rsid w:val="28962836"/>
    <w:rsid w:val="28C92AFA"/>
    <w:rsid w:val="28EAB14B"/>
    <w:rsid w:val="296DF564"/>
    <w:rsid w:val="29BAF552"/>
    <w:rsid w:val="2AE05586"/>
    <w:rsid w:val="2B1B4699"/>
    <w:rsid w:val="2B99CAED"/>
    <w:rsid w:val="2BA9DA87"/>
    <w:rsid w:val="2BC6F5A2"/>
    <w:rsid w:val="2C7C25E7"/>
    <w:rsid w:val="2CD4D4C3"/>
    <w:rsid w:val="2CEA3782"/>
    <w:rsid w:val="2CF01954"/>
    <w:rsid w:val="2D92E5C9"/>
    <w:rsid w:val="2DBD69F6"/>
    <w:rsid w:val="2DD58F0F"/>
    <w:rsid w:val="2DD6E483"/>
    <w:rsid w:val="2E277958"/>
    <w:rsid w:val="2F1E69AF"/>
    <w:rsid w:val="2F48A33B"/>
    <w:rsid w:val="2FFCFFD3"/>
    <w:rsid w:val="300E5D58"/>
    <w:rsid w:val="3052B062"/>
    <w:rsid w:val="30A45265"/>
    <w:rsid w:val="30FDED38"/>
    <w:rsid w:val="31335206"/>
    <w:rsid w:val="31356A0F"/>
    <w:rsid w:val="3166D09C"/>
    <w:rsid w:val="31689B1E"/>
    <w:rsid w:val="31D226CA"/>
    <w:rsid w:val="31F2EAE9"/>
    <w:rsid w:val="32BA694E"/>
    <w:rsid w:val="32FCE937"/>
    <w:rsid w:val="331F9B27"/>
    <w:rsid w:val="339E81F3"/>
    <w:rsid w:val="33B81790"/>
    <w:rsid w:val="3407DBA8"/>
    <w:rsid w:val="34140E8A"/>
    <w:rsid w:val="34691DFF"/>
    <w:rsid w:val="34F84BC9"/>
    <w:rsid w:val="356C8832"/>
    <w:rsid w:val="36D8E9B2"/>
    <w:rsid w:val="36DBD233"/>
    <w:rsid w:val="370EBE49"/>
    <w:rsid w:val="3858B8BB"/>
    <w:rsid w:val="39012D09"/>
    <w:rsid w:val="3A328F9F"/>
    <w:rsid w:val="3A549A69"/>
    <w:rsid w:val="3A7D6860"/>
    <w:rsid w:val="3B2118F2"/>
    <w:rsid w:val="3C36BA1B"/>
    <w:rsid w:val="3CAFFF52"/>
    <w:rsid w:val="3D6F7ABB"/>
    <w:rsid w:val="3DC793AC"/>
    <w:rsid w:val="3DCAA41F"/>
    <w:rsid w:val="3EA4E806"/>
    <w:rsid w:val="3EB604F6"/>
    <w:rsid w:val="3ECD30BE"/>
    <w:rsid w:val="3EEEE369"/>
    <w:rsid w:val="3EF471D1"/>
    <w:rsid w:val="3F751A0F"/>
    <w:rsid w:val="3FF3E6D7"/>
    <w:rsid w:val="40296E00"/>
    <w:rsid w:val="40642D35"/>
    <w:rsid w:val="40D21A9B"/>
    <w:rsid w:val="41403D26"/>
    <w:rsid w:val="41770EE4"/>
    <w:rsid w:val="426A1E3D"/>
    <w:rsid w:val="427F1997"/>
    <w:rsid w:val="42DF475D"/>
    <w:rsid w:val="42F3F56C"/>
    <w:rsid w:val="430B3EA7"/>
    <w:rsid w:val="43B74855"/>
    <w:rsid w:val="43D450A1"/>
    <w:rsid w:val="443C6B0E"/>
    <w:rsid w:val="4469213F"/>
    <w:rsid w:val="4477DDE8"/>
    <w:rsid w:val="44CC13EC"/>
    <w:rsid w:val="4511ADEE"/>
    <w:rsid w:val="455318B6"/>
    <w:rsid w:val="4696A2F3"/>
    <w:rsid w:val="4712D4EB"/>
    <w:rsid w:val="4720EDBE"/>
    <w:rsid w:val="474299DB"/>
    <w:rsid w:val="4749827D"/>
    <w:rsid w:val="4797070D"/>
    <w:rsid w:val="47BFDEAB"/>
    <w:rsid w:val="483381B0"/>
    <w:rsid w:val="495BD0C8"/>
    <w:rsid w:val="4BA21288"/>
    <w:rsid w:val="4C0BC982"/>
    <w:rsid w:val="4C72014C"/>
    <w:rsid w:val="4C9CD9AB"/>
    <w:rsid w:val="4D0BA0E3"/>
    <w:rsid w:val="4D35D751"/>
    <w:rsid w:val="4D45EADB"/>
    <w:rsid w:val="4D6D676C"/>
    <w:rsid w:val="4D8F321D"/>
    <w:rsid w:val="4E47A5D4"/>
    <w:rsid w:val="4EA76D94"/>
    <w:rsid w:val="4ED1A7B2"/>
    <w:rsid w:val="4F8C6C2D"/>
    <w:rsid w:val="50422F5B"/>
    <w:rsid w:val="509DD0C4"/>
    <w:rsid w:val="50D0679E"/>
    <w:rsid w:val="5100A29F"/>
    <w:rsid w:val="517D0943"/>
    <w:rsid w:val="51921861"/>
    <w:rsid w:val="51AFD34A"/>
    <w:rsid w:val="51F95C5A"/>
    <w:rsid w:val="52758BF6"/>
    <w:rsid w:val="5288D2B2"/>
    <w:rsid w:val="5364143A"/>
    <w:rsid w:val="537A8E90"/>
    <w:rsid w:val="542168CF"/>
    <w:rsid w:val="553CF564"/>
    <w:rsid w:val="55794962"/>
    <w:rsid w:val="558FF580"/>
    <w:rsid w:val="55C08BC4"/>
    <w:rsid w:val="55DA2C7F"/>
    <w:rsid w:val="5615D64D"/>
    <w:rsid w:val="56983ADE"/>
    <w:rsid w:val="569B901F"/>
    <w:rsid w:val="56E7EF7E"/>
    <w:rsid w:val="5791ABBE"/>
    <w:rsid w:val="57A6878C"/>
    <w:rsid w:val="581AC52E"/>
    <w:rsid w:val="58903DE2"/>
    <w:rsid w:val="5908633E"/>
    <w:rsid w:val="59799FDE"/>
    <w:rsid w:val="59A01FC8"/>
    <w:rsid w:val="5AB9BE3C"/>
    <w:rsid w:val="5B0ED850"/>
    <w:rsid w:val="5B83AE1F"/>
    <w:rsid w:val="5BE8A863"/>
    <w:rsid w:val="5BED63B7"/>
    <w:rsid w:val="5C871D45"/>
    <w:rsid w:val="5EF7E93F"/>
    <w:rsid w:val="5F508BF0"/>
    <w:rsid w:val="5F63925D"/>
    <w:rsid w:val="5FBC9F7E"/>
    <w:rsid w:val="5FCA0D3A"/>
    <w:rsid w:val="5FE7C47F"/>
    <w:rsid w:val="6042329B"/>
    <w:rsid w:val="60A1743E"/>
    <w:rsid w:val="6158B83C"/>
    <w:rsid w:val="61787456"/>
    <w:rsid w:val="62A79AAA"/>
    <w:rsid w:val="62E1B89D"/>
    <w:rsid w:val="63013810"/>
    <w:rsid w:val="631871C9"/>
    <w:rsid w:val="63E2EFB1"/>
    <w:rsid w:val="64B04D17"/>
    <w:rsid w:val="65038C23"/>
    <w:rsid w:val="65F07B5B"/>
    <w:rsid w:val="66117FED"/>
    <w:rsid w:val="66941FE2"/>
    <w:rsid w:val="66C92182"/>
    <w:rsid w:val="66F0D241"/>
    <w:rsid w:val="6701631A"/>
    <w:rsid w:val="673C824C"/>
    <w:rsid w:val="6750166E"/>
    <w:rsid w:val="681DA480"/>
    <w:rsid w:val="69292E5C"/>
    <w:rsid w:val="6932A295"/>
    <w:rsid w:val="69B00725"/>
    <w:rsid w:val="69F1D475"/>
    <w:rsid w:val="6A4EBFB8"/>
    <w:rsid w:val="6A634A6A"/>
    <w:rsid w:val="6A802742"/>
    <w:rsid w:val="6AE1FFD6"/>
    <w:rsid w:val="6B0F795D"/>
    <w:rsid w:val="6B247164"/>
    <w:rsid w:val="6B26A0CF"/>
    <w:rsid w:val="6B309281"/>
    <w:rsid w:val="6B44BC1F"/>
    <w:rsid w:val="6B58C171"/>
    <w:rsid w:val="6BAE2983"/>
    <w:rsid w:val="6BC5ECA6"/>
    <w:rsid w:val="6C25D92E"/>
    <w:rsid w:val="6CA2369F"/>
    <w:rsid w:val="6CDFE1E1"/>
    <w:rsid w:val="6CF60760"/>
    <w:rsid w:val="6D667F51"/>
    <w:rsid w:val="6D8CBE87"/>
    <w:rsid w:val="6D8E1A8C"/>
    <w:rsid w:val="6DC4F1F0"/>
    <w:rsid w:val="6DD3AFE7"/>
    <w:rsid w:val="6DEAB173"/>
    <w:rsid w:val="6E21FB33"/>
    <w:rsid w:val="6E53B6C9"/>
    <w:rsid w:val="6E69ACD8"/>
    <w:rsid w:val="6E7ED40E"/>
    <w:rsid w:val="6E937CCB"/>
    <w:rsid w:val="6EE59778"/>
    <w:rsid w:val="6F678AD6"/>
    <w:rsid w:val="6F8F3DF7"/>
    <w:rsid w:val="703123FA"/>
    <w:rsid w:val="7037A624"/>
    <w:rsid w:val="70A1C6A7"/>
    <w:rsid w:val="7143C72B"/>
    <w:rsid w:val="7175A7C2"/>
    <w:rsid w:val="71EBE473"/>
    <w:rsid w:val="72AA7949"/>
    <w:rsid w:val="72F327AB"/>
    <w:rsid w:val="73A204CC"/>
    <w:rsid w:val="73AF2506"/>
    <w:rsid w:val="740C271C"/>
    <w:rsid w:val="74DC3BCF"/>
    <w:rsid w:val="74FDB061"/>
    <w:rsid w:val="75292557"/>
    <w:rsid w:val="7552ED32"/>
    <w:rsid w:val="7554B8B6"/>
    <w:rsid w:val="75AB813C"/>
    <w:rsid w:val="75C176FF"/>
    <w:rsid w:val="763C1E98"/>
    <w:rsid w:val="76517A36"/>
    <w:rsid w:val="76C56CDA"/>
    <w:rsid w:val="76F280B1"/>
    <w:rsid w:val="773F9D5D"/>
    <w:rsid w:val="77D640C3"/>
    <w:rsid w:val="783A98AD"/>
    <w:rsid w:val="78410491"/>
    <w:rsid w:val="78569963"/>
    <w:rsid w:val="791EA1E5"/>
    <w:rsid w:val="7997FBD2"/>
    <w:rsid w:val="799C8BE3"/>
    <w:rsid w:val="79ABD22C"/>
    <w:rsid w:val="7A332D08"/>
    <w:rsid w:val="7A4CEC6A"/>
    <w:rsid w:val="7A7F640C"/>
    <w:rsid w:val="7A8AF274"/>
    <w:rsid w:val="7AA274C3"/>
    <w:rsid w:val="7B42EF95"/>
    <w:rsid w:val="7B47A28D"/>
    <w:rsid w:val="7C857DB3"/>
    <w:rsid w:val="7CF09AD4"/>
    <w:rsid w:val="7DEA8B24"/>
    <w:rsid w:val="7E0766F3"/>
    <w:rsid w:val="7E591D5F"/>
    <w:rsid w:val="7EB16C2D"/>
    <w:rsid w:val="7F1F7B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F6100"/>
  <w15:docId w15:val="{CB152312-1972-4618-B721-305E5ADD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pacing w:val="-6"/>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FB"/>
    <w:pPr>
      <w:spacing w:before="120" w:after="120"/>
    </w:pPr>
    <w:rPr>
      <w:sz w:val="22"/>
    </w:rPr>
  </w:style>
  <w:style w:type="paragraph" w:styleId="Heading1">
    <w:name w:val="heading 1"/>
    <w:basedOn w:val="Normal"/>
    <w:next w:val="Normal"/>
    <w:link w:val="Heading1Char"/>
    <w:uiPriority w:val="9"/>
    <w:rsid w:val="00C671E1"/>
    <w:pPr>
      <w:outlineLvl w:val="0"/>
    </w:pPr>
    <w:rPr>
      <w:bCs/>
      <w:color w:val="7030A0"/>
      <w:spacing w:val="0"/>
      <w:sz w:val="60"/>
      <w:szCs w:val="60"/>
      <w:lang w:val="en-GB"/>
    </w:rPr>
  </w:style>
  <w:style w:type="paragraph" w:styleId="Heading2">
    <w:name w:val="heading 2"/>
    <w:basedOn w:val="Heading1"/>
    <w:next w:val="Normal"/>
    <w:link w:val="Heading2Char"/>
    <w:uiPriority w:val="9"/>
    <w:unhideWhenUsed/>
    <w:qFormat/>
    <w:rsid w:val="00801063"/>
    <w:pPr>
      <w:outlineLvl w:val="1"/>
    </w:pPr>
    <w:rPr>
      <w:b/>
      <w:sz w:val="32"/>
    </w:rPr>
  </w:style>
  <w:style w:type="paragraph" w:styleId="Heading3">
    <w:name w:val="heading 3"/>
    <w:basedOn w:val="Normal"/>
    <w:next w:val="Normal"/>
    <w:link w:val="Heading3Char"/>
    <w:uiPriority w:val="9"/>
    <w:unhideWhenUsed/>
    <w:qFormat/>
    <w:rsid w:val="00C671E1"/>
    <w:pPr>
      <w:suppressAutoHyphens/>
      <w:autoSpaceDE w:val="0"/>
      <w:autoSpaceDN w:val="0"/>
      <w:adjustRightInd w:val="0"/>
      <w:spacing w:before="283" w:after="170" w:line="300" w:lineRule="atLeast"/>
      <w:textAlignment w:val="center"/>
      <w:outlineLvl w:val="2"/>
    </w:pPr>
    <w:rPr>
      <w:color w:val="7030A0"/>
      <w:spacing w:val="0"/>
      <w:sz w:val="25"/>
      <w:szCs w:val="25"/>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ListBullet"/>
    <w:uiPriority w:val="99"/>
    <w:unhideWhenUsed/>
    <w:rsid w:val="007963FB"/>
    <w:pPr>
      <w:numPr>
        <w:numId w:val="9"/>
      </w:numPr>
      <w:spacing w:before="0" w:after="0"/>
      <w:ind w:left="641" w:hanging="357"/>
    </w:pPr>
  </w:style>
  <w:style w:type="paragraph" w:styleId="BodyText">
    <w:name w:val="Body Text"/>
    <w:basedOn w:val="Title"/>
    <w:link w:val="BodyTextChar"/>
    <w:uiPriority w:val="99"/>
    <w:rsid w:val="00F702C3"/>
    <w:pPr>
      <w:spacing w:after="170"/>
    </w:pPr>
    <w:rPr>
      <w:rFonts w:ascii="Proxima Nova Rg" w:hAnsi="Proxima Nova Rg" w:cs="Proxima Nova Rg"/>
      <w:b w:val="0"/>
      <w:bCs w:val="0"/>
      <w:sz w:val="20"/>
      <w:szCs w:val="20"/>
    </w:rPr>
  </w:style>
  <w:style w:type="character" w:customStyle="1" w:styleId="BodyTextChar">
    <w:name w:val="Body Text Char"/>
    <w:basedOn w:val="DefaultParagraphFont"/>
    <w:link w:val="BodyText"/>
    <w:uiPriority w:val="99"/>
    <w:rsid w:val="00F702C3"/>
    <w:rPr>
      <w:rFonts w:ascii="Proxima Nova Rg" w:hAnsi="Proxima Nova Rg" w:cs="Proxima Nova Rg"/>
      <w:b/>
      <w:bCs/>
      <w:color w:val="000000"/>
      <w:sz w:val="20"/>
      <w:szCs w:val="20"/>
      <w:lang w:val="en-GB"/>
    </w:rPr>
  </w:style>
  <w:style w:type="paragraph" w:styleId="Title">
    <w:name w:val="Title"/>
    <w:basedOn w:val="Normal"/>
    <w:next w:val="Normal"/>
    <w:link w:val="TitleChar"/>
    <w:uiPriority w:val="99"/>
    <w:qFormat/>
    <w:rsid w:val="00C671E1"/>
    <w:pPr>
      <w:suppressAutoHyphens/>
      <w:autoSpaceDE w:val="0"/>
      <w:autoSpaceDN w:val="0"/>
      <w:adjustRightInd w:val="0"/>
      <w:spacing w:after="340" w:line="820" w:lineRule="atLeast"/>
      <w:textAlignment w:val="center"/>
    </w:pPr>
    <w:rPr>
      <w:b/>
      <w:bCs/>
      <w:color w:val="7030A0"/>
      <w:spacing w:val="0"/>
      <w:sz w:val="80"/>
      <w:szCs w:val="80"/>
      <w:lang w:val="en-GB"/>
    </w:rPr>
  </w:style>
  <w:style w:type="character" w:customStyle="1" w:styleId="TitleChar">
    <w:name w:val="Title Char"/>
    <w:basedOn w:val="DefaultParagraphFont"/>
    <w:link w:val="Title"/>
    <w:uiPriority w:val="99"/>
    <w:rsid w:val="00C671E1"/>
    <w:rPr>
      <w:b/>
      <w:bCs/>
      <w:color w:val="7030A0"/>
      <w:spacing w:val="0"/>
      <w:sz w:val="80"/>
      <w:szCs w:val="80"/>
      <w:lang w:val="en-GB"/>
    </w:rPr>
  </w:style>
  <w:style w:type="paragraph" w:customStyle="1" w:styleId="heading1text">
    <w:name w:val="heading1 (text)"/>
    <w:basedOn w:val="Normal"/>
    <w:uiPriority w:val="99"/>
    <w:rsid w:val="00C671E1"/>
    <w:pPr>
      <w:suppressAutoHyphens/>
      <w:autoSpaceDE w:val="0"/>
      <w:autoSpaceDN w:val="0"/>
      <w:adjustRightInd w:val="0"/>
      <w:spacing w:before="113" w:after="170" w:line="300" w:lineRule="atLeast"/>
      <w:textAlignment w:val="center"/>
    </w:pPr>
    <w:rPr>
      <w:rFonts w:ascii="Proxima Nova Rg" w:hAnsi="Proxima Nova Rg" w:cs="Proxima Nova Rg"/>
      <w:color w:val="692774"/>
      <w:spacing w:val="0"/>
      <w:sz w:val="28"/>
      <w:szCs w:val="28"/>
      <w:lang w:val="en-GB"/>
    </w:rPr>
  </w:style>
  <w:style w:type="paragraph" w:customStyle="1" w:styleId="bullet1">
    <w:name w:val="bullet 1"/>
    <w:basedOn w:val="BodyText"/>
    <w:uiPriority w:val="99"/>
    <w:rsid w:val="00F702C3"/>
    <w:pPr>
      <w:tabs>
        <w:tab w:val="left" w:pos="320"/>
      </w:tabs>
      <w:spacing w:after="113"/>
      <w:ind w:left="320" w:hanging="320"/>
    </w:pPr>
  </w:style>
  <w:style w:type="paragraph" w:customStyle="1" w:styleId="footnote">
    <w:name w:val="footnote"/>
    <w:basedOn w:val="BodyText"/>
    <w:uiPriority w:val="99"/>
    <w:rsid w:val="00F702C3"/>
    <w:rPr>
      <w:spacing w:val="-5"/>
      <w:sz w:val="16"/>
      <w:szCs w:val="16"/>
    </w:rPr>
  </w:style>
  <w:style w:type="character" w:customStyle="1" w:styleId="bold">
    <w:name w:val="bold"/>
    <w:uiPriority w:val="99"/>
    <w:rsid w:val="00F702C3"/>
    <w:rPr>
      <w:b/>
      <w:bCs/>
    </w:rPr>
  </w:style>
  <w:style w:type="character" w:styleId="Hyperlink">
    <w:name w:val="Hyperlink"/>
    <w:uiPriority w:val="99"/>
    <w:rsid w:val="00A762CD"/>
    <w:rPr>
      <w:color w:val="4472C4" w:themeColor="accent1"/>
      <w:sz w:val="22"/>
      <w:u w:val="single" w:color="0563C1"/>
    </w:rPr>
  </w:style>
  <w:style w:type="character" w:customStyle="1" w:styleId="Heading2Char">
    <w:name w:val="Heading 2 Char"/>
    <w:basedOn w:val="DefaultParagraphFont"/>
    <w:link w:val="Heading2"/>
    <w:uiPriority w:val="9"/>
    <w:rsid w:val="00801063"/>
    <w:rPr>
      <w:b/>
      <w:bCs/>
      <w:color w:val="7030A0"/>
      <w:spacing w:val="0"/>
      <w:sz w:val="32"/>
      <w:szCs w:val="60"/>
      <w:lang w:val="en-GB"/>
    </w:rPr>
  </w:style>
  <w:style w:type="character" w:customStyle="1" w:styleId="Heading3Char">
    <w:name w:val="Heading 3 Char"/>
    <w:basedOn w:val="DefaultParagraphFont"/>
    <w:link w:val="Heading3"/>
    <w:uiPriority w:val="9"/>
    <w:rsid w:val="004606FF"/>
    <w:rPr>
      <w:color w:val="7030A0"/>
      <w:spacing w:val="0"/>
      <w:sz w:val="25"/>
      <w:szCs w:val="25"/>
      <w:lang w:val="en-GB"/>
    </w:rPr>
  </w:style>
  <w:style w:type="paragraph" w:styleId="Header">
    <w:name w:val="header"/>
    <w:basedOn w:val="Normal"/>
    <w:link w:val="HeaderChar"/>
    <w:uiPriority w:val="99"/>
    <w:unhideWhenUsed/>
    <w:rsid w:val="00F93049"/>
    <w:pPr>
      <w:tabs>
        <w:tab w:val="center" w:pos="4513"/>
        <w:tab w:val="right" w:pos="9026"/>
      </w:tabs>
    </w:pPr>
  </w:style>
  <w:style w:type="character" w:customStyle="1" w:styleId="HeaderChar">
    <w:name w:val="Header Char"/>
    <w:basedOn w:val="DefaultParagraphFont"/>
    <w:link w:val="Header"/>
    <w:uiPriority w:val="99"/>
    <w:rsid w:val="00F93049"/>
  </w:style>
  <w:style w:type="paragraph" w:styleId="Footer">
    <w:name w:val="footer"/>
    <w:basedOn w:val="Normal"/>
    <w:link w:val="FooterChar"/>
    <w:uiPriority w:val="99"/>
    <w:unhideWhenUsed/>
    <w:rsid w:val="00F93049"/>
    <w:pPr>
      <w:tabs>
        <w:tab w:val="center" w:pos="4513"/>
        <w:tab w:val="right" w:pos="9026"/>
      </w:tabs>
    </w:pPr>
  </w:style>
  <w:style w:type="character" w:customStyle="1" w:styleId="FooterChar">
    <w:name w:val="Footer Char"/>
    <w:basedOn w:val="DefaultParagraphFont"/>
    <w:link w:val="Footer"/>
    <w:uiPriority w:val="99"/>
    <w:rsid w:val="00F93049"/>
  </w:style>
  <w:style w:type="character" w:customStyle="1" w:styleId="UnresolvedMention1">
    <w:name w:val="Unresolved Mention1"/>
    <w:basedOn w:val="DefaultParagraphFont"/>
    <w:uiPriority w:val="99"/>
    <w:semiHidden/>
    <w:unhideWhenUsed/>
    <w:rsid w:val="003331C5"/>
    <w:rPr>
      <w:color w:val="605E5C"/>
      <w:shd w:val="clear" w:color="auto" w:fill="E1DFDD"/>
    </w:rPr>
  </w:style>
  <w:style w:type="paragraph" w:styleId="ListParagraph">
    <w:name w:val="List Paragraph"/>
    <w:basedOn w:val="Normal"/>
    <w:uiPriority w:val="34"/>
    <w:qFormat/>
    <w:rsid w:val="0016398F"/>
    <w:pPr>
      <w:spacing w:after="160" w:line="259" w:lineRule="auto"/>
      <w:ind w:left="720"/>
      <w:contextualSpacing/>
    </w:pPr>
    <w:rPr>
      <w:rFonts w:asciiTheme="minorHAnsi" w:hAnsiTheme="minorHAnsi" w:cstheme="minorBidi"/>
      <w:color w:val="auto"/>
      <w:spacing w:val="0"/>
      <w:szCs w:val="22"/>
    </w:rPr>
  </w:style>
  <w:style w:type="character" w:styleId="CommentReference">
    <w:name w:val="annotation reference"/>
    <w:basedOn w:val="DefaultParagraphFont"/>
    <w:uiPriority w:val="99"/>
    <w:unhideWhenUsed/>
    <w:rsid w:val="0016398F"/>
    <w:rPr>
      <w:sz w:val="16"/>
      <w:szCs w:val="16"/>
    </w:rPr>
  </w:style>
  <w:style w:type="paragraph" w:styleId="CommentText">
    <w:name w:val="annotation text"/>
    <w:basedOn w:val="Normal"/>
    <w:link w:val="CommentTextChar"/>
    <w:uiPriority w:val="99"/>
    <w:unhideWhenUsed/>
    <w:rsid w:val="0016398F"/>
    <w:pPr>
      <w:spacing w:after="160"/>
    </w:pPr>
    <w:rPr>
      <w:rFonts w:asciiTheme="minorHAnsi" w:hAnsiTheme="minorHAnsi" w:cstheme="minorBidi"/>
      <w:color w:val="auto"/>
      <w:spacing w:val="0"/>
    </w:rPr>
  </w:style>
  <w:style w:type="character" w:customStyle="1" w:styleId="CommentTextChar">
    <w:name w:val="Comment Text Char"/>
    <w:basedOn w:val="DefaultParagraphFont"/>
    <w:link w:val="CommentText"/>
    <w:uiPriority w:val="99"/>
    <w:rsid w:val="0016398F"/>
    <w:rPr>
      <w:rFonts w:asciiTheme="minorHAnsi" w:hAnsiTheme="minorHAnsi" w:cstheme="minorBidi"/>
      <w:color w:val="auto"/>
      <w:spacing w:val="0"/>
    </w:rPr>
  </w:style>
  <w:style w:type="table" w:styleId="TableGrid">
    <w:name w:val="Table Grid"/>
    <w:basedOn w:val="TableNormal"/>
    <w:uiPriority w:val="39"/>
    <w:rsid w:val="00B557A0"/>
    <w:rPr>
      <w:rFonts w:cstheme="minorBidi"/>
      <w:color w:val="auto"/>
      <w:spacing w:val="0"/>
      <w:sz w:val="22"/>
      <w:szCs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StylePr>
  </w:style>
  <w:style w:type="character" w:customStyle="1" w:styleId="Heading1Char">
    <w:name w:val="Heading 1 Char"/>
    <w:basedOn w:val="DefaultParagraphFont"/>
    <w:link w:val="Heading1"/>
    <w:uiPriority w:val="9"/>
    <w:rsid w:val="00C671E1"/>
    <w:rPr>
      <w:bCs/>
      <w:color w:val="7030A0"/>
      <w:spacing w:val="0"/>
      <w:sz w:val="60"/>
      <w:szCs w:val="60"/>
      <w:lang w:val="en-GB"/>
    </w:rPr>
  </w:style>
  <w:style w:type="paragraph" w:customStyle="1" w:styleId="bulletpoint">
    <w:name w:val="bullet point"/>
    <w:basedOn w:val="BodyText"/>
    <w:link w:val="bulletpointChar"/>
    <w:qFormat/>
    <w:rsid w:val="00727C27"/>
    <w:pPr>
      <w:numPr>
        <w:numId w:val="2"/>
      </w:numPr>
      <w:contextualSpacing/>
    </w:pPr>
    <w:rPr>
      <w:rFonts w:ascii="Arial" w:hAnsi="Arial" w:cs="Arial"/>
      <w:b/>
      <w:color w:val="000000" w:themeColor="text1"/>
    </w:rPr>
  </w:style>
  <w:style w:type="character" w:customStyle="1" w:styleId="bulletpointChar">
    <w:name w:val="bullet point Char"/>
    <w:basedOn w:val="BodyTextChar"/>
    <w:link w:val="bulletpoint"/>
    <w:rsid w:val="00727C27"/>
    <w:rPr>
      <w:rFonts w:ascii="Proxima Nova Rg" w:hAnsi="Proxima Nova Rg" w:cs="Proxima Nova Rg"/>
      <w:b w:val="0"/>
      <w:bCs/>
      <w:color w:val="000000" w:themeColor="text1"/>
      <w:spacing w:val="0"/>
      <w:sz w:val="20"/>
      <w:szCs w:val="20"/>
      <w:lang w:val="en-GB"/>
    </w:rPr>
  </w:style>
  <w:style w:type="paragraph" w:styleId="BalloonText">
    <w:name w:val="Balloon Text"/>
    <w:basedOn w:val="Normal"/>
    <w:link w:val="BalloonTextChar"/>
    <w:uiPriority w:val="99"/>
    <w:semiHidden/>
    <w:unhideWhenUsed/>
    <w:rsid w:val="00727C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C27"/>
    <w:rPr>
      <w:rFonts w:ascii="Segoe UI" w:hAnsi="Segoe UI" w:cs="Segoe UI"/>
      <w:sz w:val="18"/>
      <w:szCs w:val="18"/>
    </w:rPr>
  </w:style>
  <w:style w:type="character" w:styleId="Strong">
    <w:name w:val="Strong"/>
    <w:basedOn w:val="DefaultParagraphFont"/>
    <w:uiPriority w:val="22"/>
    <w:qFormat/>
    <w:rsid w:val="008A5596"/>
    <w:rPr>
      <w:b/>
      <w:bCs/>
    </w:rPr>
  </w:style>
  <w:style w:type="character" w:styleId="FollowedHyperlink">
    <w:name w:val="FollowedHyperlink"/>
    <w:basedOn w:val="DefaultParagraphFont"/>
    <w:uiPriority w:val="99"/>
    <w:semiHidden/>
    <w:unhideWhenUsed/>
    <w:rsid w:val="00BF34C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F0764"/>
    <w:pPr>
      <w:spacing w:after="120"/>
    </w:pPr>
    <w:rPr>
      <w:rFonts w:ascii="Arial" w:hAnsi="Arial" w:cs="Arial"/>
      <w:b/>
      <w:bCs/>
      <w:color w:val="000000"/>
      <w:spacing w:val="-6"/>
    </w:rPr>
  </w:style>
  <w:style w:type="character" w:customStyle="1" w:styleId="CommentSubjectChar">
    <w:name w:val="Comment Subject Char"/>
    <w:basedOn w:val="CommentTextChar"/>
    <w:link w:val="CommentSubject"/>
    <w:uiPriority w:val="99"/>
    <w:semiHidden/>
    <w:rsid w:val="00BF0764"/>
    <w:rPr>
      <w:rFonts w:asciiTheme="minorHAnsi" w:hAnsiTheme="minorHAnsi" w:cstheme="minorBidi"/>
      <w:b/>
      <w:bCs/>
      <w:color w:val="auto"/>
      <w:spacing w:val="0"/>
    </w:rPr>
  </w:style>
  <w:style w:type="paragraph" w:styleId="Revision">
    <w:name w:val="Revision"/>
    <w:hidden/>
    <w:uiPriority w:val="99"/>
    <w:semiHidden/>
    <w:rsid w:val="008C39F0"/>
  </w:style>
  <w:style w:type="paragraph" w:styleId="NoSpacing">
    <w:name w:val="No Spacing"/>
    <w:uiPriority w:val="1"/>
    <w:qFormat/>
    <w:rsid w:val="005F7EE2"/>
  </w:style>
  <w:style w:type="paragraph" w:styleId="NormalWeb">
    <w:name w:val="Normal (Web)"/>
    <w:basedOn w:val="Normal"/>
    <w:uiPriority w:val="99"/>
    <w:semiHidden/>
    <w:unhideWhenUsed/>
    <w:rsid w:val="004D73A1"/>
    <w:pPr>
      <w:spacing w:before="100" w:beforeAutospacing="1" w:after="100" w:afterAutospacing="1"/>
    </w:pPr>
    <w:rPr>
      <w:rFonts w:ascii="Times New Roman" w:eastAsia="Times New Roman" w:hAnsi="Times New Roman" w:cs="Times New Roman"/>
      <w:color w:val="auto"/>
      <w:spacing w:val="0"/>
      <w:sz w:val="24"/>
      <w:szCs w:val="24"/>
      <w:lang w:eastAsia="en-AU"/>
    </w:rPr>
  </w:style>
  <w:style w:type="paragraph" w:customStyle="1" w:styleId="Default">
    <w:name w:val="Default"/>
    <w:rsid w:val="00EB18C6"/>
    <w:pPr>
      <w:autoSpaceDE w:val="0"/>
      <w:autoSpaceDN w:val="0"/>
      <w:adjustRightInd w:val="0"/>
    </w:pPr>
    <w:rPr>
      <w:rFonts w:ascii="Calibri Light" w:hAnsi="Calibri Light" w:cs="Calibri Light"/>
      <w:sz w:val="24"/>
      <w:szCs w:val="24"/>
    </w:rPr>
  </w:style>
  <w:style w:type="character" w:customStyle="1" w:styleId="UnresolvedMention2">
    <w:name w:val="Unresolved Mention2"/>
    <w:basedOn w:val="DefaultParagraphFont"/>
    <w:uiPriority w:val="99"/>
    <w:semiHidden/>
    <w:unhideWhenUsed/>
    <w:rsid w:val="00EF768F"/>
    <w:rPr>
      <w:color w:val="605E5C"/>
      <w:shd w:val="clear" w:color="auto" w:fill="E1DFDD"/>
    </w:rPr>
  </w:style>
  <w:style w:type="paragraph" w:styleId="FootnoteText">
    <w:name w:val="footnote text"/>
    <w:basedOn w:val="Normal"/>
    <w:link w:val="FootnoteTextChar"/>
    <w:uiPriority w:val="99"/>
    <w:semiHidden/>
    <w:unhideWhenUsed/>
    <w:rsid w:val="00EF768F"/>
    <w:pPr>
      <w:spacing w:after="0"/>
    </w:pPr>
    <w:rPr>
      <w:rFonts w:ascii="Times New Roman" w:hAnsi="Times New Roman" w:cs="Times New Roman"/>
      <w:color w:val="auto"/>
      <w:spacing w:val="0"/>
    </w:rPr>
  </w:style>
  <w:style w:type="character" w:customStyle="1" w:styleId="FootnoteTextChar">
    <w:name w:val="Footnote Text Char"/>
    <w:basedOn w:val="DefaultParagraphFont"/>
    <w:link w:val="FootnoteText"/>
    <w:uiPriority w:val="99"/>
    <w:semiHidden/>
    <w:rsid w:val="00EF768F"/>
    <w:rPr>
      <w:rFonts w:ascii="Times New Roman" w:hAnsi="Times New Roman" w:cs="Times New Roman"/>
      <w:color w:val="auto"/>
      <w:spacing w:val="0"/>
    </w:rPr>
  </w:style>
  <w:style w:type="character" w:customStyle="1" w:styleId="UnresolvedMention3">
    <w:name w:val="Unresolved Mention3"/>
    <w:basedOn w:val="DefaultParagraphFont"/>
    <w:uiPriority w:val="99"/>
    <w:semiHidden/>
    <w:unhideWhenUsed/>
    <w:rsid w:val="009014F4"/>
    <w:rPr>
      <w:color w:val="605E5C"/>
      <w:shd w:val="clear" w:color="auto" w:fill="E1DFDD"/>
    </w:rPr>
  </w:style>
  <w:style w:type="paragraph" w:styleId="List">
    <w:name w:val="List"/>
    <w:basedOn w:val="Normal"/>
    <w:uiPriority w:val="99"/>
    <w:unhideWhenUsed/>
    <w:rsid w:val="00A762CD"/>
    <w:pPr>
      <w:spacing w:before="60" w:after="0"/>
      <w:ind w:left="284" w:hanging="284"/>
    </w:pPr>
  </w:style>
  <w:style w:type="character" w:customStyle="1" w:styleId="UnresolvedMention4">
    <w:name w:val="Unresolved Mention4"/>
    <w:basedOn w:val="DefaultParagraphFont"/>
    <w:uiPriority w:val="99"/>
    <w:semiHidden/>
    <w:unhideWhenUsed/>
    <w:rsid w:val="00F968A9"/>
    <w:rPr>
      <w:color w:val="605E5C"/>
      <w:shd w:val="clear" w:color="auto" w:fill="E1DFDD"/>
    </w:rPr>
  </w:style>
  <w:style w:type="paragraph" w:styleId="BodyText2">
    <w:name w:val="Body Text 2"/>
    <w:basedOn w:val="Normal"/>
    <w:link w:val="BodyText2Char"/>
    <w:uiPriority w:val="99"/>
    <w:unhideWhenUsed/>
    <w:rsid w:val="00575A37"/>
    <w:rPr>
      <w:i/>
      <w:szCs w:val="22"/>
    </w:rPr>
  </w:style>
  <w:style w:type="character" w:customStyle="1" w:styleId="BodyText2Char">
    <w:name w:val="Body Text 2 Char"/>
    <w:basedOn w:val="DefaultParagraphFont"/>
    <w:link w:val="BodyText2"/>
    <w:uiPriority w:val="99"/>
    <w:rsid w:val="00575A37"/>
    <w:rPr>
      <w:i/>
      <w:sz w:val="22"/>
      <w:szCs w:val="22"/>
    </w:rPr>
  </w:style>
  <w:style w:type="character" w:customStyle="1" w:styleId="UnresolvedMention5">
    <w:name w:val="Unresolved Mention5"/>
    <w:basedOn w:val="DefaultParagraphFont"/>
    <w:uiPriority w:val="99"/>
    <w:semiHidden/>
    <w:unhideWhenUsed/>
    <w:rsid w:val="005C53E3"/>
    <w:rPr>
      <w:color w:val="605E5C"/>
      <w:shd w:val="clear" w:color="auto" w:fill="E1DFDD"/>
    </w:rPr>
  </w:style>
  <w:style w:type="paragraph" w:styleId="Caption">
    <w:name w:val="caption"/>
    <w:basedOn w:val="Normal"/>
    <w:next w:val="Normal"/>
    <w:uiPriority w:val="35"/>
    <w:unhideWhenUsed/>
    <w:qFormat/>
    <w:rsid w:val="00A762CD"/>
    <w:pPr>
      <w:keepNext/>
      <w:spacing w:before="240"/>
    </w:pPr>
    <w:rPr>
      <w:b/>
      <w:iCs/>
      <w:color w:val="44546A" w:themeColor="text2"/>
      <w:szCs w:val="18"/>
    </w:rPr>
  </w:style>
  <w:style w:type="character" w:styleId="UnresolvedMention">
    <w:name w:val="Unresolved Mention"/>
    <w:basedOn w:val="DefaultParagraphFont"/>
    <w:uiPriority w:val="99"/>
    <w:semiHidden/>
    <w:unhideWhenUsed/>
    <w:rsid w:val="00A762CD"/>
    <w:rPr>
      <w:color w:val="605E5C"/>
      <w:shd w:val="clear" w:color="auto" w:fill="E1DFDD"/>
    </w:rPr>
  </w:style>
  <w:style w:type="paragraph" w:styleId="ListBullet">
    <w:name w:val="List Bullet"/>
    <w:basedOn w:val="Normal"/>
    <w:uiPriority w:val="99"/>
    <w:unhideWhenUsed/>
    <w:rsid w:val="00A762CD"/>
    <w:pPr>
      <w:numPr>
        <w:numId w:val="8"/>
      </w:numPr>
      <w:contextualSpacing/>
    </w:pPr>
  </w:style>
  <w:style w:type="paragraph" w:customStyle="1" w:styleId="Orangetext">
    <w:name w:val="Orange text"/>
    <w:basedOn w:val="Normal"/>
    <w:link w:val="OrangetextChar"/>
    <w:qFormat/>
    <w:rsid w:val="00FC3091"/>
    <w:pPr>
      <w:spacing w:after="0"/>
    </w:pPr>
    <w:rPr>
      <w:b/>
      <w:bCs/>
      <w:iCs/>
      <w:color w:val="AD4E10"/>
      <w:spacing w:val="0"/>
      <w:sz w:val="21"/>
      <w:szCs w:val="22"/>
    </w:rPr>
  </w:style>
  <w:style w:type="character" w:customStyle="1" w:styleId="OrangetextChar">
    <w:name w:val="Orange text Char"/>
    <w:basedOn w:val="DefaultParagraphFont"/>
    <w:link w:val="Orangetext"/>
    <w:rsid w:val="00FC3091"/>
    <w:rPr>
      <w:b/>
      <w:bCs/>
      <w:iCs/>
      <w:color w:val="AD4E10"/>
      <w:spacing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9972">
      <w:bodyDiv w:val="1"/>
      <w:marLeft w:val="0"/>
      <w:marRight w:val="0"/>
      <w:marTop w:val="0"/>
      <w:marBottom w:val="0"/>
      <w:divBdr>
        <w:top w:val="none" w:sz="0" w:space="0" w:color="auto"/>
        <w:left w:val="none" w:sz="0" w:space="0" w:color="auto"/>
        <w:bottom w:val="none" w:sz="0" w:space="0" w:color="auto"/>
        <w:right w:val="none" w:sz="0" w:space="0" w:color="auto"/>
      </w:divBdr>
      <w:divsChild>
        <w:div w:id="1790855800">
          <w:marLeft w:val="0"/>
          <w:marRight w:val="0"/>
          <w:marTop w:val="0"/>
          <w:marBottom w:val="0"/>
          <w:divBdr>
            <w:top w:val="none" w:sz="0" w:space="0" w:color="auto"/>
            <w:left w:val="none" w:sz="0" w:space="0" w:color="auto"/>
            <w:bottom w:val="none" w:sz="0" w:space="0" w:color="auto"/>
            <w:right w:val="none" w:sz="0" w:space="0" w:color="auto"/>
          </w:divBdr>
          <w:divsChild>
            <w:div w:id="1723403194">
              <w:marLeft w:val="0"/>
              <w:marRight w:val="0"/>
              <w:marTop w:val="0"/>
              <w:marBottom w:val="0"/>
              <w:divBdr>
                <w:top w:val="none" w:sz="0" w:space="0" w:color="auto"/>
                <w:left w:val="none" w:sz="0" w:space="0" w:color="auto"/>
                <w:bottom w:val="none" w:sz="0" w:space="0" w:color="auto"/>
                <w:right w:val="none" w:sz="0" w:space="0" w:color="auto"/>
              </w:divBdr>
              <w:divsChild>
                <w:div w:id="9141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2092">
      <w:bodyDiv w:val="1"/>
      <w:marLeft w:val="0"/>
      <w:marRight w:val="0"/>
      <w:marTop w:val="0"/>
      <w:marBottom w:val="0"/>
      <w:divBdr>
        <w:top w:val="none" w:sz="0" w:space="0" w:color="auto"/>
        <w:left w:val="none" w:sz="0" w:space="0" w:color="auto"/>
        <w:bottom w:val="none" w:sz="0" w:space="0" w:color="auto"/>
        <w:right w:val="none" w:sz="0" w:space="0" w:color="auto"/>
      </w:divBdr>
    </w:div>
    <w:div w:id="390811303">
      <w:bodyDiv w:val="1"/>
      <w:marLeft w:val="0"/>
      <w:marRight w:val="0"/>
      <w:marTop w:val="0"/>
      <w:marBottom w:val="0"/>
      <w:divBdr>
        <w:top w:val="none" w:sz="0" w:space="0" w:color="auto"/>
        <w:left w:val="none" w:sz="0" w:space="0" w:color="auto"/>
        <w:bottom w:val="none" w:sz="0" w:space="0" w:color="auto"/>
        <w:right w:val="none" w:sz="0" w:space="0" w:color="auto"/>
      </w:divBdr>
    </w:div>
    <w:div w:id="481123520">
      <w:bodyDiv w:val="1"/>
      <w:marLeft w:val="0"/>
      <w:marRight w:val="0"/>
      <w:marTop w:val="0"/>
      <w:marBottom w:val="0"/>
      <w:divBdr>
        <w:top w:val="none" w:sz="0" w:space="0" w:color="auto"/>
        <w:left w:val="none" w:sz="0" w:space="0" w:color="auto"/>
        <w:bottom w:val="none" w:sz="0" w:space="0" w:color="auto"/>
        <w:right w:val="none" w:sz="0" w:space="0" w:color="auto"/>
      </w:divBdr>
    </w:div>
    <w:div w:id="554704925">
      <w:bodyDiv w:val="1"/>
      <w:marLeft w:val="0"/>
      <w:marRight w:val="0"/>
      <w:marTop w:val="0"/>
      <w:marBottom w:val="0"/>
      <w:divBdr>
        <w:top w:val="none" w:sz="0" w:space="0" w:color="auto"/>
        <w:left w:val="none" w:sz="0" w:space="0" w:color="auto"/>
        <w:bottom w:val="none" w:sz="0" w:space="0" w:color="auto"/>
        <w:right w:val="none" w:sz="0" w:space="0" w:color="auto"/>
      </w:divBdr>
      <w:divsChild>
        <w:div w:id="1268001509">
          <w:marLeft w:val="0"/>
          <w:marRight w:val="0"/>
          <w:marTop w:val="0"/>
          <w:marBottom w:val="0"/>
          <w:divBdr>
            <w:top w:val="none" w:sz="0" w:space="0" w:color="auto"/>
            <w:left w:val="none" w:sz="0" w:space="0" w:color="auto"/>
            <w:bottom w:val="none" w:sz="0" w:space="0" w:color="auto"/>
            <w:right w:val="none" w:sz="0" w:space="0" w:color="auto"/>
          </w:divBdr>
          <w:divsChild>
            <w:div w:id="1150444323">
              <w:marLeft w:val="0"/>
              <w:marRight w:val="0"/>
              <w:marTop w:val="0"/>
              <w:marBottom w:val="0"/>
              <w:divBdr>
                <w:top w:val="none" w:sz="0" w:space="0" w:color="auto"/>
                <w:left w:val="none" w:sz="0" w:space="0" w:color="auto"/>
                <w:bottom w:val="none" w:sz="0" w:space="0" w:color="auto"/>
                <w:right w:val="none" w:sz="0" w:space="0" w:color="auto"/>
              </w:divBdr>
              <w:divsChild>
                <w:div w:id="8502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16802">
      <w:bodyDiv w:val="1"/>
      <w:marLeft w:val="0"/>
      <w:marRight w:val="0"/>
      <w:marTop w:val="0"/>
      <w:marBottom w:val="0"/>
      <w:divBdr>
        <w:top w:val="none" w:sz="0" w:space="0" w:color="auto"/>
        <w:left w:val="none" w:sz="0" w:space="0" w:color="auto"/>
        <w:bottom w:val="none" w:sz="0" w:space="0" w:color="auto"/>
        <w:right w:val="none" w:sz="0" w:space="0" w:color="auto"/>
      </w:divBdr>
    </w:div>
    <w:div w:id="794056161">
      <w:bodyDiv w:val="1"/>
      <w:marLeft w:val="0"/>
      <w:marRight w:val="0"/>
      <w:marTop w:val="0"/>
      <w:marBottom w:val="0"/>
      <w:divBdr>
        <w:top w:val="none" w:sz="0" w:space="0" w:color="auto"/>
        <w:left w:val="none" w:sz="0" w:space="0" w:color="auto"/>
        <w:bottom w:val="none" w:sz="0" w:space="0" w:color="auto"/>
        <w:right w:val="none" w:sz="0" w:space="0" w:color="auto"/>
      </w:divBdr>
    </w:div>
    <w:div w:id="1037198996">
      <w:bodyDiv w:val="1"/>
      <w:marLeft w:val="0"/>
      <w:marRight w:val="0"/>
      <w:marTop w:val="0"/>
      <w:marBottom w:val="0"/>
      <w:divBdr>
        <w:top w:val="none" w:sz="0" w:space="0" w:color="auto"/>
        <w:left w:val="none" w:sz="0" w:space="0" w:color="auto"/>
        <w:bottom w:val="none" w:sz="0" w:space="0" w:color="auto"/>
        <w:right w:val="none" w:sz="0" w:space="0" w:color="auto"/>
      </w:divBdr>
    </w:div>
    <w:div w:id="1269389376">
      <w:bodyDiv w:val="1"/>
      <w:marLeft w:val="0"/>
      <w:marRight w:val="0"/>
      <w:marTop w:val="0"/>
      <w:marBottom w:val="0"/>
      <w:divBdr>
        <w:top w:val="none" w:sz="0" w:space="0" w:color="auto"/>
        <w:left w:val="none" w:sz="0" w:space="0" w:color="auto"/>
        <w:bottom w:val="none" w:sz="0" w:space="0" w:color="auto"/>
        <w:right w:val="none" w:sz="0" w:space="0" w:color="auto"/>
      </w:divBdr>
    </w:div>
    <w:div w:id="1494684049">
      <w:bodyDiv w:val="1"/>
      <w:marLeft w:val="0"/>
      <w:marRight w:val="0"/>
      <w:marTop w:val="0"/>
      <w:marBottom w:val="0"/>
      <w:divBdr>
        <w:top w:val="none" w:sz="0" w:space="0" w:color="auto"/>
        <w:left w:val="none" w:sz="0" w:space="0" w:color="auto"/>
        <w:bottom w:val="none" w:sz="0" w:space="0" w:color="auto"/>
        <w:right w:val="none" w:sz="0" w:space="0" w:color="auto"/>
      </w:divBdr>
    </w:div>
    <w:div w:id="1620337860">
      <w:bodyDiv w:val="1"/>
      <w:marLeft w:val="0"/>
      <w:marRight w:val="0"/>
      <w:marTop w:val="0"/>
      <w:marBottom w:val="0"/>
      <w:divBdr>
        <w:top w:val="none" w:sz="0" w:space="0" w:color="auto"/>
        <w:left w:val="none" w:sz="0" w:space="0" w:color="auto"/>
        <w:bottom w:val="none" w:sz="0" w:space="0" w:color="auto"/>
        <w:right w:val="none" w:sz="0" w:space="0" w:color="auto"/>
      </w:divBdr>
    </w:div>
    <w:div w:id="1626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covid-19-vaccination-site-requirements-for-covid-19-vaccination-clinics"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mmunisationhandbook.health.gov.au/vaccination-procedures" TargetMode="External"/><Relationship Id="rId7" Type="http://schemas.openxmlformats.org/officeDocument/2006/relationships/settings" Target="settings.xml"/><Relationship Id="rId12" Type="http://schemas.openxmlformats.org/officeDocument/2006/relationships/hyperlink" Target="https://www.health.gov.au/resources/publications/covid-19-vaccines-in-australia-a3-poster?language=en" TargetMode="External"/><Relationship Id="rId17" Type="http://schemas.openxmlformats.org/officeDocument/2006/relationships/hyperlink" Target="https://immunisationhandbook.health.gov.au/resources/handbook-tables/table-recommended-needle-size-length-and-angle-for-administering-vaccines" TargetMode="External"/><Relationship Id="rId25" Type="http://schemas.openxmlformats.org/officeDocument/2006/relationships/hyperlink" Target="file:///C:/Users/Maselv/AppData/Local/Microsoft/Windows/INetCache/Content.Outlook/AAJ0SW05/www.servicesaustralia.gov.au/australian-immunisation-register-for-health-professional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tga.gov.au/product-information-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munisationhandbook.health.gov.au/contents/vaccine-preventable-diseases/covid-19" TargetMode="External"/><Relationship Id="rId24" Type="http://schemas.openxmlformats.org/officeDocument/2006/relationships/hyperlink" Target="https://www.racgp.org.au/running-a-practice/practice-standards/standards-for-other-health-care-settings/view-all-health-care-standards/infection-prevention-and-contro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health.gov.au/resources/publications/covid-19-vaccination-site-requirements-for-covid-19-vaccination-clinics" TargetMode="External"/><Relationship Id="rId10" Type="http://schemas.openxmlformats.org/officeDocument/2006/relationships/endnotes" Target="endnotes.xml"/><Relationship Id="rId19" Type="http://schemas.openxmlformats.org/officeDocument/2006/relationships/header" Target="header2.xml"/><Relationship Id="Rd85156c8528a4949"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roduct-information-0" TargetMode="External"/><Relationship Id="rId22" Type="http://schemas.openxmlformats.org/officeDocument/2006/relationships/hyperlink" Target="https://www.safetyandquality.gov.au/publications-and-resources/resource-library/australian-guidelines-prevention-and-control-infection-healthca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20B6FFFCFF245BCCCB4BA72E5CC3A" ma:contentTypeVersion="7" ma:contentTypeDescription="Create a new document." ma:contentTypeScope="" ma:versionID="435e54da9174750eb69bfed08195c665">
  <xsd:schema xmlns:xsd="http://www.w3.org/2001/XMLSchema" xmlns:xs="http://www.w3.org/2001/XMLSchema" xmlns:p="http://schemas.microsoft.com/office/2006/metadata/properties" xmlns:ns2="570bbaef-f91e-4736-b137-4b898025cca1" xmlns:ns3="d5fa042a-e6d3-440b-a150-ea7b6cb35d5b" targetNamespace="http://schemas.microsoft.com/office/2006/metadata/properties" ma:root="true" ma:fieldsID="b3d12a8c797cafe784bb7de02c080143" ns2:_="" ns3:_="">
    <xsd:import namespace="570bbaef-f91e-4736-b137-4b898025cca1"/>
    <xsd:import namespace="d5fa042a-e6d3-440b-a150-ea7b6cb35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baef-f91e-4736-b137-4b898025c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a042a-e6d3-440b-a150-ea7b6cb35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Opt</b:Tag>
    <b:SourceType>JournalArticle</b:SourceType>
    <b:Guid>{A34B24FE-12DE-4A3A-872A-FA5A8E8381E6}</b:Guid>
    <b:Author>
      <b:Author>
        <b:NameList>
          <b:Person>
            <b:Last>impact</b:Last>
            <b:First>Optimising</b:First>
            <b:Middle>the COVID-19 vaccination programme for maximum short-term</b:Middle>
          </b:Person>
        </b:NameList>
      </b:Author>
    </b:Autho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02F71-E3C2-41FB-A273-CC24980A2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bbaef-f91e-4736-b137-4b898025cca1"/>
    <ds:schemaRef ds:uri="d5fa042a-e6d3-440b-a150-ea7b6cb35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00595-262C-4B70-8480-BA73506CF502}">
  <ds:schemaRefs>
    <ds:schemaRef ds:uri="http://schemas.openxmlformats.org/officeDocument/2006/bibliography"/>
  </ds:schemaRefs>
</ds:datastoreItem>
</file>

<file path=customXml/itemProps3.xml><?xml version="1.0" encoding="utf-8"?>
<ds:datastoreItem xmlns:ds="http://schemas.openxmlformats.org/officeDocument/2006/customXml" ds:itemID="{D0DA5DB2-6502-42D8-BB18-ED98C18B1A53}">
  <ds:schemaRefs>
    <ds:schemaRef ds:uri="http://schemas.microsoft.com/sharepoint/v3/contenttype/forms"/>
  </ds:schemaRefs>
</ds:datastoreItem>
</file>

<file path=customXml/itemProps4.xml><?xml version="1.0" encoding="utf-8"?>
<ds:datastoreItem xmlns:ds="http://schemas.openxmlformats.org/officeDocument/2006/customXml" ds:itemID="{919BF945-A67C-4341-91D7-03E61B8211F9}">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570bbaef-f91e-4736-b137-4b898025cca1"/>
    <ds:schemaRef ds:uri="d5fa042a-e6d3-440b-a150-ea7b6cb35d5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2428</Words>
  <Characters>13138</Characters>
  <Application>Microsoft Office Word</Application>
  <DocSecurity>0</DocSecurity>
  <Lines>437</Lines>
  <Paragraphs>204</Paragraphs>
  <ScaleCrop>false</ScaleCrop>
  <HeadingPairs>
    <vt:vector size="2" baseType="variant">
      <vt:variant>
        <vt:lpstr>Title</vt:lpstr>
      </vt:variant>
      <vt:variant>
        <vt:i4>1</vt:i4>
      </vt:variant>
    </vt:vector>
  </HeadingPairs>
  <TitlesOfParts>
    <vt:vector size="1" baseType="lpstr">
      <vt:lpstr>ATAGI guidance on the use of multi-dose vials for COVID-19 vaccination</vt:lpstr>
    </vt:vector>
  </TitlesOfParts>
  <Company>CHW</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guidance on the use of multi-dose vials for COVID-19 vaccination</dc:title>
  <dc:subject>COVID-19 vaccination</dc:subject>
  <dc:creator>Australian Government Department of Health</dc:creator>
  <cp:keywords>COVID-19 vaccination; ATAGI; multi-dose vials; vaccination</cp:keywords>
  <cp:lastModifiedBy>MASCHKE, Elvia</cp:lastModifiedBy>
  <cp:revision>4</cp:revision>
  <cp:lastPrinted>2021-08-27T17:54:00Z</cp:lastPrinted>
  <dcterms:created xsi:type="dcterms:W3CDTF">2024-01-12T02:34:00Z</dcterms:created>
  <dcterms:modified xsi:type="dcterms:W3CDTF">2024-01-12T02:36:00Z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0x0101008AE20B6FFFCFF245BCCCB4BA72E5CC3A</vt:lpwstr>
  </property>
</Properties>
</file>