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AA15" w14:textId="77777777" w:rsidR="002913B0" w:rsidRPr="007B211A" w:rsidRDefault="002913B0" w:rsidP="002913B0">
      <w:pPr>
        <w:pStyle w:val="Heading1"/>
      </w:pPr>
      <w:r w:rsidRPr="007B211A">
        <w:t xml:space="preserve">ATAGI expanded guidance on acute major medical conditions that warrant a temporary medical exemption relevant for COVID-19 </w:t>
      </w:r>
      <w:proofErr w:type="gramStart"/>
      <w:r w:rsidRPr="007B211A">
        <w:t>vaccines</w:t>
      </w:r>
      <w:proofErr w:type="gramEnd"/>
    </w:p>
    <w:p w14:paraId="22ADDADF" w14:textId="48A195AA" w:rsidR="002913B0" w:rsidRPr="007B211A" w:rsidRDefault="002913B0" w:rsidP="00FC0B43">
      <w:r w:rsidRPr="003A36ED">
        <w:rPr>
          <w:b/>
          <w:bCs/>
        </w:rPr>
        <w:t>Updated:</w:t>
      </w:r>
      <w:r>
        <w:t xml:space="preserve"> </w:t>
      </w:r>
      <w:r w:rsidR="00420E5F">
        <w:t>1</w:t>
      </w:r>
      <w:r w:rsidR="00181C4D">
        <w:t>2</w:t>
      </w:r>
      <w:r w:rsidR="00420E5F">
        <w:t xml:space="preserve"> January 2024</w:t>
      </w:r>
    </w:p>
    <w:p w14:paraId="2B1C4858" w14:textId="2C71EA96" w:rsidR="002913B0" w:rsidRPr="00751AA4" w:rsidRDefault="002913B0" w:rsidP="00F606B3">
      <w:pPr>
        <w:rPr>
          <w:rFonts w:eastAsia="Arial"/>
        </w:rPr>
      </w:pPr>
      <w:r w:rsidRPr="00751AA4">
        <w:rPr>
          <w:rStyle w:val="Strong"/>
        </w:rPr>
        <w:t>What’s changed:</w:t>
      </w:r>
      <w:r w:rsidR="007B211A" w:rsidRPr="00751AA4">
        <w:t xml:space="preserve"> </w:t>
      </w:r>
      <w:r w:rsidR="0041540E" w:rsidRPr="00751AA4">
        <w:rPr>
          <w:rFonts w:eastAsia="Arial"/>
          <w:color w:val="auto"/>
        </w:rPr>
        <w:t xml:space="preserve">Updates to reflect current </w:t>
      </w:r>
      <w:r w:rsidR="00420E5F" w:rsidRPr="00751AA4">
        <w:rPr>
          <w:rFonts w:eastAsia="Arial"/>
          <w:color w:val="auto"/>
        </w:rPr>
        <w:t xml:space="preserve">information available </w:t>
      </w:r>
      <w:r w:rsidR="0041540E" w:rsidRPr="00751AA4">
        <w:rPr>
          <w:rFonts w:eastAsia="Arial"/>
          <w:color w:val="auto"/>
        </w:rPr>
        <w:t>in</w:t>
      </w:r>
      <w:r w:rsidR="2C2D21BB" w:rsidRPr="00751AA4">
        <w:rPr>
          <w:rFonts w:eastAsia="Arial"/>
          <w:color w:val="auto"/>
        </w:rPr>
        <w:t xml:space="preserve"> the </w:t>
      </w:r>
      <w:hyperlink r:id="rId11" w:history="1">
        <w:r w:rsidR="00420E5F" w:rsidRPr="00751AA4">
          <w:rPr>
            <w:rStyle w:val="Hyperlink"/>
            <w:rFonts w:eastAsia="Arial"/>
          </w:rPr>
          <w:t>Australian Immunisation Handbook</w:t>
        </w:r>
      </w:hyperlink>
      <w:r w:rsidR="2C2D21BB" w:rsidRPr="00751AA4">
        <w:rPr>
          <w:rFonts w:eastAsia="Arial"/>
          <w:color w:val="D13438"/>
          <w:u w:val="single"/>
        </w:rPr>
        <w:t>.</w:t>
      </w:r>
    </w:p>
    <w:p w14:paraId="09ECD4AA" w14:textId="675CCBE4" w:rsidR="002913B0" w:rsidRPr="00420E5F" w:rsidRDefault="07EA168B" w:rsidP="47EE9D10">
      <w:pPr>
        <w:rPr>
          <w:lang w:val="en-US"/>
        </w:rPr>
      </w:pPr>
      <w:r w:rsidRPr="00420E5F">
        <w:rPr>
          <w:color w:val="7030A0"/>
          <w:sz w:val="28"/>
          <w:szCs w:val="28"/>
          <w:lang w:val="en-US"/>
        </w:rPr>
        <w:t>Purpose</w:t>
      </w:r>
    </w:p>
    <w:p w14:paraId="3D39467B" w14:textId="2C8CE26D" w:rsidR="000B590C" w:rsidRPr="000B590C" w:rsidRDefault="002913B0" w:rsidP="00F606B3">
      <w:pPr>
        <w:rPr>
          <w:color w:val="auto"/>
        </w:rPr>
      </w:pPr>
      <w:r w:rsidRPr="00420E5F">
        <w:rPr>
          <w:lang w:val="en-US"/>
        </w:rPr>
        <w:t xml:space="preserve">The below guidance is prepared to support completion of the </w:t>
      </w:r>
      <w:r w:rsidRPr="00420E5F">
        <w:t xml:space="preserve">Australian Immunisation Register immunisation medical exemption (IM011) form. </w:t>
      </w:r>
      <w:r w:rsidR="000B590C" w:rsidRPr="000B590C">
        <w:rPr>
          <w:color w:val="auto"/>
        </w:rPr>
        <w:t>Guidelines for immunisation medical exemption are available at:</w:t>
      </w:r>
      <w:r w:rsidR="00A24CE0">
        <w:rPr>
          <w:color w:val="auto"/>
        </w:rPr>
        <w:t xml:space="preserve"> </w:t>
      </w:r>
      <w:hyperlink r:id="rId12" w:history="1">
        <w:r w:rsidR="00A24CE0" w:rsidRPr="005251F4">
          <w:rPr>
            <w:rStyle w:val="Hyperlink"/>
          </w:rPr>
          <w:t>www.servicesaustralia.gov.au/im011</w:t>
        </w:r>
      </w:hyperlink>
      <w:r w:rsidR="00A24CE0">
        <w:rPr>
          <w:color w:val="auto"/>
        </w:rPr>
        <w:t xml:space="preserve"> </w:t>
      </w:r>
    </w:p>
    <w:p w14:paraId="46EC11FC" w14:textId="7A7DE241" w:rsidR="002913B0" w:rsidRPr="007B211A" w:rsidRDefault="002913B0" w:rsidP="00FC0B43">
      <w:pPr>
        <w:rPr>
          <w:lang w:val="en-US"/>
        </w:rPr>
      </w:pPr>
      <w:r w:rsidRPr="00420E5F">
        <w:rPr>
          <w:lang w:val="en-US"/>
        </w:rPr>
        <w:t>This advice covers those for whom an exemption can be provided and does not cover clinical management of adverse events. For the management of adverse events refer to your local Specialist Immunisation Service.</w:t>
      </w:r>
      <w:r w:rsidR="4114F777" w:rsidRPr="00420E5F">
        <w:rPr>
          <w:lang w:val="en-US"/>
        </w:rPr>
        <w:t xml:space="preserve"> A list is available on the National Centre for Immunisation Research and Surveillance website at: </w:t>
      </w:r>
      <w:hyperlink r:id="rId13" w:history="1">
        <w:r w:rsidR="00420E5F" w:rsidRPr="005251F4">
          <w:rPr>
            <w:rStyle w:val="Hyperlink"/>
            <w:lang w:val="en-US"/>
          </w:rPr>
          <w:t>https://ncirs.org.au/health-professionals/specialist-immunisation-services</w:t>
        </w:r>
      </w:hyperlink>
      <w:r w:rsidR="4114F777" w:rsidRPr="00420E5F">
        <w:rPr>
          <w:lang w:val="en-US"/>
        </w:rPr>
        <w:t>.</w:t>
      </w:r>
    </w:p>
    <w:p w14:paraId="697AD180" w14:textId="77777777" w:rsidR="002913B0" w:rsidRPr="007B211A" w:rsidRDefault="002913B0" w:rsidP="002913B0">
      <w:pPr>
        <w:pStyle w:val="Heading2"/>
      </w:pPr>
      <w:r w:rsidRPr="007B211A">
        <w:t>Background</w:t>
      </w:r>
    </w:p>
    <w:p w14:paraId="27C41D5A" w14:textId="7C661AAD" w:rsidR="002913B0" w:rsidRPr="007B211A" w:rsidRDefault="002913B0" w:rsidP="00FC0B43">
      <w:pPr>
        <w:rPr>
          <w:lang w:val="en-US"/>
        </w:rPr>
      </w:pPr>
      <w:r w:rsidRPr="007B211A">
        <w:rPr>
          <w:lang w:val="en-US"/>
        </w:rPr>
        <w:t xml:space="preserve">COVID-19 vaccines have been demonstrated to be safe and </w:t>
      </w:r>
      <w:r w:rsidRPr="00420E5F">
        <w:rPr>
          <w:lang w:val="en-US"/>
        </w:rPr>
        <w:t>effective</w:t>
      </w:r>
      <w:r w:rsidR="6FD9A4E2" w:rsidRPr="00420E5F">
        <w:rPr>
          <w:lang w:val="en-US"/>
        </w:rPr>
        <w:t>.</w:t>
      </w:r>
      <w:r w:rsidRPr="00420E5F">
        <w:rPr>
          <w:lang w:val="en-US"/>
        </w:rPr>
        <w:t xml:space="preserve"> There</w:t>
      </w:r>
      <w:r w:rsidRPr="4B4829CA">
        <w:rPr>
          <w:lang w:val="en-US"/>
        </w:rPr>
        <w:t xml:space="preserve"> are very few situations where a vaccine is contraindicated and as such, medical exemption is expected to be rarely required.</w:t>
      </w:r>
    </w:p>
    <w:p w14:paraId="02E3A3EF" w14:textId="5F6308C5" w:rsidR="2CDE331B" w:rsidRPr="0026608F" w:rsidRDefault="2CDE331B" w:rsidP="00967AB7">
      <w:pPr>
        <w:pStyle w:val="ListBullet"/>
        <w:numPr>
          <w:ilvl w:val="0"/>
          <w:numId w:val="0"/>
        </w:numPr>
        <w:tabs>
          <w:tab w:val="num" w:pos="360"/>
        </w:tabs>
        <w:spacing w:after="60"/>
        <w:rPr>
          <w:rFonts w:eastAsia="Arial"/>
          <w:lang w:val="en-US"/>
        </w:rPr>
      </w:pPr>
      <w:r w:rsidRPr="0026608F">
        <w:rPr>
          <w:rFonts w:eastAsia="Arial"/>
          <w:color w:val="auto"/>
        </w:rPr>
        <w:t>To find out more about who should be vaccinated, refer to the</w:t>
      </w:r>
      <w:r w:rsidRPr="0026608F">
        <w:rPr>
          <w:rFonts w:eastAsia="Arial"/>
          <w:color w:val="auto"/>
          <w:u w:val="single"/>
        </w:rPr>
        <w:t xml:space="preserve"> </w:t>
      </w:r>
      <w:hyperlink r:id="rId14" w:history="1">
        <w:r w:rsidRPr="0026608F">
          <w:rPr>
            <w:rStyle w:val="Hyperlink"/>
            <w:rFonts w:eastAsia="Arial"/>
          </w:rPr>
          <w:t>Australian Immunisation Handbook</w:t>
        </w:r>
      </w:hyperlink>
      <w:r w:rsidRPr="0026608F">
        <w:rPr>
          <w:rFonts w:eastAsia="Arial"/>
          <w:color w:val="D13438"/>
          <w:u w:val="single"/>
        </w:rPr>
        <w:t>.</w:t>
      </w:r>
    </w:p>
    <w:p w14:paraId="29A6D738" w14:textId="77777777" w:rsidR="002913B0" w:rsidRPr="007B211A" w:rsidRDefault="002913B0" w:rsidP="002913B0">
      <w:pPr>
        <w:pStyle w:val="Heading2"/>
      </w:pPr>
      <w:r w:rsidRPr="007B211A">
        <w:t>Temporary exemptions</w:t>
      </w:r>
    </w:p>
    <w:p w14:paraId="009B4ACD" w14:textId="31C78390" w:rsidR="002913B0" w:rsidRPr="007B211A" w:rsidRDefault="002913B0" w:rsidP="00FC0B43">
      <w:pPr>
        <w:rPr>
          <w:lang w:val="en-US"/>
        </w:rPr>
      </w:pPr>
      <w:r w:rsidRPr="007B211A">
        <w:rPr>
          <w:lang w:val="en-US"/>
        </w:rPr>
        <w:t>An exemption should not be given when an alternative COVID-19 vaccine is available and when completing the medical exemption (</w:t>
      </w:r>
      <w:hyperlink r:id="rId15">
        <w:r w:rsidRPr="007B211A">
          <w:rPr>
            <w:rStyle w:val="Hyperlink"/>
            <w:lang w:val="en-US"/>
          </w:rPr>
          <w:t>IM011</w:t>
        </w:r>
      </w:hyperlink>
      <w:r w:rsidRPr="007B211A">
        <w:rPr>
          <w:lang w:val="en-US"/>
        </w:rPr>
        <w:t>) form</w:t>
      </w:r>
      <w:r w:rsidR="6E6BECAF" w:rsidRPr="007B211A">
        <w:rPr>
          <w:lang w:val="en-US"/>
        </w:rPr>
        <w:t>,</w:t>
      </w:r>
      <w:r w:rsidRPr="007B211A">
        <w:rPr>
          <w:lang w:val="en-US"/>
        </w:rPr>
        <w:t xml:space="preserve"> all COVID-19 brands must be selected.</w:t>
      </w:r>
    </w:p>
    <w:p w14:paraId="60914A93" w14:textId="77777777" w:rsidR="002913B0" w:rsidRPr="007B211A" w:rsidRDefault="002913B0" w:rsidP="00FC0B43">
      <w:pPr>
        <w:rPr>
          <w:lang w:val="en-US"/>
        </w:rPr>
      </w:pPr>
      <w:r w:rsidRPr="007B211A">
        <w:rPr>
          <w:lang w:val="en-US"/>
        </w:rPr>
        <w:t>Valid reasons for a temporary exemption include:</w:t>
      </w:r>
    </w:p>
    <w:p w14:paraId="40E6DAC5" w14:textId="77777777" w:rsidR="002913B0" w:rsidRPr="007B211A" w:rsidRDefault="002913B0" w:rsidP="00FC0B43">
      <w:pPr>
        <w:pStyle w:val="ListBullet"/>
        <w:rPr>
          <w:rFonts w:eastAsia="Arial"/>
          <w:color w:val="000000" w:themeColor="text1"/>
          <w:lang w:val="en-GB"/>
        </w:rPr>
      </w:pPr>
      <w:r w:rsidRPr="47EE9D10">
        <w:rPr>
          <w:lang w:val="en-GB"/>
        </w:rPr>
        <w:t>Inflammatory cardiac illness within the past 3 months, e.g., myocarditis or pericarditis; acute rheumatic fever or acute rheumatic heart disease (i.e., with active myocardial inflammation); or acute decompensated heart failure.</w:t>
      </w:r>
    </w:p>
    <w:p w14:paraId="7363960C" w14:textId="77777777" w:rsidR="002913B0" w:rsidRPr="007B211A" w:rsidRDefault="002913B0" w:rsidP="00FC0B43">
      <w:pPr>
        <w:pStyle w:val="ListBullet"/>
        <w:rPr>
          <w:lang w:val="en-GB"/>
        </w:rPr>
      </w:pPr>
      <w:r w:rsidRPr="47EE9D10">
        <w:rPr>
          <w:lang w:val="en-GB"/>
        </w:rPr>
        <w:t xml:space="preserve">Acute major medical condition (such as undergoing major surgery or hospital admission for a serious illness). </w:t>
      </w:r>
    </w:p>
    <w:p w14:paraId="4E804C6F" w14:textId="77777777" w:rsidR="002913B0" w:rsidRPr="007B211A" w:rsidRDefault="002913B0" w:rsidP="00FC0B43">
      <w:pPr>
        <w:pStyle w:val="ListBullet2"/>
      </w:pPr>
      <w:r w:rsidRPr="007B211A">
        <w:t>Typically, these are time-limited conditions (or the medical treatment for them is time limited).</w:t>
      </w:r>
    </w:p>
    <w:p w14:paraId="2B0124C1" w14:textId="3C82ECD4" w:rsidR="002913B0" w:rsidRPr="0026608F" w:rsidRDefault="002913B0" w:rsidP="47EE9D10">
      <w:pPr>
        <w:pStyle w:val="ListBullet"/>
        <w:rPr>
          <w:rFonts w:asciiTheme="minorHAnsi" w:eastAsiaTheme="minorEastAsia" w:hAnsiTheme="minorHAnsi" w:cstheme="minorBidi"/>
          <w:b/>
          <w:bCs/>
          <w:color w:val="000000" w:themeColor="text1"/>
          <w:lang w:val="en-GB"/>
        </w:rPr>
      </w:pPr>
      <w:r w:rsidRPr="47EE9D10">
        <w:rPr>
          <w:rFonts w:eastAsia="Arial"/>
          <w:color w:val="000000" w:themeColor="text1"/>
          <w:lang w:val="en-GB"/>
        </w:rPr>
        <w:t xml:space="preserve">SARS-CoV-2 </w:t>
      </w:r>
      <w:r w:rsidRPr="47EE9D10">
        <w:rPr>
          <w:lang w:val="en-GB"/>
        </w:rPr>
        <w:t>infection</w:t>
      </w:r>
      <w:r w:rsidRPr="47EE9D10">
        <w:rPr>
          <w:rFonts w:eastAsia="Arial"/>
          <w:color w:val="000000" w:themeColor="text1"/>
          <w:lang w:val="en-GB"/>
        </w:rPr>
        <w:t xml:space="preserve">, where vaccination </w:t>
      </w:r>
      <w:r w:rsidR="00BE13FE">
        <w:rPr>
          <w:rFonts w:eastAsia="Arial"/>
          <w:color w:val="000000" w:themeColor="text1"/>
          <w:lang w:val="en-GB"/>
        </w:rPr>
        <w:t>can</w:t>
      </w:r>
      <w:r w:rsidRPr="47EE9D10">
        <w:rPr>
          <w:rFonts w:eastAsia="Arial"/>
          <w:color w:val="000000" w:themeColor="text1"/>
          <w:lang w:val="en-GB"/>
        </w:rPr>
        <w:t xml:space="preserve"> be deferred for </w:t>
      </w:r>
      <w:r w:rsidR="00F95FF8" w:rsidRPr="47EE9D10">
        <w:rPr>
          <w:rFonts w:eastAsia="Arial"/>
          <w:color w:val="000000" w:themeColor="text1"/>
          <w:lang w:val="en-GB"/>
        </w:rPr>
        <w:t>6</w:t>
      </w:r>
      <w:r w:rsidRPr="47EE9D10">
        <w:rPr>
          <w:rFonts w:eastAsia="Arial"/>
          <w:color w:val="000000" w:themeColor="text1"/>
          <w:lang w:val="en-GB"/>
        </w:rPr>
        <w:t xml:space="preserve"> months after a confirmed infection. The next </w:t>
      </w:r>
      <w:r w:rsidRPr="0026608F">
        <w:rPr>
          <w:rFonts w:eastAsia="Arial"/>
          <w:color w:val="000000" w:themeColor="text1"/>
          <w:lang w:val="en-GB"/>
        </w:rPr>
        <w:t xml:space="preserve">scheduled dose </w:t>
      </w:r>
      <w:r w:rsidR="56017689" w:rsidRPr="0026608F">
        <w:rPr>
          <w:rFonts w:eastAsia="Arial"/>
          <w:color w:val="000000" w:themeColor="text1"/>
          <w:lang w:val="en-GB"/>
        </w:rPr>
        <w:t xml:space="preserve">can </w:t>
      </w:r>
      <w:r w:rsidRPr="0026608F">
        <w:rPr>
          <w:rFonts w:eastAsia="Arial"/>
          <w:color w:val="000000" w:themeColor="text1"/>
          <w:lang w:val="en-GB"/>
        </w:rPr>
        <w:t xml:space="preserve">be given after the </w:t>
      </w:r>
      <w:r w:rsidR="00F95FF8" w:rsidRPr="0026608F">
        <w:rPr>
          <w:rFonts w:eastAsia="Arial"/>
          <w:color w:val="000000" w:themeColor="text1"/>
          <w:lang w:val="en-GB"/>
        </w:rPr>
        <w:t>6</w:t>
      </w:r>
      <w:r w:rsidRPr="0026608F">
        <w:rPr>
          <w:rFonts w:eastAsia="Arial"/>
          <w:color w:val="000000" w:themeColor="text1"/>
          <w:lang w:val="en-GB"/>
        </w:rPr>
        <w:t xml:space="preserve">-month period. </w:t>
      </w:r>
    </w:p>
    <w:p w14:paraId="65EBBF33" w14:textId="626066D6" w:rsidR="002913B0" w:rsidRPr="0026608F" w:rsidRDefault="002913B0" w:rsidP="0F4313DE">
      <w:pPr>
        <w:pStyle w:val="ListBullet2"/>
        <w:rPr>
          <w:rFonts w:eastAsiaTheme="minorEastAsia"/>
          <w:b/>
          <w:bCs/>
        </w:rPr>
      </w:pPr>
      <w:r w:rsidRPr="0026608F">
        <w:t>Ensure when reporting this temporary medical deferral to the AIR that you choose the category ‘acute major medical illness’ and that it is not for a duration longer than</w:t>
      </w:r>
      <w:r w:rsidR="797E5B54" w:rsidRPr="0026608F">
        <w:t xml:space="preserve"> </w:t>
      </w:r>
      <w:r w:rsidR="00F95FF8" w:rsidRPr="0026608F">
        <w:rPr>
          <w:b/>
          <w:bCs/>
        </w:rPr>
        <w:t>6</w:t>
      </w:r>
      <w:r w:rsidRPr="0026608F">
        <w:rPr>
          <w:b/>
          <w:bCs/>
        </w:rPr>
        <w:t> months</w:t>
      </w:r>
      <w:r w:rsidRPr="0026608F">
        <w:t>.</w:t>
      </w:r>
    </w:p>
    <w:p w14:paraId="2013057C" w14:textId="3ECD5D22" w:rsidR="002913B0" w:rsidRPr="0026608F" w:rsidRDefault="460F4B7A" w:rsidP="47EE9D10">
      <w:pPr>
        <w:pStyle w:val="ListBullet2"/>
        <w:rPr>
          <w:rFonts w:eastAsiaTheme="minorEastAsia"/>
          <w:b/>
          <w:bCs/>
        </w:rPr>
      </w:pPr>
      <w:r w:rsidRPr="0026608F">
        <w:t xml:space="preserve">For the purposes of recording a confirmed </w:t>
      </w:r>
      <w:r w:rsidR="58BEDC84" w:rsidRPr="0026608F">
        <w:t>i</w:t>
      </w:r>
      <w:r w:rsidR="002913B0" w:rsidRPr="0026608F">
        <w:t>nfection</w:t>
      </w:r>
      <w:r w:rsidR="4F022FA1" w:rsidRPr="0026608F">
        <w:t>, it</w:t>
      </w:r>
      <w:r w:rsidR="00420E5F" w:rsidRPr="0026608F">
        <w:t xml:space="preserve"> </w:t>
      </w:r>
      <w:r w:rsidR="002913B0" w:rsidRPr="0026608F">
        <w:t xml:space="preserve">needs to be </w:t>
      </w:r>
      <w:r w:rsidR="71590A59" w:rsidRPr="0026608F">
        <w:t xml:space="preserve">a </w:t>
      </w:r>
      <w:r w:rsidR="1BFB1780" w:rsidRPr="0026608F">
        <w:t xml:space="preserve">positive </w:t>
      </w:r>
      <w:r w:rsidR="71590A59" w:rsidRPr="0026608F">
        <w:t>SARS CoV</w:t>
      </w:r>
      <w:r w:rsidR="3CA8A4E7" w:rsidRPr="0026608F">
        <w:t>-</w:t>
      </w:r>
      <w:r w:rsidR="71590A59" w:rsidRPr="0026608F">
        <w:t>2</w:t>
      </w:r>
      <w:r w:rsidR="002913B0" w:rsidRPr="0026608F">
        <w:t xml:space="preserve"> polymerase chain reaction (PCR) </w:t>
      </w:r>
      <w:r w:rsidR="3D6B37C6" w:rsidRPr="0026608F">
        <w:t xml:space="preserve">report, </w:t>
      </w:r>
      <w:r w:rsidR="002913B0" w:rsidRPr="0026608F">
        <w:t>or rapid antigen test (RAT).</w:t>
      </w:r>
    </w:p>
    <w:p w14:paraId="10BF44FB" w14:textId="149A7BBF" w:rsidR="002913B0" w:rsidRPr="007B211A" w:rsidRDefault="002913B0" w:rsidP="00FC0B43">
      <w:pPr>
        <w:pStyle w:val="ListBullet"/>
      </w:pPr>
      <w:r>
        <w:t xml:space="preserve">Any serious adverse event attributed to a previous dose of a COVID-19 vaccine, without another cause identified, and with no acceptable alternative vaccine available. If the vaccinee is a risk to themselves or others during the vaccination </w:t>
      </w:r>
      <w:proofErr w:type="gramStart"/>
      <w:r>
        <w:t>process</w:t>
      </w:r>
      <w:proofErr w:type="gramEnd"/>
      <w:r>
        <w:t xml:space="preserve"> they may warrant a temporary vaccine exemption. This may include a range of individuals with underlying developmental or mental health disorders</w:t>
      </w:r>
      <w:r w:rsidR="0ACA7491">
        <w:t>,</w:t>
      </w:r>
      <w:r>
        <w:t xml:space="preserve"> noting that non-</w:t>
      </w:r>
      <w:r>
        <w:lastRenderedPageBreak/>
        <w:t>pharmacological interventions can safely facilitate vaccination in many individuals with behavioural disturbances and that specialist services may be available to facilitate the safe administration of vaccines in this population.</w:t>
      </w:r>
    </w:p>
    <w:p w14:paraId="14C6142C" w14:textId="30EF9EBD" w:rsidR="002913B0" w:rsidRPr="007B211A" w:rsidRDefault="002913B0" w:rsidP="00FC0B43">
      <w:pPr>
        <w:rPr>
          <w:lang w:val="en-GB"/>
        </w:rPr>
      </w:pPr>
      <w:r w:rsidRPr="007B211A">
        <w:rPr>
          <w:lang w:val="en-GB"/>
        </w:rPr>
        <w:t>Chronic symptoms following COVID-19 (‘Long COVID’) are not a contraindication to COVID-19 vaccines but do warrant a clinical discussion with the patient</w:t>
      </w:r>
      <w:r w:rsidR="1FE666A9" w:rsidRPr="007B211A">
        <w:rPr>
          <w:lang w:val="en-GB"/>
        </w:rPr>
        <w:t xml:space="preserve"> about the timing of subsequent doses</w:t>
      </w:r>
      <w:r w:rsidRPr="007B211A">
        <w:rPr>
          <w:lang w:val="en-GB"/>
        </w:rPr>
        <w:t xml:space="preserve">. </w:t>
      </w:r>
    </w:p>
    <w:p w14:paraId="0E009E4D" w14:textId="77777777" w:rsidR="002913B0" w:rsidRPr="007B211A" w:rsidRDefault="002913B0" w:rsidP="00FC0B43">
      <w:pPr>
        <w:rPr>
          <w:lang w:val="en-GB"/>
        </w:rPr>
      </w:pPr>
      <w:r w:rsidRPr="007B211A">
        <w:rPr>
          <w:lang w:val="en-GB"/>
        </w:rPr>
        <w:t>Pregnancy is not a valid reason for exemption in the absence of any of the criteria listed above.</w:t>
      </w:r>
    </w:p>
    <w:p w14:paraId="48C599EF" w14:textId="77777777" w:rsidR="002913B0" w:rsidRPr="007B211A" w:rsidRDefault="002913B0" w:rsidP="002913B0">
      <w:pPr>
        <w:pStyle w:val="Heading2"/>
      </w:pPr>
      <w:r w:rsidRPr="007B211A">
        <w:t>Assessment of serious adverse events following immunisation (AEFI)</w:t>
      </w:r>
    </w:p>
    <w:p w14:paraId="5FAF34DF" w14:textId="77777777" w:rsidR="002913B0" w:rsidRPr="007B211A" w:rsidRDefault="002913B0" w:rsidP="00FC0B43">
      <w:pPr>
        <w:rPr>
          <w:lang w:val="en-GB"/>
        </w:rPr>
      </w:pPr>
      <w:r w:rsidRPr="007B211A">
        <w:rPr>
          <w:lang w:val="en-GB"/>
        </w:rPr>
        <w:t xml:space="preserve">An adverse event is considered serious if it: </w:t>
      </w:r>
    </w:p>
    <w:p w14:paraId="5F8C410D" w14:textId="77777777" w:rsidR="002913B0" w:rsidRPr="007B211A" w:rsidRDefault="002913B0" w:rsidP="00FC0B43">
      <w:pPr>
        <w:pStyle w:val="ListBullet"/>
        <w:rPr>
          <w:lang w:val="en-GB"/>
        </w:rPr>
      </w:pPr>
      <w:r w:rsidRPr="47EE9D10">
        <w:rPr>
          <w:lang w:val="en-GB"/>
        </w:rPr>
        <w:t>requires in-patient hospitalisation or prolongation of existing hospitalisation OR results in persistent or significant disability/ incapacity OR is potentially life-threatening.</w:t>
      </w:r>
    </w:p>
    <w:p w14:paraId="22A87B19" w14:textId="77777777" w:rsidR="002913B0" w:rsidRPr="007B211A" w:rsidRDefault="002913B0" w:rsidP="00FC0B43">
      <w:pPr>
        <w:rPr>
          <w:lang w:val="en-GB"/>
        </w:rPr>
      </w:pPr>
      <w:r w:rsidRPr="007B211A">
        <w:rPr>
          <w:lang w:val="en-US"/>
        </w:rPr>
        <w:t>AND</w:t>
      </w:r>
    </w:p>
    <w:p w14:paraId="34872CB9" w14:textId="77777777" w:rsidR="002913B0" w:rsidRPr="007B211A" w:rsidRDefault="002913B0" w:rsidP="00FC0B43">
      <w:pPr>
        <w:pStyle w:val="ListBullet"/>
      </w:pPr>
      <w:r>
        <w:t>has been reported to a state/territory adverse event surveillance system and/or the TGA.</w:t>
      </w:r>
    </w:p>
    <w:p w14:paraId="40CB895A" w14:textId="77777777" w:rsidR="002913B0" w:rsidRPr="007B211A" w:rsidRDefault="002913B0" w:rsidP="00FC0B43">
      <w:pPr>
        <w:rPr>
          <w:lang w:val="en-US"/>
        </w:rPr>
      </w:pPr>
      <w:r w:rsidRPr="007B211A">
        <w:rPr>
          <w:lang w:val="en-US"/>
        </w:rPr>
        <w:t>AND</w:t>
      </w:r>
    </w:p>
    <w:p w14:paraId="5B611ADC" w14:textId="77777777" w:rsidR="002913B0" w:rsidRPr="007B211A" w:rsidRDefault="002913B0" w:rsidP="00FC0B43">
      <w:pPr>
        <w:pStyle w:val="ListBullet"/>
      </w:pPr>
      <w:r>
        <w:t>has been determined following review by, and/or on the opinion of, an experienced immunisation provider/medical specialist to be associated with a risk of recurrence of the serious adverse event if another dose is given.</w:t>
      </w:r>
    </w:p>
    <w:p w14:paraId="3750499B" w14:textId="67A03B38" w:rsidR="002913B0" w:rsidRPr="007B211A" w:rsidRDefault="002913B0" w:rsidP="00FC0B43">
      <w:pPr>
        <w:rPr>
          <w:lang w:val="en-US"/>
        </w:rPr>
      </w:pPr>
      <w:r>
        <w:t xml:space="preserve">Assessment of an AEFI requires detailed information on the event, a determination of the likelihood of a causal link with vaccination, as well as the severity of the condition. </w:t>
      </w:r>
    </w:p>
    <w:p w14:paraId="1E24976D" w14:textId="49F53D0A" w:rsidR="002913B0" w:rsidRPr="007B211A" w:rsidRDefault="002913B0" w:rsidP="00FC0B43">
      <w:r>
        <w:t xml:space="preserve">Examples of serious AEFIs </w:t>
      </w:r>
      <w:proofErr w:type="gramStart"/>
      <w:r>
        <w:t>include:</w:t>
      </w:r>
      <w:proofErr w:type="gramEnd"/>
      <w:r>
        <w:t xml:space="preserve"> thrombosis with thrombocytopenia (TTS) following </w:t>
      </w:r>
      <w:proofErr w:type="spellStart"/>
      <w:r>
        <w:t>Vaxzevria</w:t>
      </w:r>
      <w:proofErr w:type="spellEnd"/>
      <w:r>
        <w:t xml:space="preserve"> (COVID-19 Vaccine AstraZeneca); medically significant illnesses (e.g. immune thrombocytopenia purpura (ITP), myocarditis); potentially life-threatening events (e.g. anaphylaxis); and/or persistent or significant disability (e.g. Guillain-Barré Syndrome). These reactions do not include common expected local or systemic reactions known to occur within the first few days after vaccination. </w:t>
      </w:r>
    </w:p>
    <w:p w14:paraId="7CD1FB73" w14:textId="77777777" w:rsidR="002913B0" w:rsidRPr="007B211A" w:rsidRDefault="002913B0" w:rsidP="00FC0B43">
      <w:pPr>
        <w:rPr>
          <w:lang w:val="en-US"/>
        </w:rPr>
      </w:pPr>
      <w:r w:rsidRPr="007B211A">
        <w:t>Attributing a serious adverse event to a previous dose of a COVID-19 vaccine may require discussion with the individual's GP, local immunisation service or relevant medical specialist.</w:t>
      </w:r>
    </w:p>
    <w:p w14:paraId="1EA8563A" w14:textId="77777777" w:rsidR="002913B0" w:rsidRPr="007B211A" w:rsidRDefault="002913B0" w:rsidP="002913B0">
      <w:pPr>
        <w:pStyle w:val="Heading2"/>
      </w:pPr>
      <w:r w:rsidRPr="007B211A">
        <w:t>Duration of temporary exemption for acute major medical illness</w:t>
      </w:r>
    </w:p>
    <w:p w14:paraId="3B00B4D4" w14:textId="6E9E1654" w:rsidR="002913B0" w:rsidRPr="007B211A" w:rsidRDefault="002913B0" w:rsidP="00FC0B43">
      <w:r>
        <w:t>Temporary exemptions for acute major medical illness for longer than 6 months are NOT recommended in the first instance, as they should be reviewed as the individual recovers from their acute major medical illness. This time limitation will allow individuals who can safely be vaccinated to be protected against COVID-19 in a timely way.</w:t>
      </w:r>
    </w:p>
    <w:p w14:paraId="252606FA" w14:textId="77777777" w:rsidR="002913B0" w:rsidRPr="007B211A" w:rsidRDefault="002913B0" w:rsidP="00FC0B43">
      <w:r w:rsidRPr="007B211A">
        <w:t>It may take a few weeks for any changes to an individual’s vaccine status to be updated on the AIR with regards to a temporary medical exemption.</w:t>
      </w:r>
    </w:p>
    <w:p w14:paraId="3EE6761E" w14:textId="77777777" w:rsidR="002913B0" w:rsidRPr="007B211A" w:rsidRDefault="002913B0" w:rsidP="00FC0B43">
      <w:r w:rsidRPr="007B211A">
        <w:t>It should also be noted that an individual may not be optimally protected from COVID-19 until they have completed the recommended vaccine schedule and this temporary exemption may need to be reconsidered depending on the SARS-CoV-2 epidemiology at the time.</w:t>
      </w:r>
    </w:p>
    <w:p w14:paraId="2A4E39D0" w14:textId="77777777" w:rsidR="002913B0" w:rsidRPr="007B211A" w:rsidRDefault="002913B0" w:rsidP="00FC0B43">
      <w:r w:rsidRPr="007B211A">
        <w:t>Temporary medical exemptions can only be completed by those authorised to do so (AIR medical exemption criteria), utilising their Medicare provider number.</w:t>
      </w:r>
    </w:p>
    <w:p w14:paraId="160C9D08" w14:textId="77777777" w:rsidR="002913B0" w:rsidRPr="007B211A" w:rsidRDefault="002913B0" w:rsidP="002913B0">
      <w:pPr>
        <w:pStyle w:val="Heading2"/>
      </w:pPr>
      <w:r w:rsidRPr="007B211A">
        <w:t>More information</w:t>
      </w:r>
    </w:p>
    <w:p w14:paraId="72B56E45" w14:textId="72D46CA3" w:rsidR="00AB67E0" w:rsidRPr="0026608F" w:rsidRDefault="002913B0" w:rsidP="47EE9D10">
      <w:r w:rsidRPr="0026608F">
        <w:t>The Australian Immunisation Handbook</w:t>
      </w:r>
      <w:r w:rsidRPr="0026608F">
        <w:rPr>
          <w:rStyle w:val="Hyperlink"/>
          <w:lang w:val="en-US"/>
        </w:rPr>
        <w:t xml:space="preserve">: </w:t>
      </w:r>
      <w:hyperlink r:id="rId16" w:history="1">
        <w:r w:rsidR="00AB67E0" w:rsidRPr="0026608F">
          <w:rPr>
            <w:rStyle w:val="Hyperlink"/>
            <w:lang w:val="en-US"/>
          </w:rPr>
          <w:t>https://immunisationhandbook.health.gov.au/contents/vaccine-preventable-diseases/covid-19</w:t>
        </w:r>
      </w:hyperlink>
    </w:p>
    <w:p w14:paraId="20178834" w14:textId="18F9A9F9" w:rsidR="002913B0" w:rsidRPr="009001B7" w:rsidRDefault="002913B0" w:rsidP="00FC0B43">
      <w:r w:rsidRPr="0026608F">
        <w:t xml:space="preserve">How to report an AEFI: </w:t>
      </w:r>
      <w:r w:rsidR="25C59C30" w:rsidRPr="0026608F">
        <w:t xml:space="preserve"> </w:t>
      </w:r>
      <w:hyperlink r:id="rId17" w:history="1">
        <w:r w:rsidR="0026608F" w:rsidRPr="005251F4">
          <w:rPr>
            <w:rStyle w:val="Hyperlink"/>
          </w:rPr>
          <w:t>https://www.tga.gov.au/resources/resource/forms/national-adverse-events-following-immunisation-aefi-reporting-form</w:t>
        </w:r>
      </w:hyperlink>
      <w:r w:rsidR="0026608F">
        <w:t xml:space="preserve"> </w:t>
      </w:r>
    </w:p>
    <w:sectPr w:rsidR="002913B0" w:rsidRPr="009001B7" w:rsidSect="00D6754A">
      <w:footerReference w:type="default" r:id="rId18"/>
      <w:headerReference w:type="first" r:id="rId19"/>
      <w:pgSz w:w="11906" w:h="16838"/>
      <w:pgMar w:top="993" w:right="1394" w:bottom="961" w:left="1440" w:header="708"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AFC4" w14:textId="77777777" w:rsidR="006867BD" w:rsidRDefault="006867BD" w:rsidP="00F702C3">
      <w:r>
        <w:separator/>
      </w:r>
    </w:p>
  </w:endnote>
  <w:endnote w:type="continuationSeparator" w:id="0">
    <w:p w14:paraId="6BC7C14D" w14:textId="77777777" w:rsidR="006867BD" w:rsidRDefault="006867BD" w:rsidP="00F702C3">
      <w:r>
        <w:continuationSeparator/>
      </w:r>
    </w:p>
  </w:endnote>
  <w:endnote w:type="continuationNotice" w:id="1">
    <w:p w14:paraId="2E464CAF" w14:textId="77777777" w:rsidR="006867BD" w:rsidRDefault="006867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altName w:val="Tahoma"/>
    <w:panose1 w:val="00000000000000000000"/>
    <w:charset w:val="4D"/>
    <w:family w:val="auto"/>
    <w:notTrueType/>
    <w:pitch w:val="variable"/>
    <w:sig w:usb0="00000001"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 w:name="Proxima Nova Medium">
    <w:panose1 w:val="00000000000000000000"/>
    <w:charset w:val="00"/>
    <w:family w:val="auto"/>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B8F1" w14:textId="70A44A13" w:rsidR="005B5D02" w:rsidRPr="00D6754A" w:rsidRDefault="0031074A" w:rsidP="00D6754A">
    <w:pPr>
      <w:rPr>
        <w:sz w:val="18"/>
        <w:szCs w:val="16"/>
      </w:rPr>
    </w:pPr>
    <w:r>
      <w:rPr>
        <w:color w:val="000000" w:themeColor="text1"/>
        <w:spacing w:val="0"/>
        <w:sz w:val="18"/>
        <w:szCs w:val="18"/>
        <w:lang w:val="en-GB"/>
      </w:rPr>
      <w:tab/>
    </w:r>
    <w:r w:rsidR="005B5D02" w:rsidRPr="00D6754A">
      <w:rPr>
        <w:color w:val="000000" w:themeColor="text1"/>
        <w:spacing w:val="0"/>
        <w:sz w:val="18"/>
        <w:szCs w:val="18"/>
        <w:lang w:val="en-GB"/>
      </w:rPr>
      <w:tab/>
    </w:r>
    <w:r w:rsidR="005B5D02" w:rsidRPr="00D6754A">
      <w:rPr>
        <w:color w:val="000000" w:themeColor="text1"/>
        <w:spacing w:val="0"/>
        <w:sz w:val="18"/>
        <w:szCs w:val="18"/>
        <w:lang w:val="en-GB"/>
      </w:rPr>
      <w:tab/>
    </w:r>
    <w:r w:rsidR="005B5D02" w:rsidRPr="00D6754A">
      <w:rPr>
        <w:color w:val="000000" w:themeColor="text1"/>
        <w:spacing w:val="0"/>
        <w:sz w:val="18"/>
        <w:szCs w:val="18"/>
        <w:lang w:val="en-GB"/>
      </w:rPr>
      <w:tab/>
    </w:r>
    <w:r w:rsidR="005B5D02" w:rsidRPr="00D6754A">
      <w:rPr>
        <w:color w:val="000000" w:themeColor="text1"/>
        <w:spacing w:val="0"/>
        <w:sz w:val="18"/>
        <w:szCs w:val="18"/>
        <w:lang w:val="en-GB"/>
      </w:rPr>
      <w:tab/>
    </w:r>
    <w:r w:rsidR="005B5D02" w:rsidRPr="00D6754A">
      <w:rPr>
        <w:color w:val="000000" w:themeColor="text1"/>
        <w:spacing w:val="0"/>
        <w:sz w:val="18"/>
        <w:szCs w:val="18"/>
        <w:lang w:val="en-GB"/>
      </w:rPr>
      <w:tab/>
    </w:r>
    <w:r w:rsidR="005B5D02" w:rsidRPr="00D6754A">
      <w:rPr>
        <w:color w:val="000000" w:themeColor="text1"/>
        <w:spacing w:val="0"/>
        <w:sz w:val="18"/>
        <w:szCs w:val="18"/>
        <w:lang w:val="en-GB"/>
      </w:rPr>
      <w:tab/>
    </w:r>
    <w:r w:rsidR="005B5D02" w:rsidRPr="00D6754A">
      <w:rPr>
        <w:color w:val="000000" w:themeColor="text1"/>
        <w:spacing w:val="0"/>
        <w:sz w:val="18"/>
        <w:szCs w:val="18"/>
        <w:lang w:val="en-GB"/>
      </w:rPr>
      <w:tab/>
    </w:r>
    <w:r w:rsidR="005B5D02" w:rsidRPr="00D6754A">
      <w:rPr>
        <w:color w:val="000000" w:themeColor="text1"/>
        <w:spacing w:val="0"/>
        <w:sz w:val="18"/>
        <w:szCs w:val="18"/>
        <w:lang w:val="en-GB"/>
      </w:rPr>
      <w:tab/>
    </w:r>
    <w:r w:rsidR="005B5D02" w:rsidRPr="00D6754A">
      <w:rPr>
        <w:color w:val="000000" w:themeColor="text1"/>
        <w:spacing w:val="0"/>
        <w:sz w:val="18"/>
        <w:szCs w:val="18"/>
        <w:lang w:val="en-GB"/>
      </w:rPr>
      <w:tab/>
    </w:r>
    <w:r w:rsidR="005B5D02" w:rsidRPr="00D6754A">
      <w:rPr>
        <w:color w:val="000000" w:themeColor="text1"/>
        <w:spacing w:val="0"/>
        <w:sz w:val="18"/>
        <w:szCs w:val="18"/>
        <w:lang w:val="en-GB"/>
      </w:rPr>
      <w:tab/>
      <w:t xml:space="preserve">Page </w:t>
    </w:r>
    <w:r w:rsidR="005B5D02" w:rsidRPr="00D6754A">
      <w:rPr>
        <w:color w:val="000000" w:themeColor="text1"/>
        <w:spacing w:val="0"/>
        <w:sz w:val="18"/>
        <w:szCs w:val="18"/>
        <w:lang w:val="en-GB"/>
      </w:rPr>
      <w:fldChar w:fldCharType="begin"/>
    </w:r>
    <w:r w:rsidR="005B5D02" w:rsidRPr="00D6754A">
      <w:rPr>
        <w:color w:val="000000" w:themeColor="text1"/>
        <w:spacing w:val="0"/>
        <w:sz w:val="18"/>
        <w:szCs w:val="18"/>
        <w:lang w:val="en-GB"/>
      </w:rPr>
      <w:instrText xml:space="preserve"> PAGE   \* MERGEFORMAT </w:instrText>
    </w:r>
    <w:r w:rsidR="005B5D02" w:rsidRPr="00D6754A">
      <w:rPr>
        <w:color w:val="000000" w:themeColor="text1"/>
        <w:spacing w:val="0"/>
        <w:sz w:val="18"/>
        <w:szCs w:val="18"/>
        <w:lang w:val="en-GB"/>
      </w:rPr>
      <w:fldChar w:fldCharType="separate"/>
    </w:r>
    <w:r w:rsidR="00AB789E">
      <w:rPr>
        <w:noProof/>
        <w:color w:val="000000" w:themeColor="text1"/>
        <w:spacing w:val="0"/>
        <w:sz w:val="18"/>
        <w:szCs w:val="18"/>
        <w:lang w:val="en-GB"/>
      </w:rPr>
      <w:t>3</w:t>
    </w:r>
    <w:r w:rsidR="005B5D02" w:rsidRPr="00D6754A">
      <w:rPr>
        <w:noProof/>
        <w:color w:val="000000" w:themeColor="text1"/>
        <w:spacing w:val="0"/>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E14C" w14:textId="77777777" w:rsidR="006867BD" w:rsidRDefault="006867BD" w:rsidP="00F702C3">
      <w:r>
        <w:separator/>
      </w:r>
    </w:p>
  </w:footnote>
  <w:footnote w:type="continuationSeparator" w:id="0">
    <w:p w14:paraId="2F9E78AF" w14:textId="77777777" w:rsidR="006867BD" w:rsidRDefault="006867BD" w:rsidP="00F702C3">
      <w:r>
        <w:continuationSeparator/>
      </w:r>
    </w:p>
  </w:footnote>
  <w:footnote w:type="continuationNotice" w:id="1">
    <w:p w14:paraId="2FC5CBF0" w14:textId="77777777" w:rsidR="006867BD" w:rsidRDefault="006867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AF7B" w14:textId="7112C228" w:rsidR="005B5D02" w:rsidRDefault="005B5D02">
    <w:pPr>
      <w:pStyle w:val="Header"/>
    </w:pPr>
    <w:r>
      <w:rPr>
        <w:noProof/>
        <w:lang w:eastAsia="en-AU"/>
      </w:rPr>
      <w:drawing>
        <wp:anchor distT="0" distB="0" distL="114300" distR="114300" simplePos="0" relativeHeight="251658240" behindDoc="1" locked="1" layoutInCell="1" allowOverlap="1" wp14:anchorId="77AF5C68" wp14:editId="04B91BF0">
          <wp:simplePos x="0" y="0"/>
          <wp:positionH relativeFrom="page">
            <wp:posOffset>180975</wp:posOffset>
          </wp:positionH>
          <wp:positionV relativeFrom="page">
            <wp:posOffset>181610</wp:posOffset>
          </wp:positionV>
          <wp:extent cx="7192645" cy="1217930"/>
          <wp:effectExtent l="0" t="0" r="8255" b="1270"/>
          <wp:wrapNone/>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2645" cy="1217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E09A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B260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28D1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FEAF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42F3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C4E1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27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164970"/>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5FE44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7A12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54CB6"/>
    <w:multiLevelType w:val="hybridMultilevel"/>
    <w:tmpl w:val="3650EC3E"/>
    <w:lvl w:ilvl="0" w:tplc="85521D32">
      <w:start w:val="14"/>
      <w:numFmt w:val="bullet"/>
      <w:lvlText w:val=""/>
      <w:lvlJc w:val="left"/>
      <w:pPr>
        <w:ind w:left="720" w:hanging="360"/>
      </w:pPr>
      <w:rPr>
        <w:rFonts w:ascii="Symbol" w:eastAsia="Times New Roman" w:hAnsi="Symbol" w:cs="Arial" w:hint="default"/>
      </w:rPr>
    </w:lvl>
    <w:lvl w:ilvl="1" w:tplc="0E063A3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440BE6"/>
    <w:multiLevelType w:val="hybridMultilevel"/>
    <w:tmpl w:val="62E44EAE"/>
    <w:lvl w:ilvl="0" w:tplc="19321364">
      <w:start w:val="3"/>
      <w:numFmt w:val="bullet"/>
      <w:lvlText w:val="-"/>
      <w:lvlJc w:val="left"/>
      <w:pPr>
        <w:ind w:left="473" w:hanging="360"/>
      </w:pPr>
      <w:rPr>
        <w:rFonts w:ascii="Calibri" w:eastAsia="Times New Roman" w:hAnsi="Calibri" w:cstheme="minorHAns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33202344"/>
    <w:multiLevelType w:val="hybridMultilevel"/>
    <w:tmpl w:val="32E03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503237"/>
    <w:multiLevelType w:val="hybridMultilevel"/>
    <w:tmpl w:val="9C5CFE38"/>
    <w:lvl w:ilvl="0" w:tplc="A0322618">
      <w:start w:val="1"/>
      <w:numFmt w:val="lowerLetter"/>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4F4DC6"/>
    <w:multiLevelType w:val="hybridMultilevel"/>
    <w:tmpl w:val="843C6FCC"/>
    <w:lvl w:ilvl="0" w:tplc="049AD852">
      <w:start w:val="1"/>
      <w:numFmt w:val="bullet"/>
      <w:lvlText w:val=""/>
      <w:lvlJc w:val="left"/>
      <w:pPr>
        <w:ind w:left="340" w:hanging="340"/>
      </w:pPr>
      <w:rPr>
        <w:rFonts w:ascii="Symbol" w:hAnsi="Symbol" w:hint="default"/>
      </w:rPr>
    </w:lvl>
    <w:lvl w:ilvl="1" w:tplc="77E65894">
      <w:start w:val="1"/>
      <w:numFmt w:val="bullet"/>
      <w:lvlText w:val="o"/>
      <w:lvlJc w:val="left"/>
      <w:pPr>
        <w:ind w:left="907"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CA1799"/>
    <w:multiLevelType w:val="hybridMultilevel"/>
    <w:tmpl w:val="F90AA350"/>
    <w:lvl w:ilvl="0" w:tplc="70225E06">
      <w:start w:val="1"/>
      <w:numFmt w:val="bullet"/>
      <w:lvlText w:val=""/>
      <w:lvlJc w:val="left"/>
      <w:pPr>
        <w:ind w:left="360" w:hanging="360"/>
      </w:pPr>
      <w:rPr>
        <w:rFonts w:ascii="Symbol" w:hAnsi="Symbol" w:hint="default"/>
      </w:rPr>
    </w:lvl>
    <w:lvl w:ilvl="1" w:tplc="6888AE44" w:tentative="1">
      <w:start w:val="1"/>
      <w:numFmt w:val="bullet"/>
      <w:lvlText w:val="o"/>
      <w:lvlJc w:val="left"/>
      <w:pPr>
        <w:ind w:left="1080" w:hanging="360"/>
      </w:pPr>
      <w:rPr>
        <w:rFonts w:ascii="Courier New" w:hAnsi="Courier New" w:hint="default"/>
      </w:rPr>
    </w:lvl>
    <w:lvl w:ilvl="2" w:tplc="DF64A70C" w:tentative="1">
      <w:start w:val="1"/>
      <w:numFmt w:val="bullet"/>
      <w:lvlText w:val=""/>
      <w:lvlJc w:val="left"/>
      <w:pPr>
        <w:ind w:left="1800" w:hanging="360"/>
      </w:pPr>
      <w:rPr>
        <w:rFonts w:ascii="Wingdings" w:hAnsi="Wingdings" w:hint="default"/>
      </w:rPr>
    </w:lvl>
    <w:lvl w:ilvl="3" w:tplc="2BF48B84" w:tentative="1">
      <w:start w:val="1"/>
      <w:numFmt w:val="bullet"/>
      <w:lvlText w:val=""/>
      <w:lvlJc w:val="left"/>
      <w:pPr>
        <w:ind w:left="2520" w:hanging="360"/>
      </w:pPr>
      <w:rPr>
        <w:rFonts w:ascii="Symbol" w:hAnsi="Symbol" w:hint="default"/>
      </w:rPr>
    </w:lvl>
    <w:lvl w:ilvl="4" w:tplc="D708D2BE" w:tentative="1">
      <w:start w:val="1"/>
      <w:numFmt w:val="bullet"/>
      <w:lvlText w:val="o"/>
      <w:lvlJc w:val="left"/>
      <w:pPr>
        <w:ind w:left="3240" w:hanging="360"/>
      </w:pPr>
      <w:rPr>
        <w:rFonts w:ascii="Courier New" w:hAnsi="Courier New" w:hint="default"/>
      </w:rPr>
    </w:lvl>
    <w:lvl w:ilvl="5" w:tplc="5D202386" w:tentative="1">
      <w:start w:val="1"/>
      <w:numFmt w:val="bullet"/>
      <w:lvlText w:val=""/>
      <w:lvlJc w:val="left"/>
      <w:pPr>
        <w:ind w:left="3960" w:hanging="360"/>
      </w:pPr>
      <w:rPr>
        <w:rFonts w:ascii="Wingdings" w:hAnsi="Wingdings" w:hint="default"/>
      </w:rPr>
    </w:lvl>
    <w:lvl w:ilvl="6" w:tplc="1E921DEE" w:tentative="1">
      <w:start w:val="1"/>
      <w:numFmt w:val="bullet"/>
      <w:lvlText w:val=""/>
      <w:lvlJc w:val="left"/>
      <w:pPr>
        <w:ind w:left="4680" w:hanging="360"/>
      </w:pPr>
      <w:rPr>
        <w:rFonts w:ascii="Symbol" w:hAnsi="Symbol" w:hint="default"/>
      </w:rPr>
    </w:lvl>
    <w:lvl w:ilvl="7" w:tplc="A96C1ACE" w:tentative="1">
      <w:start w:val="1"/>
      <w:numFmt w:val="bullet"/>
      <w:lvlText w:val="o"/>
      <w:lvlJc w:val="left"/>
      <w:pPr>
        <w:ind w:left="5400" w:hanging="360"/>
      </w:pPr>
      <w:rPr>
        <w:rFonts w:ascii="Courier New" w:hAnsi="Courier New" w:hint="default"/>
      </w:rPr>
    </w:lvl>
    <w:lvl w:ilvl="8" w:tplc="AE9660E2" w:tentative="1">
      <w:start w:val="1"/>
      <w:numFmt w:val="bullet"/>
      <w:lvlText w:val=""/>
      <w:lvlJc w:val="left"/>
      <w:pPr>
        <w:ind w:left="6120" w:hanging="360"/>
      </w:pPr>
      <w:rPr>
        <w:rFonts w:ascii="Wingdings" w:hAnsi="Wingdings" w:hint="default"/>
      </w:rPr>
    </w:lvl>
  </w:abstractNum>
  <w:abstractNum w:abstractNumId="16" w15:restartNumberingAfterBreak="0">
    <w:nsid w:val="73BA06C0"/>
    <w:multiLevelType w:val="hybridMultilevel"/>
    <w:tmpl w:val="6E2C114A"/>
    <w:lvl w:ilvl="0" w:tplc="62AA8B2E">
      <w:start w:val="14"/>
      <w:numFmt w:val="bullet"/>
      <w:pStyle w:val="bulletpoin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7476BD"/>
    <w:multiLevelType w:val="hybridMultilevel"/>
    <w:tmpl w:val="91E46758"/>
    <w:lvl w:ilvl="0" w:tplc="9CD8B3D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44455197">
    <w:abstractNumId w:val="16"/>
  </w:num>
  <w:num w:numId="2" w16cid:durableId="671763692">
    <w:abstractNumId w:val="10"/>
  </w:num>
  <w:num w:numId="3" w16cid:durableId="1619097287">
    <w:abstractNumId w:val="13"/>
  </w:num>
  <w:num w:numId="4" w16cid:durableId="2097313492">
    <w:abstractNumId w:val="15"/>
  </w:num>
  <w:num w:numId="5" w16cid:durableId="715204237">
    <w:abstractNumId w:val="17"/>
  </w:num>
  <w:num w:numId="6" w16cid:durableId="1390955624">
    <w:abstractNumId w:val="13"/>
  </w:num>
  <w:num w:numId="7" w16cid:durableId="2144300427">
    <w:abstractNumId w:val="13"/>
  </w:num>
  <w:num w:numId="8" w16cid:durableId="578514684">
    <w:abstractNumId w:val="11"/>
  </w:num>
  <w:num w:numId="9" w16cid:durableId="32390438">
    <w:abstractNumId w:val="12"/>
  </w:num>
  <w:num w:numId="10" w16cid:durableId="217060982">
    <w:abstractNumId w:val="14"/>
  </w:num>
  <w:num w:numId="11" w16cid:durableId="1754934120">
    <w:abstractNumId w:val="9"/>
  </w:num>
  <w:num w:numId="12" w16cid:durableId="331447697">
    <w:abstractNumId w:val="7"/>
  </w:num>
  <w:num w:numId="13" w16cid:durableId="1368528181">
    <w:abstractNumId w:val="6"/>
  </w:num>
  <w:num w:numId="14" w16cid:durableId="1209221758">
    <w:abstractNumId w:val="5"/>
  </w:num>
  <w:num w:numId="15" w16cid:durableId="2068145733">
    <w:abstractNumId w:val="4"/>
  </w:num>
  <w:num w:numId="16" w16cid:durableId="1401826359">
    <w:abstractNumId w:val="8"/>
  </w:num>
  <w:num w:numId="17" w16cid:durableId="1755665033">
    <w:abstractNumId w:val="3"/>
  </w:num>
  <w:num w:numId="18" w16cid:durableId="92551448">
    <w:abstractNumId w:val="2"/>
  </w:num>
  <w:num w:numId="19" w16cid:durableId="1804041127">
    <w:abstractNumId w:val="1"/>
  </w:num>
  <w:num w:numId="20" w16cid:durableId="1241671949">
    <w:abstractNumId w:val="0"/>
  </w:num>
  <w:num w:numId="21" w16cid:durableId="10974829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C3"/>
    <w:rsid w:val="00000E56"/>
    <w:rsid w:val="000021A6"/>
    <w:rsid w:val="000057DA"/>
    <w:rsid w:val="00016FF3"/>
    <w:rsid w:val="0002751F"/>
    <w:rsid w:val="00041FB2"/>
    <w:rsid w:val="0005179C"/>
    <w:rsid w:val="00053FD6"/>
    <w:rsid w:val="00054371"/>
    <w:rsid w:val="000577F9"/>
    <w:rsid w:val="00061651"/>
    <w:rsid w:val="000667B0"/>
    <w:rsid w:val="000671BF"/>
    <w:rsid w:val="00067974"/>
    <w:rsid w:val="00071D56"/>
    <w:rsid w:val="000721D3"/>
    <w:rsid w:val="00077B6E"/>
    <w:rsid w:val="00081B0D"/>
    <w:rsid w:val="00082B83"/>
    <w:rsid w:val="000847EA"/>
    <w:rsid w:val="00085563"/>
    <w:rsid w:val="000861ED"/>
    <w:rsid w:val="000863DF"/>
    <w:rsid w:val="00087271"/>
    <w:rsid w:val="000B24AB"/>
    <w:rsid w:val="000B3687"/>
    <w:rsid w:val="000B590C"/>
    <w:rsid w:val="000C0606"/>
    <w:rsid w:val="000C15E9"/>
    <w:rsid w:val="000C5CE5"/>
    <w:rsid w:val="000C6C12"/>
    <w:rsid w:val="000C6F02"/>
    <w:rsid w:val="000D1F68"/>
    <w:rsid w:val="000D3BE3"/>
    <w:rsid w:val="000D6370"/>
    <w:rsid w:val="000D63F9"/>
    <w:rsid w:val="000D6BF3"/>
    <w:rsid w:val="000D70DD"/>
    <w:rsid w:val="000E401E"/>
    <w:rsid w:val="000F305C"/>
    <w:rsid w:val="000F5480"/>
    <w:rsid w:val="000F5D17"/>
    <w:rsid w:val="000F68BF"/>
    <w:rsid w:val="000F7E5B"/>
    <w:rsid w:val="00102B7D"/>
    <w:rsid w:val="00102F1C"/>
    <w:rsid w:val="00104F28"/>
    <w:rsid w:val="001060B9"/>
    <w:rsid w:val="0011176A"/>
    <w:rsid w:val="00124B98"/>
    <w:rsid w:val="00130932"/>
    <w:rsid w:val="00131A53"/>
    <w:rsid w:val="00133B9F"/>
    <w:rsid w:val="001378DC"/>
    <w:rsid w:val="00144379"/>
    <w:rsid w:val="001464A9"/>
    <w:rsid w:val="001475F9"/>
    <w:rsid w:val="001478C1"/>
    <w:rsid w:val="0015517F"/>
    <w:rsid w:val="00157EC6"/>
    <w:rsid w:val="001603E8"/>
    <w:rsid w:val="0016398F"/>
    <w:rsid w:val="00164B6A"/>
    <w:rsid w:val="00170063"/>
    <w:rsid w:val="00170614"/>
    <w:rsid w:val="0017217C"/>
    <w:rsid w:val="00176B18"/>
    <w:rsid w:val="00180D2D"/>
    <w:rsid w:val="00180FC2"/>
    <w:rsid w:val="0018199F"/>
    <w:rsid w:val="00181C4D"/>
    <w:rsid w:val="00190C0F"/>
    <w:rsid w:val="00191683"/>
    <w:rsid w:val="00194D46"/>
    <w:rsid w:val="00196D0F"/>
    <w:rsid w:val="00196F46"/>
    <w:rsid w:val="001A0384"/>
    <w:rsid w:val="001A32AB"/>
    <w:rsid w:val="001B09E8"/>
    <w:rsid w:val="001B1F56"/>
    <w:rsid w:val="001B779F"/>
    <w:rsid w:val="001C1A91"/>
    <w:rsid w:val="001C1C52"/>
    <w:rsid w:val="001C4C10"/>
    <w:rsid w:val="001D1F9A"/>
    <w:rsid w:val="001D4039"/>
    <w:rsid w:val="001E123B"/>
    <w:rsid w:val="001F05CB"/>
    <w:rsid w:val="001F7F81"/>
    <w:rsid w:val="002004B8"/>
    <w:rsid w:val="00201E77"/>
    <w:rsid w:val="002022C9"/>
    <w:rsid w:val="002044D2"/>
    <w:rsid w:val="00216730"/>
    <w:rsid w:val="00216940"/>
    <w:rsid w:val="002212F0"/>
    <w:rsid w:val="00226B53"/>
    <w:rsid w:val="00231647"/>
    <w:rsid w:val="0023179A"/>
    <w:rsid w:val="002330A7"/>
    <w:rsid w:val="002333C6"/>
    <w:rsid w:val="00240533"/>
    <w:rsid w:val="00242FAE"/>
    <w:rsid w:val="00261A64"/>
    <w:rsid w:val="00262A9E"/>
    <w:rsid w:val="0026335B"/>
    <w:rsid w:val="00264AFA"/>
    <w:rsid w:val="0026608F"/>
    <w:rsid w:val="00271644"/>
    <w:rsid w:val="00272216"/>
    <w:rsid w:val="00272304"/>
    <w:rsid w:val="002728C7"/>
    <w:rsid w:val="002729BA"/>
    <w:rsid w:val="00276263"/>
    <w:rsid w:val="0027722F"/>
    <w:rsid w:val="00281B5B"/>
    <w:rsid w:val="00283567"/>
    <w:rsid w:val="002872E5"/>
    <w:rsid w:val="00287EB4"/>
    <w:rsid w:val="002913B0"/>
    <w:rsid w:val="00294041"/>
    <w:rsid w:val="00294C8A"/>
    <w:rsid w:val="002A5A9B"/>
    <w:rsid w:val="002A5D57"/>
    <w:rsid w:val="002B204E"/>
    <w:rsid w:val="002C0D33"/>
    <w:rsid w:val="002C18BA"/>
    <w:rsid w:val="002C2FEA"/>
    <w:rsid w:val="002C4DD8"/>
    <w:rsid w:val="002C52DC"/>
    <w:rsid w:val="002D6B24"/>
    <w:rsid w:val="002E04DD"/>
    <w:rsid w:val="002E0B2F"/>
    <w:rsid w:val="002E2B60"/>
    <w:rsid w:val="002E4666"/>
    <w:rsid w:val="002F2121"/>
    <w:rsid w:val="002F2C68"/>
    <w:rsid w:val="002F333A"/>
    <w:rsid w:val="002F5969"/>
    <w:rsid w:val="002F7978"/>
    <w:rsid w:val="00303C0C"/>
    <w:rsid w:val="003041F1"/>
    <w:rsid w:val="00304DED"/>
    <w:rsid w:val="0031074A"/>
    <w:rsid w:val="00313C2D"/>
    <w:rsid w:val="00314FDE"/>
    <w:rsid w:val="003245AD"/>
    <w:rsid w:val="0032562A"/>
    <w:rsid w:val="00326176"/>
    <w:rsid w:val="0032719A"/>
    <w:rsid w:val="003331C5"/>
    <w:rsid w:val="00337436"/>
    <w:rsid w:val="003413A3"/>
    <w:rsid w:val="00343056"/>
    <w:rsid w:val="00352445"/>
    <w:rsid w:val="00357223"/>
    <w:rsid w:val="00363FA4"/>
    <w:rsid w:val="0036684C"/>
    <w:rsid w:val="0036721F"/>
    <w:rsid w:val="00375845"/>
    <w:rsid w:val="00382B0D"/>
    <w:rsid w:val="00383B60"/>
    <w:rsid w:val="00391176"/>
    <w:rsid w:val="003926A0"/>
    <w:rsid w:val="003A0ABC"/>
    <w:rsid w:val="003A36ED"/>
    <w:rsid w:val="003A4600"/>
    <w:rsid w:val="003B1E84"/>
    <w:rsid w:val="003B68C5"/>
    <w:rsid w:val="003C030D"/>
    <w:rsid w:val="003C08A5"/>
    <w:rsid w:val="003C299A"/>
    <w:rsid w:val="003C3B50"/>
    <w:rsid w:val="003C723D"/>
    <w:rsid w:val="003D29CD"/>
    <w:rsid w:val="003D2C23"/>
    <w:rsid w:val="003D5281"/>
    <w:rsid w:val="003D7651"/>
    <w:rsid w:val="003E0824"/>
    <w:rsid w:val="003E2D23"/>
    <w:rsid w:val="003E6191"/>
    <w:rsid w:val="003F0ACB"/>
    <w:rsid w:val="003F4BE1"/>
    <w:rsid w:val="003F67F0"/>
    <w:rsid w:val="003F7120"/>
    <w:rsid w:val="004015F2"/>
    <w:rsid w:val="00401D78"/>
    <w:rsid w:val="004037D0"/>
    <w:rsid w:val="0040688D"/>
    <w:rsid w:val="00410E50"/>
    <w:rsid w:val="00413F0A"/>
    <w:rsid w:val="0041540E"/>
    <w:rsid w:val="00420E5F"/>
    <w:rsid w:val="0042351C"/>
    <w:rsid w:val="004252F4"/>
    <w:rsid w:val="00430513"/>
    <w:rsid w:val="00433F5A"/>
    <w:rsid w:val="004350D6"/>
    <w:rsid w:val="00435C5D"/>
    <w:rsid w:val="004376E3"/>
    <w:rsid w:val="004400D1"/>
    <w:rsid w:val="00440265"/>
    <w:rsid w:val="00442375"/>
    <w:rsid w:val="0044614A"/>
    <w:rsid w:val="0045205A"/>
    <w:rsid w:val="0045218C"/>
    <w:rsid w:val="00454A40"/>
    <w:rsid w:val="00455A67"/>
    <w:rsid w:val="004561FB"/>
    <w:rsid w:val="00456A0F"/>
    <w:rsid w:val="004606FF"/>
    <w:rsid w:val="004653E7"/>
    <w:rsid w:val="004678A0"/>
    <w:rsid w:val="004723E4"/>
    <w:rsid w:val="004757B3"/>
    <w:rsid w:val="004765CF"/>
    <w:rsid w:val="00481763"/>
    <w:rsid w:val="00491989"/>
    <w:rsid w:val="00491F8F"/>
    <w:rsid w:val="0049241A"/>
    <w:rsid w:val="004A0891"/>
    <w:rsid w:val="004A7DF3"/>
    <w:rsid w:val="004B409C"/>
    <w:rsid w:val="004C06A4"/>
    <w:rsid w:val="004C0A7D"/>
    <w:rsid w:val="004C1184"/>
    <w:rsid w:val="004C2B03"/>
    <w:rsid w:val="004C5D2E"/>
    <w:rsid w:val="004C6C35"/>
    <w:rsid w:val="004D1382"/>
    <w:rsid w:val="004D73A1"/>
    <w:rsid w:val="004D7798"/>
    <w:rsid w:val="004E5062"/>
    <w:rsid w:val="004E66A3"/>
    <w:rsid w:val="004F0D4A"/>
    <w:rsid w:val="004F10E5"/>
    <w:rsid w:val="004F33BB"/>
    <w:rsid w:val="004F7492"/>
    <w:rsid w:val="004F76A2"/>
    <w:rsid w:val="005063D2"/>
    <w:rsid w:val="0051655E"/>
    <w:rsid w:val="00516F7A"/>
    <w:rsid w:val="005246F8"/>
    <w:rsid w:val="00525B77"/>
    <w:rsid w:val="00534A7E"/>
    <w:rsid w:val="00551139"/>
    <w:rsid w:val="00560E2D"/>
    <w:rsid w:val="00562611"/>
    <w:rsid w:val="00573A68"/>
    <w:rsid w:val="00573EA9"/>
    <w:rsid w:val="00583F33"/>
    <w:rsid w:val="00592124"/>
    <w:rsid w:val="005A42B5"/>
    <w:rsid w:val="005A497D"/>
    <w:rsid w:val="005A5B14"/>
    <w:rsid w:val="005B45E6"/>
    <w:rsid w:val="005B5D02"/>
    <w:rsid w:val="005C1270"/>
    <w:rsid w:val="005C42FA"/>
    <w:rsid w:val="005D772A"/>
    <w:rsid w:val="005E0F68"/>
    <w:rsid w:val="005E4138"/>
    <w:rsid w:val="005E5403"/>
    <w:rsid w:val="005F2D24"/>
    <w:rsid w:val="005F31C9"/>
    <w:rsid w:val="005F7EE2"/>
    <w:rsid w:val="00602CA4"/>
    <w:rsid w:val="0060503D"/>
    <w:rsid w:val="00606B8F"/>
    <w:rsid w:val="006104EC"/>
    <w:rsid w:val="006124CE"/>
    <w:rsid w:val="00612806"/>
    <w:rsid w:val="00616FCF"/>
    <w:rsid w:val="00620CE5"/>
    <w:rsid w:val="0063023E"/>
    <w:rsid w:val="0063404B"/>
    <w:rsid w:val="00647854"/>
    <w:rsid w:val="0064CE09"/>
    <w:rsid w:val="00650D61"/>
    <w:rsid w:val="006534E3"/>
    <w:rsid w:val="00653C89"/>
    <w:rsid w:val="00656D42"/>
    <w:rsid w:val="00661DC3"/>
    <w:rsid w:val="00663B02"/>
    <w:rsid w:val="0067193F"/>
    <w:rsid w:val="006760B7"/>
    <w:rsid w:val="006867BD"/>
    <w:rsid w:val="00694334"/>
    <w:rsid w:val="006948FC"/>
    <w:rsid w:val="00694EE0"/>
    <w:rsid w:val="006A2A03"/>
    <w:rsid w:val="006A3804"/>
    <w:rsid w:val="006A42E7"/>
    <w:rsid w:val="006A573E"/>
    <w:rsid w:val="006A6D81"/>
    <w:rsid w:val="006B06EF"/>
    <w:rsid w:val="006C3911"/>
    <w:rsid w:val="006D3ED8"/>
    <w:rsid w:val="006D49D5"/>
    <w:rsid w:val="006D4CCF"/>
    <w:rsid w:val="006E147D"/>
    <w:rsid w:val="006E2B7D"/>
    <w:rsid w:val="006F5E41"/>
    <w:rsid w:val="00713A41"/>
    <w:rsid w:val="00714974"/>
    <w:rsid w:val="00716E4B"/>
    <w:rsid w:val="007205CA"/>
    <w:rsid w:val="00726A23"/>
    <w:rsid w:val="00727C27"/>
    <w:rsid w:val="00732B47"/>
    <w:rsid w:val="00734DE0"/>
    <w:rsid w:val="0073541A"/>
    <w:rsid w:val="00736CDE"/>
    <w:rsid w:val="00751AA4"/>
    <w:rsid w:val="00761A5C"/>
    <w:rsid w:val="00761BDD"/>
    <w:rsid w:val="007647F6"/>
    <w:rsid w:val="00764DA7"/>
    <w:rsid w:val="00765926"/>
    <w:rsid w:val="00776678"/>
    <w:rsid w:val="0079042E"/>
    <w:rsid w:val="0079044E"/>
    <w:rsid w:val="00790923"/>
    <w:rsid w:val="007918AC"/>
    <w:rsid w:val="0079385F"/>
    <w:rsid w:val="0079728E"/>
    <w:rsid w:val="007A3592"/>
    <w:rsid w:val="007B211A"/>
    <w:rsid w:val="007B5D0F"/>
    <w:rsid w:val="007D27B2"/>
    <w:rsid w:val="007D3A4F"/>
    <w:rsid w:val="007D4F1B"/>
    <w:rsid w:val="007D6C30"/>
    <w:rsid w:val="007E79AC"/>
    <w:rsid w:val="007F0C37"/>
    <w:rsid w:val="007F12BC"/>
    <w:rsid w:val="007F5579"/>
    <w:rsid w:val="007F73A1"/>
    <w:rsid w:val="00801815"/>
    <w:rsid w:val="00810137"/>
    <w:rsid w:val="00810898"/>
    <w:rsid w:val="008112A6"/>
    <w:rsid w:val="008178A4"/>
    <w:rsid w:val="00827CB8"/>
    <w:rsid w:val="00830048"/>
    <w:rsid w:val="00834CFD"/>
    <w:rsid w:val="00835D09"/>
    <w:rsid w:val="00841D30"/>
    <w:rsid w:val="00852A3D"/>
    <w:rsid w:val="00853B4A"/>
    <w:rsid w:val="00855350"/>
    <w:rsid w:val="0085569C"/>
    <w:rsid w:val="008638CB"/>
    <w:rsid w:val="008659AA"/>
    <w:rsid w:val="00875F7A"/>
    <w:rsid w:val="00880B57"/>
    <w:rsid w:val="00892ABC"/>
    <w:rsid w:val="00896151"/>
    <w:rsid w:val="0089626A"/>
    <w:rsid w:val="008A3388"/>
    <w:rsid w:val="008A5596"/>
    <w:rsid w:val="008A6BC8"/>
    <w:rsid w:val="008B1E1E"/>
    <w:rsid w:val="008B34A2"/>
    <w:rsid w:val="008C0FB6"/>
    <w:rsid w:val="008C2DA7"/>
    <w:rsid w:val="008C3987"/>
    <w:rsid w:val="008C39F0"/>
    <w:rsid w:val="008C73A5"/>
    <w:rsid w:val="008C78F7"/>
    <w:rsid w:val="008D3160"/>
    <w:rsid w:val="008D5CEA"/>
    <w:rsid w:val="008D5E71"/>
    <w:rsid w:val="008D6089"/>
    <w:rsid w:val="008E249A"/>
    <w:rsid w:val="008E37FD"/>
    <w:rsid w:val="008E59DE"/>
    <w:rsid w:val="008F727A"/>
    <w:rsid w:val="00900238"/>
    <w:rsid w:val="00900918"/>
    <w:rsid w:val="009014F4"/>
    <w:rsid w:val="009078B6"/>
    <w:rsid w:val="009079B8"/>
    <w:rsid w:val="009119FE"/>
    <w:rsid w:val="00915A7B"/>
    <w:rsid w:val="00916EA5"/>
    <w:rsid w:val="009247D2"/>
    <w:rsid w:val="0093311B"/>
    <w:rsid w:val="00934903"/>
    <w:rsid w:val="009412C7"/>
    <w:rsid w:val="0094167C"/>
    <w:rsid w:val="00941E59"/>
    <w:rsid w:val="00944029"/>
    <w:rsid w:val="00945023"/>
    <w:rsid w:val="0094728C"/>
    <w:rsid w:val="00947497"/>
    <w:rsid w:val="0095153E"/>
    <w:rsid w:val="0095309C"/>
    <w:rsid w:val="00955AE7"/>
    <w:rsid w:val="00963371"/>
    <w:rsid w:val="00967AB7"/>
    <w:rsid w:val="00970A1E"/>
    <w:rsid w:val="009716DC"/>
    <w:rsid w:val="00974F8E"/>
    <w:rsid w:val="00976033"/>
    <w:rsid w:val="00985EE6"/>
    <w:rsid w:val="009914CD"/>
    <w:rsid w:val="00995F94"/>
    <w:rsid w:val="0099709C"/>
    <w:rsid w:val="009975C4"/>
    <w:rsid w:val="009A0FD9"/>
    <w:rsid w:val="009A2E87"/>
    <w:rsid w:val="009A5594"/>
    <w:rsid w:val="009B0460"/>
    <w:rsid w:val="009B13BF"/>
    <w:rsid w:val="009B41B6"/>
    <w:rsid w:val="009B5CA4"/>
    <w:rsid w:val="009C0BF3"/>
    <w:rsid w:val="009C1675"/>
    <w:rsid w:val="009C5FBC"/>
    <w:rsid w:val="009E150A"/>
    <w:rsid w:val="009E1610"/>
    <w:rsid w:val="009E2041"/>
    <w:rsid w:val="00A059FE"/>
    <w:rsid w:val="00A12723"/>
    <w:rsid w:val="00A237F5"/>
    <w:rsid w:val="00A24A53"/>
    <w:rsid w:val="00A24CE0"/>
    <w:rsid w:val="00A26DA9"/>
    <w:rsid w:val="00A30870"/>
    <w:rsid w:val="00A324A5"/>
    <w:rsid w:val="00A35AB4"/>
    <w:rsid w:val="00A37011"/>
    <w:rsid w:val="00A37B6E"/>
    <w:rsid w:val="00A57CC6"/>
    <w:rsid w:val="00A60AC5"/>
    <w:rsid w:val="00A70441"/>
    <w:rsid w:val="00A71768"/>
    <w:rsid w:val="00A71CFF"/>
    <w:rsid w:val="00A72A3C"/>
    <w:rsid w:val="00A76104"/>
    <w:rsid w:val="00A77860"/>
    <w:rsid w:val="00A82161"/>
    <w:rsid w:val="00A8618A"/>
    <w:rsid w:val="00A870C4"/>
    <w:rsid w:val="00A914EE"/>
    <w:rsid w:val="00A92FE2"/>
    <w:rsid w:val="00AA0B6C"/>
    <w:rsid w:val="00AA2F31"/>
    <w:rsid w:val="00AA37D8"/>
    <w:rsid w:val="00AA3C3B"/>
    <w:rsid w:val="00AA5527"/>
    <w:rsid w:val="00AB10D8"/>
    <w:rsid w:val="00AB33E9"/>
    <w:rsid w:val="00AB5D2C"/>
    <w:rsid w:val="00AB67E0"/>
    <w:rsid w:val="00AB6D71"/>
    <w:rsid w:val="00AB789E"/>
    <w:rsid w:val="00AB7AB2"/>
    <w:rsid w:val="00AC0F42"/>
    <w:rsid w:val="00AC41EB"/>
    <w:rsid w:val="00AD1126"/>
    <w:rsid w:val="00AD3F5F"/>
    <w:rsid w:val="00AD5EBF"/>
    <w:rsid w:val="00AD7590"/>
    <w:rsid w:val="00AD7E1C"/>
    <w:rsid w:val="00AE291D"/>
    <w:rsid w:val="00AE4110"/>
    <w:rsid w:val="00AF0012"/>
    <w:rsid w:val="00AF15AF"/>
    <w:rsid w:val="00AF3ACE"/>
    <w:rsid w:val="00AF3B38"/>
    <w:rsid w:val="00B03036"/>
    <w:rsid w:val="00B16DEC"/>
    <w:rsid w:val="00B21BA1"/>
    <w:rsid w:val="00B234FA"/>
    <w:rsid w:val="00B25484"/>
    <w:rsid w:val="00B336DD"/>
    <w:rsid w:val="00B341C2"/>
    <w:rsid w:val="00B42CE4"/>
    <w:rsid w:val="00B44583"/>
    <w:rsid w:val="00B46339"/>
    <w:rsid w:val="00B46D02"/>
    <w:rsid w:val="00B47CDB"/>
    <w:rsid w:val="00B602E5"/>
    <w:rsid w:val="00B70BDF"/>
    <w:rsid w:val="00B7114A"/>
    <w:rsid w:val="00B73F58"/>
    <w:rsid w:val="00B74180"/>
    <w:rsid w:val="00B77711"/>
    <w:rsid w:val="00B811AB"/>
    <w:rsid w:val="00B87E8E"/>
    <w:rsid w:val="00B9665C"/>
    <w:rsid w:val="00BA2F22"/>
    <w:rsid w:val="00BA3008"/>
    <w:rsid w:val="00BA5E64"/>
    <w:rsid w:val="00BA5F9E"/>
    <w:rsid w:val="00BA6705"/>
    <w:rsid w:val="00BB1139"/>
    <w:rsid w:val="00BB23C8"/>
    <w:rsid w:val="00BC06E4"/>
    <w:rsid w:val="00BC531B"/>
    <w:rsid w:val="00BC5E45"/>
    <w:rsid w:val="00BD2794"/>
    <w:rsid w:val="00BD2AA6"/>
    <w:rsid w:val="00BD65C9"/>
    <w:rsid w:val="00BE13FE"/>
    <w:rsid w:val="00BE1DC6"/>
    <w:rsid w:val="00BE28F1"/>
    <w:rsid w:val="00BE2980"/>
    <w:rsid w:val="00BE443C"/>
    <w:rsid w:val="00BF0764"/>
    <w:rsid w:val="00BF211A"/>
    <w:rsid w:val="00BF34CF"/>
    <w:rsid w:val="00BF587F"/>
    <w:rsid w:val="00C048B9"/>
    <w:rsid w:val="00C07EBE"/>
    <w:rsid w:val="00C07FB8"/>
    <w:rsid w:val="00C108B8"/>
    <w:rsid w:val="00C12579"/>
    <w:rsid w:val="00C16CA4"/>
    <w:rsid w:val="00C17E0D"/>
    <w:rsid w:val="00C268E1"/>
    <w:rsid w:val="00C33188"/>
    <w:rsid w:val="00C33E8A"/>
    <w:rsid w:val="00C3535B"/>
    <w:rsid w:val="00C379A5"/>
    <w:rsid w:val="00C52C38"/>
    <w:rsid w:val="00C70F22"/>
    <w:rsid w:val="00C741F5"/>
    <w:rsid w:val="00C75A82"/>
    <w:rsid w:val="00C80CD5"/>
    <w:rsid w:val="00C875C6"/>
    <w:rsid w:val="00C91096"/>
    <w:rsid w:val="00C914F2"/>
    <w:rsid w:val="00C92764"/>
    <w:rsid w:val="00CA2E98"/>
    <w:rsid w:val="00CA362F"/>
    <w:rsid w:val="00CA4515"/>
    <w:rsid w:val="00CA540A"/>
    <w:rsid w:val="00CB0E92"/>
    <w:rsid w:val="00CC0554"/>
    <w:rsid w:val="00CC7FEE"/>
    <w:rsid w:val="00CD037D"/>
    <w:rsid w:val="00CD36CE"/>
    <w:rsid w:val="00CE1E17"/>
    <w:rsid w:val="00CE3997"/>
    <w:rsid w:val="00CF4884"/>
    <w:rsid w:val="00CF4D9D"/>
    <w:rsid w:val="00D007F1"/>
    <w:rsid w:val="00D040E4"/>
    <w:rsid w:val="00D04771"/>
    <w:rsid w:val="00D15CE8"/>
    <w:rsid w:val="00D164B7"/>
    <w:rsid w:val="00D30AB5"/>
    <w:rsid w:val="00D32501"/>
    <w:rsid w:val="00D32C1E"/>
    <w:rsid w:val="00D36CD2"/>
    <w:rsid w:val="00D4086D"/>
    <w:rsid w:val="00D42351"/>
    <w:rsid w:val="00D4454B"/>
    <w:rsid w:val="00D468B5"/>
    <w:rsid w:val="00D4720F"/>
    <w:rsid w:val="00D4793A"/>
    <w:rsid w:val="00D5245B"/>
    <w:rsid w:val="00D541A6"/>
    <w:rsid w:val="00D56EF3"/>
    <w:rsid w:val="00D67077"/>
    <w:rsid w:val="00D6754A"/>
    <w:rsid w:val="00D72171"/>
    <w:rsid w:val="00D779CD"/>
    <w:rsid w:val="00D8113A"/>
    <w:rsid w:val="00D81BD7"/>
    <w:rsid w:val="00D8256A"/>
    <w:rsid w:val="00D82EAB"/>
    <w:rsid w:val="00D832FA"/>
    <w:rsid w:val="00D86AC0"/>
    <w:rsid w:val="00D94BAB"/>
    <w:rsid w:val="00D9572F"/>
    <w:rsid w:val="00D97297"/>
    <w:rsid w:val="00D9796D"/>
    <w:rsid w:val="00DA56D7"/>
    <w:rsid w:val="00DB0A48"/>
    <w:rsid w:val="00DB1AEC"/>
    <w:rsid w:val="00DB1FA9"/>
    <w:rsid w:val="00DB7944"/>
    <w:rsid w:val="00DC00B3"/>
    <w:rsid w:val="00DC1715"/>
    <w:rsid w:val="00DC2204"/>
    <w:rsid w:val="00DC6DF3"/>
    <w:rsid w:val="00DD1ABC"/>
    <w:rsid w:val="00DD5F69"/>
    <w:rsid w:val="00DD6517"/>
    <w:rsid w:val="00DD724F"/>
    <w:rsid w:val="00DE4FE7"/>
    <w:rsid w:val="00DF4C9A"/>
    <w:rsid w:val="00DF5C86"/>
    <w:rsid w:val="00DF7866"/>
    <w:rsid w:val="00E008F8"/>
    <w:rsid w:val="00E02884"/>
    <w:rsid w:val="00E0453D"/>
    <w:rsid w:val="00E12977"/>
    <w:rsid w:val="00E2020C"/>
    <w:rsid w:val="00E20CDD"/>
    <w:rsid w:val="00E21684"/>
    <w:rsid w:val="00E23A0A"/>
    <w:rsid w:val="00E24C8B"/>
    <w:rsid w:val="00E25945"/>
    <w:rsid w:val="00E276E4"/>
    <w:rsid w:val="00E30292"/>
    <w:rsid w:val="00E32877"/>
    <w:rsid w:val="00E352A0"/>
    <w:rsid w:val="00E41032"/>
    <w:rsid w:val="00E5198D"/>
    <w:rsid w:val="00E530CE"/>
    <w:rsid w:val="00E616EA"/>
    <w:rsid w:val="00E622BD"/>
    <w:rsid w:val="00E632A0"/>
    <w:rsid w:val="00E63AE9"/>
    <w:rsid w:val="00E81D36"/>
    <w:rsid w:val="00E86F9B"/>
    <w:rsid w:val="00E949D7"/>
    <w:rsid w:val="00E96E34"/>
    <w:rsid w:val="00EA36ED"/>
    <w:rsid w:val="00EA5CCE"/>
    <w:rsid w:val="00EB1655"/>
    <w:rsid w:val="00EB18C6"/>
    <w:rsid w:val="00EC00AA"/>
    <w:rsid w:val="00EC0330"/>
    <w:rsid w:val="00ED6333"/>
    <w:rsid w:val="00ED7EDB"/>
    <w:rsid w:val="00ED7F18"/>
    <w:rsid w:val="00EE2BC0"/>
    <w:rsid w:val="00EE6E09"/>
    <w:rsid w:val="00EF0216"/>
    <w:rsid w:val="00EF2B16"/>
    <w:rsid w:val="00EF455C"/>
    <w:rsid w:val="00EF768F"/>
    <w:rsid w:val="00F01B38"/>
    <w:rsid w:val="00F02177"/>
    <w:rsid w:val="00F0600A"/>
    <w:rsid w:val="00F1137D"/>
    <w:rsid w:val="00F14F33"/>
    <w:rsid w:val="00F16F6D"/>
    <w:rsid w:val="00F2091E"/>
    <w:rsid w:val="00F20EEB"/>
    <w:rsid w:val="00F33607"/>
    <w:rsid w:val="00F34C19"/>
    <w:rsid w:val="00F51304"/>
    <w:rsid w:val="00F51EBC"/>
    <w:rsid w:val="00F56D69"/>
    <w:rsid w:val="00F606B3"/>
    <w:rsid w:val="00F62168"/>
    <w:rsid w:val="00F6258D"/>
    <w:rsid w:val="00F63BF8"/>
    <w:rsid w:val="00F6611F"/>
    <w:rsid w:val="00F702C3"/>
    <w:rsid w:val="00F71BC6"/>
    <w:rsid w:val="00F7288B"/>
    <w:rsid w:val="00F734AF"/>
    <w:rsid w:val="00F736B9"/>
    <w:rsid w:val="00F73D24"/>
    <w:rsid w:val="00F76E65"/>
    <w:rsid w:val="00F85D75"/>
    <w:rsid w:val="00F873D2"/>
    <w:rsid w:val="00F93049"/>
    <w:rsid w:val="00F93056"/>
    <w:rsid w:val="00F95A0F"/>
    <w:rsid w:val="00F95EEB"/>
    <w:rsid w:val="00F95FF8"/>
    <w:rsid w:val="00FA5E01"/>
    <w:rsid w:val="00FA7AA6"/>
    <w:rsid w:val="00FB7DAB"/>
    <w:rsid w:val="00FC0B43"/>
    <w:rsid w:val="00FC7827"/>
    <w:rsid w:val="00FD35AC"/>
    <w:rsid w:val="00FD4333"/>
    <w:rsid w:val="00FF0940"/>
    <w:rsid w:val="00FF0FBC"/>
    <w:rsid w:val="00FF13CB"/>
    <w:rsid w:val="00FF2898"/>
    <w:rsid w:val="00FF4B5F"/>
    <w:rsid w:val="017D817C"/>
    <w:rsid w:val="02877F3E"/>
    <w:rsid w:val="02991007"/>
    <w:rsid w:val="02AC0742"/>
    <w:rsid w:val="02ADA8E1"/>
    <w:rsid w:val="04234F9F"/>
    <w:rsid w:val="04497942"/>
    <w:rsid w:val="0513C7E7"/>
    <w:rsid w:val="05A96B0C"/>
    <w:rsid w:val="06B7254C"/>
    <w:rsid w:val="0709EFE8"/>
    <w:rsid w:val="07EA168B"/>
    <w:rsid w:val="08FCB8FF"/>
    <w:rsid w:val="096132B8"/>
    <w:rsid w:val="0A439709"/>
    <w:rsid w:val="0A6F2AB7"/>
    <w:rsid w:val="0A74B687"/>
    <w:rsid w:val="0ACA7491"/>
    <w:rsid w:val="0B238A54"/>
    <w:rsid w:val="0B37EC59"/>
    <w:rsid w:val="0B4FF3B2"/>
    <w:rsid w:val="0B8D404C"/>
    <w:rsid w:val="0BB76630"/>
    <w:rsid w:val="0CBBE51F"/>
    <w:rsid w:val="0CEBC413"/>
    <w:rsid w:val="0D02E482"/>
    <w:rsid w:val="0D2910AD"/>
    <w:rsid w:val="0E57B580"/>
    <w:rsid w:val="0E879474"/>
    <w:rsid w:val="0F4313DE"/>
    <w:rsid w:val="0F634F63"/>
    <w:rsid w:val="1156FDB6"/>
    <w:rsid w:val="1280645A"/>
    <w:rsid w:val="12B0F104"/>
    <w:rsid w:val="13C1E6D2"/>
    <w:rsid w:val="14F4CE0A"/>
    <w:rsid w:val="15335402"/>
    <w:rsid w:val="1559C3A4"/>
    <w:rsid w:val="158CE884"/>
    <w:rsid w:val="15B89871"/>
    <w:rsid w:val="15CD9518"/>
    <w:rsid w:val="16249F10"/>
    <w:rsid w:val="17FE75F4"/>
    <w:rsid w:val="18706A65"/>
    <w:rsid w:val="193C5911"/>
    <w:rsid w:val="197A5757"/>
    <w:rsid w:val="1AD61931"/>
    <w:rsid w:val="1AE1A69C"/>
    <w:rsid w:val="1B3C0488"/>
    <w:rsid w:val="1B4338D8"/>
    <w:rsid w:val="1BFB1780"/>
    <w:rsid w:val="1CC484EB"/>
    <w:rsid w:val="1CE86E63"/>
    <w:rsid w:val="1D09C1C0"/>
    <w:rsid w:val="1D3839B8"/>
    <w:rsid w:val="1EBD438D"/>
    <w:rsid w:val="1F162A88"/>
    <w:rsid w:val="1FE666A9"/>
    <w:rsid w:val="2059C552"/>
    <w:rsid w:val="21142335"/>
    <w:rsid w:val="2299B2A5"/>
    <w:rsid w:val="23214BB6"/>
    <w:rsid w:val="23883E3B"/>
    <w:rsid w:val="23F2C10E"/>
    <w:rsid w:val="248E1517"/>
    <w:rsid w:val="25B3F327"/>
    <w:rsid w:val="25BA3152"/>
    <w:rsid w:val="25C59C30"/>
    <w:rsid w:val="266B8A95"/>
    <w:rsid w:val="2865DDEE"/>
    <w:rsid w:val="28B52ADB"/>
    <w:rsid w:val="28EFCBCC"/>
    <w:rsid w:val="291F351A"/>
    <w:rsid w:val="29937A16"/>
    <w:rsid w:val="29C9F8B5"/>
    <w:rsid w:val="2A44E272"/>
    <w:rsid w:val="2AE90DA9"/>
    <w:rsid w:val="2B293304"/>
    <w:rsid w:val="2B5B6D16"/>
    <w:rsid w:val="2BE4AA96"/>
    <w:rsid w:val="2C2D21BB"/>
    <w:rsid w:val="2C35CAC8"/>
    <w:rsid w:val="2C45EB45"/>
    <w:rsid w:val="2CB0F109"/>
    <w:rsid w:val="2CDE331B"/>
    <w:rsid w:val="2CE6ACAE"/>
    <w:rsid w:val="2D76BE1C"/>
    <w:rsid w:val="2D7C8334"/>
    <w:rsid w:val="2D807AF7"/>
    <w:rsid w:val="2E18AD5E"/>
    <w:rsid w:val="2E59A5A2"/>
    <w:rsid w:val="2E5E3C6D"/>
    <w:rsid w:val="2EB12116"/>
    <w:rsid w:val="2FC579DB"/>
    <w:rsid w:val="3053FF33"/>
    <w:rsid w:val="31614A3C"/>
    <w:rsid w:val="31E1C884"/>
    <w:rsid w:val="3320AB68"/>
    <w:rsid w:val="3411CD98"/>
    <w:rsid w:val="35179CF8"/>
    <w:rsid w:val="35719149"/>
    <w:rsid w:val="35813889"/>
    <w:rsid w:val="35C62F78"/>
    <w:rsid w:val="35F32CFA"/>
    <w:rsid w:val="36D85899"/>
    <w:rsid w:val="39BB40E4"/>
    <w:rsid w:val="3A6D8BAE"/>
    <w:rsid w:val="3BC2806C"/>
    <w:rsid w:val="3BD70440"/>
    <w:rsid w:val="3C05DABE"/>
    <w:rsid w:val="3CA8A4E7"/>
    <w:rsid w:val="3D6B37C6"/>
    <w:rsid w:val="3E6F9BD8"/>
    <w:rsid w:val="3EDAD1E5"/>
    <w:rsid w:val="3F558B85"/>
    <w:rsid w:val="3FFFB5A7"/>
    <w:rsid w:val="404972BC"/>
    <w:rsid w:val="4114F777"/>
    <w:rsid w:val="41AB45FB"/>
    <w:rsid w:val="42A2E21D"/>
    <w:rsid w:val="42CC6214"/>
    <w:rsid w:val="430ECF29"/>
    <w:rsid w:val="43ABDB59"/>
    <w:rsid w:val="440846FE"/>
    <w:rsid w:val="44DC8318"/>
    <w:rsid w:val="45FDC608"/>
    <w:rsid w:val="460F4B7A"/>
    <w:rsid w:val="461A3EDE"/>
    <w:rsid w:val="4638222B"/>
    <w:rsid w:val="46A6CA4A"/>
    <w:rsid w:val="46C5FA1C"/>
    <w:rsid w:val="46D5D290"/>
    <w:rsid w:val="47EE9D10"/>
    <w:rsid w:val="48093CB5"/>
    <w:rsid w:val="48A5D18E"/>
    <w:rsid w:val="4925D7D8"/>
    <w:rsid w:val="4ACC7B62"/>
    <w:rsid w:val="4AD61238"/>
    <w:rsid w:val="4AF2DCA9"/>
    <w:rsid w:val="4B32CFCF"/>
    <w:rsid w:val="4B4829CA"/>
    <w:rsid w:val="4BB5343F"/>
    <w:rsid w:val="4BB7F3F5"/>
    <w:rsid w:val="4C684BC3"/>
    <w:rsid w:val="4C9E718C"/>
    <w:rsid w:val="4D1BBA53"/>
    <w:rsid w:val="4E74E440"/>
    <w:rsid w:val="4F022FA1"/>
    <w:rsid w:val="4F1A5C92"/>
    <w:rsid w:val="4FE60165"/>
    <w:rsid w:val="509D464E"/>
    <w:rsid w:val="510FCA3A"/>
    <w:rsid w:val="515A49E5"/>
    <w:rsid w:val="51A7EF85"/>
    <w:rsid w:val="522CC0FF"/>
    <w:rsid w:val="524246C0"/>
    <w:rsid w:val="53A6153A"/>
    <w:rsid w:val="5442D163"/>
    <w:rsid w:val="5507F556"/>
    <w:rsid w:val="555794F5"/>
    <w:rsid w:val="56017689"/>
    <w:rsid w:val="56A8ADBA"/>
    <w:rsid w:val="5795CC59"/>
    <w:rsid w:val="58A52DF7"/>
    <w:rsid w:val="58A65045"/>
    <w:rsid w:val="58BEDC84"/>
    <w:rsid w:val="593AF436"/>
    <w:rsid w:val="5959FA2F"/>
    <w:rsid w:val="5A9D7E34"/>
    <w:rsid w:val="5B07424A"/>
    <w:rsid w:val="5B5F4A7C"/>
    <w:rsid w:val="5BDF77EC"/>
    <w:rsid w:val="5D04F368"/>
    <w:rsid w:val="5D3BEA8C"/>
    <w:rsid w:val="5D556BE9"/>
    <w:rsid w:val="5E6555BB"/>
    <w:rsid w:val="5E968F89"/>
    <w:rsid w:val="5E9706F1"/>
    <w:rsid w:val="5ED7BAED"/>
    <w:rsid w:val="5F149673"/>
    <w:rsid w:val="5F6704D7"/>
    <w:rsid w:val="606FCFFF"/>
    <w:rsid w:val="613E6AF0"/>
    <w:rsid w:val="61429547"/>
    <w:rsid w:val="61C1B1DF"/>
    <w:rsid w:val="62150708"/>
    <w:rsid w:val="639B88C3"/>
    <w:rsid w:val="642CCAEB"/>
    <w:rsid w:val="658A668A"/>
    <w:rsid w:val="65DABBED"/>
    <w:rsid w:val="6603C840"/>
    <w:rsid w:val="666056A2"/>
    <w:rsid w:val="66CD9523"/>
    <w:rsid w:val="679F98A1"/>
    <w:rsid w:val="67E5D651"/>
    <w:rsid w:val="69B1E2CC"/>
    <w:rsid w:val="69E9422D"/>
    <w:rsid w:val="6A06F090"/>
    <w:rsid w:val="6AE6F7AB"/>
    <w:rsid w:val="6B559C1C"/>
    <w:rsid w:val="6BBB1860"/>
    <w:rsid w:val="6BF8CA97"/>
    <w:rsid w:val="6BFB0FEE"/>
    <w:rsid w:val="6C74B9D2"/>
    <w:rsid w:val="6D55EBC5"/>
    <w:rsid w:val="6E051D4D"/>
    <w:rsid w:val="6E6BECAF"/>
    <w:rsid w:val="6F765720"/>
    <w:rsid w:val="6FD9A4E2"/>
    <w:rsid w:val="70D25182"/>
    <w:rsid w:val="713CBE0F"/>
    <w:rsid w:val="71590A59"/>
    <w:rsid w:val="722AB3F4"/>
    <w:rsid w:val="726BC135"/>
    <w:rsid w:val="728CC4AB"/>
    <w:rsid w:val="731968E1"/>
    <w:rsid w:val="73668914"/>
    <w:rsid w:val="737809BD"/>
    <w:rsid w:val="739C82E0"/>
    <w:rsid w:val="73CAF9B1"/>
    <w:rsid w:val="7464F34C"/>
    <w:rsid w:val="751E545D"/>
    <w:rsid w:val="7564370B"/>
    <w:rsid w:val="76D28209"/>
    <w:rsid w:val="77246A53"/>
    <w:rsid w:val="7731B8F5"/>
    <w:rsid w:val="78D2BE3B"/>
    <w:rsid w:val="78E9F52B"/>
    <w:rsid w:val="78FB75D4"/>
    <w:rsid w:val="797E5B54"/>
    <w:rsid w:val="79AD326F"/>
    <w:rsid w:val="79E95D89"/>
    <w:rsid w:val="7A714D59"/>
    <w:rsid w:val="7B3200CB"/>
    <w:rsid w:val="7B4DA025"/>
    <w:rsid w:val="7B66E0F3"/>
    <w:rsid w:val="7BFC2219"/>
    <w:rsid w:val="7C99B61F"/>
    <w:rsid w:val="7D65D865"/>
    <w:rsid w:val="7E01A3F3"/>
    <w:rsid w:val="7E21D6EB"/>
    <w:rsid w:val="7E9ABBC8"/>
    <w:rsid w:val="7FA7A718"/>
    <w:rsid w:val="7FCE6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6100"/>
  <w15:docId w15:val="{6837027B-0E28-454D-A601-A27E8E89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pacing w:val="-6"/>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B3"/>
    <w:pPr>
      <w:spacing w:before="120" w:after="120" w:line="288" w:lineRule="auto"/>
    </w:pPr>
  </w:style>
  <w:style w:type="paragraph" w:styleId="Heading1">
    <w:name w:val="heading 1"/>
    <w:basedOn w:val="Normal"/>
    <w:next w:val="Normal"/>
    <w:link w:val="Heading1Char"/>
    <w:uiPriority w:val="9"/>
    <w:rsid w:val="000D63F9"/>
    <w:pPr>
      <w:keepNext/>
      <w:keepLines/>
      <w:spacing w:before="1200" w:after="360"/>
      <w:outlineLvl w:val="0"/>
    </w:pPr>
    <w:rPr>
      <w:rFonts w:eastAsiaTheme="majorEastAsia" w:cstheme="majorBidi"/>
      <w:b/>
      <w:color w:val="7030A0"/>
      <w:sz w:val="32"/>
      <w:szCs w:val="32"/>
    </w:rPr>
  </w:style>
  <w:style w:type="paragraph" w:styleId="Heading2">
    <w:name w:val="heading 2"/>
    <w:basedOn w:val="heading1text"/>
    <w:next w:val="Normal"/>
    <w:link w:val="Heading2Char"/>
    <w:uiPriority w:val="9"/>
    <w:unhideWhenUsed/>
    <w:qFormat/>
    <w:rsid w:val="00BC531B"/>
    <w:pPr>
      <w:spacing w:before="240"/>
      <w:outlineLvl w:val="1"/>
    </w:pPr>
    <w:rPr>
      <w:rFonts w:ascii="Arial" w:hAnsi="Arial" w:cs="Arial"/>
      <w:b w:val="0"/>
      <w:bCs w:val="0"/>
      <w:color w:val="7030A0"/>
    </w:rPr>
  </w:style>
  <w:style w:type="paragraph" w:styleId="Heading3">
    <w:name w:val="heading 3"/>
    <w:basedOn w:val="HEaadinag2"/>
    <w:next w:val="Normal"/>
    <w:link w:val="Heading3Char"/>
    <w:uiPriority w:val="9"/>
    <w:unhideWhenUsed/>
    <w:qFormat/>
    <w:rsid w:val="004606FF"/>
    <w:pPr>
      <w:outlineLvl w:val="2"/>
    </w:pPr>
    <w:rPr>
      <w:rFonts w:ascii="Arial" w:hAnsi="Arial" w:cs="Arial"/>
      <w:b w:val="0"/>
      <w:bCs w:val="0"/>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ullout">
    <w:name w:val="HEADING 1 ( pull out)"/>
    <w:basedOn w:val="Title"/>
    <w:uiPriority w:val="99"/>
    <w:rsid w:val="00F702C3"/>
    <w:pPr>
      <w:suppressAutoHyphens/>
      <w:autoSpaceDE w:val="0"/>
      <w:autoSpaceDN w:val="0"/>
      <w:adjustRightInd w:val="0"/>
      <w:spacing w:after="340"/>
      <w:contextualSpacing w:val="0"/>
      <w:textAlignment w:val="center"/>
    </w:pPr>
    <w:rPr>
      <w:rFonts w:ascii="Proxima Nova Rg" w:eastAsiaTheme="minorHAnsi" w:hAnsi="Proxima Nova Rg" w:cs="Proxima Nova Rg"/>
      <w:b/>
      <w:bCs/>
      <w:spacing w:val="0"/>
      <w:kern w:val="0"/>
      <w:sz w:val="36"/>
      <w:szCs w:val="36"/>
      <w:lang w:val="en-GB"/>
    </w:rPr>
  </w:style>
  <w:style w:type="paragraph" w:styleId="BodyText">
    <w:name w:val="Body Text"/>
    <w:basedOn w:val="Title"/>
    <w:link w:val="BodyTextChar"/>
    <w:uiPriority w:val="99"/>
    <w:rsid w:val="00F702C3"/>
    <w:pPr>
      <w:suppressAutoHyphens/>
      <w:autoSpaceDE w:val="0"/>
      <w:autoSpaceDN w:val="0"/>
      <w:adjustRightInd w:val="0"/>
      <w:spacing w:after="170"/>
      <w:contextualSpacing w:val="0"/>
      <w:textAlignment w:val="center"/>
    </w:pPr>
    <w:rPr>
      <w:rFonts w:ascii="Proxima Nova Rg" w:eastAsiaTheme="minorHAnsi" w:hAnsi="Proxima Nova Rg" w:cs="Proxima Nova Rg"/>
      <w:b/>
      <w:bCs/>
      <w:spacing w:val="0"/>
      <w:kern w:val="0"/>
      <w:sz w:val="20"/>
      <w:szCs w:val="20"/>
      <w:lang w:val="en-GB"/>
    </w:rPr>
  </w:style>
  <w:style w:type="character" w:customStyle="1" w:styleId="BodyTextChar">
    <w:name w:val="Body Text Char"/>
    <w:basedOn w:val="DefaultParagraphFont"/>
    <w:link w:val="BodyText"/>
    <w:uiPriority w:val="99"/>
    <w:rsid w:val="00F702C3"/>
    <w:rPr>
      <w:rFonts w:ascii="Proxima Nova Rg" w:hAnsi="Proxima Nova Rg" w:cs="Proxima Nova Rg"/>
      <w:b/>
      <w:bCs/>
      <w:color w:val="000000"/>
      <w:sz w:val="20"/>
      <w:szCs w:val="20"/>
      <w:lang w:val="en-GB"/>
    </w:rPr>
  </w:style>
  <w:style w:type="paragraph" w:styleId="Title">
    <w:name w:val="Title"/>
    <w:basedOn w:val="Normal"/>
    <w:next w:val="Normal"/>
    <w:link w:val="TitleChar"/>
    <w:uiPriority w:val="99"/>
    <w:qFormat/>
    <w:rsid w:val="00F702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F702C3"/>
    <w:rPr>
      <w:rFonts w:asciiTheme="majorHAnsi" w:eastAsiaTheme="majorEastAsia" w:hAnsiTheme="majorHAnsi" w:cstheme="majorBidi"/>
      <w:spacing w:val="-10"/>
      <w:kern w:val="28"/>
      <w:sz w:val="56"/>
      <w:szCs w:val="56"/>
    </w:rPr>
  </w:style>
  <w:style w:type="paragraph" w:customStyle="1" w:styleId="heading1text">
    <w:name w:val="heading1 (text)"/>
    <w:basedOn w:val="HEADING1pullout"/>
    <w:uiPriority w:val="99"/>
    <w:rsid w:val="00F702C3"/>
    <w:pPr>
      <w:spacing w:before="113" w:after="170" w:line="300" w:lineRule="atLeast"/>
    </w:pPr>
    <w:rPr>
      <w:color w:val="692774"/>
      <w:sz w:val="28"/>
      <w:szCs w:val="28"/>
    </w:rPr>
  </w:style>
  <w:style w:type="paragraph" w:customStyle="1" w:styleId="bullet1">
    <w:name w:val="bullet 1"/>
    <w:basedOn w:val="BodyText"/>
    <w:uiPriority w:val="99"/>
    <w:rsid w:val="00F702C3"/>
    <w:pPr>
      <w:tabs>
        <w:tab w:val="left" w:pos="320"/>
      </w:tabs>
      <w:spacing w:after="113"/>
      <w:ind w:left="320" w:hanging="320"/>
    </w:pPr>
  </w:style>
  <w:style w:type="paragraph" w:customStyle="1" w:styleId="HEaadinag2">
    <w:name w:val="HEaadinag 2"/>
    <w:basedOn w:val="heading1text"/>
    <w:uiPriority w:val="99"/>
    <w:rsid w:val="00F702C3"/>
    <w:pPr>
      <w:spacing w:before="283"/>
    </w:pPr>
    <w:rPr>
      <w:rFonts w:ascii="Proxima Nova Medium" w:hAnsi="Proxima Nova Medium" w:cs="Proxima Nova Medium"/>
      <w:sz w:val="25"/>
      <w:szCs w:val="25"/>
    </w:rPr>
  </w:style>
  <w:style w:type="paragraph" w:customStyle="1" w:styleId="footnote">
    <w:name w:val="footnote"/>
    <w:basedOn w:val="BodyText"/>
    <w:uiPriority w:val="99"/>
    <w:rsid w:val="00F702C3"/>
    <w:rPr>
      <w:spacing w:val="-5"/>
      <w:sz w:val="16"/>
      <w:szCs w:val="16"/>
    </w:rPr>
  </w:style>
  <w:style w:type="character" w:customStyle="1" w:styleId="bold">
    <w:name w:val="bold"/>
    <w:uiPriority w:val="99"/>
    <w:rsid w:val="00F702C3"/>
    <w:rPr>
      <w:b/>
      <w:bCs/>
    </w:rPr>
  </w:style>
  <w:style w:type="character" w:styleId="Hyperlink">
    <w:name w:val="Hyperlink"/>
    <w:basedOn w:val="DefaultParagraphFont"/>
    <w:uiPriority w:val="99"/>
    <w:rsid w:val="00DA56D7"/>
    <w:rPr>
      <w:rFonts w:ascii="Arial" w:hAnsi="Arial"/>
      <w:color w:val="1F3864" w:themeColor="accent1" w:themeShade="80"/>
      <w:w w:val="100"/>
      <w:sz w:val="20"/>
      <w:u w:val="thick" w:color="1F3864" w:themeColor="accent1" w:themeShade="80"/>
    </w:rPr>
  </w:style>
  <w:style w:type="character" w:customStyle="1" w:styleId="Heading2Char">
    <w:name w:val="Heading 2 Char"/>
    <w:basedOn w:val="DefaultParagraphFont"/>
    <w:link w:val="Heading2"/>
    <w:uiPriority w:val="9"/>
    <w:rsid w:val="00BC531B"/>
    <w:rPr>
      <w:color w:val="7030A0"/>
      <w:spacing w:val="0"/>
      <w:sz w:val="28"/>
      <w:szCs w:val="28"/>
      <w:lang w:val="en-GB"/>
    </w:rPr>
  </w:style>
  <w:style w:type="character" w:customStyle="1" w:styleId="Heading3Char">
    <w:name w:val="Heading 3 Char"/>
    <w:basedOn w:val="DefaultParagraphFont"/>
    <w:link w:val="Heading3"/>
    <w:uiPriority w:val="9"/>
    <w:rsid w:val="004606FF"/>
    <w:rPr>
      <w:color w:val="7030A0"/>
      <w:spacing w:val="0"/>
      <w:sz w:val="25"/>
      <w:szCs w:val="25"/>
      <w:lang w:val="en-GB"/>
    </w:rPr>
  </w:style>
  <w:style w:type="paragraph" w:styleId="Header">
    <w:name w:val="header"/>
    <w:basedOn w:val="Normal"/>
    <w:link w:val="HeaderChar"/>
    <w:uiPriority w:val="99"/>
    <w:unhideWhenUsed/>
    <w:rsid w:val="00F93049"/>
    <w:pPr>
      <w:tabs>
        <w:tab w:val="center" w:pos="4513"/>
        <w:tab w:val="right" w:pos="9026"/>
      </w:tabs>
    </w:pPr>
  </w:style>
  <w:style w:type="character" w:customStyle="1" w:styleId="HeaderChar">
    <w:name w:val="Header Char"/>
    <w:basedOn w:val="DefaultParagraphFont"/>
    <w:link w:val="Header"/>
    <w:uiPriority w:val="99"/>
    <w:rsid w:val="00F93049"/>
  </w:style>
  <w:style w:type="paragraph" w:styleId="Footer">
    <w:name w:val="footer"/>
    <w:basedOn w:val="Normal"/>
    <w:link w:val="FooterChar"/>
    <w:uiPriority w:val="99"/>
    <w:unhideWhenUsed/>
    <w:rsid w:val="00F93049"/>
    <w:pPr>
      <w:tabs>
        <w:tab w:val="center" w:pos="4513"/>
        <w:tab w:val="right" w:pos="9026"/>
      </w:tabs>
    </w:pPr>
  </w:style>
  <w:style w:type="character" w:customStyle="1" w:styleId="FooterChar">
    <w:name w:val="Footer Char"/>
    <w:basedOn w:val="DefaultParagraphFont"/>
    <w:link w:val="Footer"/>
    <w:uiPriority w:val="99"/>
    <w:rsid w:val="00F93049"/>
  </w:style>
  <w:style w:type="character" w:customStyle="1" w:styleId="UnresolvedMention1">
    <w:name w:val="Unresolved Mention1"/>
    <w:basedOn w:val="DefaultParagraphFont"/>
    <w:uiPriority w:val="99"/>
    <w:semiHidden/>
    <w:unhideWhenUsed/>
    <w:rsid w:val="003331C5"/>
    <w:rPr>
      <w:color w:val="605E5C"/>
      <w:shd w:val="clear" w:color="auto" w:fill="E1DFDD"/>
    </w:rPr>
  </w:style>
  <w:style w:type="paragraph" w:styleId="ListParagraph">
    <w:name w:val="List Paragraph"/>
    <w:basedOn w:val="Normal"/>
    <w:link w:val="ListParagraphChar"/>
    <w:uiPriority w:val="34"/>
    <w:qFormat/>
    <w:rsid w:val="00761BDD"/>
    <w:pPr>
      <w:numPr>
        <w:numId w:val="3"/>
      </w:numPr>
      <w:spacing w:after="160" w:line="259" w:lineRule="auto"/>
      <w:contextualSpacing/>
    </w:pPr>
    <w:rPr>
      <w:rFonts w:cstheme="minorBidi"/>
      <w:color w:val="auto"/>
      <w:spacing w:val="0"/>
    </w:rPr>
  </w:style>
  <w:style w:type="character" w:styleId="CommentReference">
    <w:name w:val="annotation reference"/>
    <w:basedOn w:val="DefaultParagraphFont"/>
    <w:uiPriority w:val="99"/>
    <w:unhideWhenUsed/>
    <w:rsid w:val="0016398F"/>
    <w:rPr>
      <w:sz w:val="16"/>
      <w:szCs w:val="16"/>
    </w:rPr>
  </w:style>
  <w:style w:type="paragraph" w:styleId="CommentText">
    <w:name w:val="annotation text"/>
    <w:basedOn w:val="Normal"/>
    <w:link w:val="CommentTextChar"/>
    <w:uiPriority w:val="99"/>
    <w:unhideWhenUsed/>
    <w:rsid w:val="0016398F"/>
    <w:pPr>
      <w:spacing w:after="160"/>
    </w:pPr>
    <w:rPr>
      <w:rFonts w:asciiTheme="minorHAnsi" w:hAnsiTheme="minorHAnsi" w:cstheme="minorBidi"/>
      <w:color w:val="auto"/>
      <w:spacing w:val="0"/>
    </w:rPr>
  </w:style>
  <w:style w:type="character" w:customStyle="1" w:styleId="CommentTextChar">
    <w:name w:val="Comment Text Char"/>
    <w:basedOn w:val="DefaultParagraphFont"/>
    <w:link w:val="CommentText"/>
    <w:uiPriority w:val="99"/>
    <w:rsid w:val="0016398F"/>
    <w:rPr>
      <w:rFonts w:asciiTheme="minorHAnsi" w:hAnsiTheme="minorHAnsi" w:cstheme="minorBidi"/>
      <w:color w:val="auto"/>
      <w:spacing w:val="0"/>
    </w:rPr>
  </w:style>
  <w:style w:type="table" w:styleId="TableGrid">
    <w:name w:val="Table Grid"/>
    <w:basedOn w:val="TableNormal"/>
    <w:uiPriority w:val="39"/>
    <w:rsid w:val="0016398F"/>
    <w:rPr>
      <w:rFonts w:asciiTheme="minorHAnsi" w:hAnsiTheme="minorHAnsi" w:cstheme="minorBidi"/>
      <w:color w:val="auto"/>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63F9"/>
    <w:rPr>
      <w:rFonts w:eastAsiaTheme="majorEastAsia" w:cstheme="majorBidi"/>
      <w:b/>
      <w:color w:val="7030A0"/>
      <w:sz w:val="32"/>
      <w:szCs w:val="32"/>
    </w:rPr>
  </w:style>
  <w:style w:type="paragraph" w:customStyle="1" w:styleId="bulletpoint">
    <w:name w:val="bullet point"/>
    <w:basedOn w:val="BodyText"/>
    <w:link w:val="bulletpointChar"/>
    <w:qFormat/>
    <w:rsid w:val="001D1F9A"/>
    <w:pPr>
      <w:numPr>
        <w:numId w:val="1"/>
      </w:numPr>
      <w:contextualSpacing/>
    </w:pPr>
    <w:rPr>
      <w:rFonts w:ascii="Arial" w:hAnsi="Arial" w:cs="Arial"/>
      <w:b w:val="0"/>
      <w:color w:val="000000" w:themeColor="text1"/>
    </w:rPr>
  </w:style>
  <w:style w:type="character" w:customStyle="1" w:styleId="bulletpointChar">
    <w:name w:val="bullet point Char"/>
    <w:basedOn w:val="BodyTextChar"/>
    <w:link w:val="bulletpoint"/>
    <w:rsid w:val="001D1F9A"/>
    <w:rPr>
      <w:rFonts w:ascii="Proxima Nova Rg" w:hAnsi="Proxima Nova Rg" w:cs="Proxima Nova Rg"/>
      <w:b w:val="0"/>
      <w:bCs/>
      <w:color w:val="000000" w:themeColor="text1"/>
      <w:spacing w:val="0"/>
      <w:sz w:val="20"/>
      <w:szCs w:val="20"/>
      <w:lang w:val="en-GB"/>
    </w:rPr>
  </w:style>
  <w:style w:type="paragraph" w:styleId="ListBullet">
    <w:name w:val="List Bullet"/>
    <w:basedOn w:val="Normal"/>
    <w:uiPriority w:val="99"/>
    <w:unhideWhenUsed/>
    <w:rsid w:val="00FC0B43"/>
    <w:pPr>
      <w:numPr>
        <w:numId w:val="11"/>
      </w:numPr>
      <w:contextualSpacing/>
    </w:pPr>
  </w:style>
  <w:style w:type="paragraph" w:styleId="BalloonText">
    <w:name w:val="Balloon Text"/>
    <w:basedOn w:val="Normal"/>
    <w:link w:val="BalloonTextChar"/>
    <w:uiPriority w:val="99"/>
    <w:semiHidden/>
    <w:unhideWhenUsed/>
    <w:rsid w:val="00727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C27"/>
    <w:rPr>
      <w:rFonts w:ascii="Segoe UI" w:hAnsi="Segoe UI" w:cs="Segoe UI"/>
      <w:sz w:val="18"/>
      <w:szCs w:val="18"/>
    </w:rPr>
  </w:style>
  <w:style w:type="character" w:styleId="Strong">
    <w:name w:val="Strong"/>
    <w:basedOn w:val="DefaultParagraphFont"/>
    <w:uiPriority w:val="22"/>
    <w:qFormat/>
    <w:rsid w:val="008A5596"/>
    <w:rPr>
      <w:b/>
      <w:bCs/>
    </w:rPr>
  </w:style>
  <w:style w:type="character" w:styleId="FollowedHyperlink">
    <w:name w:val="FollowedHyperlink"/>
    <w:basedOn w:val="DefaultParagraphFont"/>
    <w:uiPriority w:val="99"/>
    <w:semiHidden/>
    <w:unhideWhenUsed/>
    <w:rsid w:val="00BF34C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F0764"/>
    <w:pPr>
      <w:spacing w:after="120" w:line="240" w:lineRule="auto"/>
    </w:pPr>
    <w:rPr>
      <w:rFonts w:ascii="Arial" w:hAnsi="Arial" w:cs="Arial"/>
      <w:b/>
      <w:bCs/>
      <w:color w:val="000000"/>
      <w:spacing w:val="-6"/>
    </w:rPr>
  </w:style>
  <w:style w:type="character" w:customStyle="1" w:styleId="CommentSubjectChar">
    <w:name w:val="Comment Subject Char"/>
    <w:basedOn w:val="CommentTextChar"/>
    <w:link w:val="CommentSubject"/>
    <w:uiPriority w:val="99"/>
    <w:semiHidden/>
    <w:rsid w:val="00BF0764"/>
    <w:rPr>
      <w:rFonts w:asciiTheme="minorHAnsi" w:hAnsiTheme="minorHAnsi" w:cstheme="minorBidi"/>
      <w:b/>
      <w:bCs/>
      <w:color w:val="auto"/>
      <w:spacing w:val="0"/>
    </w:rPr>
  </w:style>
  <w:style w:type="paragraph" w:styleId="Revision">
    <w:name w:val="Revision"/>
    <w:hidden/>
    <w:uiPriority w:val="99"/>
    <w:semiHidden/>
    <w:rsid w:val="008C39F0"/>
  </w:style>
  <w:style w:type="paragraph" w:styleId="NoSpacing">
    <w:name w:val="No Spacing"/>
    <w:uiPriority w:val="1"/>
    <w:qFormat/>
    <w:rsid w:val="005F7EE2"/>
  </w:style>
  <w:style w:type="paragraph" w:styleId="NormalWeb">
    <w:name w:val="Normal (Web)"/>
    <w:basedOn w:val="Normal"/>
    <w:uiPriority w:val="99"/>
    <w:semiHidden/>
    <w:unhideWhenUsed/>
    <w:rsid w:val="004D73A1"/>
    <w:pPr>
      <w:spacing w:before="100" w:beforeAutospacing="1" w:after="100" w:afterAutospacing="1" w:line="240" w:lineRule="auto"/>
    </w:pPr>
    <w:rPr>
      <w:rFonts w:ascii="Times New Roman" w:eastAsia="Times New Roman" w:hAnsi="Times New Roman" w:cs="Times New Roman"/>
      <w:color w:val="auto"/>
      <w:spacing w:val="0"/>
      <w:sz w:val="24"/>
      <w:szCs w:val="24"/>
      <w:lang w:eastAsia="en-AU"/>
    </w:rPr>
  </w:style>
  <w:style w:type="paragraph" w:customStyle="1" w:styleId="Default">
    <w:name w:val="Default"/>
    <w:rsid w:val="00EB18C6"/>
    <w:pPr>
      <w:autoSpaceDE w:val="0"/>
      <w:autoSpaceDN w:val="0"/>
      <w:adjustRightInd w:val="0"/>
    </w:pPr>
    <w:rPr>
      <w:rFonts w:ascii="Calibri Light" w:hAnsi="Calibri Light" w:cs="Calibri Light"/>
      <w:sz w:val="24"/>
      <w:szCs w:val="24"/>
    </w:rPr>
  </w:style>
  <w:style w:type="character" w:customStyle="1" w:styleId="UnresolvedMention2">
    <w:name w:val="Unresolved Mention2"/>
    <w:basedOn w:val="DefaultParagraphFont"/>
    <w:uiPriority w:val="99"/>
    <w:semiHidden/>
    <w:unhideWhenUsed/>
    <w:rsid w:val="00EF768F"/>
    <w:rPr>
      <w:color w:val="605E5C"/>
      <w:shd w:val="clear" w:color="auto" w:fill="E1DFDD"/>
    </w:rPr>
  </w:style>
  <w:style w:type="paragraph" w:styleId="FootnoteText">
    <w:name w:val="footnote text"/>
    <w:basedOn w:val="Normal"/>
    <w:link w:val="FootnoteTextChar"/>
    <w:uiPriority w:val="99"/>
    <w:semiHidden/>
    <w:unhideWhenUsed/>
    <w:rsid w:val="00EF768F"/>
    <w:pPr>
      <w:spacing w:after="0" w:line="240" w:lineRule="auto"/>
    </w:pPr>
    <w:rPr>
      <w:rFonts w:ascii="Times New Roman" w:hAnsi="Times New Roman" w:cs="Times New Roman"/>
      <w:color w:val="auto"/>
      <w:spacing w:val="0"/>
    </w:rPr>
  </w:style>
  <w:style w:type="character" w:customStyle="1" w:styleId="FootnoteTextChar">
    <w:name w:val="Footnote Text Char"/>
    <w:basedOn w:val="DefaultParagraphFont"/>
    <w:link w:val="FootnoteText"/>
    <w:uiPriority w:val="99"/>
    <w:semiHidden/>
    <w:rsid w:val="00EF768F"/>
    <w:rPr>
      <w:rFonts w:ascii="Times New Roman" w:hAnsi="Times New Roman" w:cs="Times New Roman"/>
      <w:color w:val="auto"/>
      <w:spacing w:val="0"/>
    </w:rPr>
  </w:style>
  <w:style w:type="character" w:customStyle="1" w:styleId="UnresolvedMention3">
    <w:name w:val="Unresolved Mention3"/>
    <w:basedOn w:val="DefaultParagraphFont"/>
    <w:uiPriority w:val="99"/>
    <w:semiHidden/>
    <w:unhideWhenUsed/>
    <w:rsid w:val="009014F4"/>
    <w:rPr>
      <w:color w:val="605E5C"/>
      <w:shd w:val="clear" w:color="auto" w:fill="E1DFDD"/>
    </w:rPr>
  </w:style>
  <w:style w:type="character" w:customStyle="1" w:styleId="UnresolvedMention4">
    <w:name w:val="Unresolved Mention4"/>
    <w:basedOn w:val="DefaultParagraphFont"/>
    <w:uiPriority w:val="99"/>
    <w:semiHidden/>
    <w:unhideWhenUsed/>
    <w:rsid w:val="001D1F9A"/>
    <w:rPr>
      <w:color w:val="605E5C"/>
      <w:shd w:val="clear" w:color="auto" w:fill="E1DFDD"/>
    </w:rPr>
  </w:style>
  <w:style w:type="character" w:styleId="FootnoteReference">
    <w:name w:val="footnote reference"/>
    <w:basedOn w:val="DefaultParagraphFont"/>
    <w:uiPriority w:val="99"/>
    <w:semiHidden/>
    <w:unhideWhenUsed/>
    <w:rsid w:val="00761BDD"/>
    <w:rPr>
      <w:vertAlign w:val="superscript"/>
    </w:rPr>
  </w:style>
  <w:style w:type="character" w:customStyle="1" w:styleId="ListParagraphChar">
    <w:name w:val="List Paragraph Char"/>
    <w:basedOn w:val="DefaultParagraphFont"/>
    <w:link w:val="ListParagraph"/>
    <w:uiPriority w:val="34"/>
    <w:locked/>
    <w:rsid w:val="00761BDD"/>
    <w:rPr>
      <w:rFonts w:cstheme="minorBidi"/>
      <w:color w:val="auto"/>
      <w:spacing w:val="0"/>
    </w:rPr>
  </w:style>
  <w:style w:type="paragraph" w:customStyle="1" w:styleId="EndNoteBibliography">
    <w:name w:val="EndNote Bibliography"/>
    <w:basedOn w:val="Normal"/>
    <w:link w:val="EndNoteBibliographyChar"/>
    <w:rsid w:val="00761BDD"/>
    <w:pPr>
      <w:spacing w:after="160" w:line="240" w:lineRule="auto"/>
    </w:pPr>
    <w:rPr>
      <w:rFonts w:ascii="Calibri" w:hAnsi="Calibri" w:cs="Calibri"/>
      <w:noProof/>
      <w:color w:val="auto"/>
      <w:spacing w:val="0"/>
      <w:sz w:val="22"/>
      <w:szCs w:val="22"/>
      <w:lang w:val="en-US"/>
    </w:rPr>
  </w:style>
  <w:style w:type="character" w:customStyle="1" w:styleId="EndNoteBibliographyChar">
    <w:name w:val="EndNote Bibliography Char"/>
    <w:basedOn w:val="DefaultParagraphFont"/>
    <w:link w:val="EndNoteBibliography"/>
    <w:rsid w:val="00761BDD"/>
    <w:rPr>
      <w:rFonts w:ascii="Calibri" w:hAnsi="Calibri" w:cs="Calibri"/>
      <w:noProof/>
      <w:color w:val="auto"/>
      <w:spacing w:val="0"/>
      <w:sz w:val="22"/>
      <w:szCs w:val="22"/>
      <w:lang w:val="en-US"/>
    </w:rPr>
  </w:style>
  <w:style w:type="table" w:styleId="TableGridLight">
    <w:name w:val="Grid Table Light"/>
    <w:basedOn w:val="TableNormal"/>
    <w:uiPriority w:val="40"/>
    <w:rsid w:val="00761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170063"/>
    <w:pPr>
      <w:widowControl w:val="0"/>
      <w:autoSpaceDE w:val="0"/>
      <w:autoSpaceDN w:val="0"/>
      <w:spacing w:before="0" w:after="0" w:line="240" w:lineRule="auto"/>
    </w:pPr>
    <w:rPr>
      <w:rFonts w:eastAsia="Arial"/>
      <w:color w:val="auto"/>
      <w:spacing w:val="0"/>
      <w:sz w:val="22"/>
      <w:szCs w:val="22"/>
    </w:rPr>
  </w:style>
  <w:style w:type="character" w:customStyle="1" w:styleId="cf01">
    <w:name w:val="cf01"/>
    <w:basedOn w:val="DefaultParagraphFont"/>
    <w:rsid w:val="001478C1"/>
    <w:rPr>
      <w:rFonts w:ascii="Segoe UI" w:hAnsi="Segoe UI" w:cs="Segoe UI" w:hint="default"/>
      <w:sz w:val="18"/>
      <w:szCs w:val="18"/>
    </w:rPr>
  </w:style>
  <w:style w:type="character" w:customStyle="1" w:styleId="UnresolvedMention5">
    <w:name w:val="Unresolved Mention5"/>
    <w:basedOn w:val="DefaultParagraphFont"/>
    <w:uiPriority w:val="99"/>
    <w:semiHidden/>
    <w:unhideWhenUsed/>
    <w:rsid w:val="006760B7"/>
    <w:rPr>
      <w:color w:val="605E5C"/>
      <w:shd w:val="clear" w:color="auto" w:fill="E1DFDD"/>
    </w:rPr>
  </w:style>
  <w:style w:type="character" w:customStyle="1" w:styleId="UnresolvedMention6">
    <w:name w:val="Unresolved Mention6"/>
    <w:basedOn w:val="DefaultParagraphFont"/>
    <w:uiPriority w:val="99"/>
    <w:semiHidden/>
    <w:unhideWhenUsed/>
    <w:rsid w:val="00AB789E"/>
    <w:rPr>
      <w:color w:val="605E5C"/>
      <w:shd w:val="clear" w:color="auto" w:fill="E1DFDD"/>
    </w:rPr>
  </w:style>
  <w:style w:type="character" w:styleId="UnresolvedMention">
    <w:name w:val="Unresolved Mention"/>
    <w:basedOn w:val="DefaultParagraphFont"/>
    <w:uiPriority w:val="99"/>
    <w:semiHidden/>
    <w:unhideWhenUsed/>
    <w:rsid w:val="00144379"/>
    <w:rPr>
      <w:color w:val="605E5C"/>
      <w:shd w:val="clear" w:color="auto" w:fill="E1DFDD"/>
    </w:rPr>
  </w:style>
  <w:style w:type="paragraph" w:styleId="ListBullet2">
    <w:name w:val="List Bullet 2"/>
    <w:basedOn w:val="Normal"/>
    <w:uiPriority w:val="99"/>
    <w:unhideWhenUsed/>
    <w:rsid w:val="00FC0B43"/>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2092">
      <w:bodyDiv w:val="1"/>
      <w:marLeft w:val="0"/>
      <w:marRight w:val="0"/>
      <w:marTop w:val="0"/>
      <w:marBottom w:val="0"/>
      <w:divBdr>
        <w:top w:val="none" w:sz="0" w:space="0" w:color="auto"/>
        <w:left w:val="none" w:sz="0" w:space="0" w:color="auto"/>
        <w:bottom w:val="none" w:sz="0" w:space="0" w:color="auto"/>
        <w:right w:val="none" w:sz="0" w:space="0" w:color="auto"/>
      </w:divBdr>
    </w:div>
    <w:div w:id="390811303">
      <w:bodyDiv w:val="1"/>
      <w:marLeft w:val="0"/>
      <w:marRight w:val="0"/>
      <w:marTop w:val="0"/>
      <w:marBottom w:val="0"/>
      <w:divBdr>
        <w:top w:val="none" w:sz="0" w:space="0" w:color="auto"/>
        <w:left w:val="none" w:sz="0" w:space="0" w:color="auto"/>
        <w:bottom w:val="none" w:sz="0" w:space="0" w:color="auto"/>
        <w:right w:val="none" w:sz="0" w:space="0" w:color="auto"/>
      </w:divBdr>
    </w:div>
    <w:div w:id="481123520">
      <w:bodyDiv w:val="1"/>
      <w:marLeft w:val="0"/>
      <w:marRight w:val="0"/>
      <w:marTop w:val="0"/>
      <w:marBottom w:val="0"/>
      <w:divBdr>
        <w:top w:val="none" w:sz="0" w:space="0" w:color="auto"/>
        <w:left w:val="none" w:sz="0" w:space="0" w:color="auto"/>
        <w:bottom w:val="none" w:sz="0" w:space="0" w:color="auto"/>
        <w:right w:val="none" w:sz="0" w:space="0" w:color="auto"/>
      </w:divBdr>
    </w:div>
    <w:div w:id="510948994">
      <w:bodyDiv w:val="1"/>
      <w:marLeft w:val="0"/>
      <w:marRight w:val="0"/>
      <w:marTop w:val="0"/>
      <w:marBottom w:val="0"/>
      <w:divBdr>
        <w:top w:val="none" w:sz="0" w:space="0" w:color="auto"/>
        <w:left w:val="none" w:sz="0" w:space="0" w:color="auto"/>
        <w:bottom w:val="none" w:sz="0" w:space="0" w:color="auto"/>
        <w:right w:val="none" w:sz="0" w:space="0" w:color="auto"/>
      </w:divBdr>
    </w:div>
    <w:div w:id="555816802">
      <w:bodyDiv w:val="1"/>
      <w:marLeft w:val="0"/>
      <w:marRight w:val="0"/>
      <w:marTop w:val="0"/>
      <w:marBottom w:val="0"/>
      <w:divBdr>
        <w:top w:val="none" w:sz="0" w:space="0" w:color="auto"/>
        <w:left w:val="none" w:sz="0" w:space="0" w:color="auto"/>
        <w:bottom w:val="none" w:sz="0" w:space="0" w:color="auto"/>
        <w:right w:val="none" w:sz="0" w:space="0" w:color="auto"/>
      </w:divBdr>
    </w:div>
    <w:div w:id="794056161">
      <w:bodyDiv w:val="1"/>
      <w:marLeft w:val="0"/>
      <w:marRight w:val="0"/>
      <w:marTop w:val="0"/>
      <w:marBottom w:val="0"/>
      <w:divBdr>
        <w:top w:val="none" w:sz="0" w:space="0" w:color="auto"/>
        <w:left w:val="none" w:sz="0" w:space="0" w:color="auto"/>
        <w:bottom w:val="none" w:sz="0" w:space="0" w:color="auto"/>
        <w:right w:val="none" w:sz="0" w:space="0" w:color="auto"/>
      </w:divBdr>
    </w:div>
    <w:div w:id="1020355684">
      <w:bodyDiv w:val="1"/>
      <w:marLeft w:val="0"/>
      <w:marRight w:val="0"/>
      <w:marTop w:val="0"/>
      <w:marBottom w:val="0"/>
      <w:divBdr>
        <w:top w:val="none" w:sz="0" w:space="0" w:color="auto"/>
        <w:left w:val="none" w:sz="0" w:space="0" w:color="auto"/>
        <w:bottom w:val="none" w:sz="0" w:space="0" w:color="auto"/>
        <w:right w:val="none" w:sz="0" w:space="0" w:color="auto"/>
      </w:divBdr>
    </w:div>
    <w:div w:id="1037198996">
      <w:bodyDiv w:val="1"/>
      <w:marLeft w:val="0"/>
      <w:marRight w:val="0"/>
      <w:marTop w:val="0"/>
      <w:marBottom w:val="0"/>
      <w:divBdr>
        <w:top w:val="none" w:sz="0" w:space="0" w:color="auto"/>
        <w:left w:val="none" w:sz="0" w:space="0" w:color="auto"/>
        <w:bottom w:val="none" w:sz="0" w:space="0" w:color="auto"/>
        <w:right w:val="none" w:sz="0" w:space="0" w:color="auto"/>
      </w:divBdr>
    </w:div>
    <w:div w:id="1269389376">
      <w:bodyDiv w:val="1"/>
      <w:marLeft w:val="0"/>
      <w:marRight w:val="0"/>
      <w:marTop w:val="0"/>
      <w:marBottom w:val="0"/>
      <w:divBdr>
        <w:top w:val="none" w:sz="0" w:space="0" w:color="auto"/>
        <w:left w:val="none" w:sz="0" w:space="0" w:color="auto"/>
        <w:bottom w:val="none" w:sz="0" w:space="0" w:color="auto"/>
        <w:right w:val="none" w:sz="0" w:space="0" w:color="auto"/>
      </w:divBdr>
    </w:div>
    <w:div w:id="1573471070">
      <w:bodyDiv w:val="1"/>
      <w:marLeft w:val="0"/>
      <w:marRight w:val="0"/>
      <w:marTop w:val="0"/>
      <w:marBottom w:val="0"/>
      <w:divBdr>
        <w:top w:val="none" w:sz="0" w:space="0" w:color="auto"/>
        <w:left w:val="none" w:sz="0" w:space="0" w:color="auto"/>
        <w:bottom w:val="none" w:sz="0" w:space="0" w:color="auto"/>
        <w:right w:val="none" w:sz="0" w:space="0" w:color="auto"/>
      </w:divBdr>
    </w:div>
    <w:div w:id="1620337860">
      <w:bodyDiv w:val="1"/>
      <w:marLeft w:val="0"/>
      <w:marRight w:val="0"/>
      <w:marTop w:val="0"/>
      <w:marBottom w:val="0"/>
      <w:divBdr>
        <w:top w:val="none" w:sz="0" w:space="0" w:color="auto"/>
        <w:left w:val="none" w:sz="0" w:space="0" w:color="auto"/>
        <w:bottom w:val="none" w:sz="0" w:space="0" w:color="auto"/>
        <w:right w:val="none" w:sz="0" w:space="0" w:color="auto"/>
      </w:divBdr>
    </w:div>
    <w:div w:id="194807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irs.org.au/health-professionals/specialist-immunisation-servi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ervicesaustralia.gov.au/im011" TargetMode="External"/><Relationship Id="rId17" Type="http://schemas.openxmlformats.org/officeDocument/2006/relationships/hyperlink" Target="https://www.tga.gov.au/resources/resource/forms/national-adverse-events-following-immunisation-aefi-reporting-form" TargetMode="External"/><Relationship Id="rId2" Type="http://schemas.openxmlformats.org/officeDocument/2006/relationships/customXml" Target="../customXml/item2.xml"/><Relationship Id="rId16" Type="http://schemas.openxmlformats.org/officeDocument/2006/relationships/hyperlink" Target="https://immunisationhandbook.health.gov.au/contents/vaccine-preventable-diseases/covid-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munisationhandbook.health.gov.au/contents/vaccine-preventable-diseases/covid-19" TargetMode="External"/><Relationship Id="rId5" Type="http://schemas.openxmlformats.org/officeDocument/2006/relationships/numbering" Target="numbering.xml"/><Relationship Id="rId15" Type="http://schemas.openxmlformats.org/officeDocument/2006/relationships/hyperlink" Target="https://www.servicesaustralia.gov.au/organisations/health-professionals/forms/im011"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contents/vaccine-preventable-diseases/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20B6FFFCFF245BCCCB4BA72E5CC3A" ma:contentTypeVersion="7" ma:contentTypeDescription="Create a new document." ma:contentTypeScope="" ma:versionID="435e54da9174750eb69bfed08195c665">
  <xsd:schema xmlns:xsd="http://www.w3.org/2001/XMLSchema" xmlns:xs="http://www.w3.org/2001/XMLSchema" xmlns:p="http://schemas.microsoft.com/office/2006/metadata/properties" xmlns:ns2="570bbaef-f91e-4736-b137-4b898025cca1" xmlns:ns3="d5fa042a-e6d3-440b-a150-ea7b6cb35d5b" targetNamespace="http://schemas.microsoft.com/office/2006/metadata/properties" ma:root="true" ma:fieldsID="b3d12a8c797cafe784bb7de02c080143" ns2:_="" ns3:_="">
    <xsd:import namespace="570bbaef-f91e-4736-b137-4b898025cca1"/>
    <xsd:import namespace="d5fa042a-e6d3-440b-a150-ea7b6cb35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baef-f91e-4736-b137-4b898025c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a042a-e6d3-440b-a150-ea7b6cb35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Opt</b:Tag>
    <b:SourceType>JournalArticle</b:SourceType>
    <b:Guid>{A34B24FE-12DE-4A3A-872A-FA5A8E8381E6}</b:Guid>
    <b:Author>
      <b:Author>
        <b:NameList>
          <b:Person>
            <b:Last>impact</b:Last>
            <b:First>Optimising</b:First>
            <b:Middle>the COVID-19 vaccination programme for maximum short-term</b:Middle>
          </b:Person>
        </b:NameList>
      </b:Author>
    </b:Autho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d5fa042a-e6d3-440b-a150-ea7b6cb35d5b">
      <UserInfo>
        <DisplayName>HARVEY, Bronwen</DisplayName>
        <AccountId>7853</AccountId>
        <AccountType/>
      </UserInfo>
    </SharedWithUsers>
  </documentManagement>
</p:properties>
</file>

<file path=customXml/itemProps1.xml><?xml version="1.0" encoding="utf-8"?>
<ds:datastoreItem xmlns:ds="http://schemas.openxmlformats.org/officeDocument/2006/customXml" ds:itemID="{77A9DE42-9700-40B6-B8B9-A6448B136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bbaef-f91e-4736-b137-4b898025cca1"/>
    <ds:schemaRef ds:uri="d5fa042a-e6d3-440b-a150-ea7b6cb35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09AB6-5C2D-451A-9063-4926767C1A03}">
  <ds:schemaRefs>
    <ds:schemaRef ds:uri="http://schemas.microsoft.com/sharepoint/v3/contenttype/forms"/>
  </ds:schemaRefs>
</ds:datastoreItem>
</file>

<file path=customXml/itemProps3.xml><?xml version="1.0" encoding="utf-8"?>
<ds:datastoreItem xmlns:ds="http://schemas.openxmlformats.org/officeDocument/2006/customXml" ds:itemID="{FE0E3EAD-2A30-4FB6-8E21-24F555BCBE42}">
  <ds:schemaRefs>
    <ds:schemaRef ds:uri="http://schemas.openxmlformats.org/officeDocument/2006/bibliography"/>
  </ds:schemaRefs>
</ds:datastoreItem>
</file>

<file path=customXml/itemProps4.xml><?xml version="1.0" encoding="utf-8"?>
<ds:datastoreItem xmlns:ds="http://schemas.openxmlformats.org/officeDocument/2006/customXml" ds:itemID="{B196D5AA-EDB2-433E-AAF6-20C317B9FC8E}">
  <ds:schemaRefs>
    <ds:schemaRef ds:uri="http://schemas.microsoft.com/office/2006/metadata/properties"/>
    <ds:schemaRef ds:uri="http://schemas.microsoft.com/office/infopath/2007/PartnerControls"/>
    <ds:schemaRef ds:uri="d5fa042a-e6d3-440b-a150-ea7b6cb35d5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ATAGI expanded guidance on acute major medical conditions that warrant a temporary medical exemption relevant for COVID-19 vaccines</vt:lpstr>
    </vt:vector>
  </TitlesOfParts>
  <Manager/>
  <Company/>
  <LinksUpToDate>false</LinksUpToDate>
  <CharactersWithSpaces>6702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expanded guidance on acute major medical conditions that warrant a temporary medical exemption relevant for COVID-19 vaccines</dc:title>
  <dc:subject>COVID-19 vaccination</dc:subject>
  <dc:creator>Australian Government Department of Health and Aged Care</dc:creator>
  <cp:keywords>communicable diseases; emergency health management; immunisation</cp:keywords>
  <dc:description/>
  <cp:lastModifiedBy>MASCHKE, Elvia</cp:lastModifiedBy>
  <cp:revision>3</cp:revision>
  <cp:lastPrinted>2024-01-11T23:03:00Z</cp:lastPrinted>
  <dcterms:created xsi:type="dcterms:W3CDTF">2024-01-12T01:36:00Z</dcterms:created>
  <dcterms:modified xsi:type="dcterms:W3CDTF">2024-01-12T01:37:00Z</dcterms:modified>
  <cp:category/>
</cp:coreProperties>
</file>