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609DD8AC" w:rsidR="003F118A" w:rsidRDefault="004C4753" w:rsidP="00164E7C">
      <w:pPr>
        <w:pStyle w:val="Heading2"/>
        <w:spacing w:before="0" w:after="120"/>
      </w:pPr>
      <w:r>
        <w:t xml:space="preserve">Communique </w:t>
      </w:r>
      <w:r w:rsidR="00182F06">
        <w:t>25</w:t>
      </w:r>
      <w:r>
        <w:t xml:space="preserve"> J</w:t>
      </w:r>
      <w:r w:rsidR="00182F06">
        <w:t>uly</w:t>
      </w:r>
      <w:r>
        <w:t xml:space="preserve"> 2023 meeting</w:t>
      </w:r>
      <w:r w:rsidR="003F118A" w:rsidRPr="003F118A">
        <w:t xml:space="preserve"> </w:t>
      </w:r>
    </w:p>
    <w:p w14:paraId="40756B24" w14:textId="77777777" w:rsidR="004C4753" w:rsidRDefault="004C4753" w:rsidP="00164E7C">
      <w:pPr>
        <w:pStyle w:val="Heading3"/>
        <w:spacing w:before="0" w:after="120"/>
        <w:rPr>
          <w:rFonts w:cs="Times New Roman"/>
          <w:b w:val="0"/>
          <w:bCs w:val="0"/>
          <w:color w:val="000000" w:themeColor="text1"/>
          <w:sz w:val="22"/>
          <w:szCs w:val="24"/>
        </w:rPr>
      </w:pPr>
    </w:p>
    <w:p w14:paraId="16706DD4" w14:textId="3D8A8A69" w:rsidR="003119D3" w:rsidRPr="004E706D" w:rsidRDefault="00346A85" w:rsidP="009D362B">
      <w:pPr>
        <w:pStyle w:val="Heading3"/>
        <w:spacing w:before="0" w:after="120"/>
        <w:rPr>
          <w:rFonts w:cs="Times New Roman"/>
          <w:b w:val="0"/>
          <w:bCs w:val="0"/>
          <w:color w:val="000000" w:themeColor="text1"/>
          <w:sz w:val="22"/>
          <w:szCs w:val="24"/>
        </w:rPr>
      </w:pPr>
      <w:r w:rsidRPr="003F118A">
        <w:rPr>
          <w:rFonts w:cs="Times New Roman"/>
          <w:b w:val="0"/>
          <w:bCs w:val="0"/>
          <w:color w:val="000000" w:themeColor="text1"/>
          <w:sz w:val="22"/>
          <w:szCs w:val="24"/>
        </w:rPr>
        <w:t>The</w:t>
      </w:r>
      <w:r w:rsidR="00174F6E" w:rsidRPr="003F118A">
        <w:rPr>
          <w:rFonts w:cs="Times New Roman"/>
          <w:b w:val="0"/>
          <w:bCs w:val="0"/>
          <w:color w:val="000000" w:themeColor="text1"/>
          <w:sz w:val="22"/>
          <w:szCs w:val="24"/>
        </w:rPr>
        <w:t xml:space="preserve"> </w:t>
      </w:r>
      <w:r w:rsidRPr="003F118A">
        <w:rPr>
          <w:rFonts w:cs="Times New Roman"/>
          <w:b w:val="0"/>
          <w:bCs w:val="0"/>
          <w:color w:val="000000" w:themeColor="text1"/>
          <w:sz w:val="22"/>
          <w:szCs w:val="24"/>
        </w:rPr>
        <w:t>Aged Care Taskforce</w:t>
      </w:r>
      <w:r w:rsidR="00214577" w:rsidRPr="003F118A">
        <w:rPr>
          <w:rFonts w:cs="Times New Roman"/>
          <w:b w:val="0"/>
          <w:bCs w:val="0"/>
          <w:color w:val="000000" w:themeColor="text1"/>
          <w:sz w:val="22"/>
          <w:szCs w:val="24"/>
        </w:rPr>
        <w:t xml:space="preserve"> </w:t>
      </w:r>
      <w:r w:rsidR="00DB7DC6">
        <w:rPr>
          <w:rFonts w:cs="Times New Roman"/>
          <w:b w:val="0"/>
          <w:bCs w:val="0"/>
          <w:color w:val="000000" w:themeColor="text1"/>
          <w:sz w:val="22"/>
          <w:szCs w:val="24"/>
        </w:rPr>
        <w:t xml:space="preserve">held its </w:t>
      </w:r>
      <w:r w:rsidR="00E6769C" w:rsidRPr="00E6769C">
        <w:rPr>
          <w:rFonts w:cs="Times New Roman"/>
          <w:b w:val="0"/>
          <w:bCs w:val="0"/>
          <w:color w:val="000000" w:themeColor="text1"/>
          <w:sz w:val="22"/>
          <w:szCs w:val="24"/>
        </w:rPr>
        <w:t>second meeting on 25 July 2023 in Adelaide. The meeting included a discussion on draft principles for the funding of aged care, and on the scope of the Taskforce’s work and community engagement.</w:t>
      </w:r>
    </w:p>
    <w:p w14:paraId="085123DE" w14:textId="7A131020" w:rsidR="003119D3" w:rsidRPr="004E706D" w:rsidRDefault="00E6769C" w:rsidP="009D362B">
      <w:pPr>
        <w:pStyle w:val="Heading3"/>
        <w:spacing w:before="0" w:after="120"/>
        <w:rPr>
          <w:rFonts w:cs="Times New Roman"/>
          <w:b w:val="0"/>
          <w:bCs w:val="0"/>
          <w:color w:val="000000" w:themeColor="text1"/>
          <w:sz w:val="22"/>
          <w:szCs w:val="24"/>
        </w:rPr>
      </w:pPr>
      <w:r w:rsidRPr="00E6769C">
        <w:rPr>
          <w:rFonts w:cs="Times New Roman"/>
          <w:b w:val="0"/>
          <w:bCs w:val="0"/>
          <w:color w:val="000000" w:themeColor="text1"/>
          <w:sz w:val="22"/>
          <w:szCs w:val="24"/>
        </w:rPr>
        <w:t>The Taskforce discussed and agreed a set of draft principles for the funding of aged care. The draft principles are intended to act as a base for ongoing discussions within the taskforce and with the community and will be revised accordingly following those discussions. They will also guide the development of the Taskforce’s advice to government. A copy of the draft principles is below.</w:t>
      </w:r>
    </w:p>
    <w:p w14:paraId="4D9CACF6" w14:textId="7BCCB319" w:rsidR="00857485" w:rsidRPr="00A45612" w:rsidRDefault="00E6769C" w:rsidP="00A45612">
      <w:pPr>
        <w:pStyle w:val="Heading3"/>
        <w:spacing w:before="0" w:after="120"/>
        <w:rPr>
          <w:rFonts w:cs="Times New Roman"/>
          <w:b w:val="0"/>
          <w:bCs w:val="0"/>
          <w:color w:val="000000" w:themeColor="text1"/>
          <w:sz w:val="22"/>
          <w:szCs w:val="24"/>
        </w:rPr>
      </w:pPr>
      <w:r w:rsidRPr="00E6769C">
        <w:rPr>
          <w:rFonts w:cs="Times New Roman"/>
          <w:b w:val="0"/>
          <w:bCs w:val="0"/>
          <w:color w:val="000000" w:themeColor="text1"/>
          <w:sz w:val="22"/>
          <w:szCs w:val="24"/>
        </w:rPr>
        <w:t>The Taskforce noted that significant community engagement and data analysis and research will be required to inform its deliberations and advice to government. In addition to targeted consultation, the Taskforce will conduct a public submission process, which will be available through the Aged Care Engagement Hub).</w:t>
      </w:r>
    </w:p>
    <w:p w14:paraId="28EACC53" w14:textId="416BE884" w:rsidR="004A33CD" w:rsidRPr="00F75E86" w:rsidRDefault="00857485" w:rsidP="00F75E86">
      <w:pPr>
        <w:pStyle w:val="Heading4"/>
        <w:rPr>
          <w:i w:val="0"/>
          <w:iCs/>
        </w:rPr>
      </w:pPr>
      <w:r w:rsidRPr="00F75E86">
        <w:rPr>
          <w:i w:val="0"/>
          <w:iCs/>
        </w:rPr>
        <w:t>Draft aged care funding principles</w:t>
      </w:r>
    </w:p>
    <w:p w14:paraId="2DA2AEFD" w14:textId="5430ED6F" w:rsidR="007E23E0" w:rsidRPr="004A33CD" w:rsidRDefault="00857485" w:rsidP="004A33CD">
      <w:pPr>
        <w:pStyle w:val="Heading3"/>
        <w:spacing w:before="0" w:after="120"/>
        <w:rPr>
          <w:rFonts w:cs="Times New Roman"/>
          <w:b w:val="0"/>
          <w:bCs w:val="0"/>
          <w:color w:val="000000" w:themeColor="text1"/>
          <w:sz w:val="22"/>
          <w:szCs w:val="24"/>
        </w:rPr>
      </w:pPr>
      <w:r w:rsidRPr="00A45612">
        <w:rPr>
          <w:rFonts w:cs="Times New Roman"/>
          <w:b w:val="0"/>
          <w:bCs w:val="0"/>
          <w:color w:val="000000" w:themeColor="text1"/>
          <w:sz w:val="22"/>
          <w:szCs w:val="24"/>
        </w:rPr>
        <w:t>Note: The following principles were developed by the Aged Care Taskforce at its July meeting. These principles are considered draft and may change subject to further Taskforce deliberations.</w:t>
      </w:r>
    </w:p>
    <w:p w14:paraId="3973C8C6" w14:textId="3FC6C12E" w:rsidR="003119D3" w:rsidRPr="003119D3" w:rsidRDefault="00857485" w:rsidP="003119D3">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1</w:t>
      </w:r>
      <w:r w:rsidRPr="00A45612">
        <w:rPr>
          <w:rFonts w:cs="Times New Roman"/>
          <w:b w:val="0"/>
          <w:bCs w:val="0"/>
          <w:color w:val="000000" w:themeColor="text1"/>
          <w:sz w:val="22"/>
          <w:szCs w:val="24"/>
        </w:rPr>
        <w:t xml:space="preserve"> – The aged care system should enable and encourage participants to remain in their home for as long as they wish and can do so.</w:t>
      </w:r>
    </w:p>
    <w:p w14:paraId="4C0A86A2" w14:textId="4250B16F" w:rsidR="00857485" w:rsidRPr="00A45612" w:rsidRDefault="00857485" w:rsidP="00A45612">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2</w:t>
      </w:r>
      <w:r w:rsidRPr="00A45612">
        <w:rPr>
          <w:rFonts w:cs="Times New Roman"/>
          <w:b w:val="0"/>
          <w:bCs w:val="0"/>
          <w:color w:val="000000" w:themeColor="text1"/>
          <w:sz w:val="22"/>
          <w:szCs w:val="24"/>
        </w:rPr>
        <w:t xml:space="preserve"> – Aged care funding arrangements and their outcomes should be fair, simple, </w:t>
      </w:r>
      <w:proofErr w:type="gramStart"/>
      <w:r w:rsidRPr="00A45612">
        <w:rPr>
          <w:rFonts w:cs="Times New Roman"/>
          <w:b w:val="0"/>
          <w:bCs w:val="0"/>
          <w:color w:val="000000" w:themeColor="text1"/>
          <w:sz w:val="22"/>
          <w:szCs w:val="24"/>
        </w:rPr>
        <w:t>transparent</w:t>
      </w:r>
      <w:proofErr w:type="gramEnd"/>
      <w:r w:rsidRPr="00A45612">
        <w:rPr>
          <w:rFonts w:cs="Times New Roman"/>
          <w:b w:val="0"/>
          <w:bCs w:val="0"/>
          <w:color w:val="000000" w:themeColor="text1"/>
          <w:sz w:val="22"/>
          <w:szCs w:val="24"/>
        </w:rPr>
        <w:t xml:space="preserve"> and sustainable.</w:t>
      </w:r>
    </w:p>
    <w:p w14:paraId="6CCED6E5" w14:textId="06F1B40B" w:rsidR="00857485" w:rsidRPr="00A45612" w:rsidRDefault="00857485" w:rsidP="00A45612">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3</w:t>
      </w:r>
      <w:r w:rsidRPr="00A45612">
        <w:rPr>
          <w:rFonts w:cs="Times New Roman"/>
          <w:b w:val="0"/>
          <w:bCs w:val="0"/>
          <w:color w:val="000000" w:themeColor="text1"/>
          <w:sz w:val="22"/>
          <w:szCs w:val="24"/>
        </w:rPr>
        <w:t xml:space="preserve"> – Government is and will continue to be the major funder of aged care. Government funding should be focused on care costs. Personal contributions should be focused on accommodation and everyday living costs with a sufficient safety net.</w:t>
      </w:r>
    </w:p>
    <w:p w14:paraId="4A43EF11" w14:textId="1DA788C6" w:rsidR="00857485" w:rsidRPr="00A45612" w:rsidRDefault="00857485" w:rsidP="00A45612">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4</w:t>
      </w:r>
      <w:r w:rsidRPr="00A45612">
        <w:rPr>
          <w:rFonts w:cs="Times New Roman"/>
          <w:b w:val="0"/>
          <w:bCs w:val="0"/>
          <w:color w:val="000000" w:themeColor="text1"/>
          <w:sz w:val="22"/>
          <w:szCs w:val="24"/>
        </w:rPr>
        <w:t xml:space="preserve"> – Government and participant contributions should be sufficient to provide quality and appropriate care delivered by a skilled workforce, </w:t>
      </w:r>
      <w:proofErr w:type="gramStart"/>
      <w:r w:rsidRPr="00A45612">
        <w:rPr>
          <w:rFonts w:cs="Times New Roman"/>
          <w:b w:val="0"/>
          <w:bCs w:val="0"/>
          <w:color w:val="000000" w:themeColor="text1"/>
          <w:sz w:val="22"/>
          <w:szCs w:val="24"/>
        </w:rPr>
        <w:t>allowing</w:t>
      </w:r>
      <w:proofErr w:type="gramEnd"/>
      <w:r w:rsidRPr="00A45612">
        <w:rPr>
          <w:rFonts w:cs="Times New Roman"/>
          <w:b w:val="0"/>
          <w:bCs w:val="0"/>
          <w:color w:val="000000" w:themeColor="text1"/>
          <w:sz w:val="22"/>
          <w:szCs w:val="24"/>
        </w:rPr>
        <w:t xml:space="preserve"> and encouraging innovation by the health, hospital and aged care systems.</w:t>
      </w:r>
    </w:p>
    <w:p w14:paraId="00624254" w14:textId="5A7E8037" w:rsidR="00857485" w:rsidRPr="00A45612" w:rsidRDefault="00857485" w:rsidP="00A45612">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5</w:t>
      </w:r>
      <w:r w:rsidRPr="00A45612">
        <w:rPr>
          <w:rFonts w:cs="Times New Roman"/>
          <w:b w:val="0"/>
          <w:bCs w:val="0"/>
          <w:color w:val="000000" w:themeColor="text1"/>
          <w:sz w:val="22"/>
          <w:szCs w:val="24"/>
        </w:rPr>
        <w:t xml:space="preserve"> – There should be accountability for funding received from government and participants, how it is spent, and the quality of the services provided. </w:t>
      </w:r>
    </w:p>
    <w:p w14:paraId="777B71F5" w14:textId="54973CDF" w:rsidR="00857485" w:rsidRPr="00A45612" w:rsidRDefault="00857485" w:rsidP="00A45612">
      <w:pPr>
        <w:pStyle w:val="Heading3"/>
        <w:spacing w:before="0" w:after="120"/>
        <w:rPr>
          <w:rFonts w:cs="Times New Roman"/>
          <w:b w:val="0"/>
          <w:bCs w:val="0"/>
          <w:color w:val="000000" w:themeColor="text1"/>
          <w:sz w:val="22"/>
          <w:szCs w:val="24"/>
        </w:rPr>
      </w:pPr>
      <w:r w:rsidRPr="004A33CD">
        <w:rPr>
          <w:rFonts w:cs="Times New Roman"/>
          <w:color w:val="000000" w:themeColor="text1"/>
          <w:sz w:val="22"/>
          <w:szCs w:val="24"/>
        </w:rPr>
        <w:t>Principle 6</w:t>
      </w:r>
      <w:r w:rsidRPr="00A45612">
        <w:rPr>
          <w:rFonts w:cs="Times New Roman"/>
          <w:b w:val="0"/>
          <w:bCs w:val="0"/>
          <w:color w:val="000000" w:themeColor="text1"/>
          <w:sz w:val="22"/>
          <w:szCs w:val="24"/>
        </w:rPr>
        <w:t xml:space="preserve"> – The residential sector should have access to sufficient, and new, capital to encourage the development of new accommodation and upgrades to existing accommodation.</w:t>
      </w:r>
    </w:p>
    <w:p w14:paraId="0274092B" w14:textId="77777777" w:rsidR="00857485" w:rsidRDefault="00857485" w:rsidP="00857485"/>
    <w:p w14:paraId="2757D26D" w14:textId="77777777" w:rsidR="00857485" w:rsidRPr="00857485" w:rsidRDefault="00857485" w:rsidP="00857485"/>
    <w:sectPr w:rsidR="00857485" w:rsidRPr="0085748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C69" w14:textId="77777777" w:rsidR="00E33F05" w:rsidRDefault="00E33F05" w:rsidP="00934368">
      <w:r>
        <w:separator/>
      </w:r>
    </w:p>
    <w:p w14:paraId="2BCB5180" w14:textId="77777777" w:rsidR="00E33F05" w:rsidRDefault="00E33F05" w:rsidP="00934368"/>
    <w:p w14:paraId="32026EAC" w14:textId="77777777" w:rsidR="00E33F05" w:rsidRDefault="00E33F05"/>
    <w:p w14:paraId="225C87CA" w14:textId="77777777" w:rsidR="00E33F05" w:rsidRDefault="00E33F05"/>
  </w:endnote>
  <w:endnote w:type="continuationSeparator" w:id="0">
    <w:p w14:paraId="61129C40" w14:textId="77777777" w:rsidR="00E33F05" w:rsidRDefault="00E33F05" w:rsidP="00934368">
      <w:r>
        <w:continuationSeparator/>
      </w:r>
    </w:p>
    <w:p w14:paraId="22013BE3" w14:textId="77777777" w:rsidR="00E33F05" w:rsidRDefault="00E33F05" w:rsidP="00934368"/>
    <w:p w14:paraId="246337E0" w14:textId="77777777" w:rsidR="00E33F05" w:rsidRDefault="00E33F05"/>
    <w:p w14:paraId="0D636000" w14:textId="77777777" w:rsidR="00E33F05" w:rsidRDefault="00E33F05"/>
  </w:endnote>
  <w:endnote w:type="continuationNotice" w:id="1">
    <w:p w14:paraId="508B1422" w14:textId="77777777" w:rsidR="00E33F05" w:rsidRDefault="00E33F05" w:rsidP="00934368"/>
    <w:p w14:paraId="029031D9" w14:textId="77777777" w:rsidR="00E33F05" w:rsidRDefault="00E33F05"/>
    <w:p w14:paraId="70D50EF9" w14:textId="77777777" w:rsidR="00E33F05" w:rsidRDefault="00E33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0319" w14:textId="77777777" w:rsidR="00E33F05" w:rsidRDefault="00E33F05" w:rsidP="00934368">
      <w:r>
        <w:separator/>
      </w:r>
    </w:p>
    <w:p w14:paraId="0674C820" w14:textId="77777777" w:rsidR="00E33F05" w:rsidRDefault="00E33F05" w:rsidP="00934368"/>
    <w:p w14:paraId="492E38A2" w14:textId="77777777" w:rsidR="00E33F05" w:rsidRDefault="00E33F05"/>
    <w:p w14:paraId="0D3F83DC" w14:textId="77777777" w:rsidR="00E33F05" w:rsidRDefault="00E33F05"/>
  </w:footnote>
  <w:footnote w:type="continuationSeparator" w:id="0">
    <w:p w14:paraId="48CF9E8E" w14:textId="77777777" w:rsidR="00E33F05" w:rsidRDefault="00E33F05" w:rsidP="00934368">
      <w:r>
        <w:continuationSeparator/>
      </w:r>
    </w:p>
    <w:p w14:paraId="60028D45" w14:textId="77777777" w:rsidR="00E33F05" w:rsidRDefault="00E33F05" w:rsidP="00934368"/>
    <w:p w14:paraId="5CF2682E" w14:textId="77777777" w:rsidR="00E33F05" w:rsidRDefault="00E33F05"/>
    <w:p w14:paraId="5A939DED" w14:textId="77777777" w:rsidR="00E33F05" w:rsidRDefault="00E33F05"/>
  </w:footnote>
  <w:footnote w:type="continuationNotice" w:id="1">
    <w:p w14:paraId="68035877" w14:textId="77777777" w:rsidR="00E33F05" w:rsidRDefault="00E33F05" w:rsidP="00934368"/>
    <w:p w14:paraId="6365C3B1" w14:textId="77777777" w:rsidR="00E33F05" w:rsidRDefault="00E33F05"/>
    <w:p w14:paraId="52113DCF" w14:textId="77777777" w:rsidR="00E33F05" w:rsidRDefault="00E33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22468"/>
    <w:multiLevelType w:val="hybridMultilevel"/>
    <w:tmpl w:val="D622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44536"/>
    <w:multiLevelType w:val="hybridMultilevel"/>
    <w:tmpl w:val="C3E6F49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strike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B95CD4"/>
    <w:multiLevelType w:val="hybridMultilevel"/>
    <w:tmpl w:val="0D8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EA0285"/>
    <w:multiLevelType w:val="hybridMultilevel"/>
    <w:tmpl w:val="B98E3434"/>
    <w:lvl w:ilvl="0" w:tplc="1424EFB0">
      <w:start w:val="1"/>
      <w:numFmt w:val="decimal"/>
      <w:lvlText w:val="%1."/>
      <w:lvlJc w:val="left"/>
      <w:pPr>
        <w:ind w:left="360" w:hanging="360"/>
      </w:pPr>
      <w:rPr>
        <w:b w:val="0"/>
      </w:rPr>
    </w:lvl>
    <w:lvl w:ilvl="1" w:tplc="35849AE6">
      <w:start w:val="1"/>
      <w:numFmt w:val="lowerLetter"/>
      <w:lvlText w:val="%2."/>
      <w:lvlJc w:val="left"/>
      <w:pPr>
        <w:ind w:left="1494"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5B3D96"/>
    <w:multiLevelType w:val="hybridMultilevel"/>
    <w:tmpl w:val="AC5E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C6445"/>
    <w:multiLevelType w:val="hybridMultilevel"/>
    <w:tmpl w:val="57B67474"/>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62C50"/>
    <w:multiLevelType w:val="hybridMultilevel"/>
    <w:tmpl w:val="C684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403EE"/>
    <w:multiLevelType w:val="hybridMultilevel"/>
    <w:tmpl w:val="1A3838A4"/>
    <w:lvl w:ilvl="0" w:tplc="724E9126">
      <w:start w:val="1"/>
      <w:numFmt w:val="bullet"/>
      <w:lvlText w:val=""/>
      <w:lvlJc w:val="left"/>
      <w:pPr>
        <w:ind w:left="720" w:hanging="360"/>
      </w:pPr>
      <w:rPr>
        <w:rFonts w:ascii="Symbol" w:hAnsi="Symbol" w:hint="default"/>
      </w:rPr>
    </w:lvl>
    <w:lvl w:ilvl="1" w:tplc="08C8309C">
      <w:start w:val="1"/>
      <w:numFmt w:val="bullet"/>
      <w:lvlText w:val=""/>
      <w:lvlJc w:val="left"/>
      <w:pPr>
        <w:ind w:left="1440" w:hanging="360"/>
      </w:pPr>
      <w:rPr>
        <w:rFonts w:ascii="Symbol" w:hAnsi="Symbol" w:hint="default"/>
      </w:rPr>
    </w:lvl>
    <w:lvl w:ilvl="2" w:tplc="28D03892">
      <w:start w:val="1"/>
      <w:numFmt w:val="bullet"/>
      <w:lvlText w:val=""/>
      <w:lvlJc w:val="left"/>
      <w:pPr>
        <w:ind w:left="2160" w:hanging="360"/>
      </w:pPr>
      <w:rPr>
        <w:rFonts w:ascii="Wingdings" w:hAnsi="Wingdings" w:hint="default"/>
      </w:rPr>
    </w:lvl>
    <w:lvl w:ilvl="3" w:tplc="AC9A0D34">
      <w:start w:val="1"/>
      <w:numFmt w:val="bullet"/>
      <w:lvlText w:val=""/>
      <w:lvlJc w:val="left"/>
      <w:pPr>
        <w:ind w:left="2880" w:hanging="360"/>
      </w:pPr>
      <w:rPr>
        <w:rFonts w:ascii="Symbol" w:hAnsi="Symbol" w:hint="default"/>
      </w:rPr>
    </w:lvl>
    <w:lvl w:ilvl="4" w:tplc="DEF62616">
      <w:start w:val="1"/>
      <w:numFmt w:val="bullet"/>
      <w:lvlText w:val="o"/>
      <w:lvlJc w:val="left"/>
      <w:pPr>
        <w:ind w:left="3600" w:hanging="360"/>
      </w:pPr>
      <w:rPr>
        <w:rFonts w:ascii="Courier New" w:hAnsi="Courier New" w:hint="default"/>
      </w:rPr>
    </w:lvl>
    <w:lvl w:ilvl="5" w:tplc="6D98F158">
      <w:start w:val="1"/>
      <w:numFmt w:val="bullet"/>
      <w:lvlText w:val=""/>
      <w:lvlJc w:val="left"/>
      <w:pPr>
        <w:ind w:left="4320" w:hanging="360"/>
      </w:pPr>
      <w:rPr>
        <w:rFonts w:ascii="Wingdings" w:hAnsi="Wingdings" w:hint="default"/>
      </w:rPr>
    </w:lvl>
    <w:lvl w:ilvl="6" w:tplc="62D600B2">
      <w:start w:val="1"/>
      <w:numFmt w:val="bullet"/>
      <w:lvlText w:val=""/>
      <w:lvlJc w:val="left"/>
      <w:pPr>
        <w:ind w:left="5040" w:hanging="360"/>
      </w:pPr>
      <w:rPr>
        <w:rFonts w:ascii="Symbol" w:hAnsi="Symbol" w:hint="default"/>
      </w:rPr>
    </w:lvl>
    <w:lvl w:ilvl="7" w:tplc="2272DD1E">
      <w:start w:val="1"/>
      <w:numFmt w:val="bullet"/>
      <w:lvlText w:val="o"/>
      <w:lvlJc w:val="left"/>
      <w:pPr>
        <w:ind w:left="5760" w:hanging="360"/>
      </w:pPr>
      <w:rPr>
        <w:rFonts w:ascii="Courier New" w:hAnsi="Courier New" w:hint="default"/>
      </w:rPr>
    </w:lvl>
    <w:lvl w:ilvl="8" w:tplc="42FC16D2">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C746E91"/>
    <w:multiLevelType w:val="hybridMultilevel"/>
    <w:tmpl w:val="F2F2C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A887B69"/>
    <w:multiLevelType w:val="hybridMultilevel"/>
    <w:tmpl w:val="57E2E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DE3424"/>
    <w:multiLevelType w:val="hybridMultilevel"/>
    <w:tmpl w:val="FB7C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5494"/>
    <w:multiLevelType w:val="hybridMultilevel"/>
    <w:tmpl w:val="D8666112"/>
    <w:lvl w:ilvl="0" w:tplc="1424EFB0">
      <w:start w:val="1"/>
      <w:numFmt w:val="decimal"/>
      <w:lvlText w:val="%1."/>
      <w:lvlJc w:val="left"/>
      <w:pPr>
        <w:ind w:left="360" w:hanging="360"/>
      </w:pPr>
      <w:rPr>
        <w:b w:val="0"/>
      </w:rPr>
    </w:lvl>
    <w:lvl w:ilvl="1" w:tplc="0C090001">
      <w:start w:val="1"/>
      <w:numFmt w:val="bullet"/>
      <w:lvlText w:val=""/>
      <w:lvlJc w:val="left"/>
      <w:pPr>
        <w:ind w:left="1494" w:hanging="360"/>
      </w:pPr>
      <w:rPr>
        <w:rFonts w:ascii="Symbol" w:hAnsi="Symbol"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F994C0B"/>
    <w:multiLevelType w:val="hybridMultilevel"/>
    <w:tmpl w:val="5F32886E"/>
    <w:lvl w:ilvl="0" w:tplc="676E3DE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B22BA"/>
    <w:multiLevelType w:val="hybridMultilevel"/>
    <w:tmpl w:val="0234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BF5FB0"/>
    <w:multiLevelType w:val="hybridMultilevel"/>
    <w:tmpl w:val="3714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FA1FEC"/>
    <w:multiLevelType w:val="multilevel"/>
    <w:tmpl w:val="BC00C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78130362">
    <w:abstractNumId w:val="19"/>
  </w:num>
  <w:num w:numId="2" w16cid:durableId="323245154">
    <w:abstractNumId w:val="7"/>
  </w:num>
  <w:num w:numId="3" w16cid:durableId="840701719">
    <w:abstractNumId w:val="25"/>
  </w:num>
  <w:num w:numId="4" w16cid:durableId="16741035">
    <w:abstractNumId w:val="33"/>
  </w:num>
  <w:num w:numId="5" w16cid:durableId="441997084">
    <w:abstractNumId w:val="8"/>
  </w:num>
  <w:num w:numId="6" w16cid:durableId="854617169">
    <w:abstractNumId w:val="8"/>
    <w:lvlOverride w:ilvl="0">
      <w:startOverride w:val="1"/>
    </w:lvlOverride>
  </w:num>
  <w:num w:numId="7" w16cid:durableId="331026684">
    <w:abstractNumId w:val="10"/>
  </w:num>
  <w:num w:numId="8" w16cid:durableId="1057362780">
    <w:abstractNumId w:val="22"/>
  </w:num>
  <w:num w:numId="9" w16cid:durableId="1881553811">
    <w:abstractNumId w:val="30"/>
  </w:num>
  <w:num w:numId="10" w16cid:durableId="1478063106">
    <w:abstractNumId w:val="5"/>
  </w:num>
  <w:num w:numId="11" w16cid:durableId="1919439319">
    <w:abstractNumId w:val="4"/>
  </w:num>
  <w:num w:numId="12" w16cid:durableId="2041473933">
    <w:abstractNumId w:val="3"/>
  </w:num>
  <w:num w:numId="13" w16cid:durableId="1599947214">
    <w:abstractNumId w:val="2"/>
  </w:num>
  <w:num w:numId="14" w16cid:durableId="1861552161">
    <w:abstractNumId w:val="6"/>
  </w:num>
  <w:num w:numId="15" w16cid:durableId="349336913">
    <w:abstractNumId w:val="1"/>
  </w:num>
  <w:num w:numId="16" w16cid:durableId="1871457730">
    <w:abstractNumId w:val="0"/>
  </w:num>
  <w:num w:numId="17" w16cid:durableId="1672223096">
    <w:abstractNumId w:val="34"/>
  </w:num>
  <w:num w:numId="18" w16cid:durableId="1884058379">
    <w:abstractNumId w:val="12"/>
  </w:num>
  <w:num w:numId="19" w16cid:durableId="1731147326">
    <w:abstractNumId w:val="14"/>
  </w:num>
  <w:num w:numId="20" w16cid:durableId="836461501">
    <w:abstractNumId w:val="20"/>
  </w:num>
  <w:num w:numId="21" w16cid:durableId="758988438">
    <w:abstractNumId w:val="12"/>
  </w:num>
  <w:num w:numId="22" w16cid:durableId="2032608385">
    <w:abstractNumId w:val="20"/>
  </w:num>
  <w:num w:numId="23" w16cid:durableId="2123769568">
    <w:abstractNumId w:val="34"/>
  </w:num>
  <w:num w:numId="24" w16cid:durableId="377433139">
    <w:abstractNumId w:val="25"/>
  </w:num>
  <w:num w:numId="25" w16cid:durableId="839320310">
    <w:abstractNumId w:val="33"/>
  </w:num>
  <w:num w:numId="26" w16cid:durableId="917447719">
    <w:abstractNumId w:val="8"/>
  </w:num>
  <w:num w:numId="27" w16cid:durableId="1515336261">
    <w:abstractNumId w:val="24"/>
  </w:num>
  <w:num w:numId="28" w16cid:durableId="1406028725">
    <w:abstractNumId w:val="32"/>
  </w:num>
  <w:num w:numId="29" w16cid:durableId="398284070">
    <w:abstractNumId w:val="16"/>
  </w:num>
  <w:num w:numId="30" w16cid:durableId="348220997">
    <w:abstractNumId w:val="23"/>
  </w:num>
  <w:num w:numId="31" w16cid:durableId="1926301423">
    <w:abstractNumId w:val="18"/>
  </w:num>
  <w:num w:numId="32" w16cid:durableId="1820539292">
    <w:abstractNumId w:val="13"/>
  </w:num>
  <w:num w:numId="33" w16cid:durableId="793601206">
    <w:abstractNumId w:val="26"/>
  </w:num>
  <w:num w:numId="34" w16cid:durableId="1409503544">
    <w:abstractNumId w:val="11"/>
  </w:num>
  <w:num w:numId="35" w16cid:durableId="1348405414">
    <w:abstractNumId w:val="28"/>
  </w:num>
  <w:num w:numId="36" w16cid:durableId="199637296">
    <w:abstractNumId w:val="33"/>
  </w:num>
  <w:num w:numId="37" w16cid:durableId="1414475007">
    <w:abstractNumId w:val="33"/>
  </w:num>
  <w:num w:numId="38" w16cid:durableId="1204830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616832">
    <w:abstractNumId w:val="15"/>
  </w:num>
  <w:num w:numId="40" w16cid:durableId="1193114035">
    <w:abstractNumId w:val="27"/>
  </w:num>
  <w:num w:numId="41" w16cid:durableId="1541670154">
    <w:abstractNumId w:val="29"/>
  </w:num>
  <w:num w:numId="42" w16cid:durableId="1293167836">
    <w:abstractNumId w:val="11"/>
  </w:num>
  <w:num w:numId="43" w16cid:durableId="1036199525">
    <w:abstractNumId w:val="31"/>
  </w:num>
  <w:num w:numId="44" w16cid:durableId="115953716">
    <w:abstractNumId w:val="17"/>
  </w:num>
  <w:num w:numId="45" w16cid:durableId="1769960944">
    <w:abstractNumId w:val="26"/>
  </w:num>
  <w:num w:numId="46" w16cid:durableId="1363163903">
    <w:abstractNumId w:val="21"/>
  </w:num>
  <w:num w:numId="47" w16cid:durableId="31406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67FB5"/>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A33CD"/>
    <w:rsid w:val="004B2BBB"/>
    <w:rsid w:val="004B3F52"/>
    <w:rsid w:val="004B3FF0"/>
    <w:rsid w:val="004B750E"/>
    <w:rsid w:val="004C2FEC"/>
    <w:rsid w:val="004C4753"/>
    <w:rsid w:val="004C6BCF"/>
    <w:rsid w:val="004D58BF"/>
    <w:rsid w:val="004E4335"/>
    <w:rsid w:val="004E5ACF"/>
    <w:rsid w:val="004E6E8A"/>
    <w:rsid w:val="004E706D"/>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1703"/>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62B"/>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89"/>
    <w:rsid w:val="00BD0617"/>
    <w:rsid w:val="00BD2E9B"/>
    <w:rsid w:val="00BF7AD7"/>
    <w:rsid w:val="00C00930"/>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E24"/>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3F05"/>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470E"/>
    <w:rsid w:val="00EA47A7"/>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5E86"/>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3"/>
      </w:numPr>
    </w:pPr>
  </w:style>
  <w:style w:type="paragraph" w:styleId="ListNumber2">
    <w:name w:val="List Number 2"/>
    <w:basedOn w:val="ListBullet"/>
    <w:qFormat/>
    <w:rsid w:val="00BF7AD7"/>
    <w:pPr>
      <w:numPr>
        <w:numId w:val="22"/>
      </w:numPr>
    </w:pPr>
  </w:style>
  <w:style w:type="paragraph" w:styleId="ListBullet">
    <w:name w:val="List Bullet"/>
    <w:basedOn w:val="Normal"/>
    <w:qFormat/>
    <w:rsid w:val="00BF7AD7"/>
    <w:pPr>
      <w:numPr>
        <w:numId w:val="2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5"/>
      </w:numPr>
    </w:pPr>
    <w:rPr>
      <w:szCs w:val="20"/>
    </w:rPr>
  </w:style>
  <w:style w:type="paragraph" w:customStyle="1" w:styleId="Tablelistnumber">
    <w:name w:val="Table list number"/>
    <w:basedOn w:val="Tabletextleft"/>
    <w:qFormat/>
    <w:rsid w:val="00BF7AD7"/>
    <w:pPr>
      <w:numPr>
        <w:numId w:val="2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MAHER, Claudia</cp:lastModifiedBy>
  <cp:revision>16</cp:revision>
  <cp:lastPrinted>2023-06-16T04:22:00Z</cp:lastPrinted>
  <dcterms:created xsi:type="dcterms:W3CDTF">2023-06-22T05:36:00Z</dcterms:created>
  <dcterms:modified xsi:type="dcterms:W3CDTF">2023-12-15T03:56:00Z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