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84C" w14:textId="77777777" w:rsidR="003F118A" w:rsidRPr="003F118A" w:rsidRDefault="00613540" w:rsidP="00164E7C">
      <w:pPr>
        <w:pStyle w:val="Heading1"/>
        <w:spacing w:before="0" w:after="120"/>
      </w:pPr>
      <w:r>
        <w:t xml:space="preserve">Aged Care </w:t>
      </w:r>
      <w:r w:rsidR="003F118A" w:rsidRPr="003F118A">
        <w:t>Taskforce</w:t>
      </w:r>
    </w:p>
    <w:p w14:paraId="5FE70603" w14:textId="118E0EEE" w:rsidR="003F118A" w:rsidRDefault="004C4753" w:rsidP="00164E7C">
      <w:pPr>
        <w:pStyle w:val="Heading2"/>
        <w:spacing w:before="0" w:after="120"/>
      </w:pPr>
      <w:r>
        <w:t xml:space="preserve">Communique </w:t>
      </w:r>
      <w:r w:rsidR="00BE48EA">
        <w:t>1</w:t>
      </w:r>
      <w:r w:rsidR="00BA30BD">
        <w:t>2</w:t>
      </w:r>
      <w:r>
        <w:t xml:space="preserve"> </w:t>
      </w:r>
      <w:r w:rsidR="00BA30BD">
        <w:t>October</w:t>
      </w:r>
      <w:r>
        <w:t xml:space="preserve"> 2023 meeting</w:t>
      </w:r>
      <w:r w:rsidR="003F118A" w:rsidRPr="003F118A">
        <w:t xml:space="preserve"> </w:t>
      </w:r>
    </w:p>
    <w:p w14:paraId="40756B24" w14:textId="77777777" w:rsidR="004C4753" w:rsidRDefault="004C4753" w:rsidP="00164E7C">
      <w:pPr>
        <w:pStyle w:val="Heading3"/>
        <w:spacing w:before="0" w:after="120"/>
        <w:rPr>
          <w:rFonts w:cs="Times New Roman"/>
          <w:b w:val="0"/>
          <w:bCs w:val="0"/>
          <w:color w:val="000000" w:themeColor="text1"/>
          <w:sz w:val="22"/>
          <w:szCs w:val="24"/>
        </w:rPr>
      </w:pPr>
    </w:p>
    <w:p w14:paraId="0E2273B9" w14:textId="1698232F" w:rsidR="00BA30BD" w:rsidRPr="00BA30BD" w:rsidRDefault="00346A85" w:rsidP="00E31918">
      <w:pPr>
        <w:pStyle w:val="Heading3"/>
        <w:spacing w:before="0" w:after="120"/>
        <w:rPr>
          <w:rFonts w:cs="Times New Roman"/>
          <w:b w:val="0"/>
          <w:bCs w:val="0"/>
          <w:color w:val="000000" w:themeColor="text1"/>
          <w:sz w:val="22"/>
          <w:szCs w:val="24"/>
        </w:rPr>
      </w:pPr>
      <w:r w:rsidRPr="003F118A">
        <w:rPr>
          <w:rFonts w:cs="Times New Roman"/>
          <w:b w:val="0"/>
          <w:bCs w:val="0"/>
          <w:color w:val="000000" w:themeColor="text1"/>
          <w:sz w:val="22"/>
          <w:szCs w:val="24"/>
        </w:rPr>
        <w:t>The</w:t>
      </w:r>
      <w:r w:rsidR="00174F6E" w:rsidRPr="003F118A">
        <w:rPr>
          <w:rFonts w:cs="Times New Roman"/>
          <w:b w:val="0"/>
          <w:bCs w:val="0"/>
          <w:color w:val="000000" w:themeColor="text1"/>
          <w:sz w:val="22"/>
          <w:szCs w:val="24"/>
        </w:rPr>
        <w:t xml:space="preserve"> </w:t>
      </w:r>
      <w:r w:rsidRPr="003F118A">
        <w:rPr>
          <w:rFonts w:cs="Times New Roman"/>
          <w:b w:val="0"/>
          <w:bCs w:val="0"/>
          <w:color w:val="000000" w:themeColor="text1"/>
          <w:sz w:val="22"/>
          <w:szCs w:val="24"/>
        </w:rPr>
        <w:t>Aged Care Taskforce</w:t>
      </w:r>
      <w:r w:rsidR="00214577" w:rsidRPr="003F118A">
        <w:rPr>
          <w:rFonts w:cs="Times New Roman"/>
          <w:b w:val="0"/>
          <w:bCs w:val="0"/>
          <w:color w:val="000000" w:themeColor="text1"/>
          <w:sz w:val="22"/>
          <w:szCs w:val="24"/>
        </w:rPr>
        <w:t xml:space="preserve"> </w:t>
      </w:r>
      <w:r w:rsidR="00BA30BD" w:rsidRPr="00BA30BD">
        <w:rPr>
          <w:rFonts w:cs="Times New Roman"/>
          <w:b w:val="0"/>
          <w:bCs w:val="0"/>
          <w:color w:val="000000" w:themeColor="text1"/>
          <w:sz w:val="22"/>
          <w:szCs w:val="24"/>
        </w:rPr>
        <w:t xml:space="preserve">held its fifth meeting on 12 October 2023 in Melbourne. The Taskforce considered feedback from roundtable consultations held over September and October with residential aged care and home care providers, including those operating in thin markets, banks and superannuation funds, and First Nations and workforce representatives. Key themes from the roundtables included: </w:t>
      </w:r>
    </w:p>
    <w:p w14:paraId="5ABE4AF1" w14:textId="77777777" w:rsidR="00BA30BD" w:rsidRPr="00BA30BD" w:rsidRDefault="00BA30BD" w:rsidP="00E31918">
      <w:pPr>
        <w:pStyle w:val="Heading3"/>
        <w:numPr>
          <w:ilvl w:val="0"/>
          <w:numId w:val="49"/>
        </w:numPr>
        <w:spacing w:before="0" w:after="120"/>
        <w:rPr>
          <w:rFonts w:cs="Times New Roman"/>
          <w:b w:val="0"/>
          <w:bCs w:val="0"/>
          <w:color w:val="000000" w:themeColor="text1"/>
          <w:sz w:val="22"/>
          <w:szCs w:val="24"/>
        </w:rPr>
      </w:pPr>
      <w:r w:rsidRPr="00BA30BD">
        <w:rPr>
          <w:rFonts w:cs="Times New Roman"/>
          <w:b w:val="0"/>
          <w:bCs w:val="0"/>
          <w:color w:val="000000" w:themeColor="text1"/>
          <w:sz w:val="22"/>
          <w:szCs w:val="24"/>
        </w:rPr>
        <w:t xml:space="preserve">the need to ensure funding arrangements are linked to care outcomes and facilitate participant’s care needs; </w:t>
      </w:r>
    </w:p>
    <w:p w14:paraId="514DEC1A" w14:textId="77777777" w:rsidR="00BA30BD" w:rsidRPr="00BA30BD" w:rsidRDefault="00BA30BD" w:rsidP="00E31918">
      <w:pPr>
        <w:pStyle w:val="Heading3"/>
        <w:numPr>
          <w:ilvl w:val="0"/>
          <w:numId w:val="49"/>
        </w:numPr>
        <w:spacing w:before="0" w:after="120"/>
        <w:rPr>
          <w:rFonts w:cs="Times New Roman"/>
          <w:b w:val="0"/>
          <w:bCs w:val="0"/>
          <w:color w:val="000000" w:themeColor="text1"/>
          <w:sz w:val="22"/>
          <w:szCs w:val="24"/>
        </w:rPr>
      </w:pPr>
      <w:r w:rsidRPr="00BA30BD">
        <w:rPr>
          <w:rFonts w:cs="Times New Roman"/>
          <w:b w:val="0"/>
          <w:bCs w:val="0"/>
          <w:color w:val="000000" w:themeColor="text1"/>
          <w:sz w:val="22"/>
          <w:szCs w:val="24"/>
        </w:rPr>
        <w:t xml:space="preserve">the need to consider provider reporting requirements and greater flexibility in mainstream funding arrangements to support the ability to provide quality care; and </w:t>
      </w:r>
    </w:p>
    <w:p w14:paraId="5B8C7C2E" w14:textId="6DD41F70" w:rsidR="00D70509" w:rsidRPr="00E31918" w:rsidRDefault="00BA30BD" w:rsidP="00E31918">
      <w:pPr>
        <w:pStyle w:val="Heading3"/>
        <w:numPr>
          <w:ilvl w:val="0"/>
          <w:numId w:val="49"/>
        </w:numPr>
        <w:spacing w:before="0" w:after="120"/>
        <w:rPr>
          <w:rFonts w:cs="Times New Roman"/>
          <w:b w:val="0"/>
          <w:bCs w:val="0"/>
          <w:color w:val="000000" w:themeColor="text1"/>
          <w:sz w:val="22"/>
          <w:szCs w:val="24"/>
        </w:rPr>
      </w:pPr>
      <w:r w:rsidRPr="00BA30BD">
        <w:rPr>
          <w:rFonts w:cs="Times New Roman"/>
          <w:b w:val="0"/>
          <w:bCs w:val="0"/>
          <w:color w:val="000000" w:themeColor="text1"/>
          <w:sz w:val="22"/>
          <w:szCs w:val="24"/>
        </w:rPr>
        <w:t xml:space="preserve">the need for funding arrangements to support innovation, thin markets and workforce shortages. </w:t>
      </w:r>
    </w:p>
    <w:p w14:paraId="4F3973AB" w14:textId="6E112339" w:rsidR="00BA30BD" w:rsidRPr="00BA30BD" w:rsidRDefault="00BA30BD" w:rsidP="00E31918">
      <w:pPr>
        <w:pStyle w:val="Heading3"/>
        <w:spacing w:before="0" w:after="120"/>
        <w:rPr>
          <w:rFonts w:cs="Times New Roman"/>
          <w:b w:val="0"/>
          <w:bCs w:val="0"/>
          <w:color w:val="000000" w:themeColor="text1"/>
          <w:sz w:val="22"/>
          <w:szCs w:val="24"/>
        </w:rPr>
      </w:pPr>
      <w:r w:rsidRPr="00BA30BD">
        <w:rPr>
          <w:rFonts w:cs="Times New Roman"/>
          <w:b w:val="0"/>
          <w:bCs w:val="0"/>
          <w:color w:val="000000" w:themeColor="text1"/>
          <w:sz w:val="22"/>
          <w:szCs w:val="24"/>
        </w:rPr>
        <w:t>The Taskforce also reviewed the feedback received via the public submission process held throughout August. The vast majority of respondents recognised the need to adjust the aged care system to modernise it and make it fair, sustainable and innovative. Most felt those with capacity to contribute should make a fair contribution to their aged care costs, while stakeholders also agreed there is a need to simplify the fee system and make it easier for older people to navigate. Most individuals who participated in the consultation indicated a strong preference to age at home. Further details on the feedback will be made available on the Department of Health and Aged Care’s Engagement Hub shortly.</w:t>
      </w:r>
    </w:p>
    <w:p w14:paraId="1777A250" w14:textId="3CF1D1A7" w:rsidR="00BA30BD" w:rsidRPr="00BA30BD" w:rsidRDefault="00BA30BD" w:rsidP="00E31918">
      <w:pPr>
        <w:pStyle w:val="Heading3"/>
        <w:spacing w:before="0" w:after="120"/>
        <w:rPr>
          <w:rFonts w:cs="Times New Roman"/>
          <w:b w:val="0"/>
          <w:bCs w:val="0"/>
          <w:color w:val="000000" w:themeColor="text1"/>
          <w:sz w:val="22"/>
          <w:szCs w:val="24"/>
        </w:rPr>
      </w:pPr>
      <w:r w:rsidRPr="00BA30BD">
        <w:rPr>
          <w:rFonts w:cs="Times New Roman"/>
          <w:b w:val="0"/>
          <w:bCs w:val="0"/>
          <w:color w:val="000000" w:themeColor="text1"/>
          <w:sz w:val="22"/>
          <w:szCs w:val="24"/>
        </w:rPr>
        <w:t xml:space="preserve">The Taskforce is focused on ensuring Australia’s aged care system can meet current and future funding challenges. The Taskforce reflected on the revenue and capital gap in the residential aged care sector, particularly in geographically thin markets. This constrains the sector’s ability to deliver the required growth in facilities and services required to meet the expected growth in demand for aged care services over the next 1-2 decades. While currently viable, the sustainability of the home care sector is expected to come under pressure in coming decades as demand increases. </w:t>
      </w:r>
    </w:p>
    <w:p w14:paraId="3AB90231" w14:textId="46E2EE74" w:rsidR="00BA30BD" w:rsidRPr="00BA30BD" w:rsidRDefault="00BA30BD" w:rsidP="00E31918">
      <w:pPr>
        <w:pStyle w:val="Heading3"/>
        <w:spacing w:before="0" w:after="120"/>
        <w:rPr>
          <w:rFonts w:cs="Times New Roman"/>
          <w:b w:val="0"/>
          <w:bCs w:val="0"/>
          <w:color w:val="000000" w:themeColor="text1"/>
          <w:sz w:val="22"/>
          <w:szCs w:val="24"/>
        </w:rPr>
      </w:pPr>
      <w:r w:rsidRPr="00BA30BD">
        <w:rPr>
          <w:rFonts w:cs="Times New Roman"/>
          <w:b w:val="0"/>
          <w:bCs w:val="0"/>
          <w:color w:val="000000" w:themeColor="text1"/>
          <w:sz w:val="22"/>
          <w:szCs w:val="24"/>
        </w:rPr>
        <w:t xml:space="preserve">The Taskforce is closely considering system funding arrangements, noting the wealth of aged care participants is increasing while the proportion of working age people is shrinking. Consideration is also being given to how funding arrangements can embed innovation, promote high quality services and ensure aged care services meet the needs, preferences and circumstances of older Australians. </w:t>
      </w:r>
    </w:p>
    <w:p w14:paraId="0274092B" w14:textId="2D6E9BF5" w:rsidR="00857485" w:rsidRPr="00D70509" w:rsidRDefault="00BA30BD" w:rsidP="00E31918">
      <w:pPr>
        <w:pStyle w:val="Heading3"/>
        <w:spacing w:before="0" w:after="120"/>
        <w:rPr>
          <w:rFonts w:cs="Times New Roman"/>
          <w:b w:val="0"/>
          <w:bCs w:val="0"/>
          <w:color w:val="000000" w:themeColor="text1"/>
          <w:sz w:val="22"/>
          <w:szCs w:val="24"/>
        </w:rPr>
      </w:pPr>
      <w:r w:rsidRPr="00BA30BD">
        <w:rPr>
          <w:rFonts w:cs="Times New Roman"/>
          <w:b w:val="0"/>
          <w:bCs w:val="0"/>
          <w:color w:val="000000" w:themeColor="text1"/>
          <w:sz w:val="22"/>
          <w:szCs w:val="24"/>
        </w:rPr>
        <w:t>Taskforce members commenced consideration of potential policy options to address these challenges, for further refinement and consideration as part of the final report. Members noted the need to ensure options for the final report are considered as a combined package that is robust, fair and equitable for all Australians. Members also considered options relating to transparency, innovation, thin markets and financial products to assist people to access their wealth.</w:t>
      </w:r>
    </w:p>
    <w:p w14:paraId="2757D26D" w14:textId="77777777" w:rsidR="00857485" w:rsidRPr="00857485" w:rsidRDefault="00857485" w:rsidP="00857485"/>
    <w:sectPr w:rsidR="00857485" w:rsidRPr="00857485" w:rsidSect="005372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8AAD" w14:textId="77777777" w:rsidR="00FA1F9B" w:rsidRDefault="00FA1F9B" w:rsidP="00934368">
      <w:r>
        <w:separator/>
      </w:r>
    </w:p>
    <w:p w14:paraId="20480769" w14:textId="77777777" w:rsidR="00FA1F9B" w:rsidRDefault="00FA1F9B" w:rsidP="00934368"/>
    <w:p w14:paraId="06510497" w14:textId="77777777" w:rsidR="00FA1F9B" w:rsidRDefault="00FA1F9B"/>
    <w:p w14:paraId="6D29C63B" w14:textId="77777777" w:rsidR="00FA1F9B" w:rsidRDefault="00FA1F9B"/>
  </w:endnote>
  <w:endnote w:type="continuationSeparator" w:id="0">
    <w:p w14:paraId="754103D2" w14:textId="77777777" w:rsidR="00FA1F9B" w:rsidRDefault="00FA1F9B" w:rsidP="00934368">
      <w:r>
        <w:continuationSeparator/>
      </w:r>
    </w:p>
    <w:p w14:paraId="5A3C8766" w14:textId="77777777" w:rsidR="00FA1F9B" w:rsidRDefault="00FA1F9B" w:rsidP="00934368"/>
    <w:p w14:paraId="5F23347C" w14:textId="77777777" w:rsidR="00FA1F9B" w:rsidRDefault="00FA1F9B"/>
    <w:p w14:paraId="64A1707B" w14:textId="77777777" w:rsidR="00FA1F9B" w:rsidRDefault="00FA1F9B"/>
  </w:endnote>
  <w:endnote w:type="continuationNotice" w:id="1">
    <w:p w14:paraId="5FB29AEA" w14:textId="77777777" w:rsidR="00FA1F9B" w:rsidRDefault="00FA1F9B" w:rsidP="00934368"/>
    <w:p w14:paraId="61EDF220" w14:textId="77777777" w:rsidR="00FA1F9B" w:rsidRDefault="00FA1F9B"/>
    <w:p w14:paraId="006E9DC8" w14:textId="77777777" w:rsidR="00FA1F9B" w:rsidRDefault="00FA1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9BB" w14:textId="77777777" w:rsidR="006C55E3" w:rsidRDefault="006C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74E" w14:textId="77777777" w:rsidR="00751A23" w:rsidRPr="008C27AA" w:rsidRDefault="008C27AA" w:rsidP="008C27AA">
    <w:r w:rsidRPr="008C27AA">
      <w:t>A</w:t>
    </w:r>
    <w:r w:rsidR="00613540">
      <w:t xml:space="preserve">ged Care </w:t>
    </w:r>
    <w:r w:rsidRPr="008C27AA">
      <w:t>Taskforc</w:t>
    </w:r>
    <w:r>
      <w:t>e</w:t>
    </w:r>
  </w:p>
  <w:p w14:paraId="3DDA97AF" w14:textId="77777777" w:rsidR="006D472B" w:rsidRDefault="006D472B"/>
  <w:p w14:paraId="05F9E114" w14:textId="77777777" w:rsidR="006D472B" w:rsidRDefault="006D4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E4" w14:textId="77777777" w:rsidR="006C55E3" w:rsidRDefault="006C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506D" w14:textId="77777777" w:rsidR="00FA1F9B" w:rsidRDefault="00FA1F9B" w:rsidP="00934368">
      <w:r>
        <w:separator/>
      </w:r>
    </w:p>
    <w:p w14:paraId="28363759" w14:textId="77777777" w:rsidR="00FA1F9B" w:rsidRDefault="00FA1F9B" w:rsidP="00934368"/>
    <w:p w14:paraId="42F60B54" w14:textId="77777777" w:rsidR="00FA1F9B" w:rsidRDefault="00FA1F9B"/>
    <w:p w14:paraId="741D5F9E" w14:textId="77777777" w:rsidR="00FA1F9B" w:rsidRDefault="00FA1F9B"/>
  </w:footnote>
  <w:footnote w:type="continuationSeparator" w:id="0">
    <w:p w14:paraId="22494D49" w14:textId="77777777" w:rsidR="00FA1F9B" w:rsidRDefault="00FA1F9B" w:rsidP="00934368">
      <w:r>
        <w:continuationSeparator/>
      </w:r>
    </w:p>
    <w:p w14:paraId="7126B5CB" w14:textId="77777777" w:rsidR="00FA1F9B" w:rsidRDefault="00FA1F9B" w:rsidP="00934368"/>
    <w:p w14:paraId="75192980" w14:textId="77777777" w:rsidR="00FA1F9B" w:rsidRDefault="00FA1F9B"/>
    <w:p w14:paraId="6159FDF9" w14:textId="77777777" w:rsidR="00FA1F9B" w:rsidRDefault="00FA1F9B"/>
  </w:footnote>
  <w:footnote w:type="continuationNotice" w:id="1">
    <w:p w14:paraId="11A4D4C9" w14:textId="77777777" w:rsidR="00FA1F9B" w:rsidRDefault="00FA1F9B" w:rsidP="00934368"/>
    <w:p w14:paraId="7B83CD33" w14:textId="77777777" w:rsidR="00FA1F9B" w:rsidRDefault="00FA1F9B"/>
    <w:p w14:paraId="0A6427D9" w14:textId="77777777" w:rsidR="00FA1F9B" w:rsidRDefault="00FA1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E19" w14:textId="009CCE3A" w:rsidR="006E54EE" w:rsidRDefault="006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28B9" w14:textId="1AA02BDD" w:rsidR="006D472B" w:rsidRDefault="006D472B" w:rsidP="006C55E3">
    <w:pPr>
      <w:pStyle w:val="Headertex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E5B" w14:textId="159E9A94" w:rsidR="006E54EE" w:rsidRDefault="006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22468"/>
    <w:multiLevelType w:val="hybridMultilevel"/>
    <w:tmpl w:val="D622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23C62"/>
    <w:multiLevelType w:val="hybridMultilevel"/>
    <w:tmpl w:val="8392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44536"/>
    <w:multiLevelType w:val="hybridMultilevel"/>
    <w:tmpl w:val="C3E6F49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strike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95CD4"/>
    <w:multiLevelType w:val="hybridMultilevel"/>
    <w:tmpl w:val="0D8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EA0285"/>
    <w:multiLevelType w:val="hybridMultilevel"/>
    <w:tmpl w:val="B98E3434"/>
    <w:lvl w:ilvl="0" w:tplc="1424EFB0">
      <w:start w:val="1"/>
      <w:numFmt w:val="decimal"/>
      <w:lvlText w:val="%1."/>
      <w:lvlJc w:val="left"/>
      <w:pPr>
        <w:ind w:left="360" w:hanging="360"/>
      </w:pPr>
      <w:rPr>
        <w:b w:val="0"/>
      </w:rPr>
    </w:lvl>
    <w:lvl w:ilvl="1" w:tplc="35849AE6">
      <w:start w:val="1"/>
      <w:numFmt w:val="lowerLetter"/>
      <w:lvlText w:val="%2."/>
      <w:lvlJc w:val="left"/>
      <w:pPr>
        <w:ind w:left="1494"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55B3D96"/>
    <w:multiLevelType w:val="hybridMultilevel"/>
    <w:tmpl w:val="AC5E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C6445"/>
    <w:multiLevelType w:val="hybridMultilevel"/>
    <w:tmpl w:val="57B67474"/>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F40B10"/>
    <w:multiLevelType w:val="hybridMultilevel"/>
    <w:tmpl w:val="4F8A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062C50"/>
    <w:multiLevelType w:val="hybridMultilevel"/>
    <w:tmpl w:val="C684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D403EE"/>
    <w:multiLevelType w:val="hybridMultilevel"/>
    <w:tmpl w:val="1A3838A4"/>
    <w:lvl w:ilvl="0" w:tplc="724E9126">
      <w:start w:val="1"/>
      <w:numFmt w:val="bullet"/>
      <w:lvlText w:val=""/>
      <w:lvlJc w:val="left"/>
      <w:pPr>
        <w:ind w:left="720" w:hanging="360"/>
      </w:pPr>
      <w:rPr>
        <w:rFonts w:ascii="Symbol" w:hAnsi="Symbol" w:hint="default"/>
      </w:rPr>
    </w:lvl>
    <w:lvl w:ilvl="1" w:tplc="08C8309C">
      <w:start w:val="1"/>
      <w:numFmt w:val="bullet"/>
      <w:lvlText w:val=""/>
      <w:lvlJc w:val="left"/>
      <w:pPr>
        <w:ind w:left="1440" w:hanging="360"/>
      </w:pPr>
      <w:rPr>
        <w:rFonts w:ascii="Symbol" w:hAnsi="Symbol" w:hint="default"/>
      </w:rPr>
    </w:lvl>
    <w:lvl w:ilvl="2" w:tplc="28D03892">
      <w:start w:val="1"/>
      <w:numFmt w:val="bullet"/>
      <w:lvlText w:val=""/>
      <w:lvlJc w:val="left"/>
      <w:pPr>
        <w:ind w:left="2160" w:hanging="360"/>
      </w:pPr>
      <w:rPr>
        <w:rFonts w:ascii="Wingdings" w:hAnsi="Wingdings" w:hint="default"/>
      </w:rPr>
    </w:lvl>
    <w:lvl w:ilvl="3" w:tplc="AC9A0D34">
      <w:start w:val="1"/>
      <w:numFmt w:val="bullet"/>
      <w:lvlText w:val=""/>
      <w:lvlJc w:val="left"/>
      <w:pPr>
        <w:ind w:left="2880" w:hanging="360"/>
      </w:pPr>
      <w:rPr>
        <w:rFonts w:ascii="Symbol" w:hAnsi="Symbol" w:hint="default"/>
      </w:rPr>
    </w:lvl>
    <w:lvl w:ilvl="4" w:tplc="DEF62616">
      <w:start w:val="1"/>
      <w:numFmt w:val="bullet"/>
      <w:lvlText w:val="o"/>
      <w:lvlJc w:val="left"/>
      <w:pPr>
        <w:ind w:left="3600" w:hanging="360"/>
      </w:pPr>
      <w:rPr>
        <w:rFonts w:ascii="Courier New" w:hAnsi="Courier New" w:hint="default"/>
      </w:rPr>
    </w:lvl>
    <w:lvl w:ilvl="5" w:tplc="6D98F158">
      <w:start w:val="1"/>
      <w:numFmt w:val="bullet"/>
      <w:lvlText w:val=""/>
      <w:lvlJc w:val="left"/>
      <w:pPr>
        <w:ind w:left="4320" w:hanging="360"/>
      </w:pPr>
      <w:rPr>
        <w:rFonts w:ascii="Wingdings" w:hAnsi="Wingdings" w:hint="default"/>
      </w:rPr>
    </w:lvl>
    <w:lvl w:ilvl="6" w:tplc="62D600B2">
      <w:start w:val="1"/>
      <w:numFmt w:val="bullet"/>
      <w:lvlText w:val=""/>
      <w:lvlJc w:val="left"/>
      <w:pPr>
        <w:ind w:left="5040" w:hanging="360"/>
      </w:pPr>
      <w:rPr>
        <w:rFonts w:ascii="Symbol" w:hAnsi="Symbol" w:hint="default"/>
      </w:rPr>
    </w:lvl>
    <w:lvl w:ilvl="7" w:tplc="2272DD1E">
      <w:start w:val="1"/>
      <w:numFmt w:val="bullet"/>
      <w:lvlText w:val="o"/>
      <w:lvlJc w:val="left"/>
      <w:pPr>
        <w:ind w:left="5760" w:hanging="360"/>
      </w:pPr>
      <w:rPr>
        <w:rFonts w:ascii="Courier New" w:hAnsi="Courier New" w:hint="default"/>
      </w:rPr>
    </w:lvl>
    <w:lvl w:ilvl="8" w:tplc="42FC16D2">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C746E91"/>
    <w:multiLevelType w:val="hybridMultilevel"/>
    <w:tmpl w:val="F2F2C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A887B69"/>
    <w:multiLevelType w:val="hybridMultilevel"/>
    <w:tmpl w:val="57E2E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DE3424"/>
    <w:multiLevelType w:val="hybridMultilevel"/>
    <w:tmpl w:val="FB7C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185494"/>
    <w:multiLevelType w:val="hybridMultilevel"/>
    <w:tmpl w:val="D8666112"/>
    <w:lvl w:ilvl="0" w:tplc="1424EFB0">
      <w:start w:val="1"/>
      <w:numFmt w:val="decimal"/>
      <w:lvlText w:val="%1."/>
      <w:lvlJc w:val="left"/>
      <w:pPr>
        <w:ind w:left="360" w:hanging="360"/>
      </w:pPr>
      <w:rPr>
        <w:b w:val="0"/>
      </w:rPr>
    </w:lvl>
    <w:lvl w:ilvl="1" w:tplc="0C090001">
      <w:start w:val="1"/>
      <w:numFmt w:val="bullet"/>
      <w:lvlText w:val=""/>
      <w:lvlJc w:val="left"/>
      <w:pPr>
        <w:ind w:left="1494" w:hanging="360"/>
      </w:pPr>
      <w:rPr>
        <w:rFonts w:ascii="Symbol" w:hAnsi="Symbol" w:hint="default"/>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F994C0B"/>
    <w:multiLevelType w:val="hybridMultilevel"/>
    <w:tmpl w:val="5F32886E"/>
    <w:lvl w:ilvl="0" w:tplc="676E3DE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B22BA"/>
    <w:multiLevelType w:val="hybridMultilevel"/>
    <w:tmpl w:val="02340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BF5FB0"/>
    <w:multiLevelType w:val="hybridMultilevel"/>
    <w:tmpl w:val="3714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A1FEC"/>
    <w:multiLevelType w:val="multilevel"/>
    <w:tmpl w:val="BC00CB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78130362">
    <w:abstractNumId w:val="21"/>
  </w:num>
  <w:num w:numId="2" w16cid:durableId="323245154">
    <w:abstractNumId w:val="7"/>
  </w:num>
  <w:num w:numId="3" w16cid:durableId="840701719">
    <w:abstractNumId w:val="27"/>
  </w:num>
  <w:num w:numId="4" w16cid:durableId="16741035">
    <w:abstractNumId w:val="35"/>
  </w:num>
  <w:num w:numId="5" w16cid:durableId="441997084">
    <w:abstractNumId w:val="8"/>
  </w:num>
  <w:num w:numId="6" w16cid:durableId="854617169">
    <w:abstractNumId w:val="8"/>
    <w:lvlOverride w:ilvl="0">
      <w:startOverride w:val="1"/>
    </w:lvlOverride>
  </w:num>
  <w:num w:numId="7" w16cid:durableId="331026684">
    <w:abstractNumId w:val="10"/>
  </w:num>
  <w:num w:numId="8" w16cid:durableId="1057362780">
    <w:abstractNumId w:val="24"/>
  </w:num>
  <w:num w:numId="9" w16cid:durableId="1881553811">
    <w:abstractNumId w:val="32"/>
  </w:num>
  <w:num w:numId="10" w16cid:durableId="1478063106">
    <w:abstractNumId w:val="5"/>
  </w:num>
  <w:num w:numId="11" w16cid:durableId="1919439319">
    <w:abstractNumId w:val="4"/>
  </w:num>
  <w:num w:numId="12" w16cid:durableId="2041473933">
    <w:abstractNumId w:val="3"/>
  </w:num>
  <w:num w:numId="13" w16cid:durableId="1599947214">
    <w:abstractNumId w:val="2"/>
  </w:num>
  <w:num w:numId="14" w16cid:durableId="1861552161">
    <w:abstractNumId w:val="6"/>
  </w:num>
  <w:num w:numId="15" w16cid:durableId="349336913">
    <w:abstractNumId w:val="1"/>
  </w:num>
  <w:num w:numId="16" w16cid:durableId="1871457730">
    <w:abstractNumId w:val="0"/>
  </w:num>
  <w:num w:numId="17" w16cid:durableId="1672223096">
    <w:abstractNumId w:val="36"/>
  </w:num>
  <w:num w:numId="18" w16cid:durableId="1884058379">
    <w:abstractNumId w:val="13"/>
  </w:num>
  <w:num w:numId="19" w16cid:durableId="1731147326">
    <w:abstractNumId w:val="15"/>
  </w:num>
  <w:num w:numId="20" w16cid:durableId="836461501">
    <w:abstractNumId w:val="22"/>
  </w:num>
  <w:num w:numId="21" w16cid:durableId="758988438">
    <w:abstractNumId w:val="13"/>
  </w:num>
  <w:num w:numId="22" w16cid:durableId="2032608385">
    <w:abstractNumId w:val="22"/>
  </w:num>
  <w:num w:numId="23" w16cid:durableId="2123769568">
    <w:abstractNumId w:val="36"/>
  </w:num>
  <w:num w:numId="24" w16cid:durableId="377433139">
    <w:abstractNumId w:val="27"/>
  </w:num>
  <w:num w:numId="25" w16cid:durableId="839320310">
    <w:abstractNumId w:val="35"/>
  </w:num>
  <w:num w:numId="26" w16cid:durableId="917447719">
    <w:abstractNumId w:val="8"/>
  </w:num>
  <w:num w:numId="27" w16cid:durableId="1515336261">
    <w:abstractNumId w:val="26"/>
  </w:num>
  <w:num w:numId="28" w16cid:durableId="1406028725">
    <w:abstractNumId w:val="34"/>
  </w:num>
  <w:num w:numId="29" w16cid:durableId="398284070">
    <w:abstractNumId w:val="17"/>
  </w:num>
  <w:num w:numId="30" w16cid:durableId="348220997">
    <w:abstractNumId w:val="25"/>
  </w:num>
  <w:num w:numId="31" w16cid:durableId="1926301423">
    <w:abstractNumId w:val="20"/>
  </w:num>
  <w:num w:numId="32" w16cid:durableId="1820539292">
    <w:abstractNumId w:val="14"/>
  </w:num>
  <w:num w:numId="33" w16cid:durableId="793601206">
    <w:abstractNumId w:val="28"/>
  </w:num>
  <w:num w:numId="34" w16cid:durableId="1409503544">
    <w:abstractNumId w:val="12"/>
  </w:num>
  <w:num w:numId="35" w16cid:durableId="1348405414">
    <w:abstractNumId w:val="30"/>
  </w:num>
  <w:num w:numId="36" w16cid:durableId="199637296">
    <w:abstractNumId w:val="35"/>
  </w:num>
  <w:num w:numId="37" w16cid:durableId="1414475007">
    <w:abstractNumId w:val="35"/>
  </w:num>
  <w:num w:numId="38" w16cid:durableId="1204830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5616832">
    <w:abstractNumId w:val="16"/>
  </w:num>
  <w:num w:numId="40" w16cid:durableId="1193114035">
    <w:abstractNumId w:val="29"/>
  </w:num>
  <w:num w:numId="41" w16cid:durableId="1541670154">
    <w:abstractNumId w:val="31"/>
  </w:num>
  <w:num w:numId="42" w16cid:durableId="1293167836">
    <w:abstractNumId w:val="12"/>
  </w:num>
  <w:num w:numId="43" w16cid:durableId="1036199525">
    <w:abstractNumId w:val="33"/>
  </w:num>
  <w:num w:numId="44" w16cid:durableId="115953716">
    <w:abstractNumId w:val="18"/>
  </w:num>
  <w:num w:numId="45" w16cid:durableId="1769960944">
    <w:abstractNumId w:val="28"/>
  </w:num>
  <w:num w:numId="46" w16cid:durableId="1363163903">
    <w:abstractNumId w:val="23"/>
  </w:num>
  <w:num w:numId="47" w16cid:durableId="314067157">
    <w:abstractNumId w:val="9"/>
  </w:num>
  <w:num w:numId="48" w16cid:durableId="599217527">
    <w:abstractNumId w:val="11"/>
  </w:num>
  <w:num w:numId="49" w16cid:durableId="9619598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4"/>
    <w:rsid w:val="00001F41"/>
    <w:rsid w:val="00003743"/>
    <w:rsid w:val="000047B4"/>
    <w:rsid w:val="00005712"/>
    <w:rsid w:val="00006C51"/>
    <w:rsid w:val="00007FD8"/>
    <w:rsid w:val="000117F8"/>
    <w:rsid w:val="000229A4"/>
    <w:rsid w:val="00026139"/>
    <w:rsid w:val="00027071"/>
    <w:rsid w:val="00027601"/>
    <w:rsid w:val="0003096D"/>
    <w:rsid w:val="00033321"/>
    <w:rsid w:val="000338E5"/>
    <w:rsid w:val="00033ECC"/>
    <w:rsid w:val="0003422F"/>
    <w:rsid w:val="00046FF0"/>
    <w:rsid w:val="00050176"/>
    <w:rsid w:val="00050B42"/>
    <w:rsid w:val="00051586"/>
    <w:rsid w:val="00062B65"/>
    <w:rsid w:val="00067456"/>
    <w:rsid w:val="00071506"/>
    <w:rsid w:val="0007154F"/>
    <w:rsid w:val="00076235"/>
    <w:rsid w:val="00081AB1"/>
    <w:rsid w:val="00090316"/>
    <w:rsid w:val="00093981"/>
    <w:rsid w:val="00093CD9"/>
    <w:rsid w:val="000B067A"/>
    <w:rsid w:val="000B1540"/>
    <w:rsid w:val="000B33FD"/>
    <w:rsid w:val="000B4ABA"/>
    <w:rsid w:val="000B4D36"/>
    <w:rsid w:val="000B5F98"/>
    <w:rsid w:val="000C4B16"/>
    <w:rsid w:val="000C50C3"/>
    <w:rsid w:val="000C75A0"/>
    <w:rsid w:val="000D21F6"/>
    <w:rsid w:val="000D42C3"/>
    <w:rsid w:val="000D4500"/>
    <w:rsid w:val="000D7AEA"/>
    <w:rsid w:val="000E01A9"/>
    <w:rsid w:val="000E2C66"/>
    <w:rsid w:val="000E3930"/>
    <w:rsid w:val="000E6E7D"/>
    <w:rsid w:val="000F123C"/>
    <w:rsid w:val="000F2FED"/>
    <w:rsid w:val="000F650F"/>
    <w:rsid w:val="0010616D"/>
    <w:rsid w:val="00110478"/>
    <w:rsid w:val="001162DA"/>
    <w:rsid w:val="0011711B"/>
    <w:rsid w:val="00117F8A"/>
    <w:rsid w:val="00120C3B"/>
    <w:rsid w:val="00121B9B"/>
    <w:rsid w:val="00122ADC"/>
    <w:rsid w:val="00130F59"/>
    <w:rsid w:val="00133EC0"/>
    <w:rsid w:val="00141CE5"/>
    <w:rsid w:val="00144908"/>
    <w:rsid w:val="00145999"/>
    <w:rsid w:val="001571C7"/>
    <w:rsid w:val="00161094"/>
    <w:rsid w:val="00164E7C"/>
    <w:rsid w:val="00172A55"/>
    <w:rsid w:val="00173310"/>
    <w:rsid w:val="00174F6E"/>
    <w:rsid w:val="001758CD"/>
    <w:rsid w:val="0017665C"/>
    <w:rsid w:val="00177AD2"/>
    <w:rsid w:val="001815A8"/>
    <w:rsid w:val="00182F06"/>
    <w:rsid w:val="001840FA"/>
    <w:rsid w:val="00190079"/>
    <w:rsid w:val="001941F4"/>
    <w:rsid w:val="0019622E"/>
    <w:rsid w:val="001966A7"/>
    <w:rsid w:val="001A4627"/>
    <w:rsid w:val="001A4979"/>
    <w:rsid w:val="001B15D3"/>
    <w:rsid w:val="001B3443"/>
    <w:rsid w:val="001C0326"/>
    <w:rsid w:val="001C192F"/>
    <w:rsid w:val="001C3C42"/>
    <w:rsid w:val="001C5E34"/>
    <w:rsid w:val="001D5FDB"/>
    <w:rsid w:val="001D7869"/>
    <w:rsid w:val="001F2F78"/>
    <w:rsid w:val="001F71E4"/>
    <w:rsid w:val="002026CD"/>
    <w:rsid w:val="002033FC"/>
    <w:rsid w:val="002044BB"/>
    <w:rsid w:val="0020497F"/>
    <w:rsid w:val="00210B09"/>
    <w:rsid w:val="00210C9E"/>
    <w:rsid w:val="00211840"/>
    <w:rsid w:val="00214577"/>
    <w:rsid w:val="00220E5F"/>
    <w:rsid w:val="002212B5"/>
    <w:rsid w:val="0022181C"/>
    <w:rsid w:val="00226668"/>
    <w:rsid w:val="00233809"/>
    <w:rsid w:val="00240046"/>
    <w:rsid w:val="0024797F"/>
    <w:rsid w:val="0025119E"/>
    <w:rsid w:val="00251269"/>
    <w:rsid w:val="00253246"/>
    <w:rsid w:val="002535C0"/>
    <w:rsid w:val="0025774D"/>
    <w:rsid w:val="002579FE"/>
    <w:rsid w:val="0026311C"/>
    <w:rsid w:val="0026668C"/>
    <w:rsid w:val="002667A4"/>
    <w:rsid w:val="00266AC1"/>
    <w:rsid w:val="002671C2"/>
    <w:rsid w:val="00267573"/>
    <w:rsid w:val="0027178C"/>
    <w:rsid w:val="002719FA"/>
    <w:rsid w:val="00272668"/>
    <w:rsid w:val="0027330B"/>
    <w:rsid w:val="002803AD"/>
    <w:rsid w:val="00282052"/>
    <w:rsid w:val="0028519E"/>
    <w:rsid w:val="002856A5"/>
    <w:rsid w:val="002872ED"/>
    <w:rsid w:val="002905C2"/>
    <w:rsid w:val="00294272"/>
    <w:rsid w:val="00295AF2"/>
    <w:rsid w:val="00295C91"/>
    <w:rsid w:val="0029687C"/>
    <w:rsid w:val="00297151"/>
    <w:rsid w:val="002A0910"/>
    <w:rsid w:val="002B20E6"/>
    <w:rsid w:val="002B42A3"/>
    <w:rsid w:val="002C0CDD"/>
    <w:rsid w:val="002C7358"/>
    <w:rsid w:val="002D6709"/>
    <w:rsid w:val="002D6B3E"/>
    <w:rsid w:val="002E1A1D"/>
    <w:rsid w:val="002E4081"/>
    <w:rsid w:val="002E5B78"/>
    <w:rsid w:val="002F3AE3"/>
    <w:rsid w:val="00302D1E"/>
    <w:rsid w:val="00303477"/>
    <w:rsid w:val="0030464B"/>
    <w:rsid w:val="0030786C"/>
    <w:rsid w:val="003119D3"/>
    <w:rsid w:val="003233DE"/>
    <w:rsid w:val="0032466B"/>
    <w:rsid w:val="00327B44"/>
    <w:rsid w:val="00327EC7"/>
    <w:rsid w:val="00331512"/>
    <w:rsid w:val="003319B7"/>
    <w:rsid w:val="003330EB"/>
    <w:rsid w:val="003339CE"/>
    <w:rsid w:val="0033578D"/>
    <w:rsid w:val="00336605"/>
    <w:rsid w:val="003415FD"/>
    <w:rsid w:val="003429F0"/>
    <w:rsid w:val="00346A85"/>
    <w:rsid w:val="0035097A"/>
    <w:rsid w:val="003540A4"/>
    <w:rsid w:val="0035732A"/>
    <w:rsid w:val="00360E4E"/>
    <w:rsid w:val="00370AAA"/>
    <w:rsid w:val="00374D80"/>
    <w:rsid w:val="003758A5"/>
    <w:rsid w:val="00375AC3"/>
    <w:rsid w:val="00375F77"/>
    <w:rsid w:val="00377A78"/>
    <w:rsid w:val="00381BBE"/>
    <w:rsid w:val="00382903"/>
    <w:rsid w:val="003846FF"/>
    <w:rsid w:val="00385AD4"/>
    <w:rsid w:val="00387924"/>
    <w:rsid w:val="00390555"/>
    <w:rsid w:val="00390B4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F0F"/>
    <w:rsid w:val="003C46A6"/>
    <w:rsid w:val="003C7F14"/>
    <w:rsid w:val="003D17F9"/>
    <w:rsid w:val="003D2D88"/>
    <w:rsid w:val="003D41EA"/>
    <w:rsid w:val="003D4850"/>
    <w:rsid w:val="003D535A"/>
    <w:rsid w:val="003E171D"/>
    <w:rsid w:val="003E5265"/>
    <w:rsid w:val="003F0955"/>
    <w:rsid w:val="003F118A"/>
    <w:rsid w:val="003F6FE1"/>
    <w:rsid w:val="003F7402"/>
    <w:rsid w:val="00400F00"/>
    <w:rsid w:val="00404F32"/>
    <w:rsid w:val="00404F8B"/>
    <w:rsid w:val="00405256"/>
    <w:rsid w:val="00410031"/>
    <w:rsid w:val="004115A2"/>
    <w:rsid w:val="00415C81"/>
    <w:rsid w:val="00416731"/>
    <w:rsid w:val="004265E0"/>
    <w:rsid w:val="00432378"/>
    <w:rsid w:val="00434482"/>
    <w:rsid w:val="00437B0A"/>
    <w:rsid w:val="00440D65"/>
    <w:rsid w:val="00441D79"/>
    <w:rsid w:val="004435E6"/>
    <w:rsid w:val="00444D50"/>
    <w:rsid w:val="00447E31"/>
    <w:rsid w:val="00453923"/>
    <w:rsid w:val="00454B9B"/>
    <w:rsid w:val="00457858"/>
    <w:rsid w:val="00457DC9"/>
    <w:rsid w:val="00460B0B"/>
    <w:rsid w:val="00461023"/>
    <w:rsid w:val="00462FAC"/>
    <w:rsid w:val="00464631"/>
    <w:rsid w:val="00464B79"/>
    <w:rsid w:val="00467BBF"/>
    <w:rsid w:val="004867E2"/>
    <w:rsid w:val="004929A9"/>
    <w:rsid w:val="004A16BF"/>
    <w:rsid w:val="004B2BBB"/>
    <w:rsid w:val="004B3F52"/>
    <w:rsid w:val="004B3FF0"/>
    <w:rsid w:val="004B750E"/>
    <w:rsid w:val="004C2FEC"/>
    <w:rsid w:val="004C4753"/>
    <w:rsid w:val="004C6BCF"/>
    <w:rsid w:val="004D58BF"/>
    <w:rsid w:val="004E4335"/>
    <w:rsid w:val="004E5ACF"/>
    <w:rsid w:val="004E6E8A"/>
    <w:rsid w:val="004F13EE"/>
    <w:rsid w:val="004F2022"/>
    <w:rsid w:val="004F3BF2"/>
    <w:rsid w:val="004F6488"/>
    <w:rsid w:val="004F7C05"/>
    <w:rsid w:val="00501C94"/>
    <w:rsid w:val="00506432"/>
    <w:rsid w:val="0051242B"/>
    <w:rsid w:val="0052051D"/>
    <w:rsid w:val="005242A0"/>
    <w:rsid w:val="005265BD"/>
    <w:rsid w:val="0053724A"/>
    <w:rsid w:val="0053783F"/>
    <w:rsid w:val="00545EE6"/>
    <w:rsid w:val="00546626"/>
    <w:rsid w:val="005550E7"/>
    <w:rsid w:val="005564FB"/>
    <w:rsid w:val="005572C7"/>
    <w:rsid w:val="0056384B"/>
    <w:rsid w:val="005650ED"/>
    <w:rsid w:val="0057223A"/>
    <w:rsid w:val="00575754"/>
    <w:rsid w:val="005806AC"/>
    <w:rsid w:val="00591E20"/>
    <w:rsid w:val="0059389B"/>
    <w:rsid w:val="00595408"/>
    <w:rsid w:val="00595E84"/>
    <w:rsid w:val="00597D79"/>
    <w:rsid w:val="005A0C59"/>
    <w:rsid w:val="005A3626"/>
    <w:rsid w:val="005A3E33"/>
    <w:rsid w:val="005A48EB"/>
    <w:rsid w:val="005A6CFB"/>
    <w:rsid w:val="005A7579"/>
    <w:rsid w:val="005B79AD"/>
    <w:rsid w:val="005C5AEB"/>
    <w:rsid w:val="005E0A3F"/>
    <w:rsid w:val="005E1A67"/>
    <w:rsid w:val="005E6883"/>
    <w:rsid w:val="005E772F"/>
    <w:rsid w:val="005F16F6"/>
    <w:rsid w:val="005F4ECA"/>
    <w:rsid w:val="006014A6"/>
    <w:rsid w:val="00602F61"/>
    <w:rsid w:val="006041BE"/>
    <w:rsid w:val="006043C7"/>
    <w:rsid w:val="00612C9E"/>
    <w:rsid w:val="00613540"/>
    <w:rsid w:val="00623CE8"/>
    <w:rsid w:val="00624B52"/>
    <w:rsid w:val="00631DF4"/>
    <w:rsid w:val="00634175"/>
    <w:rsid w:val="006408AC"/>
    <w:rsid w:val="006511B6"/>
    <w:rsid w:val="00652742"/>
    <w:rsid w:val="00653D84"/>
    <w:rsid w:val="00657FF8"/>
    <w:rsid w:val="0066042F"/>
    <w:rsid w:val="00670D99"/>
    <w:rsid w:val="00670E2B"/>
    <w:rsid w:val="00672743"/>
    <w:rsid w:val="006734BB"/>
    <w:rsid w:val="0067410C"/>
    <w:rsid w:val="00681A34"/>
    <w:rsid w:val="006821EB"/>
    <w:rsid w:val="0069704D"/>
    <w:rsid w:val="006B2286"/>
    <w:rsid w:val="006B56BB"/>
    <w:rsid w:val="006B5F3B"/>
    <w:rsid w:val="006B6F37"/>
    <w:rsid w:val="006C55E3"/>
    <w:rsid w:val="006C77A8"/>
    <w:rsid w:val="006D4098"/>
    <w:rsid w:val="006D472B"/>
    <w:rsid w:val="006D7681"/>
    <w:rsid w:val="006D7B2E"/>
    <w:rsid w:val="006E02EA"/>
    <w:rsid w:val="006E0968"/>
    <w:rsid w:val="006E2AF6"/>
    <w:rsid w:val="006E54EE"/>
    <w:rsid w:val="006F620B"/>
    <w:rsid w:val="00701275"/>
    <w:rsid w:val="00707F56"/>
    <w:rsid w:val="00713558"/>
    <w:rsid w:val="0071596F"/>
    <w:rsid w:val="00720D08"/>
    <w:rsid w:val="00722762"/>
    <w:rsid w:val="007263B9"/>
    <w:rsid w:val="00727A1E"/>
    <w:rsid w:val="007334F8"/>
    <w:rsid w:val="007339CD"/>
    <w:rsid w:val="007359D8"/>
    <w:rsid w:val="007362D4"/>
    <w:rsid w:val="00751A23"/>
    <w:rsid w:val="0076672A"/>
    <w:rsid w:val="0077187F"/>
    <w:rsid w:val="00775E45"/>
    <w:rsid w:val="00776E74"/>
    <w:rsid w:val="00780619"/>
    <w:rsid w:val="00785169"/>
    <w:rsid w:val="00791BAA"/>
    <w:rsid w:val="007954AB"/>
    <w:rsid w:val="007A089E"/>
    <w:rsid w:val="007A14C5"/>
    <w:rsid w:val="007A3E38"/>
    <w:rsid w:val="007A4A10"/>
    <w:rsid w:val="007A67B9"/>
    <w:rsid w:val="007B04C7"/>
    <w:rsid w:val="007B1760"/>
    <w:rsid w:val="007B3D03"/>
    <w:rsid w:val="007B6CBD"/>
    <w:rsid w:val="007C6D9C"/>
    <w:rsid w:val="007C7DDB"/>
    <w:rsid w:val="007D2CC7"/>
    <w:rsid w:val="007D66AF"/>
    <w:rsid w:val="007D673D"/>
    <w:rsid w:val="007E23E0"/>
    <w:rsid w:val="007E5834"/>
    <w:rsid w:val="007F2220"/>
    <w:rsid w:val="007F4B3E"/>
    <w:rsid w:val="007F588A"/>
    <w:rsid w:val="00810AED"/>
    <w:rsid w:val="008127AF"/>
    <w:rsid w:val="00812B46"/>
    <w:rsid w:val="00815700"/>
    <w:rsid w:val="008169ED"/>
    <w:rsid w:val="00817B70"/>
    <w:rsid w:val="008264EB"/>
    <w:rsid w:val="00826648"/>
    <w:rsid w:val="00826B8F"/>
    <w:rsid w:val="00831E8A"/>
    <w:rsid w:val="00835C76"/>
    <w:rsid w:val="00843049"/>
    <w:rsid w:val="0085209B"/>
    <w:rsid w:val="00856B66"/>
    <w:rsid w:val="00857485"/>
    <w:rsid w:val="0086048C"/>
    <w:rsid w:val="00861A5F"/>
    <w:rsid w:val="008630B2"/>
    <w:rsid w:val="008644AD"/>
    <w:rsid w:val="00865735"/>
    <w:rsid w:val="00865DDB"/>
    <w:rsid w:val="00867538"/>
    <w:rsid w:val="00870ED5"/>
    <w:rsid w:val="00873D90"/>
    <w:rsid w:val="00873FC8"/>
    <w:rsid w:val="0088469C"/>
    <w:rsid w:val="00884C63"/>
    <w:rsid w:val="00885908"/>
    <w:rsid w:val="008864B7"/>
    <w:rsid w:val="00892DD7"/>
    <w:rsid w:val="0089677E"/>
    <w:rsid w:val="00896E8C"/>
    <w:rsid w:val="008A644E"/>
    <w:rsid w:val="008A7438"/>
    <w:rsid w:val="008B1334"/>
    <w:rsid w:val="008C0278"/>
    <w:rsid w:val="008C24E9"/>
    <w:rsid w:val="008C27AA"/>
    <w:rsid w:val="008D0533"/>
    <w:rsid w:val="008D2654"/>
    <w:rsid w:val="008D42CB"/>
    <w:rsid w:val="008D48C9"/>
    <w:rsid w:val="008D5B79"/>
    <w:rsid w:val="008D6381"/>
    <w:rsid w:val="008E0C77"/>
    <w:rsid w:val="008E625F"/>
    <w:rsid w:val="008F264D"/>
    <w:rsid w:val="009074E1"/>
    <w:rsid w:val="009112F7"/>
    <w:rsid w:val="009122AF"/>
    <w:rsid w:val="009127BC"/>
    <w:rsid w:val="00912D54"/>
    <w:rsid w:val="0091389F"/>
    <w:rsid w:val="0091619C"/>
    <w:rsid w:val="009161CB"/>
    <w:rsid w:val="009208F7"/>
    <w:rsid w:val="00922517"/>
    <w:rsid w:val="00922722"/>
    <w:rsid w:val="009261E6"/>
    <w:rsid w:val="009268E1"/>
    <w:rsid w:val="00926D89"/>
    <w:rsid w:val="00934368"/>
    <w:rsid w:val="00945E7F"/>
    <w:rsid w:val="00953794"/>
    <w:rsid w:val="009557C1"/>
    <w:rsid w:val="009579EF"/>
    <w:rsid w:val="00960D6E"/>
    <w:rsid w:val="00964198"/>
    <w:rsid w:val="00965D84"/>
    <w:rsid w:val="00972BC1"/>
    <w:rsid w:val="00974B59"/>
    <w:rsid w:val="00983032"/>
    <w:rsid w:val="0098340B"/>
    <w:rsid w:val="00986830"/>
    <w:rsid w:val="009924C3"/>
    <w:rsid w:val="00993102"/>
    <w:rsid w:val="00994C4E"/>
    <w:rsid w:val="009969DD"/>
    <w:rsid w:val="009A56B3"/>
    <w:rsid w:val="009B6C8D"/>
    <w:rsid w:val="009C201B"/>
    <w:rsid w:val="009C4A39"/>
    <w:rsid w:val="009C6F10"/>
    <w:rsid w:val="009D148F"/>
    <w:rsid w:val="009D3D70"/>
    <w:rsid w:val="009E266D"/>
    <w:rsid w:val="009E6F7E"/>
    <w:rsid w:val="009E7A57"/>
    <w:rsid w:val="009F4F6A"/>
    <w:rsid w:val="009F6051"/>
    <w:rsid w:val="00A03CC4"/>
    <w:rsid w:val="00A04084"/>
    <w:rsid w:val="00A10AB1"/>
    <w:rsid w:val="00A10E0A"/>
    <w:rsid w:val="00A16E36"/>
    <w:rsid w:val="00A24961"/>
    <w:rsid w:val="00A24B10"/>
    <w:rsid w:val="00A261BD"/>
    <w:rsid w:val="00A30E9B"/>
    <w:rsid w:val="00A4512D"/>
    <w:rsid w:val="00A45612"/>
    <w:rsid w:val="00A50244"/>
    <w:rsid w:val="00A56F17"/>
    <w:rsid w:val="00A627D7"/>
    <w:rsid w:val="00A628D9"/>
    <w:rsid w:val="00A656C7"/>
    <w:rsid w:val="00A705AF"/>
    <w:rsid w:val="00A70A40"/>
    <w:rsid w:val="00A72454"/>
    <w:rsid w:val="00A74345"/>
    <w:rsid w:val="00A77696"/>
    <w:rsid w:val="00A80557"/>
    <w:rsid w:val="00A81D33"/>
    <w:rsid w:val="00A930AE"/>
    <w:rsid w:val="00AA1A95"/>
    <w:rsid w:val="00AA260F"/>
    <w:rsid w:val="00AA3D79"/>
    <w:rsid w:val="00AB1EE7"/>
    <w:rsid w:val="00AB4B37"/>
    <w:rsid w:val="00AB5762"/>
    <w:rsid w:val="00AB6A3F"/>
    <w:rsid w:val="00AC2679"/>
    <w:rsid w:val="00AC4BE4"/>
    <w:rsid w:val="00AC6BF9"/>
    <w:rsid w:val="00AC75CD"/>
    <w:rsid w:val="00AD050D"/>
    <w:rsid w:val="00AD05E6"/>
    <w:rsid w:val="00AD0D3F"/>
    <w:rsid w:val="00AD1C5A"/>
    <w:rsid w:val="00AE1D7D"/>
    <w:rsid w:val="00AE2A8B"/>
    <w:rsid w:val="00AE2DE7"/>
    <w:rsid w:val="00AE3F64"/>
    <w:rsid w:val="00AF45C0"/>
    <w:rsid w:val="00AF7386"/>
    <w:rsid w:val="00AF7934"/>
    <w:rsid w:val="00B00B81"/>
    <w:rsid w:val="00B04580"/>
    <w:rsid w:val="00B04B09"/>
    <w:rsid w:val="00B16A51"/>
    <w:rsid w:val="00B25440"/>
    <w:rsid w:val="00B2748F"/>
    <w:rsid w:val="00B32222"/>
    <w:rsid w:val="00B3618D"/>
    <w:rsid w:val="00B36233"/>
    <w:rsid w:val="00B42851"/>
    <w:rsid w:val="00B458CF"/>
    <w:rsid w:val="00B45AC7"/>
    <w:rsid w:val="00B5372F"/>
    <w:rsid w:val="00B61129"/>
    <w:rsid w:val="00B67E7F"/>
    <w:rsid w:val="00B72CF0"/>
    <w:rsid w:val="00B75A04"/>
    <w:rsid w:val="00B83924"/>
    <w:rsid w:val="00B839B2"/>
    <w:rsid w:val="00B94252"/>
    <w:rsid w:val="00B9715A"/>
    <w:rsid w:val="00BA14BE"/>
    <w:rsid w:val="00BA2732"/>
    <w:rsid w:val="00BA293D"/>
    <w:rsid w:val="00BA30BD"/>
    <w:rsid w:val="00BA49BC"/>
    <w:rsid w:val="00BA56B7"/>
    <w:rsid w:val="00BA7A1E"/>
    <w:rsid w:val="00BA7CA9"/>
    <w:rsid w:val="00BB2F6C"/>
    <w:rsid w:val="00BB3875"/>
    <w:rsid w:val="00BB5860"/>
    <w:rsid w:val="00BB6AAD"/>
    <w:rsid w:val="00BC4A19"/>
    <w:rsid w:val="00BC4E6D"/>
    <w:rsid w:val="00BC6C89"/>
    <w:rsid w:val="00BD0617"/>
    <w:rsid w:val="00BD2E9B"/>
    <w:rsid w:val="00BE48EA"/>
    <w:rsid w:val="00BF7AD7"/>
    <w:rsid w:val="00C00930"/>
    <w:rsid w:val="00C04CD6"/>
    <w:rsid w:val="00C060AD"/>
    <w:rsid w:val="00C0670D"/>
    <w:rsid w:val="00C11197"/>
    <w:rsid w:val="00C113BF"/>
    <w:rsid w:val="00C2176E"/>
    <w:rsid w:val="00C21C5F"/>
    <w:rsid w:val="00C23430"/>
    <w:rsid w:val="00C27D67"/>
    <w:rsid w:val="00C4631F"/>
    <w:rsid w:val="00C50E16"/>
    <w:rsid w:val="00C55258"/>
    <w:rsid w:val="00C62E7E"/>
    <w:rsid w:val="00C77010"/>
    <w:rsid w:val="00C82EEB"/>
    <w:rsid w:val="00C852CA"/>
    <w:rsid w:val="00C971DC"/>
    <w:rsid w:val="00CA16B7"/>
    <w:rsid w:val="00CA2300"/>
    <w:rsid w:val="00CA4BE3"/>
    <w:rsid w:val="00CA62AE"/>
    <w:rsid w:val="00CB1838"/>
    <w:rsid w:val="00CB5B1A"/>
    <w:rsid w:val="00CC220B"/>
    <w:rsid w:val="00CC2F41"/>
    <w:rsid w:val="00CC5C43"/>
    <w:rsid w:val="00CC7F6D"/>
    <w:rsid w:val="00CD02AE"/>
    <w:rsid w:val="00CD2A4F"/>
    <w:rsid w:val="00CE03CA"/>
    <w:rsid w:val="00CE22F1"/>
    <w:rsid w:val="00CE50F2"/>
    <w:rsid w:val="00CE6502"/>
    <w:rsid w:val="00CF33B9"/>
    <w:rsid w:val="00CF7D3C"/>
    <w:rsid w:val="00D03933"/>
    <w:rsid w:val="00D039CD"/>
    <w:rsid w:val="00D12792"/>
    <w:rsid w:val="00D13416"/>
    <w:rsid w:val="00D147EB"/>
    <w:rsid w:val="00D156AD"/>
    <w:rsid w:val="00D34667"/>
    <w:rsid w:val="00D401E1"/>
    <w:rsid w:val="00D408B4"/>
    <w:rsid w:val="00D423B1"/>
    <w:rsid w:val="00D4291E"/>
    <w:rsid w:val="00D45D94"/>
    <w:rsid w:val="00D46A74"/>
    <w:rsid w:val="00D50DE2"/>
    <w:rsid w:val="00D524C8"/>
    <w:rsid w:val="00D60E25"/>
    <w:rsid w:val="00D70509"/>
    <w:rsid w:val="00D70E24"/>
    <w:rsid w:val="00D72B61"/>
    <w:rsid w:val="00D7446D"/>
    <w:rsid w:val="00D76A0F"/>
    <w:rsid w:val="00D86655"/>
    <w:rsid w:val="00DA3D1D"/>
    <w:rsid w:val="00DB0138"/>
    <w:rsid w:val="00DB6286"/>
    <w:rsid w:val="00DB645F"/>
    <w:rsid w:val="00DB76E9"/>
    <w:rsid w:val="00DB7DC6"/>
    <w:rsid w:val="00DC0A67"/>
    <w:rsid w:val="00DC1D5E"/>
    <w:rsid w:val="00DC2313"/>
    <w:rsid w:val="00DC5220"/>
    <w:rsid w:val="00DC7910"/>
    <w:rsid w:val="00DD0F98"/>
    <w:rsid w:val="00DD2061"/>
    <w:rsid w:val="00DD3DC1"/>
    <w:rsid w:val="00DD7DAB"/>
    <w:rsid w:val="00DE3355"/>
    <w:rsid w:val="00DF3794"/>
    <w:rsid w:val="00DF486F"/>
    <w:rsid w:val="00DF5B5B"/>
    <w:rsid w:val="00DF7619"/>
    <w:rsid w:val="00E042D8"/>
    <w:rsid w:val="00E07EE7"/>
    <w:rsid w:val="00E1103B"/>
    <w:rsid w:val="00E17521"/>
    <w:rsid w:val="00E17B44"/>
    <w:rsid w:val="00E27FEA"/>
    <w:rsid w:val="00E315AB"/>
    <w:rsid w:val="00E31918"/>
    <w:rsid w:val="00E342C9"/>
    <w:rsid w:val="00E35B2E"/>
    <w:rsid w:val="00E37AE7"/>
    <w:rsid w:val="00E4086F"/>
    <w:rsid w:val="00E41DD7"/>
    <w:rsid w:val="00E43B3C"/>
    <w:rsid w:val="00E50188"/>
    <w:rsid w:val="00E515CB"/>
    <w:rsid w:val="00E52260"/>
    <w:rsid w:val="00E639B6"/>
    <w:rsid w:val="00E6434B"/>
    <w:rsid w:val="00E6463D"/>
    <w:rsid w:val="00E6769C"/>
    <w:rsid w:val="00E72E9B"/>
    <w:rsid w:val="00E757EF"/>
    <w:rsid w:val="00E81D55"/>
    <w:rsid w:val="00E849DA"/>
    <w:rsid w:val="00E86C13"/>
    <w:rsid w:val="00E9226D"/>
    <w:rsid w:val="00E9462E"/>
    <w:rsid w:val="00EA470E"/>
    <w:rsid w:val="00EA47A7"/>
    <w:rsid w:val="00EA57EB"/>
    <w:rsid w:val="00EB31D0"/>
    <w:rsid w:val="00EB3226"/>
    <w:rsid w:val="00EB750D"/>
    <w:rsid w:val="00EC1855"/>
    <w:rsid w:val="00EC213A"/>
    <w:rsid w:val="00EC59FE"/>
    <w:rsid w:val="00EC6603"/>
    <w:rsid w:val="00EC7744"/>
    <w:rsid w:val="00ED0DAD"/>
    <w:rsid w:val="00ED0F46"/>
    <w:rsid w:val="00ED2373"/>
    <w:rsid w:val="00EE3E8A"/>
    <w:rsid w:val="00EE7179"/>
    <w:rsid w:val="00EF6ECA"/>
    <w:rsid w:val="00F024E1"/>
    <w:rsid w:val="00F049F6"/>
    <w:rsid w:val="00F06C10"/>
    <w:rsid w:val="00F108BE"/>
    <w:rsid w:val="00F1096F"/>
    <w:rsid w:val="00F1124B"/>
    <w:rsid w:val="00F12589"/>
    <w:rsid w:val="00F12595"/>
    <w:rsid w:val="00F134D9"/>
    <w:rsid w:val="00F1403D"/>
    <w:rsid w:val="00F1463F"/>
    <w:rsid w:val="00F21302"/>
    <w:rsid w:val="00F321DE"/>
    <w:rsid w:val="00F33777"/>
    <w:rsid w:val="00F3543B"/>
    <w:rsid w:val="00F40648"/>
    <w:rsid w:val="00F43D4F"/>
    <w:rsid w:val="00F47DA2"/>
    <w:rsid w:val="00F519FC"/>
    <w:rsid w:val="00F6239D"/>
    <w:rsid w:val="00F715D2"/>
    <w:rsid w:val="00F7274F"/>
    <w:rsid w:val="00F76FA8"/>
    <w:rsid w:val="00F77EDD"/>
    <w:rsid w:val="00F802E2"/>
    <w:rsid w:val="00F93F08"/>
    <w:rsid w:val="00F94CED"/>
    <w:rsid w:val="00FA127B"/>
    <w:rsid w:val="00FA1F9B"/>
    <w:rsid w:val="00FA2CEE"/>
    <w:rsid w:val="00FA318C"/>
    <w:rsid w:val="00FA3304"/>
    <w:rsid w:val="00FB666F"/>
    <w:rsid w:val="00FB6F92"/>
    <w:rsid w:val="00FC026E"/>
    <w:rsid w:val="00FC5124"/>
    <w:rsid w:val="00FC6BE2"/>
    <w:rsid w:val="00FD4731"/>
    <w:rsid w:val="00FE04F0"/>
    <w:rsid w:val="00FE1EAB"/>
    <w:rsid w:val="00FF0AB0"/>
    <w:rsid w:val="00FF1DE7"/>
    <w:rsid w:val="00FF217A"/>
    <w:rsid w:val="00FF28AC"/>
    <w:rsid w:val="00FF7079"/>
    <w:rsid w:val="00FF7F62"/>
    <w:rsid w:val="04121A77"/>
    <w:rsid w:val="052EB71A"/>
    <w:rsid w:val="09A82EC4"/>
    <w:rsid w:val="0ACF36F1"/>
    <w:rsid w:val="0B286FC1"/>
    <w:rsid w:val="0CACAB5C"/>
    <w:rsid w:val="0E8E6D4F"/>
    <w:rsid w:val="11801C7F"/>
    <w:rsid w:val="1359C092"/>
    <w:rsid w:val="15517E16"/>
    <w:rsid w:val="158260C0"/>
    <w:rsid w:val="16CEBABE"/>
    <w:rsid w:val="17415C48"/>
    <w:rsid w:val="1752ECE0"/>
    <w:rsid w:val="1A4B60F6"/>
    <w:rsid w:val="1AF9560A"/>
    <w:rsid w:val="1E8FED08"/>
    <w:rsid w:val="1EB2CD76"/>
    <w:rsid w:val="23E3851E"/>
    <w:rsid w:val="243D02C1"/>
    <w:rsid w:val="25AB2545"/>
    <w:rsid w:val="2EC078D6"/>
    <w:rsid w:val="2EEC1C86"/>
    <w:rsid w:val="30B5E710"/>
    <w:rsid w:val="30DD0574"/>
    <w:rsid w:val="34174C12"/>
    <w:rsid w:val="3434A254"/>
    <w:rsid w:val="3447A464"/>
    <w:rsid w:val="3487ACEC"/>
    <w:rsid w:val="34B2C82F"/>
    <w:rsid w:val="35C7466E"/>
    <w:rsid w:val="39081377"/>
    <w:rsid w:val="39DAC087"/>
    <w:rsid w:val="41090B4B"/>
    <w:rsid w:val="4295CD60"/>
    <w:rsid w:val="441CE662"/>
    <w:rsid w:val="44DAA12F"/>
    <w:rsid w:val="46767190"/>
    <w:rsid w:val="469CE34D"/>
    <w:rsid w:val="471806AC"/>
    <w:rsid w:val="4994E9F5"/>
    <w:rsid w:val="55319EBA"/>
    <w:rsid w:val="56079851"/>
    <w:rsid w:val="5655865D"/>
    <w:rsid w:val="57533186"/>
    <w:rsid w:val="58234C6E"/>
    <w:rsid w:val="58A7132E"/>
    <w:rsid w:val="5AF0FCE2"/>
    <w:rsid w:val="5C560536"/>
    <w:rsid w:val="5C9ED5AF"/>
    <w:rsid w:val="5DFCE331"/>
    <w:rsid w:val="5E1BD86C"/>
    <w:rsid w:val="5E99E189"/>
    <w:rsid w:val="60580C17"/>
    <w:rsid w:val="610E1236"/>
    <w:rsid w:val="62A9E297"/>
    <w:rsid w:val="646C24B5"/>
    <w:rsid w:val="650E0C00"/>
    <w:rsid w:val="66D5464C"/>
    <w:rsid w:val="67ECA02C"/>
    <w:rsid w:val="6807A690"/>
    <w:rsid w:val="687907AB"/>
    <w:rsid w:val="6967FD79"/>
    <w:rsid w:val="6BBEF18E"/>
    <w:rsid w:val="6BE37404"/>
    <w:rsid w:val="6CA93364"/>
    <w:rsid w:val="6CB4066B"/>
    <w:rsid w:val="6CF49E88"/>
    <w:rsid w:val="6FEAA9DB"/>
    <w:rsid w:val="71471B4F"/>
    <w:rsid w:val="739AA0F7"/>
    <w:rsid w:val="74EE243F"/>
    <w:rsid w:val="77759F7D"/>
    <w:rsid w:val="778B08F5"/>
    <w:rsid w:val="7AD97B43"/>
    <w:rsid w:val="7B5B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D98E"/>
  <w15:docId w15:val="{350CE127-720E-4896-8CF9-F44C764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3"/>
      </w:numPr>
    </w:pPr>
  </w:style>
  <w:style w:type="paragraph" w:styleId="ListNumber2">
    <w:name w:val="List Number 2"/>
    <w:basedOn w:val="ListBullet"/>
    <w:qFormat/>
    <w:rsid w:val="00BF7AD7"/>
    <w:pPr>
      <w:numPr>
        <w:numId w:val="22"/>
      </w:numPr>
    </w:pPr>
  </w:style>
  <w:style w:type="paragraph" w:styleId="ListBullet">
    <w:name w:val="List Bullet"/>
    <w:basedOn w:val="Normal"/>
    <w:qFormat/>
    <w:rsid w:val="00BF7AD7"/>
    <w:pPr>
      <w:numPr>
        <w:numId w:val="2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5"/>
      </w:numPr>
    </w:pPr>
    <w:rPr>
      <w:szCs w:val="20"/>
    </w:rPr>
  </w:style>
  <w:style w:type="paragraph" w:customStyle="1" w:styleId="Tablelistnumber">
    <w:name w:val="Table list number"/>
    <w:basedOn w:val="Tabletextleft"/>
    <w:qFormat/>
    <w:rsid w:val="00BF7AD7"/>
    <w:pPr>
      <w:numPr>
        <w:numId w:val="2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14577"/>
    <w:rPr>
      <w:sz w:val="16"/>
      <w:szCs w:val="16"/>
    </w:rPr>
  </w:style>
  <w:style w:type="paragraph" w:styleId="CommentText">
    <w:name w:val="annotation text"/>
    <w:basedOn w:val="Normal"/>
    <w:link w:val="CommentTextChar"/>
    <w:semiHidden/>
    <w:unhideWhenUsed/>
    <w:rsid w:val="002C7358"/>
    <w:pPr>
      <w:spacing w:line="240" w:lineRule="auto"/>
    </w:pPr>
    <w:rPr>
      <w:sz w:val="20"/>
      <w:szCs w:val="20"/>
    </w:rPr>
  </w:style>
  <w:style w:type="character" w:customStyle="1" w:styleId="CommentTextChar">
    <w:name w:val="Comment Text Char"/>
    <w:basedOn w:val="DefaultParagraphFont"/>
    <w:link w:val="CommentText"/>
    <w:semiHidden/>
    <w:rsid w:val="002C735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C7358"/>
    <w:rPr>
      <w:b/>
      <w:bCs/>
    </w:rPr>
  </w:style>
  <w:style w:type="character" w:customStyle="1" w:styleId="CommentSubjectChar">
    <w:name w:val="Comment Subject Char"/>
    <w:basedOn w:val="CommentTextChar"/>
    <w:link w:val="CommentSubject"/>
    <w:semiHidden/>
    <w:rsid w:val="002C7358"/>
    <w:rPr>
      <w:rFonts w:ascii="Arial" w:hAnsi="Arial"/>
      <w:b/>
      <w:bCs/>
      <w:color w:val="000000" w:themeColor="text1"/>
      <w:lang w:eastAsia="en-US"/>
    </w:rPr>
  </w:style>
  <w:style w:type="paragraph" w:customStyle="1" w:styleId="Default">
    <w:name w:val="Default"/>
    <w:rsid w:val="0069704D"/>
    <w:pPr>
      <w:autoSpaceDE w:val="0"/>
      <w:autoSpaceDN w:val="0"/>
      <w:adjustRightInd w:val="0"/>
    </w:pPr>
    <w:rPr>
      <w:rFonts w:ascii="Calibri" w:hAnsi="Calibri" w:cs="Calibri"/>
      <w:color w:val="000000"/>
      <w:sz w:val="24"/>
      <w:szCs w:val="24"/>
    </w:rPr>
  </w:style>
  <w:style w:type="table" w:styleId="GridTable5Dark-Accent2">
    <w:name w:val="Grid Table 5 Dark Accent 2"/>
    <w:basedOn w:val="TableNormal"/>
    <w:uiPriority w:val="50"/>
    <w:rsid w:val="00D156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GridTable1Light-Accent2">
    <w:name w:val="Grid Table 1 Light Accent 2"/>
    <w:basedOn w:val="TableNormal"/>
    <w:uiPriority w:val="46"/>
    <w:rsid w:val="00D156A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1941F4"/>
    <w:rPr>
      <w:rFonts w:ascii="Arial" w:hAnsi="Arial"/>
      <w:color w:val="000000" w:themeColor="text1"/>
      <w:sz w:val="22"/>
      <w:szCs w:val="24"/>
      <w:lang w:eastAsia="en-US"/>
    </w:rPr>
  </w:style>
  <w:style w:type="paragraph" w:customStyle="1" w:styleId="null1">
    <w:name w:val="null1"/>
    <w:basedOn w:val="Normal"/>
    <w:rsid w:val="0053783F"/>
    <w:pPr>
      <w:spacing w:before="100" w:beforeAutospacing="1" w:after="100" w:afterAutospacing="1" w:line="240" w:lineRule="auto"/>
    </w:pPr>
    <w:rPr>
      <w:rFonts w:ascii="Calibri" w:eastAsiaTheme="minorHAnsi" w:hAnsi="Calibri" w:cs="Calibri"/>
      <w:color w:val="auto"/>
      <w:szCs w:val="22"/>
      <w:lang w:eastAsia="en-AU"/>
    </w:rPr>
  </w:style>
  <w:style w:type="paragraph" w:customStyle="1" w:styleId="null">
    <w:name w:val="null"/>
    <w:basedOn w:val="Normal"/>
    <w:rsid w:val="009161CB"/>
    <w:pPr>
      <w:spacing w:before="100" w:beforeAutospacing="1" w:after="100" w:afterAutospacing="1"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78586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14496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5118661">
      <w:bodyDiv w:val="1"/>
      <w:marLeft w:val="0"/>
      <w:marRight w:val="0"/>
      <w:marTop w:val="0"/>
      <w:marBottom w:val="0"/>
      <w:divBdr>
        <w:top w:val="none" w:sz="0" w:space="0" w:color="auto"/>
        <w:left w:val="none" w:sz="0" w:space="0" w:color="auto"/>
        <w:bottom w:val="none" w:sz="0" w:space="0" w:color="auto"/>
        <w:right w:val="none" w:sz="0" w:space="0" w:color="auto"/>
      </w:divBdr>
    </w:div>
    <w:div w:id="970751542">
      <w:bodyDiv w:val="1"/>
      <w:marLeft w:val="0"/>
      <w:marRight w:val="0"/>
      <w:marTop w:val="0"/>
      <w:marBottom w:val="0"/>
      <w:divBdr>
        <w:top w:val="none" w:sz="0" w:space="0" w:color="auto"/>
        <w:left w:val="none" w:sz="0" w:space="0" w:color="auto"/>
        <w:bottom w:val="none" w:sz="0" w:space="0" w:color="auto"/>
        <w:right w:val="none" w:sz="0" w:space="0" w:color="auto"/>
      </w:divBdr>
    </w:div>
    <w:div w:id="10496938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013973">
      <w:bodyDiv w:val="1"/>
      <w:marLeft w:val="0"/>
      <w:marRight w:val="0"/>
      <w:marTop w:val="0"/>
      <w:marBottom w:val="0"/>
      <w:divBdr>
        <w:top w:val="none" w:sz="0" w:space="0" w:color="auto"/>
        <w:left w:val="none" w:sz="0" w:space="0" w:color="auto"/>
        <w:bottom w:val="none" w:sz="0" w:space="0" w:color="auto"/>
        <w:right w:val="none" w:sz="0" w:space="0" w:color="auto"/>
      </w:divBdr>
    </w:div>
    <w:div w:id="1642155087">
      <w:bodyDiv w:val="1"/>
      <w:marLeft w:val="0"/>
      <w:marRight w:val="0"/>
      <w:marTop w:val="0"/>
      <w:marBottom w:val="0"/>
      <w:divBdr>
        <w:top w:val="none" w:sz="0" w:space="0" w:color="auto"/>
        <w:left w:val="none" w:sz="0" w:space="0" w:color="auto"/>
        <w:bottom w:val="none" w:sz="0" w:space="0" w:color="auto"/>
        <w:right w:val="none" w:sz="0" w:space="0" w:color="auto"/>
      </w:divBdr>
    </w:div>
    <w:div w:id="1731802365">
      <w:bodyDiv w:val="1"/>
      <w:marLeft w:val="0"/>
      <w:marRight w:val="0"/>
      <w:marTop w:val="0"/>
      <w:marBottom w:val="0"/>
      <w:divBdr>
        <w:top w:val="none" w:sz="0" w:space="0" w:color="auto"/>
        <w:left w:val="none" w:sz="0" w:space="0" w:color="auto"/>
        <w:bottom w:val="none" w:sz="0" w:space="0" w:color="auto"/>
        <w:right w:val="none" w:sz="0" w:space="0" w:color="auto"/>
      </w:divBdr>
    </w:div>
    <w:div w:id="1998995617">
      <w:bodyDiv w:val="1"/>
      <w:marLeft w:val="0"/>
      <w:marRight w:val="0"/>
      <w:marTop w:val="0"/>
      <w:marBottom w:val="0"/>
      <w:divBdr>
        <w:top w:val="none" w:sz="0" w:space="0" w:color="auto"/>
        <w:left w:val="none" w:sz="0" w:space="0" w:color="auto"/>
        <w:bottom w:val="none" w:sz="0" w:space="0" w:color="auto"/>
        <w:right w:val="none" w:sz="0" w:space="0" w:color="auto"/>
      </w:divBdr>
    </w:div>
    <w:div w:id="2035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B026882D0FD4ABD0E55D676F7B797" ma:contentTypeVersion="4" ma:contentTypeDescription="Create a new document." ma:contentTypeScope="" ma:versionID="e62a71f526392cd4d150c4b8b8b310e5">
  <xsd:schema xmlns:xsd="http://www.w3.org/2001/XMLSchema" xmlns:xs="http://www.w3.org/2001/XMLSchema" xmlns:p="http://schemas.microsoft.com/office/2006/metadata/properties" xmlns:ns3="db7bc1ee-983f-463b-96cc-a6893d3516c3" targetNamespace="http://schemas.microsoft.com/office/2006/metadata/properties" ma:root="true" ma:fieldsID="edc5c77cb281e1b0319f3bfde8d7f9af" ns3:_="">
    <xsd:import namespace="db7bc1ee-983f-463b-96cc-a6893d351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c1ee-983f-463b-96cc-a6893d35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4D275-AB99-4E2F-BF86-91C524BA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c1ee-983f-463b-96cc-a6893d35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9D097-F845-46C7-98F2-285D2F4F5C64}">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TOTTEN, Sarah</dc:creator>
  <cp:keywords/>
  <dc:description/>
  <cp:lastModifiedBy>MAHER, Claudia</cp:lastModifiedBy>
  <cp:revision>15</cp:revision>
  <cp:lastPrinted>2023-06-16T04:22:00Z</cp:lastPrinted>
  <dcterms:created xsi:type="dcterms:W3CDTF">2023-06-22T05:36:00Z</dcterms:created>
  <dcterms:modified xsi:type="dcterms:W3CDTF">2023-12-15T03:51:00Z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0x010100811B026882D0FD4ABD0E55D676F7B797</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