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2EF6F" w14:textId="4BCBA86B" w:rsidR="00280050" w:rsidRDefault="00587A30" w:rsidP="00576ECA">
      <w:pPr>
        <w:pStyle w:val="Title"/>
        <w:jc w:val="center"/>
      </w:pPr>
      <w:r w:rsidRPr="00587A30">
        <w:rPr>
          <w:i/>
          <w:iCs/>
        </w:rPr>
        <w:t>Unleashing the Potential of our Health Workforce</w:t>
      </w:r>
      <w:r>
        <w:t>: Scope of Practice Review</w:t>
      </w:r>
    </w:p>
    <w:p w14:paraId="44A1F440" w14:textId="2326CFFE" w:rsidR="00587A30" w:rsidRDefault="00587A30" w:rsidP="00587A30">
      <w:pPr>
        <w:pStyle w:val="Heading1"/>
        <w:jc w:val="center"/>
      </w:pPr>
      <w:r>
        <w:t>Terms of Reference</w:t>
      </w:r>
      <w:r w:rsidR="00A5726A">
        <w:t xml:space="preserve"> for the Expert Advisory Committee</w:t>
      </w:r>
    </w:p>
    <w:p w14:paraId="75AAE812" w14:textId="16ED7CDB" w:rsidR="00587A30" w:rsidRPr="00E57AE6" w:rsidRDefault="00587A30" w:rsidP="00E57AE6">
      <w:pPr>
        <w:pStyle w:val="Heading3"/>
        <w:spacing w:before="240"/>
        <w:rPr>
          <w:b/>
          <w:bCs/>
        </w:rPr>
      </w:pPr>
      <w:r w:rsidRPr="00E57AE6">
        <w:rPr>
          <w:b/>
          <w:bCs/>
        </w:rPr>
        <w:t>Context</w:t>
      </w:r>
    </w:p>
    <w:p w14:paraId="36C2E44D" w14:textId="219BE0DA" w:rsidR="001F00A9" w:rsidRDefault="00ED3BCB" w:rsidP="001560F7">
      <w:pPr>
        <w:rPr>
          <w:rFonts w:asciiTheme="minorHAnsi" w:hAnsiTheme="minorHAnsi" w:cstheme="minorHAnsi"/>
        </w:rPr>
      </w:pPr>
      <w:r w:rsidRPr="00ED3BCB">
        <w:rPr>
          <w:rFonts w:asciiTheme="minorHAnsi" w:hAnsiTheme="minorHAnsi" w:cstheme="minorHAnsi"/>
        </w:rPr>
        <w:t xml:space="preserve">In February 2023, the Strengthening Medicare Taskforce Report was released, which outlined priority recommendations to improve primary care. One recommendation was that work be undertaken with states and territories to review barriers and incentives for all professionals to work to their full scope of practice. </w:t>
      </w:r>
      <w:r w:rsidR="001560F7" w:rsidRPr="001560F7">
        <w:rPr>
          <w:rFonts w:asciiTheme="minorHAnsi" w:hAnsiTheme="minorHAnsi" w:cstheme="minorHAnsi"/>
        </w:rPr>
        <w:t>This recommendation was supported by National Cabinet in April 2023</w:t>
      </w:r>
      <w:r w:rsidR="001F00A9">
        <w:rPr>
          <w:rFonts w:asciiTheme="minorHAnsi" w:hAnsiTheme="minorHAnsi" w:cstheme="minorHAnsi"/>
        </w:rPr>
        <w:t>.</w:t>
      </w:r>
    </w:p>
    <w:p w14:paraId="36106FB5" w14:textId="7121BC29" w:rsidR="00ED3BCB" w:rsidRPr="001560F7" w:rsidRDefault="001F00A9" w:rsidP="00560EB8">
      <w:pPr>
        <w:rPr>
          <w:rFonts w:asciiTheme="minorHAnsi" w:hAnsiTheme="minorHAnsi" w:cstheme="minorHAnsi"/>
        </w:rPr>
      </w:pPr>
      <w:r>
        <w:rPr>
          <w:rFonts w:asciiTheme="minorHAnsi" w:hAnsiTheme="minorHAnsi" w:cstheme="minorHAnsi"/>
        </w:rPr>
        <w:t>T</w:t>
      </w:r>
      <w:r w:rsidR="001560F7" w:rsidRPr="001560F7">
        <w:rPr>
          <w:rFonts w:asciiTheme="minorHAnsi" w:hAnsiTheme="minorHAnsi" w:cstheme="minorHAnsi"/>
        </w:rPr>
        <w:t>he Australian Government provided funding through the 2023-24 Budget for an independent review of scope of practice of health practitioners working in, or with the potential to work in, primary care.</w:t>
      </w:r>
      <w:r w:rsidR="00560EB8">
        <w:rPr>
          <w:rFonts w:asciiTheme="minorHAnsi" w:hAnsiTheme="minorHAnsi" w:cstheme="minorHAnsi"/>
        </w:rPr>
        <w:t xml:space="preserve"> </w:t>
      </w:r>
      <w:r w:rsidR="00A5726A">
        <w:rPr>
          <w:rFonts w:asciiTheme="minorHAnsi" w:hAnsiTheme="minorHAnsi" w:cstheme="minorHAnsi"/>
        </w:rPr>
        <w:t>A</w:t>
      </w:r>
      <w:r w:rsidR="00ED3BCB" w:rsidRPr="001560F7">
        <w:rPr>
          <w:rFonts w:asciiTheme="minorHAnsi" w:hAnsiTheme="minorHAnsi" w:cstheme="minorHAnsi"/>
        </w:rPr>
        <w:t xml:space="preserve"> key focus</w:t>
      </w:r>
      <w:r w:rsidR="1B1E85FC" w:rsidRPr="001560F7">
        <w:rPr>
          <w:rFonts w:asciiTheme="minorHAnsi" w:hAnsiTheme="minorHAnsi" w:cstheme="minorHAnsi"/>
        </w:rPr>
        <w:t xml:space="preserve"> </w:t>
      </w:r>
      <w:r w:rsidR="00ED3BCB" w:rsidRPr="001560F7">
        <w:rPr>
          <w:rFonts w:asciiTheme="minorHAnsi" w:hAnsiTheme="minorHAnsi" w:cstheme="minorHAnsi"/>
        </w:rPr>
        <w:t xml:space="preserve">of this review will be to </w:t>
      </w:r>
      <w:r w:rsidR="0AB3232C" w:rsidRPr="001560F7">
        <w:rPr>
          <w:rFonts w:asciiTheme="minorHAnsi" w:hAnsiTheme="minorHAnsi" w:cstheme="minorHAnsi"/>
        </w:rPr>
        <w:t>identify</w:t>
      </w:r>
      <w:r w:rsidR="00A5726A">
        <w:rPr>
          <w:rFonts w:asciiTheme="minorHAnsi" w:hAnsiTheme="minorHAnsi" w:cstheme="minorHAnsi"/>
        </w:rPr>
        <w:t xml:space="preserve">, compile and analyse </w:t>
      </w:r>
      <w:r w:rsidR="5F409AE7" w:rsidRPr="001560F7">
        <w:rPr>
          <w:rFonts w:asciiTheme="minorHAnsi" w:hAnsiTheme="minorHAnsi" w:cstheme="minorHAnsi"/>
        </w:rPr>
        <w:t xml:space="preserve">the evidence </w:t>
      </w:r>
      <w:r w:rsidR="00A5726A">
        <w:rPr>
          <w:rFonts w:asciiTheme="minorHAnsi" w:hAnsiTheme="minorHAnsi" w:cstheme="minorHAnsi"/>
        </w:rPr>
        <w:t xml:space="preserve">concerning health professionals </w:t>
      </w:r>
      <w:r w:rsidR="5F409AE7" w:rsidRPr="001560F7">
        <w:rPr>
          <w:rFonts w:asciiTheme="minorHAnsi" w:hAnsiTheme="minorHAnsi" w:cstheme="minorHAnsi"/>
        </w:rPr>
        <w:t>working to full scope of practice</w:t>
      </w:r>
      <w:r w:rsidR="00A5726A">
        <w:rPr>
          <w:rFonts w:asciiTheme="minorHAnsi" w:hAnsiTheme="minorHAnsi" w:cstheme="minorHAnsi"/>
        </w:rPr>
        <w:t>, or not</w:t>
      </w:r>
      <w:r w:rsidR="5F409AE7" w:rsidRPr="001560F7">
        <w:rPr>
          <w:rFonts w:asciiTheme="minorHAnsi" w:hAnsiTheme="minorHAnsi" w:cstheme="minorHAnsi"/>
        </w:rPr>
        <w:t xml:space="preserve">, including </w:t>
      </w:r>
      <w:r w:rsidR="00A5726A">
        <w:rPr>
          <w:rFonts w:asciiTheme="minorHAnsi" w:hAnsiTheme="minorHAnsi" w:cstheme="minorHAnsi"/>
        </w:rPr>
        <w:t xml:space="preserve">benefits, </w:t>
      </w:r>
      <w:r w:rsidR="5F409AE7" w:rsidRPr="001560F7">
        <w:rPr>
          <w:rFonts w:asciiTheme="minorHAnsi" w:hAnsiTheme="minorHAnsi" w:cstheme="minorHAnsi"/>
        </w:rPr>
        <w:t>risks</w:t>
      </w:r>
      <w:r w:rsidR="00A5726A">
        <w:rPr>
          <w:rFonts w:asciiTheme="minorHAnsi" w:hAnsiTheme="minorHAnsi" w:cstheme="minorHAnsi"/>
        </w:rPr>
        <w:t xml:space="preserve">, </w:t>
      </w:r>
      <w:proofErr w:type="gramStart"/>
      <w:r w:rsidR="00A5726A">
        <w:rPr>
          <w:rFonts w:asciiTheme="minorHAnsi" w:hAnsiTheme="minorHAnsi" w:cstheme="minorHAnsi"/>
        </w:rPr>
        <w:t>barriers</w:t>
      </w:r>
      <w:proofErr w:type="gramEnd"/>
      <w:r w:rsidR="5F409AE7" w:rsidRPr="001560F7">
        <w:rPr>
          <w:rFonts w:asciiTheme="minorHAnsi" w:hAnsiTheme="minorHAnsi" w:cstheme="minorHAnsi"/>
        </w:rPr>
        <w:t xml:space="preserve"> and enablers</w:t>
      </w:r>
      <w:r w:rsidR="00A5726A">
        <w:rPr>
          <w:rFonts w:asciiTheme="minorHAnsi" w:hAnsiTheme="minorHAnsi" w:cstheme="minorHAnsi"/>
        </w:rPr>
        <w:t>. The context is</w:t>
      </w:r>
      <w:r w:rsidR="00ED3BCB" w:rsidRPr="001560F7">
        <w:rPr>
          <w:rFonts w:asciiTheme="minorHAnsi" w:hAnsiTheme="minorHAnsi" w:cstheme="minorHAnsi"/>
        </w:rPr>
        <w:t xml:space="preserve"> health professions who currently work in primary care, or who could potentially work in primary care in the future. The barriers </w:t>
      </w:r>
      <w:r w:rsidR="000C1A1B">
        <w:rPr>
          <w:rFonts w:asciiTheme="minorHAnsi" w:hAnsiTheme="minorHAnsi" w:cstheme="minorHAnsi"/>
        </w:rPr>
        <w:t xml:space="preserve">to </w:t>
      </w:r>
      <w:r w:rsidR="00A5726A">
        <w:rPr>
          <w:rFonts w:asciiTheme="minorHAnsi" w:hAnsiTheme="minorHAnsi" w:cstheme="minorHAnsi"/>
        </w:rPr>
        <w:t>and enablers associated with</w:t>
      </w:r>
      <w:r w:rsidR="00ED3BCB" w:rsidRPr="001560F7">
        <w:rPr>
          <w:rFonts w:asciiTheme="minorHAnsi" w:hAnsiTheme="minorHAnsi" w:cstheme="minorHAnsi"/>
        </w:rPr>
        <w:t xml:space="preserve"> health professionals </w:t>
      </w:r>
      <w:r w:rsidR="00A5726A">
        <w:rPr>
          <w:rFonts w:asciiTheme="minorHAnsi" w:hAnsiTheme="minorHAnsi" w:cstheme="minorHAnsi"/>
        </w:rPr>
        <w:t>working to their full scope of practice</w:t>
      </w:r>
      <w:r w:rsidR="00ED3BCB" w:rsidRPr="001560F7">
        <w:rPr>
          <w:rFonts w:asciiTheme="minorHAnsi" w:hAnsiTheme="minorHAnsi" w:cstheme="minorHAnsi"/>
        </w:rPr>
        <w:t xml:space="preserve"> </w:t>
      </w:r>
      <w:r w:rsidR="00A5726A">
        <w:rPr>
          <w:rFonts w:asciiTheme="minorHAnsi" w:hAnsiTheme="minorHAnsi" w:cstheme="minorHAnsi"/>
        </w:rPr>
        <w:t xml:space="preserve">may </w:t>
      </w:r>
      <w:r w:rsidR="00ED3BCB" w:rsidRPr="001560F7">
        <w:rPr>
          <w:rFonts w:asciiTheme="minorHAnsi" w:hAnsiTheme="minorHAnsi" w:cstheme="minorHAnsi"/>
        </w:rPr>
        <w:t>differ by profession but</w:t>
      </w:r>
      <w:r w:rsidR="504243FE" w:rsidRPr="001560F7">
        <w:rPr>
          <w:rFonts w:asciiTheme="minorHAnsi" w:hAnsiTheme="minorHAnsi" w:cstheme="minorHAnsi"/>
        </w:rPr>
        <w:t xml:space="preserve"> may</w:t>
      </w:r>
      <w:r w:rsidR="00ED3BCB" w:rsidRPr="001560F7">
        <w:rPr>
          <w:rFonts w:asciiTheme="minorHAnsi" w:hAnsiTheme="minorHAnsi" w:cstheme="minorHAnsi"/>
        </w:rPr>
        <w:t xml:space="preserve"> include legislation and regulation, education and training, funding models, organisational </w:t>
      </w:r>
      <w:proofErr w:type="gramStart"/>
      <w:r w:rsidR="00ED3BCB" w:rsidRPr="001560F7">
        <w:rPr>
          <w:rFonts w:asciiTheme="minorHAnsi" w:hAnsiTheme="minorHAnsi" w:cstheme="minorHAnsi"/>
        </w:rPr>
        <w:t>policies</w:t>
      </w:r>
      <w:proofErr w:type="gramEnd"/>
      <w:r w:rsidR="00ED3BCB" w:rsidRPr="001560F7">
        <w:rPr>
          <w:rFonts w:asciiTheme="minorHAnsi" w:hAnsiTheme="minorHAnsi" w:cstheme="minorHAnsi"/>
        </w:rPr>
        <w:t xml:space="preserve"> and cultural factors. </w:t>
      </w:r>
    </w:p>
    <w:p w14:paraId="4D9A3117" w14:textId="1FB11F65" w:rsidR="4AC5B599" w:rsidRPr="00530506" w:rsidRDefault="4AC5B599" w:rsidP="00530506">
      <w:pPr>
        <w:pStyle w:val="NormalWeb"/>
        <w:spacing w:before="120" w:beforeAutospacing="0" w:after="120" w:afterAutospacing="0"/>
        <w:rPr>
          <w:rFonts w:asciiTheme="minorHAnsi" w:hAnsiTheme="minorHAnsi" w:cstheme="minorHAnsi"/>
          <w:sz w:val="24"/>
          <w:szCs w:val="24"/>
          <w:lang w:eastAsia="en-US"/>
        </w:rPr>
      </w:pPr>
      <w:r w:rsidRPr="00530506">
        <w:rPr>
          <w:rFonts w:asciiTheme="minorHAnsi" w:hAnsiTheme="minorHAnsi" w:cstheme="minorHAnsi"/>
          <w:sz w:val="24"/>
          <w:szCs w:val="24"/>
          <w:lang w:eastAsia="en-US"/>
        </w:rPr>
        <w:t xml:space="preserve">The review will </w:t>
      </w:r>
      <w:r w:rsidR="1DA5211A" w:rsidRPr="00530506">
        <w:rPr>
          <w:rFonts w:asciiTheme="minorHAnsi" w:hAnsiTheme="minorHAnsi" w:cstheme="minorHAnsi"/>
          <w:sz w:val="24"/>
          <w:szCs w:val="24"/>
          <w:lang w:eastAsia="en-US"/>
        </w:rPr>
        <w:t xml:space="preserve">also </w:t>
      </w:r>
      <w:r w:rsidRPr="00530506">
        <w:rPr>
          <w:rFonts w:asciiTheme="minorHAnsi" w:hAnsiTheme="minorHAnsi" w:cstheme="minorHAnsi"/>
          <w:sz w:val="24"/>
          <w:szCs w:val="24"/>
          <w:lang w:eastAsia="en-US"/>
        </w:rPr>
        <w:t>explore the system changes and practical improvements needed to support greater productivity and improved, safe and affordable care for patients.  With the right technology, innovation and regulation in place, the health care system can gain the full benefit of professional skills and expertise.</w:t>
      </w:r>
    </w:p>
    <w:p w14:paraId="45574D2C" w14:textId="7A4055E0" w:rsidR="00B63AE3" w:rsidRPr="008221E5" w:rsidRDefault="00B63AE3" w:rsidP="00530506">
      <w:pPr>
        <w:pStyle w:val="NormalWeb"/>
        <w:spacing w:before="120" w:beforeAutospacing="0" w:after="120" w:afterAutospacing="0"/>
        <w:rPr>
          <w:rFonts w:asciiTheme="minorHAnsi" w:hAnsiTheme="minorHAnsi" w:cstheme="minorHAnsi"/>
          <w:sz w:val="24"/>
          <w:szCs w:val="24"/>
          <w:lang w:eastAsia="en-US"/>
        </w:rPr>
      </w:pPr>
      <w:r w:rsidRPr="00530506">
        <w:rPr>
          <w:rFonts w:asciiTheme="minorHAnsi" w:hAnsiTheme="minorHAnsi" w:cstheme="minorHAnsi"/>
          <w:sz w:val="24"/>
          <w:szCs w:val="24"/>
          <w:lang w:eastAsia="en-US"/>
        </w:rPr>
        <w:t xml:space="preserve">The health professions in-scope for this </w:t>
      </w:r>
      <w:r w:rsidR="00530506" w:rsidRPr="00530506">
        <w:rPr>
          <w:rFonts w:asciiTheme="minorHAnsi" w:hAnsiTheme="minorHAnsi" w:cstheme="minorHAnsi"/>
          <w:sz w:val="24"/>
          <w:szCs w:val="24"/>
          <w:lang w:eastAsia="en-US"/>
        </w:rPr>
        <w:t>r</w:t>
      </w:r>
      <w:r w:rsidRPr="00530506">
        <w:rPr>
          <w:rFonts w:asciiTheme="minorHAnsi" w:hAnsiTheme="minorHAnsi" w:cstheme="minorHAnsi"/>
          <w:sz w:val="24"/>
          <w:szCs w:val="24"/>
          <w:lang w:eastAsia="en-US"/>
        </w:rPr>
        <w:t xml:space="preserve">eview </w:t>
      </w:r>
      <w:r w:rsidR="00A5726A" w:rsidRPr="00530506">
        <w:rPr>
          <w:rFonts w:asciiTheme="minorHAnsi" w:hAnsiTheme="minorHAnsi" w:cstheme="minorHAnsi"/>
          <w:sz w:val="24"/>
          <w:szCs w:val="24"/>
          <w:lang w:eastAsia="en-US"/>
        </w:rPr>
        <w:t>include</w:t>
      </w:r>
      <w:r w:rsidRPr="00530506">
        <w:rPr>
          <w:rFonts w:asciiTheme="minorHAnsi" w:hAnsiTheme="minorHAnsi" w:cstheme="minorHAnsi"/>
          <w:sz w:val="24"/>
          <w:szCs w:val="24"/>
          <w:lang w:eastAsia="en-US"/>
        </w:rPr>
        <w:t xml:space="preserve"> GPs, nurses, including nurse practitioners, registered nurses and enrolled nurses, pharmacists, midwives, allied health practitioners (both regulated and self-regulated), First Nations health practitioners and workers, and paramedics. For more details see the Review</w:t>
      </w:r>
      <w:r w:rsidR="007A1EE2" w:rsidRPr="00530506">
        <w:rPr>
          <w:rFonts w:asciiTheme="minorHAnsi" w:hAnsiTheme="minorHAnsi" w:cstheme="minorHAnsi"/>
          <w:sz w:val="24"/>
          <w:szCs w:val="24"/>
          <w:lang w:eastAsia="en-US"/>
        </w:rPr>
        <w:t>’</w:t>
      </w:r>
      <w:r w:rsidRPr="00530506">
        <w:rPr>
          <w:rFonts w:asciiTheme="minorHAnsi" w:hAnsiTheme="minorHAnsi" w:cstheme="minorHAnsi"/>
          <w:sz w:val="24"/>
          <w:szCs w:val="24"/>
          <w:lang w:eastAsia="en-US"/>
        </w:rPr>
        <w:t>s </w:t>
      </w:r>
      <w:hyperlink r:id="rId9" w:tooltip="Unleashing the Potential of our Health Workforce (Scope of Practice Review) – Terms of Reference" w:history="1">
        <w:r w:rsidR="001A74C6" w:rsidRPr="008221E5">
          <w:rPr>
            <w:rStyle w:val="Hyperlink"/>
            <w:rFonts w:asciiTheme="minorHAnsi" w:hAnsiTheme="minorHAnsi" w:cstheme="minorHAnsi"/>
            <w:color w:val="313131"/>
            <w:sz w:val="24"/>
            <w:szCs w:val="24"/>
            <w:shd w:val="clear" w:color="auto" w:fill="FFFFFF"/>
          </w:rPr>
          <w:t>Terms of Reference</w:t>
        </w:r>
      </w:hyperlink>
      <w:r w:rsidR="001A74C6" w:rsidRPr="008221E5">
        <w:rPr>
          <w:rFonts w:asciiTheme="minorHAnsi" w:hAnsiTheme="minorHAnsi" w:cstheme="minorHAnsi"/>
          <w:color w:val="313131"/>
          <w:sz w:val="24"/>
          <w:szCs w:val="24"/>
          <w:shd w:val="clear" w:color="auto" w:fill="FFFFFF"/>
        </w:rPr>
        <w:t>.</w:t>
      </w:r>
    </w:p>
    <w:p w14:paraId="1CC700C4" w14:textId="663B9E1A" w:rsidR="00E57AE6" w:rsidRPr="00530506" w:rsidRDefault="006F023D" w:rsidP="00530506">
      <w:pPr>
        <w:pStyle w:val="NormalWeb"/>
        <w:spacing w:before="120" w:beforeAutospacing="0" w:after="120" w:afterAutospacing="0"/>
        <w:rPr>
          <w:rFonts w:asciiTheme="minorHAnsi" w:hAnsiTheme="minorHAnsi" w:cstheme="minorHAnsi"/>
          <w:sz w:val="24"/>
          <w:szCs w:val="24"/>
          <w:lang w:eastAsia="en-US"/>
        </w:rPr>
      </w:pPr>
      <w:r w:rsidRPr="00530506">
        <w:rPr>
          <w:rFonts w:asciiTheme="minorHAnsi" w:hAnsiTheme="minorHAnsi" w:cstheme="minorHAnsi"/>
          <w:sz w:val="24"/>
          <w:szCs w:val="24"/>
          <w:lang w:eastAsia="en-US"/>
        </w:rPr>
        <w:t xml:space="preserve">On 24 August 2023, </w:t>
      </w:r>
      <w:r w:rsidR="0040349D" w:rsidRPr="00530506">
        <w:rPr>
          <w:rFonts w:asciiTheme="minorHAnsi" w:hAnsiTheme="minorHAnsi" w:cstheme="minorHAnsi"/>
          <w:sz w:val="24"/>
          <w:szCs w:val="24"/>
          <w:lang w:eastAsia="en-US"/>
        </w:rPr>
        <w:t xml:space="preserve">the Minister for Health and Aged Care announced </w:t>
      </w:r>
      <w:r w:rsidRPr="00530506">
        <w:rPr>
          <w:rFonts w:asciiTheme="minorHAnsi" w:hAnsiTheme="minorHAnsi" w:cstheme="minorHAnsi"/>
          <w:sz w:val="24"/>
          <w:szCs w:val="24"/>
          <w:lang w:eastAsia="en-US"/>
        </w:rPr>
        <w:t xml:space="preserve">Professor Mark Cormack </w:t>
      </w:r>
      <w:r w:rsidR="00AB0497" w:rsidRPr="00530506">
        <w:rPr>
          <w:rFonts w:asciiTheme="minorHAnsi" w:hAnsiTheme="minorHAnsi" w:cstheme="minorHAnsi"/>
          <w:sz w:val="24"/>
          <w:szCs w:val="24"/>
          <w:lang w:eastAsia="en-US"/>
        </w:rPr>
        <w:t>would</w:t>
      </w:r>
      <w:r w:rsidRPr="00530506">
        <w:rPr>
          <w:rFonts w:asciiTheme="minorHAnsi" w:hAnsiTheme="minorHAnsi" w:cstheme="minorHAnsi"/>
          <w:sz w:val="24"/>
          <w:szCs w:val="24"/>
          <w:lang w:eastAsia="en-US"/>
        </w:rPr>
        <w:t xml:space="preserve"> lead this independent review. </w:t>
      </w:r>
      <w:r w:rsidR="00E57AE6" w:rsidRPr="00530506">
        <w:rPr>
          <w:rFonts w:asciiTheme="minorHAnsi" w:hAnsiTheme="minorHAnsi" w:cstheme="minorHAnsi"/>
          <w:sz w:val="24"/>
          <w:szCs w:val="24"/>
          <w:lang w:eastAsia="en-US"/>
        </w:rPr>
        <w:t>This will be an intensive review. A final report will be prepared and finalised for submission by end October 2024.</w:t>
      </w:r>
    </w:p>
    <w:p w14:paraId="5B8A55A2" w14:textId="4FBF7248" w:rsidR="00ED3BCB" w:rsidRPr="00E57AE6" w:rsidRDefault="00ED3BCB" w:rsidP="00E57AE6">
      <w:pPr>
        <w:pStyle w:val="Heading3"/>
        <w:spacing w:before="240"/>
        <w:rPr>
          <w:b/>
          <w:bCs/>
        </w:rPr>
      </w:pPr>
      <w:r w:rsidRPr="00E57AE6">
        <w:rPr>
          <w:b/>
          <w:bCs/>
        </w:rPr>
        <w:t>Approach for the Review</w:t>
      </w:r>
    </w:p>
    <w:p w14:paraId="7E90170F" w14:textId="434636A3" w:rsidR="00ED3BCB" w:rsidRPr="00530506" w:rsidRDefault="00D43918" w:rsidP="00530506">
      <w:pPr>
        <w:pStyle w:val="NormalWeb"/>
        <w:spacing w:before="120" w:beforeAutospacing="0" w:after="120" w:afterAutospacing="0"/>
        <w:rPr>
          <w:rFonts w:asciiTheme="minorHAnsi" w:hAnsiTheme="minorHAnsi" w:cstheme="minorHAnsi"/>
          <w:sz w:val="24"/>
          <w:szCs w:val="24"/>
          <w:lang w:eastAsia="en-US"/>
        </w:rPr>
      </w:pPr>
      <w:r w:rsidRPr="00530506">
        <w:rPr>
          <w:rFonts w:asciiTheme="minorHAnsi" w:hAnsiTheme="minorHAnsi" w:cstheme="minorHAnsi"/>
          <w:sz w:val="24"/>
          <w:szCs w:val="24"/>
          <w:lang w:eastAsia="en-US"/>
        </w:rPr>
        <w:t xml:space="preserve">This review will be underpinned by </w:t>
      </w:r>
      <w:r w:rsidR="58B33074" w:rsidRPr="00530506">
        <w:rPr>
          <w:rFonts w:asciiTheme="minorHAnsi" w:hAnsiTheme="minorHAnsi" w:cstheme="minorHAnsi"/>
          <w:sz w:val="24"/>
          <w:szCs w:val="24"/>
          <w:lang w:eastAsia="en-US"/>
        </w:rPr>
        <w:t xml:space="preserve">academic rigour, </w:t>
      </w:r>
      <w:r w:rsidRPr="00530506">
        <w:rPr>
          <w:rFonts w:asciiTheme="minorHAnsi" w:hAnsiTheme="minorHAnsi" w:cstheme="minorHAnsi"/>
          <w:sz w:val="24"/>
          <w:szCs w:val="24"/>
          <w:lang w:eastAsia="en-US"/>
        </w:rPr>
        <w:t xml:space="preserve">extensive stakeholder engagement and collaboration with the states and territories. </w:t>
      </w:r>
    </w:p>
    <w:p w14:paraId="220C05BE" w14:textId="1544897C" w:rsidR="00D43918" w:rsidRPr="00530506" w:rsidRDefault="00D43918" w:rsidP="00530506">
      <w:pPr>
        <w:pStyle w:val="NormalWeb"/>
        <w:spacing w:before="120" w:beforeAutospacing="0" w:after="120" w:afterAutospacing="0"/>
        <w:rPr>
          <w:rFonts w:asciiTheme="minorHAnsi" w:hAnsiTheme="minorHAnsi" w:cstheme="minorHAnsi"/>
          <w:sz w:val="24"/>
          <w:szCs w:val="24"/>
          <w:lang w:eastAsia="en-US"/>
        </w:rPr>
      </w:pPr>
      <w:r w:rsidRPr="00530506">
        <w:rPr>
          <w:rFonts w:asciiTheme="minorHAnsi" w:hAnsiTheme="minorHAnsi" w:cstheme="minorHAnsi"/>
          <w:sz w:val="24"/>
          <w:szCs w:val="24"/>
          <w:lang w:eastAsia="en-US"/>
        </w:rPr>
        <w:t xml:space="preserve">An independent support team will provide secretariat for the review and other support for Professor Mark Cormack. </w:t>
      </w:r>
    </w:p>
    <w:p w14:paraId="015B2428" w14:textId="11D2B5AE" w:rsidR="00420965" w:rsidRDefault="00420965" w:rsidP="00530506">
      <w:pPr>
        <w:pStyle w:val="NormalWeb"/>
        <w:spacing w:before="120" w:beforeAutospacing="0" w:after="120" w:afterAutospacing="0"/>
        <w:rPr>
          <w:rFonts w:asciiTheme="minorHAnsi" w:hAnsiTheme="minorHAnsi" w:cstheme="minorHAnsi"/>
        </w:rPr>
      </w:pPr>
      <w:r w:rsidRPr="00530506">
        <w:rPr>
          <w:rFonts w:asciiTheme="minorHAnsi" w:hAnsiTheme="minorHAnsi" w:cstheme="minorHAnsi"/>
          <w:sz w:val="24"/>
          <w:szCs w:val="24"/>
          <w:lang w:eastAsia="en-US"/>
        </w:rPr>
        <w:t>A</w:t>
      </w:r>
      <w:r w:rsidR="00A5726A">
        <w:rPr>
          <w:rFonts w:asciiTheme="minorHAnsi" w:hAnsiTheme="minorHAnsi" w:cstheme="minorHAnsi"/>
          <w:sz w:val="24"/>
          <w:szCs w:val="24"/>
          <w:lang w:eastAsia="en-US"/>
        </w:rPr>
        <w:t xml:space="preserve"> </w:t>
      </w:r>
      <w:r w:rsidRPr="00530506">
        <w:rPr>
          <w:rFonts w:asciiTheme="minorHAnsi" w:hAnsiTheme="minorHAnsi" w:cstheme="minorHAnsi"/>
          <w:sz w:val="24"/>
          <w:szCs w:val="24"/>
          <w:lang w:eastAsia="en-US"/>
        </w:rPr>
        <w:t xml:space="preserve">research team will be procured to </w:t>
      </w:r>
      <w:r w:rsidR="00A5726A">
        <w:rPr>
          <w:rFonts w:asciiTheme="minorHAnsi" w:hAnsiTheme="minorHAnsi" w:cstheme="minorHAnsi"/>
          <w:sz w:val="24"/>
          <w:szCs w:val="24"/>
          <w:lang w:eastAsia="en-US"/>
        </w:rPr>
        <w:t>review</w:t>
      </w:r>
      <w:r w:rsidRPr="00530506">
        <w:rPr>
          <w:rFonts w:asciiTheme="minorHAnsi" w:hAnsiTheme="minorHAnsi" w:cstheme="minorHAnsi"/>
          <w:sz w:val="24"/>
          <w:szCs w:val="24"/>
          <w:lang w:eastAsia="en-US"/>
        </w:rPr>
        <w:t xml:space="preserve"> the evidence base, including analys</w:t>
      </w:r>
      <w:r w:rsidR="00576ECA">
        <w:rPr>
          <w:rFonts w:asciiTheme="minorHAnsi" w:hAnsiTheme="minorHAnsi" w:cstheme="minorHAnsi"/>
          <w:sz w:val="24"/>
          <w:szCs w:val="24"/>
          <w:lang w:eastAsia="en-US"/>
        </w:rPr>
        <w:t>e</w:t>
      </w:r>
      <w:r w:rsidRPr="00530506">
        <w:rPr>
          <w:rFonts w:asciiTheme="minorHAnsi" w:hAnsiTheme="minorHAnsi" w:cstheme="minorHAnsi"/>
          <w:sz w:val="24"/>
          <w:szCs w:val="24"/>
          <w:lang w:eastAsia="en-US"/>
        </w:rPr>
        <w:t xml:space="preserve">s of stakeholder </w:t>
      </w:r>
      <w:r w:rsidR="00A5726A">
        <w:rPr>
          <w:rFonts w:asciiTheme="minorHAnsi" w:hAnsiTheme="minorHAnsi" w:cstheme="minorHAnsi"/>
          <w:sz w:val="24"/>
          <w:szCs w:val="24"/>
          <w:lang w:eastAsia="en-US"/>
        </w:rPr>
        <w:t>inputs and perspectives, and prepare two Issues Papers.</w:t>
      </w:r>
    </w:p>
    <w:p w14:paraId="7B8CE114" w14:textId="67D52985" w:rsidR="00420965" w:rsidRPr="00E57AE6" w:rsidRDefault="00420965" w:rsidP="00E57AE6">
      <w:pPr>
        <w:pStyle w:val="Heading3"/>
        <w:spacing w:before="240"/>
        <w:rPr>
          <w:b/>
          <w:bCs/>
        </w:rPr>
      </w:pPr>
      <w:r w:rsidRPr="00E57AE6">
        <w:rPr>
          <w:b/>
          <w:bCs/>
        </w:rPr>
        <w:lastRenderedPageBreak/>
        <w:t>Expert Advisory Committee</w:t>
      </w:r>
    </w:p>
    <w:p w14:paraId="0E7353D8" w14:textId="0EEF9DA2" w:rsidR="00D431F1" w:rsidRPr="00530506" w:rsidRDefault="00FB68EA" w:rsidP="00530506">
      <w:pPr>
        <w:pStyle w:val="NormalWeb"/>
        <w:spacing w:before="120" w:beforeAutospacing="0" w:after="120" w:afterAutospacing="0"/>
        <w:rPr>
          <w:rFonts w:asciiTheme="minorHAnsi" w:hAnsiTheme="minorHAnsi" w:cstheme="minorHAnsi"/>
          <w:sz w:val="24"/>
          <w:szCs w:val="24"/>
          <w:lang w:eastAsia="en-US"/>
        </w:rPr>
      </w:pPr>
      <w:r w:rsidRPr="00530506">
        <w:rPr>
          <w:rFonts w:asciiTheme="minorHAnsi" w:hAnsiTheme="minorHAnsi" w:cstheme="minorHAnsi"/>
          <w:sz w:val="24"/>
          <w:szCs w:val="24"/>
          <w:lang w:eastAsia="en-US"/>
        </w:rPr>
        <w:t>An Expert Advisory Committee</w:t>
      </w:r>
      <w:r w:rsidR="00FB418F" w:rsidRPr="00530506">
        <w:rPr>
          <w:rFonts w:asciiTheme="minorHAnsi" w:hAnsiTheme="minorHAnsi" w:cstheme="minorHAnsi"/>
          <w:sz w:val="24"/>
          <w:szCs w:val="24"/>
          <w:lang w:eastAsia="en-US"/>
        </w:rPr>
        <w:t xml:space="preserve"> (EAC)</w:t>
      </w:r>
      <w:r w:rsidRPr="00530506">
        <w:rPr>
          <w:rFonts w:asciiTheme="minorHAnsi" w:hAnsiTheme="minorHAnsi" w:cstheme="minorHAnsi"/>
          <w:sz w:val="24"/>
          <w:szCs w:val="24"/>
          <w:lang w:eastAsia="en-US"/>
        </w:rPr>
        <w:t xml:space="preserve"> </w:t>
      </w:r>
      <w:r w:rsidR="00A062F7" w:rsidRPr="00530506">
        <w:rPr>
          <w:rFonts w:asciiTheme="minorHAnsi" w:hAnsiTheme="minorHAnsi" w:cstheme="minorHAnsi"/>
          <w:sz w:val="24"/>
          <w:szCs w:val="24"/>
          <w:lang w:eastAsia="en-US"/>
        </w:rPr>
        <w:t>consisting of a cross section of individuals, peak bodies</w:t>
      </w:r>
      <w:r w:rsidR="00150D5A" w:rsidRPr="00530506">
        <w:rPr>
          <w:rFonts w:asciiTheme="minorHAnsi" w:hAnsiTheme="minorHAnsi" w:cstheme="minorHAnsi"/>
          <w:sz w:val="24"/>
          <w:szCs w:val="24"/>
          <w:lang w:eastAsia="en-US"/>
        </w:rPr>
        <w:t xml:space="preserve"> representatives</w:t>
      </w:r>
      <w:r w:rsidR="00A062F7" w:rsidRPr="00530506">
        <w:rPr>
          <w:rFonts w:asciiTheme="minorHAnsi" w:hAnsiTheme="minorHAnsi" w:cstheme="minorHAnsi"/>
          <w:sz w:val="24"/>
          <w:szCs w:val="24"/>
          <w:lang w:eastAsia="en-US"/>
        </w:rPr>
        <w:t xml:space="preserve"> and academics will be established. </w:t>
      </w:r>
      <w:r w:rsidR="00D431F1" w:rsidRPr="00530506">
        <w:rPr>
          <w:rFonts w:asciiTheme="minorHAnsi" w:hAnsiTheme="minorHAnsi" w:cstheme="minorHAnsi"/>
          <w:sz w:val="24"/>
          <w:szCs w:val="24"/>
          <w:lang w:eastAsia="en-US"/>
        </w:rPr>
        <w:t xml:space="preserve">Membership comprises organisations and individuals who are invited to participate </w:t>
      </w:r>
      <w:proofErr w:type="gramStart"/>
      <w:r w:rsidR="00D431F1" w:rsidRPr="00530506">
        <w:rPr>
          <w:rFonts w:asciiTheme="minorHAnsi" w:hAnsiTheme="minorHAnsi" w:cstheme="minorHAnsi"/>
          <w:sz w:val="24"/>
          <w:szCs w:val="24"/>
          <w:lang w:eastAsia="en-US"/>
        </w:rPr>
        <w:t>on the basis of</w:t>
      </w:r>
      <w:proofErr w:type="gramEnd"/>
      <w:r w:rsidR="00D431F1" w:rsidRPr="00530506">
        <w:rPr>
          <w:rFonts w:asciiTheme="minorHAnsi" w:hAnsiTheme="minorHAnsi" w:cstheme="minorHAnsi"/>
          <w:sz w:val="24"/>
          <w:szCs w:val="24"/>
          <w:lang w:eastAsia="en-US"/>
        </w:rPr>
        <w:t xml:space="preserve"> their skills, knowledge and experience and include</w:t>
      </w:r>
      <w:r w:rsidR="00A5726A">
        <w:rPr>
          <w:rFonts w:asciiTheme="minorHAnsi" w:hAnsiTheme="minorHAnsi" w:cstheme="minorHAnsi"/>
          <w:sz w:val="24"/>
          <w:szCs w:val="24"/>
          <w:lang w:eastAsia="en-US"/>
        </w:rPr>
        <w:t xml:space="preserve">s </w:t>
      </w:r>
      <w:r w:rsidR="00D431F1" w:rsidRPr="00530506">
        <w:rPr>
          <w:rFonts w:asciiTheme="minorHAnsi" w:hAnsiTheme="minorHAnsi" w:cstheme="minorHAnsi"/>
          <w:sz w:val="24"/>
          <w:szCs w:val="24"/>
          <w:lang w:eastAsia="en-US"/>
        </w:rPr>
        <w:t>health sector representatives, consumers, clinicians, researchers and persons that represent the voices of priority populations, including Aboriginal and Torres Strait Islander People, and rural and remote Australians.</w:t>
      </w:r>
    </w:p>
    <w:p w14:paraId="62CF5E19" w14:textId="7A2C574B" w:rsidR="00FB418F" w:rsidRPr="00530506" w:rsidRDefault="00E55449" w:rsidP="00530506">
      <w:pPr>
        <w:pStyle w:val="NormalWeb"/>
        <w:spacing w:before="120" w:beforeAutospacing="0" w:after="120" w:afterAutospacing="0"/>
        <w:rPr>
          <w:rFonts w:asciiTheme="minorHAnsi" w:hAnsiTheme="minorHAnsi" w:cstheme="minorHAnsi"/>
          <w:sz w:val="24"/>
          <w:szCs w:val="24"/>
          <w:lang w:eastAsia="en-US"/>
        </w:rPr>
      </w:pPr>
      <w:r w:rsidRPr="00530506">
        <w:rPr>
          <w:rFonts w:asciiTheme="minorHAnsi" w:hAnsiTheme="minorHAnsi" w:cstheme="minorHAnsi"/>
          <w:sz w:val="24"/>
          <w:szCs w:val="24"/>
          <w:lang w:eastAsia="en-US"/>
        </w:rPr>
        <w:t>The EAC will not have any decision-making powers</w:t>
      </w:r>
      <w:r w:rsidR="00BB3700">
        <w:rPr>
          <w:rFonts w:asciiTheme="minorHAnsi" w:hAnsiTheme="minorHAnsi" w:cstheme="minorHAnsi"/>
          <w:sz w:val="24"/>
          <w:szCs w:val="24"/>
          <w:lang w:eastAsia="en-US"/>
        </w:rPr>
        <w:t>.</w:t>
      </w:r>
      <w:r w:rsidR="00CE7AB0" w:rsidRPr="00530506">
        <w:rPr>
          <w:rFonts w:asciiTheme="minorHAnsi" w:hAnsiTheme="minorHAnsi" w:cstheme="minorHAnsi"/>
          <w:sz w:val="24"/>
          <w:szCs w:val="24"/>
          <w:lang w:eastAsia="en-US"/>
        </w:rPr>
        <w:t xml:space="preserve"> </w:t>
      </w:r>
      <w:r w:rsidR="00FB418F" w:rsidRPr="00530506">
        <w:rPr>
          <w:rFonts w:asciiTheme="minorHAnsi" w:hAnsiTheme="minorHAnsi" w:cstheme="minorHAnsi"/>
          <w:sz w:val="24"/>
          <w:szCs w:val="24"/>
          <w:lang w:eastAsia="en-US"/>
        </w:rPr>
        <w:t xml:space="preserve">The EAC </w:t>
      </w:r>
      <w:r w:rsidR="00F30B19" w:rsidRPr="00530506">
        <w:rPr>
          <w:rFonts w:asciiTheme="minorHAnsi" w:hAnsiTheme="minorHAnsi" w:cstheme="minorHAnsi"/>
          <w:sz w:val="24"/>
          <w:szCs w:val="24"/>
          <w:lang w:eastAsia="en-US"/>
        </w:rPr>
        <w:t>will</w:t>
      </w:r>
      <w:r w:rsidR="00FB418F" w:rsidRPr="00530506">
        <w:rPr>
          <w:rFonts w:asciiTheme="minorHAnsi" w:hAnsiTheme="minorHAnsi" w:cstheme="minorHAnsi"/>
          <w:sz w:val="24"/>
          <w:szCs w:val="24"/>
          <w:lang w:eastAsia="en-US"/>
        </w:rPr>
        <w:t xml:space="preserve"> provide </w:t>
      </w:r>
      <w:r w:rsidR="00BB3700">
        <w:rPr>
          <w:rFonts w:asciiTheme="minorHAnsi" w:hAnsiTheme="minorHAnsi" w:cstheme="minorHAnsi"/>
          <w:sz w:val="24"/>
          <w:szCs w:val="24"/>
          <w:lang w:eastAsia="en-US"/>
        </w:rPr>
        <w:t xml:space="preserve">expert </w:t>
      </w:r>
      <w:r w:rsidR="00515813">
        <w:rPr>
          <w:rFonts w:asciiTheme="minorHAnsi" w:hAnsiTheme="minorHAnsi" w:cstheme="minorHAnsi"/>
          <w:sz w:val="24"/>
          <w:szCs w:val="24"/>
          <w:lang w:eastAsia="en-US"/>
        </w:rPr>
        <w:t xml:space="preserve">input and </w:t>
      </w:r>
      <w:r w:rsidR="00BD67EC">
        <w:rPr>
          <w:rFonts w:asciiTheme="minorHAnsi" w:hAnsiTheme="minorHAnsi" w:cstheme="minorHAnsi"/>
          <w:sz w:val="24"/>
          <w:szCs w:val="24"/>
          <w:lang w:eastAsia="en-US"/>
        </w:rPr>
        <w:t>advice</w:t>
      </w:r>
      <w:r w:rsidR="00FB418F" w:rsidRPr="00530506">
        <w:rPr>
          <w:rFonts w:asciiTheme="minorHAnsi" w:hAnsiTheme="minorHAnsi" w:cstheme="minorHAnsi"/>
          <w:sz w:val="24"/>
          <w:szCs w:val="24"/>
          <w:lang w:eastAsia="en-US"/>
        </w:rPr>
        <w:t xml:space="preserve"> to the</w:t>
      </w:r>
      <w:r w:rsidR="00515813">
        <w:rPr>
          <w:rFonts w:asciiTheme="minorHAnsi" w:hAnsiTheme="minorHAnsi" w:cstheme="minorHAnsi"/>
          <w:sz w:val="24"/>
          <w:szCs w:val="24"/>
          <w:lang w:eastAsia="en-US"/>
        </w:rPr>
        <w:t xml:space="preserve"> Independent R</w:t>
      </w:r>
      <w:r w:rsidR="00FB418F" w:rsidRPr="00530506">
        <w:rPr>
          <w:rFonts w:asciiTheme="minorHAnsi" w:hAnsiTheme="minorHAnsi" w:cstheme="minorHAnsi"/>
          <w:sz w:val="24"/>
          <w:szCs w:val="24"/>
          <w:lang w:eastAsia="en-US"/>
        </w:rPr>
        <w:t xml:space="preserve">eview </w:t>
      </w:r>
      <w:r w:rsidR="00515813">
        <w:rPr>
          <w:rFonts w:asciiTheme="minorHAnsi" w:hAnsiTheme="minorHAnsi" w:cstheme="minorHAnsi"/>
          <w:sz w:val="24"/>
          <w:szCs w:val="24"/>
          <w:lang w:eastAsia="en-US"/>
        </w:rPr>
        <w:t>L</w:t>
      </w:r>
      <w:r w:rsidR="00154DFE" w:rsidRPr="00530506">
        <w:rPr>
          <w:rFonts w:asciiTheme="minorHAnsi" w:hAnsiTheme="minorHAnsi" w:cstheme="minorHAnsi"/>
          <w:sz w:val="24"/>
          <w:szCs w:val="24"/>
          <w:lang w:eastAsia="en-US"/>
        </w:rPr>
        <w:t>ea</w:t>
      </w:r>
      <w:r w:rsidR="00FB418F" w:rsidRPr="00530506">
        <w:rPr>
          <w:rFonts w:asciiTheme="minorHAnsi" w:hAnsiTheme="minorHAnsi" w:cstheme="minorHAnsi"/>
          <w:sz w:val="24"/>
          <w:szCs w:val="24"/>
          <w:lang w:eastAsia="en-US"/>
        </w:rPr>
        <w:t>d, Profess</w:t>
      </w:r>
      <w:r w:rsidR="00BD67EC">
        <w:rPr>
          <w:rFonts w:asciiTheme="minorHAnsi" w:hAnsiTheme="minorHAnsi" w:cstheme="minorHAnsi"/>
          <w:sz w:val="24"/>
          <w:szCs w:val="24"/>
          <w:lang w:eastAsia="en-US"/>
        </w:rPr>
        <w:t>or</w:t>
      </w:r>
      <w:r w:rsidR="00FB418F" w:rsidRPr="00530506">
        <w:rPr>
          <w:rFonts w:asciiTheme="minorHAnsi" w:hAnsiTheme="minorHAnsi" w:cstheme="minorHAnsi"/>
          <w:sz w:val="24"/>
          <w:szCs w:val="24"/>
          <w:lang w:eastAsia="en-US"/>
        </w:rPr>
        <w:t xml:space="preserve"> Mark Cormack</w:t>
      </w:r>
      <w:r w:rsidR="00CE7AB0" w:rsidRPr="00530506">
        <w:rPr>
          <w:rFonts w:asciiTheme="minorHAnsi" w:hAnsiTheme="minorHAnsi" w:cstheme="minorHAnsi"/>
          <w:sz w:val="24"/>
          <w:szCs w:val="24"/>
          <w:lang w:eastAsia="en-US"/>
        </w:rPr>
        <w:t>,</w:t>
      </w:r>
      <w:r w:rsidR="00154DFE" w:rsidRPr="00530506">
        <w:rPr>
          <w:rFonts w:asciiTheme="minorHAnsi" w:hAnsiTheme="minorHAnsi" w:cstheme="minorHAnsi"/>
          <w:sz w:val="24"/>
          <w:szCs w:val="24"/>
          <w:lang w:eastAsia="en-US"/>
        </w:rPr>
        <w:t xml:space="preserve"> in relation to:</w:t>
      </w:r>
    </w:p>
    <w:p w14:paraId="193AD11F" w14:textId="52F945B3" w:rsidR="008A556C" w:rsidRDefault="00E9328E" w:rsidP="00154DFE">
      <w:pPr>
        <w:pStyle w:val="ListParagraph"/>
        <w:numPr>
          <w:ilvl w:val="0"/>
          <w:numId w:val="2"/>
        </w:numPr>
        <w:rPr>
          <w:rFonts w:cstheme="minorHAnsi"/>
          <w:sz w:val="24"/>
          <w:szCs w:val="24"/>
        </w:rPr>
      </w:pPr>
      <w:r>
        <w:rPr>
          <w:rFonts w:cstheme="minorHAnsi"/>
          <w:sz w:val="24"/>
          <w:szCs w:val="24"/>
        </w:rPr>
        <w:t xml:space="preserve">The </w:t>
      </w:r>
      <w:r w:rsidR="00BD67EC">
        <w:rPr>
          <w:rFonts w:cstheme="minorHAnsi"/>
          <w:sz w:val="24"/>
          <w:szCs w:val="24"/>
        </w:rPr>
        <w:t>identification</w:t>
      </w:r>
      <w:r>
        <w:rPr>
          <w:rFonts w:cstheme="minorHAnsi"/>
          <w:sz w:val="24"/>
          <w:szCs w:val="24"/>
        </w:rPr>
        <w:t xml:space="preserve"> </w:t>
      </w:r>
      <w:r w:rsidR="004A1C17">
        <w:rPr>
          <w:rFonts w:cstheme="minorHAnsi"/>
          <w:sz w:val="24"/>
          <w:szCs w:val="24"/>
        </w:rPr>
        <w:t>and analysis</w:t>
      </w:r>
      <w:r>
        <w:rPr>
          <w:rFonts w:cstheme="minorHAnsi"/>
          <w:sz w:val="24"/>
          <w:szCs w:val="24"/>
        </w:rPr>
        <w:t xml:space="preserve"> of the </w:t>
      </w:r>
      <w:r w:rsidR="008A556C">
        <w:rPr>
          <w:rFonts w:cstheme="minorHAnsi"/>
          <w:sz w:val="24"/>
          <w:szCs w:val="24"/>
        </w:rPr>
        <w:t xml:space="preserve">evidence underpinning the </w:t>
      </w:r>
      <w:proofErr w:type="gramStart"/>
      <w:r w:rsidR="008A556C">
        <w:rPr>
          <w:rFonts w:cstheme="minorHAnsi"/>
          <w:sz w:val="24"/>
          <w:szCs w:val="24"/>
        </w:rPr>
        <w:t>review;</w:t>
      </w:r>
      <w:proofErr w:type="gramEnd"/>
      <w:r w:rsidR="008A556C">
        <w:rPr>
          <w:rFonts w:cstheme="minorHAnsi"/>
          <w:sz w:val="24"/>
          <w:szCs w:val="24"/>
        </w:rPr>
        <w:t xml:space="preserve"> </w:t>
      </w:r>
    </w:p>
    <w:p w14:paraId="5FBB8EB6" w14:textId="15CCF711" w:rsidR="00FD32CC" w:rsidRDefault="00154DFE" w:rsidP="0000365D">
      <w:pPr>
        <w:pStyle w:val="ListParagraph"/>
        <w:numPr>
          <w:ilvl w:val="0"/>
          <w:numId w:val="2"/>
        </w:numPr>
        <w:rPr>
          <w:rFonts w:cstheme="minorHAnsi"/>
          <w:sz w:val="24"/>
          <w:szCs w:val="24"/>
        </w:rPr>
      </w:pPr>
      <w:r w:rsidRPr="00154DFE">
        <w:rPr>
          <w:rFonts w:cstheme="minorHAnsi"/>
          <w:sz w:val="24"/>
          <w:szCs w:val="24"/>
        </w:rPr>
        <w:t xml:space="preserve">The </w:t>
      </w:r>
      <w:r w:rsidR="00E73609">
        <w:rPr>
          <w:rFonts w:cstheme="minorHAnsi"/>
          <w:sz w:val="24"/>
          <w:szCs w:val="24"/>
        </w:rPr>
        <w:t>scope</w:t>
      </w:r>
      <w:r w:rsidR="00BD67EC">
        <w:rPr>
          <w:rFonts w:cstheme="minorHAnsi"/>
          <w:sz w:val="24"/>
          <w:szCs w:val="24"/>
        </w:rPr>
        <w:t xml:space="preserve">, </w:t>
      </w:r>
      <w:proofErr w:type="gramStart"/>
      <w:r w:rsidR="00E73609">
        <w:rPr>
          <w:rFonts w:cstheme="minorHAnsi"/>
          <w:sz w:val="24"/>
          <w:szCs w:val="24"/>
        </w:rPr>
        <w:t>extent</w:t>
      </w:r>
      <w:proofErr w:type="gramEnd"/>
      <w:r w:rsidR="00E73609">
        <w:rPr>
          <w:rFonts w:cstheme="minorHAnsi"/>
          <w:sz w:val="24"/>
          <w:szCs w:val="24"/>
        </w:rPr>
        <w:t xml:space="preserve"> </w:t>
      </w:r>
      <w:r w:rsidR="00BD67EC">
        <w:rPr>
          <w:rFonts w:cstheme="minorHAnsi"/>
          <w:sz w:val="24"/>
          <w:szCs w:val="24"/>
        </w:rPr>
        <w:t xml:space="preserve">and effectiveness </w:t>
      </w:r>
      <w:r w:rsidR="00E73609">
        <w:rPr>
          <w:rFonts w:cstheme="minorHAnsi"/>
          <w:sz w:val="24"/>
          <w:szCs w:val="24"/>
        </w:rPr>
        <w:t>of the stakeholder consultation</w:t>
      </w:r>
      <w:r w:rsidR="0000365D">
        <w:rPr>
          <w:rFonts w:cstheme="minorHAnsi"/>
          <w:sz w:val="24"/>
          <w:szCs w:val="24"/>
        </w:rPr>
        <w:t xml:space="preserve"> </w:t>
      </w:r>
      <w:r w:rsidR="00BD67EC">
        <w:rPr>
          <w:rFonts w:cstheme="minorHAnsi"/>
          <w:sz w:val="24"/>
          <w:szCs w:val="24"/>
        </w:rPr>
        <w:t>process</w:t>
      </w:r>
      <w:r w:rsidR="00FD32CC">
        <w:rPr>
          <w:rFonts w:cstheme="minorHAnsi"/>
          <w:sz w:val="24"/>
          <w:szCs w:val="24"/>
        </w:rPr>
        <w:t xml:space="preserve">; and </w:t>
      </w:r>
    </w:p>
    <w:p w14:paraId="20C714FE" w14:textId="7423BA89" w:rsidR="00E73609" w:rsidRDefault="00FD32CC" w:rsidP="60476052">
      <w:pPr>
        <w:pStyle w:val="ListParagraph"/>
        <w:numPr>
          <w:ilvl w:val="0"/>
          <w:numId w:val="2"/>
        </w:numPr>
        <w:rPr>
          <w:sz w:val="24"/>
          <w:szCs w:val="24"/>
        </w:rPr>
      </w:pPr>
      <w:r w:rsidRPr="4FB45B9C">
        <w:rPr>
          <w:sz w:val="24"/>
          <w:szCs w:val="24"/>
        </w:rPr>
        <w:t xml:space="preserve">The </w:t>
      </w:r>
      <w:r w:rsidR="00BD67EC">
        <w:rPr>
          <w:sz w:val="24"/>
          <w:szCs w:val="24"/>
        </w:rPr>
        <w:t xml:space="preserve">interfaces </w:t>
      </w:r>
      <w:r w:rsidR="004A1C17">
        <w:rPr>
          <w:sz w:val="24"/>
          <w:szCs w:val="24"/>
        </w:rPr>
        <w:t xml:space="preserve">with </w:t>
      </w:r>
      <w:r w:rsidR="004A1C17" w:rsidRPr="4FB45B9C">
        <w:rPr>
          <w:sz w:val="24"/>
          <w:szCs w:val="24"/>
        </w:rPr>
        <w:t>other</w:t>
      </w:r>
      <w:r w:rsidR="00002EF9" w:rsidRPr="4FB45B9C">
        <w:rPr>
          <w:sz w:val="24"/>
          <w:szCs w:val="24"/>
        </w:rPr>
        <w:t xml:space="preserve"> </w:t>
      </w:r>
      <w:r w:rsidR="00BE3177" w:rsidRPr="4FB45B9C">
        <w:rPr>
          <w:sz w:val="24"/>
          <w:szCs w:val="24"/>
        </w:rPr>
        <w:t>health</w:t>
      </w:r>
      <w:r w:rsidR="00BD67EC">
        <w:rPr>
          <w:sz w:val="24"/>
          <w:szCs w:val="24"/>
        </w:rPr>
        <w:t xml:space="preserve"> policy initiatives, </w:t>
      </w:r>
      <w:r w:rsidR="00BE3177" w:rsidRPr="4FB45B9C">
        <w:rPr>
          <w:sz w:val="24"/>
          <w:szCs w:val="24"/>
        </w:rPr>
        <w:t>health workforce reviews and reform processes</w:t>
      </w:r>
      <w:r w:rsidR="00BD67EC">
        <w:rPr>
          <w:sz w:val="24"/>
          <w:szCs w:val="24"/>
        </w:rPr>
        <w:t xml:space="preserve"> and their potential impacts</w:t>
      </w:r>
      <w:r w:rsidR="00BE3177" w:rsidRPr="4FB45B9C">
        <w:rPr>
          <w:sz w:val="24"/>
          <w:szCs w:val="24"/>
        </w:rPr>
        <w:t xml:space="preserve"> on </w:t>
      </w:r>
      <w:r w:rsidR="007F2C6B">
        <w:rPr>
          <w:sz w:val="24"/>
          <w:szCs w:val="24"/>
        </w:rPr>
        <w:t xml:space="preserve">this review of </w:t>
      </w:r>
      <w:r w:rsidR="00BE3177" w:rsidRPr="4FB45B9C">
        <w:rPr>
          <w:sz w:val="24"/>
          <w:szCs w:val="24"/>
        </w:rPr>
        <w:t>health practitioners’ scope of practice.</w:t>
      </w:r>
      <w:r w:rsidR="0000365D" w:rsidRPr="4FB45B9C">
        <w:rPr>
          <w:sz w:val="24"/>
          <w:szCs w:val="24"/>
        </w:rPr>
        <w:t xml:space="preserve">  </w:t>
      </w:r>
    </w:p>
    <w:p w14:paraId="0B18CA84" w14:textId="18698258" w:rsidR="00B56924" w:rsidRPr="00530506" w:rsidRDefault="00B56924" w:rsidP="00530506">
      <w:pPr>
        <w:pStyle w:val="NormalWeb"/>
        <w:spacing w:before="120" w:beforeAutospacing="0" w:after="120" w:afterAutospacing="0"/>
        <w:rPr>
          <w:rFonts w:asciiTheme="minorHAnsi" w:hAnsiTheme="minorHAnsi" w:cstheme="minorHAnsi"/>
          <w:sz w:val="24"/>
          <w:szCs w:val="24"/>
          <w:lang w:eastAsia="en-US"/>
        </w:rPr>
      </w:pPr>
      <w:r w:rsidRPr="00530506">
        <w:rPr>
          <w:rFonts w:asciiTheme="minorHAnsi" w:hAnsiTheme="minorHAnsi" w:cstheme="minorHAnsi"/>
          <w:sz w:val="24"/>
          <w:szCs w:val="24"/>
          <w:lang w:eastAsia="en-US"/>
        </w:rPr>
        <w:t>The EAC will be chaired by the Independent Review Lead</w:t>
      </w:r>
      <w:r w:rsidR="00A5726A">
        <w:rPr>
          <w:rFonts w:asciiTheme="minorHAnsi" w:hAnsiTheme="minorHAnsi" w:cstheme="minorHAnsi"/>
          <w:sz w:val="24"/>
          <w:szCs w:val="24"/>
          <w:lang w:eastAsia="en-US"/>
        </w:rPr>
        <w:t>.</w:t>
      </w:r>
    </w:p>
    <w:p w14:paraId="717DC568" w14:textId="2ADBE5A3" w:rsidR="00400B45" w:rsidRPr="00E57AE6" w:rsidRDefault="00400B45" w:rsidP="00E57AE6">
      <w:pPr>
        <w:pStyle w:val="Heading3"/>
        <w:spacing w:before="240"/>
        <w:rPr>
          <w:b/>
          <w:bCs/>
        </w:rPr>
      </w:pPr>
      <w:r w:rsidRPr="00E57AE6">
        <w:rPr>
          <w:b/>
          <w:bCs/>
        </w:rPr>
        <w:t>Timeframe and commitment</w:t>
      </w:r>
    </w:p>
    <w:p w14:paraId="59453E36" w14:textId="02392919" w:rsidR="00B16A87" w:rsidRPr="00530506" w:rsidRDefault="004F5215" w:rsidP="00530506">
      <w:pPr>
        <w:pStyle w:val="NormalWeb"/>
        <w:spacing w:before="120" w:beforeAutospacing="0" w:after="120" w:afterAutospacing="0"/>
        <w:rPr>
          <w:rFonts w:asciiTheme="minorHAnsi" w:hAnsiTheme="minorHAnsi" w:cstheme="minorHAnsi"/>
          <w:sz w:val="24"/>
          <w:szCs w:val="24"/>
          <w:lang w:eastAsia="en-US"/>
        </w:rPr>
      </w:pPr>
      <w:r w:rsidRPr="00530506">
        <w:rPr>
          <w:rFonts w:asciiTheme="minorHAnsi" w:hAnsiTheme="minorHAnsi" w:cstheme="minorHAnsi"/>
          <w:sz w:val="24"/>
          <w:szCs w:val="24"/>
          <w:lang w:eastAsia="en-US"/>
        </w:rPr>
        <w:t xml:space="preserve">The EAC will </w:t>
      </w:r>
      <w:r w:rsidR="00E57AE6" w:rsidRPr="00530506">
        <w:rPr>
          <w:rFonts w:asciiTheme="minorHAnsi" w:hAnsiTheme="minorHAnsi" w:cstheme="minorHAnsi"/>
          <w:sz w:val="24"/>
          <w:szCs w:val="24"/>
          <w:lang w:eastAsia="en-US"/>
        </w:rPr>
        <w:t>be convened</w:t>
      </w:r>
      <w:r w:rsidR="00620E74" w:rsidRPr="00530506">
        <w:rPr>
          <w:rFonts w:asciiTheme="minorHAnsi" w:hAnsiTheme="minorHAnsi" w:cstheme="minorHAnsi"/>
          <w:sz w:val="24"/>
          <w:szCs w:val="24"/>
          <w:lang w:eastAsia="en-US"/>
        </w:rPr>
        <w:t xml:space="preserve"> for a period of 12 months, from </w:t>
      </w:r>
      <w:r w:rsidR="00757C81">
        <w:rPr>
          <w:rFonts w:asciiTheme="minorHAnsi" w:hAnsiTheme="minorHAnsi" w:cstheme="minorHAnsi"/>
          <w:sz w:val="24"/>
          <w:szCs w:val="24"/>
          <w:lang w:eastAsia="en-US"/>
        </w:rPr>
        <w:t>November</w:t>
      </w:r>
      <w:r w:rsidR="0023008B">
        <w:rPr>
          <w:rFonts w:asciiTheme="minorHAnsi" w:hAnsiTheme="minorHAnsi" w:cstheme="minorHAnsi"/>
          <w:sz w:val="24"/>
          <w:szCs w:val="24"/>
          <w:lang w:eastAsia="en-US"/>
        </w:rPr>
        <w:t xml:space="preserve"> </w:t>
      </w:r>
      <w:r w:rsidR="003E2790" w:rsidRPr="00530506">
        <w:rPr>
          <w:rFonts w:asciiTheme="minorHAnsi" w:hAnsiTheme="minorHAnsi" w:cstheme="minorHAnsi"/>
          <w:sz w:val="24"/>
          <w:szCs w:val="24"/>
          <w:lang w:eastAsia="en-US"/>
        </w:rPr>
        <w:t xml:space="preserve">2023 until </w:t>
      </w:r>
      <w:r w:rsidR="00757C81">
        <w:rPr>
          <w:rFonts w:asciiTheme="minorHAnsi" w:hAnsiTheme="minorHAnsi" w:cstheme="minorHAnsi"/>
          <w:sz w:val="24"/>
          <w:szCs w:val="24"/>
          <w:lang w:eastAsia="en-US"/>
        </w:rPr>
        <w:t xml:space="preserve">November </w:t>
      </w:r>
      <w:r w:rsidR="00620E74" w:rsidRPr="00530506">
        <w:rPr>
          <w:rFonts w:asciiTheme="minorHAnsi" w:hAnsiTheme="minorHAnsi" w:cstheme="minorHAnsi"/>
          <w:sz w:val="24"/>
          <w:szCs w:val="24"/>
          <w:lang w:eastAsia="en-US"/>
        </w:rPr>
        <w:t>2024.</w:t>
      </w:r>
      <w:r w:rsidR="00B16A87" w:rsidRPr="00530506">
        <w:rPr>
          <w:rFonts w:asciiTheme="minorHAnsi" w:hAnsiTheme="minorHAnsi" w:cstheme="minorHAnsi"/>
          <w:sz w:val="24"/>
          <w:szCs w:val="24"/>
          <w:lang w:eastAsia="en-US"/>
        </w:rPr>
        <w:t xml:space="preserve"> </w:t>
      </w:r>
    </w:p>
    <w:p w14:paraId="14298211" w14:textId="77777777" w:rsidR="005F03F9" w:rsidRPr="00530506" w:rsidRDefault="006E7A86" w:rsidP="00530506">
      <w:pPr>
        <w:pStyle w:val="NormalWeb"/>
        <w:spacing w:before="120" w:beforeAutospacing="0" w:after="120" w:afterAutospacing="0"/>
        <w:rPr>
          <w:rFonts w:asciiTheme="minorHAnsi" w:hAnsiTheme="minorHAnsi" w:cstheme="minorHAnsi"/>
          <w:sz w:val="24"/>
          <w:szCs w:val="24"/>
          <w:lang w:eastAsia="en-US"/>
        </w:rPr>
      </w:pPr>
      <w:r w:rsidRPr="00530506">
        <w:rPr>
          <w:rFonts w:asciiTheme="minorHAnsi" w:hAnsiTheme="minorHAnsi" w:cstheme="minorHAnsi"/>
          <w:sz w:val="24"/>
          <w:szCs w:val="24"/>
          <w:lang w:eastAsia="en-US"/>
        </w:rPr>
        <w:t xml:space="preserve">The EAC </w:t>
      </w:r>
      <w:r w:rsidR="008357B1" w:rsidRPr="00530506">
        <w:rPr>
          <w:rFonts w:asciiTheme="minorHAnsi" w:hAnsiTheme="minorHAnsi" w:cstheme="minorHAnsi"/>
          <w:sz w:val="24"/>
          <w:szCs w:val="24"/>
          <w:lang w:eastAsia="en-US"/>
        </w:rPr>
        <w:t xml:space="preserve">is expected to meet up to four times over the course of the review. The exact dates are </w:t>
      </w:r>
      <w:r w:rsidR="001628DC" w:rsidRPr="00530506">
        <w:rPr>
          <w:rFonts w:asciiTheme="minorHAnsi" w:hAnsiTheme="minorHAnsi" w:cstheme="minorHAnsi"/>
          <w:sz w:val="24"/>
          <w:szCs w:val="24"/>
          <w:lang w:eastAsia="en-US"/>
        </w:rPr>
        <w:t>to be determined</w:t>
      </w:r>
      <w:r w:rsidR="00886360" w:rsidRPr="00530506">
        <w:rPr>
          <w:rFonts w:asciiTheme="minorHAnsi" w:hAnsiTheme="minorHAnsi" w:cstheme="minorHAnsi"/>
          <w:sz w:val="24"/>
          <w:szCs w:val="24"/>
          <w:lang w:eastAsia="en-US"/>
        </w:rPr>
        <w:t>, but they are expected to occur</w:t>
      </w:r>
      <w:r w:rsidR="005F03F9" w:rsidRPr="00530506">
        <w:rPr>
          <w:rFonts w:asciiTheme="minorHAnsi" w:hAnsiTheme="minorHAnsi" w:cstheme="minorHAnsi"/>
          <w:sz w:val="24"/>
          <w:szCs w:val="24"/>
          <w:lang w:eastAsia="en-US"/>
        </w:rPr>
        <w:t xml:space="preserve"> in alignment with the four phases of the review:</w:t>
      </w:r>
    </w:p>
    <w:p w14:paraId="2F86D3A2" w14:textId="13B38345" w:rsidR="00016269" w:rsidRPr="00862B90" w:rsidRDefault="00757C81" w:rsidP="005F03F9">
      <w:pPr>
        <w:pStyle w:val="ListParagraph"/>
        <w:numPr>
          <w:ilvl w:val="0"/>
          <w:numId w:val="4"/>
        </w:numPr>
        <w:rPr>
          <w:rFonts w:cstheme="minorHAnsi"/>
          <w:sz w:val="24"/>
          <w:szCs w:val="24"/>
        </w:rPr>
      </w:pPr>
      <w:r>
        <w:rPr>
          <w:rFonts w:cstheme="minorHAnsi"/>
          <w:sz w:val="24"/>
          <w:szCs w:val="24"/>
        </w:rPr>
        <w:t>November</w:t>
      </w:r>
      <w:r w:rsidR="00911083">
        <w:rPr>
          <w:rFonts w:cstheme="minorHAnsi"/>
          <w:sz w:val="24"/>
          <w:szCs w:val="24"/>
        </w:rPr>
        <w:t xml:space="preserve"> </w:t>
      </w:r>
      <w:r w:rsidR="00016269" w:rsidRPr="00862B90">
        <w:rPr>
          <w:rFonts w:cstheme="minorHAnsi"/>
          <w:sz w:val="24"/>
          <w:szCs w:val="24"/>
        </w:rPr>
        <w:t>2023</w:t>
      </w:r>
      <w:r w:rsidR="005F03F9" w:rsidRPr="00862B90">
        <w:rPr>
          <w:rFonts w:cstheme="minorHAnsi"/>
          <w:sz w:val="24"/>
          <w:szCs w:val="24"/>
        </w:rPr>
        <w:t xml:space="preserve"> – Phase </w:t>
      </w:r>
      <w:r w:rsidR="00016269" w:rsidRPr="00862B90">
        <w:rPr>
          <w:rFonts w:cstheme="minorHAnsi"/>
          <w:sz w:val="24"/>
          <w:szCs w:val="24"/>
        </w:rPr>
        <w:t>1, initial stakeholder consultation</w:t>
      </w:r>
    </w:p>
    <w:p w14:paraId="0B1D3699" w14:textId="05BE23F3" w:rsidR="005B782F" w:rsidRPr="00862B90" w:rsidRDefault="007A5FEB" w:rsidP="005F03F9">
      <w:pPr>
        <w:pStyle w:val="ListParagraph"/>
        <w:numPr>
          <w:ilvl w:val="0"/>
          <w:numId w:val="4"/>
        </w:numPr>
        <w:rPr>
          <w:rFonts w:cstheme="minorHAnsi"/>
          <w:sz w:val="24"/>
          <w:szCs w:val="24"/>
        </w:rPr>
      </w:pPr>
      <w:r w:rsidRPr="00862B90">
        <w:rPr>
          <w:rFonts w:cstheme="minorHAnsi"/>
          <w:sz w:val="24"/>
          <w:szCs w:val="24"/>
        </w:rPr>
        <w:t>December 2023 – March 2024 – Phase 2</w:t>
      </w:r>
      <w:r w:rsidR="005B782F" w:rsidRPr="00862B90">
        <w:rPr>
          <w:rFonts w:cstheme="minorHAnsi"/>
          <w:sz w:val="24"/>
          <w:szCs w:val="24"/>
        </w:rPr>
        <w:t xml:space="preserve">, Issues </w:t>
      </w:r>
      <w:r w:rsidR="00A529DE">
        <w:rPr>
          <w:rFonts w:cstheme="minorHAnsi"/>
          <w:sz w:val="24"/>
          <w:szCs w:val="24"/>
        </w:rPr>
        <w:t>P</w:t>
      </w:r>
      <w:r w:rsidR="005B782F" w:rsidRPr="00862B90">
        <w:rPr>
          <w:rFonts w:cstheme="minorHAnsi"/>
          <w:sz w:val="24"/>
          <w:szCs w:val="24"/>
        </w:rPr>
        <w:t xml:space="preserve">aper 1 </w:t>
      </w:r>
    </w:p>
    <w:p w14:paraId="4DB399AC" w14:textId="6A75C2D8" w:rsidR="0092168C" w:rsidRPr="00862B90" w:rsidRDefault="005E59CB" w:rsidP="005F03F9">
      <w:pPr>
        <w:pStyle w:val="ListParagraph"/>
        <w:numPr>
          <w:ilvl w:val="0"/>
          <w:numId w:val="4"/>
        </w:numPr>
        <w:rPr>
          <w:rFonts w:cstheme="minorHAnsi"/>
          <w:sz w:val="24"/>
          <w:szCs w:val="24"/>
        </w:rPr>
      </w:pPr>
      <w:r w:rsidRPr="00862B90">
        <w:rPr>
          <w:rFonts w:cstheme="minorHAnsi"/>
          <w:sz w:val="24"/>
          <w:szCs w:val="24"/>
        </w:rPr>
        <w:t xml:space="preserve">April – June 2024 – Phase 3, </w:t>
      </w:r>
      <w:r w:rsidR="00862B90" w:rsidRPr="00862B90">
        <w:rPr>
          <w:rFonts w:cstheme="minorHAnsi"/>
          <w:sz w:val="24"/>
          <w:szCs w:val="24"/>
        </w:rPr>
        <w:t>Issues</w:t>
      </w:r>
      <w:r w:rsidRPr="00862B90">
        <w:rPr>
          <w:rFonts w:cstheme="minorHAnsi"/>
          <w:sz w:val="24"/>
          <w:szCs w:val="24"/>
        </w:rPr>
        <w:t xml:space="preserve"> </w:t>
      </w:r>
      <w:r w:rsidR="00A529DE">
        <w:rPr>
          <w:rFonts w:cstheme="minorHAnsi"/>
          <w:sz w:val="24"/>
          <w:szCs w:val="24"/>
        </w:rPr>
        <w:t>P</w:t>
      </w:r>
      <w:r w:rsidRPr="00862B90">
        <w:rPr>
          <w:rFonts w:cstheme="minorHAnsi"/>
          <w:sz w:val="24"/>
          <w:szCs w:val="24"/>
        </w:rPr>
        <w:t xml:space="preserve">aper </w:t>
      </w:r>
      <w:r w:rsidR="0092168C" w:rsidRPr="00862B90">
        <w:rPr>
          <w:rFonts w:cstheme="minorHAnsi"/>
          <w:sz w:val="24"/>
          <w:szCs w:val="24"/>
        </w:rPr>
        <w:t>2</w:t>
      </w:r>
    </w:p>
    <w:p w14:paraId="45C22BA7" w14:textId="42C0C0B2" w:rsidR="00C475F3" w:rsidRPr="00862B90" w:rsidRDefault="0092168C" w:rsidP="005F03F9">
      <w:pPr>
        <w:pStyle w:val="ListParagraph"/>
        <w:numPr>
          <w:ilvl w:val="0"/>
          <w:numId w:val="4"/>
        </w:numPr>
        <w:rPr>
          <w:rFonts w:cstheme="minorHAnsi"/>
          <w:sz w:val="24"/>
          <w:szCs w:val="24"/>
        </w:rPr>
      </w:pPr>
      <w:r w:rsidRPr="00862B90">
        <w:rPr>
          <w:rFonts w:cstheme="minorHAnsi"/>
          <w:sz w:val="24"/>
          <w:szCs w:val="24"/>
        </w:rPr>
        <w:t xml:space="preserve">July – September 2024 </w:t>
      </w:r>
      <w:r w:rsidR="00C475F3" w:rsidRPr="00862B90">
        <w:rPr>
          <w:rFonts w:cstheme="minorHAnsi"/>
          <w:sz w:val="24"/>
          <w:szCs w:val="24"/>
        </w:rPr>
        <w:t xml:space="preserve">– Phase 4, Draft Final </w:t>
      </w:r>
      <w:r w:rsidR="00A529DE">
        <w:rPr>
          <w:rFonts w:cstheme="minorHAnsi"/>
          <w:sz w:val="24"/>
          <w:szCs w:val="24"/>
        </w:rPr>
        <w:t>R</w:t>
      </w:r>
      <w:r w:rsidR="00C475F3" w:rsidRPr="00862B90">
        <w:rPr>
          <w:rFonts w:cstheme="minorHAnsi"/>
          <w:sz w:val="24"/>
          <w:szCs w:val="24"/>
        </w:rPr>
        <w:t xml:space="preserve">eport </w:t>
      </w:r>
    </w:p>
    <w:p w14:paraId="5BDDAEA5" w14:textId="27CA6D59" w:rsidR="00E12BFF" w:rsidRPr="00530506" w:rsidRDefault="00E12BFF" w:rsidP="00530506">
      <w:pPr>
        <w:pStyle w:val="NormalWeb"/>
        <w:spacing w:before="120" w:beforeAutospacing="0" w:after="120" w:afterAutospacing="0"/>
        <w:rPr>
          <w:rFonts w:asciiTheme="minorHAnsi" w:hAnsiTheme="minorHAnsi" w:cstheme="minorHAnsi"/>
          <w:sz w:val="24"/>
          <w:szCs w:val="24"/>
          <w:lang w:eastAsia="en-US"/>
        </w:rPr>
      </w:pPr>
      <w:r w:rsidRPr="00530506">
        <w:rPr>
          <w:rFonts w:asciiTheme="minorHAnsi" w:hAnsiTheme="minorHAnsi" w:cstheme="minorHAnsi"/>
          <w:sz w:val="24"/>
          <w:szCs w:val="24"/>
          <w:lang w:eastAsia="en-US"/>
        </w:rPr>
        <w:t xml:space="preserve">There may be additional meetings convened out-of-session. </w:t>
      </w:r>
    </w:p>
    <w:p w14:paraId="51F49D4E" w14:textId="22BA1C19" w:rsidR="004A1C17" w:rsidRPr="00576ECA" w:rsidRDefault="004A1C17" w:rsidP="00576ECA">
      <w:pPr>
        <w:pStyle w:val="NormalWeb"/>
        <w:spacing w:before="120" w:beforeAutospacing="0" w:after="120" w:afterAutospacing="0"/>
        <w:rPr>
          <w:rFonts w:asciiTheme="minorHAnsi" w:hAnsiTheme="minorHAnsi" w:cstheme="minorHAnsi"/>
          <w:sz w:val="24"/>
          <w:szCs w:val="24"/>
          <w:lang w:eastAsia="en-US"/>
        </w:rPr>
      </w:pPr>
      <w:r w:rsidRPr="00576ECA">
        <w:rPr>
          <w:rFonts w:asciiTheme="minorHAnsi" w:hAnsiTheme="minorHAnsi" w:cstheme="minorHAnsi"/>
          <w:sz w:val="24"/>
          <w:szCs w:val="24"/>
          <w:lang w:eastAsia="en-US"/>
        </w:rPr>
        <w:t xml:space="preserve">It is expected the EAC will meet predominantly via </w:t>
      </w:r>
      <w:r w:rsidR="00A5726A" w:rsidRPr="00576ECA">
        <w:rPr>
          <w:rFonts w:asciiTheme="minorHAnsi" w:hAnsiTheme="minorHAnsi" w:cstheme="minorHAnsi"/>
          <w:sz w:val="24"/>
          <w:szCs w:val="24"/>
          <w:lang w:eastAsia="en-US"/>
        </w:rPr>
        <w:t>video link</w:t>
      </w:r>
      <w:r w:rsidRPr="00576ECA">
        <w:rPr>
          <w:rFonts w:asciiTheme="minorHAnsi" w:hAnsiTheme="minorHAnsi" w:cstheme="minorHAnsi"/>
          <w:sz w:val="24"/>
          <w:szCs w:val="24"/>
          <w:lang w:eastAsia="en-US"/>
        </w:rPr>
        <w:t xml:space="preserve">, however a </w:t>
      </w:r>
      <w:r w:rsidR="00390A17" w:rsidRPr="00576ECA">
        <w:rPr>
          <w:rFonts w:asciiTheme="minorHAnsi" w:hAnsiTheme="minorHAnsi" w:cstheme="minorHAnsi"/>
          <w:sz w:val="24"/>
          <w:szCs w:val="24"/>
          <w:lang w:eastAsia="en-US"/>
        </w:rPr>
        <w:t>face-to-face</w:t>
      </w:r>
      <w:r w:rsidRPr="00576ECA">
        <w:rPr>
          <w:rFonts w:asciiTheme="minorHAnsi" w:hAnsiTheme="minorHAnsi" w:cstheme="minorHAnsi"/>
          <w:sz w:val="24"/>
          <w:szCs w:val="24"/>
          <w:lang w:eastAsia="en-US"/>
        </w:rPr>
        <w:t xml:space="preserve"> meeting may also be scheduled. Travel will be considered on a </w:t>
      </w:r>
      <w:r w:rsidR="00390A17" w:rsidRPr="00576ECA">
        <w:rPr>
          <w:rFonts w:asciiTheme="minorHAnsi" w:hAnsiTheme="minorHAnsi" w:cstheme="minorHAnsi"/>
          <w:sz w:val="24"/>
          <w:szCs w:val="24"/>
          <w:lang w:eastAsia="en-US"/>
        </w:rPr>
        <w:t>case-by-case</w:t>
      </w:r>
      <w:r w:rsidRPr="00576ECA">
        <w:rPr>
          <w:rFonts w:asciiTheme="minorHAnsi" w:hAnsiTheme="minorHAnsi" w:cstheme="minorHAnsi"/>
          <w:sz w:val="24"/>
          <w:szCs w:val="24"/>
          <w:lang w:eastAsia="en-US"/>
        </w:rPr>
        <w:t xml:space="preserve"> basis and will be benchmarked off the Remuneration Tribunal (Official Travel) Determination for Part-time Office Holders.</w:t>
      </w:r>
    </w:p>
    <w:p w14:paraId="19ED1C25" w14:textId="4780687A" w:rsidR="004A6E78" w:rsidRPr="00530506" w:rsidRDefault="00776691" w:rsidP="00530506">
      <w:pPr>
        <w:pStyle w:val="NormalWeb"/>
        <w:spacing w:before="120" w:beforeAutospacing="0" w:after="120" w:afterAutospacing="0"/>
        <w:rPr>
          <w:rFonts w:asciiTheme="minorHAnsi" w:hAnsiTheme="minorHAnsi" w:cstheme="minorHAnsi"/>
          <w:sz w:val="24"/>
          <w:szCs w:val="24"/>
          <w:lang w:eastAsia="en-US"/>
        </w:rPr>
      </w:pPr>
      <w:r w:rsidRPr="00530506">
        <w:rPr>
          <w:rFonts w:asciiTheme="minorHAnsi" w:hAnsiTheme="minorHAnsi" w:cstheme="minorHAnsi"/>
          <w:sz w:val="24"/>
          <w:szCs w:val="24"/>
          <w:lang w:eastAsia="en-US"/>
        </w:rPr>
        <w:t xml:space="preserve">If a member representing an organisation </w:t>
      </w:r>
      <w:r w:rsidR="005179E8" w:rsidRPr="00530506">
        <w:rPr>
          <w:rFonts w:asciiTheme="minorHAnsi" w:hAnsiTheme="minorHAnsi" w:cstheme="minorHAnsi"/>
          <w:sz w:val="24"/>
          <w:szCs w:val="24"/>
          <w:lang w:eastAsia="en-US"/>
        </w:rPr>
        <w:t xml:space="preserve">or peak body </w:t>
      </w:r>
      <w:r w:rsidRPr="00530506">
        <w:rPr>
          <w:rFonts w:asciiTheme="minorHAnsi" w:hAnsiTheme="minorHAnsi" w:cstheme="minorHAnsi"/>
          <w:sz w:val="24"/>
          <w:szCs w:val="24"/>
          <w:lang w:eastAsia="en-US"/>
        </w:rPr>
        <w:t>is unable to attend, proxies will be permitted.  Proxies will not be permitted for</w:t>
      </w:r>
      <w:r w:rsidR="00AA7C66" w:rsidRPr="00530506">
        <w:rPr>
          <w:rFonts w:asciiTheme="minorHAnsi" w:hAnsiTheme="minorHAnsi" w:cstheme="minorHAnsi"/>
          <w:sz w:val="24"/>
          <w:szCs w:val="24"/>
          <w:lang w:eastAsia="en-US"/>
        </w:rPr>
        <w:t xml:space="preserve"> individually represented members.</w:t>
      </w:r>
    </w:p>
    <w:p w14:paraId="6FC94489" w14:textId="2BDB7F9A" w:rsidR="00784441" w:rsidRPr="00530506" w:rsidRDefault="00784441" w:rsidP="00530506">
      <w:pPr>
        <w:pStyle w:val="NormalWeb"/>
        <w:spacing w:before="120" w:beforeAutospacing="0" w:after="120" w:afterAutospacing="0"/>
        <w:rPr>
          <w:rFonts w:asciiTheme="minorHAnsi" w:hAnsiTheme="minorHAnsi" w:cstheme="minorHAnsi"/>
          <w:sz w:val="24"/>
          <w:szCs w:val="24"/>
          <w:lang w:eastAsia="en-US"/>
        </w:rPr>
      </w:pPr>
      <w:r w:rsidRPr="00530506">
        <w:rPr>
          <w:rFonts w:asciiTheme="minorHAnsi" w:hAnsiTheme="minorHAnsi" w:cstheme="minorHAnsi"/>
          <w:sz w:val="24"/>
          <w:szCs w:val="24"/>
          <w:lang w:eastAsia="en-US"/>
        </w:rPr>
        <w:t xml:space="preserve">An agenda for EAC meetings will be sent to members at least one week prior to the scheduled meeting. The </w:t>
      </w:r>
      <w:r w:rsidR="001A74C6">
        <w:rPr>
          <w:rFonts w:asciiTheme="minorHAnsi" w:hAnsiTheme="minorHAnsi" w:cstheme="minorHAnsi"/>
          <w:sz w:val="24"/>
          <w:szCs w:val="24"/>
          <w:lang w:eastAsia="en-US"/>
        </w:rPr>
        <w:t>i</w:t>
      </w:r>
      <w:r w:rsidRPr="00530506">
        <w:rPr>
          <w:rFonts w:asciiTheme="minorHAnsi" w:hAnsiTheme="minorHAnsi" w:cstheme="minorHAnsi"/>
          <w:sz w:val="24"/>
          <w:szCs w:val="24"/>
          <w:lang w:eastAsia="en-US"/>
        </w:rPr>
        <w:t xml:space="preserve">ndependent </w:t>
      </w:r>
      <w:r w:rsidR="001A74C6">
        <w:rPr>
          <w:rFonts w:asciiTheme="minorHAnsi" w:hAnsiTheme="minorHAnsi" w:cstheme="minorHAnsi"/>
          <w:sz w:val="24"/>
          <w:szCs w:val="24"/>
          <w:lang w:eastAsia="en-US"/>
        </w:rPr>
        <w:t>s</w:t>
      </w:r>
      <w:r w:rsidR="003A023C" w:rsidRPr="00530506">
        <w:rPr>
          <w:rFonts w:asciiTheme="minorHAnsi" w:hAnsiTheme="minorHAnsi" w:cstheme="minorHAnsi"/>
          <w:sz w:val="24"/>
          <w:szCs w:val="24"/>
          <w:lang w:eastAsia="en-US"/>
        </w:rPr>
        <w:t xml:space="preserve">upport </w:t>
      </w:r>
      <w:r w:rsidR="001A74C6">
        <w:rPr>
          <w:rFonts w:asciiTheme="minorHAnsi" w:hAnsiTheme="minorHAnsi" w:cstheme="minorHAnsi"/>
          <w:sz w:val="24"/>
          <w:szCs w:val="24"/>
          <w:lang w:eastAsia="en-US"/>
        </w:rPr>
        <w:t>t</w:t>
      </w:r>
      <w:r w:rsidR="003A023C" w:rsidRPr="00530506">
        <w:rPr>
          <w:rFonts w:asciiTheme="minorHAnsi" w:hAnsiTheme="minorHAnsi" w:cstheme="minorHAnsi"/>
          <w:sz w:val="24"/>
          <w:szCs w:val="24"/>
          <w:lang w:eastAsia="en-US"/>
        </w:rPr>
        <w:t>eam will provide secretariat for the EAC.</w:t>
      </w:r>
    </w:p>
    <w:p w14:paraId="51367622" w14:textId="0D82CD8C" w:rsidR="00420965" w:rsidRPr="00776691" w:rsidRDefault="00400B45" w:rsidP="00776691">
      <w:pPr>
        <w:pStyle w:val="Heading3"/>
        <w:spacing w:before="240"/>
        <w:rPr>
          <w:b/>
          <w:bCs/>
        </w:rPr>
      </w:pPr>
      <w:r w:rsidRPr="00776691">
        <w:rPr>
          <w:b/>
          <w:bCs/>
        </w:rPr>
        <w:t xml:space="preserve">Remuneration </w:t>
      </w:r>
    </w:p>
    <w:p w14:paraId="587CEBCA" w14:textId="16ADEED1" w:rsidR="00206026" w:rsidRPr="005E3ADA" w:rsidRDefault="00206026" w:rsidP="00206026">
      <w:pPr>
        <w:pStyle w:val="Default"/>
        <w:rPr>
          <w:rFonts w:asciiTheme="minorHAnsi" w:hAnsiTheme="minorHAnsi"/>
        </w:rPr>
      </w:pPr>
      <w:r w:rsidRPr="00812C7C">
        <w:rPr>
          <w:rFonts w:asciiTheme="minorHAnsi" w:hAnsiTheme="minorHAnsi" w:cstheme="minorHAnsi"/>
        </w:rPr>
        <w:t xml:space="preserve">Members will be remunerated in accordance with the Department of Health and Aged Care’s Remuneration Framework. </w:t>
      </w:r>
      <w:r w:rsidRPr="005E3ADA">
        <w:rPr>
          <w:rFonts w:asciiTheme="minorHAnsi" w:hAnsiTheme="minorHAnsi"/>
        </w:rPr>
        <w:t>Details for eligible members will be outlined in the Member’s Instrument of Appointment</w:t>
      </w:r>
      <w:r w:rsidR="005A5C52">
        <w:rPr>
          <w:rFonts w:asciiTheme="minorHAnsi" w:hAnsiTheme="minorHAnsi"/>
        </w:rPr>
        <w:t xml:space="preserve"> and Committee Guidelines</w:t>
      </w:r>
      <w:r w:rsidRPr="005E3ADA">
        <w:rPr>
          <w:rFonts w:asciiTheme="minorHAnsi" w:hAnsiTheme="minorHAnsi"/>
        </w:rPr>
        <w:t xml:space="preserve">. </w:t>
      </w:r>
    </w:p>
    <w:p w14:paraId="4B6E7EE5" w14:textId="77777777" w:rsidR="00206026" w:rsidRPr="005E3ADA" w:rsidRDefault="00206026" w:rsidP="00206026">
      <w:pPr>
        <w:pStyle w:val="Default"/>
        <w:rPr>
          <w:rFonts w:asciiTheme="minorHAnsi" w:hAnsiTheme="minorHAnsi"/>
        </w:rPr>
      </w:pPr>
    </w:p>
    <w:p w14:paraId="5887E5BC" w14:textId="18D35EA9" w:rsidR="00206026" w:rsidRPr="000B6FA5" w:rsidRDefault="00206026" w:rsidP="00206026">
      <w:pPr>
        <w:pStyle w:val="NormalWeb"/>
        <w:spacing w:before="120" w:beforeAutospacing="0" w:after="120" w:afterAutospacing="0"/>
        <w:rPr>
          <w:rFonts w:asciiTheme="minorHAnsi" w:hAnsiTheme="minorHAnsi" w:cstheme="minorHAnsi"/>
          <w:sz w:val="24"/>
          <w:szCs w:val="24"/>
          <w:lang w:eastAsia="en-US"/>
        </w:rPr>
      </w:pPr>
      <w:r w:rsidRPr="005E3ADA">
        <w:rPr>
          <w:rFonts w:asciiTheme="minorHAnsi" w:hAnsiTheme="minorHAnsi"/>
          <w:sz w:val="24"/>
          <w:szCs w:val="24"/>
        </w:rPr>
        <w:t>Information on eligibility will be outlined in the Committee Member Guidelines</w:t>
      </w:r>
      <w:r w:rsidR="00757C81">
        <w:rPr>
          <w:rFonts w:asciiTheme="minorHAnsi" w:hAnsiTheme="minorHAnsi"/>
          <w:sz w:val="24"/>
          <w:szCs w:val="24"/>
        </w:rPr>
        <w:t>.</w:t>
      </w:r>
    </w:p>
    <w:p w14:paraId="25AA7050" w14:textId="5ED0FA00" w:rsidR="001E1124" w:rsidRDefault="001E1124" w:rsidP="001E1124">
      <w:pPr>
        <w:pStyle w:val="Heading3"/>
        <w:spacing w:before="240"/>
        <w:rPr>
          <w:b/>
          <w:bCs/>
        </w:rPr>
      </w:pPr>
      <w:r w:rsidRPr="001E1124">
        <w:rPr>
          <w:b/>
          <w:bCs/>
        </w:rPr>
        <w:t xml:space="preserve">Deed of confidentiality and </w:t>
      </w:r>
      <w:r w:rsidR="007F2C6B">
        <w:rPr>
          <w:b/>
          <w:bCs/>
        </w:rPr>
        <w:t xml:space="preserve">Declaration </w:t>
      </w:r>
      <w:r w:rsidR="007F2C6B" w:rsidRPr="001E1124">
        <w:rPr>
          <w:b/>
          <w:bCs/>
        </w:rPr>
        <w:t>of Interest</w:t>
      </w:r>
      <w:r w:rsidR="007F2C6B">
        <w:rPr>
          <w:b/>
          <w:bCs/>
        </w:rPr>
        <w:t>s</w:t>
      </w:r>
    </w:p>
    <w:p w14:paraId="59EEC125" w14:textId="14D64C86" w:rsidR="007F2C6B" w:rsidRDefault="009E393D" w:rsidP="007F2C6B">
      <w:pPr>
        <w:pStyle w:val="Heading3"/>
        <w:spacing w:before="240"/>
        <w:rPr>
          <w:b/>
          <w:bCs/>
        </w:rPr>
      </w:pPr>
      <w:r w:rsidRPr="004A1C17">
        <w:rPr>
          <w:rFonts w:asciiTheme="minorHAnsi" w:eastAsiaTheme="minorHAnsi" w:hAnsiTheme="minorHAnsi" w:cstheme="minorHAnsi"/>
          <w:color w:val="auto"/>
        </w:rPr>
        <w:t xml:space="preserve">All information provided to EAC members is confidential and must not </w:t>
      </w:r>
      <w:r w:rsidR="004347FF" w:rsidRPr="004A1C17">
        <w:rPr>
          <w:rFonts w:asciiTheme="minorHAnsi" w:eastAsiaTheme="minorHAnsi" w:hAnsiTheme="minorHAnsi" w:cstheme="minorHAnsi"/>
          <w:color w:val="auto"/>
        </w:rPr>
        <w:t xml:space="preserve">be disclosed to third parties or used for other purposes. </w:t>
      </w:r>
      <w:r w:rsidR="007F2C6B" w:rsidRPr="004A1C17">
        <w:rPr>
          <w:rFonts w:asciiTheme="minorHAnsi" w:eastAsiaTheme="minorHAnsi" w:hAnsiTheme="minorHAnsi" w:cstheme="minorHAnsi"/>
          <w:color w:val="auto"/>
        </w:rPr>
        <w:t>All EAC members will be required to sign a</w:t>
      </w:r>
      <w:r w:rsidR="007F2C6B">
        <w:rPr>
          <w:rFonts w:asciiTheme="minorHAnsi" w:hAnsiTheme="minorHAnsi" w:cstheme="minorHAnsi"/>
        </w:rPr>
        <w:t xml:space="preserve"> </w:t>
      </w:r>
      <w:r w:rsidR="007F2C6B" w:rsidRPr="001E1124">
        <w:rPr>
          <w:b/>
          <w:bCs/>
        </w:rPr>
        <w:t xml:space="preserve">Deed of </w:t>
      </w:r>
      <w:r w:rsidR="00A835E8">
        <w:rPr>
          <w:b/>
          <w:bCs/>
        </w:rPr>
        <w:t>C</w:t>
      </w:r>
      <w:r w:rsidR="007F2C6B" w:rsidRPr="001E1124">
        <w:rPr>
          <w:b/>
          <w:bCs/>
        </w:rPr>
        <w:t xml:space="preserve">onfidentiality and </w:t>
      </w:r>
      <w:r w:rsidR="007F2C6B">
        <w:rPr>
          <w:b/>
          <w:bCs/>
        </w:rPr>
        <w:t xml:space="preserve">Declaration </w:t>
      </w:r>
      <w:r w:rsidR="007F2C6B" w:rsidRPr="001E1124">
        <w:rPr>
          <w:b/>
          <w:bCs/>
        </w:rPr>
        <w:t>of Interest</w:t>
      </w:r>
      <w:r w:rsidR="007F2C6B">
        <w:rPr>
          <w:b/>
          <w:bCs/>
        </w:rPr>
        <w:t>s.</w:t>
      </w:r>
    </w:p>
    <w:p w14:paraId="601AEC0C" w14:textId="377498AF" w:rsidR="009E393D" w:rsidRPr="000B6FA5" w:rsidRDefault="009E393D" w:rsidP="000B6FA5">
      <w:pPr>
        <w:pStyle w:val="NormalWeb"/>
        <w:spacing w:before="120" w:beforeAutospacing="0" w:after="120" w:afterAutospacing="0"/>
        <w:rPr>
          <w:rFonts w:asciiTheme="minorHAnsi" w:hAnsiTheme="minorHAnsi" w:cstheme="minorHAnsi"/>
          <w:sz w:val="24"/>
          <w:szCs w:val="24"/>
          <w:lang w:eastAsia="en-US"/>
        </w:rPr>
      </w:pPr>
    </w:p>
    <w:sectPr w:rsidR="009E393D" w:rsidRPr="000B6F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63A4"/>
    <w:multiLevelType w:val="hybridMultilevel"/>
    <w:tmpl w:val="DE16B5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160C9D"/>
    <w:multiLevelType w:val="hybridMultilevel"/>
    <w:tmpl w:val="4028C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E072EA"/>
    <w:multiLevelType w:val="hybridMultilevel"/>
    <w:tmpl w:val="B720C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DB65FD"/>
    <w:multiLevelType w:val="hybridMultilevel"/>
    <w:tmpl w:val="B464F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44C2FC6"/>
    <w:multiLevelType w:val="hybridMultilevel"/>
    <w:tmpl w:val="070CB294"/>
    <w:lvl w:ilvl="0" w:tplc="F168AA22">
      <w:numFmt w:val="bullet"/>
      <w:lvlText w:val=""/>
      <w:lvlJc w:val="left"/>
      <w:pPr>
        <w:ind w:left="360" w:hanging="360"/>
      </w:pPr>
      <w:rPr>
        <w:rFonts w:ascii="Symbol" w:eastAsia="Symbol" w:hAnsi="Symbol" w:cs="Symbol" w:hint="default"/>
        <w:b w:val="0"/>
        <w:bCs w:val="0"/>
        <w:i w:val="0"/>
        <w:iCs w:val="0"/>
        <w:w w:val="100"/>
        <w:sz w:val="24"/>
        <w:szCs w:val="24"/>
        <w:lang w:val="en-US" w:eastAsia="en-US" w:bidi="ar-SA"/>
      </w:rPr>
    </w:lvl>
    <w:lvl w:ilvl="1" w:tplc="897256B0">
      <w:numFmt w:val="bullet"/>
      <w:lvlText w:val="o"/>
      <w:lvlJc w:val="left"/>
      <w:pPr>
        <w:ind w:left="1073" w:hanging="356"/>
      </w:pPr>
      <w:rPr>
        <w:rFonts w:ascii="Courier New" w:eastAsia="Courier New" w:hAnsi="Courier New" w:cs="Courier New" w:hint="default"/>
        <w:b w:val="0"/>
        <w:bCs w:val="0"/>
        <w:i w:val="0"/>
        <w:iCs w:val="0"/>
        <w:w w:val="100"/>
        <w:sz w:val="24"/>
        <w:szCs w:val="24"/>
        <w:lang w:val="en-US" w:eastAsia="en-US" w:bidi="ar-SA"/>
      </w:rPr>
    </w:lvl>
    <w:lvl w:ilvl="2" w:tplc="2430CBB2">
      <w:numFmt w:val="bullet"/>
      <w:lvlText w:val="•"/>
      <w:lvlJc w:val="left"/>
      <w:pPr>
        <w:ind w:left="1993" w:hanging="356"/>
      </w:pPr>
      <w:rPr>
        <w:lang w:val="en-US" w:eastAsia="en-US" w:bidi="ar-SA"/>
      </w:rPr>
    </w:lvl>
    <w:lvl w:ilvl="3" w:tplc="F4203942">
      <w:numFmt w:val="bullet"/>
      <w:lvlText w:val="•"/>
      <w:lvlJc w:val="left"/>
      <w:pPr>
        <w:ind w:left="2918" w:hanging="356"/>
      </w:pPr>
      <w:rPr>
        <w:lang w:val="en-US" w:eastAsia="en-US" w:bidi="ar-SA"/>
      </w:rPr>
    </w:lvl>
    <w:lvl w:ilvl="4" w:tplc="106654CA">
      <w:numFmt w:val="bullet"/>
      <w:lvlText w:val="•"/>
      <w:lvlJc w:val="left"/>
      <w:pPr>
        <w:ind w:left="3843" w:hanging="356"/>
      </w:pPr>
      <w:rPr>
        <w:lang w:val="en-US" w:eastAsia="en-US" w:bidi="ar-SA"/>
      </w:rPr>
    </w:lvl>
    <w:lvl w:ilvl="5" w:tplc="478AE2F4">
      <w:numFmt w:val="bullet"/>
      <w:lvlText w:val="•"/>
      <w:lvlJc w:val="left"/>
      <w:pPr>
        <w:ind w:left="4768" w:hanging="356"/>
      </w:pPr>
      <w:rPr>
        <w:lang w:val="en-US" w:eastAsia="en-US" w:bidi="ar-SA"/>
      </w:rPr>
    </w:lvl>
    <w:lvl w:ilvl="6" w:tplc="6E3ED3E2">
      <w:numFmt w:val="bullet"/>
      <w:lvlText w:val="•"/>
      <w:lvlJc w:val="left"/>
      <w:pPr>
        <w:ind w:left="5693" w:hanging="356"/>
      </w:pPr>
      <w:rPr>
        <w:lang w:val="en-US" w:eastAsia="en-US" w:bidi="ar-SA"/>
      </w:rPr>
    </w:lvl>
    <w:lvl w:ilvl="7" w:tplc="1E04EA04">
      <w:numFmt w:val="bullet"/>
      <w:lvlText w:val="•"/>
      <w:lvlJc w:val="left"/>
      <w:pPr>
        <w:ind w:left="6618" w:hanging="356"/>
      </w:pPr>
      <w:rPr>
        <w:lang w:val="en-US" w:eastAsia="en-US" w:bidi="ar-SA"/>
      </w:rPr>
    </w:lvl>
    <w:lvl w:ilvl="8" w:tplc="2B3AC28C">
      <w:numFmt w:val="bullet"/>
      <w:lvlText w:val="•"/>
      <w:lvlJc w:val="left"/>
      <w:pPr>
        <w:ind w:left="7544" w:hanging="356"/>
      </w:pPr>
      <w:rPr>
        <w:lang w:val="en-US" w:eastAsia="en-US" w:bidi="ar-SA"/>
      </w:rPr>
    </w:lvl>
  </w:abstractNum>
  <w:num w:numId="1" w16cid:durableId="1242987201">
    <w:abstractNumId w:val="0"/>
  </w:num>
  <w:num w:numId="2" w16cid:durableId="519317685">
    <w:abstractNumId w:val="3"/>
  </w:num>
  <w:num w:numId="3" w16cid:durableId="349920482">
    <w:abstractNumId w:val="1"/>
  </w:num>
  <w:num w:numId="4" w16cid:durableId="1207520754">
    <w:abstractNumId w:val="2"/>
  </w:num>
  <w:num w:numId="5" w16cid:durableId="2006857773">
    <w:abstractNumId w:val="4"/>
  </w:num>
  <w:num w:numId="6" w16cid:durableId="20655954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A30"/>
    <w:rsid w:val="00002EF9"/>
    <w:rsid w:val="0000365D"/>
    <w:rsid w:val="0001037D"/>
    <w:rsid w:val="00013B90"/>
    <w:rsid w:val="00016269"/>
    <w:rsid w:val="000272FE"/>
    <w:rsid w:val="00034501"/>
    <w:rsid w:val="000734EF"/>
    <w:rsid w:val="000844D8"/>
    <w:rsid w:val="000B1012"/>
    <w:rsid w:val="000B1F5B"/>
    <w:rsid w:val="000B6FA5"/>
    <w:rsid w:val="000C1A1B"/>
    <w:rsid w:val="000E026B"/>
    <w:rsid w:val="00150D5A"/>
    <w:rsid w:val="00154DFE"/>
    <w:rsid w:val="001560F7"/>
    <w:rsid w:val="001628DC"/>
    <w:rsid w:val="00167C35"/>
    <w:rsid w:val="0018336E"/>
    <w:rsid w:val="001A590D"/>
    <w:rsid w:val="001A74C6"/>
    <w:rsid w:val="001D799A"/>
    <w:rsid w:val="001E1124"/>
    <w:rsid w:val="001E3C79"/>
    <w:rsid w:val="001E507F"/>
    <w:rsid w:val="001F00A9"/>
    <w:rsid w:val="001F0BFB"/>
    <w:rsid w:val="00206026"/>
    <w:rsid w:val="00210C56"/>
    <w:rsid w:val="00222BA7"/>
    <w:rsid w:val="0023008B"/>
    <w:rsid w:val="00234946"/>
    <w:rsid w:val="0027605D"/>
    <w:rsid w:val="00277140"/>
    <w:rsid w:val="00280050"/>
    <w:rsid w:val="002B2F86"/>
    <w:rsid w:val="002B3173"/>
    <w:rsid w:val="002B65C5"/>
    <w:rsid w:val="002C1CA8"/>
    <w:rsid w:val="002D225D"/>
    <w:rsid w:val="002E0999"/>
    <w:rsid w:val="002F491A"/>
    <w:rsid w:val="00303757"/>
    <w:rsid w:val="003050D2"/>
    <w:rsid w:val="003228F8"/>
    <w:rsid w:val="003546C2"/>
    <w:rsid w:val="00355798"/>
    <w:rsid w:val="003603AD"/>
    <w:rsid w:val="0036552C"/>
    <w:rsid w:val="00390A17"/>
    <w:rsid w:val="00396246"/>
    <w:rsid w:val="0039759A"/>
    <w:rsid w:val="003A023C"/>
    <w:rsid w:val="003A3705"/>
    <w:rsid w:val="003B546A"/>
    <w:rsid w:val="003D429E"/>
    <w:rsid w:val="003E2790"/>
    <w:rsid w:val="003E4F09"/>
    <w:rsid w:val="003F205B"/>
    <w:rsid w:val="00400B45"/>
    <w:rsid w:val="0040300E"/>
    <w:rsid w:val="0040349D"/>
    <w:rsid w:val="00415145"/>
    <w:rsid w:val="00420965"/>
    <w:rsid w:val="004347FF"/>
    <w:rsid w:val="00440594"/>
    <w:rsid w:val="00455B50"/>
    <w:rsid w:val="004A1C17"/>
    <w:rsid w:val="004A49A6"/>
    <w:rsid w:val="004A6E78"/>
    <w:rsid w:val="004B117B"/>
    <w:rsid w:val="004B4B79"/>
    <w:rsid w:val="004B6D35"/>
    <w:rsid w:val="004B7B9F"/>
    <w:rsid w:val="004C0C50"/>
    <w:rsid w:val="004F2EE3"/>
    <w:rsid w:val="004F5215"/>
    <w:rsid w:val="00515813"/>
    <w:rsid w:val="005179E8"/>
    <w:rsid w:val="00530506"/>
    <w:rsid w:val="00542ED3"/>
    <w:rsid w:val="00560EB8"/>
    <w:rsid w:val="00576ECA"/>
    <w:rsid w:val="005853DE"/>
    <w:rsid w:val="00587A30"/>
    <w:rsid w:val="00592506"/>
    <w:rsid w:val="005A4F61"/>
    <w:rsid w:val="005A5C52"/>
    <w:rsid w:val="005B782F"/>
    <w:rsid w:val="005C6670"/>
    <w:rsid w:val="005C6DB5"/>
    <w:rsid w:val="005D31E0"/>
    <w:rsid w:val="005D7CCA"/>
    <w:rsid w:val="005E59CB"/>
    <w:rsid w:val="005F03F9"/>
    <w:rsid w:val="00607129"/>
    <w:rsid w:val="006159CE"/>
    <w:rsid w:val="00620E74"/>
    <w:rsid w:val="00627AE6"/>
    <w:rsid w:val="00630094"/>
    <w:rsid w:val="00653C60"/>
    <w:rsid w:val="00653DC1"/>
    <w:rsid w:val="0066144C"/>
    <w:rsid w:val="00682BF5"/>
    <w:rsid w:val="00686793"/>
    <w:rsid w:val="006C6BCE"/>
    <w:rsid w:val="006D4638"/>
    <w:rsid w:val="006E2587"/>
    <w:rsid w:val="006E59F4"/>
    <w:rsid w:val="006E7A86"/>
    <w:rsid w:val="006F023D"/>
    <w:rsid w:val="0070434C"/>
    <w:rsid w:val="00727A52"/>
    <w:rsid w:val="00757C81"/>
    <w:rsid w:val="00761363"/>
    <w:rsid w:val="0076637D"/>
    <w:rsid w:val="0077106E"/>
    <w:rsid w:val="00776691"/>
    <w:rsid w:val="00782302"/>
    <w:rsid w:val="00782842"/>
    <w:rsid w:val="00784441"/>
    <w:rsid w:val="007A1EE2"/>
    <w:rsid w:val="007A5FEB"/>
    <w:rsid w:val="007A70B6"/>
    <w:rsid w:val="007C192A"/>
    <w:rsid w:val="007C6AF7"/>
    <w:rsid w:val="007E0E36"/>
    <w:rsid w:val="007F2C6B"/>
    <w:rsid w:val="007F5FC7"/>
    <w:rsid w:val="00816D49"/>
    <w:rsid w:val="00817A39"/>
    <w:rsid w:val="008221E5"/>
    <w:rsid w:val="008246CF"/>
    <w:rsid w:val="008357B1"/>
    <w:rsid w:val="008426F1"/>
    <w:rsid w:val="00844CF4"/>
    <w:rsid w:val="00862B90"/>
    <w:rsid w:val="008659E4"/>
    <w:rsid w:val="00871D28"/>
    <w:rsid w:val="00886360"/>
    <w:rsid w:val="008901F1"/>
    <w:rsid w:val="008A556C"/>
    <w:rsid w:val="008E3FDA"/>
    <w:rsid w:val="008F34B4"/>
    <w:rsid w:val="009018CF"/>
    <w:rsid w:val="00911083"/>
    <w:rsid w:val="009152F6"/>
    <w:rsid w:val="0092168C"/>
    <w:rsid w:val="00923D3F"/>
    <w:rsid w:val="00931FC6"/>
    <w:rsid w:val="00935E06"/>
    <w:rsid w:val="00937DF2"/>
    <w:rsid w:val="00942172"/>
    <w:rsid w:val="009B000A"/>
    <w:rsid w:val="009B1AD2"/>
    <w:rsid w:val="009B1B02"/>
    <w:rsid w:val="009C49D8"/>
    <w:rsid w:val="009D4D04"/>
    <w:rsid w:val="009E393D"/>
    <w:rsid w:val="009F0814"/>
    <w:rsid w:val="00A0174A"/>
    <w:rsid w:val="00A062F7"/>
    <w:rsid w:val="00A116DD"/>
    <w:rsid w:val="00A46D24"/>
    <w:rsid w:val="00A50127"/>
    <w:rsid w:val="00A52510"/>
    <w:rsid w:val="00A529DE"/>
    <w:rsid w:val="00A5726A"/>
    <w:rsid w:val="00A57464"/>
    <w:rsid w:val="00A835E8"/>
    <w:rsid w:val="00AA5342"/>
    <w:rsid w:val="00AA7C66"/>
    <w:rsid w:val="00AB0497"/>
    <w:rsid w:val="00AB6248"/>
    <w:rsid w:val="00AC47D2"/>
    <w:rsid w:val="00AC4D93"/>
    <w:rsid w:val="00AC6A12"/>
    <w:rsid w:val="00AD1446"/>
    <w:rsid w:val="00B00BC5"/>
    <w:rsid w:val="00B00FC7"/>
    <w:rsid w:val="00B01693"/>
    <w:rsid w:val="00B14D9A"/>
    <w:rsid w:val="00B16A87"/>
    <w:rsid w:val="00B205B4"/>
    <w:rsid w:val="00B259EC"/>
    <w:rsid w:val="00B30F0B"/>
    <w:rsid w:val="00B3388F"/>
    <w:rsid w:val="00B562DA"/>
    <w:rsid w:val="00B56924"/>
    <w:rsid w:val="00B57BEF"/>
    <w:rsid w:val="00B63AE3"/>
    <w:rsid w:val="00B72AE4"/>
    <w:rsid w:val="00B73F51"/>
    <w:rsid w:val="00B74655"/>
    <w:rsid w:val="00B75C54"/>
    <w:rsid w:val="00B8110A"/>
    <w:rsid w:val="00BB3700"/>
    <w:rsid w:val="00BD5293"/>
    <w:rsid w:val="00BD67EC"/>
    <w:rsid w:val="00BE3177"/>
    <w:rsid w:val="00BE78E1"/>
    <w:rsid w:val="00C049EC"/>
    <w:rsid w:val="00C475F3"/>
    <w:rsid w:val="00C56DE5"/>
    <w:rsid w:val="00C666E2"/>
    <w:rsid w:val="00C71A86"/>
    <w:rsid w:val="00C96A6D"/>
    <w:rsid w:val="00CA1632"/>
    <w:rsid w:val="00CA550D"/>
    <w:rsid w:val="00CC47A4"/>
    <w:rsid w:val="00CD734D"/>
    <w:rsid w:val="00CE2CE7"/>
    <w:rsid w:val="00CE7AB0"/>
    <w:rsid w:val="00D113EC"/>
    <w:rsid w:val="00D247E3"/>
    <w:rsid w:val="00D41664"/>
    <w:rsid w:val="00D431F1"/>
    <w:rsid w:val="00D43918"/>
    <w:rsid w:val="00D511A1"/>
    <w:rsid w:val="00D526A1"/>
    <w:rsid w:val="00D73643"/>
    <w:rsid w:val="00D85127"/>
    <w:rsid w:val="00D86905"/>
    <w:rsid w:val="00D91B4E"/>
    <w:rsid w:val="00DB57C8"/>
    <w:rsid w:val="00DD21FD"/>
    <w:rsid w:val="00DE693C"/>
    <w:rsid w:val="00DF6C6E"/>
    <w:rsid w:val="00E12BFF"/>
    <w:rsid w:val="00E160F2"/>
    <w:rsid w:val="00E55449"/>
    <w:rsid w:val="00E57AE6"/>
    <w:rsid w:val="00E63313"/>
    <w:rsid w:val="00E64A67"/>
    <w:rsid w:val="00E65D9B"/>
    <w:rsid w:val="00E73609"/>
    <w:rsid w:val="00E855F7"/>
    <w:rsid w:val="00E86D8A"/>
    <w:rsid w:val="00E9328E"/>
    <w:rsid w:val="00EA0F29"/>
    <w:rsid w:val="00EA6FA4"/>
    <w:rsid w:val="00EB14AC"/>
    <w:rsid w:val="00ED1B14"/>
    <w:rsid w:val="00ED3BCB"/>
    <w:rsid w:val="00F01CE4"/>
    <w:rsid w:val="00F054A3"/>
    <w:rsid w:val="00F061B4"/>
    <w:rsid w:val="00F11FA2"/>
    <w:rsid w:val="00F14D6C"/>
    <w:rsid w:val="00F1727B"/>
    <w:rsid w:val="00F25FC9"/>
    <w:rsid w:val="00F30B19"/>
    <w:rsid w:val="00F34392"/>
    <w:rsid w:val="00F54409"/>
    <w:rsid w:val="00F71456"/>
    <w:rsid w:val="00F71ABE"/>
    <w:rsid w:val="00F93DDB"/>
    <w:rsid w:val="00FA3294"/>
    <w:rsid w:val="00FB418F"/>
    <w:rsid w:val="00FB68EA"/>
    <w:rsid w:val="00FD32CC"/>
    <w:rsid w:val="00FD43DB"/>
    <w:rsid w:val="00FF6F08"/>
    <w:rsid w:val="026F433F"/>
    <w:rsid w:val="0292B0EF"/>
    <w:rsid w:val="06B7CA65"/>
    <w:rsid w:val="078D41E9"/>
    <w:rsid w:val="07C45013"/>
    <w:rsid w:val="0AB3232C"/>
    <w:rsid w:val="0E524F57"/>
    <w:rsid w:val="10B0DE45"/>
    <w:rsid w:val="17941C28"/>
    <w:rsid w:val="182F77AE"/>
    <w:rsid w:val="1B1E85FC"/>
    <w:rsid w:val="1C965135"/>
    <w:rsid w:val="1DA5211A"/>
    <w:rsid w:val="1DBF6BD3"/>
    <w:rsid w:val="1ED2A720"/>
    <w:rsid w:val="1FFB86F1"/>
    <w:rsid w:val="22D3F434"/>
    <w:rsid w:val="23EFD48F"/>
    <w:rsid w:val="274499BD"/>
    <w:rsid w:val="28D3F377"/>
    <w:rsid w:val="304C246E"/>
    <w:rsid w:val="395318A2"/>
    <w:rsid w:val="3A78975F"/>
    <w:rsid w:val="3FAF8BB8"/>
    <w:rsid w:val="3FC12B36"/>
    <w:rsid w:val="4253523E"/>
    <w:rsid w:val="467DB5D6"/>
    <w:rsid w:val="4A0CB236"/>
    <w:rsid w:val="4AC5B599"/>
    <w:rsid w:val="4C7CBADA"/>
    <w:rsid w:val="4FB45B9C"/>
    <w:rsid w:val="504243FE"/>
    <w:rsid w:val="50F1B681"/>
    <w:rsid w:val="510F0CC3"/>
    <w:rsid w:val="52D8D6C5"/>
    <w:rsid w:val="58B33074"/>
    <w:rsid w:val="5B16017B"/>
    <w:rsid w:val="5DD2BBC3"/>
    <w:rsid w:val="5F409AE7"/>
    <w:rsid w:val="5F6FA057"/>
    <w:rsid w:val="60476052"/>
    <w:rsid w:val="6365B45D"/>
    <w:rsid w:val="652E40BA"/>
    <w:rsid w:val="6534ABE3"/>
    <w:rsid w:val="67C7310F"/>
    <w:rsid w:val="7054A8EE"/>
    <w:rsid w:val="711F2AF8"/>
    <w:rsid w:val="72A42DD1"/>
    <w:rsid w:val="73647632"/>
    <w:rsid w:val="7813D378"/>
    <w:rsid w:val="7818FD7C"/>
    <w:rsid w:val="781E423D"/>
    <w:rsid w:val="7AC8A999"/>
    <w:rsid w:val="7C895820"/>
    <w:rsid w:val="7CEE67D8"/>
    <w:rsid w:val="7D3F6A82"/>
    <w:rsid w:val="7E7F7977"/>
    <w:rsid w:val="7EF63B83"/>
    <w:rsid w:val="7FBEF0F4"/>
    <w:rsid w:val="7FD989C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F6649"/>
  <w15:chartTrackingRefBased/>
  <w15:docId w15:val="{672D6289-4BC7-40ED-A78C-34F2FC11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7A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87A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87A30"/>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A3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87A30"/>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587A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A30"/>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587A30"/>
    <w:rPr>
      <w:rFonts w:asciiTheme="majorHAnsi" w:eastAsiaTheme="majorEastAsia" w:hAnsiTheme="majorHAnsi" w:cstheme="majorBidi"/>
      <w:color w:val="1F3763" w:themeColor="accent1" w:themeShade="7F"/>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277140"/>
    <w:pPr>
      <w:spacing w:before="120" w:after="120" w:line="240" w:lineRule="auto"/>
      <w:ind w:left="720"/>
    </w:pPr>
    <w:rPr>
      <w:rFonts w:asciiTheme="minorHAnsi" w:eastAsiaTheme="minorEastAsia" w:hAnsiTheme="minorHAnsi" w:cstheme="minorBidi"/>
      <w:sz w:val="22"/>
      <w:szCs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277140"/>
    <w:rPr>
      <w:rFonts w:asciiTheme="minorHAnsi" w:eastAsiaTheme="minorEastAsia" w:hAnsiTheme="minorHAnsi" w:cstheme="minorBidi"/>
      <w:sz w:val="22"/>
      <w:szCs w:val="22"/>
    </w:rPr>
  </w:style>
  <w:style w:type="paragraph" w:styleId="NormalWeb">
    <w:name w:val="Normal (Web)"/>
    <w:basedOn w:val="Normal"/>
    <w:uiPriority w:val="99"/>
    <w:unhideWhenUsed/>
    <w:rsid w:val="00ED3BCB"/>
    <w:pPr>
      <w:spacing w:before="100" w:beforeAutospacing="1" w:after="100" w:afterAutospacing="1" w:line="240" w:lineRule="auto"/>
    </w:pPr>
    <w:rPr>
      <w:rFonts w:ascii="Calibri" w:hAnsi="Calibri" w:cs="Calibri"/>
      <w:sz w:val="22"/>
      <w:szCs w:val="22"/>
      <w:lang w:eastAsia="en-AU"/>
    </w:rPr>
  </w:style>
  <w:style w:type="character" w:styleId="CommentReference">
    <w:name w:val="annotation reference"/>
    <w:basedOn w:val="DefaultParagraphFont"/>
    <w:uiPriority w:val="99"/>
    <w:semiHidden/>
    <w:unhideWhenUsed/>
    <w:rsid w:val="0000365D"/>
    <w:rPr>
      <w:sz w:val="16"/>
      <w:szCs w:val="16"/>
    </w:rPr>
  </w:style>
  <w:style w:type="paragraph" w:styleId="CommentText">
    <w:name w:val="annotation text"/>
    <w:basedOn w:val="Normal"/>
    <w:link w:val="CommentTextChar"/>
    <w:uiPriority w:val="99"/>
    <w:unhideWhenUsed/>
    <w:rsid w:val="0000365D"/>
    <w:pPr>
      <w:spacing w:line="240" w:lineRule="auto"/>
    </w:pPr>
    <w:rPr>
      <w:sz w:val="20"/>
      <w:szCs w:val="20"/>
    </w:rPr>
  </w:style>
  <w:style w:type="character" w:customStyle="1" w:styleId="CommentTextChar">
    <w:name w:val="Comment Text Char"/>
    <w:basedOn w:val="DefaultParagraphFont"/>
    <w:link w:val="CommentText"/>
    <w:uiPriority w:val="99"/>
    <w:rsid w:val="0000365D"/>
    <w:rPr>
      <w:sz w:val="20"/>
      <w:szCs w:val="20"/>
    </w:rPr>
  </w:style>
  <w:style w:type="paragraph" w:styleId="CommentSubject">
    <w:name w:val="annotation subject"/>
    <w:basedOn w:val="CommentText"/>
    <w:next w:val="CommentText"/>
    <w:link w:val="CommentSubjectChar"/>
    <w:uiPriority w:val="99"/>
    <w:semiHidden/>
    <w:unhideWhenUsed/>
    <w:rsid w:val="0000365D"/>
    <w:rPr>
      <w:b/>
      <w:bCs/>
    </w:rPr>
  </w:style>
  <w:style w:type="character" w:customStyle="1" w:styleId="CommentSubjectChar">
    <w:name w:val="Comment Subject Char"/>
    <w:basedOn w:val="CommentTextChar"/>
    <w:link w:val="CommentSubject"/>
    <w:uiPriority w:val="99"/>
    <w:semiHidden/>
    <w:rsid w:val="0000365D"/>
    <w:rPr>
      <w:b/>
      <w:bCs/>
      <w:sz w:val="20"/>
      <w:szCs w:val="20"/>
    </w:rPr>
  </w:style>
  <w:style w:type="paragraph" w:customStyle="1" w:styleId="Default">
    <w:name w:val="Default"/>
    <w:rsid w:val="003E2790"/>
    <w:pPr>
      <w:autoSpaceDE w:val="0"/>
      <w:autoSpaceDN w:val="0"/>
      <w:adjustRightInd w:val="0"/>
      <w:spacing w:after="0" w:line="240" w:lineRule="auto"/>
    </w:pPr>
    <w:rPr>
      <w:rFonts w:ascii="Calibri" w:hAnsi="Calibri" w:cs="Calibri"/>
      <w:color w:val="000000"/>
    </w:rPr>
  </w:style>
  <w:style w:type="paragraph" w:styleId="Revision">
    <w:name w:val="Revision"/>
    <w:hidden/>
    <w:uiPriority w:val="99"/>
    <w:semiHidden/>
    <w:rsid w:val="00782842"/>
    <w:pPr>
      <w:spacing w:after="0" w:line="240" w:lineRule="auto"/>
    </w:pPr>
  </w:style>
  <w:style w:type="character" w:styleId="Hyperlink">
    <w:name w:val="Hyperlink"/>
    <w:basedOn w:val="DefaultParagraphFont"/>
    <w:uiPriority w:val="99"/>
    <w:unhideWhenUsed/>
    <w:rsid w:val="00E63313"/>
    <w:rPr>
      <w:color w:val="0000FF"/>
      <w:u w:val="single"/>
    </w:rPr>
  </w:style>
  <w:style w:type="paragraph" w:customStyle="1" w:styleId="pf0">
    <w:name w:val="pf0"/>
    <w:basedOn w:val="Normal"/>
    <w:rsid w:val="004F2EE3"/>
    <w:pPr>
      <w:spacing w:before="100" w:beforeAutospacing="1" w:after="100" w:afterAutospacing="1" w:line="240" w:lineRule="auto"/>
    </w:pPr>
    <w:rPr>
      <w:rFonts w:eastAsia="Times New Roman"/>
      <w:lang w:eastAsia="en-AU"/>
    </w:rPr>
  </w:style>
  <w:style w:type="character" w:customStyle="1" w:styleId="cf01">
    <w:name w:val="cf01"/>
    <w:basedOn w:val="DefaultParagraphFont"/>
    <w:rsid w:val="004F2EE3"/>
    <w:rPr>
      <w:rFonts w:ascii="Segoe UI" w:hAnsi="Segoe UI" w:cs="Segoe UI" w:hint="default"/>
      <w:sz w:val="18"/>
      <w:szCs w:val="18"/>
    </w:rPr>
  </w:style>
  <w:style w:type="character" w:styleId="UnresolvedMention">
    <w:name w:val="Unresolved Mention"/>
    <w:basedOn w:val="DefaultParagraphFont"/>
    <w:uiPriority w:val="99"/>
    <w:semiHidden/>
    <w:unhideWhenUsed/>
    <w:rsid w:val="001A74C6"/>
    <w:rPr>
      <w:color w:val="605E5C"/>
      <w:shd w:val="clear" w:color="auto" w:fill="E1DFDD"/>
    </w:rPr>
  </w:style>
  <w:style w:type="character" w:styleId="FollowedHyperlink">
    <w:name w:val="FollowedHyperlink"/>
    <w:basedOn w:val="DefaultParagraphFont"/>
    <w:uiPriority w:val="99"/>
    <w:semiHidden/>
    <w:unhideWhenUsed/>
    <w:rsid w:val="001A74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668232">
      <w:bodyDiv w:val="1"/>
      <w:marLeft w:val="0"/>
      <w:marRight w:val="0"/>
      <w:marTop w:val="0"/>
      <w:marBottom w:val="0"/>
      <w:divBdr>
        <w:top w:val="none" w:sz="0" w:space="0" w:color="auto"/>
        <w:left w:val="none" w:sz="0" w:space="0" w:color="auto"/>
        <w:bottom w:val="none" w:sz="0" w:space="0" w:color="auto"/>
        <w:right w:val="none" w:sz="0" w:space="0" w:color="auto"/>
      </w:divBdr>
    </w:div>
    <w:div w:id="924262645">
      <w:bodyDiv w:val="1"/>
      <w:marLeft w:val="0"/>
      <w:marRight w:val="0"/>
      <w:marTop w:val="0"/>
      <w:marBottom w:val="0"/>
      <w:divBdr>
        <w:top w:val="none" w:sz="0" w:space="0" w:color="auto"/>
        <w:left w:val="none" w:sz="0" w:space="0" w:color="auto"/>
        <w:bottom w:val="none" w:sz="0" w:space="0" w:color="auto"/>
        <w:right w:val="none" w:sz="0" w:space="0" w:color="auto"/>
      </w:divBdr>
    </w:div>
    <w:div w:id="1033582146">
      <w:bodyDiv w:val="1"/>
      <w:marLeft w:val="0"/>
      <w:marRight w:val="0"/>
      <w:marTop w:val="0"/>
      <w:marBottom w:val="0"/>
      <w:divBdr>
        <w:top w:val="none" w:sz="0" w:space="0" w:color="auto"/>
        <w:left w:val="none" w:sz="0" w:space="0" w:color="auto"/>
        <w:bottom w:val="none" w:sz="0" w:space="0" w:color="auto"/>
        <w:right w:val="none" w:sz="0" w:space="0" w:color="auto"/>
      </w:divBdr>
    </w:div>
    <w:div w:id="1107236051">
      <w:bodyDiv w:val="1"/>
      <w:marLeft w:val="0"/>
      <w:marRight w:val="0"/>
      <w:marTop w:val="0"/>
      <w:marBottom w:val="0"/>
      <w:divBdr>
        <w:top w:val="none" w:sz="0" w:space="0" w:color="auto"/>
        <w:left w:val="none" w:sz="0" w:space="0" w:color="auto"/>
        <w:bottom w:val="none" w:sz="0" w:space="0" w:color="auto"/>
        <w:right w:val="none" w:sz="0" w:space="0" w:color="auto"/>
      </w:divBdr>
    </w:div>
    <w:div w:id="172382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health.gov.au/resources/publications/unleashing-the-potential-of-our-health-workforce-scope-of-practice-review-terms-of-re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affed09-6ad4-431f-9787-e94ffa01743d">
      <UserInfo>
        <DisplayName>PEKAR, Alana</DisplayName>
        <AccountId>24</AccountId>
        <AccountType/>
      </UserInfo>
      <UserInfo>
        <DisplayName>DICKINSON, Siobhan</DisplayName>
        <AccountId>15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FED8C56CC9FF6419D9CDE2E7916ABCC" ma:contentTypeVersion="5" ma:contentTypeDescription="Create a new document." ma:contentTypeScope="" ma:versionID="c9749863e91b0bcf5fd3c0bb7de83e2f">
  <xsd:schema xmlns:xsd="http://www.w3.org/2001/XMLSchema" xmlns:xs="http://www.w3.org/2001/XMLSchema" xmlns:p="http://schemas.microsoft.com/office/2006/metadata/properties" xmlns:ns2="a769f4e3-052d-43be-bb9e-8f72246bef2f" xmlns:ns3="caffed09-6ad4-431f-9787-e94ffa01743d" targetNamespace="http://schemas.microsoft.com/office/2006/metadata/properties" ma:root="true" ma:fieldsID="1b03d13a44eb7eefdfe5989a25c817f2" ns2:_="" ns3:_="">
    <xsd:import namespace="a769f4e3-052d-43be-bb9e-8f72246bef2f"/>
    <xsd:import namespace="caffed09-6ad4-431f-9787-e94ffa0174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9f4e3-052d-43be-bb9e-8f72246be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ffed09-6ad4-431f-9787-e94ffa01743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A1F7C0-D9F0-41CD-8C59-167E400F81E7}">
  <ds:schemaRefs>
    <ds:schemaRef ds:uri="http://schemas.microsoft.com/sharepoint/v3/contenttype/forms"/>
  </ds:schemaRefs>
</ds:datastoreItem>
</file>

<file path=customXml/itemProps2.xml><?xml version="1.0" encoding="utf-8"?>
<ds:datastoreItem xmlns:ds="http://schemas.openxmlformats.org/officeDocument/2006/customXml" ds:itemID="{145B50A0-7239-44C6-BFD6-4C46EDB77AFC}">
  <ds:schemaRefs>
    <ds:schemaRef ds:uri="http://schemas.microsoft.com/office/infopath/2007/PartnerControls"/>
    <ds:schemaRef ds:uri="caffed09-6ad4-431f-9787-e94ffa01743d"/>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a769f4e3-052d-43be-bb9e-8f72246bef2f"/>
    <ds:schemaRef ds:uri="http://www.w3.org/XML/1998/namespace"/>
    <ds:schemaRef ds:uri="http://purl.org/dc/dcmitype/"/>
  </ds:schemaRefs>
</ds:datastoreItem>
</file>

<file path=customXml/itemProps3.xml><?xml version="1.0" encoding="utf-8"?>
<ds:datastoreItem xmlns:ds="http://schemas.openxmlformats.org/officeDocument/2006/customXml" ds:itemID="{40FCBEA3-5CCC-4591-9002-4A19588D27B6}">
  <ds:schemaRefs>
    <ds:schemaRef ds:uri="http://schemas.openxmlformats.org/officeDocument/2006/bibliography"/>
  </ds:schemaRefs>
</ds:datastoreItem>
</file>

<file path=customXml/itemProps4.xml><?xml version="1.0" encoding="utf-8"?>
<ds:datastoreItem xmlns:ds="http://schemas.openxmlformats.org/officeDocument/2006/customXml" ds:itemID="{E60216B5-6308-44D0-B5EE-E1D09DD18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9f4e3-052d-43be-bb9e-8f72246bef2f"/>
    <ds:schemaRef ds:uri="caffed09-6ad4-431f-9787-e94ffa017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Links>
    <vt:vector size="6" baseType="variant">
      <vt:variant>
        <vt:i4>1900576</vt:i4>
      </vt:variant>
      <vt:variant>
        <vt:i4>0</vt:i4>
      </vt:variant>
      <vt:variant>
        <vt:i4>0</vt:i4>
      </vt:variant>
      <vt:variant>
        <vt:i4>5</vt:i4>
      </vt:variant>
      <vt:variant>
        <vt:lpwstr>https://healthgov.sharepoint.com/:w:/r/sites/about-min-parl/_layouts/15/Doc.aspx?sourcedoc=%7Bf2714bad-3171-4f2f-84d9-e0ee0127d5ff%7D&amp;action=default&amp;mobileredirect=true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 Expert Advisory Committee for the Scope of Practice Review</dc:title>
  <dc:subject/>
  <dc:creator>Australian Government Department of Health and Aged Care</dc:creator>
  <cp:keywords>Health workforce</cp:keywords>
  <dc:description/>
  <cp:lastModifiedBy>ROBERTSON, Jen</cp:lastModifiedBy>
  <cp:revision>4</cp:revision>
  <cp:lastPrinted>2023-09-29T03:54:00Z</cp:lastPrinted>
  <dcterms:created xsi:type="dcterms:W3CDTF">2023-11-07T22:19:00Z</dcterms:created>
  <dcterms:modified xsi:type="dcterms:W3CDTF">2023-12-01T06:13:00Z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0x010100BFED8C56CC9FF6419D9CDE2E7916ABCC</vt:lpwstr>
  </property>
</Properties>
</file>