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4D8E" w14:textId="77777777" w:rsidR="00463F43" w:rsidRDefault="00463F43" w:rsidP="00463F43">
      <w:pPr>
        <w:rPr>
          <w:noProof/>
        </w:rPr>
      </w:pPr>
      <w:r>
        <w:rPr>
          <w:noProof/>
        </w:rPr>
        <w:drawing>
          <wp:inline distT="0" distB="0" distL="0" distR="0" wp14:anchorId="511F959F" wp14:editId="43BBD5B8">
            <wp:extent cx="3950335" cy="72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0335" cy="725170"/>
                    </a:xfrm>
                    <a:prstGeom prst="rect">
                      <a:avLst/>
                    </a:prstGeom>
                    <a:noFill/>
                  </pic:spPr>
                </pic:pic>
              </a:graphicData>
            </a:graphic>
          </wp:inline>
        </w:drawing>
      </w:r>
    </w:p>
    <w:p w14:paraId="353D1388" w14:textId="77777777" w:rsidR="00463F43" w:rsidRDefault="00463F43" w:rsidP="00463F43">
      <w:pPr>
        <w:rPr>
          <w:noProof/>
        </w:rPr>
      </w:pPr>
    </w:p>
    <w:p w14:paraId="0323252C" w14:textId="77777777" w:rsidR="00463F43" w:rsidRDefault="00463F43" w:rsidP="00463F43">
      <w:pPr>
        <w:rPr>
          <w:noProof/>
        </w:rPr>
      </w:pPr>
    </w:p>
    <w:p w14:paraId="7655B783" w14:textId="04DEFFB1" w:rsidR="00463F43" w:rsidRPr="00C5138C" w:rsidRDefault="00463F43" w:rsidP="00463F43">
      <w:pPr>
        <w:rPr>
          <w:b/>
          <w:bCs/>
          <w:noProof/>
          <w:color w:val="1F4E79" w:themeColor="accent5" w:themeShade="80"/>
          <w:sz w:val="36"/>
          <w:szCs w:val="36"/>
        </w:rPr>
      </w:pPr>
      <w:r w:rsidRPr="00C5138C">
        <w:rPr>
          <w:b/>
          <w:bCs/>
          <w:noProof/>
          <w:color w:val="1F4E79" w:themeColor="accent5" w:themeShade="80"/>
          <w:sz w:val="36"/>
          <w:szCs w:val="36"/>
        </w:rPr>
        <w:t xml:space="preserve">Recommendations on </w:t>
      </w:r>
      <w:bookmarkStart w:id="0" w:name="_Hlk129874424"/>
      <w:r w:rsidRPr="00C5138C">
        <w:rPr>
          <w:b/>
          <w:bCs/>
          <w:noProof/>
          <w:color w:val="1F4E79" w:themeColor="accent5" w:themeShade="80"/>
          <w:sz w:val="36"/>
          <w:szCs w:val="36"/>
        </w:rPr>
        <w:t>Adult Haemopo</w:t>
      </w:r>
      <w:r>
        <w:rPr>
          <w:b/>
          <w:bCs/>
          <w:noProof/>
          <w:color w:val="1F4E79" w:themeColor="accent5" w:themeShade="80"/>
          <w:sz w:val="36"/>
          <w:szCs w:val="36"/>
        </w:rPr>
        <w:t>ie</w:t>
      </w:r>
      <w:r w:rsidRPr="00C5138C">
        <w:rPr>
          <w:b/>
          <w:bCs/>
          <w:noProof/>
          <w:color w:val="1F4E79" w:themeColor="accent5" w:themeShade="80"/>
          <w:sz w:val="36"/>
          <w:szCs w:val="36"/>
        </w:rPr>
        <w:t xml:space="preserve">tic </w:t>
      </w:r>
      <w:r w:rsidR="003250DB">
        <w:rPr>
          <w:b/>
          <w:bCs/>
          <w:noProof/>
          <w:color w:val="1F4E79" w:themeColor="accent5" w:themeShade="80"/>
          <w:sz w:val="36"/>
          <w:szCs w:val="36"/>
        </w:rPr>
        <w:t xml:space="preserve">Progenitor </w:t>
      </w:r>
      <w:r w:rsidRPr="00C5138C">
        <w:rPr>
          <w:b/>
          <w:bCs/>
          <w:noProof/>
          <w:color w:val="1F4E79" w:themeColor="accent5" w:themeShade="80"/>
          <w:sz w:val="36"/>
          <w:szCs w:val="36"/>
        </w:rPr>
        <w:t xml:space="preserve">Cell </w:t>
      </w:r>
      <w:r w:rsidR="003250DB">
        <w:rPr>
          <w:b/>
          <w:bCs/>
          <w:noProof/>
          <w:color w:val="1F4E79" w:themeColor="accent5" w:themeShade="80"/>
          <w:sz w:val="36"/>
          <w:szCs w:val="36"/>
        </w:rPr>
        <w:t>D</w:t>
      </w:r>
      <w:r w:rsidR="003250DB" w:rsidRPr="00C5138C">
        <w:rPr>
          <w:b/>
          <w:bCs/>
          <w:noProof/>
          <w:color w:val="1F4E79" w:themeColor="accent5" w:themeShade="80"/>
          <w:sz w:val="36"/>
          <w:szCs w:val="36"/>
        </w:rPr>
        <w:t xml:space="preserve">onor </w:t>
      </w:r>
      <w:r w:rsidRPr="00C5138C">
        <w:rPr>
          <w:b/>
          <w:bCs/>
          <w:noProof/>
          <w:color w:val="1F4E79" w:themeColor="accent5" w:themeShade="80"/>
          <w:sz w:val="36"/>
          <w:szCs w:val="36"/>
        </w:rPr>
        <w:t xml:space="preserve">Recruitment </w:t>
      </w:r>
      <w:r>
        <w:rPr>
          <w:b/>
          <w:bCs/>
          <w:noProof/>
          <w:color w:val="1F4E79" w:themeColor="accent5" w:themeShade="80"/>
          <w:sz w:val="36"/>
          <w:szCs w:val="36"/>
        </w:rPr>
        <w:t>R</w:t>
      </w:r>
      <w:r w:rsidRPr="00C5138C">
        <w:rPr>
          <w:b/>
          <w:bCs/>
          <w:noProof/>
          <w:color w:val="1F4E79" w:themeColor="accent5" w:themeShade="80"/>
          <w:sz w:val="36"/>
          <w:szCs w:val="36"/>
        </w:rPr>
        <w:t>eform</w:t>
      </w:r>
    </w:p>
    <w:bookmarkEnd w:id="0"/>
    <w:p w14:paraId="516E1513" w14:textId="77777777" w:rsidR="00463F43" w:rsidRDefault="00463F43" w:rsidP="00463F43">
      <w:pPr>
        <w:rPr>
          <w:noProof/>
          <w:color w:val="1F4E79" w:themeColor="accent5" w:themeShade="80"/>
          <w:sz w:val="36"/>
          <w:szCs w:val="36"/>
        </w:rPr>
      </w:pPr>
      <w:r>
        <w:rPr>
          <w:noProof/>
          <w:color w:val="1F4E79" w:themeColor="accent5" w:themeShade="80"/>
          <w:sz w:val="36"/>
          <w:szCs w:val="36"/>
        </w:rPr>
        <w:t>HPC Sector Clinical Advisory Group</w:t>
      </w:r>
    </w:p>
    <w:p w14:paraId="072B6DD2" w14:textId="77777777" w:rsidR="00463F43" w:rsidRDefault="00463F43" w:rsidP="00463F43">
      <w:pPr>
        <w:rPr>
          <w:noProof/>
          <w:color w:val="1F4E79" w:themeColor="accent5" w:themeShade="80"/>
          <w:sz w:val="36"/>
          <w:szCs w:val="36"/>
        </w:rPr>
      </w:pPr>
      <w:r w:rsidRPr="00FA0870">
        <w:rPr>
          <w:noProof/>
          <w:color w:val="1F4E79" w:themeColor="accent5" w:themeShade="80"/>
          <w:sz w:val="36"/>
          <w:szCs w:val="36"/>
        </w:rPr>
        <w:t>MAY</w:t>
      </w:r>
      <w:r>
        <w:rPr>
          <w:noProof/>
          <w:color w:val="1F4E79" w:themeColor="accent5" w:themeShade="80"/>
          <w:sz w:val="36"/>
          <w:szCs w:val="36"/>
        </w:rPr>
        <w:t xml:space="preserve"> 2023</w:t>
      </w:r>
    </w:p>
    <w:p w14:paraId="2820C4B1" w14:textId="77777777" w:rsidR="00463F43" w:rsidRDefault="00463F43" w:rsidP="00463F43">
      <w:pPr>
        <w:rPr>
          <w:noProof/>
          <w:color w:val="1F4E79" w:themeColor="accent5" w:themeShade="80"/>
          <w:sz w:val="36"/>
          <w:szCs w:val="36"/>
        </w:rPr>
      </w:pPr>
      <w:r>
        <w:rPr>
          <w:noProof/>
        </w:rPr>
        <w:drawing>
          <wp:anchor distT="0" distB="0" distL="114300" distR="114300" simplePos="0" relativeHeight="251659264" behindDoc="1" locked="0" layoutInCell="1" allowOverlap="1" wp14:anchorId="1802CF55" wp14:editId="3ED8C167">
            <wp:simplePos x="0" y="0"/>
            <wp:positionH relativeFrom="margin">
              <wp:align>center</wp:align>
            </wp:positionH>
            <wp:positionV relativeFrom="paragraph">
              <wp:posOffset>300990</wp:posOffset>
            </wp:positionV>
            <wp:extent cx="6745771" cy="590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1402" b="1"/>
                    <a:stretch/>
                  </pic:blipFill>
                  <pic:spPr bwMode="auto">
                    <a:xfrm>
                      <a:off x="0" y="0"/>
                      <a:ext cx="6745771" cy="590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268502" w14:textId="77777777" w:rsidR="00463F43" w:rsidRDefault="00463F43" w:rsidP="00463F43">
      <w:r>
        <w:br w:type="page"/>
      </w:r>
    </w:p>
    <w:sdt>
      <w:sdtPr>
        <w:rPr>
          <w:rFonts w:asciiTheme="minorHAnsi" w:eastAsiaTheme="minorHAnsi" w:hAnsiTheme="minorHAnsi" w:cstheme="minorBidi"/>
          <w:color w:val="auto"/>
          <w:sz w:val="22"/>
          <w:szCs w:val="22"/>
          <w:lang w:val="en-AU"/>
        </w:rPr>
        <w:id w:val="436793861"/>
        <w:docPartObj>
          <w:docPartGallery w:val="Table of Contents"/>
          <w:docPartUnique/>
        </w:docPartObj>
      </w:sdtPr>
      <w:sdtEndPr>
        <w:rPr>
          <w:b/>
          <w:bCs/>
          <w:noProof/>
        </w:rPr>
      </w:sdtEndPr>
      <w:sdtContent>
        <w:p w14:paraId="3CC954E0" w14:textId="77777777" w:rsidR="00463F43" w:rsidRDefault="00463F43" w:rsidP="00463F43">
          <w:pPr>
            <w:pStyle w:val="TOCHeading"/>
          </w:pPr>
          <w:r>
            <w:t>Contents</w:t>
          </w:r>
        </w:p>
        <w:p w14:paraId="28A77E83" w14:textId="73E4D37E" w:rsidR="006D018C" w:rsidRDefault="00463F4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34611345" w:history="1">
            <w:r w:rsidR="006D018C" w:rsidRPr="002945C9">
              <w:rPr>
                <w:rStyle w:val="Hyperlink"/>
                <w:noProof/>
              </w:rPr>
              <w:t>Introduction</w:t>
            </w:r>
            <w:r w:rsidR="006D018C">
              <w:rPr>
                <w:noProof/>
                <w:webHidden/>
              </w:rPr>
              <w:tab/>
            </w:r>
            <w:r w:rsidR="006D018C">
              <w:rPr>
                <w:noProof/>
                <w:webHidden/>
              </w:rPr>
              <w:fldChar w:fldCharType="begin"/>
            </w:r>
            <w:r w:rsidR="006D018C">
              <w:rPr>
                <w:noProof/>
                <w:webHidden/>
              </w:rPr>
              <w:instrText xml:space="preserve"> PAGEREF _Toc134611345 \h </w:instrText>
            </w:r>
            <w:r w:rsidR="006D018C">
              <w:rPr>
                <w:noProof/>
                <w:webHidden/>
              </w:rPr>
            </w:r>
            <w:r w:rsidR="006D018C">
              <w:rPr>
                <w:noProof/>
                <w:webHidden/>
              </w:rPr>
              <w:fldChar w:fldCharType="separate"/>
            </w:r>
            <w:r w:rsidR="00EC7D71">
              <w:rPr>
                <w:noProof/>
                <w:webHidden/>
              </w:rPr>
              <w:t>2</w:t>
            </w:r>
            <w:r w:rsidR="006D018C">
              <w:rPr>
                <w:noProof/>
                <w:webHidden/>
              </w:rPr>
              <w:fldChar w:fldCharType="end"/>
            </w:r>
          </w:hyperlink>
        </w:p>
        <w:p w14:paraId="3CAD2734" w14:textId="606BDCC6" w:rsidR="006D018C" w:rsidRDefault="00000000">
          <w:pPr>
            <w:pStyle w:val="TOC2"/>
            <w:tabs>
              <w:tab w:val="right" w:leader="dot" w:pos="9016"/>
            </w:tabs>
            <w:rPr>
              <w:rFonts w:eastAsiaTheme="minorEastAsia"/>
              <w:noProof/>
              <w:lang w:eastAsia="en-AU"/>
            </w:rPr>
          </w:pPr>
          <w:hyperlink w:anchor="_Toc134611346" w:history="1">
            <w:r w:rsidR="006D018C" w:rsidRPr="002945C9">
              <w:rPr>
                <w:rStyle w:val="Hyperlink"/>
                <w:noProof/>
              </w:rPr>
              <w:t>International network of Registries</w:t>
            </w:r>
            <w:r w:rsidR="006D018C">
              <w:rPr>
                <w:noProof/>
                <w:webHidden/>
              </w:rPr>
              <w:tab/>
            </w:r>
            <w:r w:rsidR="006D018C">
              <w:rPr>
                <w:noProof/>
                <w:webHidden/>
              </w:rPr>
              <w:fldChar w:fldCharType="begin"/>
            </w:r>
            <w:r w:rsidR="006D018C">
              <w:rPr>
                <w:noProof/>
                <w:webHidden/>
              </w:rPr>
              <w:instrText xml:space="preserve"> PAGEREF _Toc134611346 \h </w:instrText>
            </w:r>
            <w:r w:rsidR="006D018C">
              <w:rPr>
                <w:noProof/>
                <w:webHidden/>
              </w:rPr>
            </w:r>
            <w:r w:rsidR="006D018C">
              <w:rPr>
                <w:noProof/>
                <w:webHidden/>
              </w:rPr>
              <w:fldChar w:fldCharType="separate"/>
            </w:r>
            <w:r w:rsidR="00EC7D71">
              <w:rPr>
                <w:noProof/>
                <w:webHidden/>
              </w:rPr>
              <w:t>2</w:t>
            </w:r>
            <w:r w:rsidR="006D018C">
              <w:rPr>
                <w:noProof/>
                <w:webHidden/>
              </w:rPr>
              <w:fldChar w:fldCharType="end"/>
            </w:r>
          </w:hyperlink>
        </w:p>
        <w:p w14:paraId="59C5D7E5" w14:textId="450BB201" w:rsidR="006D018C" w:rsidRDefault="00000000">
          <w:pPr>
            <w:pStyle w:val="TOC2"/>
            <w:tabs>
              <w:tab w:val="right" w:leader="dot" w:pos="9016"/>
            </w:tabs>
            <w:rPr>
              <w:rFonts w:eastAsiaTheme="minorEastAsia"/>
              <w:noProof/>
              <w:lang w:eastAsia="en-AU"/>
            </w:rPr>
          </w:pPr>
          <w:hyperlink w:anchor="_Toc134611347" w:history="1">
            <w:r w:rsidR="006D018C" w:rsidRPr="002945C9">
              <w:rPr>
                <w:rStyle w:val="Hyperlink"/>
                <w:noProof/>
              </w:rPr>
              <w:t>Current HPC donor recruitment and testing in Australia</w:t>
            </w:r>
            <w:r w:rsidR="006D018C">
              <w:rPr>
                <w:noProof/>
                <w:webHidden/>
              </w:rPr>
              <w:tab/>
            </w:r>
            <w:r w:rsidR="006D018C">
              <w:rPr>
                <w:noProof/>
                <w:webHidden/>
              </w:rPr>
              <w:fldChar w:fldCharType="begin"/>
            </w:r>
            <w:r w:rsidR="006D018C">
              <w:rPr>
                <w:noProof/>
                <w:webHidden/>
              </w:rPr>
              <w:instrText xml:space="preserve"> PAGEREF _Toc134611347 \h </w:instrText>
            </w:r>
            <w:r w:rsidR="006D018C">
              <w:rPr>
                <w:noProof/>
                <w:webHidden/>
              </w:rPr>
            </w:r>
            <w:r w:rsidR="006D018C">
              <w:rPr>
                <w:noProof/>
                <w:webHidden/>
              </w:rPr>
              <w:fldChar w:fldCharType="separate"/>
            </w:r>
            <w:r w:rsidR="00EC7D71">
              <w:rPr>
                <w:noProof/>
                <w:webHidden/>
              </w:rPr>
              <w:t>3</w:t>
            </w:r>
            <w:r w:rsidR="006D018C">
              <w:rPr>
                <w:noProof/>
                <w:webHidden/>
              </w:rPr>
              <w:fldChar w:fldCharType="end"/>
            </w:r>
          </w:hyperlink>
        </w:p>
        <w:p w14:paraId="15F85C83" w14:textId="027D890B" w:rsidR="006D018C" w:rsidRDefault="00000000">
          <w:pPr>
            <w:pStyle w:val="TOC2"/>
            <w:tabs>
              <w:tab w:val="right" w:leader="dot" w:pos="9016"/>
            </w:tabs>
            <w:rPr>
              <w:rFonts w:eastAsiaTheme="minorEastAsia"/>
              <w:noProof/>
              <w:lang w:eastAsia="en-AU"/>
            </w:rPr>
          </w:pPr>
          <w:hyperlink w:anchor="_Toc134611348" w:history="1">
            <w:r w:rsidR="006D018C" w:rsidRPr="002945C9">
              <w:rPr>
                <w:rStyle w:val="Hyperlink"/>
                <w:noProof/>
              </w:rPr>
              <w:t>The National HPC Framework</w:t>
            </w:r>
            <w:r w:rsidR="006D018C">
              <w:rPr>
                <w:noProof/>
                <w:webHidden/>
              </w:rPr>
              <w:tab/>
            </w:r>
            <w:r w:rsidR="006D018C">
              <w:rPr>
                <w:noProof/>
                <w:webHidden/>
              </w:rPr>
              <w:fldChar w:fldCharType="begin"/>
            </w:r>
            <w:r w:rsidR="006D018C">
              <w:rPr>
                <w:noProof/>
                <w:webHidden/>
              </w:rPr>
              <w:instrText xml:space="preserve"> PAGEREF _Toc134611348 \h </w:instrText>
            </w:r>
            <w:r w:rsidR="006D018C">
              <w:rPr>
                <w:noProof/>
                <w:webHidden/>
              </w:rPr>
            </w:r>
            <w:r w:rsidR="006D018C">
              <w:rPr>
                <w:noProof/>
                <w:webHidden/>
              </w:rPr>
              <w:fldChar w:fldCharType="separate"/>
            </w:r>
            <w:r w:rsidR="00EC7D71">
              <w:rPr>
                <w:noProof/>
                <w:webHidden/>
              </w:rPr>
              <w:t>4</w:t>
            </w:r>
            <w:r w:rsidR="006D018C">
              <w:rPr>
                <w:noProof/>
                <w:webHidden/>
              </w:rPr>
              <w:fldChar w:fldCharType="end"/>
            </w:r>
          </w:hyperlink>
        </w:p>
        <w:p w14:paraId="7401CBC7" w14:textId="687AAE10" w:rsidR="006D018C" w:rsidRDefault="00000000">
          <w:pPr>
            <w:pStyle w:val="TOC2"/>
            <w:tabs>
              <w:tab w:val="right" w:leader="dot" w:pos="9016"/>
            </w:tabs>
            <w:rPr>
              <w:rFonts w:eastAsiaTheme="minorEastAsia"/>
              <w:noProof/>
              <w:lang w:eastAsia="en-AU"/>
            </w:rPr>
          </w:pPr>
          <w:hyperlink w:anchor="_Toc134611349" w:history="1">
            <w:r w:rsidR="006D018C" w:rsidRPr="002945C9">
              <w:rPr>
                <w:rStyle w:val="Hyperlink"/>
                <w:noProof/>
              </w:rPr>
              <w:t>Haemopoietic Progenitor Cell (HPC) Sector Clinical Advisory Group</w:t>
            </w:r>
            <w:r w:rsidR="006D018C">
              <w:rPr>
                <w:noProof/>
                <w:webHidden/>
              </w:rPr>
              <w:tab/>
            </w:r>
            <w:r w:rsidR="006D018C">
              <w:rPr>
                <w:noProof/>
                <w:webHidden/>
              </w:rPr>
              <w:fldChar w:fldCharType="begin"/>
            </w:r>
            <w:r w:rsidR="006D018C">
              <w:rPr>
                <w:noProof/>
                <w:webHidden/>
              </w:rPr>
              <w:instrText xml:space="preserve"> PAGEREF _Toc134611349 \h </w:instrText>
            </w:r>
            <w:r w:rsidR="006D018C">
              <w:rPr>
                <w:noProof/>
                <w:webHidden/>
              </w:rPr>
            </w:r>
            <w:r w:rsidR="006D018C">
              <w:rPr>
                <w:noProof/>
                <w:webHidden/>
              </w:rPr>
              <w:fldChar w:fldCharType="separate"/>
            </w:r>
            <w:r w:rsidR="00EC7D71">
              <w:rPr>
                <w:noProof/>
                <w:webHidden/>
              </w:rPr>
              <w:t>4</w:t>
            </w:r>
            <w:r w:rsidR="006D018C">
              <w:rPr>
                <w:noProof/>
                <w:webHidden/>
              </w:rPr>
              <w:fldChar w:fldCharType="end"/>
            </w:r>
          </w:hyperlink>
        </w:p>
        <w:p w14:paraId="03F3885C" w14:textId="230B543A" w:rsidR="006D018C" w:rsidRDefault="00000000">
          <w:pPr>
            <w:pStyle w:val="TOC3"/>
            <w:tabs>
              <w:tab w:val="right" w:leader="dot" w:pos="9016"/>
            </w:tabs>
            <w:rPr>
              <w:rFonts w:eastAsiaTheme="minorEastAsia"/>
              <w:noProof/>
              <w:lang w:eastAsia="en-AU"/>
            </w:rPr>
          </w:pPr>
          <w:hyperlink w:anchor="_Toc134611350" w:history="1">
            <w:r w:rsidR="006D018C" w:rsidRPr="002945C9">
              <w:rPr>
                <w:rStyle w:val="Hyperlink"/>
                <w:noProof/>
              </w:rPr>
              <w:t>Membership</w:t>
            </w:r>
            <w:r w:rsidR="006D018C">
              <w:rPr>
                <w:noProof/>
                <w:webHidden/>
              </w:rPr>
              <w:tab/>
            </w:r>
            <w:r w:rsidR="006D018C">
              <w:rPr>
                <w:noProof/>
                <w:webHidden/>
              </w:rPr>
              <w:fldChar w:fldCharType="begin"/>
            </w:r>
            <w:r w:rsidR="006D018C">
              <w:rPr>
                <w:noProof/>
                <w:webHidden/>
              </w:rPr>
              <w:instrText xml:space="preserve"> PAGEREF _Toc134611350 \h </w:instrText>
            </w:r>
            <w:r w:rsidR="006D018C">
              <w:rPr>
                <w:noProof/>
                <w:webHidden/>
              </w:rPr>
            </w:r>
            <w:r w:rsidR="006D018C">
              <w:rPr>
                <w:noProof/>
                <w:webHidden/>
              </w:rPr>
              <w:fldChar w:fldCharType="separate"/>
            </w:r>
            <w:r w:rsidR="00EC7D71">
              <w:rPr>
                <w:noProof/>
                <w:webHidden/>
              </w:rPr>
              <w:t>4</w:t>
            </w:r>
            <w:r w:rsidR="006D018C">
              <w:rPr>
                <w:noProof/>
                <w:webHidden/>
              </w:rPr>
              <w:fldChar w:fldCharType="end"/>
            </w:r>
          </w:hyperlink>
        </w:p>
        <w:p w14:paraId="30C2D6AA" w14:textId="2C90EA0F" w:rsidR="006D018C" w:rsidRDefault="00000000">
          <w:pPr>
            <w:pStyle w:val="TOC1"/>
            <w:tabs>
              <w:tab w:val="right" w:leader="dot" w:pos="9016"/>
            </w:tabs>
            <w:rPr>
              <w:rFonts w:eastAsiaTheme="minorEastAsia"/>
              <w:noProof/>
              <w:lang w:eastAsia="en-AU"/>
            </w:rPr>
          </w:pPr>
          <w:hyperlink w:anchor="_Toc134611351" w:history="1">
            <w:r w:rsidR="006D018C" w:rsidRPr="002945C9">
              <w:rPr>
                <w:rStyle w:val="Hyperlink"/>
                <w:noProof/>
              </w:rPr>
              <w:t>Reform of unrelated adult HPC donor recruitment in Australia: Recommendations</w:t>
            </w:r>
            <w:r w:rsidR="006D018C">
              <w:rPr>
                <w:noProof/>
                <w:webHidden/>
              </w:rPr>
              <w:tab/>
            </w:r>
            <w:r w:rsidR="006D018C">
              <w:rPr>
                <w:noProof/>
                <w:webHidden/>
              </w:rPr>
              <w:fldChar w:fldCharType="begin"/>
            </w:r>
            <w:r w:rsidR="006D018C">
              <w:rPr>
                <w:noProof/>
                <w:webHidden/>
              </w:rPr>
              <w:instrText xml:space="preserve"> PAGEREF _Toc134611351 \h </w:instrText>
            </w:r>
            <w:r w:rsidR="006D018C">
              <w:rPr>
                <w:noProof/>
                <w:webHidden/>
              </w:rPr>
            </w:r>
            <w:r w:rsidR="006D018C">
              <w:rPr>
                <w:noProof/>
                <w:webHidden/>
              </w:rPr>
              <w:fldChar w:fldCharType="separate"/>
            </w:r>
            <w:r w:rsidR="00EC7D71">
              <w:rPr>
                <w:noProof/>
                <w:webHidden/>
              </w:rPr>
              <w:t>6</w:t>
            </w:r>
            <w:r w:rsidR="006D018C">
              <w:rPr>
                <w:noProof/>
                <w:webHidden/>
              </w:rPr>
              <w:fldChar w:fldCharType="end"/>
            </w:r>
          </w:hyperlink>
        </w:p>
        <w:p w14:paraId="3DB1F5CD" w14:textId="39BA86C2" w:rsidR="006D018C" w:rsidRDefault="00000000">
          <w:pPr>
            <w:pStyle w:val="TOC2"/>
            <w:tabs>
              <w:tab w:val="right" w:leader="dot" w:pos="9016"/>
            </w:tabs>
            <w:rPr>
              <w:rFonts w:eastAsiaTheme="minorEastAsia"/>
              <w:noProof/>
              <w:lang w:eastAsia="en-AU"/>
            </w:rPr>
          </w:pPr>
          <w:hyperlink w:anchor="_Toc134611352" w:history="1">
            <w:r w:rsidR="006D018C" w:rsidRPr="002945C9">
              <w:rPr>
                <w:rStyle w:val="Hyperlink"/>
                <w:noProof/>
              </w:rPr>
              <w:t>Key messages</w:t>
            </w:r>
            <w:r w:rsidR="006D018C">
              <w:rPr>
                <w:noProof/>
                <w:webHidden/>
              </w:rPr>
              <w:tab/>
            </w:r>
            <w:r w:rsidR="006D018C">
              <w:rPr>
                <w:noProof/>
                <w:webHidden/>
              </w:rPr>
              <w:fldChar w:fldCharType="begin"/>
            </w:r>
            <w:r w:rsidR="006D018C">
              <w:rPr>
                <w:noProof/>
                <w:webHidden/>
              </w:rPr>
              <w:instrText xml:space="preserve"> PAGEREF _Toc134611352 \h </w:instrText>
            </w:r>
            <w:r w:rsidR="006D018C">
              <w:rPr>
                <w:noProof/>
                <w:webHidden/>
              </w:rPr>
            </w:r>
            <w:r w:rsidR="006D018C">
              <w:rPr>
                <w:noProof/>
                <w:webHidden/>
              </w:rPr>
              <w:fldChar w:fldCharType="separate"/>
            </w:r>
            <w:r w:rsidR="00EC7D71">
              <w:rPr>
                <w:noProof/>
                <w:webHidden/>
              </w:rPr>
              <w:t>6</w:t>
            </w:r>
            <w:r w:rsidR="006D018C">
              <w:rPr>
                <w:noProof/>
                <w:webHidden/>
              </w:rPr>
              <w:fldChar w:fldCharType="end"/>
            </w:r>
          </w:hyperlink>
        </w:p>
        <w:p w14:paraId="6F2F7C3B" w14:textId="35DF3A09" w:rsidR="006D018C" w:rsidRDefault="00000000">
          <w:pPr>
            <w:pStyle w:val="TOC1"/>
            <w:tabs>
              <w:tab w:val="right" w:leader="dot" w:pos="9016"/>
            </w:tabs>
            <w:rPr>
              <w:rFonts w:eastAsiaTheme="minorEastAsia"/>
              <w:noProof/>
              <w:lang w:eastAsia="en-AU"/>
            </w:rPr>
          </w:pPr>
          <w:hyperlink w:anchor="_Toc134611353" w:history="1">
            <w:r w:rsidR="006D018C" w:rsidRPr="002945C9">
              <w:rPr>
                <w:rStyle w:val="Hyperlink"/>
                <w:noProof/>
              </w:rPr>
              <w:t>Proposed timelines for Implementation</w:t>
            </w:r>
            <w:r w:rsidR="006D018C">
              <w:rPr>
                <w:noProof/>
                <w:webHidden/>
              </w:rPr>
              <w:tab/>
            </w:r>
            <w:r w:rsidR="006D018C">
              <w:rPr>
                <w:noProof/>
                <w:webHidden/>
              </w:rPr>
              <w:fldChar w:fldCharType="begin"/>
            </w:r>
            <w:r w:rsidR="006D018C">
              <w:rPr>
                <w:noProof/>
                <w:webHidden/>
              </w:rPr>
              <w:instrText xml:space="preserve"> PAGEREF _Toc134611353 \h </w:instrText>
            </w:r>
            <w:r w:rsidR="006D018C">
              <w:rPr>
                <w:noProof/>
                <w:webHidden/>
              </w:rPr>
            </w:r>
            <w:r w:rsidR="006D018C">
              <w:rPr>
                <w:noProof/>
                <w:webHidden/>
              </w:rPr>
              <w:fldChar w:fldCharType="separate"/>
            </w:r>
            <w:r w:rsidR="00EC7D71">
              <w:rPr>
                <w:noProof/>
                <w:webHidden/>
              </w:rPr>
              <w:t>9</w:t>
            </w:r>
            <w:r w:rsidR="006D018C">
              <w:rPr>
                <w:noProof/>
                <w:webHidden/>
              </w:rPr>
              <w:fldChar w:fldCharType="end"/>
            </w:r>
          </w:hyperlink>
        </w:p>
        <w:p w14:paraId="0BBDDD92" w14:textId="6BAE2BA9" w:rsidR="006D018C" w:rsidRDefault="00000000">
          <w:pPr>
            <w:pStyle w:val="TOC2"/>
            <w:tabs>
              <w:tab w:val="right" w:leader="dot" w:pos="9016"/>
            </w:tabs>
            <w:rPr>
              <w:rFonts w:eastAsiaTheme="minorEastAsia"/>
              <w:noProof/>
              <w:lang w:eastAsia="en-AU"/>
            </w:rPr>
          </w:pPr>
          <w:hyperlink w:anchor="_Toc134611354" w:history="1">
            <w:r w:rsidR="006D018C" w:rsidRPr="002945C9">
              <w:rPr>
                <w:rStyle w:val="Hyperlink"/>
                <w:noProof/>
              </w:rPr>
              <w:t>Immediate actions</w:t>
            </w:r>
            <w:r w:rsidR="006D018C">
              <w:rPr>
                <w:noProof/>
                <w:webHidden/>
              </w:rPr>
              <w:tab/>
            </w:r>
            <w:r w:rsidR="006D018C">
              <w:rPr>
                <w:noProof/>
                <w:webHidden/>
              </w:rPr>
              <w:fldChar w:fldCharType="begin"/>
            </w:r>
            <w:r w:rsidR="006D018C">
              <w:rPr>
                <w:noProof/>
                <w:webHidden/>
              </w:rPr>
              <w:instrText xml:space="preserve"> PAGEREF _Toc134611354 \h </w:instrText>
            </w:r>
            <w:r w:rsidR="006D018C">
              <w:rPr>
                <w:noProof/>
                <w:webHidden/>
              </w:rPr>
            </w:r>
            <w:r w:rsidR="006D018C">
              <w:rPr>
                <w:noProof/>
                <w:webHidden/>
              </w:rPr>
              <w:fldChar w:fldCharType="separate"/>
            </w:r>
            <w:r w:rsidR="00EC7D71">
              <w:rPr>
                <w:noProof/>
                <w:webHidden/>
              </w:rPr>
              <w:t>9</w:t>
            </w:r>
            <w:r w:rsidR="006D018C">
              <w:rPr>
                <w:noProof/>
                <w:webHidden/>
              </w:rPr>
              <w:fldChar w:fldCharType="end"/>
            </w:r>
          </w:hyperlink>
        </w:p>
        <w:p w14:paraId="0DE9E084" w14:textId="5B34B38B" w:rsidR="006D018C" w:rsidRDefault="00000000">
          <w:pPr>
            <w:pStyle w:val="TOC2"/>
            <w:tabs>
              <w:tab w:val="right" w:leader="dot" w:pos="9016"/>
            </w:tabs>
            <w:rPr>
              <w:rFonts w:eastAsiaTheme="minorEastAsia"/>
              <w:noProof/>
              <w:lang w:eastAsia="en-AU"/>
            </w:rPr>
          </w:pPr>
          <w:hyperlink w:anchor="_Toc134611355" w:history="1">
            <w:r w:rsidR="006D018C" w:rsidRPr="002945C9">
              <w:rPr>
                <w:rStyle w:val="Hyperlink"/>
                <w:noProof/>
              </w:rPr>
              <w:t>Short-term actions (within next 6 to 12 months)</w:t>
            </w:r>
            <w:r w:rsidR="006D018C">
              <w:rPr>
                <w:noProof/>
                <w:webHidden/>
              </w:rPr>
              <w:tab/>
            </w:r>
            <w:r w:rsidR="006D018C">
              <w:rPr>
                <w:noProof/>
                <w:webHidden/>
              </w:rPr>
              <w:fldChar w:fldCharType="begin"/>
            </w:r>
            <w:r w:rsidR="006D018C">
              <w:rPr>
                <w:noProof/>
                <w:webHidden/>
              </w:rPr>
              <w:instrText xml:space="preserve"> PAGEREF _Toc134611355 \h </w:instrText>
            </w:r>
            <w:r w:rsidR="006D018C">
              <w:rPr>
                <w:noProof/>
                <w:webHidden/>
              </w:rPr>
            </w:r>
            <w:r w:rsidR="006D018C">
              <w:rPr>
                <w:noProof/>
                <w:webHidden/>
              </w:rPr>
              <w:fldChar w:fldCharType="separate"/>
            </w:r>
            <w:r w:rsidR="00EC7D71">
              <w:rPr>
                <w:noProof/>
                <w:webHidden/>
              </w:rPr>
              <w:t>10</w:t>
            </w:r>
            <w:r w:rsidR="006D018C">
              <w:rPr>
                <w:noProof/>
                <w:webHidden/>
              </w:rPr>
              <w:fldChar w:fldCharType="end"/>
            </w:r>
          </w:hyperlink>
        </w:p>
        <w:p w14:paraId="6056DD73" w14:textId="085B0E4A" w:rsidR="006D018C" w:rsidRDefault="00000000">
          <w:pPr>
            <w:pStyle w:val="TOC2"/>
            <w:tabs>
              <w:tab w:val="right" w:leader="dot" w:pos="9016"/>
            </w:tabs>
            <w:rPr>
              <w:rFonts w:eastAsiaTheme="minorEastAsia"/>
              <w:noProof/>
              <w:lang w:eastAsia="en-AU"/>
            </w:rPr>
          </w:pPr>
          <w:hyperlink w:anchor="_Toc134611356" w:history="1">
            <w:r w:rsidR="006D018C" w:rsidRPr="002945C9">
              <w:rPr>
                <w:rStyle w:val="Hyperlink"/>
                <w:noProof/>
              </w:rPr>
              <w:t>Long-term actions (12 months onwards)</w:t>
            </w:r>
            <w:r w:rsidR="006D018C">
              <w:rPr>
                <w:noProof/>
                <w:webHidden/>
              </w:rPr>
              <w:tab/>
            </w:r>
            <w:r w:rsidR="006D018C">
              <w:rPr>
                <w:noProof/>
                <w:webHidden/>
              </w:rPr>
              <w:fldChar w:fldCharType="begin"/>
            </w:r>
            <w:r w:rsidR="006D018C">
              <w:rPr>
                <w:noProof/>
                <w:webHidden/>
              </w:rPr>
              <w:instrText xml:space="preserve"> PAGEREF _Toc134611356 \h </w:instrText>
            </w:r>
            <w:r w:rsidR="006D018C">
              <w:rPr>
                <w:noProof/>
                <w:webHidden/>
              </w:rPr>
            </w:r>
            <w:r w:rsidR="006D018C">
              <w:rPr>
                <w:noProof/>
                <w:webHidden/>
              </w:rPr>
              <w:fldChar w:fldCharType="separate"/>
            </w:r>
            <w:r w:rsidR="00EC7D71">
              <w:rPr>
                <w:noProof/>
                <w:webHidden/>
              </w:rPr>
              <w:t>12</w:t>
            </w:r>
            <w:r w:rsidR="006D018C">
              <w:rPr>
                <w:noProof/>
                <w:webHidden/>
              </w:rPr>
              <w:fldChar w:fldCharType="end"/>
            </w:r>
          </w:hyperlink>
        </w:p>
        <w:p w14:paraId="7F7A7923" w14:textId="338C723E" w:rsidR="006D018C" w:rsidRDefault="00000000">
          <w:pPr>
            <w:pStyle w:val="TOC1"/>
            <w:tabs>
              <w:tab w:val="right" w:leader="dot" w:pos="9016"/>
            </w:tabs>
            <w:rPr>
              <w:rFonts w:eastAsiaTheme="minorEastAsia"/>
              <w:noProof/>
              <w:lang w:eastAsia="en-AU"/>
            </w:rPr>
          </w:pPr>
          <w:hyperlink w:anchor="_Toc134611357" w:history="1">
            <w:r w:rsidR="006D018C" w:rsidRPr="002945C9">
              <w:rPr>
                <w:rStyle w:val="Hyperlink"/>
                <w:noProof/>
              </w:rPr>
              <w:t>Background</w:t>
            </w:r>
            <w:r w:rsidR="006D018C">
              <w:rPr>
                <w:noProof/>
                <w:webHidden/>
              </w:rPr>
              <w:tab/>
            </w:r>
            <w:r w:rsidR="006D018C">
              <w:rPr>
                <w:noProof/>
                <w:webHidden/>
              </w:rPr>
              <w:fldChar w:fldCharType="begin"/>
            </w:r>
            <w:r w:rsidR="006D018C">
              <w:rPr>
                <w:noProof/>
                <w:webHidden/>
              </w:rPr>
              <w:instrText xml:space="preserve"> PAGEREF _Toc134611357 \h </w:instrText>
            </w:r>
            <w:r w:rsidR="006D018C">
              <w:rPr>
                <w:noProof/>
                <w:webHidden/>
              </w:rPr>
            </w:r>
            <w:r w:rsidR="006D018C">
              <w:rPr>
                <w:noProof/>
                <w:webHidden/>
              </w:rPr>
              <w:fldChar w:fldCharType="separate"/>
            </w:r>
            <w:r w:rsidR="00EC7D71">
              <w:rPr>
                <w:noProof/>
                <w:webHidden/>
              </w:rPr>
              <w:t>14</w:t>
            </w:r>
            <w:r w:rsidR="006D018C">
              <w:rPr>
                <w:noProof/>
                <w:webHidden/>
              </w:rPr>
              <w:fldChar w:fldCharType="end"/>
            </w:r>
          </w:hyperlink>
        </w:p>
        <w:p w14:paraId="1886374B" w14:textId="742C6919" w:rsidR="006D018C" w:rsidRDefault="00000000">
          <w:pPr>
            <w:pStyle w:val="TOC2"/>
            <w:tabs>
              <w:tab w:val="right" w:leader="dot" w:pos="9016"/>
            </w:tabs>
            <w:rPr>
              <w:rFonts w:eastAsiaTheme="minorEastAsia"/>
              <w:noProof/>
              <w:lang w:eastAsia="en-AU"/>
            </w:rPr>
          </w:pPr>
          <w:hyperlink w:anchor="_Toc134611358" w:history="1">
            <w:r w:rsidR="006D018C" w:rsidRPr="002945C9">
              <w:rPr>
                <w:rStyle w:val="Hyperlink"/>
                <w:noProof/>
              </w:rPr>
              <w:t>Current national HPC registry size</w:t>
            </w:r>
            <w:r w:rsidR="006D018C">
              <w:rPr>
                <w:noProof/>
                <w:webHidden/>
              </w:rPr>
              <w:tab/>
            </w:r>
            <w:r w:rsidR="006D018C">
              <w:rPr>
                <w:noProof/>
                <w:webHidden/>
              </w:rPr>
              <w:fldChar w:fldCharType="begin"/>
            </w:r>
            <w:r w:rsidR="006D018C">
              <w:rPr>
                <w:noProof/>
                <w:webHidden/>
              </w:rPr>
              <w:instrText xml:space="preserve"> PAGEREF _Toc134611358 \h </w:instrText>
            </w:r>
            <w:r w:rsidR="006D018C">
              <w:rPr>
                <w:noProof/>
                <w:webHidden/>
              </w:rPr>
            </w:r>
            <w:r w:rsidR="006D018C">
              <w:rPr>
                <w:noProof/>
                <w:webHidden/>
              </w:rPr>
              <w:fldChar w:fldCharType="separate"/>
            </w:r>
            <w:r w:rsidR="00EC7D71">
              <w:rPr>
                <w:noProof/>
                <w:webHidden/>
              </w:rPr>
              <w:t>15</w:t>
            </w:r>
            <w:r w:rsidR="006D018C">
              <w:rPr>
                <w:noProof/>
                <w:webHidden/>
              </w:rPr>
              <w:fldChar w:fldCharType="end"/>
            </w:r>
          </w:hyperlink>
        </w:p>
        <w:p w14:paraId="7003EA38" w14:textId="444971EC" w:rsidR="006D018C" w:rsidRDefault="00000000">
          <w:pPr>
            <w:pStyle w:val="TOC2"/>
            <w:tabs>
              <w:tab w:val="right" w:leader="dot" w:pos="9016"/>
            </w:tabs>
            <w:rPr>
              <w:rFonts w:eastAsiaTheme="minorEastAsia"/>
              <w:noProof/>
              <w:lang w:eastAsia="en-AU"/>
            </w:rPr>
          </w:pPr>
          <w:hyperlink w:anchor="_Toc134611359" w:history="1">
            <w:r w:rsidR="006D018C" w:rsidRPr="002945C9">
              <w:rPr>
                <w:rStyle w:val="Hyperlink"/>
                <w:noProof/>
              </w:rPr>
              <w:t>Current Australian HPC recruitment strategy</w:t>
            </w:r>
            <w:r w:rsidR="006D018C">
              <w:rPr>
                <w:noProof/>
                <w:webHidden/>
              </w:rPr>
              <w:tab/>
            </w:r>
            <w:r w:rsidR="006D018C">
              <w:rPr>
                <w:noProof/>
                <w:webHidden/>
              </w:rPr>
              <w:fldChar w:fldCharType="begin"/>
            </w:r>
            <w:r w:rsidR="006D018C">
              <w:rPr>
                <w:noProof/>
                <w:webHidden/>
              </w:rPr>
              <w:instrText xml:space="preserve"> PAGEREF _Toc134611359 \h </w:instrText>
            </w:r>
            <w:r w:rsidR="006D018C">
              <w:rPr>
                <w:noProof/>
                <w:webHidden/>
              </w:rPr>
            </w:r>
            <w:r w:rsidR="006D018C">
              <w:rPr>
                <w:noProof/>
                <w:webHidden/>
              </w:rPr>
              <w:fldChar w:fldCharType="separate"/>
            </w:r>
            <w:r w:rsidR="00EC7D71">
              <w:rPr>
                <w:noProof/>
                <w:webHidden/>
              </w:rPr>
              <w:t>15</w:t>
            </w:r>
            <w:r w:rsidR="006D018C">
              <w:rPr>
                <w:noProof/>
                <w:webHidden/>
              </w:rPr>
              <w:fldChar w:fldCharType="end"/>
            </w:r>
          </w:hyperlink>
        </w:p>
        <w:p w14:paraId="613D6C77" w14:textId="4B740FB8" w:rsidR="006D018C" w:rsidRDefault="00000000">
          <w:pPr>
            <w:pStyle w:val="TOC3"/>
            <w:tabs>
              <w:tab w:val="right" w:leader="dot" w:pos="9016"/>
            </w:tabs>
            <w:rPr>
              <w:rFonts w:eastAsiaTheme="minorEastAsia"/>
              <w:noProof/>
              <w:lang w:eastAsia="en-AU"/>
            </w:rPr>
          </w:pPr>
          <w:hyperlink w:anchor="_Toc134611360" w:history="1">
            <w:r w:rsidR="006D018C" w:rsidRPr="002945C9">
              <w:rPr>
                <w:rStyle w:val="Hyperlink"/>
                <w:noProof/>
              </w:rPr>
              <w:t>Standards for testing at HPC recruitment – current practice</w:t>
            </w:r>
            <w:r w:rsidR="006D018C">
              <w:rPr>
                <w:noProof/>
                <w:webHidden/>
              </w:rPr>
              <w:tab/>
            </w:r>
            <w:r w:rsidR="006D018C">
              <w:rPr>
                <w:noProof/>
                <w:webHidden/>
              </w:rPr>
              <w:fldChar w:fldCharType="begin"/>
            </w:r>
            <w:r w:rsidR="006D018C">
              <w:rPr>
                <w:noProof/>
                <w:webHidden/>
              </w:rPr>
              <w:instrText xml:space="preserve"> PAGEREF _Toc134611360 \h </w:instrText>
            </w:r>
            <w:r w:rsidR="006D018C">
              <w:rPr>
                <w:noProof/>
                <w:webHidden/>
              </w:rPr>
            </w:r>
            <w:r w:rsidR="006D018C">
              <w:rPr>
                <w:noProof/>
                <w:webHidden/>
              </w:rPr>
              <w:fldChar w:fldCharType="separate"/>
            </w:r>
            <w:r w:rsidR="00EC7D71">
              <w:rPr>
                <w:noProof/>
                <w:webHidden/>
              </w:rPr>
              <w:t>19</w:t>
            </w:r>
            <w:r w:rsidR="006D018C">
              <w:rPr>
                <w:noProof/>
                <w:webHidden/>
              </w:rPr>
              <w:fldChar w:fldCharType="end"/>
            </w:r>
          </w:hyperlink>
        </w:p>
        <w:p w14:paraId="0C76F078" w14:textId="14C98881" w:rsidR="006D018C" w:rsidRDefault="00000000">
          <w:pPr>
            <w:pStyle w:val="TOC3"/>
            <w:tabs>
              <w:tab w:val="right" w:leader="dot" w:pos="9016"/>
            </w:tabs>
            <w:rPr>
              <w:rFonts w:eastAsiaTheme="minorEastAsia"/>
              <w:noProof/>
              <w:lang w:eastAsia="en-AU"/>
            </w:rPr>
          </w:pPr>
          <w:hyperlink w:anchor="_Toc134611361" w:history="1">
            <w:r w:rsidR="006D018C" w:rsidRPr="002945C9">
              <w:rPr>
                <w:rStyle w:val="Hyperlink"/>
                <w:noProof/>
              </w:rPr>
              <w:t>Australian regulation and accreditation of HPC donor recruitment testing</w:t>
            </w:r>
            <w:r w:rsidR="006D018C">
              <w:rPr>
                <w:noProof/>
                <w:webHidden/>
              </w:rPr>
              <w:tab/>
            </w:r>
            <w:r w:rsidR="006D018C">
              <w:rPr>
                <w:noProof/>
                <w:webHidden/>
              </w:rPr>
              <w:fldChar w:fldCharType="begin"/>
            </w:r>
            <w:r w:rsidR="006D018C">
              <w:rPr>
                <w:noProof/>
                <w:webHidden/>
              </w:rPr>
              <w:instrText xml:space="preserve"> PAGEREF _Toc134611361 \h </w:instrText>
            </w:r>
            <w:r w:rsidR="006D018C">
              <w:rPr>
                <w:noProof/>
                <w:webHidden/>
              </w:rPr>
            </w:r>
            <w:r w:rsidR="006D018C">
              <w:rPr>
                <w:noProof/>
                <w:webHidden/>
              </w:rPr>
              <w:fldChar w:fldCharType="separate"/>
            </w:r>
            <w:r w:rsidR="00EC7D71">
              <w:rPr>
                <w:noProof/>
                <w:webHidden/>
              </w:rPr>
              <w:t>20</w:t>
            </w:r>
            <w:r w:rsidR="006D018C">
              <w:rPr>
                <w:noProof/>
                <w:webHidden/>
              </w:rPr>
              <w:fldChar w:fldCharType="end"/>
            </w:r>
          </w:hyperlink>
        </w:p>
        <w:p w14:paraId="49F3D9E6" w14:textId="4962B8DB" w:rsidR="006D018C" w:rsidRDefault="00000000">
          <w:pPr>
            <w:pStyle w:val="TOC2"/>
            <w:tabs>
              <w:tab w:val="right" w:leader="dot" w:pos="9016"/>
            </w:tabs>
            <w:rPr>
              <w:rFonts w:eastAsiaTheme="minorEastAsia"/>
              <w:noProof/>
              <w:lang w:eastAsia="en-AU"/>
            </w:rPr>
          </w:pPr>
          <w:hyperlink w:anchor="_Toc134611362" w:history="1">
            <w:r w:rsidR="006D018C" w:rsidRPr="002945C9">
              <w:rPr>
                <w:rStyle w:val="Hyperlink"/>
                <w:noProof/>
              </w:rPr>
              <w:t>Potential Future National HPC</w:t>
            </w:r>
            <w:r w:rsidR="00A94A2D">
              <w:rPr>
                <w:rStyle w:val="Hyperlink"/>
                <w:noProof/>
              </w:rPr>
              <w:t xml:space="preserve"> Donor</w:t>
            </w:r>
            <w:r w:rsidR="006D018C" w:rsidRPr="002945C9">
              <w:rPr>
                <w:rStyle w:val="Hyperlink"/>
                <w:noProof/>
              </w:rPr>
              <w:t xml:space="preserve"> Recruitment Strategy</w:t>
            </w:r>
            <w:r w:rsidR="006D018C">
              <w:rPr>
                <w:noProof/>
                <w:webHidden/>
              </w:rPr>
              <w:tab/>
            </w:r>
            <w:r w:rsidR="006D018C">
              <w:rPr>
                <w:noProof/>
                <w:webHidden/>
              </w:rPr>
              <w:fldChar w:fldCharType="begin"/>
            </w:r>
            <w:r w:rsidR="006D018C">
              <w:rPr>
                <w:noProof/>
                <w:webHidden/>
              </w:rPr>
              <w:instrText xml:space="preserve"> PAGEREF _Toc134611362 \h </w:instrText>
            </w:r>
            <w:r w:rsidR="006D018C">
              <w:rPr>
                <w:noProof/>
                <w:webHidden/>
              </w:rPr>
            </w:r>
            <w:r w:rsidR="006D018C">
              <w:rPr>
                <w:noProof/>
                <w:webHidden/>
              </w:rPr>
              <w:fldChar w:fldCharType="separate"/>
            </w:r>
            <w:r w:rsidR="00EC7D71">
              <w:rPr>
                <w:noProof/>
                <w:webHidden/>
              </w:rPr>
              <w:t>22</w:t>
            </w:r>
            <w:r w:rsidR="006D018C">
              <w:rPr>
                <w:noProof/>
                <w:webHidden/>
              </w:rPr>
              <w:fldChar w:fldCharType="end"/>
            </w:r>
          </w:hyperlink>
        </w:p>
        <w:p w14:paraId="2AFB3023" w14:textId="0BF98003" w:rsidR="006D018C" w:rsidRDefault="00000000">
          <w:pPr>
            <w:pStyle w:val="TOC3"/>
            <w:tabs>
              <w:tab w:val="right" w:leader="dot" w:pos="9016"/>
            </w:tabs>
            <w:rPr>
              <w:rFonts w:eastAsiaTheme="minorEastAsia"/>
              <w:noProof/>
              <w:lang w:eastAsia="en-AU"/>
            </w:rPr>
          </w:pPr>
          <w:hyperlink w:anchor="_Toc134611363" w:history="1">
            <w:r w:rsidR="006D018C" w:rsidRPr="002945C9">
              <w:rPr>
                <w:rStyle w:val="Hyperlink"/>
                <w:noProof/>
              </w:rPr>
              <w:t>Standards for testing of samples at HPC donor recruitment – future practice</w:t>
            </w:r>
            <w:r w:rsidR="006D018C">
              <w:rPr>
                <w:noProof/>
                <w:webHidden/>
              </w:rPr>
              <w:tab/>
            </w:r>
            <w:r w:rsidR="006D018C">
              <w:rPr>
                <w:noProof/>
                <w:webHidden/>
              </w:rPr>
              <w:fldChar w:fldCharType="begin"/>
            </w:r>
            <w:r w:rsidR="006D018C">
              <w:rPr>
                <w:noProof/>
                <w:webHidden/>
              </w:rPr>
              <w:instrText xml:space="preserve"> PAGEREF _Toc134611363 \h </w:instrText>
            </w:r>
            <w:r w:rsidR="006D018C">
              <w:rPr>
                <w:noProof/>
                <w:webHidden/>
              </w:rPr>
            </w:r>
            <w:r w:rsidR="006D018C">
              <w:rPr>
                <w:noProof/>
                <w:webHidden/>
              </w:rPr>
              <w:fldChar w:fldCharType="separate"/>
            </w:r>
            <w:r w:rsidR="00EC7D71">
              <w:rPr>
                <w:noProof/>
                <w:webHidden/>
              </w:rPr>
              <w:t>22</w:t>
            </w:r>
            <w:r w:rsidR="006D018C">
              <w:rPr>
                <w:noProof/>
                <w:webHidden/>
              </w:rPr>
              <w:fldChar w:fldCharType="end"/>
            </w:r>
          </w:hyperlink>
        </w:p>
        <w:p w14:paraId="0172718E" w14:textId="7E85483D" w:rsidR="006D018C" w:rsidRDefault="00000000">
          <w:pPr>
            <w:pStyle w:val="TOC3"/>
            <w:tabs>
              <w:tab w:val="right" w:leader="dot" w:pos="9016"/>
            </w:tabs>
            <w:rPr>
              <w:rFonts w:eastAsiaTheme="minorEastAsia"/>
              <w:noProof/>
              <w:lang w:eastAsia="en-AU"/>
            </w:rPr>
          </w:pPr>
          <w:hyperlink w:anchor="_Toc134611364" w:history="1">
            <w:r w:rsidR="006D018C" w:rsidRPr="002945C9">
              <w:rPr>
                <w:rStyle w:val="Hyperlink"/>
                <w:noProof/>
              </w:rPr>
              <w:t>Proposed changes to the HPC donor recruitment target and recruitment method</w:t>
            </w:r>
            <w:r w:rsidR="006D018C">
              <w:rPr>
                <w:noProof/>
                <w:webHidden/>
              </w:rPr>
              <w:tab/>
            </w:r>
            <w:r w:rsidR="006D018C">
              <w:rPr>
                <w:noProof/>
                <w:webHidden/>
              </w:rPr>
              <w:fldChar w:fldCharType="begin"/>
            </w:r>
            <w:r w:rsidR="006D018C">
              <w:rPr>
                <w:noProof/>
                <w:webHidden/>
              </w:rPr>
              <w:instrText xml:space="preserve"> PAGEREF _Toc134611364 \h </w:instrText>
            </w:r>
            <w:r w:rsidR="006D018C">
              <w:rPr>
                <w:noProof/>
                <w:webHidden/>
              </w:rPr>
            </w:r>
            <w:r w:rsidR="006D018C">
              <w:rPr>
                <w:noProof/>
                <w:webHidden/>
              </w:rPr>
              <w:fldChar w:fldCharType="separate"/>
            </w:r>
            <w:r w:rsidR="00EC7D71">
              <w:rPr>
                <w:noProof/>
                <w:webHidden/>
              </w:rPr>
              <w:t>26</w:t>
            </w:r>
            <w:r w:rsidR="006D018C">
              <w:rPr>
                <w:noProof/>
                <w:webHidden/>
              </w:rPr>
              <w:fldChar w:fldCharType="end"/>
            </w:r>
          </w:hyperlink>
        </w:p>
        <w:p w14:paraId="1E7B08F7" w14:textId="300660A3" w:rsidR="006D018C" w:rsidRDefault="00000000">
          <w:pPr>
            <w:pStyle w:val="TOC1"/>
            <w:tabs>
              <w:tab w:val="right" w:leader="dot" w:pos="9016"/>
            </w:tabs>
            <w:rPr>
              <w:rFonts w:eastAsiaTheme="minorEastAsia"/>
              <w:noProof/>
              <w:lang w:eastAsia="en-AU"/>
            </w:rPr>
          </w:pPr>
          <w:hyperlink w:anchor="_Toc134611365" w:history="1">
            <w:r w:rsidR="006D018C" w:rsidRPr="002945C9">
              <w:rPr>
                <w:rStyle w:val="Hyperlink"/>
                <w:noProof/>
              </w:rPr>
              <w:t>Appendix 1:</w:t>
            </w:r>
            <w:r w:rsidR="006D018C">
              <w:rPr>
                <w:noProof/>
                <w:webHidden/>
              </w:rPr>
              <w:tab/>
            </w:r>
            <w:r w:rsidR="006D018C">
              <w:rPr>
                <w:noProof/>
                <w:webHidden/>
              </w:rPr>
              <w:fldChar w:fldCharType="begin"/>
            </w:r>
            <w:r w:rsidR="006D018C">
              <w:rPr>
                <w:noProof/>
                <w:webHidden/>
              </w:rPr>
              <w:instrText xml:space="preserve"> PAGEREF _Toc134611365 \h </w:instrText>
            </w:r>
            <w:r w:rsidR="006D018C">
              <w:rPr>
                <w:noProof/>
                <w:webHidden/>
              </w:rPr>
            </w:r>
            <w:r w:rsidR="006D018C">
              <w:rPr>
                <w:noProof/>
                <w:webHidden/>
              </w:rPr>
              <w:fldChar w:fldCharType="separate"/>
            </w:r>
            <w:r w:rsidR="00EC7D71">
              <w:rPr>
                <w:noProof/>
                <w:webHidden/>
              </w:rPr>
              <w:t>28</w:t>
            </w:r>
            <w:r w:rsidR="006D018C">
              <w:rPr>
                <w:noProof/>
                <w:webHidden/>
              </w:rPr>
              <w:fldChar w:fldCharType="end"/>
            </w:r>
          </w:hyperlink>
        </w:p>
        <w:p w14:paraId="71139DEE" w14:textId="08924672" w:rsidR="006D018C" w:rsidRDefault="00000000">
          <w:pPr>
            <w:pStyle w:val="TOC2"/>
            <w:tabs>
              <w:tab w:val="right" w:leader="dot" w:pos="9016"/>
            </w:tabs>
            <w:rPr>
              <w:rFonts w:eastAsiaTheme="minorEastAsia"/>
              <w:noProof/>
              <w:lang w:eastAsia="en-AU"/>
            </w:rPr>
          </w:pPr>
          <w:hyperlink w:anchor="_Toc134611366" w:history="1">
            <w:r w:rsidR="006D018C" w:rsidRPr="002945C9">
              <w:rPr>
                <w:rStyle w:val="Hyperlink"/>
                <w:noProof/>
              </w:rPr>
              <w:t>Testing performed on recruitment samples by international HPC donor registries</w:t>
            </w:r>
            <w:r w:rsidR="006D018C">
              <w:rPr>
                <w:noProof/>
                <w:webHidden/>
              </w:rPr>
              <w:tab/>
            </w:r>
            <w:r w:rsidR="006D018C">
              <w:rPr>
                <w:noProof/>
                <w:webHidden/>
              </w:rPr>
              <w:fldChar w:fldCharType="begin"/>
            </w:r>
            <w:r w:rsidR="006D018C">
              <w:rPr>
                <w:noProof/>
                <w:webHidden/>
              </w:rPr>
              <w:instrText xml:space="preserve"> PAGEREF _Toc134611366 \h </w:instrText>
            </w:r>
            <w:r w:rsidR="006D018C">
              <w:rPr>
                <w:noProof/>
                <w:webHidden/>
              </w:rPr>
            </w:r>
            <w:r w:rsidR="006D018C">
              <w:rPr>
                <w:noProof/>
                <w:webHidden/>
              </w:rPr>
              <w:fldChar w:fldCharType="separate"/>
            </w:r>
            <w:r w:rsidR="00EC7D71">
              <w:rPr>
                <w:noProof/>
                <w:webHidden/>
              </w:rPr>
              <w:t>28</w:t>
            </w:r>
            <w:r w:rsidR="006D018C">
              <w:rPr>
                <w:noProof/>
                <w:webHidden/>
              </w:rPr>
              <w:fldChar w:fldCharType="end"/>
            </w:r>
          </w:hyperlink>
        </w:p>
        <w:p w14:paraId="5E74DD79" w14:textId="77777777" w:rsidR="00463F43" w:rsidRDefault="00463F43" w:rsidP="00463F43">
          <w:r>
            <w:rPr>
              <w:b/>
              <w:bCs/>
              <w:noProof/>
            </w:rPr>
            <w:fldChar w:fldCharType="end"/>
          </w:r>
        </w:p>
      </w:sdtContent>
    </w:sdt>
    <w:p w14:paraId="4461494B" w14:textId="77777777" w:rsidR="00463F43" w:rsidRDefault="00463F43" w:rsidP="00463F43">
      <w:pPr>
        <w:rPr>
          <w:rFonts w:asciiTheme="majorHAnsi" w:eastAsiaTheme="majorEastAsia" w:hAnsiTheme="majorHAnsi" w:cstheme="majorBidi"/>
          <w:b/>
          <w:color w:val="2F5496" w:themeColor="accent1" w:themeShade="BF"/>
          <w:sz w:val="40"/>
          <w:szCs w:val="32"/>
        </w:rPr>
      </w:pPr>
      <w:r>
        <w:br w:type="page"/>
      </w:r>
    </w:p>
    <w:p w14:paraId="63459005" w14:textId="77777777" w:rsidR="00463F43" w:rsidRPr="00E43437" w:rsidRDefault="00463F43" w:rsidP="00463F43">
      <w:pPr>
        <w:pStyle w:val="Heading1"/>
      </w:pPr>
      <w:bookmarkStart w:id="1" w:name="_Toc134611345"/>
      <w:r w:rsidRPr="00E43437">
        <w:lastRenderedPageBreak/>
        <w:t>Introduction</w:t>
      </w:r>
      <w:bookmarkEnd w:id="1"/>
    </w:p>
    <w:p w14:paraId="7EB2FE7B" w14:textId="77777777" w:rsidR="00463F43" w:rsidRDefault="00463F43" w:rsidP="00463F43">
      <w:pPr>
        <w:pStyle w:val="Heading2"/>
      </w:pPr>
      <w:bookmarkStart w:id="2" w:name="_Toc134611346"/>
      <w:r>
        <w:t>International network of Registries</w:t>
      </w:r>
      <w:bookmarkEnd w:id="2"/>
    </w:p>
    <w:p w14:paraId="33D9BFC0" w14:textId="77777777" w:rsidR="00463F43" w:rsidRDefault="00463F43" w:rsidP="00463F43">
      <w:pPr>
        <w:rPr>
          <w:rFonts w:cstheme="minorHAnsi"/>
        </w:rPr>
      </w:pPr>
      <w:r>
        <w:t>There are currently 40,908,762 adult donors and cord blood units listed in the World Marrow Donor Association (WMDA) database</w:t>
      </w:r>
      <w:r>
        <w:rPr>
          <w:rStyle w:val="FootnoteReference"/>
        </w:rPr>
        <w:footnoteReference w:id="1"/>
      </w:r>
      <w:r>
        <w:t xml:space="preserve"> encompassing </w:t>
      </w:r>
      <w:r w:rsidRPr="006D018C">
        <w:t>cord blood banks</w:t>
      </w:r>
      <w:r>
        <w:t xml:space="preserve"> and (adult) donor registries across the globe. The Australian haemopoietic progenitor cell (HPC) registry is part of this worldwide network of HPC donor registries, where overseas donors provide HPCs for Australian patients, and vice versa. </w:t>
      </w:r>
      <w:r>
        <w:rPr>
          <w:rFonts w:cstheme="minorHAnsi"/>
        </w:rPr>
        <w:t xml:space="preserve">The WMDA sets the minimum international standards for activities involved in the provision of HPCs for transplant with international registries requiring accreditation against these standards. </w:t>
      </w:r>
    </w:p>
    <w:p w14:paraId="439E0762" w14:textId="77777777" w:rsidR="00463F43" w:rsidRDefault="00463F43" w:rsidP="00463F43">
      <w:pPr>
        <w:rPr>
          <w:rFonts w:cstheme="minorHAnsi"/>
        </w:rPr>
      </w:pPr>
      <w:r>
        <w:t xml:space="preserve">Registries in each country determine their own donor recruitment strategies and testing of samples in line with the WMDA standards and their own national accreditation and regulatory frameworks.  This includes the recruitment of adult volunteers to become a HPC donor through the provision of a blood or buccal swab sample. </w:t>
      </w:r>
      <w:r>
        <w:rPr>
          <w:rFonts w:cstheme="minorHAnsi"/>
        </w:rPr>
        <w:t>In Australia the national registry is managed by the Australian Bone Marrow Donor Registry (ABMDR)</w:t>
      </w:r>
      <w:r>
        <w:rPr>
          <w:rStyle w:val="FootnoteReference"/>
          <w:rFonts w:cstheme="minorHAnsi"/>
        </w:rPr>
        <w:footnoteReference w:id="2"/>
      </w:r>
      <w:r>
        <w:rPr>
          <w:rFonts w:cstheme="minorHAnsi"/>
        </w:rPr>
        <w:t>. The ABMDR is a member of, and accredited by, the WMDA. The ABMDR, through its Scientific and Expert Advisory Committee (SEAC), consider the WMDA standards</w:t>
      </w:r>
      <w:r>
        <w:rPr>
          <w:rStyle w:val="FootnoteReference"/>
          <w:rFonts w:cstheme="minorHAnsi"/>
        </w:rPr>
        <w:footnoteReference w:id="3"/>
      </w:r>
      <w:r>
        <w:rPr>
          <w:rFonts w:cstheme="minorHAnsi"/>
        </w:rPr>
        <w:t xml:space="preserve"> and set minimum Australian donor testing requirements at recruitment. </w:t>
      </w:r>
    </w:p>
    <w:p w14:paraId="208E2441" w14:textId="01BA5D54" w:rsidR="00463F43" w:rsidRDefault="00463F43" w:rsidP="00463F43">
      <w:r>
        <w:t xml:space="preserve">Consistent with worldwide practice, the majority of HPCs used in Australia are now derived from blood rather than bone marrow. </w:t>
      </w:r>
      <w:r>
        <w:rPr>
          <w:rFonts w:cstheme="minorHAnsi"/>
        </w:rPr>
        <w:t xml:space="preserve">Similarly, </w:t>
      </w:r>
      <w:r>
        <w:t>a small proportion (&lt;10% per year) of all stem cell transplants in Australia are performed using HPCs from banked cord blood units (CBU</w:t>
      </w:r>
      <w:r w:rsidR="006D018C">
        <w:t>s</w:t>
      </w:r>
      <w:r>
        <w:t>)</w:t>
      </w:r>
      <w:r>
        <w:rPr>
          <w:rStyle w:val="FootnoteReference"/>
        </w:rPr>
        <w:footnoteReference w:id="4"/>
      </w:r>
      <w:r>
        <w:t>. The choice of HPC source for a transplant made by the clinician is dependent on the available therapeutic options, patient age, disease characteristics and the availability of a suitably matched adult donor or banked CBU.</w:t>
      </w:r>
    </w:p>
    <w:p w14:paraId="08118970" w14:textId="271235B1" w:rsidR="00463F43" w:rsidRDefault="00463F43" w:rsidP="00463F43">
      <w:r>
        <w:t>The selection by a clinician of the most appropriate HPC donor for their patient is primarily driven by patient’s tissue-type (also known as the human leucocyte antigen (HLA) type) and availability of an appropriately matched donor, with the outcome of a HPC transplant being highly dependent on the degree of HLA matching</w:t>
      </w:r>
      <w:r>
        <w:rPr>
          <w:rStyle w:val="FootnoteReference"/>
        </w:rPr>
        <w:footnoteReference w:id="5"/>
      </w:r>
      <w:r>
        <w:t>. The search for a donor for an Australian recipient is done sequentially with the identification and testing of any potential family/related donors, followed by searching for an unrelated Australian donor (ABMDR registrants). If a suitable domestic donor cannot be identified</w:t>
      </w:r>
      <w:r w:rsidR="003250DB">
        <w:t>,</w:t>
      </w:r>
      <w:r>
        <w:t xml:space="preserve"> then a search of overseas registries is performed. This may result in HPCs being sourced from overseas rather than from the Australian registry. This phenomenon is commonplace across the globe, as no single country or geographical region is self-sufficient for its own adult donor HPC or CBU needs</w:t>
      </w:r>
      <w:r w:rsidRPr="00F27279">
        <w:rPr>
          <w:vertAlign w:val="superscript"/>
        </w:rPr>
        <w:t>1</w:t>
      </w:r>
      <w:r>
        <w:t>.</w:t>
      </w:r>
    </w:p>
    <w:p w14:paraId="23D24D87" w14:textId="77777777" w:rsidR="00463F43" w:rsidRDefault="00463F43" w:rsidP="00463F43">
      <w:r>
        <w:t>In 2022</w:t>
      </w:r>
      <w:r w:rsidRPr="00405702">
        <w:t>, 80%</w:t>
      </w:r>
      <w:r w:rsidRPr="00B259D8">
        <w:t xml:space="preserve"> of</w:t>
      </w:r>
      <w:r w:rsidRPr="0048614B">
        <w:t xml:space="preserve"> all </w:t>
      </w:r>
      <w:r>
        <w:t xml:space="preserve">unrelated </w:t>
      </w:r>
      <w:r w:rsidRPr="0048614B">
        <w:t xml:space="preserve">HPC transplants performed </w:t>
      </w:r>
      <w:r>
        <w:t xml:space="preserve">in Australia </w:t>
      </w:r>
      <w:r w:rsidRPr="0048614B">
        <w:t>use</w:t>
      </w:r>
      <w:r>
        <w:t>d</w:t>
      </w:r>
      <w:r w:rsidRPr="0048614B">
        <w:t xml:space="preserve"> HPCs from an overseas donor</w:t>
      </w:r>
      <w:r>
        <w:rPr>
          <w:rStyle w:val="FootnoteReference"/>
        </w:rPr>
        <w:footnoteReference w:id="6"/>
      </w:r>
      <w:r w:rsidRPr="0048614B">
        <w:t xml:space="preserve">. </w:t>
      </w:r>
      <w:r>
        <w:t xml:space="preserve">Transplants utilising </w:t>
      </w:r>
      <w:r w:rsidRPr="0048614B">
        <w:t xml:space="preserve">overseas </w:t>
      </w:r>
      <w:r>
        <w:t xml:space="preserve">donor HPCs </w:t>
      </w:r>
      <w:r w:rsidRPr="0048614B">
        <w:t>are vulnerable to the timely availability of the overseas donor</w:t>
      </w:r>
      <w:r>
        <w:t>, tissue collection</w:t>
      </w:r>
      <w:r w:rsidRPr="0048614B">
        <w:t xml:space="preserve"> and processing, </w:t>
      </w:r>
      <w:r>
        <w:t xml:space="preserve">and </w:t>
      </w:r>
      <w:r w:rsidRPr="0048614B">
        <w:t xml:space="preserve">variations in commercial air transport routes. </w:t>
      </w:r>
      <w:r>
        <w:lastRenderedPageBreak/>
        <w:t>The COVID-19 pandemic resulted in donor cells being processed and cryopreserved prior to shipment to the Australian transplant centre, which added not only logistical complexity to the transplant process but increased the cost of these donor cells to the Australian healthcare system. Although export revenue for the use of an adult donor HPC to international patients is received by ABMDR, there is a net cost imbalance due to the high percentage of Australian patients currently requiring more costly donor cells from overseas.</w:t>
      </w:r>
    </w:p>
    <w:p w14:paraId="55F50497" w14:textId="77777777" w:rsidR="00463F43" w:rsidRDefault="00463F43" w:rsidP="00463F43">
      <w:pPr>
        <w:pStyle w:val="Heading2"/>
      </w:pPr>
      <w:bookmarkStart w:id="3" w:name="_Toc134611347"/>
      <w:r>
        <w:t>Current HPC donor recruitment and testing in Australia</w:t>
      </w:r>
      <w:bookmarkEnd w:id="3"/>
    </w:p>
    <w:p w14:paraId="33BDF8D0" w14:textId="77777777" w:rsidR="00463F43" w:rsidRDefault="00463F43" w:rsidP="00463F43">
      <w:r w:rsidRPr="003E077A">
        <w:t>In the absence of a current formalised national plan for HPC recruitment and testing, the ABMDR and</w:t>
      </w:r>
      <w:r>
        <w:t xml:space="preserve"> the Australian Red Cross</w:t>
      </w:r>
      <w:r w:rsidRPr="003E077A">
        <w:t xml:space="preserve"> Lifeblood</w:t>
      </w:r>
      <w:r>
        <w:t xml:space="preserve"> (Lifeblood)</w:t>
      </w:r>
      <w:r w:rsidRPr="003E077A">
        <w:t xml:space="preserve"> </w:t>
      </w:r>
      <w:r>
        <w:t xml:space="preserve">have </w:t>
      </w:r>
      <w:r w:rsidRPr="003E077A">
        <w:t>undertake</w:t>
      </w:r>
      <w:r>
        <w:t>n</w:t>
      </w:r>
      <w:r w:rsidRPr="003E077A">
        <w:t xml:space="preserve"> HPC recruitment activities in parallel</w:t>
      </w:r>
      <w:r>
        <w:t xml:space="preserve">. There is also </w:t>
      </w:r>
      <w:r w:rsidRPr="003E077A">
        <w:t xml:space="preserve">notable and substantial engagement of highly motivated patient representative groups advocating for </w:t>
      </w:r>
      <w:r>
        <w:t xml:space="preserve">changes to current donor recruitment on behalf of </w:t>
      </w:r>
      <w:r w:rsidRPr="003E077A">
        <w:t>individual patients for whom HPC donors may be immediately difficult to identify</w:t>
      </w:r>
      <w:r>
        <w:t>.</w:t>
      </w:r>
    </w:p>
    <w:p w14:paraId="19FF02E1" w14:textId="25017622" w:rsidR="00463F43" w:rsidRDefault="00463F43" w:rsidP="00463F43">
      <w:r>
        <w:t xml:space="preserve">Lifeblood is contracted to recruit individuals to the national registry when they present to a Lifeblood centre as a blood donor. Lifeblood is funded for the testing </w:t>
      </w:r>
      <w:r w:rsidR="006D018C">
        <w:t>of</w:t>
      </w:r>
      <w:r>
        <w:t xml:space="preserve"> all blood donor recruitment, but HPC </w:t>
      </w:r>
      <w:r w:rsidRPr="006D018C">
        <w:t>recruitment and HLA typing is not covered by the Deed of Agreement between Lifeblood and the National Blood Authority.</w:t>
      </w:r>
      <w:r>
        <w:t xml:space="preserve"> HPC </w:t>
      </w:r>
      <w:r w:rsidR="006D018C">
        <w:t xml:space="preserve">donor </w:t>
      </w:r>
      <w:r>
        <w:t xml:space="preserve">recruitment and HLA testing is funded via separate agreements with each state or territory. This is further complicated with two states contracting Lifeblood for only HPC </w:t>
      </w:r>
      <w:r w:rsidR="006D018C">
        <w:t xml:space="preserve">donor </w:t>
      </w:r>
      <w:r>
        <w:t>recruitment and contracting the HLA testing within their own state pathology entities.</w:t>
      </w:r>
    </w:p>
    <w:p w14:paraId="671E37DE" w14:textId="79EB8E7A" w:rsidR="00463F43" w:rsidRDefault="00463F43" w:rsidP="00463F43">
      <w:r>
        <w:t>Most blood donors do not currently undergo HLA typing, only those who elect to become platelet donors undergo such testing. As with HPC registrants, there is a limited pool of domestic platelet donors, particularly those with rare HLA or human platelet antigen (HPA) expression. This leads to increased pressure on identifying appropriate platelet donors, and those individuals to be called upon more frequently to repeatedly provide platelet donations. The register of platelet donors is held separately to HPC donors on the national registry.</w:t>
      </w:r>
    </w:p>
    <w:p w14:paraId="0D524074" w14:textId="1324A623" w:rsidR="00463F43" w:rsidRDefault="00463F43" w:rsidP="00463F43">
      <w:r>
        <w:t>Currently, there are very few Australian testing providers accredited to perform HLA testing using buccal swab samples. There are no Australian providers of buccal swab</w:t>
      </w:r>
      <w:r>
        <w:noBreakHyphen/>
        <w:t>based testing for either molecular blood group (ABO and Rhesus</w:t>
      </w:r>
      <w:r>
        <w:rPr>
          <w:rStyle w:val="FootnoteReference"/>
        </w:rPr>
        <w:footnoteReference w:id="7"/>
      </w:r>
      <w:r>
        <w:t xml:space="preserve"> (Rh)D testing), or cytomegalovirus (CMV) immunoglobulin (Ig) testing, which are mandated for HPC </w:t>
      </w:r>
      <w:r w:rsidR="006D018C">
        <w:t xml:space="preserve">donor </w:t>
      </w:r>
      <w:r>
        <w:t>recruitment.</w:t>
      </w:r>
    </w:p>
    <w:p w14:paraId="277F5ED6" w14:textId="77777777" w:rsidR="00463F43" w:rsidRPr="00A42F6F" w:rsidRDefault="00463F43" w:rsidP="00463F43">
      <w:r>
        <w:t xml:space="preserve">The ABMDR has performed two recruitment pilot programs (Strength to Give 1 and 2) that used buccal swab-based samples. These samples were sent to overseas laboratories (Histogenetics and/or DKMS) during Strength to Give 1 (STG1: 2019-2020). During Strength to Give 2 (STG2: 2020-2021) HLA typing was performed by PathWest with ABO and Rh blood group and CMV testing performed overseas. </w:t>
      </w:r>
    </w:p>
    <w:p w14:paraId="5C65F029" w14:textId="77777777" w:rsidR="00463F43" w:rsidRDefault="00463F43" w:rsidP="00463F43">
      <w:pPr>
        <w:rPr>
          <w:rFonts w:asciiTheme="majorHAnsi" w:eastAsiaTheme="majorEastAsia" w:hAnsiTheme="majorHAnsi" w:cstheme="majorBidi"/>
          <w:b/>
          <w:color w:val="C45911" w:themeColor="accent2" w:themeShade="BF"/>
          <w:sz w:val="28"/>
          <w:szCs w:val="26"/>
        </w:rPr>
      </w:pPr>
      <w:r>
        <w:br w:type="page"/>
      </w:r>
    </w:p>
    <w:p w14:paraId="4DBB4C7B" w14:textId="77777777" w:rsidR="00463F43" w:rsidRPr="00656857" w:rsidRDefault="00463F43" w:rsidP="00463F43">
      <w:pPr>
        <w:pStyle w:val="Heading2"/>
      </w:pPr>
      <w:bookmarkStart w:id="4" w:name="_Toc134611348"/>
      <w:r w:rsidRPr="00656857">
        <w:lastRenderedPageBreak/>
        <w:t>The National HPC Framework</w:t>
      </w:r>
      <w:bookmarkEnd w:id="4"/>
      <w:r w:rsidRPr="00656857">
        <w:t xml:space="preserve"> </w:t>
      </w:r>
    </w:p>
    <w:p w14:paraId="2571E0A1" w14:textId="77777777" w:rsidR="00463F43" w:rsidRPr="0098587E" w:rsidRDefault="00463F43" w:rsidP="00463F43">
      <w:r>
        <w:t>In 2021, all Governments agreed upon the implementation of the National HPC Framework (Framework)</w:t>
      </w:r>
      <w:r>
        <w:rPr>
          <w:rStyle w:val="FootnoteReference"/>
        </w:rPr>
        <w:footnoteReference w:id="8"/>
      </w:r>
      <w:r>
        <w:t xml:space="preserve">. The Framework describes five long-term strategic </w:t>
      </w:r>
      <w:r w:rsidRPr="0098587E">
        <w:t>objectives for the development of the HPC sector in Australia</w:t>
      </w:r>
      <w:r>
        <w:t>. These are to</w:t>
      </w:r>
      <w:r w:rsidRPr="0098587E">
        <w:t>:</w:t>
      </w:r>
    </w:p>
    <w:p w14:paraId="1CC34114" w14:textId="77777777" w:rsidR="00463F43" w:rsidRPr="00495AE8" w:rsidRDefault="00463F43" w:rsidP="00463F43">
      <w:pPr>
        <w:pStyle w:val="ListNumber"/>
        <w:numPr>
          <w:ilvl w:val="0"/>
          <w:numId w:val="3"/>
        </w:numPr>
        <w:rPr>
          <w:rFonts w:asciiTheme="minorHAnsi" w:hAnsiTheme="minorHAnsi" w:cstheme="minorHAnsi"/>
        </w:rPr>
      </w:pPr>
      <w:r w:rsidRPr="00495AE8">
        <w:rPr>
          <w:rFonts w:asciiTheme="minorHAnsi" w:hAnsiTheme="minorHAnsi" w:cstheme="minorHAnsi"/>
        </w:rPr>
        <w:t>Facilitate safe, standardised, high quality clinical HPC services for all Australians.</w:t>
      </w:r>
    </w:p>
    <w:p w14:paraId="09A465C6" w14:textId="798599D3" w:rsidR="00463F43" w:rsidRPr="00495AE8" w:rsidRDefault="00463F43" w:rsidP="00463F43">
      <w:pPr>
        <w:pStyle w:val="ListNumber"/>
        <w:rPr>
          <w:rFonts w:asciiTheme="minorHAnsi" w:hAnsiTheme="minorHAnsi" w:cstheme="minorHAnsi"/>
        </w:rPr>
      </w:pPr>
      <w:r w:rsidRPr="00495AE8">
        <w:rPr>
          <w:rFonts w:asciiTheme="minorHAnsi" w:hAnsiTheme="minorHAnsi" w:cstheme="minorHAnsi"/>
        </w:rPr>
        <w:t>Facilitate equitable access to life</w:t>
      </w:r>
      <w:r w:rsidR="003250DB">
        <w:rPr>
          <w:rFonts w:asciiTheme="minorHAnsi" w:hAnsiTheme="minorHAnsi" w:cstheme="minorHAnsi"/>
        </w:rPr>
        <w:t xml:space="preserve"> </w:t>
      </w:r>
      <w:r w:rsidRPr="00495AE8">
        <w:rPr>
          <w:rFonts w:asciiTheme="minorHAnsi" w:hAnsiTheme="minorHAnsi" w:cstheme="minorHAnsi"/>
        </w:rPr>
        <w:t xml:space="preserve">saving HPC transplantation for all Australian patients, ensuring the needs of vulnerable groups are met. </w:t>
      </w:r>
    </w:p>
    <w:p w14:paraId="02E117AD" w14:textId="77777777" w:rsidR="00463F43" w:rsidRPr="00495AE8" w:rsidRDefault="00463F43" w:rsidP="00463F43">
      <w:pPr>
        <w:pStyle w:val="ListNumber"/>
        <w:rPr>
          <w:rFonts w:asciiTheme="minorHAnsi" w:hAnsiTheme="minorHAnsi" w:cstheme="minorHAnsi"/>
        </w:rPr>
      </w:pPr>
      <w:r w:rsidRPr="00495AE8">
        <w:rPr>
          <w:rFonts w:asciiTheme="minorHAnsi" w:hAnsiTheme="minorHAnsi" w:cstheme="minorHAnsi"/>
        </w:rPr>
        <w:t>Ensure HPCs are supplied through efficient, effective, appropriate service delivery and that the supply addresses clinical and patient needs.</w:t>
      </w:r>
    </w:p>
    <w:p w14:paraId="10560AE9" w14:textId="296EFCCE" w:rsidR="00463F43" w:rsidRPr="00495AE8" w:rsidRDefault="00463F43" w:rsidP="00463F43">
      <w:pPr>
        <w:pStyle w:val="ListNumber"/>
        <w:rPr>
          <w:rFonts w:asciiTheme="minorHAnsi" w:hAnsiTheme="minorHAnsi" w:cstheme="minorHAnsi"/>
        </w:rPr>
      </w:pPr>
      <w:r w:rsidRPr="00495AE8">
        <w:rPr>
          <w:rFonts w:asciiTheme="minorHAnsi" w:hAnsiTheme="minorHAnsi" w:cstheme="minorHAnsi"/>
        </w:rPr>
        <w:t>Reduce reliance on internationally</w:t>
      </w:r>
      <w:r>
        <w:rPr>
          <w:rFonts w:asciiTheme="minorHAnsi" w:hAnsiTheme="minorHAnsi" w:cstheme="minorHAnsi"/>
        </w:rPr>
        <w:t xml:space="preserve"> </w:t>
      </w:r>
      <w:r w:rsidRPr="00495AE8">
        <w:rPr>
          <w:rFonts w:asciiTheme="minorHAnsi" w:hAnsiTheme="minorHAnsi" w:cstheme="minorHAnsi"/>
        </w:rPr>
        <w:t>sourced HPCs for transplantation</w:t>
      </w:r>
      <w:r w:rsidR="003250DB">
        <w:rPr>
          <w:rFonts w:asciiTheme="minorHAnsi" w:hAnsiTheme="minorHAnsi" w:cstheme="minorHAnsi"/>
        </w:rPr>
        <w:t>,</w:t>
      </w:r>
      <w:r w:rsidRPr="00495AE8">
        <w:rPr>
          <w:rFonts w:asciiTheme="minorHAnsi" w:hAnsiTheme="minorHAnsi" w:cstheme="minorHAnsi"/>
        </w:rPr>
        <w:t xml:space="preserve"> through improvements to tissue typing and improved donor recruitmen</w:t>
      </w:r>
      <w:r w:rsidR="003250DB">
        <w:rPr>
          <w:rFonts w:asciiTheme="minorHAnsi" w:hAnsiTheme="minorHAnsi" w:cstheme="minorHAnsi"/>
        </w:rPr>
        <w:t>t</w:t>
      </w:r>
      <w:r w:rsidRPr="00495AE8">
        <w:rPr>
          <w:rFonts w:asciiTheme="minorHAnsi" w:hAnsiTheme="minorHAnsi" w:cstheme="minorHAnsi"/>
        </w:rPr>
        <w:t xml:space="preserve"> that is evidence-based (i.e. based on true clinical demand with consideration of emerging trends).</w:t>
      </w:r>
    </w:p>
    <w:p w14:paraId="4FED55ED" w14:textId="77777777" w:rsidR="00463F43" w:rsidRDefault="00463F43" w:rsidP="00463F43">
      <w:pPr>
        <w:pStyle w:val="ListNumber"/>
        <w:rPr>
          <w:rFonts w:asciiTheme="minorHAnsi" w:hAnsiTheme="minorHAnsi" w:cstheme="minorHAnsi"/>
        </w:rPr>
      </w:pPr>
      <w:r w:rsidRPr="00495AE8">
        <w:rPr>
          <w:rFonts w:asciiTheme="minorHAnsi" w:hAnsiTheme="minorHAnsi" w:cstheme="minorHAnsi"/>
        </w:rPr>
        <w:t xml:space="preserve">Enable appropriate development and implementation of national and state and territory strategies to support governance and operations that enhance coordination across the sector. </w:t>
      </w:r>
    </w:p>
    <w:p w14:paraId="5F06484D" w14:textId="000654E0" w:rsidR="00463F43" w:rsidRDefault="00463F43" w:rsidP="00463F43">
      <w:r>
        <w:t>In parallel to the consideration of adult donor recruitment reform in Australia, the cord blood sector is also being reviewed by the Jurisdictional HPC Committee (JHPCC) which oversees HPC policy and its funding in Australia</w:t>
      </w:r>
      <w:r w:rsidR="006D018C">
        <w:t>.</w:t>
      </w:r>
    </w:p>
    <w:p w14:paraId="0F109EB2" w14:textId="77777777" w:rsidR="00463F43" w:rsidRPr="00405702" w:rsidRDefault="00463F43" w:rsidP="00463F43">
      <w:pPr>
        <w:pStyle w:val="BodyText"/>
        <w:spacing w:before="229" w:line="276" w:lineRule="auto"/>
        <w:ind w:right="114"/>
        <w:rPr>
          <w:rFonts w:asciiTheme="minorHAnsi" w:hAnsiTheme="minorHAnsi" w:cstheme="minorHAnsi"/>
          <w:b/>
          <w:bCs/>
        </w:rPr>
      </w:pPr>
      <w:r w:rsidRPr="00405702">
        <w:rPr>
          <w:rFonts w:asciiTheme="minorHAnsi" w:hAnsiTheme="minorHAnsi" w:cstheme="minorHAnsi"/>
          <w:b/>
          <w:bCs/>
        </w:rPr>
        <w:t>This report provides the recommendations from the HPC Sector Clinical Advisory Group on unrelated adult donor HPC recruitment reform in Australia.</w:t>
      </w:r>
    </w:p>
    <w:p w14:paraId="0BA4DBA6" w14:textId="77777777" w:rsidR="00463F43" w:rsidRDefault="00463F43" w:rsidP="00463F43">
      <w:pPr>
        <w:pStyle w:val="Heading2"/>
      </w:pPr>
    </w:p>
    <w:p w14:paraId="4E8B1FA2" w14:textId="77777777" w:rsidR="00463F43" w:rsidRDefault="00463F43" w:rsidP="00463F43">
      <w:pPr>
        <w:pStyle w:val="Heading2"/>
      </w:pPr>
      <w:bookmarkStart w:id="5" w:name="_Toc134611349"/>
      <w:r>
        <w:t>Haemopoietic Progenitor Cell (HPC) Sector Clinical Advisory Group</w:t>
      </w:r>
      <w:bookmarkEnd w:id="5"/>
    </w:p>
    <w:p w14:paraId="4A4969C2" w14:textId="5CC5CC50" w:rsidR="00463F43" w:rsidRPr="008D40DA" w:rsidRDefault="00463F43" w:rsidP="00463F43">
      <w:pPr>
        <w:pStyle w:val="StyleBodyTextLatinBodyCalibri"/>
        <w:rPr>
          <w:b/>
          <w:bCs/>
        </w:rPr>
      </w:pPr>
      <w:r w:rsidRPr="008D40DA">
        <w:t xml:space="preserve">The Haemopoietic Progenitor Cell (HPC) Sector Clinical Advisory Group (Advisory Group) </w:t>
      </w:r>
      <w:r>
        <w:t>was established by the Department of Health and Aged Care in 2022 to provide</w:t>
      </w:r>
      <w:r w:rsidRPr="008D40DA">
        <w:t xml:space="preserve"> advice to </w:t>
      </w:r>
      <w:r w:rsidRPr="00A94A2D">
        <w:rPr>
          <w:rStyle w:val="Hyperlink"/>
          <w:rFonts w:cstheme="minorHAnsi"/>
          <w:color w:val="auto"/>
          <w:u w:val="none"/>
        </w:rPr>
        <w:t>the Jurisdictional HPC Committee</w:t>
      </w:r>
      <w:r w:rsidRPr="006D018C">
        <w:t xml:space="preserve"> </w:t>
      </w:r>
      <w:r w:rsidRPr="00003059">
        <w:t>to support the implementation of the</w:t>
      </w:r>
      <w:r w:rsidRPr="00F126FA">
        <w:t xml:space="preserve"> </w:t>
      </w:r>
      <w:hyperlink r:id="rId9" w:history="1">
        <w:r w:rsidRPr="008D40DA">
          <w:rPr>
            <w:rStyle w:val="Hyperlink"/>
            <w:rFonts w:cstheme="minorHAnsi"/>
          </w:rPr>
          <w:t xml:space="preserve">National </w:t>
        </w:r>
        <w:r w:rsidR="006D018C">
          <w:rPr>
            <w:rStyle w:val="Hyperlink"/>
            <w:rFonts w:cstheme="minorHAnsi"/>
          </w:rPr>
          <w:t>HPC</w:t>
        </w:r>
        <w:r w:rsidRPr="008D40DA">
          <w:rPr>
            <w:rStyle w:val="Hyperlink"/>
            <w:rFonts w:cstheme="minorHAnsi"/>
          </w:rPr>
          <w:t xml:space="preserve"> Framework</w:t>
        </w:r>
      </w:hyperlink>
      <w:r>
        <w:rPr>
          <w:rStyle w:val="Hyperlink"/>
          <w:rFonts w:cstheme="minorHAnsi"/>
        </w:rPr>
        <w:t>.</w:t>
      </w:r>
      <w:r w:rsidRPr="00003059">
        <w:t xml:space="preserve"> </w:t>
      </w:r>
    </w:p>
    <w:p w14:paraId="7D6B247E" w14:textId="77777777" w:rsidR="00463F43" w:rsidRDefault="00463F43" w:rsidP="00463F43">
      <w:pPr>
        <w:pStyle w:val="Heading3"/>
      </w:pPr>
    </w:p>
    <w:p w14:paraId="126400FE" w14:textId="77777777" w:rsidR="00463F43" w:rsidRDefault="00463F43" w:rsidP="00463F43">
      <w:pPr>
        <w:pStyle w:val="Heading3"/>
      </w:pPr>
      <w:bookmarkStart w:id="6" w:name="_Toc134611350"/>
      <w:r>
        <w:t>Membership</w:t>
      </w:r>
      <w:bookmarkEnd w:id="6"/>
    </w:p>
    <w:p w14:paraId="2186D6A2" w14:textId="537A756E" w:rsidR="00463F43" w:rsidRPr="00003059" w:rsidRDefault="00463F43" w:rsidP="00463F43">
      <w:pPr>
        <w:pStyle w:val="StyleBodyTextLatinBodyCalibri"/>
      </w:pPr>
      <w:r w:rsidRPr="00E43437">
        <w:t xml:space="preserve">The </w:t>
      </w:r>
      <w:r>
        <w:t>Advisory Group</w:t>
      </w:r>
      <w:r w:rsidRPr="00E43437">
        <w:rPr>
          <w:spacing w:val="1"/>
        </w:rPr>
        <w:t xml:space="preserve"> </w:t>
      </w:r>
      <w:r>
        <w:rPr>
          <w:spacing w:val="1"/>
        </w:rPr>
        <w:t xml:space="preserve">currently </w:t>
      </w:r>
      <w:r w:rsidRPr="00003059">
        <w:t>comprises of 12</w:t>
      </w:r>
      <w:r w:rsidRPr="00E43437">
        <w:rPr>
          <w:spacing w:val="1"/>
        </w:rPr>
        <w:t xml:space="preserve"> </w:t>
      </w:r>
      <w:r w:rsidRPr="00003059">
        <w:t>members</w:t>
      </w:r>
      <w:r w:rsidRPr="00E43437">
        <w:rPr>
          <w:spacing w:val="1"/>
        </w:rPr>
        <w:t xml:space="preserve"> </w:t>
      </w:r>
      <w:r>
        <w:t>with expertise</w:t>
      </w:r>
      <w:r w:rsidRPr="00E43437">
        <w:rPr>
          <w:spacing w:val="2"/>
        </w:rPr>
        <w:t xml:space="preserve"> </w:t>
      </w:r>
      <w:r w:rsidRPr="00003059">
        <w:t>in</w:t>
      </w:r>
      <w:r w:rsidRPr="00E43437">
        <w:rPr>
          <w:spacing w:val="2"/>
        </w:rPr>
        <w:t xml:space="preserve"> </w:t>
      </w:r>
      <w:r w:rsidRPr="00003059">
        <w:t>clinical</w:t>
      </w:r>
      <w:r>
        <w:rPr>
          <w:spacing w:val="2"/>
        </w:rPr>
        <w:t xml:space="preserve"> haematology including HPC transplantation, scientific expertise in histocompatibility HLA typing, as well as experts in Australian laboratory accreditation and regulations (Table 1)</w:t>
      </w:r>
      <w:r w:rsidRPr="00003059">
        <w:t>.</w:t>
      </w:r>
    </w:p>
    <w:p w14:paraId="4CE4CDD5" w14:textId="77777777" w:rsidR="00463F43" w:rsidRDefault="00463F43" w:rsidP="00463F43">
      <w:pPr>
        <w:rPr>
          <w:rFonts w:cstheme="minorHAnsi"/>
          <w:b/>
          <w:bCs/>
        </w:rPr>
      </w:pPr>
    </w:p>
    <w:p w14:paraId="00B93B13" w14:textId="77777777" w:rsidR="00463F43" w:rsidRDefault="00463F43" w:rsidP="00463F43">
      <w:pPr>
        <w:rPr>
          <w:rFonts w:ascii="Franklin Gothic Book" w:eastAsia="Franklin Gothic Book" w:hAnsi="Franklin Gothic Book" w:cstheme="minorHAnsi"/>
          <w:b/>
          <w:bCs/>
          <w:lang w:val="en-GB"/>
        </w:rPr>
      </w:pPr>
      <w:r>
        <w:rPr>
          <w:rFonts w:cstheme="minorHAnsi"/>
          <w:b/>
          <w:bCs/>
        </w:rPr>
        <w:br w:type="page"/>
      </w:r>
    </w:p>
    <w:p w14:paraId="5D1C0172" w14:textId="77777777" w:rsidR="00463F43" w:rsidRDefault="00463F43" w:rsidP="00463F43">
      <w:pPr>
        <w:pStyle w:val="BodyText"/>
        <w:spacing w:before="229" w:line="276" w:lineRule="auto"/>
        <w:ind w:right="114"/>
        <w:rPr>
          <w:rFonts w:cstheme="minorHAnsi"/>
          <w:b/>
          <w:bCs/>
        </w:rPr>
      </w:pPr>
    </w:p>
    <w:p w14:paraId="16705F70" w14:textId="77777777" w:rsidR="00463F43" w:rsidRDefault="00463F43" w:rsidP="00463F43">
      <w:pPr>
        <w:pStyle w:val="Heading5"/>
      </w:pPr>
      <w:r>
        <w:rPr>
          <w:bCs/>
        </w:rPr>
        <w:t>T</w:t>
      </w:r>
      <w:r w:rsidRPr="00556BDB">
        <w:rPr>
          <w:bCs/>
        </w:rPr>
        <w:t>able 1:</w:t>
      </w:r>
      <w:r>
        <w:t xml:space="preserve"> Expertise and Affiliation of Advisory Group Members</w:t>
      </w:r>
    </w:p>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2551"/>
        <w:gridCol w:w="4967"/>
      </w:tblGrid>
      <w:tr w:rsidR="00463F43" w:rsidRPr="003B5476" w14:paraId="7AC9C3FD" w14:textId="77777777" w:rsidTr="00CD3CD0">
        <w:trPr>
          <w:tblHeader/>
        </w:trPr>
        <w:tc>
          <w:tcPr>
            <w:tcW w:w="1980" w:type="dxa"/>
            <w:shd w:val="clear" w:color="auto" w:fill="auto"/>
            <w:vAlign w:val="center"/>
            <w:hideMark/>
          </w:tcPr>
          <w:p w14:paraId="700A15A4" w14:textId="77777777" w:rsidR="00463F43" w:rsidRPr="006228CA" w:rsidRDefault="00463F43" w:rsidP="00CD3CD0">
            <w:pPr>
              <w:spacing w:before="40" w:after="40"/>
              <w:rPr>
                <w:rFonts w:asciiTheme="minorHAnsi" w:hAnsiTheme="minorHAnsi" w:cstheme="minorHAnsi"/>
                <w:b/>
                <w:sz w:val="22"/>
                <w:szCs w:val="22"/>
                <w:lang w:val="en-US"/>
              </w:rPr>
            </w:pPr>
            <w:r w:rsidRPr="006228CA">
              <w:rPr>
                <w:rFonts w:asciiTheme="minorHAnsi" w:hAnsiTheme="minorHAnsi" w:cstheme="minorHAnsi"/>
                <w:b/>
                <w:sz w:val="22"/>
                <w:szCs w:val="22"/>
              </w:rPr>
              <w:t xml:space="preserve">Name of </w:t>
            </w:r>
            <w:r>
              <w:rPr>
                <w:rFonts w:asciiTheme="minorHAnsi" w:hAnsiTheme="minorHAnsi" w:cstheme="minorHAnsi"/>
                <w:b/>
                <w:sz w:val="22"/>
                <w:szCs w:val="22"/>
              </w:rPr>
              <w:t>M</w:t>
            </w:r>
            <w:r w:rsidRPr="006228CA">
              <w:rPr>
                <w:rFonts w:asciiTheme="minorHAnsi" w:hAnsiTheme="minorHAnsi" w:cstheme="minorHAnsi"/>
                <w:b/>
                <w:sz w:val="22"/>
                <w:szCs w:val="22"/>
              </w:rPr>
              <w:t>ember</w:t>
            </w:r>
          </w:p>
        </w:tc>
        <w:tc>
          <w:tcPr>
            <w:tcW w:w="2551" w:type="dxa"/>
            <w:shd w:val="clear" w:color="auto" w:fill="auto"/>
            <w:vAlign w:val="center"/>
            <w:hideMark/>
          </w:tcPr>
          <w:p w14:paraId="4DED1922" w14:textId="77777777" w:rsidR="00463F43" w:rsidRPr="006228CA" w:rsidRDefault="00463F43" w:rsidP="00CD3CD0">
            <w:pPr>
              <w:spacing w:before="40" w:after="40"/>
              <w:jc w:val="center"/>
              <w:rPr>
                <w:rFonts w:asciiTheme="minorHAnsi" w:hAnsiTheme="minorHAnsi" w:cstheme="minorHAnsi"/>
                <w:b/>
                <w:sz w:val="22"/>
                <w:szCs w:val="22"/>
              </w:rPr>
            </w:pPr>
            <w:r w:rsidRPr="006228CA">
              <w:rPr>
                <w:rFonts w:asciiTheme="minorHAnsi" w:hAnsiTheme="minorHAnsi" w:cstheme="minorHAnsi"/>
                <w:b/>
                <w:sz w:val="22"/>
                <w:szCs w:val="22"/>
              </w:rPr>
              <w:t>Nature of Participation</w:t>
            </w:r>
          </w:p>
        </w:tc>
        <w:tc>
          <w:tcPr>
            <w:tcW w:w="4967" w:type="dxa"/>
            <w:shd w:val="clear" w:color="auto" w:fill="auto"/>
          </w:tcPr>
          <w:p w14:paraId="1BE9FE34" w14:textId="77777777" w:rsidR="00463F43" w:rsidRPr="001B18C5" w:rsidRDefault="00463F43" w:rsidP="00CD3CD0">
            <w:pPr>
              <w:spacing w:before="40" w:after="40"/>
              <w:jc w:val="center"/>
              <w:rPr>
                <w:rFonts w:asciiTheme="minorHAnsi" w:hAnsiTheme="minorHAnsi" w:cstheme="minorHAnsi"/>
                <w:b/>
                <w:sz w:val="22"/>
                <w:szCs w:val="22"/>
              </w:rPr>
            </w:pPr>
            <w:r>
              <w:rPr>
                <w:rFonts w:asciiTheme="minorHAnsi" w:hAnsiTheme="minorHAnsi" w:cstheme="minorHAnsi"/>
                <w:b/>
                <w:sz w:val="22"/>
                <w:szCs w:val="22"/>
              </w:rPr>
              <w:t>Affiliation</w:t>
            </w:r>
          </w:p>
        </w:tc>
      </w:tr>
      <w:tr w:rsidR="00463F43" w:rsidRPr="006228CA" w14:paraId="2522AC06" w14:textId="77777777" w:rsidTr="00CD3CD0">
        <w:tc>
          <w:tcPr>
            <w:tcW w:w="1980" w:type="dxa"/>
            <w:shd w:val="clear" w:color="auto" w:fill="auto"/>
            <w:vAlign w:val="center"/>
          </w:tcPr>
          <w:p w14:paraId="2970BC78"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Dr Neil Everest</w:t>
            </w:r>
            <w:r>
              <w:rPr>
                <w:rFonts w:asciiTheme="minorHAnsi" w:hAnsiTheme="minorHAnsi" w:cstheme="minorHAnsi"/>
                <w:bCs/>
                <w:sz w:val="22"/>
                <w:szCs w:val="22"/>
              </w:rPr>
              <w:t xml:space="preserve"> (Chair)</w:t>
            </w:r>
          </w:p>
        </w:tc>
        <w:tc>
          <w:tcPr>
            <w:tcW w:w="2551" w:type="dxa"/>
            <w:shd w:val="clear" w:color="auto" w:fill="auto"/>
            <w:vAlign w:val="center"/>
          </w:tcPr>
          <w:p w14:paraId="64FB0F4C" w14:textId="68093AA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w:t>
            </w:r>
            <w:r w:rsidR="006D018C">
              <w:rPr>
                <w:rFonts w:asciiTheme="minorHAnsi" w:hAnsiTheme="minorHAnsi" w:cstheme="minorHAnsi"/>
                <w:sz w:val="22"/>
                <w:szCs w:val="22"/>
              </w:rPr>
              <w:t>ommon</w:t>
            </w:r>
            <w:r w:rsidRPr="006228CA">
              <w:rPr>
                <w:rFonts w:asciiTheme="minorHAnsi" w:hAnsiTheme="minorHAnsi" w:cstheme="minorHAnsi"/>
                <w:sz w:val="22"/>
                <w:szCs w:val="22"/>
              </w:rPr>
              <w:t>w</w:t>
            </w:r>
            <w:r w:rsidR="006D018C">
              <w:rPr>
                <w:rFonts w:asciiTheme="minorHAnsi" w:hAnsiTheme="minorHAnsi" w:cstheme="minorHAnsi"/>
                <w:sz w:val="22"/>
                <w:szCs w:val="22"/>
              </w:rPr>
              <w:t>eal</w:t>
            </w:r>
            <w:r w:rsidRPr="006228CA">
              <w:rPr>
                <w:rFonts w:asciiTheme="minorHAnsi" w:hAnsiTheme="minorHAnsi" w:cstheme="minorHAnsi"/>
                <w:sz w:val="22"/>
                <w:szCs w:val="22"/>
              </w:rPr>
              <w:t>th Medical Advis</w:t>
            </w:r>
            <w:r>
              <w:rPr>
                <w:rFonts w:asciiTheme="minorHAnsi" w:hAnsiTheme="minorHAnsi" w:cstheme="minorHAnsi"/>
                <w:sz w:val="22"/>
                <w:szCs w:val="22"/>
              </w:rPr>
              <w:t>e</w:t>
            </w:r>
            <w:r w:rsidRPr="006228CA">
              <w:rPr>
                <w:rFonts w:asciiTheme="minorHAnsi" w:hAnsiTheme="minorHAnsi" w:cstheme="minorHAnsi"/>
                <w:sz w:val="22"/>
                <w:szCs w:val="22"/>
              </w:rPr>
              <w:t>r to the JHPCC</w:t>
            </w:r>
          </w:p>
        </w:tc>
        <w:tc>
          <w:tcPr>
            <w:tcW w:w="4967" w:type="dxa"/>
            <w:shd w:val="clear" w:color="auto" w:fill="auto"/>
            <w:vAlign w:val="center"/>
          </w:tcPr>
          <w:p w14:paraId="0E86D04C" w14:textId="77777777" w:rsidR="00463F43"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 xml:space="preserve">Senior Medical Adviser, </w:t>
            </w:r>
          </w:p>
          <w:p w14:paraId="64F1A67C" w14:textId="77777777" w:rsidR="00463F43" w:rsidRDefault="00463F43" w:rsidP="00CD3CD0">
            <w:pPr>
              <w:jc w:val="center"/>
              <w:rPr>
                <w:rFonts w:asciiTheme="minorHAnsi" w:hAnsiTheme="minorHAnsi" w:cstheme="minorHAnsi"/>
                <w:sz w:val="22"/>
                <w:szCs w:val="22"/>
              </w:rPr>
            </w:pPr>
            <w:r>
              <w:rPr>
                <w:rFonts w:asciiTheme="minorHAnsi" w:hAnsiTheme="minorHAnsi" w:cstheme="minorHAnsi"/>
                <w:sz w:val="22"/>
                <w:szCs w:val="22"/>
              </w:rPr>
              <w:t>T</w:t>
            </w:r>
            <w:r w:rsidRPr="006228CA">
              <w:rPr>
                <w:rFonts w:asciiTheme="minorHAnsi" w:hAnsiTheme="minorHAnsi" w:cstheme="minorHAnsi"/>
                <w:sz w:val="22"/>
                <w:szCs w:val="22"/>
              </w:rPr>
              <w:t xml:space="preserve">echnology Assessment and Access Division, </w:t>
            </w:r>
          </w:p>
          <w:p w14:paraId="258CC9B3"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Department of Health and Aged Care</w:t>
            </w:r>
            <w:r>
              <w:rPr>
                <w:rFonts w:asciiTheme="minorHAnsi" w:hAnsiTheme="minorHAnsi" w:cstheme="minorHAnsi"/>
                <w:sz w:val="22"/>
                <w:szCs w:val="22"/>
              </w:rPr>
              <w:t xml:space="preserve"> (DoHAC)</w:t>
            </w:r>
          </w:p>
        </w:tc>
      </w:tr>
      <w:tr w:rsidR="00463F43" w:rsidRPr="006228CA" w14:paraId="6CD544D3" w14:textId="77777777" w:rsidTr="00CD3CD0">
        <w:tc>
          <w:tcPr>
            <w:tcW w:w="1980" w:type="dxa"/>
            <w:shd w:val="clear" w:color="auto" w:fill="auto"/>
            <w:vAlign w:val="center"/>
          </w:tcPr>
          <w:p w14:paraId="3E2E2D68"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Professor Robert Carroll</w:t>
            </w:r>
          </w:p>
        </w:tc>
        <w:tc>
          <w:tcPr>
            <w:tcW w:w="2551" w:type="dxa"/>
            <w:shd w:val="clear" w:color="auto" w:fill="auto"/>
            <w:vAlign w:val="center"/>
          </w:tcPr>
          <w:p w14:paraId="0C90D6B6"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Nephrologist &amp; Histocompatibility Expert</w:t>
            </w:r>
          </w:p>
        </w:tc>
        <w:tc>
          <w:tcPr>
            <w:tcW w:w="4967" w:type="dxa"/>
            <w:shd w:val="clear" w:color="auto" w:fill="auto"/>
            <w:vAlign w:val="center"/>
          </w:tcPr>
          <w:p w14:paraId="53C1FDF2" w14:textId="77777777" w:rsidR="006D018C"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 xml:space="preserve">Senior Nephrologist, South Australia Health, </w:t>
            </w:r>
          </w:p>
          <w:p w14:paraId="5CF63828" w14:textId="1BF7DCCC" w:rsidR="00463F43" w:rsidRPr="006228CA" w:rsidRDefault="00463F43" w:rsidP="006D018C">
            <w:pPr>
              <w:jc w:val="center"/>
              <w:rPr>
                <w:rFonts w:asciiTheme="minorHAnsi" w:hAnsiTheme="minorHAnsi" w:cstheme="minorHAnsi"/>
                <w:sz w:val="22"/>
                <w:szCs w:val="22"/>
              </w:rPr>
            </w:pPr>
            <w:r w:rsidRPr="006228CA">
              <w:rPr>
                <w:rFonts w:asciiTheme="minorHAnsi" w:hAnsiTheme="minorHAnsi" w:cstheme="minorHAnsi"/>
                <w:sz w:val="22"/>
                <w:szCs w:val="22"/>
              </w:rPr>
              <w:t>SA</w:t>
            </w:r>
            <w:r w:rsidR="006D018C">
              <w:rPr>
                <w:rFonts w:asciiTheme="minorHAnsi" w:hAnsiTheme="minorHAnsi" w:cstheme="minorHAnsi"/>
                <w:sz w:val="22"/>
                <w:szCs w:val="22"/>
              </w:rPr>
              <w:t xml:space="preserve"> </w:t>
            </w:r>
            <w:r w:rsidRPr="006228CA">
              <w:rPr>
                <w:rFonts w:asciiTheme="minorHAnsi" w:hAnsiTheme="minorHAnsi" w:cstheme="minorHAnsi"/>
                <w:sz w:val="22"/>
                <w:szCs w:val="22"/>
              </w:rPr>
              <w:t>Immunogenetics Laboratory Manager, Lifeblood Australian Red Cross Blood Service</w:t>
            </w:r>
          </w:p>
        </w:tc>
      </w:tr>
      <w:tr w:rsidR="00463F43" w:rsidRPr="006228CA" w14:paraId="662B2A9D" w14:textId="77777777" w:rsidTr="00CD3CD0">
        <w:tc>
          <w:tcPr>
            <w:tcW w:w="1980" w:type="dxa"/>
            <w:shd w:val="clear" w:color="auto" w:fill="auto"/>
            <w:vAlign w:val="center"/>
          </w:tcPr>
          <w:p w14:paraId="4CBE3AE1"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Professor Ian Kerridge</w:t>
            </w:r>
          </w:p>
        </w:tc>
        <w:tc>
          <w:tcPr>
            <w:tcW w:w="2551" w:type="dxa"/>
            <w:shd w:val="clear" w:color="auto" w:fill="auto"/>
            <w:vAlign w:val="center"/>
          </w:tcPr>
          <w:p w14:paraId="38E596B1"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Haematologist &amp; Bioethicist</w:t>
            </w:r>
          </w:p>
        </w:tc>
        <w:tc>
          <w:tcPr>
            <w:tcW w:w="4967" w:type="dxa"/>
            <w:shd w:val="clear" w:color="auto" w:fill="auto"/>
            <w:vAlign w:val="center"/>
          </w:tcPr>
          <w:p w14:paraId="5AD2CCAE"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Staff Haematologist and Bone Marrow Transplant Physician, Royal North Shore Hospital, NSW</w:t>
            </w:r>
          </w:p>
          <w:p w14:paraId="64031AE2"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Prof of Bioethics and Medicine, University of Sydney, NSW</w:t>
            </w:r>
          </w:p>
        </w:tc>
      </w:tr>
      <w:tr w:rsidR="00463F43" w:rsidRPr="006228CA" w14:paraId="64851F46" w14:textId="77777777" w:rsidTr="00CD3CD0">
        <w:tc>
          <w:tcPr>
            <w:tcW w:w="1980" w:type="dxa"/>
            <w:shd w:val="clear" w:color="auto" w:fill="auto"/>
            <w:vAlign w:val="center"/>
          </w:tcPr>
          <w:p w14:paraId="210EB310"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Dr Richard Mitchell</w:t>
            </w:r>
          </w:p>
        </w:tc>
        <w:tc>
          <w:tcPr>
            <w:tcW w:w="2551" w:type="dxa"/>
            <w:shd w:val="clear" w:color="auto" w:fill="auto"/>
            <w:vAlign w:val="center"/>
          </w:tcPr>
          <w:p w14:paraId="4BF8211D"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Haematologist - Paediatric HPC transplant</w:t>
            </w:r>
          </w:p>
        </w:tc>
        <w:tc>
          <w:tcPr>
            <w:tcW w:w="4967" w:type="dxa"/>
            <w:shd w:val="clear" w:color="auto" w:fill="auto"/>
            <w:vAlign w:val="center"/>
          </w:tcPr>
          <w:p w14:paraId="091B2723"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Acting Director, Kids Cancer Centre, Sydney Children’s Hospital, NSW</w:t>
            </w:r>
          </w:p>
          <w:p w14:paraId="71B915C5"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Director of Transplant &amp; Cellular Therapies Unit, Kids Cancer Centre, Sydney Children’s Hospital, NSW</w:t>
            </w:r>
          </w:p>
        </w:tc>
      </w:tr>
      <w:tr w:rsidR="00463F43" w:rsidRPr="006228CA" w14:paraId="52AE3A1C" w14:textId="77777777" w:rsidTr="00CD3CD0">
        <w:tc>
          <w:tcPr>
            <w:tcW w:w="1980" w:type="dxa"/>
            <w:shd w:val="clear" w:color="auto" w:fill="auto"/>
            <w:vAlign w:val="center"/>
          </w:tcPr>
          <w:p w14:paraId="620DB23E"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Associate Professor Anna Johnston</w:t>
            </w:r>
          </w:p>
        </w:tc>
        <w:tc>
          <w:tcPr>
            <w:tcW w:w="2551" w:type="dxa"/>
            <w:shd w:val="clear" w:color="auto" w:fill="auto"/>
            <w:vAlign w:val="center"/>
          </w:tcPr>
          <w:p w14:paraId="427BF15B"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Haematologist</w:t>
            </w:r>
          </w:p>
        </w:tc>
        <w:tc>
          <w:tcPr>
            <w:tcW w:w="4967" w:type="dxa"/>
            <w:shd w:val="clear" w:color="auto" w:fill="auto"/>
            <w:vAlign w:val="center"/>
          </w:tcPr>
          <w:p w14:paraId="27E6FB10"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Head of Clinical Haematology and Bone Marrow Transplant, Royal Hobart Hospital, TAS</w:t>
            </w:r>
          </w:p>
          <w:p w14:paraId="633A67D5"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Director, State-wide Bone Marrow Transplant Service, TAS</w:t>
            </w:r>
          </w:p>
        </w:tc>
      </w:tr>
      <w:tr w:rsidR="00463F43" w:rsidRPr="006228CA" w14:paraId="288A04B7" w14:textId="77777777" w:rsidTr="00CD3CD0">
        <w:tc>
          <w:tcPr>
            <w:tcW w:w="1980" w:type="dxa"/>
            <w:shd w:val="clear" w:color="auto" w:fill="auto"/>
            <w:vAlign w:val="center"/>
          </w:tcPr>
          <w:p w14:paraId="00F814F3"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Dr Duncan Purtill</w:t>
            </w:r>
          </w:p>
        </w:tc>
        <w:tc>
          <w:tcPr>
            <w:tcW w:w="2551" w:type="dxa"/>
            <w:shd w:val="clear" w:color="auto" w:fill="auto"/>
            <w:vAlign w:val="center"/>
          </w:tcPr>
          <w:p w14:paraId="48485A69"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Haematologist</w:t>
            </w:r>
          </w:p>
        </w:tc>
        <w:tc>
          <w:tcPr>
            <w:tcW w:w="4967" w:type="dxa"/>
            <w:shd w:val="clear" w:color="auto" w:fill="auto"/>
            <w:vAlign w:val="center"/>
          </w:tcPr>
          <w:p w14:paraId="1AC14776"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Clinical Haematologist and Director of the Bone Marrow Transplant Program, Fiona Stanley Hospital, WA</w:t>
            </w:r>
          </w:p>
          <w:p w14:paraId="03DF4C98"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Medical Director, Bone Marrow Transplant Laboratory, PathWest Laboratory Medicine, WA</w:t>
            </w:r>
          </w:p>
        </w:tc>
      </w:tr>
      <w:tr w:rsidR="00463F43" w:rsidRPr="006228CA" w14:paraId="0CFAF654" w14:textId="77777777" w:rsidTr="00CD3CD0">
        <w:tc>
          <w:tcPr>
            <w:tcW w:w="1980" w:type="dxa"/>
            <w:shd w:val="clear" w:color="auto" w:fill="auto"/>
            <w:vAlign w:val="center"/>
          </w:tcPr>
          <w:p w14:paraId="51E39B60"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Dr Bev</w:t>
            </w:r>
            <w:r>
              <w:rPr>
                <w:rFonts w:asciiTheme="minorHAnsi" w:hAnsiTheme="minorHAnsi" w:cstheme="minorHAnsi"/>
                <w:bCs/>
                <w:sz w:val="22"/>
                <w:szCs w:val="22"/>
              </w:rPr>
              <w:t>erley</w:t>
            </w:r>
            <w:r w:rsidRPr="006228CA">
              <w:rPr>
                <w:rFonts w:asciiTheme="minorHAnsi" w:hAnsiTheme="minorHAnsi" w:cstheme="minorHAnsi"/>
                <w:bCs/>
                <w:sz w:val="22"/>
                <w:szCs w:val="22"/>
              </w:rPr>
              <w:t xml:space="preserve"> Rowbotham</w:t>
            </w:r>
          </w:p>
        </w:tc>
        <w:tc>
          <w:tcPr>
            <w:tcW w:w="2551" w:type="dxa"/>
            <w:shd w:val="clear" w:color="auto" w:fill="auto"/>
            <w:vAlign w:val="center"/>
          </w:tcPr>
          <w:p w14:paraId="23CC82E0"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Haematologist</w:t>
            </w:r>
          </w:p>
        </w:tc>
        <w:tc>
          <w:tcPr>
            <w:tcW w:w="4967" w:type="dxa"/>
            <w:shd w:val="clear" w:color="auto" w:fill="auto"/>
            <w:vAlign w:val="center"/>
          </w:tcPr>
          <w:p w14:paraId="77C58C69"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Consultant Haematologist, Sullivan Nicolaides Pathology, QLD</w:t>
            </w:r>
          </w:p>
          <w:p w14:paraId="70A88B75"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 xml:space="preserve">Chair, National Pathology Accreditation Advisory Council, </w:t>
            </w:r>
            <w:r>
              <w:rPr>
                <w:rFonts w:asciiTheme="minorHAnsi" w:hAnsiTheme="minorHAnsi" w:cstheme="minorHAnsi"/>
                <w:sz w:val="22"/>
                <w:szCs w:val="22"/>
              </w:rPr>
              <w:t>DoHAC</w:t>
            </w:r>
          </w:p>
        </w:tc>
      </w:tr>
      <w:tr w:rsidR="00463F43" w:rsidRPr="006228CA" w14:paraId="576538A5" w14:textId="77777777" w:rsidTr="00CD3CD0">
        <w:tc>
          <w:tcPr>
            <w:tcW w:w="1980" w:type="dxa"/>
            <w:shd w:val="clear" w:color="auto" w:fill="auto"/>
            <w:vAlign w:val="center"/>
          </w:tcPr>
          <w:p w14:paraId="12C89A82"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Professor Erica Wood</w:t>
            </w:r>
          </w:p>
        </w:tc>
        <w:tc>
          <w:tcPr>
            <w:tcW w:w="2551" w:type="dxa"/>
            <w:shd w:val="clear" w:color="auto" w:fill="auto"/>
            <w:vAlign w:val="center"/>
          </w:tcPr>
          <w:p w14:paraId="34DC243A"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Haematologist</w:t>
            </w:r>
          </w:p>
        </w:tc>
        <w:tc>
          <w:tcPr>
            <w:tcW w:w="4967" w:type="dxa"/>
            <w:shd w:val="clear" w:color="auto" w:fill="auto"/>
            <w:vAlign w:val="center"/>
          </w:tcPr>
          <w:p w14:paraId="7C6684FB"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Consultant Haematologist, Monash Health, VIC</w:t>
            </w:r>
          </w:p>
          <w:p w14:paraId="04088F11"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Prof and Head, Transfusion Research Unit, Monash University, VIC</w:t>
            </w:r>
          </w:p>
        </w:tc>
      </w:tr>
      <w:tr w:rsidR="00463F43" w:rsidRPr="006228CA" w14:paraId="0BB56621" w14:textId="77777777" w:rsidTr="00CD3CD0">
        <w:tc>
          <w:tcPr>
            <w:tcW w:w="1980" w:type="dxa"/>
            <w:shd w:val="clear" w:color="auto" w:fill="auto"/>
            <w:vAlign w:val="center"/>
          </w:tcPr>
          <w:p w14:paraId="613AF7FE"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Associate Professor David Yeung</w:t>
            </w:r>
          </w:p>
        </w:tc>
        <w:tc>
          <w:tcPr>
            <w:tcW w:w="2551" w:type="dxa"/>
            <w:shd w:val="clear" w:color="auto" w:fill="auto"/>
            <w:vAlign w:val="center"/>
          </w:tcPr>
          <w:p w14:paraId="2E48B440"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Clinical Haematologist</w:t>
            </w:r>
          </w:p>
        </w:tc>
        <w:tc>
          <w:tcPr>
            <w:tcW w:w="4967" w:type="dxa"/>
            <w:shd w:val="clear" w:color="auto" w:fill="auto"/>
            <w:vAlign w:val="center"/>
          </w:tcPr>
          <w:p w14:paraId="3637C116"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Head of Haematology, Royal Adelaide and The Queen Elizabeth Hospitals, SA</w:t>
            </w:r>
          </w:p>
          <w:p w14:paraId="13F7278F"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Consultant Haematologist, Royal Adelaide Hospital and South Australia Pathology, SA</w:t>
            </w:r>
          </w:p>
        </w:tc>
      </w:tr>
      <w:tr w:rsidR="00463F43" w:rsidRPr="006228CA" w14:paraId="7EB81E40" w14:textId="77777777" w:rsidTr="00CD3CD0">
        <w:tc>
          <w:tcPr>
            <w:tcW w:w="1980" w:type="dxa"/>
            <w:shd w:val="clear" w:color="auto" w:fill="auto"/>
            <w:vAlign w:val="center"/>
          </w:tcPr>
          <w:p w14:paraId="491BB6E9"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Ms Natalie Clark Reynolds</w:t>
            </w:r>
          </w:p>
        </w:tc>
        <w:tc>
          <w:tcPr>
            <w:tcW w:w="2551" w:type="dxa"/>
            <w:shd w:val="clear" w:color="auto" w:fill="auto"/>
            <w:vAlign w:val="center"/>
          </w:tcPr>
          <w:p w14:paraId="4744E7F4"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Consumer Advocate</w:t>
            </w:r>
          </w:p>
        </w:tc>
        <w:tc>
          <w:tcPr>
            <w:tcW w:w="4967" w:type="dxa"/>
            <w:shd w:val="clear" w:color="auto" w:fill="auto"/>
            <w:vAlign w:val="center"/>
          </w:tcPr>
          <w:p w14:paraId="39835747"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 xml:space="preserve">Consumer </w:t>
            </w:r>
            <w:r>
              <w:rPr>
                <w:rFonts w:asciiTheme="minorHAnsi" w:hAnsiTheme="minorHAnsi" w:cstheme="minorHAnsi"/>
                <w:sz w:val="22"/>
                <w:szCs w:val="22"/>
              </w:rPr>
              <w:t>R</w:t>
            </w:r>
            <w:r w:rsidRPr="006228CA">
              <w:rPr>
                <w:rFonts w:asciiTheme="minorHAnsi" w:hAnsiTheme="minorHAnsi" w:cstheme="minorHAnsi"/>
                <w:sz w:val="22"/>
                <w:szCs w:val="22"/>
              </w:rPr>
              <w:t>epresentative</w:t>
            </w:r>
          </w:p>
        </w:tc>
      </w:tr>
      <w:tr w:rsidR="00463F43" w:rsidRPr="006228CA" w14:paraId="1B31FB65" w14:textId="77777777" w:rsidTr="00CD3CD0">
        <w:tc>
          <w:tcPr>
            <w:tcW w:w="1980" w:type="dxa"/>
            <w:shd w:val="clear" w:color="auto" w:fill="auto"/>
            <w:vAlign w:val="center"/>
          </w:tcPr>
          <w:p w14:paraId="786D66D2"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Ms Wendy Harris</w:t>
            </w:r>
          </w:p>
        </w:tc>
        <w:tc>
          <w:tcPr>
            <w:tcW w:w="2551" w:type="dxa"/>
            <w:shd w:val="clear" w:color="auto" w:fill="auto"/>
            <w:vAlign w:val="center"/>
          </w:tcPr>
          <w:p w14:paraId="180E83F2"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NATA representative</w:t>
            </w:r>
          </w:p>
        </w:tc>
        <w:tc>
          <w:tcPr>
            <w:tcW w:w="4967" w:type="dxa"/>
            <w:shd w:val="clear" w:color="auto" w:fill="auto"/>
            <w:vAlign w:val="center"/>
          </w:tcPr>
          <w:p w14:paraId="7FE8A5EA" w14:textId="77777777" w:rsidR="00463F43" w:rsidRPr="006228CA" w:rsidRDefault="00463F43" w:rsidP="00CD3CD0">
            <w:pPr>
              <w:jc w:val="center"/>
              <w:rPr>
                <w:rFonts w:asciiTheme="minorHAnsi" w:hAnsiTheme="minorHAnsi" w:cstheme="minorHAnsi"/>
                <w:sz w:val="22"/>
                <w:szCs w:val="22"/>
              </w:rPr>
            </w:pPr>
            <w:r w:rsidRPr="006228CA">
              <w:rPr>
                <w:rFonts w:asciiTheme="minorHAnsi" w:hAnsiTheme="minorHAnsi" w:cstheme="minorHAnsi"/>
                <w:sz w:val="22"/>
                <w:szCs w:val="22"/>
              </w:rPr>
              <w:t xml:space="preserve">Lead Accreditation Specialist, National Association of Testing Authorities (NATA) </w:t>
            </w:r>
          </w:p>
        </w:tc>
      </w:tr>
      <w:tr w:rsidR="00463F43" w:rsidRPr="006228CA" w14:paraId="099F4835" w14:textId="77777777" w:rsidTr="00CD3CD0">
        <w:tc>
          <w:tcPr>
            <w:tcW w:w="1980" w:type="dxa"/>
            <w:shd w:val="clear" w:color="auto" w:fill="auto"/>
            <w:vAlign w:val="center"/>
          </w:tcPr>
          <w:p w14:paraId="67860F0E" w14:textId="77777777" w:rsidR="00463F43" w:rsidRPr="006228CA" w:rsidRDefault="00463F43" w:rsidP="00CD3CD0">
            <w:pPr>
              <w:spacing w:before="40" w:after="40"/>
              <w:rPr>
                <w:rFonts w:asciiTheme="minorHAnsi" w:hAnsiTheme="minorHAnsi" w:cstheme="minorHAnsi"/>
                <w:bCs/>
                <w:sz w:val="22"/>
                <w:szCs w:val="22"/>
              </w:rPr>
            </w:pPr>
            <w:r w:rsidRPr="006228CA">
              <w:rPr>
                <w:rFonts w:asciiTheme="minorHAnsi" w:hAnsiTheme="minorHAnsi" w:cstheme="minorHAnsi"/>
                <w:bCs/>
                <w:sz w:val="22"/>
                <w:szCs w:val="22"/>
              </w:rPr>
              <w:t>Ms Fiona McCormack</w:t>
            </w:r>
          </w:p>
        </w:tc>
        <w:tc>
          <w:tcPr>
            <w:tcW w:w="2551" w:type="dxa"/>
            <w:shd w:val="clear" w:color="auto" w:fill="auto"/>
            <w:vAlign w:val="center"/>
          </w:tcPr>
          <w:p w14:paraId="1CFC8339" w14:textId="77777777" w:rsidR="00463F43" w:rsidRPr="006228CA" w:rsidRDefault="00463F43" w:rsidP="00CD3CD0">
            <w:pPr>
              <w:spacing w:before="40" w:after="40"/>
              <w:jc w:val="center"/>
              <w:rPr>
                <w:rFonts w:asciiTheme="minorHAnsi" w:hAnsiTheme="minorHAnsi" w:cstheme="minorHAnsi"/>
                <w:sz w:val="22"/>
                <w:szCs w:val="22"/>
              </w:rPr>
            </w:pPr>
            <w:r w:rsidRPr="006228CA">
              <w:rPr>
                <w:rFonts w:asciiTheme="minorHAnsi" w:hAnsiTheme="minorHAnsi" w:cstheme="minorHAnsi"/>
                <w:sz w:val="22"/>
                <w:szCs w:val="22"/>
              </w:rPr>
              <w:t>TGA representative</w:t>
            </w:r>
          </w:p>
        </w:tc>
        <w:tc>
          <w:tcPr>
            <w:tcW w:w="4967" w:type="dxa"/>
            <w:shd w:val="clear" w:color="auto" w:fill="auto"/>
            <w:vAlign w:val="center"/>
          </w:tcPr>
          <w:p w14:paraId="1E42F435" w14:textId="77777777" w:rsidR="00463F43" w:rsidRPr="006228CA" w:rsidRDefault="00463F43" w:rsidP="00CD3CD0">
            <w:pPr>
              <w:jc w:val="center"/>
              <w:rPr>
                <w:rFonts w:asciiTheme="minorHAnsi" w:hAnsiTheme="minorHAnsi" w:cstheme="minorHAnsi"/>
                <w:sz w:val="22"/>
                <w:szCs w:val="22"/>
              </w:rPr>
            </w:pPr>
            <w:r>
              <w:rPr>
                <w:rFonts w:asciiTheme="minorHAnsi" w:hAnsiTheme="minorHAnsi" w:cstheme="minorHAnsi"/>
                <w:sz w:val="22"/>
                <w:szCs w:val="22"/>
              </w:rPr>
              <w:t>Principal Technical Advisor</w:t>
            </w:r>
            <w:r w:rsidRPr="006228CA">
              <w:rPr>
                <w:rFonts w:asciiTheme="minorHAnsi" w:hAnsiTheme="minorHAnsi" w:cstheme="minorHAnsi"/>
                <w:sz w:val="22"/>
                <w:szCs w:val="22"/>
              </w:rPr>
              <w:t>, Medical Devices Authorisation Branch, Therapeutic Goods Administration</w:t>
            </w:r>
            <w:r>
              <w:rPr>
                <w:rFonts w:asciiTheme="minorHAnsi" w:hAnsiTheme="minorHAnsi" w:cstheme="minorHAnsi"/>
                <w:sz w:val="22"/>
                <w:szCs w:val="22"/>
              </w:rPr>
              <w:t xml:space="preserve"> (TGA),</w:t>
            </w:r>
            <w:r w:rsidRPr="006228CA">
              <w:rPr>
                <w:rFonts w:asciiTheme="minorHAnsi" w:hAnsiTheme="minorHAnsi" w:cstheme="minorHAnsi"/>
                <w:sz w:val="22"/>
                <w:szCs w:val="22"/>
              </w:rPr>
              <w:t xml:space="preserve"> </w:t>
            </w:r>
            <w:r>
              <w:rPr>
                <w:rFonts w:asciiTheme="minorHAnsi" w:hAnsiTheme="minorHAnsi" w:cstheme="minorHAnsi"/>
                <w:sz w:val="22"/>
                <w:szCs w:val="22"/>
              </w:rPr>
              <w:t>DoHAC</w:t>
            </w:r>
          </w:p>
        </w:tc>
      </w:tr>
    </w:tbl>
    <w:p w14:paraId="3EA1E083" w14:textId="77777777" w:rsidR="00463F43" w:rsidRDefault="00463F43" w:rsidP="00463F43">
      <w:pPr>
        <w:rPr>
          <w:rFonts w:asciiTheme="majorHAnsi" w:eastAsiaTheme="majorEastAsia" w:hAnsiTheme="majorHAnsi" w:cstheme="majorBidi"/>
          <w:color w:val="2F5496" w:themeColor="accent1" w:themeShade="BF"/>
          <w:sz w:val="40"/>
          <w:szCs w:val="32"/>
        </w:rPr>
      </w:pPr>
    </w:p>
    <w:p w14:paraId="632ED176" w14:textId="77777777" w:rsidR="00463F43" w:rsidRDefault="00463F43" w:rsidP="00463F43">
      <w:pPr>
        <w:rPr>
          <w:rFonts w:asciiTheme="majorHAnsi" w:eastAsiaTheme="majorEastAsia" w:hAnsiTheme="majorHAnsi" w:cstheme="majorBidi"/>
          <w:color w:val="2F5496" w:themeColor="accent1" w:themeShade="BF"/>
          <w:sz w:val="40"/>
          <w:szCs w:val="32"/>
        </w:rPr>
      </w:pPr>
    </w:p>
    <w:p w14:paraId="16268DD6" w14:textId="77777777" w:rsidR="00463F43" w:rsidRPr="00C82AD0" w:rsidRDefault="00463F43" w:rsidP="00463F43">
      <w:pPr>
        <w:pStyle w:val="Heading1"/>
      </w:pPr>
      <w:bookmarkStart w:id="7" w:name="_Toc134611351"/>
      <w:r>
        <w:t>Reform of unrelated a</w:t>
      </w:r>
      <w:r w:rsidRPr="00C82AD0">
        <w:t>dult HPC donor recruitment in Australia</w:t>
      </w:r>
      <w:r>
        <w:t>: Recommendations</w:t>
      </w:r>
      <w:bookmarkEnd w:id="7"/>
    </w:p>
    <w:p w14:paraId="601C08C8" w14:textId="77777777" w:rsidR="00463F43" w:rsidRDefault="00463F43" w:rsidP="00463F43"/>
    <w:p w14:paraId="2E89C9C8" w14:textId="77777777" w:rsidR="00463F43" w:rsidRPr="00EB7DC3" w:rsidRDefault="00463F43" w:rsidP="00463F43">
      <w:pPr>
        <w:pStyle w:val="Heading2"/>
      </w:pPr>
      <w:bookmarkStart w:id="8" w:name="_Toc134611352"/>
      <w:r w:rsidRPr="00EB7DC3">
        <w:t>Key messages</w:t>
      </w:r>
      <w:bookmarkEnd w:id="8"/>
    </w:p>
    <w:p w14:paraId="770ED16C" w14:textId="30A4A5D4" w:rsidR="00463F43" w:rsidRPr="0098587E" w:rsidRDefault="00463F43" w:rsidP="00463F43">
      <w:pPr>
        <w:pStyle w:val="ListParagraph"/>
        <w:numPr>
          <w:ilvl w:val="0"/>
          <w:numId w:val="4"/>
        </w:numPr>
        <w:rPr>
          <w:rFonts w:asciiTheme="minorHAnsi" w:hAnsiTheme="minorHAnsi" w:cstheme="minorHAnsi"/>
        </w:rPr>
      </w:pPr>
      <w:r w:rsidRPr="0098587E">
        <w:rPr>
          <w:rFonts w:asciiTheme="minorHAnsi" w:hAnsiTheme="minorHAnsi" w:cstheme="minorHAnsi"/>
        </w:rPr>
        <w:t xml:space="preserve">The clinical demand for </w:t>
      </w:r>
      <w:r>
        <w:rPr>
          <w:rFonts w:asciiTheme="minorHAnsi" w:hAnsiTheme="minorHAnsi" w:cstheme="minorHAnsi"/>
        </w:rPr>
        <w:t>unrelated HPC</w:t>
      </w:r>
      <w:r w:rsidR="006D018C">
        <w:rPr>
          <w:rFonts w:asciiTheme="minorHAnsi" w:hAnsiTheme="minorHAnsi" w:cstheme="minorHAnsi"/>
        </w:rPr>
        <w:t xml:space="preserve"> donors</w:t>
      </w:r>
      <w:r w:rsidRPr="0098587E">
        <w:rPr>
          <w:rFonts w:asciiTheme="minorHAnsi" w:hAnsiTheme="minorHAnsi" w:cstheme="minorHAnsi"/>
        </w:rPr>
        <w:t xml:space="preserve"> for Australian </w:t>
      </w:r>
      <w:r>
        <w:rPr>
          <w:rFonts w:asciiTheme="minorHAnsi" w:hAnsiTheme="minorHAnsi" w:cstheme="minorHAnsi"/>
        </w:rPr>
        <w:t>transplant recipients</w:t>
      </w:r>
      <w:r w:rsidRPr="0098587E">
        <w:rPr>
          <w:rFonts w:asciiTheme="minorHAnsi" w:hAnsiTheme="minorHAnsi" w:cstheme="minorHAnsi"/>
        </w:rPr>
        <w:t xml:space="preserve"> with blood cancer or severe inherited conditions is mismatched to the level of recruitment of potential HPC donors </w:t>
      </w:r>
      <w:r>
        <w:rPr>
          <w:rFonts w:asciiTheme="minorHAnsi" w:hAnsiTheme="minorHAnsi" w:cstheme="minorHAnsi"/>
        </w:rPr>
        <w:t xml:space="preserve">in Australia </w:t>
      </w:r>
      <w:r w:rsidRPr="0098587E">
        <w:rPr>
          <w:rFonts w:asciiTheme="minorHAnsi" w:hAnsiTheme="minorHAnsi" w:cstheme="minorHAnsi"/>
        </w:rPr>
        <w:t xml:space="preserve">compared to </w:t>
      </w:r>
      <w:r>
        <w:rPr>
          <w:rFonts w:asciiTheme="minorHAnsi" w:hAnsiTheme="minorHAnsi" w:cstheme="minorHAnsi"/>
        </w:rPr>
        <w:t>other countries.</w:t>
      </w:r>
      <w:r w:rsidRPr="0098587E">
        <w:rPr>
          <w:rFonts w:asciiTheme="minorHAnsi" w:hAnsiTheme="minorHAnsi" w:cstheme="minorHAnsi"/>
        </w:rPr>
        <w:t xml:space="preserve"> </w:t>
      </w:r>
      <w:r>
        <w:rPr>
          <w:rFonts w:asciiTheme="minorHAnsi" w:hAnsiTheme="minorHAnsi" w:cstheme="minorHAnsi"/>
        </w:rPr>
        <w:t>This has resulted in a significant</w:t>
      </w:r>
      <w:r w:rsidRPr="0098587E">
        <w:rPr>
          <w:rFonts w:asciiTheme="minorHAnsi" w:hAnsiTheme="minorHAnsi" w:cstheme="minorHAnsi"/>
        </w:rPr>
        <w:t xml:space="preserve"> reliance on overseas donors</w:t>
      </w:r>
      <w:r>
        <w:rPr>
          <w:rFonts w:asciiTheme="minorHAnsi" w:hAnsiTheme="minorHAnsi" w:cstheme="minorHAnsi"/>
        </w:rPr>
        <w:t xml:space="preserve"> for Australian patients</w:t>
      </w:r>
      <w:r w:rsidRPr="0098587E">
        <w:rPr>
          <w:rFonts w:asciiTheme="minorHAnsi" w:hAnsiTheme="minorHAnsi" w:cstheme="minorHAnsi"/>
        </w:rPr>
        <w:t xml:space="preserve">. </w:t>
      </w:r>
    </w:p>
    <w:p w14:paraId="0E851F4A" w14:textId="77777777" w:rsidR="00463F43" w:rsidRDefault="00463F43" w:rsidP="00463F43">
      <w:pPr>
        <w:pStyle w:val="ListParagraph"/>
        <w:numPr>
          <w:ilvl w:val="0"/>
          <w:numId w:val="4"/>
        </w:numPr>
        <w:rPr>
          <w:rFonts w:asciiTheme="minorHAnsi" w:hAnsiTheme="minorHAnsi" w:cstheme="minorHAnsi"/>
        </w:rPr>
      </w:pPr>
      <w:r w:rsidRPr="0098587E">
        <w:rPr>
          <w:rFonts w:asciiTheme="minorHAnsi" w:hAnsiTheme="minorHAnsi" w:cstheme="minorHAnsi"/>
        </w:rPr>
        <w:t xml:space="preserve">The </w:t>
      </w:r>
      <w:r>
        <w:rPr>
          <w:rFonts w:asciiTheme="minorHAnsi" w:hAnsiTheme="minorHAnsi" w:cstheme="minorHAnsi"/>
        </w:rPr>
        <w:t xml:space="preserve">size of the national registry and </w:t>
      </w:r>
      <w:r w:rsidRPr="0098587E">
        <w:rPr>
          <w:rFonts w:asciiTheme="minorHAnsi" w:hAnsiTheme="minorHAnsi" w:cstheme="minorHAnsi"/>
        </w:rPr>
        <w:t>pool of optimal HPC donors</w:t>
      </w:r>
      <w:r>
        <w:rPr>
          <w:rFonts w:asciiTheme="minorHAnsi" w:hAnsiTheme="minorHAnsi" w:cstheme="minorHAnsi"/>
        </w:rPr>
        <w:t xml:space="preserve">, currently categorised as being </w:t>
      </w:r>
      <w:r w:rsidRPr="0098587E">
        <w:rPr>
          <w:rFonts w:asciiTheme="minorHAnsi" w:hAnsiTheme="minorHAnsi" w:cstheme="minorHAnsi"/>
        </w:rPr>
        <w:t xml:space="preserve">aged 18-35 </w:t>
      </w:r>
      <w:r>
        <w:rPr>
          <w:rFonts w:asciiTheme="minorHAnsi" w:hAnsiTheme="minorHAnsi" w:cstheme="minorHAnsi"/>
        </w:rPr>
        <w:t xml:space="preserve">years, is </w:t>
      </w:r>
      <w:r w:rsidRPr="0098587E">
        <w:rPr>
          <w:rFonts w:asciiTheme="minorHAnsi" w:hAnsiTheme="minorHAnsi" w:cstheme="minorHAnsi"/>
        </w:rPr>
        <w:t xml:space="preserve">declining and will continue to decline without substantial changes to </w:t>
      </w:r>
      <w:r>
        <w:rPr>
          <w:rFonts w:asciiTheme="minorHAnsi" w:hAnsiTheme="minorHAnsi" w:cstheme="minorHAnsi"/>
        </w:rPr>
        <w:t xml:space="preserve">the current </w:t>
      </w:r>
      <w:r w:rsidRPr="0098587E">
        <w:rPr>
          <w:rFonts w:asciiTheme="minorHAnsi" w:hAnsiTheme="minorHAnsi" w:cstheme="minorHAnsi"/>
        </w:rPr>
        <w:t xml:space="preserve">recruitment </w:t>
      </w:r>
      <w:r>
        <w:rPr>
          <w:rFonts w:asciiTheme="minorHAnsi" w:hAnsiTheme="minorHAnsi" w:cstheme="minorHAnsi"/>
        </w:rPr>
        <w:t>targets and testing s</w:t>
      </w:r>
      <w:r w:rsidRPr="0098587E">
        <w:rPr>
          <w:rFonts w:asciiTheme="minorHAnsi" w:hAnsiTheme="minorHAnsi" w:cstheme="minorHAnsi"/>
        </w:rPr>
        <w:t xml:space="preserve">trategy. </w:t>
      </w:r>
    </w:p>
    <w:p w14:paraId="240E0186" w14:textId="77777777" w:rsidR="00463F43" w:rsidRPr="006143C7"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 xml:space="preserve">The HPC donor recruitment target needs to be increased </w:t>
      </w:r>
      <w:r w:rsidRPr="00392D97">
        <w:rPr>
          <w:rFonts w:asciiTheme="minorHAnsi" w:hAnsiTheme="minorHAnsi" w:cstheme="minorHAnsi"/>
        </w:rPr>
        <w:t>to grow the p</w:t>
      </w:r>
      <w:r>
        <w:rPr>
          <w:rFonts w:asciiTheme="minorHAnsi" w:hAnsiTheme="minorHAnsi" w:cstheme="minorHAnsi"/>
        </w:rPr>
        <w:t xml:space="preserve">roportion of clinically preferred donors </w:t>
      </w:r>
      <w:r w:rsidRPr="00392D97">
        <w:rPr>
          <w:rFonts w:asciiTheme="minorHAnsi" w:hAnsiTheme="minorHAnsi" w:cstheme="minorHAnsi"/>
        </w:rPr>
        <w:t xml:space="preserve">to be comparable with the mid-range </w:t>
      </w:r>
      <w:r>
        <w:rPr>
          <w:rFonts w:asciiTheme="minorHAnsi" w:hAnsiTheme="minorHAnsi" w:cstheme="minorHAnsi"/>
        </w:rPr>
        <w:t>of recruitment seen in</w:t>
      </w:r>
      <w:r w:rsidRPr="00392D97">
        <w:rPr>
          <w:rFonts w:asciiTheme="minorHAnsi" w:hAnsiTheme="minorHAnsi" w:cstheme="minorHAnsi"/>
        </w:rPr>
        <w:t xml:space="preserve"> similar </w:t>
      </w:r>
      <w:r>
        <w:rPr>
          <w:rFonts w:asciiTheme="minorHAnsi" w:hAnsiTheme="minorHAnsi" w:cstheme="minorHAnsi"/>
        </w:rPr>
        <w:t>countries</w:t>
      </w:r>
      <w:r w:rsidRPr="00392D97">
        <w:rPr>
          <w:rFonts w:asciiTheme="minorHAnsi" w:hAnsiTheme="minorHAnsi" w:cstheme="minorHAnsi"/>
        </w:rPr>
        <w:t>.</w:t>
      </w:r>
      <w:r>
        <w:rPr>
          <w:rFonts w:asciiTheme="minorHAnsi" w:hAnsiTheme="minorHAnsi" w:cstheme="minorHAnsi"/>
        </w:rPr>
        <w:t xml:space="preserve"> </w:t>
      </w:r>
    </w:p>
    <w:p w14:paraId="485D2887" w14:textId="50F41925" w:rsidR="00463F43" w:rsidRDefault="00463F43" w:rsidP="00463F43">
      <w:pPr>
        <w:pStyle w:val="ListParagraph"/>
        <w:numPr>
          <w:ilvl w:val="1"/>
          <w:numId w:val="4"/>
        </w:numPr>
        <w:rPr>
          <w:rFonts w:asciiTheme="minorHAnsi" w:hAnsiTheme="minorHAnsi" w:cstheme="minorHAnsi"/>
        </w:rPr>
      </w:pPr>
      <w:r w:rsidRPr="006143C7">
        <w:rPr>
          <w:rFonts w:asciiTheme="minorHAnsi" w:hAnsiTheme="minorHAnsi" w:cstheme="minorHAnsi"/>
        </w:rPr>
        <w:t xml:space="preserve">HPC </w:t>
      </w:r>
      <w:r w:rsidR="006D018C">
        <w:rPr>
          <w:rFonts w:asciiTheme="minorHAnsi" w:hAnsiTheme="minorHAnsi" w:cstheme="minorHAnsi"/>
        </w:rPr>
        <w:t xml:space="preserve">donor </w:t>
      </w:r>
      <w:r w:rsidRPr="006143C7">
        <w:rPr>
          <w:rFonts w:asciiTheme="minorHAnsi" w:hAnsiTheme="minorHAnsi" w:cstheme="minorHAnsi"/>
        </w:rPr>
        <w:t xml:space="preserve">recruitment </w:t>
      </w:r>
      <w:r>
        <w:rPr>
          <w:rFonts w:asciiTheme="minorHAnsi" w:hAnsiTheme="minorHAnsi" w:cstheme="minorHAnsi"/>
        </w:rPr>
        <w:t xml:space="preserve">targets </w:t>
      </w:r>
      <w:r w:rsidRPr="006143C7">
        <w:rPr>
          <w:rFonts w:asciiTheme="minorHAnsi" w:hAnsiTheme="minorHAnsi" w:cstheme="minorHAnsi"/>
        </w:rPr>
        <w:t xml:space="preserve">should </w:t>
      </w:r>
      <w:r>
        <w:rPr>
          <w:rFonts w:asciiTheme="minorHAnsi" w:hAnsiTheme="minorHAnsi" w:cstheme="minorHAnsi"/>
        </w:rPr>
        <w:t>be revised</w:t>
      </w:r>
      <w:r w:rsidRPr="006143C7">
        <w:rPr>
          <w:rFonts w:asciiTheme="minorHAnsi" w:hAnsiTheme="minorHAnsi" w:cstheme="minorHAnsi"/>
        </w:rPr>
        <w:t xml:space="preserve"> to </w:t>
      </w:r>
      <w:r>
        <w:rPr>
          <w:rFonts w:asciiTheme="minorHAnsi" w:hAnsiTheme="minorHAnsi" w:cstheme="minorHAnsi"/>
        </w:rPr>
        <w:t xml:space="preserve">collectively </w:t>
      </w:r>
      <w:r w:rsidRPr="006143C7">
        <w:rPr>
          <w:rFonts w:asciiTheme="minorHAnsi" w:hAnsiTheme="minorHAnsi" w:cstheme="minorHAnsi"/>
        </w:rPr>
        <w:t>achieve 100,</w:t>
      </w:r>
      <w:r w:rsidR="006D018C" w:rsidRPr="006143C7">
        <w:rPr>
          <w:rFonts w:asciiTheme="minorHAnsi" w:hAnsiTheme="minorHAnsi" w:cstheme="minorHAnsi"/>
        </w:rPr>
        <w:t>000</w:t>
      </w:r>
      <w:r w:rsidR="006D018C">
        <w:rPr>
          <w:rFonts w:asciiTheme="minorHAnsi" w:hAnsiTheme="minorHAnsi" w:cstheme="minorHAnsi"/>
        </w:rPr>
        <w:t> </w:t>
      </w:r>
      <w:r w:rsidR="006D018C" w:rsidRPr="006143C7">
        <w:rPr>
          <w:rFonts w:asciiTheme="minorHAnsi" w:hAnsiTheme="minorHAnsi" w:cstheme="minorHAnsi"/>
        </w:rPr>
        <w:t>to</w:t>
      </w:r>
      <w:r w:rsidR="006D018C">
        <w:rPr>
          <w:rFonts w:asciiTheme="minorHAnsi" w:hAnsiTheme="minorHAnsi" w:cstheme="minorHAnsi"/>
        </w:rPr>
        <w:t> </w:t>
      </w:r>
      <w:r w:rsidRPr="006143C7">
        <w:rPr>
          <w:rFonts w:asciiTheme="minorHAnsi" w:hAnsiTheme="minorHAnsi" w:cstheme="minorHAnsi"/>
        </w:rPr>
        <w:t xml:space="preserve">150,000 new recruits </w:t>
      </w:r>
      <w:r>
        <w:rPr>
          <w:rFonts w:asciiTheme="minorHAnsi" w:hAnsiTheme="minorHAnsi" w:cstheme="minorHAnsi"/>
        </w:rPr>
        <w:t xml:space="preserve">to the national registry </w:t>
      </w:r>
      <w:r w:rsidRPr="006143C7">
        <w:rPr>
          <w:rFonts w:asciiTheme="minorHAnsi" w:hAnsiTheme="minorHAnsi" w:cstheme="minorHAnsi"/>
        </w:rPr>
        <w:t>over a five-year period (25,</w:t>
      </w:r>
      <w:r w:rsidR="006D018C" w:rsidRPr="006143C7">
        <w:rPr>
          <w:rFonts w:asciiTheme="minorHAnsi" w:hAnsiTheme="minorHAnsi" w:cstheme="minorHAnsi"/>
        </w:rPr>
        <w:t>000</w:t>
      </w:r>
      <w:r w:rsidR="006D018C">
        <w:rPr>
          <w:rFonts w:asciiTheme="minorHAnsi" w:hAnsiTheme="minorHAnsi" w:cstheme="minorHAnsi"/>
        </w:rPr>
        <w:t> </w:t>
      </w:r>
      <w:r w:rsidR="006D018C" w:rsidRPr="006143C7">
        <w:rPr>
          <w:rFonts w:asciiTheme="minorHAnsi" w:hAnsiTheme="minorHAnsi" w:cstheme="minorHAnsi"/>
        </w:rPr>
        <w:t>to</w:t>
      </w:r>
      <w:r w:rsidR="006D018C">
        <w:rPr>
          <w:rFonts w:asciiTheme="minorHAnsi" w:hAnsiTheme="minorHAnsi" w:cstheme="minorHAnsi"/>
        </w:rPr>
        <w:t> </w:t>
      </w:r>
      <w:r w:rsidRPr="006143C7">
        <w:rPr>
          <w:rFonts w:asciiTheme="minorHAnsi" w:hAnsiTheme="minorHAnsi" w:cstheme="minorHAnsi"/>
        </w:rPr>
        <w:t>40,000</w:t>
      </w:r>
      <w:r>
        <w:rPr>
          <w:rFonts w:asciiTheme="minorHAnsi" w:hAnsiTheme="minorHAnsi" w:cstheme="minorHAnsi"/>
        </w:rPr>
        <w:t xml:space="preserve"> per </w:t>
      </w:r>
      <w:r w:rsidRPr="006143C7">
        <w:rPr>
          <w:rFonts w:asciiTheme="minorHAnsi" w:hAnsiTheme="minorHAnsi" w:cstheme="minorHAnsi"/>
        </w:rPr>
        <w:t>year)</w:t>
      </w:r>
      <w:r>
        <w:rPr>
          <w:rFonts w:asciiTheme="minorHAnsi" w:hAnsiTheme="minorHAnsi" w:cstheme="minorHAnsi"/>
        </w:rPr>
        <w:t xml:space="preserve">. </w:t>
      </w:r>
    </w:p>
    <w:p w14:paraId="38E89B62" w14:textId="77777777" w:rsidR="00463F43" w:rsidRDefault="00463F43" w:rsidP="00463F43">
      <w:pPr>
        <w:pStyle w:val="ListParagraph"/>
        <w:numPr>
          <w:ilvl w:val="1"/>
          <w:numId w:val="4"/>
        </w:numPr>
        <w:rPr>
          <w:rFonts w:asciiTheme="minorHAnsi" w:hAnsiTheme="minorHAnsi" w:cstheme="minorHAnsi"/>
        </w:rPr>
      </w:pPr>
      <w:r>
        <w:rPr>
          <w:rFonts w:asciiTheme="minorHAnsi" w:hAnsiTheme="minorHAnsi" w:cstheme="minorHAnsi"/>
        </w:rPr>
        <w:t xml:space="preserve">Recruitment should </w:t>
      </w:r>
      <w:r w:rsidRPr="006143C7">
        <w:rPr>
          <w:rFonts w:asciiTheme="minorHAnsi" w:hAnsiTheme="minorHAnsi" w:cstheme="minorHAnsi"/>
        </w:rPr>
        <w:t>preferenc</w:t>
      </w:r>
      <w:r>
        <w:rPr>
          <w:rFonts w:asciiTheme="minorHAnsi" w:hAnsiTheme="minorHAnsi" w:cstheme="minorHAnsi"/>
        </w:rPr>
        <w:t>e</w:t>
      </w:r>
      <w:r w:rsidRPr="006143C7">
        <w:rPr>
          <w:rFonts w:asciiTheme="minorHAnsi" w:hAnsiTheme="minorHAnsi" w:cstheme="minorHAnsi"/>
        </w:rPr>
        <w:t xml:space="preserve"> populations currently under-represented: </w:t>
      </w:r>
    </w:p>
    <w:p w14:paraId="4E9DDE5C" w14:textId="77777777" w:rsidR="00463F43" w:rsidRPr="007C3B25" w:rsidRDefault="00463F43" w:rsidP="00463F43">
      <w:pPr>
        <w:pStyle w:val="ListParagraph"/>
        <w:numPr>
          <w:ilvl w:val="0"/>
          <w:numId w:val="16"/>
        </w:numPr>
        <w:ind w:hanging="437"/>
        <w:rPr>
          <w:rFonts w:asciiTheme="minorHAnsi" w:hAnsiTheme="minorHAnsi" w:cstheme="minorHAnsi"/>
        </w:rPr>
      </w:pPr>
      <w:r w:rsidRPr="007C3B25">
        <w:rPr>
          <w:rFonts w:asciiTheme="minorHAnsi" w:hAnsiTheme="minorHAnsi" w:cstheme="minorHAnsi"/>
        </w:rPr>
        <w:t xml:space="preserve">according to self-reported ancestry; and </w:t>
      </w:r>
    </w:p>
    <w:p w14:paraId="19684E82" w14:textId="77777777" w:rsidR="00463F43" w:rsidRPr="007C3B25" w:rsidRDefault="00463F43" w:rsidP="00463F43">
      <w:pPr>
        <w:pStyle w:val="ListParagraph"/>
        <w:numPr>
          <w:ilvl w:val="0"/>
          <w:numId w:val="16"/>
        </w:numPr>
        <w:ind w:hanging="437"/>
        <w:rPr>
          <w:rFonts w:asciiTheme="minorHAnsi" w:hAnsiTheme="minorHAnsi" w:cstheme="minorHAnsi"/>
        </w:rPr>
      </w:pPr>
      <w:r w:rsidRPr="007C3B25">
        <w:rPr>
          <w:rFonts w:asciiTheme="minorHAnsi" w:hAnsiTheme="minorHAnsi" w:cstheme="minorHAnsi"/>
        </w:rPr>
        <w:t xml:space="preserve">those populations associated with rare HLA subtypes; and </w:t>
      </w:r>
    </w:p>
    <w:p w14:paraId="519897F5" w14:textId="77777777" w:rsidR="00463F43" w:rsidRPr="007C3B25" w:rsidRDefault="00463F43" w:rsidP="00463F43">
      <w:pPr>
        <w:pStyle w:val="ListParagraph"/>
        <w:numPr>
          <w:ilvl w:val="0"/>
          <w:numId w:val="16"/>
        </w:numPr>
        <w:ind w:hanging="437"/>
        <w:rPr>
          <w:rFonts w:asciiTheme="minorHAnsi" w:hAnsiTheme="minorHAnsi" w:cstheme="minorHAnsi"/>
        </w:rPr>
      </w:pPr>
      <w:r w:rsidRPr="007C3B25">
        <w:rPr>
          <w:rFonts w:asciiTheme="minorHAnsi" w:hAnsiTheme="minorHAnsi" w:cstheme="minorHAnsi"/>
        </w:rPr>
        <w:t>those individuals of mixed ancestry.</w:t>
      </w:r>
    </w:p>
    <w:p w14:paraId="660A7DD3" w14:textId="77777777" w:rsidR="00463F43" w:rsidRPr="00C15517" w:rsidRDefault="00463F43" w:rsidP="00463F43">
      <w:pPr>
        <w:pStyle w:val="ListParagraph"/>
        <w:numPr>
          <w:ilvl w:val="0"/>
          <w:numId w:val="4"/>
        </w:numPr>
        <w:rPr>
          <w:rFonts w:asciiTheme="minorHAnsi" w:hAnsiTheme="minorHAnsi" w:cstheme="minorHAnsi"/>
        </w:rPr>
      </w:pPr>
      <w:r w:rsidRPr="00C15517">
        <w:rPr>
          <w:rFonts w:asciiTheme="minorHAnsi" w:hAnsiTheme="minorHAnsi" w:cstheme="minorHAnsi"/>
        </w:rPr>
        <w:t xml:space="preserve">Widening the age-range eligibility from 18-35 years to </w:t>
      </w:r>
      <w:r>
        <w:rPr>
          <w:rFonts w:asciiTheme="minorHAnsi" w:hAnsiTheme="minorHAnsi" w:cstheme="minorHAnsi"/>
        </w:rPr>
        <w:t>18-</w:t>
      </w:r>
      <w:r w:rsidRPr="00C15517">
        <w:rPr>
          <w:rFonts w:asciiTheme="minorHAnsi" w:hAnsiTheme="minorHAnsi" w:cstheme="minorHAnsi"/>
        </w:rPr>
        <w:t xml:space="preserve">40 years will assist in reaching the increased </w:t>
      </w:r>
      <w:r>
        <w:rPr>
          <w:rFonts w:asciiTheme="minorHAnsi" w:hAnsiTheme="minorHAnsi" w:cstheme="minorHAnsi"/>
        </w:rPr>
        <w:t xml:space="preserve">HPC </w:t>
      </w:r>
      <w:r w:rsidRPr="00C15517">
        <w:rPr>
          <w:rFonts w:asciiTheme="minorHAnsi" w:hAnsiTheme="minorHAnsi" w:cstheme="minorHAnsi"/>
        </w:rPr>
        <w:t>donor recruitment targets.</w:t>
      </w:r>
    </w:p>
    <w:p w14:paraId="3B89F01A" w14:textId="77777777" w:rsidR="00463F43" w:rsidRDefault="00463F43" w:rsidP="00463F43">
      <w:pPr>
        <w:pStyle w:val="ListParagraph"/>
        <w:numPr>
          <w:ilvl w:val="0"/>
          <w:numId w:val="4"/>
        </w:numPr>
        <w:rPr>
          <w:rFonts w:asciiTheme="minorHAnsi" w:hAnsiTheme="minorHAnsi" w:cstheme="minorHAnsi"/>
        </w:rPr>
      </w:pPr>
      <w:r w:rsidRPr="00C15517">
        <w:rPr>
          <w:rFonts w:asciiTheme="minorHAnsi" w:hAnsiTheme="minorHAnsi" w:cstheme="minorHAnsi"/>
        </w:rPr>
        <w:t xml:space="preserve">Whilst male HPC recruits </w:t>
      </w:r>
      <w:r>
        <w:rPr>
          <w:rFonts w:asciiTheme="minorHAnsi" w:hAnsiTheme="minorHAnsi" w:cstheme="minorHAnsi"/>
        </w:rPr>
        <w:t>aged</w:t>
      </w:r>
      <w:r w:rsidRPr="00C15517">
        <w:rPr>
          <w:rFonts w:asciiTheme="minorHAnsi" w:hAnsiTheme="minorHAnsi" w:cstheme="minorHAnsi"/>
        </w:rPr>
        <w:t xml:space="preserve"> 18-40 years are preferred, recruitment should not exclude female volunteers</w:t>
      </w:r>
      <w:r>
        <w:rPr>
          <w:rFonts w:asciiTheme="minorHAnsi" w:hAnsiTheme="minorHAnsi" w:cstheme="minorHAnsi"/>
        </w:rPr>
        <w:t xml:space="preserve"> as n</w:t>
      </w:r>
      <w:r w:rsidRPr="00C15517">
        <w:rPr>
          <w:rFonts w:asciiTheme="minorHAnsi" w:hAnsiTheme="minorHAnsi" w:cstheme="minorHAnsi"/>
        </w:rPr>
        <w:t>ulligravida</w:t>
      </w:r>
      <w:r w:rsidRPr="00C15517">
        <w:rPr>
          <w:rStyle w:val="FootnoteReference"/>
          <w:rFonts w:asciiTheme="minorHAnsi" w:hAnsiTheme="minorHAnsi" w:cstheme="minorHAnsi"/>
        </w:rPr>
        <w:footnoteReference w:id="9"/>
      </w:r>
      <w:r w:rsidRPr="00C15517">
        <w:rPr>
          <w:rFonts w:asciiTheme="minorHAnsi" w:hAnsiTheme="minorHAnsi" w:cstheme="minorHAnsi"/>
        </w:rPr>
        <w:t xml:space="preserve"> females are comparable to males as HPC donors</w:t>
      </w:r>
      <w:r>
        <w:rPr>
          <w:rStyle w:val="FootnoteReference"/>
          <w:rFonts w:asciiTheme="minorHAnsi" w:hAnsiTheme="minorHAnsi" w:cstheme="minorHAnsi"/>
        </w:rPr>
        <w:footnoteReference w:id="10"/>
      </w:r>
      <w:r w:rsidRPr="00C15517">
        <w:rPr>
          <w:rFonts w:asciiTheme="minorHAnsi" w:hAnsiTheme="minorHAnsi" w:cstheme="minorHAnsi"/>
        </w:rPr>
        <w:t>.</w:t>
      </w:r>
    </w:p>
    <w:p w14:paraId="35CCF73A" w14:textId="77777777" w:rsidR="00463F43" w:rsidRPr="00C15517" w:rsidRDefault="00463F43" w:rsidP="00463F43">
      <w:pPr>
        <w:pStyle w:val="ListParagraph"/>
        <w:numPr>
          <w:ilvl w:val="0"/>
          <w:numId w:val="4"/>
        </w:numPr>
        <w:rPr>
          <w:rFonts w:asciiTheme="minorHAnsi" w:hAnsiTheme="minorHAnsi" w:cstheme="minorHAnsi"/>
        </w:rPr>
      </w:pPr>
      <w:r w:rsidRPr="00C15517">
        <w:rPr>
          <w:rFonts w:asciiTheme="minorHAnsi" w:hAnsiTheme="minorHAnsi" w:cstheme="minorHAnsi"/>
        </w:rPr>
        <w:t>Implementing buccal swab</w:t>
      </w:r>
      <w:r>
        <w:rPr>
          <w:rFonts w:asciiTheme="minorHAnsi" w:hAnsiTheme="minorHAnsi" w:cstheme="minorHAnsi"/>
        </w:rPr>
        <w:t>-based testing</w:t>
      </w:r>
      <w:r w:rsidRPr="00C15517">
        <w:rPr>
          <w:rFonts w:asciiTheme="minorHAnsi" w:hAnsiTheme="minorHAnsi" w:cstheme="minorHAnsi"/>
        </w:rPr>
        <w:t xml:space="preserve"> </w:t>
      </w:r>
      <w:r>
        <w:rPr>
          <w:rFonts w:asciiTheme="minorHAnsi" w:hAnsiTheme="minorHAnsi" w:cstheme="minorHAnsi"/>
        </w:rPr>
        <w:t xml:space="preserve">alongside </w:t>
      </w:r>
      <w:r w:rsidRPr="00C15517">
        <w:rPr>
          <w:rFonts w:asciiTheme="minorHAnsi" w:hAnsiTheme="minorHAnsi" w:cstheme="minorHAnsi"/>
        </w:rPr>
        <w:t>current blood sample</w:t>
      </w:r>
      <w:r>
        <w:rPr>
          <w:rFonts w:asciiTheme="minorHAnsi" w:hAnsiTheme="minorHAnsi" w:cstheme="minorHAnsi"/>
        </w:rPr>
        <w:t>-</w:t>
      </w:r>
      <w:r w:rsidRPr="00C15517">
        <w:rPr>
          <w:rFonts w:asciiTheme="minorHAnsi" w:hAnsiTheme="minorHAnsi" w:cstheme="minorHAnsi"/>
        </w:rPr>
        <w:t>based recruitment will increase accessibility of recruitment to more Australians and increase the number of donors recruited to the national registry.</w:t>
      </w:r>
    </w:p>
    <w:p w14:paraId="1335477C" w14:textId="77777777" w:rsidR="00463F43" w:rsidRPr="0014026D"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Current blood-based HLA typing is performed in Australian laboratories at a higher resolution than set by the ABMDR. HLA typing of</w:t>
      </w:r>
      <w:r w:rsidRPr="0048614B">
        <w:rPr>
          <w:rFonts w:ascii="Calibri" w:hAnsi="Calibri" w:cs="Calibri"/>
        </w:rPr>
        <w:t xml:space="preserve"> HPC recruitment </w:t>
      </w:r>
      <w:r>
        <w:rPr>
          <w:rFonts w:ascii="Calibri" w:hAnsi="Calibri" w:cs="Calibri"/>
        </w:rPr>
        <w:t xml:space="preserve">samples in Australia </w:t>
      </w:r>
      <w:r w:rsidRPr="0048614B">
        <w:rPr>
          <w:rFonts w:ascii="Calibri" w:hAnsi="Calibri" w:cs="Calibri"/>
        </w:rPr>
        <w:t xml:space="preserve">should </w:t>
      </w:r>
      <w:r>
        <w:rPr>
          <w:rFonts w:ascii="Calibri" w:hAnsi="Calibri" w:cs="Calibri"/>
        </w:rPr>
        <w:t xml:space="preserve">continue at a resolution </w:t>
      </w:r>
      <w:r w:rsidRPr="0048614B">
        <w:rPr>
          <w:rFonts w:ascii="Calibri" w:hAnsi="Calibri" w:cs="Calibri"/>
        </w:rPr>
        <w:t>commensurate with current practice</w:t>
      </w:r>
      <w:r>
        <w:rPr>
          <w:rFonts w:ascii="Calibri" w:hAnsi="Calibri" w:cs="Calibri"/>
        </w:rPr>
        <w:t xml:space="preserve"> using high-throughput next generation sequencing (NGS)</w:t>
      </w:r>
      <w:r w:rsidRPr="0048614B">
        <w:rPr>
          <w:rFonts w:ascii="Calibri" w:hAnsi="Calibri" w:cs="Calibri"/>
        </w:rPr>
        <w:t xml:space="preserve">. </w:t>
      </w:r>
      <w:r>
        <w:rPr>
          <w:rFonts w:ascii="Calibri" w:hAnsi="Calibri" w:cs="Calibri"/>
        </w:rPr>
        <w:t xml:space="preserve">However, it is noted that currently employed NGS based HLA typing is a greater cost. </w:t>
      </w:r>
    </w:p>
    <w:p w14:paraId="7E042A99" w14:textId="10045EFE" w:rsidR="00463F43" w:rsidRPr="00417BE9" w:rsidRDefault="00463F43" w:rsidP="00463F43">
      <w:pPr>
        <w:pStyle w:val="ListParagraph"/>
        <w:numPr>
          <w:ilvl w:val="0"/>
          <w:numId w:val="4"/>
        </w:numPr>
        <w:rPr>
          <w:rFonts w:asciiTheme="minorHAnsi" w:hAnsiTheme="minorHAnsi" w:cstheme="minorHAnsi"/>
        </w:rPr>
      </w:pPr>
      <w:r w:rsidRPr="0048614B">
        <w:rPr>
          <w:rFonts w:ascii="Calibri" w:hAnsi="Calibri" w:cs="Calibri"/>
        </w:rPr>
        <w:t xml:space="preserve">Testing of </w:t>
      </w:r>
      <w:r>
        <w:rPr>
          <w:rFonts w:ascii="Calibri" w:hAnsi="Calibri" w:cs="Calibri"/>
        </w:rPr>
        <w:t xml:space="preserve">ABO and </w:t>
      </w:r>
      <w:r w:rsidRPr="0048614B">
        <w:rPr>
          <w:rFonts w:ascii="Calibri" w:hAnsi="Calibri" w:cs="Calibri"/>
        </w:rPr>
        <w:t>Rh</w:t>
      </w:r>
      <w:r>
        <w:rPr>
          <w:rFonts w:ascii="Calibri" w:hAnsi="Calibri" w:cs="Calibri"/>
        </w:rPr>
        <w:t xml:space="preserve"> blood group</w:t>
      </w:r>
      <w:r w:rsidRPr="0048614B">
        <w:rPr>
          <w:rFonts w:ascii="Calibri" w:hAnsi="Calibri" w:cs="Calibri"/>
        </w:rPr>
        <w:t xml:space="preserve">, plus CMV </w:t>
      </w:r>
      <w:r>
        <w:rPr>
          <w:rFonts w:ascii="Calibri" w:hAnsi="Calibri" w:cs="Calibri"/>
        </w:rPr>
        <w:t>I</w:t>
      </w:r>
      <w:r w:rsidR="003250DB">
        <w:rPr>
          <w:rFonts w:ascii="Calibri" w:hAnsi="Calibri" w:cs="Calibri"/>
        </w:rPr>
        <w:t xml:space="preserve">gG </w:t>
      </w:r>
      <w:r w:rsidRPr="0048614B">
        <w:rPr>
          <w:rFonts w:ascii="Calibri" w:hAnsi="Calibri" w:cs="Calibri"/>
        </w:rPr>
        <w:t xml:space="preserve">status should continue to be performed for initial HPC </w:t>
      </w:r>
      <w:r w:rsidR="006D018C">
        <w:rPr>
          <w:rFonts w:ascii="Calibri" w:hAnsi="Calibri" w:cs="Calibri"/>
        </w:rPr>
        <w:t xml:space="preserve">donor </w:t>
      </w:r>
      <w:r w:rsidRPr="0048614B">
        <w:rPr>
          <w:rFonts w:ascii="Calibri" w:hAnsi="Calibri" w:cs="Calibri"/>
        </w:rPr>
        <w:t>recruitment.</w:t>
      </w:r>
      <w:r>
        <w:rPr>
          <w:rFonts w:ascii="Calibri" w:hAnsi="Calibri" w:cs="Calibri"/>
        </w:rPr>
        <w:t xml:space="preserve"> However, this should not prevent Australian laboratories from performing buccal swab-based HLA typing and blood-based molecular ABO and Rh blood group and CMV Ig</w:t>
      </w:r>
      <w:r w:rsidR="003250DB">
        <w:rPr>
          <w:rFonts w:ascii="Calibri" w:hAnsi="Calibri" w:cs="Calibri"/>
        </w:rPr>
        <w:t>G</w:t>
      </w:r>
      <w:r>
        <w:rPr>
          <w:rFonts w:ascii="Calibri" w:hAnsi="Calibri" w:cs="Calibri"/>
        </w:rPr>
        <w:t xml:space="preserve"> testing, whilst comprehensive buccal swab-based ABO and Rh blood group and CMV Ig</w:t>
      </w:r>
      <w:r w:rsidR="003250DB">
        <w:rPr>
          <w:rFonts w:ascii="Calibri" w:hAnsi="Calibri" w:cs="Calibri"/>
        </w:rPr>
        <w:t>G</w:t>
      </w:r>
      <w:r>
        <w:rPr>
          <w:rFonts w:ascii="Calibri" w:hAnsi="Calibri" w:cs="Calibri"/>
        </w:rPr>
        <w:t xml:space="preserve"> detection is undergoing validation and subsequent accreditation by laboratories.</w:t>
      </w:r>
    </w:p>
    <w:p w14:paraId="00E32586" w14:textId="77777777" w:rsidR="00463F43" w:rsidRPr="0048614B" w:rsidRDefault="00463F43" w:rsidP="00463F43">
      <w:pPr>
        <w:pStyle w:val="ListParagraph"/>
        <w:ind w:left="720" w:firstLine="0"/>
        <w:rPr>
          <w:rFonts w:asciiTheme="minorHAnsi" w:hAnsiTheme="minorHAnsi" w:cstheme="minorHAnsi"/>
        </w:rPr>
      </w:pPr>
    </w:p>
    <w:p w14:paraId="25233590" w14:textId="45860002" w:rsidR="00463F43"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All</w:t>
      </w:r>
      <w:r w:rsidRPr="0098587E">
        <w:rPr>
          <w:rFonts w:asciiTheme="minorHAnsi" w:hAnsiTheme="minorHAnsi" w:cstheme="minorHAnsi"/>
        </w:rPr>
        <w:t xml:space="preserve"> </w:t>
      </w:r>
      <w:r>
        <w:rPr>
          <w:rFonts w:asciiTheme="minorHAnsi" w:hAnsiTheme="minorHAnsi" w:cstheme="minorHAnsi"/>
        </w:rPr>
        <w:t xml:space="preserve">proposed </w:t>
      </w:r>
      <w:r w:rsidRPr="0098587E">
        <w:rPr>
          <w:rFonts w:asciiTheme="minorHAnsi" w:hAnsiTheme="minorHAnsi" w:cstheme="minorHAnsi"/>
        </w:rPr>
        <w:t>Australian HPC</w:t>
      </w:r>
      <w:r w:rsidR="006D018C">
        <w:rPr>
          <w:rFonts w:asciiTheme="minorHAnsi" w:hAnsiTheme="minorHAnsi" w:cstheme="minorHAnsi"/>
        </w:rPr>
        <w:t xml:space="preserve"> donor</w:t>
      </w:r>
      <w:r w:rsidRPr="0098587E">
        <w:rPr>
          <w:rFonts w:asciiTheme="minorHAnsi" w:hAnsiTheme="minorHAnsi" w:cstheme="minorHAnsi"/>
        </w:rPr>
        <w:t xml:space="preserve"> recruitment strategies and transition of </w:t>
      </w:r>
      <w:r>
        <w:rPr>
          <w:rFonts w:asciiTheme="minorHAnsi" w:hAnsiTheme="minorHAnsi" w:cstheme="minorHAnsi"/>
        </w:rPr>
        <w:t>buccal swab sample-based testing from overseas</w:t>
      </w:r>
      <w:r w:rsidRPr="0098587E">
        <w:rPr>
          <w:rFonts w:asciiTheme="minorHAnsi" w:hAnsiTheme="minorHAnsi" w:cstheme="minorHAnsi"/>
        </w:rPr>
        <w:t xml:space="preserve"> </w:t>
      </w:r>
      <w:r>
        <w:rPr>
          <w:rFonts w:asciiTheme="minorHAnsi" w:hAnsiTheme="minorHAnsi" w:cstheme="minorHAnsi"/>
        </w:rPr>
        <w:t xml:space="preserve">to Australian laboratories </w:t>
      </w:r>
      <w:r w:rsidRPr="0098587E">
        <w:rPr>
          <w:rFonts w:asciiTheme="minorHAnsi" w:hAnsiTheme="minorHAnsi" w:cstheme="minorHAnsi"/>
        </w:rPr>
        <w:t>need</w:t>
      </w:r>
      <w:r>
        <w:rPr>
          <w:rFonts w:asciiTheme="minorHAnsi" w:hAnsiTheme="minorHAnsi" w:cstheme="minorHAnsi"/>
        </w:rPr>
        <w:t xml:space="preserve">s </w:t>
      </w:r>
      <w:r w:rsidRPr="0098587E">
        <w:rPr>
          <w:rFonts w:asciiTheme="minorHAnsi" w:hAnsiTheme="minorHAnsi" w:cstheme="minorHAnsi"/>
        </w:rPr>
        <w:t>to be evidence-based</w:t>
      </w:r>
      <w:r>
        <w:rPr>
          <w:rFonts w:asciiTheme="minorHAnsi" w:hAnsiTheme="minorHAnsi" w:cstheme="minorHAnsi"/>
        </w:rPr>
        <w:t xml:space="preserve">. </w:t>
      </w:r>
    </w:p>
    <w:p w14:paraId="52CA8B69" w14:textId="0F18E741" w:rsidR="00463F43"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A</w:t>
      </w:r>
      <w:r w:rsidRPr="0098587E">
        <w:rPr>
          <w:rFonts w:asciiTheme="minorHAnsi" w:hAnsiTheme="minorHAnsi" w:cstheme="minorHAnsi"/>
        </w:rPr>
        <w:t xml:space="preserve"> 5-year plan </w:t>
      </w:r>
      <w:r>
        <w:rPr>
          <w:rFonts w:asciiTheme="minorHAnsi" w:hAnsiTheme="minorHAnsi" w:cstheme="minorHAnsi"/>
        </w:rPr>
        <w:t xml:space="preserve">to implement reform of adult </w:t>
      </w:r>
      <w:r w:rsidR="006D018C">
        <w:rPr>
          <w:rFonts w:asciiTheme="minorHAnsi" w:hAnsiTheme="minorHAnsi" w:cstheme="minorHAnsi"/>
        </w:rPr>
        <w:t xml:space="preserve">HPC </w:t>
      </w:r>
      <w:r>
        <w:rPr>
          <w:rFonts w:asciiTheme="minorHAnsi" w:hAnsiTheme="minorHAnsi" w:cstheme="minorHAnsi"/>
        </w:rPr>
        <w:t>donor recruitment agreed by JHPCC in collaboration with stakeholders;</w:t>
      </w:r>
      <w:r w:rsidRPr="0098587E">
        <w:rPr>
          <w:rFonts w:asciiTheme="minorHAnsi" w:hAnsiTheme="minorHAnsi" w:cstheme="minorHAnsi"/>
        </w:rPr>
        <w:t xml:space="preserve"> ABMDR, Lifeblood, </w:t>
      </w:r>
      <w:r>
        <w:rPr>
          <w:rFonts w:asciiTheme="minorHAnsi" w:hAnsiTheme="minorHAnsi" w:cstheme="minorHAnsi"/>
        </w:rPr>
        <w:t xml:space="preserve">pathology providers </w:t>
      </w:r>
      <w:r w:rsidRPr="0098587E">
        <w:rPr>
          <w:rFonts w:asciiTheme="minorHAnsi" w:hAnsiTheme="minorHAnsi" w:cstheme="minorHAnsi"/>
        </w:rPr>
        <w:t xml:space="preserve">and patient representative groups </w:t>
      </w:r>
      <w:r>
        <w:rPr>
          <w:rFonts w:asciiTheme="minorHAnsi" w:hAnsiTheme="minorHAnsi" w:cstheme="minorHAnsi"/>
        </w:rPr>
        <w:t>will deliver</w:t>
      </w:r>
      <w:r w:rsidRPr="0098587E">
        <w:rPr>
          <w:rFonts w:asciiTheme="minorHAnsi" w:hAnsiTheme="minorHAnsi" w:cstheme="minorHAnsi"/>
        </w:rPr>
        <w:t xml:space="preserve"> the increased target for HPC recruitment.</w:t>
      </w:r>
    </w:p>
    <w:p w14:paraId="3F532608" w14:textId="73F8997A" w:rsidR="00463F43" w:rsidRPr="00AC2751"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T</w:t>
      </w:r>
      <w:r w:rsidRPr="00AC2751">
        <w:rPr>
          <w:rFonts w:asciiTheme="minorHAnsi" w:hAnsiTheme="minorHAnsi" w:cstheme="minorHAnsi"/>
        </w:rPr>
        <w:t xml:space="preserve">he increase and expansion of HPC </w:t>
      </w:r>
      <w:r w:rsidR="006D018C">
        <w:rPr>
          <w:rFonts w:asciiTheme="minorHAnsi" w:hAnsiTheme="minorHAnsi" w:cstheme="minorHAnsi"/>
        </w:rPr>
        <w:t xml:space="preserve">donor </w:t>
      </w:r>
      <w:r w:rsidRPr="00AC2751">
        <w:rPr>
          <w:rFonts w:asciiTheme="minorHAnsi" w:hAnsiTheme="minorHAnsi" w:cstheme="minorHAnsi"/>
        </w:rPr>
        <w:t xml:space="preserve">recruitment </w:t>
      </w:r>
      <w:r>
        <w:rPr>
          <w:rFonts w:asciiTheme="minorHAnsi" w:hAnsiTheme="minorHAnsi" w:cstheme="minorHAnsi"/>
        </w:rPr>
        <w:t xml:space="preserve">required to address the </w:t>
      </w:r>
      <w:r w:rsidRPr="00506615">
        <w:rPr>
          <w:rFonts w:asciiTheme="minorHAnsi" w:hAnsiTheme="minorHAnsi" w:cstheme="minorHAnsi"/>
        </w:rPr>
        <w:t>long-term strategic objectives</w:t>
      </w:r>
      <w:r>
        <w:rPr>
          <w:rFonts w:asciiTheme="minorHAnsi" w:hAnsiTheme="minorHAnsi" w:cstheme="minorHAnsi"/>
        </w:rPr>
        <w:t xml:space="preserve"> of the National HPC Framework</w:t>
      </w:r>
      <w:r w:rsidRPr="00AC2751">
        <w:rPr>
          <w:rFonts w:asciiTheme="minorHAnsi" w:hAnsiTheme="minorHAnsi" w:cstheme="minorHAnsi"/>
        </w:rPr>
        <w:t xml:space="preserve"> </w:t>
      </w:r>
      <w:r>
        <w:rPr>
          <w:rFonts w:asciiTheme="minorHAnsi" w:hAnsiTheme="minorHAnsi" w:cstheme="minorHAnsi"/>
        </w:rPr>
        <w:t xml:space="preserve">can be achieved </w:t>
      </w:r>
      <w:r w:rsidRPr="00AC2751">
        <w:rPr>
          <w:rFonts w:asciiTheme="minorHAnsi" w:hAnsiTheme="minorHAnsi" w:cstheme="minorHAnsi"/>
        </w:rPr>
        <w:t>through a combination of Lifeblood and ABMDR activit</w:t>
      </w:r>
      <w:r>
        <w:rPr>
          <w:rFonts w:asciiTheme="minorHAnsi" w:hAnsiTheme="minorHAnsi" w:cstheme="minorHAnsi"/>
        </w:rPr>
        <w:t>ies directed by the results of ethnicity and HLA diversity analysis of the national registry (described later)</w:t>
      </w:r>
      <w:r w:rsidRPr="00AC2751">
        <w:rPr>
          <w:rFonts w:asciiTheme="minorHAnsi" w:hAnsiTheme="minorHAnsi" w:cstheme="minorHAnsi"/>
        </w:rPr>
        <w:t xml:space="preserve">: </w:t>
      </w:r>
    </w:p>
    <w:p w14:paraId="73E6CBD5" w14:textId="6F7178E4" w:rsidR="00463F43" w:rsidRDefault="00463F43" w:rsidP="00463F43">
      <w:pPr>
        <w:pStyle w:val="ListParagraph"/>
        <w:numPr>
          <w:ilvl w:val="1"/>
          <w:numId w:val="4"/>
        </w:numPr>
        <w:rPr>
          <w:rFonts w:asciiTheme="minorHAnsi" w:hAnsiTheme="minorHAnsi" w:cstheme="minorHAnsi"/>
        </w:rPr>
      </w:pPr>
      <w:r>
        <w:rPr>
          <w:rFonts w:asciiTheme="minorHAnsi" w:hAnsiTheme="minorHAnsi" w:cstheme="minorHAnsi"/>
        </w:rPr>
        <w:t>I</w:t>
      </w:r>
      <w:r w:rsidRPr="00AC2751">
        <w:rPr>
          <w:rFonts w:asciiTheme="minorHAnsi" w:hAnsiTheme="minorHAnsi" w:cstheme="minorHAnsi"/>
        </w:rPr>
        <w:t xml:space="preserve">ncreasing </w:t>
      </w:r>
      <w:r>
        <w:rPr>
          <w:rFonts w:asciiTheme="minorHAnsi" w:hAnsiTheme="minorHAnsi" w:cstheme="minorHAnsi"/>
        </w:rPr>
        <w:t xml:space="preserve">HPC </w:t>
      </w:r>
      <w:r w:rsidR="006D018C">
        <w:rPr>
          <w:rFonts w:asciiTheme="minorHAnsi" w:hAnsiTheme="minorHAnsi" w:cstheme="minorHAnsi"/>
        </w:rPr>
        <w:t xml:space="preserve">donor </w:t>
      </w:r>
      <w:r>
        <w:rPr>
          <w:rFonts w:asciiTheme="minorHAnsi" w:hAnsiTheme="minorHAnsi" w:cstheme="minorHAnsi"/>
        </w:rPr>
        <w:t>recruitment from new L</w:t>
      </w:r>
      <w:r w:rsidRPr="00AC2751">
        <w:rPr>
          <w:rFonts w:asciiTheme="minorHAnsi" w:hAnsiTheme="minorHAnsi" w:cstheme="minorHAnsi"/>
        </w:rPr>
        <w:t xml:space="preserve">ifeblood </w:t>
      </w:r>
      <w:r>
        <w:rPr>
          <w:rFonts w:asciiTheme="minorHAnsi" w:hAnsiTheme="minorHAnsi" w:cstheme="minorHAnsi"/>
        </w:rPr>
        <w:t>blood donor attendees, requiring high throughput molecular testing, will</w:t>
      </w:r>
      <w:r w:rsidRPr="00AC2751">
        <w:rPr>
          <w:rFonts w:asciiTheme="minorHAnsi" w:hAnsiTheme="minorHAnsi" w:cstheme="minorHAnsi"/>
        </w:rPr>
        <w:t xml:space="preserve"> enable a higher proportion of new blood donors to </w:t>
      </w:r>
      <w:r>
        <w:rPr>
          <w:rFonts w:asciiTheme="minorHAnsi" w:hAnsiTheme="minorHAnsi" w:cstheme="minorHAnsi"/>
        </w:rPr>
        <w:t xml:space="preserve">also </w:t>
      </w:r>
      <w:r w:rsidRPr="00AC2751">
        <w:rPr>
          <w:rFonts w:asciiTheme="minorHAnsi" w:hAnsiTheme="minorHAnsi" w:cstheme="minorHAnsi"/>
        </w:rPr>
        <w:t xml:space="preserve">become HPC recruits (using blood-based HLA, blood group and CMV testing). This </w:t>
      </w:r>
      <w:r>
        <w:rPr>
          <w:rFonts w:asciiTheme="minorHAnsi" w:hAnsiTheme="minorHAnsi" w:cstheme="minorHAnsi"/>
        </w:rPr>
        <w:t xml:space="preserve">increased HPC recruitment </w:t>
      </w:r>
      <w:r w:rsidRPr="00AC2751">
        <w:rPr>
          <w:rFonts w:asciiTheme="minorHAnsi" w:hAnsiTheme="minorHAnsi" w:cstheme="minorHAnsi"/>
        </w:rPr>
        <w:t xml:space="preserve">will have a </w:t>
      </w:r>
      <w:r>
        <w:rPr>
          <w:rFonts w:asciiTheme="minorHAnsi" w:hAnsiTheme="minorHAnsi" w:cstheme="minorHAnsi"/>
        </w:rPr>
        <w:t xml:space="preserve">potential </w:t>
      </w:r>
      <w:r w:rsidRPr="00AC2751">
        <w:rPr>
          <w:rFonts w:asciiTheme="minorHAnsi" w:hAnsiTheme="minorHAnsi" w:cstheme="minorHAnsi"/>
        </w:rPr>
        <w:t>flow-on benefit for identifying additional platelet donors</w:t>
      </w:r>
      <w:r>
        <w:rPr>
          <w:rFonts w:asciiTheme="minorHAnsi" w:hAnsiTheme="minorHAnsi" w:cstheme="minorHAnsi"/>
        </w:rPr>
        <w:t xml:space="preserve"> from those tested.</w:t>
      </w:r>
    </w:p>
    <w:p w14:paraId="78269CCB" w14:textId="77777777" w:rsidR="00463F43" w:rsidRPr="007D29D4" w:rsidRDefault="00463F43" w:rsidP="00463F43">
      <w:pPr>
        <w:pStyle w:val="ListParagraph"/>
        <w:numPr>
          <w:ilvl w:val="1"/>
          <w:numId w:val="4"/>
        </w:numPr>
        <w:rPr>
          <w:rFonts w:cstheme="minorHAnsi"/>
        </w:rPr>
      </w:pPr>
      <w:r w:rsidRPr="007D29D4">
        <w:rPr>
          <w:rFonts w:asciiTheme="minorHAnsi" w:hAnsiTheme="minorHAnsi" w:cstheme="minorHAnsi"/>
        </w:rPr>
        <w:t xml:space="preserve">Utilising the planned implementation of low-resolution HLA and HPA testing of </w:t>
      </w:r>
      <w:r>
        <w:rPr>
          <w:rFonts w:asciiTheme="minorHAnsi" w:hAnsiTheme="minorHAnsi" w:cstheme="minorHAnsi"/>
        </w:rPr>
        <w:t>new</w:t>
      </w:r>
      <w:r w:rsidRPr="007D29D4">
        <w:rPr>
          <w:rFonts w:asciiTheme="minorHAnsi" w:hAnsiTheme="minorHAnsi" w:cstheme="minorHAnsi"/>
        </w:rPr>
        <w:t xml:space="preserve"> blood donors (who are not currently HLA</w:t>
      </w:r>
      <w:r>
        <w:rPr>
          <w:rFonts w:asciiTheme="minorHAnsi" w:hAnsiTheme="minorHAnsi" w:cstheme="minorHAnsi"/>
        </w:rPr>
        <w:t xml:space="preserve"> or HPA</w:t>
      </w:r>
      <w:r w:rsidRPr="007D29D4">
        <w:rPr>
          <w:rFonts w:asciiTheme="minorHAnsi" w:hAnsiTheme="minorHAnsi" w:cstheme="minorHAnsi"/>
        </w:rPr>
        <w:t xml:space="preserve"> typed) to improve the pool of platelet donors for patients with rare HLA or HPA types</w:t>
      </w:r>
      <w:r>
        <w:rPr>
          <w:rFonts w:asciiTheme="minorHAnsi" w:hAnsiTheme="minorHAnsi" w:cstheme="minorHAnsi"/>
        </w:rPr>
        <w:t>. This testing</w:t>
      </w:r>
      <w:r w:rsidRPr="007D29D4">
        <w:rPr>
          <w:rFonts w:asciiTheme="minorHAnsi" w:hAnsiTheme="minorHAnsi" w:cstheme="minorHAnsi"/>
        </w:rPr>
        <w:t xml:space="preserve"> could also identify </w:t>
      </w:r>
      <w:r>
        <w:rPr>
          <w:rFonts w:asciiTheme="minorHAnsi" w:hAnsiTheme="minorHAnsi" w:cstheme="minorHAnsi"/>
        </w:rPr>
        <w:t xml:space="preserve">additional </w:t>
      </w:r>
      <w:r w:rsidRPr="007D29D4">
        <w:rPr>
          <w:rFonts w:asciiTheme="minorHAnsi" w:hAnsiTheme="minorHAnsi" w:cstheme="minorHAnsi"/>
        </w:rPr>
        <w:t>potential HPC recruits,</w:t>
      </w:r>
      <w:r>
        <w:rPr>
          <w:rFonts w:asciiTheme="minorHAnsi" w:hAnsiTheme="minorHAnsi" w:cstheme="minorHAnsi"/>
        </w:rPr>
        <w:t xml:space="preserve"> or platelet donors, from the existing blood donor pool </w:t>
      </w:r>
      <w:r w:rsidRPr="007D29D4">
        <w:rPr>
          <w:rFonts w:asciiTheme="minorHAnsi" w:hAnsiTheme="minorHAnsi" w:cstheme="minorHAnsi"/>
        </w:rPr>
        <w:t>based on their</w:t>
      </w:r>
      <w:r>
        <w:rPr>
          <w:rFonts w:asciiTheme="minorHAnsi" w:hAnsiTheme="minorHAnsi" w:cstheme="minorHAnsi"/>
        </w:rPr>
        <w:t xml:space="preserve"> self-</w:t>
      </w:r>
      <w:r w:rsidRPr="007D29D4">
        <w:rPr>
          <w:rFonts w:asciiTheme="minorHAnsi" w:hAnsiTheme="minorHAnsi" w:cstheme="minorHAnsi"/>
        </w:rPr>
        <w:t>reported ethnicity</w:t>
      </w:r>
      <w:r>
        <w:rPr>
          <w:rFonts w:asciiTheme="minorHAnsi" w:hAnsiTheme="minorHAnsi" w:cstheme="minorHAnsi"/>
        </w:rPr>
        <w:t>.</w:t>
      </w:r>
    </w:p>
    <w:p w14:paraId="7C59FFAB" w14:textId="546A14C3" w:rsidR="00463F43" w:rsidRPr="00AC2751" w:rsidRDefault="00463F43" w:rsidP="00463F43">
      <w:pPr>
        <w:pStyle w:val="ListParagraph"/>
        <w:numPr>
          <w:ilvl w:val="1"/>
          <w:numId w:val="4"/>
        </w:numPr>
        <w:rPr>
          <w:rFonts w:asciiTheme="minorHAnsi" w:hAnsiTheme="minorHAnsi" w:cstheme="minorHAnsi"/>
        </w:rPr>
      </w:pPr>
      <w:r w:rsidRPr="00AC2751">
        <w:rPr>
          <w:rFonts w:asciiTheme="minorHAnsi" w:hAnsiTheme="minorHAnsi" w:cstheme="minorHAnsi"/>
        </w:rPr>
        <w:t>HPC</w:t>
      </w:r>
      <w:r w:rsidR="006D018C">
        <w:rPr>
          <w:rFonts w:asciiTheme="minorHAnsi" w:hAnsiTheme="minorHAnsi" w:cstheme="minorHAnsi"/>
        </w:rPr>
        <w:t xml:space="preserve"> donor</w:t>
      </w:r>
      <w:r w:rsidRPr="00AC2751">
        <w:rPr>
          <w:rFonts w:asciiTheme="minorHAnsi" w:hAnsiTheme="minorHAnsi" w:cstheme="minorHAnsi"/>
        </w:rPr>
        <w:t xml:space="preserve"> recruitment through fixed or mobile Lifeblood centres</w:t>
      </w:r>
      <w:r>
        <w:rPr>
          <w:rFonts w:asciiTheme="minorHAnsi" w:hAnsiTheme="minorHAnsi" w:cstheme="minorHAnsi"/>
        </w:rPr>
        <w:t>, or recruitment external to Lifeblood,</w:t>
      </w:r>
      <w:r w:rsidRPr="00AC2751">
        <w:rPr>
          <w:rFonts w:asciiTheme="minorHAnsi" w:hAnsiTheme="minorHAnsi" w:cstheme="minorHAnsi"/>
        </w:rPr>
        <w:t xml:space="preserve"> using a combination of buccal swab (for HLA) and blood testing (for blood group and CMV)</w:t>
      </w:r>
      <w:r>
        <w:rPr>
          <w:rFonts w:asciiTheme="minorHAnsi" w:hAnsiTheme="minorHAnsi" w:cstheme="minorHAnsi"/>
        </w:rPr>
        <w:t>. This option could necessitate additional test providers to upscale testing capacity.</w:t>
      </w:r>
    </w:p>
    <w:p w14:paraId="23B240EE" w14:textId="77777777" w:rsidR="00463F43" w:rsidRDefault="00463F43" w:rsidP="00463F43">
      <w:pPr>
        <w:pStyle w:val="ListParagraph"/>
        <w:numPr>
          <w:ilvl w:val="1"/>
          <w:numId w:val="4"/>
        </w:numPr>
        <w:rPr>
          <w:rFonts w:asciiTheme="minorHAnsi" w:hAnsiTheme="minorHAnsi" w:cstheme="minorHAnsi"/>
        </w:rPr>
      </w:pPr>
      <w:r w:rsidRPr="00AC2751">
        <w:rPr>
          <w:rFonts w:asciiTheme="minorHAnsi" w:hAnsiTheme="minorHAnsi" w:cstheme="minorHAnsi"/>
        </w:rPr>
        <w:t xml:space="preserve">ABMDR-led face-to-face community recruitment using only buccal swab </w:t>
      </w:r>
      <w:r>
        <w:rPr>
          <w:rFonts w:asciiTheme="minorHAnsi" w:hAnsiTheme="minorHAnsi" w:cstheme="minorHAnsi"/>
        </w:rPr>
        <w:t>samples and using overseas laboratories until domestic buccal swab-based testing is established.</w:t>
      </w:r>
    </w:p>
    <w:p w14:paraId="08719D0B" w14:textId="09305F6E" w:rsidR="00463F43" w:rsidRPr="00DF6C79" w:rsidRDefault="00463F43" w:rsidP="00463F43">
      <w:pPr>
        <w:pStyle w:val="ListParagraph"/>
        <w:numPr>
          <w:ilvl w:val="0"/>
          <w:numId w:val="4"/>
        </w:numPr>
        <w:rPr>
          <w:rFonts w:asciiTheme="minorHAnsi" w:hAnsiTheme="minorHAnsi" w:cstheme="minorHAnsi"/>
        </w:rPr>
      </w:pPr>
      <w:r w:rsidRPr="00DF6C79">
        <w:rPr>
          <w:rFonts w:asciiTheme="minorHAnsi" w:hAnsiTheme="minorHAnsi" w:cstheme="minorHAnsi"/>
        </w:rPr>
        <w:t>Increased laboratory testing capa</w:t>
      </w:r>
      <w:r>
        <w:rPr>
          <w:rFonts w:asciiTheme="minorHAnsi" w:hAnsiTheme="minorHAnsi" w:cstheme="minorHAnsi"/>
        </w:rPr>
        <w:t>bility through use of high</w:t>
      </w:r>
      <w:r w:rsidR="003250DB">
        <w:rPr>
          <w:rFonts w:asciiTheme="minorHAnsi" w:hAnsiTheme="minorHAnsi" w:cstheme="minorHAnsi"/>
        </w:rPr>
        <w:t xml:space="preserve"> </w:t>
      </w:r>
      <w:r>
        <w:rPr>
          <w:rFonts w:asciiTheme="minorHAnsi" w:hAnsiTheme="minorHAnsi" w:cstheme="minorHAnsi"/>
        </w:rPr>
        <w:t xml:space="preserve">throughput testing </w:t>
      </w:r>
      <w:r w:rsidRPr="00DF6C79">
        <w:rPr>
          <w:rFonts w:asciiTheme="minorHAnsi" w:hAnsiTheme="minorHAnsi" w:cstheme="minorHAnsi"/>
        </w:rPr>
        <w:t xml:space="preserve">in Australia needs to be coupled with automation </w:t>
      </w:r>
      <w:r w:rsidRPr="003B2A71">
        <w:rPr>
          <w:rFonts w:asciiTheme="minorHAnsi" w:hAnsiTheme="minorHAnsi" w:cstheme="minorHAnsi"/>
        </w:rPr>
        <w:t xml:space="preserve">of </w:t>
      </w:r>
      <w:r>
        <w:rPr>
          <w:rFonts w:asciiTheme="minorHAnsi" w:hAnsiTheme="minorHAnsi" w:cstheme="minorHAnsi"/>
        </w:rPr>
        <w:t>processes to increase capacity to deliver test results in a timely manner. Digital transfer of test results is required</w:t>
      </w:r>
      <w:r w:rsidRPr="00DF6C79">
        <w:rPr>
          <w:rFonts w:asciiTheme="minorHAnsi" w:hAnsiTheme="minorHAnsi" w:cstheme="minorHAnsi"/>
        </w:rPr>
        <w:t xml:space="preserve"> as manual processing is a barrier to timely data provision to MatchPoint at the scale proposed.</w:t>
      </w:r>
    </w:p>
    <w:p w14:paraId="09A2536A" w14:textId="77777777" w:rsidR="00463F43"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As HLA types are inherited, an individual’s ethnicity provides an indirect indication of potential match between patient and donor, but HLA analysis of the registry is not currently performed. A new and ongoing analysis of HLA type data from the registry is required:</w:t>
      </w:r>
    </w:p>
    <w:p w14:paraId="3366C7A0" w14:textId="3F75830C" w:rsidR="00463F43" w:rsidRDefault="00463F43" w:rsidP="00463F43">
      <w:pPr>
        <w:pStyle w:val="ListParagraph"/>
        <w:numPr>
          <w:ilvl w:val="1"/>
          <w:numId w:val="4"/>
        </w:numPr>
        <w:rPr>
          <w:rFonts w:asciiTheme="minorHAnsi" w:hAnsiTheme="minorHAnsi" w:cstheme="minorHAnsi"/>
        </w:rPr>
      </w:pPr>
      <w:r>
        <w:rPr>
          <w:rFonts w:asciiTheme="minorHAnsi" w:hAnsiTheme="minorHAnsi" w:cstheme="minorHAnsi"/>
        </w:rPr>
        <w:t xml:space="preserve">A baseline assessment of the relationship between registrant HLA type and self-reported ethnicity of existing </w:t>
      </w:r>
      <w:r w:rsidR="006D018C">
        <w:rPr>
          <w:rFonts w:asciiTheme="minorHAnsi" w:hAnsiTheme="minorHAnsi" w:cstheme="minorHAnsi"/>
        </w:rPr>
        <w:t xml:space="preserve">ABMDR </w:t>
      </w:r>
      <w:r>
        <w:rPr>
          <w:rFonts w:asciiTheme="minorHAnsi" w:hAnsiTheme="minorHAnsi" w:cstheme="minorHAnsi"/>
        </w:rPr>
        <w:t xml:space="preserve">registrants should be performed to identify gaps in domestic donor coverage. </w:t>
      </w:r>
    </w:p>
    <w:p w14:paraId="09050EDC" w14:textId="6E3F1C9C" w:rsidR="00463F43" w:rsidRDefault="00463F43" w:rsidP="00463F43">
      <w:pPr>
        <w:pStyle w:val="ListParagraph"/>
        <w:numPr>
          <w:ilvl w:val="1"/>
          <w:numId w:val="4"/>
        </w:numPr>
        <w:rPr>
          <w:rFonts w:asciiTheme="minorHAnsi" w:hAnsiTheme="minorHAnsi" w:cstheme="minorHAnsi"/>
        </w:rPr>
      </w:pPr>
      <w:r>
        <w:rPr>
          <w:rFonts w:asciiTheme="minorHAnsi" w:hAnsiTheme="minorHAnsi" w:cstheme="minorHAnsi"/>
        </w:rPr>
        <w:t xml:space="preserve">An unmet needs analysis of patient HLA data should be performed to identify </w:t>
      </w:r>
      <w:r w:rsidR="006D018C">
        <w:rPr>
          <w:rFonts w:asciiTheme="minorHAnsi" w:hAnsiTheme="minorHAnsi" w:cstheme="minorHAnsi"/>
        </w:rPr>
        <w:t>HLA </w:t>
      </w:r>
      <w:r>
        <w:rPr>
          <w:rFonts w:asciiTheme="minorHAnsi" w:hAnsiTheme="minorHAnsi" w:cstheme="minorHAnsi"/>
        </w:rPr>
        <w:t xml:space="preserve">haplotypes not covered in the </w:t>
      </w:r>
      <w:r w:rsidR="006D018C">
        <w:rPr>
          <w:rFonts w:asciiTheme="minorHAnsi" w:hAnsiTheme="minorHAnsi" w:cstheme="minorHAnsi"/>
        </w:rPr>
        <w:t xml:space="preserve">national </w:t>
      </w:r>
      <w:r>
        <w:rPr>
          <w:rFonts w:asciiTheme="minorHAnsi" w:hAnsiTheme="minorHAnsi" w:cstheme="minorHAnsi"/>
        </w:rPr>
        <w:t>registry, and for those recipients who were unable to be matched to a suitable domestic or international donor.</w:t>
      </w:r>
    </w:p>
    <w:p w14:paraId="2217B736" w14:textId="063986BC" w:rsidR="00463F43" w:rsidRDefault="00463F43" w:rsidP="00463F43">
      <w:pPr>
        <w:pStyle w:val="ListParagraph"/>
        <w:numPr>
          <w:ilvl w:val="1"/>
          <w:numId w:val="4"/>
        </w:numPr>
        <w:rPr>
          <w:rFonts w:asciiTheme="minorHAnsi" w:hAnsiTheme="minorHAnsi" w:cstheme="minorHAnsi"/>
        </w:rPr>
      </w:pPr>
      <w:r>
        <w:rPr>
          <w:rFonts w:asciiTheme="minorHAnsi" w:hAnsiTheme="minorHAnsi" w:cstheme="minorHAnsi"/>
        </w:rPr>
        <w:t>Thereafter, an annual donor audit and patient needs analysis should be performed to direct future recruitment targets and activities tailored to the most under</w:t>
      </w:r>
      <w:r w:rsidR="006D018C">
        <w:rPr>
          <w:rFonts w:asciiTheme="minorHAnsi" w:hAnsiTheme="minorHAnsi" w:cstheme="minorHAnsi"/>
        </w:rPr>
        <w:noBreakHyphen/>
      </w:r>
      <w:r>
        <w:rPr>
          <w:rFonts w:asciiTheme="minorHAnsi" w:hAnsiTheme="minorHAnsi" w:cstheme="minorHAnsi"/>
        </w:rPr>
        <w:t>represented groups.</w:t>
      </w:r>
    </w:p>
    <w:p w14:paraId="02DC4952" w14:textId="536F5495" w:rsidR="00463F43" w:rsidRPr="00053F76" w:rsidRDefault="00463F43" w:rsidP="00463F43">
      <w:pPr>
        <w:pStyle w:val="ListParagraph"/>
        <w:numPr>
          <w:ilvl w:val="0"/>
          <w:numId w:val="4"/>
        </w:numPr>
        <w:rPr>
          <w:rFonts w:cstheme="minorHAnsi"/>
        </w:rPr>
      </w:pPr>
      <w:r>
        <w:rPr>
          <w:rFonts w:asciiTheme="minorHAnsi" w:hAnsiTheme="minorHAnsi" w:cstheme="minorHAnsi"/>
        </w:rPr>
        <w:t>The current classification of ethnicity used to describe ABMDR registrants should be assessed to ensure it is fit for purpose with sufficient granularity to direct</w:t>
      </w:r>
      <w:r w:rsidR="006D018C">
        <w:rPr>
          <w:rFonts w:asciiTheme="minorHAnsi" w:hAnsiTheme="minorHAnsi" w:cstheme="minorHAnsi"/>
        </w:rPr>
        <w:t xml:space="preserve"> HPC donor</w:t>
      </w:r>
      <w:r>
        <w:rPr>
          <w:rFonts w:asciiTheme="minorHAnsi" w:hAnsiTheme="minorHAnsi" w:cstheme="minorHAnsi"/>
        </w:rPr>
        <w:t xml:space="preserve"> recruitment activities and consider changes that are consistent with reporting practices observed in other countries.</w:t>
      </w:r>
    </w:p>
    <w:p w14:paraId="57F572D4" w14:textId="77777777" w:rsidR="00463F43" w:rsidRDefault="00463F43" w:rsidP="00463F43">
      <w:pPr>
        <w:rPr>
          <w:rFonts w:eastAsia="Franklin Gothic Book" w:cstheme="minorHAnsi"/>
          <w:lang w:val="en-GB"/>
        </w:rPr>
      </w:pPr>
      <w:r>
        <w:rPr>
          <w:rFonts w:cstheme="minorHAnsi"/>
        </w:rPr>
        <w:br w:type="page"/>
      </w:r>
    </w:p>
    <w:p w14:paraId="7E431704" w14:textId="67F289B9" w:rsidR="00463F43" w:rsidRDefault="00463F43" w:rsidP="00463F43">
      <w:pPr>
        <w:pStyle w:val="ListParagraph"/>
        <w:numPr>
          <w:ilvl w:val="0"/>
          <w:numId w:val="4"/>
        </w:numPr>
        <w:rPr>
          <w:rFonts w:asciiTheme="minorHAnsi" w:hAnsiTheme="minorHAnsi" w:cstheme="minorHAnsi"/>
        </w:rPr>
      </w:pPr>
      <w:r w:rsidRPr="0092175C">
        <w:rPr>
          <w:rFonts w:asciiTheme="minorHAnsi" w:hAnsiTheme="minorHAnsi" w:cstheme="minorHAnsi"/>
        </w:rPr>
        <w:t xml:space="preserve">A </w:t>
      </w:r>
      <w:r>
        <w:rPr>
          <w:rFonts w:asciiTheme="minorHAnsi" w:hAnsiTheme="minorHAnsi" w:cstheme="minorHAnsi"/>
        </w:rPr>
        <w:t xml:space="preserve">broader </w:t>
      </w:r>
      <w:r w:rsidRPr="0092175C">
        <w:rPr>
          <w:rFonts w:asciiTheme="minorHAnsi" w:hAnsiTheme="minorHAnsi" w:cstheme="minorHAnsi"/>
        </w:rPr>
        <w:t xml:space="preserve">combination of recruitment strategies, </w:t>
      </w:r>
      <w:r>
        <w:rPr>
          <w:rFonts w:asciiTheme="minorHAnsi" w:hAnsiTheme="minorHAnsi" w:cstheme="minorHAnsi"/>
        </w:rPr>
        <w:t xml:space="preserve">settings, </w:t>
      </w:r>
      <w:r w:rsidRPr="0092175C">
        <w:rPr>
          <w:rFonts w:asciiTheme="minorHAnsi" w:hAnsiTheme="minorHAnsi" w:cstheme="minorHAnsi"/>
        </w:rPr>
        <w:t>sample collection methods and testing are needed</w:t>
      </w:r>
      <w:r>
        <w:rPr>
          <w:rFonts w:asciiTheme="minorHAnsi" w:hAnsiTheme="minorHAnsi" w:cstheme="minorHAnsi"/>
        </w:rPr>
        <w:t xml:space="preserve"> to achieve the increased recruitment aims.</w:t>
      </w:r>
      <w:r w:rsidRPr="0092175C">
        <w:rPr>
          <w:rFonts w:asciiTheme="minorHAnsi" w:hAnsiTheme="minorHAnsi" w:cstheme="minorHAnsi"/>
        </w:rPr>
        <w:t xml:space="preserve"> </w:t>
      </w:r>
      <w:r>
        <w:rPr>
          <w:rFonts w:asciiTheme="minorHAnsi" w:hAnsiTheme="minorHAnsi" w:cstheme="minorHAnsi"/>
        </w:rPr>
        <w:t>S</w:t>
      </w:r>
      <w:r w:rsidRPr="0092175C">
        <w:rPr>
          <w:rFonts w:asciiTheme="minorHAnsi" w:hAnsiTheme="minorHAnsi" w:cstheme="minorHAnsi"/>
        </w:rPr>
        <w:t xml:space="preserve">ystematic recruitment strategies to maximise participation in HPC </w:t>
      </w:r>
      <w:r w:rsidR="006D018C">
        <w:rPr>
          <w:rFonts w:asciiTheme="minorHAnsi" w:hAnsiTheme="minorHAnsi" w:cstheme="minorHAnsi"/>
        </w:rPr>
        <w:t xml:space="preserve">donor </w:t>
      </w:r>
      <w:r w:rsidRPr="0092175C">
        <w:rPr>
          <w:rFonts w:asciiTheme="minorHAnsi" w:hAnsiTheme="minorHAnsi" w:cstheme="minorHAnsi"/>
        </w:rPr>
        <w:t xml:space="preserve">recruitment, particularly for populations not currently adequately represented in the </w:t>
      </w:r>
      <w:r w:rsidR="006D018C">
        <w:rPr>
          <w:rFonts w:asciiTheme="minorHAnsi" w:hAnsiTheme="minorHAnsi" w:cstheme="minorHAnsi"/>
        </w:rPr>
        <w:t xml:space="preserve">national </w:t>
      </w:r>
      <w:r>
        <w:rPr>
          <w:rFonts w:asciiTheme="minorHAnsi" w:hAnsiTheme="minorHAnsi" w:cstheme="minorHAnsi"/>
        </w:rPr>
        <w:t>registry</w:t>
      </w:r>
      <w:r w:rsidRPr="0092175C">
        <w:rPr>
          <w:rFonts w:asciiTheme="minorHAnsi" w:hAnsiTheme="minorHAnsi" w:cstheme="minorHAnsi"/>
        </w:rPr>
        <w:t>, based on age, ethnicity and tissue-type status</w:t>
      </w:r>
      <w:r>
        <w:rPr>
          <w:rFonts w:asciiTheme="minorHAnsi" w:hAnsiTheme="minorHAnsi" w:cstheme="minorHAnsi"/>
        </w:rPr>
        <w:t xml:space="preserve"> are required</w:t>
      </w:r>
      <w:r w:rsidRPr="0092175C">
        <w:rPr>
          <w:rFonts w:asciiTheme="minorHAnsi" w:hAnsiTheme="minorHAnsi" w:cstheme="minorHAnsi"/>
        </w:rPr>
        <w:t xml:space="preserve">. </w:t>
      </w:r>
    </w:p>
    <w:p w14:paraId="6ED6E9CA" w14:textId="77777777" w:rsidR="00463F43" w:rsidRDefault="00463F43" w:rsidP="00463F43">
      <w:pPr>
        <w:pStyle w:val="ListParagraph"/>
        <w:numPr>
          <w:ilvl w:val="1"/>
          <w:numId w:val="4"/>
        </w:numPr>
        <w:rPr>
          <w:rFonts w:asciiTheme="minorHAnsi" w:hAnsiTheme="minorHAnsi" w:cstheme="minorHAnsi"/>
        </w:rPr>
      </w:pPr>
      <w:r w:rsidRPr="0092175C">
        <w:rPr>
          <w:rFonts w:asciiTheme="minorHAnsi" w:hAnsiTheme="minorHAnsi" w:cstheme="minorHAnsi"/>
        </w:rPr>
        <w:t xml:space="preserve">Diversification of recruitment activity would collectively aim to proportionately populate the </w:t>
      </w:r>
      <w:r>
        <w:rPr>
          <w:rFonts w:asciiTheme="minorHAnsi" w:hAnsiTheme="minorHAnsi" w:cstheme="minorHAnsi"/>
        </w:rPr>
        <w:t xml:space="preserve">national registry in line with the diversity of the </w:t>
      </w:r>
      <w:r w:rsidRPr="0092175C">
        <w:rPr>
          <w:rFonts w:asciiTheme="minorHAnsi" w:hAnsiTheme="minorHAnsi" w:cstheme="minorHAnsi"/>
        </w:rPr>
        <w:t xml:space="preserve">Australian population. </w:t>
      </w:r>
    </w:p>
    <w:p w14:paraId="45D3D59B" w14:textId="6253973C" w:rsidR="00463F43" w:rsidRDefault="00463F43" w:rsidP="00463F43">
      <w:pPr>
        <w:pStyle w:val="ListParagraph"/>
        <w:numPr>
          <w:ilvl w:val="1"/>
          <w:numId w:val="4"/>
        </w:numPr>
        <w:rPr>
          <w:rFonts w:asciiTheme="minorHAnsi" w:hAnsiTheme="minorHAnsi" w:cstheme="minorHAnsi"/>
        </w:rPr>
      </w:pPr>
      <w:r>
        <w:rPr>
          <w:rFonts w:asciiTheme="minorHAnsi" w:hAnsiTheme="minorHAnsi" w:cstheme="minorHAnsi"/>
        </w:rPr>
        <w:t>Engagement of</w:t>
      </w:r>
      <w:r w:rsidRPr="0092175C">
        <w:rPr>
          <w:rFonts w:asciiTheme="minorHAnsi" w:hAnsiTheme="minorHAnsi" w:cstheme="minorHAnsi"/>
        </w:rPr>
        <w:t xml:space="preserve"> Aboriginal and Torres Strait Islander populations in HPC </w:t>
      </w:r>
      <w:r w:rsidR="006D018C">
        <w:rPr>
          <w:rFonts w:asciiTheme="minorHAnsi" w:hAnsiTheme="minorHAnsi" w:cstheme="minorHAnsi"/>
        </w:rPr>
        <w:t xml:space="preserve">donor </w:t>
      </w:r>
      <w:r w:rsidRPr="0092175C">
        <w:rPr>
          <w:rFonts w:asciiTheme="minorHAnsi" w:hAnsiTheme="minorHAnsi" w:cstheme="minorHAnsi"/>
        </w:rPr>
        <w:t>recruitment to fulfil their community needs</w:t>
      </w:r>
      <w:r>
        <w:rPr>
          <w:rFonts w:asciiTheme="minorHAnsi" w:hAnsiTheme="minorHAnsi" w:cstheme="minorHAnsi"/>
        </w:rPr>
        <w:t xml:space="preserve"> requires</w:t>
      </w:r>
      <w:r w:rsidRPr="0092175C">
        <w:rPr>
          <w:rFonts w:asciiTheme="minorHAnsi" w:hAnsiTheme="minorHAnsi" w:cstheme="minorHAnsi"/>
        </w:rPr>
        <w:t xml:space="preserve"> coordinated </w:t>
      </w:r>
      <w:r>
        <w:rPr>
          <w:rFonts w:asciiTheme="minorHAnsi" w:hAnsiTheme="minorHAnsi" w:cstheme="minorHAnsi"/>
        </w:rPr>
        <w:t xml:space="preserve">activities </w:t>
      </w:r>
      <w:r w:rsidRPr="0092175C">
        <w:rPr>
          <w:rFonts w:asciiTheme="minorHAnsi" w:hAnsiTheme="minorHAnsi" w:cstheme="minorHAnsi"/>
        </w:rPr>
        <w:t xml:space="preserve">performed </w:t>
      </w:r>
      <w:r>
        <w:rPr>
          <w:rFonts w:asciiTheme="minorHAnsi" w:hAnsiTheme="minorHAnsi" w:cstheme="minorHAnsi"/>
        </w:rPr>
        <w:t>using</w:t>
      </w:r>
      <w:r w:rsidRPr="0092175C">
        <w:rPr>
          <w:rFonts w:asciiTheme="minorHAnsi" w:hAnsiTheme="minorHAnsi" w:cstheme="minorHAnsi"/>
        </w:rPr>
        <w:t xml:space="preserve"> cultural</w:t>
      </w:r>
      <w:r>
        <w:rPr>
          <w:rFonts w:asciiTheme="minorHAnsi" w:hAnsiTheme="minorHAnsi" w:cstheme="minorHAnsi"/>
        </w:rPr>
        <w:t>ly</w:t>
      </w:r>
      <w:r w:rsidRPr="0092175C">
        <w:rPr>
          <w:rFonts w:asciiTheme="minorHAnsi" w:hAnsiTheme="minorHAnsi" w:cstheme="minorHAnsi"/>
        </w:rPr>
        <w:t xml:space="preserve"> safe practice</w:t>
      </w:r>
      <w:r>
        <w:rPr>
          <w:rFonts w:asciiTheme="minorHAnsi" w:hAnsiTheme="minorHAnsi" w:cstheme="minorHAnsi"/>
        </w:rPr>
        <w:t>s. This should include</w:t>
      </w:r>
      <w:r w:rsidRPr="0092175C">
        <w:rPr>
          <w:rFonts w:asciiTheme="minorHAnsi" w:hAnsiTheme="minorHAnsi" w:cstheme="minorHAnsi"/>
        </w:rPr>
        <w:t xml:space="preserve"> engagement </w:t>
      </w:r>
      <w:r>
        <w:rPr>
          <w:rFonts w:asciiTheme="minorHAnsi" w:hAnsiTheme="minorHAnsi" w:cstheme="minorHAnsi"/>
        </w:rPr>
        <w:t xml:space="preserve">with </w:t>
      </w:r>
      <w:r w:rsidRPr="0092175C">
        <w:rPr>
          <w:rFonts w:asciiTheme="minorHAnsi" w:hAnsiTheme="minorHAnsi" w:cstheme="minorHAnsi"/>
        </w:rPr>
        <w:t>formal bodies such as the National Aboriginal Community Controlled Health Organisations</w:t>
      </w:r>
      <w:r>
        <w:rPr>
          <w:rFonts w:asciiTheme="minorHAnsi" w:hAnsiTheme="minorHAnsi" w:cstheme="minorHAnsi"/>
        </w:rPr>
        <w:t xml:space="preserve"> to facilitate testing in non-metropolitan communities, in addition to ongoing community-led recruitment activities</w:t>
      </w:r>
      <w:r w:rsidRPr="0092175C">
        <w:rPr>
          <w:rFonts w:asciiTheme="minorHAnsi" w:hAnsiTheme="minorHAnsi" w:cstheme="minorHAnsi"/>
        </w:rPr>
        <w:t>.</w:t>
      </w:r>
    </w:p>
    <w:p w14:paraId="6AB67273" w14:textId="6C7694C2" w:rsidR="00463F43"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Consolidated</w:t>
      </w:r>
      <w:r w:rsidRPr="0098587E">
        <w:rPr>
          <w:rFonts w:asciiTheme="minorHAnsi" w:hAnsiTheme="minorHAnsi" w:cstheme="minorHAnsi"/>
        </w:rPr>
        <w:t xml:space="preserve"> </w:t>
      </w:r>
      <w:r>
        <w:rPr>
          <w:rFonts w:asciiTheme="minorHAnsi" w:hAnsiTheme="minorHAnsi" w:cstheme="minorHAnsi"/>
        </w:rPr>
        <w:t xml:space="preserve">and consistent </w:t>
      </w:r>
      <w:r w:rsidRPr="0098587E">
        <w:rPr>
          <w:rFonts w:asciiTheme="minorHAnsi" w:hAnsiTheme="minorHAnsi" w:cstheme="minorHAnsi"/>
        </w:rPr>
        <w:t xml:space="preserve">messaging is needed across Lifeblood and the ABMDR </w:t>
      </w:r>
      <w:r>
        <w:rPr>
          <w:rFonts w:asciiTheme="minorHAnsi" w:hAnsiTheme="minorHAnsi" w:cstheme="minorHAnsi"/>
        </w:rPr>
        <w:t xml:space="preserve">to maximise reach with HPC </w:t>
      </w:r>
      <w:r w:rsidR="006D018C">
        <w:rPr>
          <w:rFonts w:asciiTheme="minorHAnsi" w:hAnsiTheme="minorHAnsi" w:cstheme="minorHAnsi"/>
        </w:rPr>
        <w:t xml:space="preserve">donor </w:t>
      </w:r>
      <w:r>
        <w:rPr>
          <w:rFonts w:asciiTheme="minorHAnsi" w:hAnsiTheme="minorHAnsi" w:cstheme="minorHAnsi"/>
        </w:rPr>
        <w:t xml:space="preserve">recruitment </w:t>
      </w:r>
      <w:r w:rsidRPr="0098587E">
        <w:rPr>
          <w:rFonts w:asciiTheme="minorHAnsi" w:hAnsiTheme="minorHAnsi" w:cstheme="minorHAnsi"/>
        </w:rPr>
        <w:t xml:space="preserve">activities </w:t>
      </w:r>
      <w:r>
        <w:rPr>
          <w:rFonts w:asciiTheme="minorHAnsi" w:hAnsiTheme="minorHAnsi" w:cstheme="minorHAnsi"/>
        </w:rPr>
        <w:t xml:space="preserve">that are </w:t>
      </w:r>
      <w:r w:rsidRPr="0098587E">
        <w:rPr>
          <w:rFonts w:asciiTheme="minorHAnsi" w:hAnsiTheme="minorHAnsi" w:cstheme="minorHAnsi"/>
        </w:rPr>
        <w:t>tailored to the diverse Australian population mix</w:t>
      </w:r>
      <w:r>
        <w:rPr>
          <w:rFonts w:asciiTheme="minorHAnsi" w:hAnsiTheme="minorHAnsi" w:cstheme="minorHAnsi"/>
        </w:rPr>
        <w:t>,</w:t>
      </w:r>
      <w:r w:rsidRPr="0098587E">
        <w:rPr>
          <w:rFonts w:asciiTheme="minorHAnsi" w:hAnsiTheme="minorHAnsi" w:cstheme="minorHAnsi"/>
        </w:rPr>
        <w:t xml:space="preserve"> noting the complexity of geographic spread and accessibility. Recruitment messaging and advertising should be informed by the success of domestic activities and by best practice overseas</w:t>
      </w:r>
      <w:r>
        <w:rPr>
          <w:rFonts w:asciiTheme="minorHAnsi" w:hAnsiTheme="minorHAnsi" w:cstheme="minorHAnsi"/>
        </w:rPr>
        <w:t>.</w:t>
      </w:r>
    </w:p>
    <w:p w14:paraId="74518921" w14:textId="088E5636" w:rsidR="00463F43"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 xml:space="preserve">The messaging of the need for enhanced HPC </w:t>
      </w:r>
      <w:r w:rsidR="006D018C">
        <w:rPr>
          <w:rFonts w:asciiTheme="minorHAnsi" w:hAnsiTheme="minorHAnsi" w:cstheme="minorHAnsi"/>
        </w:rPr>
        <w:t xml:space="preserve">donor </w:t>
      </w:r>
      <w:r>
        <w:rPr>
          <w:rFonts w:asciiTheme="minorHAnsi" w:hAnsiTheme="minorHAnsi" w:cstheme="minorHAnsi"/>
        </w:rPr>
        <w:t>recruitment activities needs to be concurrently contextualised with messaging on the contemporary success of donor matching and outcomes for HPC recipients.</w:t>
      </w:r>
    </w:p>
    <w:p w14:paraId="7706B1A5" w14:textId="08AF2421" w:rsidR="00463F43"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 xml:space="preserve">The HPC sector is inextricably linked to the supply of blood and blood-related products. Any changes to HPC </w:t>
      </w:r>
      <w:r w:rsidR="006D018C">
        <w:rPr>
          <w:rFonts w:asciiTheme="minorHAnsi" w:hAnsiTheme="minorHAnsi" w:cstheme="minorHAnsi"/>
        </w:rPr>
        <w:t xml:space="preserve">donor </w:t>
      </w:r>
      <w:r>
        <w:rPr>
          <w:rFonts w:asciiTheme="minorHAnsi" w:hAnsiTheme="minorHAnsi" w:cstheme="minorHAnsi"/>
        </w:rPr>
        <w:t>recruitment should be integrated with changes in the management of blood donors, enabling the most efficient use of critically needed donors.</w:t>
      </w:r>
    </w:p>
    <w:p w14:paraId="56D9EE1E" w14:textId="038EA5ED" w:rsidR="00463F43" w:rsidRDefault="00463F43" w:rsidP="00463F43">
      <w:pPr>
        <w:pStyle w:val="ListParagraph"/>
        <w:numPr>
          <w:ilvl w:val="0"/>
          <w:numId w:val="4"/>
        </w:numPr>
        <w:rPr>
          <w:rFonts w:asciiTheme="minorHAnsi" w:hAnsiTheme="minorHAnsi" w:cstheme="minorHAnsi"/>
        </w:rPr>
      </w:pPr>
      <w:r>
        <w:rPr>
          <w:rFonts w:asciiTheme="minorHAnsi" w:hAnsiTheme="minorHAnsi" w:cstheme="minorHAnsi"/>
        </w:rPr>
        <w:t xml:space="preserve">The Advisory Group recognises the invaluable role the volunteer sector and community engagement activities play in educating the Australian community on the need for HPC donors. These organisations are integral to the ongoing success of HPC </w:t>
      </w:r>
      <w:r w:rsidR="006D018C">
        <w:rPr>
          <w:rFonts w:asciiTheme="minorHAnsi" w:hAnsiTheme="minorHAnsi" w:cstheme="minorHAnsi"/>
        </w:rPr>
        <w:t xml:space="preserve">donor </w:t>
      </w:r>
      <w:r>
        <w:rPr>
          <w:rFonts w:asciiTheme="minorHAnsi" w:hAnsiTheme="minorHAnsi" w:cstheme="minorHAnsi"/>
        </w:rPr>
        <w:t>recruitment, and the provision of support for individuals awaiting HPC transplantation.</w:t>
      </w:r>
    </w:p>
    <w:p w14:paraId="0190D363" w14:textId="77777777" w:rsidR="00463F43" w:rsidRDefault="00463F43" w:rsidP="00463F43">
      <w:pPr>
        <w:rPr>
          <w:rFonts w:cstheme="minorHAnsi"/>
        </w:rPr>
      </w:pPr>
    </w:p>
    <w:p w14:paraId="2C0A3251" w14:textId="77777777" w:rsidR="00463F43" w:rsidRDefault="00463F43" w:rsidP="00463F43">
      <w:pPr>
        <w:pStyle w:val="Heading3"/>
      </w:pPr>
    </w:p>
    <w:p w14:paraId="1E390D7E" w14:textId="77777777" w:rsidR="00463F43" w:rsidRDefault="00463F43" w:rsidP="00463F43">
      <w:pPr>
        <w:pStyle w:val="Heading3"/>
      </w:pPr>
    </w:p>
    <w:p w14:paraId="0DC7655E" w14:textId="77777777" w:rsidR="00463F43" w:rsidRDefault="00463F43" w:rsidP="00463F43">
      <w:pPr>
        <w:pStyle w:val="Heading3"/>
      </w:pPr>
    </w:p>
    <w:p w14:paraId="35888707" w14:textId="77777777" w:rsidR="00463F43" w:rsidRDefault="00463F43" w:rsidP="00463F43">
      <w:pPr>
        <w:pStyle w:val="Heading3"/>
      </w:pPr>
    </w:p>
    <w:p w14:paraId="51B0D865" w14:textId="77777777" w:rsidR="00463F43" w:rsidRDefault="00463F43" w:rsidP="00463F43">
      <w:pPr>
        <w:pStyle w:val="Heading3"/>
      </w:pPr>
    </w:p>
    <w:p w14:paraId="086A695F" w14:textId="77777777" w:rsidR="00463F43" w:rsidRDefault="00463F43" w:rsidP="00463F43">
      <w:pPr>
        <w:pStyle w:val="Heading3"/>
      </w:pPr>
    </w:p>
    <w:p w14:paraId="75590A58" w14:textId="77777777" w:rsidR="00463F43" w:rsidRDefault="00463F43" w:rsidP="00463F43">
      <w:pPr>
        <w:pStyle w:val="Heading3"/>
      </w:pPr>
    </w:p>
    <w:p w14:paraId="73EED1F2" w14:textId="77777777" w:rsidR="00463F43" w:rsidRDefault="00463F43" w:rsidP="00463F43">
      <w:pPr>
        <w:rPr>
          <w:rFonts w:asciiTheme="majorHAnsi" w:eastAsiaTheme="majorEastAsia" w:hAnsiTheme="majorHAnsi" w:cstheme="majorBidi"/>
          <w:b/>
          <w:color w:val="2F5496" w:themeColor="accent1" w:themeShade="BF"/>
          <w:sz w:val="40"/>
          <w:szCs w:val="32"/>
        </w:rPr>
      </w:pPr>
      <w:r>
        <w:br w:type="page"/>
      </w:r>
    </w:p>
    <w:p w14:paraId="2BF9140C" w14:textId="77777777" w:rsidR="00463F43" w:rsidRDefault="00463F43" w:rsidP="00463F43">
      <w:pPr>
        <w:pStyle w:val="Heading1"/>
      </w:pPr>
      <w:bookmarkStart w:id="9" w:name="_Toc134611353"/>
      <w:r>
        <w:t>Proposed timelines for Implementation</w:t>
      </w:r>
      <w:bookmarkEnd w:id="9"/>
    </w:p>
    <w:p w14:paraId="0D82CFD4" w14:textId="77777777" w:rsidR="00463F43" w:rsidRPr="00EB7DC3" w:rsidRDefault="00463F43" w:rsidP="00463F43">
      <w:pPr>
        <w:pStyle w:val="Heading2"/>
      </w:pPr>
      <w:bookmarkStart w:id="10" w:name="_Toc134611354"/>
      <w:r w:rsidRPr="00EB7DC3">
        <w:t xml:space="preserve">Immediate </w:t>
      </w:r>
      <w:r>
        <w:t>actions</w:t>
      </w:r>
      <w:bookmarkEnd w:id="10"/>
    </w:p>
    <w:p w14:paraId="6E6BA5B8" w14:textId="77777777" w:rsidR="00463F43" w:rsidRDefault="00463F43" w:rsidP="00463F43">
      <w:pPr>
        <w:pStyle w:val="Heading4"/>
      </w:pPr>
      <w:bookmarkStart w:id="11" w:name="_Hlk129928180"/>
      <w:r>
        <w:t>Substantially increase the target for HPC recruitment</w:t>
      </w:r>
    </w:p>
    <w:p w14:paraId="32C17C68" w14:textId="0D78D831" w:rsidR="00463F43" w:rsidRDefault="00463F43" w:rsidP="00463F43">
      <w:pPr>
        <w:pStyle w:val="StyleBodyTextLatinBodyCalibri"/>
      </w:pPr>
      <w:r w:rsidRPr="00003059">
        <w:t>Growth of the</w:t>
      </w:r>
      <w:r w:rsidR="006D018C">
        <w:t xml:space="preserve"> national</w:t>
      </w:r>
      <w:r w:rsidRPr="00003059">
        <w:t xml:space="preserve"> registry is required to arrest the attrition of the preferred donor demographic to better meet the needs of Australian patients. Over a five-year period, to be consistent with comparable </w:t>
      </w:r>
      <w:r>
        <w:t>countries</w:t>
      </w:r>
      <w:r w:rsidRPr="00003059">
        <w:t>, the national registry should expand by 100,000 to 150,000 new recruits. This equates to an annual recruitment target of between 25,000 and 40,000 new HPC recruits. Th</w:t>
      </w:r>
      <w:r>
        <w:t>e</w:t>
      </w:r>
      <w:r w:rsidRPr="00003059">
        <w:t xml:space="preserve"> expansion will aim to reduce the relative over-reliance of overseas sourced HPCs for Australian patients, and concomitantly may increase the utilisation of Australian HPC donors for recipients overseas.</w:t>
      </w:r>
    </w:p>
    <w:p w14:paraId="43CE5F4C" w14:textId="77777777" w:rsidR="00463F43" w:rsidRPr="00003059" w:rsidRDefault="00463F43" w:rsidP="00463F43">
      <w:pPr>
        <w:pStyle w:val="StyleBodyTextLatinBodyCalibri"/>
      </w:pPr>
    </w:p>
    <w:p w14:paraId="5F2AC551" w14:textId="500F06BB" w:rsidR="00463F43" w:rsidRPr="00A42F6F" w:rsidRDefault="00463F43" w:rsidP="00463F43">
      <w:r>
        <w:t>This proposed increase in HPC</w:t>
      </w:r>
      <w:r w:rsidR="006D018C">
        <w:t xml:space="preserve"> donor</w:t>
      </w:r>
      <w:r>
        <w:t xml:space="preserve"> recruitment does not aim to make the Australian HPC sector self</w:t>
      </w:r>
      <w:r>
        <w:noBreakHyphen/>
        <w:t>sufficient, as there will remain a continued need to use overseas donors for some patients that are not able to secure a matched donor within Australia.</w:t>
      </w:r>
    </w:p>
    <w:p w14:paraId="06E0A50C" w14:textId="77777777" w:rsidR="00463F43" w:rsidRDefault="00463F43" w:rsidP="00463F43">
      <w:pPr>
        <w:pStyle w:val="Heading4"/>
      </w:pPr>
      <w:r>
        <w:t xml:space="preserve">Increase </w:t>
      </w:r>
      <w:bookmarkStart w:id="12" w:name="_Hlk129934971"/>
      <w:r>
        <w:t xml:space="preserve">the recruitment of HPC donors </w:t>
      </w:r>
      <w:bookmarkStart w:id="13" w:name="_Hlk129934957"/>
      <w:bookmarkEnd w:id="12"/>
      <w:r>
        <w:t>via Lifeblood</w:t>
      </w:r>
      <w:bookmarkEnd w:id="13"/>
    </w:p>
    <w:bookmarkEnd w:id="11"/>
    <w:p w14:paraId="7328710F" w14:textId="77777777" w:rsidR="00463F43" w:rsidRDefault="00463F43" w:rsidP="00463F43">
      <w:r>
        <w:t xml:space="preserve">There is an underutilised pool of new blood donor recruits registered with Lifeblood. During 2021-22 Lifeblood recruited approximately 56,000 new male and female blood donors aged 18-35 years. Existing blood donors aged 18-35 years can also be approached to become HPC donors, providing testing capacity is modernised and upscaled. </w:t>
      </w:r>
    </w:p>
    <w:p w14:paraId="71863306" w14:textId="77777777" w:rsidR="00463F43" w:rsidRDefault="00463F43" w:rsidP="00463F43">
      <w:r>
        <w:t xml:space="preserve">The Advisory Group recommends </w:t>
      </w:r>
      <w:bookmarkStart w:id="14" w:name="_Hlk131522851"/>
      <w:r>
        <w:t xml:space="preserve">the JHPCC consider providing advice to the National Blood Authority to revise the annual target for Lifeblood blood donor recruitment upwards to increase the overall donor pool for blood and blood-related products </w:t>
      </w:r>
      <w:bookmarkEnd w:id="14"/>
      <w:r>
        <w:t>to provide stability of the domestic supply, and which may also proportionally increase HPC recruitment.</w:t>
      </w:r>
    </w:p>
    <w:p w14:paraId="446060A5" w14:textId="77777777" w:rsidR="00463F43" w:rsidRPr="005219E8" w:rsidRDefault="00463F43" w:rsidP="00463F43">
      <w:pPr>
        <w:pStyle w:val="Heading4"/>
      </w:pPr>
      <w:r w:rsidRPr="005219E8">
        <w:t xml:space="preserve">Improve </w:t>
      </w:r>
      <w:r>
        <w:t xml:space="preserve">the </w:t>
      </w:r>
      <w:r w:rsidRPr="005219E8">
        <w:t xml:space="preserve">data transfer </w:t>
      </w:r>
      <w:r>
        <w:t>from</w:t>
      </w:r>
      <w:r w:rsidRPr="005219E8">
        <w:t xml:space="preserve"> laboratories </w:t>
      </w:r>
      <w:r>
        <w:t xml:space="preserve">for the provision of data </w:t>
      </w:r>
      <w:r w:rsidRPr="005219E8">
        <w:t>to</w:t>
      </w:r>
      <w:r>
        <w:t xml:space="preserve"> MatchPoint managed by</w:t>
      </w:r>
      <w:r w:rsidRPr="005219E8">
        <w:t xml:space="preserve"> ABMDR</w:t>
      </w:r>
    </w:p>
    <w:p w14:paraId="40687056" w14:textId="46482A32" w:rsidR="00463F43" w:rsidRDefault="00463F43" w:rsidP="00463F43">
      <w:r>
        <w:t xml:space="preserve">Manual processing of laboratory results for current ABMDR activities was identified in feedback from the Australian HLA laboratories as rate limiting to the rapidity of increasing domestic HPC </w:t>
      </w:r>
      <w:r w:rsidR="006D018C">
        <w:t xml:space="preserve">donor </w:t>
      </w:r>
      <w:r>
        <w:t xml:space="preserve">recruitment testing. </w:t>
      </w:r>
    </w:p>
    <w:p w14:paraId="01AA5748" w14:textId="77777777" w:rsidR="00463F43" w:rsidRDefault="00463F43" w:rsidP="00463F43">
      <w:r>
        <w:t>The Advisory Group advises that optimisation of results management through automation of testing and results processing needs to be implemented in parallel with the expansion and modernisation of domestic laboratory testing options.</w:t>
      </w:r>
    </w:p>
    <w:p w14:paraId="7EE315EE" w14:textId="77777777" w:rsidR="00463F43" w:rsidRDefault="00463F43" w:rsidP="00463F43">
      <w:pPr>
        <w:pStyle w:val="Heading4"/>
      </w:pPr>
      <w:bookmarkStart w:id="15" w:name="_Hlk131169969"/>
      <w:r w:rsidRPr="005373DD">
        <w:t>Implement buccal swab testing options at recruitment to increase the accessibility of Australians in joining the HPC registry</w:t>
      </w:r>
    </w:p>
    <w:p w14:paraId="68CD552E" w14:textId="77777777" w:rsidR="00463F43" w:rsidRDefault="00463F43" w:rsidP="00463F43">
      <w:r>
        <w:t>Buccal swab testing has been successfully used by overseas registries to recruit donors, and the STG pilot programs illustrated that this method of recruitment could be implemented in Australia alongside current recruitment by blood sample. Buccal swabs can be used to recruit Australians who are unable to, or may not consider attending a Lifeblood donation centre, thus providing greater accessibility to potential recruits who reside in regional and remote areas of Australia.</w:t>
      </w:r>
    </w:p>
    <w:p w14:paraId="2849A58C" w14:textId="1378FB8A" w:rsidR="00463F43" w:rsidRPr="0081179F" w:rsidRDefault="00463F43" w:rsidP="00463F43">
      <w:r>
        <w:t xml:space="preserve">The Advisory Group recommends that buccal swab-based recruitment is implemented in Australia but is cognisant that current domestic laboratory capability and capacity is not yet optimal for onshore testing of buccal swabs. Overseas testing of buccal swabs by registry laboratories should be utilised until domestic capability is available, as testing of samples by Australian laboratories is overseen by Australian regulatory and accreditation frameworks. </w:t>
      </w:r>
    </w:p>
    <w:p w14:paraId="2C60AB8D" w14:textId="77777777" w:rsidR="00463F43" w:rsidRPr="005219E8" w:rsidRDefault="00463F43" w:rsidP="00463F43">
      <w:pPr>
        <w:pStyle w:val="Heading4"/>
      </w:pPr>
      <w:r w:rsidRPr="005219E8">
        <w:t>Increase the domestic capability of Australian laboratories to test</w:t>
      </w:r>
      <w:r>
        <w:t xml:space="preserve"> </w:t>
      </w:r>
      <w:r w:rsidRPr="005219E8">
        <w:t>buccal swabs</w:t>
      </w:r>
    </w:p>
    <w:p w14:paraId="13A202D6" w14:textId="77777777" w:rsidR="00463F43" w:rsidRDefault="00463F43" w:rsidP="00463F43">
      <w:r>
        <w:t>There is a compelling public health need to improve the domestic laboratory testing capability and capacity of buccal swab-based blood group (ABO and Rh) and CMV status testing to facilitate increased HPC donor recruitment.</w:t>
      </w:r>
    </w:p>
    <w:p w14:paraId="49539193" w14:textId="77777777" w:rsidR="00463F43" w:rsidRDefault="00463F43" w:rsidP="00463F43">
      <w:r w:rsidRPr="00B91FB1">
        <w:t>All three laboratories currently involved in HPC donor testing; Lifeblood,</w:t>
      </w:r>
      <w:r>
        <w:t xml:space="preserve"> </w:t>
      </w:r>
      <w:r w:rsidRPr="00B91FB1">
        <w:t>Path</w:t>
      </w:r>
      <w:r>
        <w:t>W</w:t>
      </w:r>
      <w:r w:rsidRPr="00B91FB1">
        <w:t>est</w:t>
      </w:r>
      <w:r>
        <w:t xml:space="preserve"> (Western Australia)</w:t>
      </w:r>
      <w:r w:rsidRPr="00B91FB1">
        <w:t xml:space="preserve"> and Pathology Queensland </w:t>
      </w:r>
      <w:r>
        <w:t xml:space="preserve">(Queensland) </w:t>
      </w:r>
      <w:r w:rsidRPr="00B91FB1">
        <w:t>have indicated they would be capable of performing testing on buccal swabs.</w:t>
      </w:r>
      <w:r>
        <w:t xml:space="preserve"> Validation and accreditation of laboratories to test buccal swabs via in-house </w:t>
      </w:r>
      <w:r w:rsidRPr="00E076FE">
        <w:rPr>
          <w:i/>
          <w:iCs/>
        </w:rPr>
        <w:t>in vitro</w:t>
      </w:r>
      <w:r>
        <w:t xml:space="preserve"> diagnostic medical devices (IVDs) will require </w:t>
      </w:r>
      <w:r w:rsidRPr="00077429">
        <w:t xml:space="preserve">capital expenditure on laboratory equipment </w:t>
      </w:r>
      <w:r>
        <w:t>and personnel and may take around 6 months to complete.</w:t>
      </w:r>
    </w:p>
    <w:p w14:paraId="26049955" w14:textId="73E1D285" w:rsidR="00463F43" w:rsidRDefault="00463F43" w:rsidP="00463F43">
      <w:r w:rsidRPr="00460930">
        <w:t xml:space="preserve">The Advisory </w:t>
      </w:r>
      <w:r>
        <w:t>G</w:t>
      </w:r>
      <w:r w:rsidRPr="00460930">
        <w:t>roup recommends that the current regulatory framework is applied to Class 4 IVDs</w:t>
      </w:r>
      <w:r>
        <w:t xml:space="preserve"> </w:t>
      </w:r>
      <w:r w:rsidRPr="00460930">
        <w:t>to be used in buccal swab testing, and in the interest of public health request</w:t>
      </w:r>
      <w:r>
        <w:t>s</w:t>
      </w:r>
      <w:r w:rsidRPr="00460930">
        <w:t xml:space="preserve"> the Therapeutic Goods Administration (TGA) utilise existing provisions available to reduce the associated assessment fees. While the domestic testing capacity is being increased for blood</w:t>
      </w:r>
      <w:r>
        <w:noBreakHyphen/>
      </w:r>
      <w:r w:rsidRPr="00460930">
        <w:t>based testing, and u</w:t>
      </w:r>
      <w:r w:rsidRPr="00003059">
        <w:t xml:space="preserve">ntil </w:t>
      </w:r>
      <w:r>
        <w:t xml:space="preserve">full </w:t>
      </w:r>
      <w:r w:rsidRPr="00003059">
        <w:t>domestic buccal</w:t>
      </w:r>
      <w:r>
        <w:t xml:space="preserve"> swab testing capability is established, the need for increased HPC </w:t>
      </w:r>
      <w:r w:rsidR="006D018C">
        <w:t xml:space="preserve">donor </w:t>
      </w:r>
      <w:r>
        <w:t xml:space="preserve">recruitment can be partly met using overseas testing. </w:t>
      </w:r>
    </w:p>
    <w:bookmarkEnd w:id="15"/>
    <w:p w14:paraId="197B1F0F" w14:textId="77777777" w:rsidR="00463F43" w:rsidRPr="00C617C2" w:rsidRDefault="00463F43" w:rsidP="00463F43">
      <w:pPr>
        <w:pStyle w:val="Heading4"/>
      </w:pPr>
      <w:r>
        <w:t>Widen the a</w:t>
      </w:r>
      <w:r w:rsidRPr="00C617C2">
        <w:t>dult HPC donor age range</w:t>
      </w:r>
      <w:r>
        <w:t xml:space="preserve"> eligibility at recruitment to 18-40 years</w:t>
      </w:r>
    </w:p>
    <w:p w14:paraId="23633960" w14:textId="56DD721A" w:rsidR="00463F43" w:rsidRDefault="00463F43" w:rsidP="00463F43">
      <w:pPr>
        <w:rPr>
          <w:rFonts w:cstheme="minorHAnsi"/>
        </w:rPr>
      </w:pPr>
      <w:r>
        <w:t xml:space="preserve">The Advisory Group recommends expanding the age range for HPC </w:t>
      </w:r>
      <w:r w:rsidR="006D018C">
        <w:t xml:space="preserve">donor </w:t>
      </w:r>
      <w:r>
        <w:t>recruitment eligibility to 18-40 years of age to maximise the potential recruitment of the most HLA and ethnicity-diverse individuals required to meet the needs of the Australian recipient population.</w:t>
      </w:r>
    </w:p>
    <w:p w14:paraId="309CD0D2" w14:textId="77777777" w:rsidR="00463F43" w:rsidRDefault="00463F43" w:rsidP="00463F43">
      <w:pPr>
        <w:pStyle w:val="Heading4"/>
      </w:pPr>
      <w:bookmarkStart w:id="16" w:name="_Hlk129934990"/>
      <w:r>
        <w:t xml:space="preserve">Use evidence-based recruitment </w:t>
      </w:r>
      <w:bookmarkEnd w:id="16"/>
      <w:r>
        <w:t>strategies to improve the ethnic and HLA diversity of donors on the national registry</w:t>
      </w:r>
    </w:p>
    <w:p w14:paraId="0B03E3EE" w14:textId="77777777" w:rsidR="00463F43" w:rsidRDefault="00463F43" w:rsidP="00463F43">
      <w:r>
        <w:t>A formal assessment of the current diversity of HLA and cultural background of HPC recruits in the national adult HPC registry should be performed by a clinical group with appropriate expertise, to act as a baseline for comparison, and to inform future recruitment activity. The ABMDR does not have capability to perform this activity and it is not currently undertaken.</w:t>
      </w:r>
      <w:r w:rsidRPr="00395B20">
        <w:t xml:space="preserve"> </w:t>
      </w:r>
    </w:p>
    <w:p w14:paraId="2F4BDA8F" w14:textId="77777777" w:rsidR="00463F43" w:rsidRDefault="00463F43" w:rsidP="00463F43">
      <w:r>
        <w:t xml:space="preserve">The Advisory Group recommends that all future HPC recruitment and testing capability should aim to increase the numbers of HPC recruits </w:t>
      </w:r>
      <w:r>
        <w:rPr>
          <w:u w:val="single"/>
        </w:rPr>
        <w:t>and</w:t>
      </w:r>
      <w:r>
        <w:t xml:space="preserve"> maximise both the HLA diversity (measured by haplotype or allele frequency) and ethnicity of the national registry, as assessed annually following the baseline analysis.</w:t>
      </w:r>
    </w:p>
    <w:p w14:paraId="0C0C632A" w14:textId="039C8982" w:rsidR="00463F43" w:rsidRDefault="00463F43" w:rsidP="00463F43">
      <w:r>
        <w:t xml:space="preserve">Due to the heterogeneous composition of the Australian population, the Advisory Group recommends that general HPC </w:t>
      </w:r>
      <w:r w:rsidR="006D018C">
        <w:t xml:space="preserve">donor </w:t>
      </w:r>
      <w:r>
        <w:t>recruitment should also aim to increase the proportion of individuals who self-identify as being of mixed ancestry. This</w:t>
      </w:r>
      <w:r w:rsidR="003250DB">
        <w:t xml:space="preserve"> </w:t>
      </w:r>
      <w:r>
        <w:t xml:space="preserve">will likely increase the </w:t>
      </w:r>
      <w:r w:rsidR="003250DB">
        <w:t xml:space="preserve">proportional </w:t>
      </w:r>
      <w:r>
        <w:t>yield of identifying HPC recruits with low frequency HLA haplotypes.</w:t>
      </w:r>
    </w:p>
    <w:p w14:paraId="5244F31C" w14:textId="77777777" w:rsidR="00463F43" w:rsidRDefault="00463F43" w:rsidP="00463F43">
      <w:pPr>
        <w:pStyle w:val="Heading2"/>
      </w:pPr>
      <w:bookmarkStart w:id="17" w:name="_Toc134611355"/>
      <w:r>
        <w:t>Short-term actions (within next 6 to 12 months)</w:t>
      </w:r>
      <w:bookmarkEnd w:id="17"/>
    </w:p>
    <w:p w14:paraId="3A2F637F" w14:textId="77777777" w:rsidR="00463F43" w:rsidRPr="00C617C2" w:rsidRDefault="00463F43" w:rsidP="00463F43">
      <w:pPr>
        <w:pStyle w:val="Heading4"/>
      </w:pPr>
      <w:bookmarkStart w:id="18" w:name="_Hlk129928268"/>
      <w:r w:rsidRPr="00C617C2">
        <w:t>Increase testing capacity</w:t>
      </w:r>
      <w:r>
        <w:t xml:space="preserve"> of Australian laboratories</w:t>
      </w:r>
    </w:p>
    <w:bookmarkEnd w:id="18"/>
    <w:p w14:paraId="4708CF4F" w14:textId="172D40A4" w:rsidR="00463F43" w:rsidRDefault="00463F43" w:rsidP="00463F43">
      <w:r w:rsidRPr="00077429">
        <w:t>Lifeblood ha</w:t>
      </w:r>
      <w:r>
        <w:t>s</w:t>
      </w:r>
      <w:r w:rsidRPr="00077429">
        <w:t xml:space="preserve"> indicated to the Commonwealth that </w:t>
      </w:r>
      <w:r>
        <w:t xml:space="preserve">through the introduction of high-throughput testing, </w:t>
      </w:r>
      <w:r w:rsidRPr="00077429">
        <w:t xml:space="preserve">existing testing capacity can be </w:t>
      </w:r>
      <w:r>
        <w:t xml:space="preserve">increased </w:t>
      </w:r>
      <w:r w:rsidRPr="00077429">
        <w:t>to between 25,000 and 50,000 individuals per year</w:t>
      </w:r>
      <w:r>
        <w:t xml:space="preserve">. This </w:t>
      </w:r>
      <w:r w:rsidR="003250DB">
        <w:t xml:space="preserve">increase </w:t>
      </w:r>
      <w:r>
        <w:t xml:space="preserve">could </w:t>
      </w:r>
      <w:r w:rsidRPr="00077429">
        <w:t xml:space="preserve">encompass Lifeblood HPC </w:t>
      </w:r>
      <w:r w:rsidR="006D018C">
        <w:t xml:space="preserve">donor </w:t>
      </w:r>
      <w:r w:rsidRPr="00077429">
        <w:t>recruitment (approximately 20,000 individual</w:t>
      </w:r>
      <w:r>
        <w:t>s</w:t>
      </w:r>
      <w:r w:rsidRPr="00077429">
        <w:t xml:space="preserve"> per year) and external recruitment (e.g. in conjunction with the ABMDR</w:t>
      </w:r>
      <w:r>
        <w:t xml:space="preserve"> or other stakeholders</w:t>
      </w:r>
      <w:r w:rsidRPr="00077429">
        <w:t>), using either buccal swab or blood for HLA testing and a concurrent</w:t>
      </w:r>
      <w:r>
        <w:t>,</w:t>
      </w:r>
      <w:r w:rsidRPr="00077429">
        <w:t xml:space="preserve"> or later</w:t>
      </w:r>
      <w:r>
        <w:t>,</w:t>
      </w:r>
      <w:r w:rsidRPr="00077429">
        <w:t xml:space="preserve"> blood test for blood group and </w:t>
      </w:r>
      <w:r w:rsidR="006D018C">
        <w:t xml:space="preserve">CMV status </w:t>
      </w:r>
      <w:r>
        <w:t xml:space="preserve">(see Table 2 – Proposed </w:t>
      </w:r>
      <w:r w:rsidR="006D018C">
        <w:t>5-</w:t>
      </w:r>
      <w:r>
        <w:t>year plan to increase adult donor recruitment)</w:t>
      </w:r>
      <w:r w:rsidRPr="00077429">
        <w:t>.</w:t>
      </w:r>
    </w:p>
    <w:p w14:paraId="3805F12D" w14:textId="448771BD" w:rsidR="00463F43" w:rsidRDefault="00463F43" w:rsidP="00463F43">
      <w:r w:rsidRPr="00077429">
        <w:t>This testing strategy</w:t>
      </w:r>
      <w:r>
        <w:t xml:space="preserve"> using a combination of buccal swab for HLA typing and blood test for ABO and Rh</w:t>
      </w:r>
      <w:r w:rsidR="006D018C">
        <w:t xml:space="preserve"> and CMV status</w:t>
      </w:r>
      <w:r w:rsidRPr="00077429">
        <w:t xml:space="preserve"> would meet the standard for HPC donor </w:t>
      </w:r>
      <w:r>
        <w:t xml:space="preserve">recruitment </w:t>
      </w:r>
      <w:r w:rsidRPr="00077429">
        <w:t>testing</w:t>
      </w:r>
      <w:r>
        <w:t xml:space="preserve"> set by ABMDR and be performed in Australia</w:t>
      </w:r>
      <w:r w:rsidRPr="00077429">
        <w:t>. Implementation would require capital expenditure on laboratory equipment and laboratory accreditation for HLA testing (approximately 6 months from installation), plus systems for automation of results transfer.</w:t>
      </w:r>
    </w:p>
    <w:p w14:paraId="57021F44" w14:textId="77777777" w:rsidR="00463F43" w:rsidRDefault="00463F43" w:rsidP="00463F43">
      <w:r>
        <w:t xml:space="preserve">The Advisory Group is aware that testing of donors currently recruited by Lifeblood in Queensland and Western Australia is performed by state pathology laboratories (Pathology Queensland and PathWest). Increased testing capacity of testing by these laboratories would also be required. </w:t>
      </w:r>
    </w:p>
    <w:p w14:paraId="07765E54" w14:textId="77777777" w:rsidR="00463F43" w:rsidRDefault="00463F43" w:rsidP="00463F43">
      <w:r w:rsidRPr="00077429">
        <w:t>Lifeblood’s</w:t>
      </w:r>
      <w:r>
        <w:t xml:space="preserve"> planned</w:t>
      </w:r>
      <w:r w:rsidRPr="00077429">
        <w:t xml:space="preserve"> implementation of the Universal Blood Donor Testing</w:t>
      </w:r>
      <w:r>
        <w:t xml:space="preserve"> (UBDT)</w:t>
      </w:r>
      <w:r w:rsidRPr="00077429">
        <w:t xml:space="preserve"> array </w:t>
      </w:r>
      <w:r>
        <w:t xml:space="preserve">will </w:t>
      </w:r>
      <w:r w:rsidRPr="00077429">
        <w:t xml:space="preserve">enable low-resolution </w:t>
      </w:r>
      <w:r>
        <w:t xml:space="preserve">2-field </w:t>
      </w:r>
      <w:r w:rsidRPr="00077429">
        <w:t xml:space="preserve">HLA testing </w:t>
      </w:r>
      <w:r>
        <w:t xml:space="preserve">from among a large pool of blood donors not currently HLA typed, </w:t>
      </w:r>
      <w:r w:rsidRPr="00077429">
        <w:t xml:space="preserve">to identify additional potential HPC recruits and platelet donors with rare HLA </w:t>
      </w:r>
      <w:r>
        <w:t xml:space="preserve">and HPA haplotypes </w:t>
      </w:r>
      <w:r w:rsidRPr="00077429">
        <w:t xml:space="preserve">who are not currently identifiable. </w:t>
      </w:r>
      <w:r>
        <w:t xml:space="preserve">Where a specific patient with a rare HLA configuration requires a HPC transplant or matched platelets, the pool of individuals who are blood donors but not HPC recruits can then be searched for potential HLA matches (at 2-field resolution) and if consented could proceed to complete HLA/HPA testing. Those existing blood donors not yet HLA typed could be consented to join the national registry if identified as a potential match based on self-reported ethnicity; they would then undergo initial 2-field HLA testing and completion of HLA typing (to the ABMDR standard) if found to be an appropriate match. </w:t>
      </w:r>
    </w:p>
    <w:p w14:paraId="630D8232" w14:textId="714873DC" w:rsidR="00463F43" w:rsidRDefault="00463F43" w:rsidP="00463F43">
      <w:r>
        <w:t xml:space="preserve">If blood donors are </w:t>
      </w:r>
      <w:r w:rsidRPr="00301DC6">
        <w:t>identified through</w:t>
      </w:r>
      <w:r w:rsidR="003250DB">
        <w:t xml:space="preserve"> the</w:t>
      </w:r>
      <w:r w:rsidRPr="00301DC6">
        <w:t xml:space="preserve"> UBDT</w:t>
      </w:r>
      <w:r>
        <w:t xml:space="preserve"> as having </w:t>
      </w:r>
      <w:r w:rsidRPr="00301DC6">
        <w:t xml:space="preserve">“rare” haplotypes missing from the </w:t>
      </w:r>
      <w:r w:rsidR="006D018C">
        <w:t>national r</w:t>
      </w:r>
      <w:r w:rsidR="006D018C" w:rsidRPr="00301DC6">
        <w:t>egistry</w:t>
      </w:r>
      <w:r w:rsidRPr="00301DC6">
        <w:t xml:space="preserve">, </w:t>
      </w:r>
      <w:r>
        <w:t>their</w:t>
      </w:r>
      <w:r w:rsidRPr="00301DC6">
        <w:t xml:space="preserve"> consent and full testing should be performed up front, so they can be fully uploaded into the </w:t>
      </w:r>
      <w:r w:rsidR="006D018C">
        <w:t>national registry</w:t>
      </w:r>
      <w:r w:rsidR="006D018C" w:rsidRPr="00301DC6">
        <w:t xml:space="preserve"> </w:t>
      </w:r>
      <w:r w:rsidRPr="00301DC6">
        <w:t xml:space="preserve">and be available for a comprehensive search for a selected </w:t>
      </w:r>
      <w:r>
        <w:t>patient</w:t>
      </w:r>
      <w:r w:rsidRPr="00301DC6">
        <w:t xml:space="preserve"> seeking a suitable donor.</w:t>
      </w:r>
    </w:p>
    <w:p w14:paraId="1848B586" w14:textId="77777777" w:rsidR="00463F43" w:rsidRDefault="00463F43" w:rsidP="00463F43"/>
    <w:p w14:paraId="386884BC" w14:textId="77777777" w:rsidR="00463F43" w:rsidRPr="00C617C2" w:rsidRDefault="00463F43" w:rsidP="00463F43">
      <w:pPr>
        <w:pStyle w:val="Heading4"/>
      </w:pPr>
      <w:r w:rsidRPr="00C617C2">
        <w:t>Messaging and advertising for HPC dono</w:t>
      </w:r>
      <w:r>
        <w:t>r</w:t>
      </w:r>
      <w:r w:rsidRPr="00C617C2">
        <w:t xml:space="preserve"> recruitment</w:t>
      </w:r>
      <w:r>
        <w:t xml:space="preserve"> </w:t>
      </w:r>
      <w:r w:rsidRPr="00A42F6F">
        <w:t xml:space="preserve">needs to be </w:t>
      </w:r>
      <w:r>
        <w:t>consolidated</w:t>
      </w:r>
      <w:r w:rsidRPr="00A42F6F">
        <w:t xml:space="preserve"> and enhanced</w:t>
      </w:r>
    </w:p>
    <w:p w14:paraId="1CB8FCD6" w14:textId="7FD76F65" w:rsidR="00463F43" w:rsidRDefault="00463F43" w:rsidP="00463F43">
      <w:r>
        <w:t xml:space="preserve">Consistent </w:t>
      </w:r>
      <w:r w:rsidRPr="00D51A43">
        <w:t xml:space="preserve">messaging </w:t>
      </w:r>
      <w:r>
        <w:t xml:space="preserve">is required by entities performing HPC </w:t>
      </w:r>
      <w:r w:rsidR="006D018C">
        <w:t xml:space="preserve">donor </w:t>
      </w:r>
      <w:r>
        <w:t>recruitment activities. This should involve messaging that is</w:t>
      </w:r>
      <w:r w:rsidRPr="00D51A43">
        <w:t xml:space="preserve"> tailored to the diverse Australian population</w:t>
      </w:r>
      <w:r>
        <w:t>,</w:t>
      </w:r>
      <w:r w:rsidRPr="00D51A43">
        <w:t xml:space="preserve"> noting the complexity of geographic spread and accessibility. Recruitment messaging and advertising should be informed by the success of domestic activities</w:t>
      </w:r>
      <w:r>
        <w:t xml:space="preserve"> (including that for blood donor recruitment)</w:t>
      </w:r>
      <w:r w:rsidRPr="00D51A43">
        <w:t xml:space="preserve"> and by best practice overseas</w:t>
      </w:r>
      <w:r>
        <w:t xml:space="preserve"> and be properly funded to achieve the proposed increase in recruitment</w:t>
      </w:r>
      <w:r w:rsidRPr="00D51A43">
        <w:t>.</w:t>
      </w:r>
    </w:p>
    <w:p w14:paraId="7FC85DBA" w14:textId="5BC9D86D" w:rsidR="00463F43" w:rsidRDefault="00463F43" w:rsidP="00463F43">
      <w:r>
        <w:t xml:space="preserve">The Advisory Group noted that there is a discrepancy in the messaging that is directed to HPC </w:t>
      </w:r>
      <w:r w:rsidR="006D018C">
        <w:t xml:space="preserve">donor </w:t>
      </w:r>
      <w:r>
        <w:t>recruitment versus that for recipients. HPC</w:t>
      </w:r>
      <w:r w:rsidR="006D018C">
        <w:t xml:space="preserve"> donor</w:t>
      </w:r>
      <w:r>
        <w:t xml:space="preserve"> recruitment messaging on the need for increased donors may be interpreted to mean there is a lower likelihood of a HPC donor being found and cannot encompass the complexity of contemporary donor selection. The separate needs for donor recruitment and transplant recipient messaging needs to be clearly recognisable, with accurate information for recipients and their families on the likelihood of </w:t>
      </w:r>
      <w:r w:rsidR="006D018C">
        <w:t xml:space="preserve">HPC </w:t>
      </w:r>
      <w:r>
        <w:t>donor matching, noting that permissive mismatching of</w:t>
      </w:r>
      <w:r w:rsidR="006D018C">
        <w:t xml:space="preserve"> HPC</w:t>
      </w:r>
      <w:r>
        <w:t xml:space="preserve"> donors enables a potential use of existing HPC registrants.</w:t>
      </w:r>
    </w:p>
    <w:p w14:paraId="44C0AD6B" w14:textId="081F54A5" w:rsidR="00463F43" w:rsidRPr="00B259D8" w:rsidRDefault="00463F43" w:rsidP="00463F43">
      <w:pPr>
        <w:rPr>
          <w:rFonts w:cstheme="minorHAnsi"/>
        </w:rPr>
      </w:pPr>
      <w:r w:rsidRPr="00B259D8">
        <w:rPr>
          <w:rFonts w:cstheme="minorHAnsi"/>
        </w:rPr>
        <w:t xml:space="preserve">Given the lower age limit for HPC </w:t>
      </w:r>
      <w:r w:rsidR="006D018C">
        <w:rPr>
          <w:rFonts w:cstheme="minorHAnsi"/>
        </w:rPr>
        <w:t xml:space="preserve">donor </w:t>
      </w:r>
      <w:r w:rsidRPr="00B259D8">
        <w:rPr>
          <w:rFonts w:cstheme="minorHAnsi"/>
        </w:rPr>
        <w:t xml:space="preserve">recruitment, consideration should be given to improving messaging of becoming a HPC registrant and/or blood donor across a diverse range of high school and community settings, using a mixture of face-to-face and online messaging, informed by the success of programs in other </w:t>
      </w:r>
      <w:r>
        <w:rPr>
          <w:rFonts w:cstheme="minorHAnsi"/>
        </w:rPr>
        <w:t>countries.</w:t>
      </w:r>
    </w:p>
    <w:p w14:paraId="2EC9BDA9" w14:textId="77777777" w:rsidR="00463F43" w:rsidRPr="00C617C2" w:rsidRDefault="00463F43" w:rsidP="00463F43">
      <w:pPr>
        <w:pStyle w:val="Heading4"/>
      </w:pPr>
      <w:r w:rsidRPr="00C617C2">
        <w:t xml:space="preserve">Alignment of HPC sector recruitment and testing </w:t>
      </w:r>
      <w:r>
        <w:t xml:space="preserve">(adult and cord blood) into a National </w:t>
      </w:r>
      <w:r w:rsidRPr="00C617C2">
        <w:t>Strategy for HPC recruitment</w:t>
      </w:r>
    </w:p>
    <w:p w14:paraId="0C7DC36E" w14:textId="0391C1E7" w:rsidR="00463F43" w:rsidRDefault="00463F43" w:rsidP="00463F43">
      <w:r w:rsidRPr="00A4676E">
        <w:t xml:space="preserve">The </w:t>
      </w:r>
      <w:r>
        <w:t>Advisory Group</w:t>
      </w:r>
      <w:r w:rsidRPr="00A4676E">
        <w:t xml:space="preserve"> notes there is a review of the Australian cord blood sector</w:t>
      </w:r>
      <w:r>
        <w:t xml:space="preserve"> currently</w:t>
      </w:r>
      <w:r w:rsidRPr="00A4676E">
        <w:t xml:space="preserve"> in progress</w:t>
      </w:r>
      <w:r>
        <w:t xml:space="preserve"> but is not in the remit of this advice. It is advised that any proposed changes to the cord blood sector is considered in conjunction with the implementation of recommendations for adult HPC</w:t>
      </w:r>
      <w:r w:rsidR="006D018C">
        <w:t xml:space="preserve"> donor</w:t>
      </w:r>
      <w:r>
        <w:t xml:space="preserve"> recruitment in the Australian HPC sector. </w:t>
      </w:r>
    </w:p>
    <w:p w14:paraId="4FBF0DEE" w14:textId="77777777" w:rsidR="00463F43" w:rsidRPr="00783401" w:rsidRDefault="00463F43" w:rsidP="00463F43">
      <w:pPr>
        <w:pStyle w:val="Heading2"/>
      </w:pPr>
      <w:bookmarkStart w:id="19" w:name="_Toc134611356"/>
      <w:r>
        <w:t>Long-term actions (12 months onwards)</w:t>
      </w:r>
      <w:bookmarkEnd w:id="19"/>
    </w:p>
    <w:p w14:paraId="6F863B6D" w14:textId="77777777" w:rsidR="00463F43" w:rsidRPr="00DD63A2" w:rsidRDefault="00463F43" w:rsidP="00463F43">
      <w:pPr>
        <w:pStyle w:val="Heading4"/>
      </w:pPr>
      <w:r>
        <w:t>Use e</w:t>
      </w:r>
      <w:r w:rsidRPr="00DD63A2">
        <w:t xml:space="preserve">vidence-based recruitment strategies to improve the </w:t>
      </w:r>
      <w:r>
        <w:t xml:space="preserve">ethnic and </w:t>
      </w:r>
      <w:r w:rsidRPr="00DD63A2">
        <w:t>HLA diversity of the national registry</w:t>
      </w:r>
    </w:p>
    <w:p w14:paraId="0BA2A7E2" w14:textId="77777777" w:rsidR="00463F43" w:rsidRDefault="00463F43" w:rsidP="00463F43">
      <w:pPr>
        <w:rPr>
          <w:rFonts w:cstheme="minorHAnsi"/>
        </w:rPr>
      </w:pPr>
      <w:r>
        <w:rPr>
          <w:rFonts w:cstheme="minorHAnsi"/>
        </w:rPr>
        <w:t xml:space="preserve">Ongoing annual/biannual re-analysis of the </w:t>
      </w:r>
      <w:r w:rsidRPr="009E09B3">
        <w:rPr>
          <w:rFonts w:cstheme="minorHAnsi"/>
        </w:rPr>
        <w:t>HLA and ethnicity diversity</w:t>
      </w:r>
      <w:r>
        <w:rPr>
          <w:rFonts w:cstheme="minorHAnsi"/>
        </w:rPr>
        <w:t xml:space="preserve">, registrant age distribution should be performed to assess the comparative success of directed recruitment strategies. This analysis would then inform recruitment targets, messaging, advertising, and testing required </w:t>
      </w:r>
      <w:bookmarkStart w:id="20" w:name="_Hlk129933366"/>
      <w:r>
        <w:rPr>
          <w:rFonts w:cstheme="minorHAnsi"/>
        </w:rPr>
        <w:t>for the subsequent year.</w:t>
      </w:r>
      <w:bookmarkEnd w:id="20"/>
      <w:r>
        <w:rPr>
          <w:rFonts w:cstheme="minorHAnsi"/>
        </w:rPr>
        <w:t xml:space="preserve"> </w:t>
      </w:r>
    </w:p>
    <w:p w14:paraId="7A0F3023" w14:textId="77777777" w:rsidR="00463F43" w:rsidRPr="00A42F6F" w:rsidRDefault="00463F43" w:rsidP="00463F43">
      <w:r w:rsidRPr="00A42F6F">
        <w:t xml:space="preserve">Undertake </w:t>
      </w:r>
      <w:bookmarkStart w:id="21" w:name="_Hlk131487424"/>
      <w:r w:rsidRPr="00A42F6F">
        <w:t>a regular needs analysis and audit of HPC recruitment strategies to inform future recruitment strategies and targets</w:t>
      </w:r>
      <w:bookmarkEnd w:id="21"/>
    </w:p>
    <w:p w14:paraId="33B6A0E8" w14:textId="77777777" w:rsidR="00463F43" w:rsidRPr="000A5D54" w:rsidRDefault="00463F43" w:rsidP="00463F43">
      <w:pPr>
        <w:rPr>
          <w:rFonts w:cstheme="minorHAnsi"/>
        </w:rPr>
      </w:pPr>
      <w:r w:rsidRPr="00CE10A7">
        <w:rPr>
          <w:rFonts w:cstheme="minorHAnsi"/>
        </w:rPr>
        <w:t xml:space="preserve">Given the changing therapeutic landscape of treatment options for patients with haematological malignancies, and emerging gene therapies for hereditary conditions, a needs analysis needs to be performed in conjunction with the HLA/ethnicity diversity analysis described above to inform future recruitment targets </w:t>
      </w:r>
      <w:r>
        <w:rPr>
          <w:rFonts w:cstheme="minorHAnsi"/>
        </w:rPr>
        <w:t>and</w:t>
      </w:r>
      <w:r w:rsidRPr="00CE10A7">
        <w:rPr>
          <w:rFonts w:cstheme="minorHAnsi"/>
        </w:rPr>
        <w:t xml:space="preserve"> recruitment options. The needs analysis should also identify gaps in registry coverage for recipients who are unable to be matched to a suitable domestic or international HPC donor.</w:t>
      </w:r>
    </w:p>
    <w:p w14:paraId="0047B73B" w14:textId="77777777" w:rsidR="00463F43" w:rsidRDefault="00463F43" w:rsidP="00463F43">
      <w:pPr>
        <w:pStyle w:val="Heading4"/>
      </w:pPr>
      <w:bookmarkStart w:id="22" w:name="_Hlk131683515"/>
      <w:r w:rsidRPr="005373DD">
        <w:t>Improve the retention of HPC donors and reduce barriers to donation</w:t>
      </w:r>
    </w:p>
    <w:bookmarkEnd w:id="22"/>
    <w:p w14:paraId="5A4D08D5" w14:textId="77777777" w:rsidR="00463F43" w:rsidRPr="00B259D8" w:rsidDel="00CB050F" w:rsidRDefault="00463F43" w:rsidP="00463F43">
      <w:pPr>
        <w:rPr>
          <w:rFonts w:cstheme="minorHAnsi"/>
        </w:rPr>
      </w:pPr>
      <w:r w:rsidRPr="00B259D8">
        <w:rPr>
          <w:rFonts w:cstheme="minorHAnsi"/>
        </w:rPr>
        <w:t xml:space="preserve">Ongoing active contact with HPC registrants </w:t>
      </w:r>
      <w:r>
        <w:rPr>
          <w:rFonts w:cstheme="minorHAnsi"/>
        </w:rPr>
        <w:t xml:space="preserve">by ABMDR </w:t>
      </w:r>
      <w:r w:rsidRPr="00B259D8">
        <w:rPr>
          <w:rFonts w:cstheme="minorHAnsi"/>
        </w:rPr>
        <w:t xml:space="preserve">is required to ensure </w:t>
      </w:r>
      <w:r>
        <w:rPr>
          <w:rFonts w:cstheme="minorHAnsi"/>
        </w:rPr>
        <w:t>their</w:t>
      </w:r>
      <w:r w:rsidRPr="00B259D8">
        <w:rPr>
          <w:rFonts w:cstheme="minorHAnsi"/>
        </w:rPr>
        <w:t xml:space="preserve"> willingness to </w:t>
      </w:r>
      <w:r>
        <w:rPr>
          <w:rFonts w:cstheme="minorHAnsi"/>
        </w:rPr>
        <w:t xml:space="preserve">remain a HPC donor on the national registry. This will also </w:t>
      </w:r>
      <w:r w:rsidRPr="00B259D8">
        <w:rPr>
          <w:rFonts w:cstheme="minorHAnsi"/>
        </w:rPr>
        <w:t>ensure personal contact details remain valid, given the average time between initial registration and donation may be several years.</w:t>
      </w:r>
    </w:p>
    <w:p w14:paraId="5858A846" w14:textId="77777777" w:rsidR="00463F43" w:rsidRDefault="00463F43" w:rsidP="00463F43">
      <w:pPr>
        <w:rPr>
          <w:rFonts w:cstheme="minorHAnsi"/>
        </w:rPr>
      </w:pPr>
      <w:r>
        <w:rPr>
          <w:rFonts w:cstheme="minorHAnsi"/>
        </w:rPr>
        <w:t>The Advisory Group</w:t>
      </w:r>
      <w:r w:rsidRPr="00B259D8">
        <w:rPr>
          <w:rFonts w:cstheme="minorHAnsi"/>
        </w:rPr>
        <w:t xml:space="preserve"> recognise</w:t>
      </w:r>
      <w:r>
        <w:rPr>
          <w:rFonts w:cstheme="minorHAnsi"/>
        </w:rPr>
        <w:t>s</w:t>
      </w:r>
      <w:r w:rsidRPr="00B259D8">
        <w:rPr>
          <w:rFonts w:cstheme="minorHAnsi"/>
        </w:rPr>
        <w:t xml:space="preserve"> that </w:t>
      </w:r>
      <w:r>
        <w:rPr>
          <w:rFonts w:cstheme="minorHAnsi"/>
        </w:rPr>
        <w:t xml:space="preserve">there may be barriers to donation as a proportion of the </w:t>
      </w:r>
      <w:r w:rsidRPr="00B259D8">
        <w:rPr>
          <w:rFonts w:cstheme="minorHAnsi"/>
        </w:rPr>
        <w:t>optimal donor</w:t>
      </w:r>
      <w:r>
        <w:rPr>
          <w:rFonts w:cstheme="minorHAnsi"/>
        </w:rPr>
        <w:t xml:space="preserve"> pool</w:t>
      </w:r>
      <w:r w:rsidRPr="00B259D8">
        <w:rPr>
          <w:rFonts w:cstheme="minorHAnsi"/>
        </w:rPr>
        <w:t xml:space="preserve"> </w:t>
      </w:r>
      <w:r>
        <w:rPr>
          <w:rFonts w:cstheme="minorHAnsi"/>
        </w:rPr>
        <w:t xml:space="preserve">could </w:t>
      </w:r>
      <w:r w:rsidRPr="00B259D8">
        <w:rPr>
          <w:rFonts w:cstheme="minorHAnsi"/>
        </w:rPr>
        <w:t>be in transient employment</w:t>
      </w:r>
      <w:r>
        <w:rPr>
          <w:rFonts w:cstheme="minorHAnsi"/>
        </w:rPr>
        <w:t xml:space="preserve">, </w:t>
      </w:r>
      <w:r w:rsidRPr="00B259D8">
        <w:rPr>
          <w:rFonts w:cstheme="minorHAnsi"/>
        </w:rPr>
        <w:t>accommodation</w:t>
      </w:r>
      <w:r>
        <w:rPr>
          <w:rFonts w:cstheme="minorHAnsi"/>
        </w:rPr>
        <w:t xml:space="preserve">, or geographically disparate from services. This </w:t>
      </w:r>
      <w:r w:rsidRPr="00B259D8">
        <w:rPr>
          <w:rFonts w:cstheme="minorHAnsi"/>
        </w:rPr>
        <w:t xml:space="preserve">may impair their ability to </w:t>
      </w:r>
      <w:r>
        <w:rPr>
          <w:rFonts w:cstheme="minorHAnsi"/>
        </w:rPr>
        <w:t>attend a facility for provision of samples for verification testing and/or un</w:t>
      </w:r>
      <w:r w:rsidRPr="00B259D8">
        <w:rPr>
          <w:rFonts w:cstheme="minorHAnsi"/>
        </w:rPr>
        <w:t>dertake HPC donation when called upon due to loss of income</w:t>
      </w:r>
      <w:r>
        <w:rPr>
          <w:rFonts w:cstheme="minorHAnsi"/>
        </w:rPr>
        <w:t>, travel expense or other unidentified barriers</w:t>
      </w:r>
      <w:r w:rsidRPr="00B259D8">
        <w:rPr>
          <w:rFonts w:cstheme="minorHAnsi"/>
        </w:rPr>
        <w:t xml:space="preserve">. </w:t>
      </w:r>
    </w:p>
    <w:p w14:paraId="5C3C65F0" w14:textId="77777777" w:rsidR="00463F43" w:rsidRPr="00B259D8" w:rsidRDefault="00463F43" w:rsidP="00463F43">
      <w:pPr>
        <w:rPr>
          <w:rFonts w:cstheme="minorHAnsi"/>
        </w:rPr>
        <w:sectPr w:rsidR="00463F43" w:rsidRPr="00B259D8" w:rsidSect="00783277">
          <w:headerReference w:type="even" r:id="rId10"/>
          <w:headerReference w:type="default" r:id="rId11"/>
          <w:footerReference w:type="even" r:id="rId12"/>
          <w:footerReference w:type="default" r:id="rId13"/>
          <w:headerReference w:type="first" r:id="rId14"/>
          <w:footerReference w:type="first" r:id="rId15"/>
          <w:pgSz w:w="11906" w:h="16838"/>
          <w:pgMar w:top="1001" w:right="1440" w:bottom="1440" w:left="1440" w:header="708" w:footer="708" w:gutter="0"/>
          <w:pgNumType w:start="0"/>
          <w:cols w:space="708"/>
          <w:titlePg/>
          <w:docGrid w:linePitch="360"/>
        </w:sectPr>
      </w:pPr>
      <w:r>
        <w:rPr>
          <w:rFonts w:cstheme="minorHAnsi"/>
        </w:rPr>
        <w:t>The Advisory Group suggests that the</w:t>
      </w:r>
      <w:r w:rsidRPr="00B259D8">
        <w:rPr>
          <w:rFonts w:cstheme="minorHAnsi"/>
        </w:rPr>
        <w:t xml:space="preserve"> current </w:t>
      </w:r>
      <w:r>
        <w:rPr>
          <w:rFonts w:cstheme="minorHAnsi"/>
        </w:rPr>
        <w:t>process/payment</w:t>
      </w:r>
      <w:r w:rsidRPr="00B259D8">
        <w:rPr>
          <w:rFonts w:cstheme="minorHAnsi"/>
        </w:rPr>
        <w:t xml:space="preserve"> for travel expenses for HPC donation</w:t>
      </w:r>
      <w:r>
        <w:rPr>
          <w:rFonts w:cstheme="minorHAnsi"/>
        </w:rPr>
        <w:t xml:space="preserve"> be reviewed to also</w:t>
      </w:r>
      <w:r w:rsidRPr="00B259D8">
        <w:rPr>
          <w:rFonts w:cstheme="minorHAnsi"/>
        </w:rPr>
        <w:t xml:space="preserve"> </w:t>
      </w:r>
      <w:r>
        <w:rPr>
          <w:rFonts w:cstheme="minorHAnsi"/>
        </w:rPr>
        <w:t>consider whether loss of income could be reimbursed</w:t>
      </w:r>
      <w:r w:rsidRPr="00B259D8">
        <w:rPr>
          <w:rFonts w:cstheme="minorHAnsi"/>
        </w:rPr>
        <w:t xml:space="preserve">.   </w:t>
      </w:r>
    </w:p>
    <w:p w14:paraId="141F803B" w14:textId="6053E936" w:rsidR="00463F43" w:rsidRPr="00003059" w:rsidRDefault="00463F43" w:rsidP="00463F43">
      <w:pPr>
        <w:pStyle w:val="Heading5"/>
        <w:jc w:val="center"/>
      </w:pPr>
      <w:r w:rsidRPr="00003059">
        <w:t xml:space="preserve">Table 2. Summary of current and indicative HPC </w:t>
      </w:r>
      <w:r w:rsidR="006D018C">
        <w:t xml:space="preserve">donor </w:t>
      </w:r>
      <w:r w:rsidRPr="00003059">
        <w:t>recruitment targets and options for future testing</w:t>
      </w:r>
    </w:p>
    <w:p w14:paraId="17871B52" w14:textId="7821311B" w:rsidR="00463F43" w:rsidRDefault="00463F43" w:rsidP="00463F43">
      <w:pPr>
        <w:rPr>
          <w:rFonts w:cstheme="minorHAnsi"/>
        </w:rPr>
      </w:pPr>
      <w:r>
        <w:rPr>
          <w:rFonts w:cstheme="minorHAnsi"/>
        </w:rPr>
        <w:t xml:space="preserve">The indicative options for increasing HPC </w:t>
      </w:r>
      <w:r w:rsidR="006D018C">
        <w:rPr>
          <w:rFonts w:cstheme="minorHAnsi"/>
        </w:rPr>
        <w:t xml:space="preserve">donor </w:t>
      </w:r>
      <w:r>
        <w:rPr>
          <w:rFonts w:cstheme="minorHAnsi"/>
        </w:rPr>
        <w:t>recruitment testing, and projected target recruitment are summarised in the table below.</w:t>
      </w:r>
    </w:p>
    <w:tbl>
      <w:tblPr>
        <w:tblStyle w:val="TableGrid1"/>
        <w:tblW w:w="14399" w:type="dxa"/>
        <w:tblLook w:val="04A0" w:firstRow="1" w:lastRow="0" w:firstColumn="1" w:lastColumn="0" w:noHBand="0" w:noVBand="1"/>
      </w:tblPr>
      <w:tblGrid>
        <w:gridCol w:w="1228"/>
        <w:gridCol w:w="1827"/>
        <w:gridCol w:w="13"/>
        <w:gridCol w:w="1262"/>
        <w:gridCol w:w="1262"/>
        <w:gridCol w:w="1354"/>
        <w:gridCol w:w="1271"/>
        <w:gridCol w:w="1276"/>
        <w:gridCol w:w="1134"/>
        <w:gridCol w:w="1089"/>
        <w:gridCol w:w="1032"/>
        <w:gridCol w:w="1651"/>
      </w:tblGrid>
      <w:tr w:rsidR="00463F43" w:rsidRPr="00ED674A" w14:paraId="704AF610" w14:textId="77777777" w:rsidTr="00CD3CD0">
        <w:trPr>
          <w:trHeight w:val="398"/>
        </w:trPr>
        <w:tc>
          <w:tcPr>
            <w:tcW w:w="1228" w:type="dxa"/>
            <w:vMerge w:val="restart"/>
            <w:shd w:val="clear" w:color="auto" w:fill="D9D9D9" w:themeFill="background1" w:themeFillShade="D9"/>
          </w:tcPr>
          <w:p w14:paraId="352FE1FF" w14:textId="77777777" w:rsidR="00463F43" w:rsidRPr="00ED674A" w:rsidRDefault="00463F43" w:rsidP="00CD3CD0">
            <w:pPr>
              <w:rPr>
                <w:rFonts w:eastAsia="Times New Roman" w:cs="Times New Roman"/>
                <w:b/>
                <w:bCs/>
                <w:snapToGrid w:val="0"/>
                <w:sz w:val="18"/>
                <w:szCs w:val="18"/>
                <w:lang w:val="en-US"/>
              </w:rPr>
            </w:pPr>
          </w:p>
        </w:tc>
        <w:tc>
          <w:tcPr>
            <w:tcW w:w="4364" w:type="dxa"/>
            <w:gridSpan w:val="4"/>
            <w:vMerge w:val="restart"/>
            <w:shd w:val="clear" w:color="auto" w:fill="D9D9D9" w:themeFill="background1" w:themeFillShade="D9"/>
            <w:vAlign w:val="center"/>
          </w:tcPr>
          <w:p w14:paraId="08FDB8E0" w14:textId="77777777" w:rsidR="00463F43" w:rsidRPr="00DD40E3" w:rsidRDefault="00463F43" w:rsidP="00CD3CD0">
            <w:pPr>
              <w:jc w:val="center"/>
              <w:rPr>
                <w:rFonts w:eastAsia="Times New Roman" w:cs="Times New Roman"/>
                <w:b/>
                <w:bCs/>
                <w:snapToGrid w:val="0"/>
                <w:lang w:val="en-US"/>
              </w:rPr>
            </w:pPr>
            <w:r w:rsidRPr="00DD40E3">
              <w:rPr>
                <w:rFonts w:eastAsia="Times New Roman" w:cs="Times New Roman"/>
                <w:b/>
                <w:bCs/>
                <w:snapToGrid w:val="0"/>
                <w:lang w:val="en-US"/>
              </w:rPr>
              <w:t>Mode of Recruitment</w:t>
            </w:r>
          </w:p>
          <w:p w14:paraId="08AA168F" w14:textId="77777777" w:rsidR="00463F43" w:rsidRPr="00DD40E3" w:rsidRDefault="00463F43" w:rsidP="00CD3CD0">
            <w:pPr>
              <w:rPr>
                <w:rFonts w:eastAsia="Times New Roman" w:cs="Times New Roman"/>
                <w:b/>
                <w:bCs/>
                <w:snapToGrid w:val="0"/>
                <w:lang w:val="en-US"/>
              </w:rPr>
            </w:pPr>
          </w:p>
        </w:tc>
        <w:tc>
          <w:tcPr>
            <w:tcW w:w="1354" w:type="dxa"/>
            <w:vMerge w:val="restart"/>
            <w:shd w:val="clear" w:color="auto" w:fill="D9D9D9" w:themeFill="background1" w:themeFillShade="D9"/>
          </w:tcPr>
          <w:p w14:paraId="003033BC" w14:textId="77777777" w:rsidR="00463F43" w:rsidRPr="00DD40E3" w:rsidRDefault="00463F43" w:rsidP="00CD3CD0">
            <w:pPr>
              <w:rPr>
                <w:rFonts w:eastAsia="Times New Roman" w:cs="Times New Roman"/>
                <w:b/>
                <w:bCs/>
                <w:snapToGrid w:val="0"/>
                <w:lang w:val="en-US"/>
              </w:rPr>
            </w:pPr>
            <w:r w:rsidRPr="00DD40E3">
              <w:rPr>
                <w:rFonts w:eastAsia="Times New Roman" w:cs="Times New Roman"/>
                <w:b/>
                <w:bCs/>
                <w:snapToGrid w:val="0"/>
                <w:lang w:val="en-US"/>
              </w:rPr>
              <w:t>Recruitment target (achieved)</w:t>
            </w:r>
          </w:p>
        </w:tc>
        <w:tc>
          <w:tcPr>
            <w:tcW w:w="5802" w:type="dxa"/>
            <w:gridSpan w:val="5"/>
            <w:shd w:val="clear" w:color="auto" w:fill="D9D9D9" w:themeFill="background1" w:themeFillShade="D9"/>
            <w:vAlign w:val="center"/>
          </w:tcPr>
          <w:p w14:paraId="543D6739" w14:textId="77777777" w:rsidR="00463F43" w:rsidRPr="00DD40E3" w:rsidRDefault="00463F43" w:rsidP="00CD3CD0">
            <w:pPr>
              <w:jc w:val="center"/>
              <w:rPr>
                <w:rFonts w:eastAsia="Times New Roman" w:cs="Times New Roman"/>
                <w:b/>
                <w:bCs/>
                <w:snapToGrid w:val="0"/>
                <w:lang w:val="en-US"/>
              </w:rPr>
            </w:pPr>
            <w:r w:rsidRPr="00DD40E3">
              <w:rPr>
                <w:rFonts w:eastAsia="Times New Roman" w:cs="Times New Roman"/>
                <w:b/>
                <w:bCs/>
                <w:snapToGrid w:val="0"/>
                <w:lang w:val="en-US"/>
              </w:rPr>
              <w:t>Recruitment target projection over time</w:t>
            </w:r>
          </w:p>
        </w:tc>
        <w:tc>
          <w:tcPr>
            <w:tcW w:w="1651" w:type="dxa"/>
            <w:vMerge w:val="restart"/>
            <w:shd w:val="clear" w:color="auto" w:fill="D9D9D9" w:themeFill="background1" w:themeFillShade="D9"/>
            <w:vAlign w:val="center"/>
          </w:tcPr>
          <w:p w14:paraId="52ADCAD4" w14:textId="77777777" w:rsidR="00463F43" w:rsidRPr="00DD40E3" w:rsidRDefault="00463F43" w:rsidP="00CD3CD0">
            <w:pPr>
              <w:jc w:val="center"/>
              <w:rPr>
                <w:rFonts w:eastAsia="Times New Roman" w:cs="Times New Roman"/>
                <w:b/>
                <w:bCs/>
                <w:snapToGrid w:val="0"/>
                <w:lang w:val="en-US"/>
              </w:rPr>
            </w:pPr>
            <w:r w:rsidRPr="00DD40E3">
              <w:rPr>
                <w:rFonts w:eastAsia="Times New Roman" w:cs="Times New Roman"/>
                <w:b/>
                <w:bCs/>
                <w:snapToGrid w:val="0"/>
                <w:lang w:val="en-US"/>
              </w:rPr>
              <w:t>Estimated total recruitment over five years</w:t>
            </w:r>
          </w:p>
        </w:tc>
      </w:tr>
      <w:tr w:rsidR="00463F43" w:rsidRPr="00ED674A" w14:paraId="21C65D3D" w14:textId="77777777" w:rsidTr="00CD3CD0">
        <w:trPr>
          <w:trHeight w:val="230"/>
        </w:trPr>
        <w:tc>
          <w:tcPr>
            <w:tcW w:w="1228" w:type="dxa"/>
            <w:vMerge/>
            <w:shd w:val="clear" w:color="auto" w:fill="BFBFBF" w:themeFill="background1" w:themeFillShade="BF"/>
          </w:tcPr>
          <w:p w14:paraId="06CEB5DB" w14:textId="77777777" w:rsidR="00463F43" w:rsidRPr="00ED674A" w:rsidRDefault="00463F43" w:rsidP="00CD3CD0">
            <w:pPr>
              <w:rPr>
                <w:rFonts w:eastAsia="Times New Roman" w:cs="Times New Roman"/>
                <w:b/>
                <w:bCs/>
                <w:snapToGrid w:val="0"/>
                <w:sz w:val="18"/>
                <w:szCs w:val="18"/>
                <w:lang w:val="en-US"/>
              </w:rPr>
            </w:pPr>
          </w:p>
        </w:tc>
        <w:tc>
          <w:tcPr>
            <w:tcW w:w="4364" w:type="dxa"/>
            <w:gridSpan w:val="4"/>
            <w:vMerge/>
            <w:shd w:val="clear" w:color="auto" w:fill="BFBFBF" w:themeFill="background1" w:themeFillShade="BF"/>
          </w:tcPr>
          <w:p w14:paraId="432357B8" w14:textId="77777777" w:rsidR="00463F43" w:rsidRPr="00ED674A" w:rsidRDefault="00463F43" w:rsidP="00CD3CD0">
            <w:pPr>
              <w:rPr>
                <w:rFonts w:eastAsia="Times New Roman" w:cs="Times New Roman"/>
                <w:b/>
                <w:bCs/>
                <w:snapToGrid w:val="0"/>
                <w:sz w:val="18"/>
                <w:szCs w:val="18"/>
                <w:lang w:val="en-US"/>
              </w:rPr>
            </w:pPr>
          </w:p>
        </w:tc>
        <w:tc>
          <w:tcPr>
            <w:tcW w:w="1354" w:type="dxa"/>
            <w:vMerge/>
            <w:shd w:val="clear" w:color="auto" w:fill="BFBFBF" w:themeFill="background1" w:themeFillShade="BF"/>
          </w:tcPr>
          <w:p w14:paraId="3DE8FA6C" w14:textId="77777777" w:rsidR="00463F43" w:rsidRPr="00ED674A" w:rsidRDefault="00463F43" w:rsidP="00CD3CD0">
            <w:pPr>
              <w:rPr>
                <w:rFonts w:eastAsia="Times New Roman" w:cs="Times New Roman"/>
                <w:b/>
                <w:bCs/>
                <w:snapToGrid w:val="0"/>
                <w:sz w:val="18"/>
                <w:szCs w:val="18"/>
                <w:lang w:val="en-US"/>
              </w:rPr>
            </w:pPr>
          </w:p>
        </w:tc>
        <w:tc>
          <w:tcPr>
            <w:tcW w:w="1271" w:type="dxa"/>
            <w:shd w:val="clear" w:color="auto" w:fill="D9D9D9" w:themeFill="background1" w:themeFillShade="D9"/>
          </w:tcPr>
          <w:p w14:paraId="2DDBCD23"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Year 1</w:t>
            </w:r>
          </w:p>
          <w:p w14:paraId="645991A0"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(2023-24)</w:t>
            </w:r>
          </w:p>
        </w:tc>
        <w:tc>
          <w:tcPr>
            <w:tcW w:w="1276" w:type="dxa"/>
            <w:shd w:val="clear" w:color="auto" w:fill="D9D9D9" w:themeFill="background1" w:themeFillShade="D9"/>
          </w:tcPr>
          <w:p w14:paraId="5B34A621"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Year 2</w:t>
            </w:r>
          </w:p>
          <w:p w14:paraId="0DD61543"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(2024-25)</w:t>
            </w:r>
          </w:p>
        </w:tc>
        <w:tc>
          <w:tcPr>
            <w:tcW w:w="1134" w:type="dxa"/>
            <w:shd w:val="clear" w:color="auto" w:fill="D9D9D9" w:themeFill="background1" w:themeFillShade="D9"/>
          </w:tcPr>
          <w:p w14:paraId="68FA5393"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Year 3</w:t>
            </w:r>
          </w:p>
          <w:p w14:paraId="66651CFF"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(2025-26)</w:t>
            </w:r>
          </w:p>
        </w:tc>
        <w:tc>
          <w:tcPr>
            <w:tcW w:w="1089" w:type="dxa"/>
            <w:shd w:val="clear" w:color="auto" w:fill="D9D9D9" w:themeFill="background1" w:themeFillShade="D9"/>
          </w:tcPr>
          <w:p w14:paraId="5016405F"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Year 4</w:t>
            </w:r>
          </w:p>
          <w:p w14:paraId="00B05F45"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(2026-27)</w:t>
            </w:r>
          </w:p>
        </w:tc>
        <w:tc>
          <w:tcPr>
            <w:tcW w:w="1032" w:type="dxa"/>
            <w:shd w:val="clear" w:color="auto" w:fill="D9D9D9" w:themeFill="background1" w:themeFillShade="D9"/>
          </w:tcPr>
          <w:p w14:paraId="09439CFB"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Year 5</w:t>
            </w:r>
          </w:p>
          <w:p w14:paraId="01EA0488" w14:textId="77777777" w:rsidR="00463F43" w:rsidRPr="00DD40E3" w:rsidRDefault="00463F43" w:rsidP="00CD3CD0">
            <w:pPr>
              <w:jc w:val="center"/>
              <w:rPr>
                <w:rFonts w:eastAsia="Times New Roman" w:cs="Times New Roman"/>
                <w:b/>
                <w:bCs/>
                <w:snapToGrid w:val="0"/>
                <w:sz w:val="20"/>
                <w:szCs w:val="20"/>
                <w:lang w:val="en-US"/>
              </w:rPr>
            </w:pPr>
            <w:r w:rsidRPr="00DD40E3">
              <w:rPr>
                <w:rFonts w:eastAsia="Times New Roman" w:cs="Times New Roman"/>
                <w:b/>
                <w:bCs/>
                <w:snapToGrid w:val="0"/>
                <w:sz w:val="20"/>
                <w:szCs w:val="20"/>
                <w:lang w:val="en-US"/>
              </w:rPr>
              <w:t>(2027-28)</w:t>
            </w:r>
          </w:p>
        </w:tc>
        <w:tc>
          <w:tcPr>
            <w:tcW w:w="1651" w:type="dxa"/>
            <w:vMerge/>
            <w:shd w:val="clear" w:color="auto" w:fill="BFBFBF" w:themeFill="background1" w:themeFillShade="BF"/>
          </w:tcPr>
          <w:p w14:paraId="09BC8EFE" w14:textId="77777777" w:rsidR="00463F43" w:rsidRPr="00ED674A" w:rsidRDefault="00463F43" w:rsidP="00CD3CD0">
            <w:pPr>
              <w:rPr>
                <w:rFonts w:eastAsia="Times New Roman" w:cs="Times New Roman"/>
                <w:b/>
                <w:bCs/>
                <w:snapToGrid w:val="0"/>
                <w:sz w:val="18"/>
                <w:szCs w:val="18"/>
                <w:lang w:val="en-US"/>
              </w:rPr>
            </w:pPr>
          </w:p>
        </w:tc>
      </w:tr>
      <w:tr w:rsidR="00463F43" w:rsidRPr="00ED674A" w14:paraId="4F95BFBC" w14:textId="77777777" w:rsidTr="00CD3CD0">
        <w:trPr>
          <w:trHeight w:val="470"/>
        </w:trPr>
        <w:tc>
          <w:tcPr>
            <w:tcW w:w="1228" w:type="dxa"/>
            <w:shd w:val="clear" w:color="auto" w:fill="FFFFFF" w:themeFill="background1"/>
          </w:tcPr>
          <w:p w14:paraId="51F3AD67"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2020-21</w:t>
            </w:r>
          </w:p>
        </w:tc>
        <w:tc>
          <w:tcPr>
            <w:tcW w:w="4364" w:type="dxa"/>
            <w:gridSpan w:val="4"/>
            <w:shd w:val="clear" w:color="auto" w:fill="FFFFFF" w:themeFill="background1"/>
          </w:tcPr>
          <w:p w14:paraId="0C501CDE"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Strength to Give pilot buccal recruitment</w:t>
            </w:r>
          </w:p>
        </w:tc>
        <w:tc>
          <w:tcPr>
            <w:tcW w:w="1354" w:type="dxa"/>
            <w:shd w:val="clear" w:color="auto" w:fill="FFFFFF" w:themeFill="background1"/>
          </w:tcPr>
          <w:p w14:paraId="787018F5"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6,000/yr</w:t>
            </w:r>
          </w:p>
          <w:p w14:paraId="7F7A6490"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(5,826)</w:t>
            </w:r>
          </w:p>
        </w:tc>
        <w:tc>
          <w:tcPr>
            <w:tcW w:w="1271" w:type="dxa"/>
            <w:shd w:val="clear" w:color="auto" w:fill="FFFFFF" w:themeFill="background1"/>
          </w:tcPr>
          <w:p w14:paraId="1570E85E"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N/A</w:t>
            </w:r>
          </w:p>
        </w:tc>
        <w:tc>
          <w:tcPr>
            <w:tcW w:w="1276" w:type="dxa"/>
            <w:shd w:val="clear" w:color="auto" w:fill="FFFFFF" w:themeFill="background1"/>
          </w:tcPr>
          <w:p w14:paraId="278F21F6"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N/A</w:t>
            </w:r>
          </w:p>
        </w:tc>
        <w:tc>
          <w:tcPr>
            <w:tcW w:w="1134" w:type="dxa"/>
            <w:shd w:val="clear" w:color="auto" w:fill="FFFFFF" w:themeFill="background1"/>
          </w:tcPr>
          <w:p w14:paraId="39169C9B"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N/A</w:t>
            </w:r>
          </w:p>
        </w:tc>
        <w:tc>
          <w:tcPr>
            <w:tcW w:w="1089" w:type="dxa"/>
            <w:shd w:val="clear" w:color="auto" w:fill="FFFFFF" w:themeFill="background1"/>
          </w:tcPr>
          <w:p w14:paraId="3382AFAA"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N/A</w:t>
            </w:r>
          </w:p>
        </w:tc>
        <w:tc>
          <w:tcPr>
            <w:tcW w:w="1032" w:type="dxa"/>
            <w:shd w:val="clear" w:color="auto" w:fill="FFFFFF" w:themeFill="background1"/>
          </w:tcPr>
          <w:p w14:paraId="3799DFEE"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N/A</w:t>
            </w:r>
          </w:p>
        </w:tc>
        <w:tc>
          <w:tcPr>
            <w:tcW w:w="1651" w:type="dxa"/>
            <w:shd w:val="clear" w:color="auto" w:fill="FFFFFF" w:themeFill="background1"/>
          </w:tcPr>
          <w:p w14:paraId="253078C4"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N/A</w:t>
            </w:r>
          </w:p>
        </w:tc>
      </w:tr>
      <w:tr w:rsidR="00463F43" w:rsidRPr="00ED674A" w14:paraId="7A3F51DB" w14:textId="77777777" w:rsidTr="00CD3CD0">
        <w:trPr>
          <w:trHeight w:val="647"/>
        </w:trPr>
        <w:tc>
          <w:tcPr>
            <w:tcW w:w="1228" w:type="dxa"/>
            <w:shd w:val="clear" w:color="auto" w:fill="auto"/>
          </w:tcPr>
          <w:p w14:paraId="3EE9628B"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Current</w:t>
            </w:r>
          </w:p>
          <w:p w14:paraId="1A7640C5"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Recruitment</w:t>
            </w:r>
          </w:p>
        </w:tc>
        <w:tc>
          <w:tcPr>
            <w:tcW w:w="4364" w:type="dxa"/>
            <w:gridSpan w:val="4"/>
            <w:shd w:val="clear" w:color="auto" w:fill="auto"/>
          </w:tcPr>
          <w:p w14:paraId="459F89FA"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 xml:space="preserve">All recruited via blood sample by Lifeblood </w:t>
            </w:r>
          </w:p>
          <w:p w14:paraId="147D0F71"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(majority are blood donors)</w:t>
            </w:r>
          </w:p>
        </w:tc>
        <w:tc>
          <w:tcPr>
            <w:tcW w:w="1354" w:type="dxa"/>
            <w:shd w:val="clear" w:color="auto" w:fill="auto"/>
          </w:tcPr>
          <w:p w14:paraId="1CC630CE"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5229/yr (7,845)</w:t>
            </w:r>
          </w:p>
        </w:tc>
        <w:tc>
          <w:tcPr>
            <w:tcW w:w="1271" w:type="dxa"/>
            <w:shd w:val="clear" w:color="auto" w:fill="auto"/>
          </w:tcPr>
          <w:p w14:paraId="7A4AFEA3"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7,845</w:t>
            </w:r>
          </w:p>
        </w:tc>
        <w:tc>
          <w:tcPr>
            <w:tcW w:w="1276" w:type="dxa"/>
            <w:shd w:val="clear" w:color="auto" w:fill="auto"/>
          </w:tcPr>
          <w:p w14:paraId="2A17AF13"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7,845</w:t>
            </w:r>
          </w:p>
        </w:tc>
        <w:tc>
          <w:tcPr>
            <w:tcW w:w="1134" w:type="dxa"/>
            <w:shd w:val="clear" w:color="auto" w:fill="auto"/>
          </w:tcPr>
          <w:p w14:paraId="69A4291E"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7,845</w:t>
            </w:r>
          </w:p>
        </w:tc>
        <w:tc>
          <w:tcPr>
            <w:tcW w:w="1089" w:type="dxa"/>
            <w:shd w:val="clear" w:color="auto" w:fill="auto"/>
          </w:tcPr>
          <w:p w14:paraId="59CA4D19"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7,845</w:t>
            </w:r>
          </w:p>
        </w:tc>
        <w:tc>
          <w:tcPr>
            <w:tcW w:w="1032" w:type="dxa"/>
            <w:shd w:val="clear" w:color="auto" w:fill="auto"/>
          </w:tcPr>
          <w:p w14:paraId="40FC92D2"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7,845</w:t>
            </w:r>
          </w:p>
        </w:tc>
        <w:tc>
          <w:tcPr>
            <w:tcW w:w="1651" w:type="dxa"/>
            <w:shd w:val="clear" w:color="auto" w:fill="auto"/>
          </w:tcPr>
          <w:p w14:paraId="34995ADB"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39,225</w:t>
            </w:r>
          </w:p>
        </w:tc>
      </w:tr>
      <w:tr w:rsidR="00463F43" w:rsidRPr="00ED674A" w14:paraId="09495AEF" w14:textId="77777777" w:rsidTr="00CD3CD0">
        <w:trPr>
          <w:trHeight w:val="630"/>
        </w:trPr>
        <w:tc>
          <w:tcPr>
            <w:tcW w:w="1228" w:type="dxa"/>
            <w:vMerge w:val="restart"/>
            <w:shd w:val="clear" w:color="auto" w:fill="auto"/>
          </w:tcPr>
          <w:p w14:paraId="6A3437A4"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 xml:space="preserve">Future </w:t>
            </w:r>
            <w:r>
              <w:rPr>
                <w:rFonts w:eastAsia="Times New Roman" w:cs="Times New Roman"/>
                <w:snapToGrid w:val="0"/>
                <w:sz w:val="20"/>
                <w:szCs w:val="20"/>
                <w:lang w:val="en-US"/>
              </w:rPr>
              <w:t>HPC recruitment o</w:t>
            </w:r>
            <w:r w:rsidRPr="00ED674A">
              <w:rPr>
                <w:rFonts w:eastAsia="Times New Roman" w:cs="Times New Roman"/>
                <w:snapToGrid w:val="0"/>
                <w:sz w:val="20"/>
                <w:szCs w:val="20"/>
                <w:lang w:val="en-US"/>
              </w:rPr>
              <w:t>ptions</w:t>
            </w:r>
            <w:r>
              <w:rPr>
                <w:rFonts w:eastAsia="Times New Roman" w:cs="Times New Roman"/>
                <w:snapToGrid w:val="0"/>
                <w:sz w:val="20"/>
                <w:szCs w:val="20"/>
                <w:lang w:val="en-US"/>
              </w:rPr>
              <w:t>, indicative service volumes</w:t>
            </w:r>
          </w:p>
        </w:tc>
        <w:tc>
          <w:tcPr>
            <w:tcW w:w="1827" w:type="dxa"/>
            <w:shd w:val="clear" w:color="auto" w:fill="C5E0B3" w:themeFill="accent6" w:themeFillTint="66"/>
          </w:tcPr>
          <w:p w14:paraId="70477CCC"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Blood donor &amp; HPC recruit (by Lifeblood)</w:t>
            </w:r>
          </w:p>
        </w:tc>
        <w:tc>
          <w:tcPr>
            <w:tcW w:w="1275" w:type="dxa"/>
            <w:gridSpan w:val="2"/>
            <w:shd w:val="clear" w:color="auto" w:fill="C5E0B3" w:themeFill="accent6" w:themeFillTint="66"/>
          </w:tcPr>
          <w:p w14:paraId="018B7F5F"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Lifeblood</w:t>
            </w:r>
          </w:p>
        </w:tc>
        <w:tc>
          <w:tcPr>
            <w:tcW w:w="1262" w:type="dxa"/>
            <w:shd w:val="clear" w:color="auto" w:fill="C5E0B3" w:themeFill="accent6" w:themeFillTint="66"/>
          </w:tcPr>
          <w:p w14:paraId="5FA20A4B"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Blood: HLA, ABO CMV</w:t>
            </w:r>
          </w:p>
        </w:tc>
        <w:tc>
          <w:tcPr>
            <w:tcW w:w="1354" w:type="dxa"/>
            <w:vMerge w:val="restart"/>
            <w:shd w:val="clear" w:color="auto" w:fill="C5E0B3" w:themeFill="accent6" w:themeFillTint="66"/>
          </w:tcPr>
          <w:p w14:paraId="6671D495"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30,000/yr</w:t>
            </w:r>
          </w:p>
          <w:p w14:paraId="37F54EAB" w14:textId="77777777" w:rsidR="00463F43" w:rsidRPr="00ED674A" w:rsidRDefault="00463F43" w:rsidP="00CD3CD0">
            <w:pPr>
              <w:rPr>
                <w:rFonts w:eastAsia="Times New Roman" w:cs="Times New Roman"/>
                <w:snapToGrid w:val="0"/>
                <w:sz w:val="20"/>
                <w:szCs w:val="20"/>
                <w:lang w:val="en-US"/>
              </w:rPr>
            </w:pPr>
          </w:p>
          <w:p w14:paraId="58D7B73C" w14:textId="77777777" w:rsidR="00463F43" w:rsidRPr="00ED674A" w:rsidRDefault="00463F43" w:rsidP="00CD3CD0">
            <w:pPr>
              <w:rPr>
                <w:rFonts w:eastAsia="Times New Roman" w:cs="Times New Roman"/>
                <w:snapToGrid w:val="0"/>
                <w:sz w:val="20"/>
                <w:szCs w:val="20"/>
                <w:lang w:val="en-US"/>
              </w:rPr>
            </w:pPr>
          </w:p>
        </w:tc>
        <w:tc>
          <w:tcPr>
            <w:tcW w:w="1271" w:type="dxa"/>
            <w:vMerge w:val="restart"/>
            <w:shd w:val="clear" w:color="auto" w:fill="C5E0B3" w:themeFill="accent6" w:themeFillTint="66"/>
          </w:tcPr>
          <w:p w14:paraId="669D4CB7"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15,000</w:t>
            </w:r>
          </w:p>
        </w:tc>
        <w:tc>
          <w:tcPr>
            <w:tcW w:w="1276" w:type="dxa"/>
            <w:vMerge w:val="restart"/>
            <w:shd w:val="clear" w:color="auto" w:fill="C5E0B3" w:themeFill="accent6" w:themeFillTint="66"/>
          </w:tcPr>
          <w:p w14:paraId="3B94F31B"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25,000 to</w:t>
            </w:r>
          </w:p>
          <w:p w14:paraId="5C3F187E"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50,000*</w:t>
            </w:r>
          </w:p>
        </w:tc>
        <w:tc>
          <w:tcPr>
            <w:tcW w:w="1134" w:type="dxa"/>
            <w:vMerge w:val="restart"/>
            <w:shd w:val="clear" w:color="auto" w:fill="C5E0B3" w:themeFill="accent6" w:themeFillTint="66"/>
          </w:tcPr>
          <w:p w14:paraId="7B9B70C3"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25,000 to</w:t>
            </w:r>
          </w:p>
          <w:p w14:paraId="1541E4A0"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50,000*</w:t>
            </w:r>
          </w:p>
        </w:tc>
        <w:tc>
          <w:tcPr>
            <w:tcW w:w="1089" w:type="dxa"/>
            <w:vMerge w:val="restart"/>
            <w:shd w:val="clear" w:color="auto" w:fill="C5E0B3" w:themeFill="accent6" w:themeFillTint="66"/>
          </w:tcPr>
          <w:p w14:paraId="1BEC844D"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25,000 to</w:t>
            </w:r>
          </w:p>
          <w:p w14:paraId="5B9C3DF6"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50,000*</w:t>
            </w:r>
          </w:p>
        </w:tc>
        <w:tc>
          <w:tcPr>
            <w:tcW w:w="1032" w:type="dxa"/>
            <w:vMerge w:val="restart"/>
            <w:shd w:val="clear" w:color="auto" w:fill="C5E0B3" w:themeFill="accent6" w:themeFillTint="66"/>
          </w:tcPr>
          <w:p w14:paraId="1401E4DB"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25,000</w:t>
            </w:r>
          </w:p>
          <w:p w14:paraId="27B55AE9"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to</w:t>
            </w:r>
          </w:p>
          <w:p w14:paraId="736D5CB5"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50,000*</w:t>
            </w:r>
          </w:p>
        </w:tc>
        <w:tc>
          <w:tcPr>
            <w:tcW w:w="1651" w:type="dxa"/>
            <w:vMerge w:val="restart"/>
            <w:shd w:val="clear" w:color="auto" w:fill="C5E0B3" w:themeFill="accent6" w:themeFillTint="66"/>
          </w:tcPr>
          <w:p w14:paraId="458A7135"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115,000</w:t>
            </w:r>
          </w:p>
          <w:p w14:paraId="6B25D5FE"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to</w:t>
            </w:r>
          </w:p>
          <w:p w14:paraId="258F6603"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215,000*</w:t>
            </w:r>
          </w:p>
        </w:tc>
      </w:tr>
      <w:tr w:rsidR="00463F43" w:rsidRPr="00ED674A" w14:paraId="67693353" w14:textId="77777777" w:rsidTr="00CD3CD0">
        <w:trPr>
          <w:trHeight w:val="554"/>
        </w:trPr>
        <w:tc>
          <w:tcPr>
            <w:tcW w:w="1228" w:type="dxa"/>
            <w:vMerge/>
            <w:shd w:val="clear" w:color="auto" w:fill="auto"/>
          </w:tcPr>
          <w:p w14:paraId="5E322E22" w14:textId="77777777" w:rsidR="00463F43" w:rsidRPr="00ED674A" w:rsidRDefault="00463F43" w:rsidP="00CD3CD0">
            <w:pPr>
              <w:rPr>
                <w:rFonts w:eastAsia="Times New Roman" w:cs="Times New Roman"/>
                <w:snapToGrid w:val="0"/>
                <w:sz w:val="20"/>
                <w:szCs w:val="20"/>
                <w:lang w:val="en-US"/>
              </w:rPr>
            </w:pPr>
          </w:p>
        </w:tc>
        <w:tc>
          <w:tcPr>
            <w:tcW w:w="1827" w:type="dxa"/>
            <w:shd w:val="clear" w:color="auto" w:fill="C5E0B3" w:themeFill="accent6" w:themeFillTint="66"/>
          </w:tcPr>
          <w:p w14:paraId="4620A7BE"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 xml:space="preserve">HPC recruit only </w:t>
            </w:r>
          </w:p>
          <w:p w14:paraId="6DCFF23F"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(by Lifeblood)</w:t>
            </w:r>
          </w:p>
        </w:tc>
        <w:tc>
          <w:tcPr>
            <w:tcW w:w="1275" w:type="dxa"/>
            <w:gridSpan w:val="2"/>
            <w:shd w:val="clear" w:color="auto" w:fill="C5E0B3" w:themeFill="accent6" w:themeFillTint="66"/>
          </w:tcPr>
          <w:p w14:paraId="5D8D4D00"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Lifeblood</w:t>
            </w:r>
          </w:p>
        </w:tc>
        <w:tc>
          <w:tcPr>
            <w:tcW w:w="1262" w:type="dxa"/>
            <w:shd w:val="clear" w:color="auto" w:fill="C5E0B3" w:themeFill="accent6" w:themeFillTint="66"/>
          </w:tcPr>
          <w:p w14:paraId="10CFEB6B"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Blood: HLA, ABO, CMV</w:t>
            </w:r>
          </w:p>
        </w:tc>
        <w:tc>
          <w:tcPr>
            <w:tcW w:w="1354" w:type="dxa"/>
            <w:vMerge/>
            <w:shd w:val="clear" w:color="auto" w:fill="C5E0B3" w:themeFill="accent6" w:themeFillTint="66"/>
          </w:tcPr>
          <w:p w14:paraId="1387295D" w14:textId="77777777" w:rsidR="00463F43" w:rsidRPr="00ED674A" w:rsidRDefault="00463F43" w:rsidP="00CD3CD0">
            <w:pPr>
              <w:rPr>
                <w:rFonts w:eastAsia="Times New Roman" w:cs="Times New Roman"/>
                <w:snapToGrid w:val="0"/>
                <w:sz w:val="20"/>
                <w:szCs w:val="20"/>
                <w:lang w:val="en-US"/>
              </w:rPr>
            </w:pPr>
          </w:p>
        </w:tc>
        <w:tc>
          <w:tcPr>
            <w:tcW w:w="1271" w:type="dxa"/>
            <w:vMerge/>
            <w:shd w:val="clear" w:color="auto" w:fill="C5E0B3" w:themeFill="accent6" w:themeFillTint="66"/>
          </w:tcPr>
          <w:p w14:paraId="434A7ED2" w14:textId="77777777" w:rsidR="00463F43" w:rsidRPr="00ED674A" w:rsidRDefault="00463F43" w:rsidP="00CD3CD0">
            <w:pPr>
              <w:jc w:val="center"/>
              <w:rPr>
                <w:rFonts w:eastAsia="Times New Roman" w:cs="Times New Roman"/>
                <w:snapToGrid w:val="0"/>
                <w:sz w:val="20"/>
                <w:szCs w:val="20"/>
                <w:lang w:val="en-US"/>
              </w:rPr>
            </w:pPr>
          </w:p>
        </w:tc>
        <w:tc>
          <w:tcPr>
            <w:tcW w:w="1276" w:type="dxa"/>
            <w:vMerge/>
            <w:shd w:val="clear" w:color="auto" w:fill="F4B083" w:themeFill="accent2" w:themeFillTint="99"/>
          </w:tcPr>
          <w:p w14:paraId="1BF0144F" w14:textId="77777777" w:rsidR="00463F43" w:rsidRPr="00ED674A" w:rsidRDefault="00463F43" w:rsidP="00CD3CD0">
            <w:pPr>
              <w:jc w:val="center"/>
              <w:rPr>
                <w:rFonts w:eastAsia="Times New Roman" w:cs="Times New Roman"/>
                <w:snapToGrid w:val="0"/>
                <w:sz w:val="20"/>
                <w:szCs w:val="20"/>
                <w:lang w:val="en-US"/>
              </w:rPr>
            </w:pPr>
          </w:p>
        </w:tc>
        <w:tc>
          <w:tcPr>
            <w:tcW w:w="1134" w:type="dxa"/>
            <w:vMerge/>
            <w:shd w:val="clear" w:color="auto" w:fill="F4B083" w:themeFill="accent2" w:themeFillTint="99"/>
          </w:tcPr>
          <w:p w14:paraId="6447E241" w14:textId="77777777" w:rsidR="00463F43" w:rsidRPr="00ED674A" w:rsidRDefault="00463F43" w:rsidP="00CD3CD0">
            <w:pPr>
              <w:jc w:val="center"/>
              <w:rPr>
                <w:rFonts w:eastAsia="Times New Roman" w:cs="Times New Roman"/>
                <w:snapToGrid w:val="0"/>
                <w:sz w:val="20"/>
                <w:szCs w:val="20"/>
                <w:lang w:val="en-US"/>
              </w:rPr>
            </w:pPr>
          </w:p>
        </w:tc>
        <w:tc>
          <w:tcPr>
            <w:tcW w:w="1089" w:type="dxa"/>
            <w:vMerge/>
            <w:shd w:val="clear" w:color="auto" w:fill="F4B083" w:themeFill="accent2" w:themeFillTint="99"/>
          </w:tcPr>
          <w:p w14:paraId="34BFC35C" w14:textId="77777777" w:rsidR="00463F43" w:rsidRPr="00ED674A" w:rsidRDefault="00463F43" w:rsidP="00CD3CD0">
            <w:pPr>
              <w:jc w:val="center"/>
              <w:rPr>
                <w:rFonts w:eastAsia="Times New Roman" w:cs="Times New Roman"/>
                <w:snapToGrid w:val="0"/>
                <w:sz w:val="20"/>
                <w:szCs w:val="20"/>
                <w:lang w:val="en-US"/>
              </w:rPr>
            </w:pPr>
          </w:p>
        </w:tc>
        <w:tc>
          <w:tcPr>
            <w:tcW w:w="1032" w:type="dxa"/>
            <w:vMerge/>
            <w:shd w:val="clear" w:color="auto" w:fill="F4B083" w:themeFill="accent2" w:themeFillTint="99"/>
          </w:tcPr>
          <w:p w14:paraId="3BB681E7" w14:textId="77777777" w:rsidR="00463F43" w:rsidRPr="00ED674A" w:rsidRDefault="00463F43" w:rsidP="00CD3CD0">
            <w:pPr>
              <w:jc w:val="center"/>
              <w:rPr>
                <w:rFonts w:eastAsia="Times New Roman" w:cs="Times New Roman"/>
                <w:snapToGrid w:val="0"/>
                <w:sz w:val="20"/>
                <w:szCs w:val="20"/>
                <w:lang w:val="en-US"/>
              </w:rPr>
            </w:pPr>
          </w:p>
        </w:tc>
        <w:tc>
          <w:tcPr>
            <w:tcW w:w="1651" w:type="dxa"/>
            <w:vMerge/>
            <w:shd w:val="clear" w:color="auto" w:fill="F4B083" w:themeFill="accent2" w:themeFillTint="99"/>
          </w:tcPr>
          <w:p w14:paraId="63A260D2" w14:textId="77777777" w:rsidR="00463F43" w:rsidRPr="00ED674A" w:rsidRDefault="00463F43" w:rsidP="00CD3CD0">
            <w:pPr>
              <w:jc w:val="center"/>
              <w:rPr>
                <w:rFonts w:eastAsia="Times New Roman" w:cs="Times New Roman"/>
                <w:snapToGrid w:val="0"/>
                <w:sz w:val="20"/>
                <w:szCs w:val="20"/>
                <w:lang w:val="en-US"/>
              </w:rPr>
            </w:pPr>
          </w:p>
        </w:tc>
      </w:tr>
      <w:tr w:rsidR="00463F43" w:rsidRPr="00ED674A" w14:paraId="02E1D6B8" w14:textId="77777777" w:rsidTr="00CD3CD0">
        <w:trPr>
          <w:trHeight w:val="1115"/>
        </w:trPr>
        <w:tc>
          <w:tcPr>
            <w:tcW w:w="1228" w:type="dxa"/>
            <w:vMerge/>
            <w:shd w:val="clear" w:color="auto" w:fill="auto"/>
          </w:tcPr>
          <w:p w14:paraId="49E2EB97" w14:textId="77777777" w:rsidR="00463F43" w:rsidRPr="00ED674A" w:rsidRDefault="00463F43" w:rsidP="00CD3CD0">
            <w:pPr>
              <w:rPr>
                <w:rFonts w:eastAsia="Times New Roman" w:cs="Times New Roman"/>
                <w:snapToGrid w:val="0"/>
                <w:sz w:val="20"/>
                <w:szCs w:val="20"/>
                <w:lang w:val="en-US"/>
              </w:rPr>
            </w:pPr>
          </w:p>
        </w:tc>
        <w:tc>
          <w:tcPr>
            <w:tcW w:w="1827" w:type="dxa"/>
            <w:shd w:val="clear" w:color="auto" w:fill="C5E0B3" w:themeFill="accent6" w:themeFillTint="66"/>
          </w:tcPr>
          <w:p w14:paraId="2174E409"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Community – metropolitan area</w:t>
            </w:r>
          </w:p>
          <w:p w14:paraId="1C5D017E" w14:textId="77777777" w:rsidR="00463F43" w:rsidRPr="00ED674A" w:rsidRDefault="00463F43" w:rsidP="00CD3CD0">
            <w:pPr>
              <w:rPr>
                <w:rFonts w:eastAsia="Times New Roman" w:cs="Times New Roman"/>
                <w:snapToGrid w:val="0"/>
                <w:sz w:val="20"/>
                <w:szCs w:val="20"/>
                <w:lang w:val="en-US"/>
              </w:rPr>
            </w:pPr>
          </w:p>
        </w:tc>
        <w:tc>
          <w:tcPr>
            <w:tcW w:w="1275" w:type="dxa"/>
            <w:gridSpan w:val="2"/>
            <w:shd w:val="clear" w:color="auto" w:fill="C5E0B3" w:themeFill="accent6" w:themeFillTint="66"/>
          </w:tcPr>
          <w:p w14:paraId="370EF88B"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Lifeblood / Path West/ Other pathology providers</w:t>
            </w:r>
          </w:p>
        </w:tc>
        <w:tc>
          <w:tcPr>
            <w:tcW w:w="1262" w:type="dxa"/>
            <w:shd w:val="clear" w:color="auto" w:fill="C5E0B3" w:themeFill="accent6" w:themeFillTint="66"/>
          </w:tcPr>
          <w:p w14:paraId="5461C80F"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Buccal: HLA</w:t>
            </w:r>
          </w:p>
          <w:p w14:paraId="4644BFF1"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Blood: ABO, CMV</w:t>
            </w:r>
          </w:p>
          <w:p w14:paraId="568447E2" w14:textId="09C85B84" w:rsidR="00463F43" w:rsidRPr="00ED674A" w:rsidRDefault="006D018C"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2</w:t>
            </w:r>
            <w:r>
              <w:rPr>
                <w:rFonts w:eastAsia="Times New Roman" w:cs="Times New Roman"/>
                <w:snapToGrid w:val="0"/>
                <w:sz w:val="20"/>
                <w:szCs w:val="20"/>
                <w:lang w:val="en-US"/>
              </w:rPr>
              <w:t>-</w:t>
            </w:r>
            <w:r w:rsidR="00463F43" w:rsidRPr="00ED674A">
              <w:rPr>
                <w:rFonts w:eastAsia="Times New Roman" w:cs="Times New Roman"/>
                <w:snapToGrid w:val="0"/>
                <w:sz w:val="20"/>
                <w:szCs w:val="20"/>
                <w:lang w:val="en-US"/>
              </w:rPr>
              <w:t>step model</w:t>
            </w:r>
          </w:p>
        </w:tc>
        <w:tc>
          <w:tcPr>
            <w:tcW w:w="1354" w:type="dxa"/>
            <w:vMerge/>
            <w:shd w:val="clear" w:color="auto" w:fill="C5E0B3" w:themeFill="accent6" w:themeFillTint="66"/>
          </w:tcPr>
          <w:p w14:paraId="2BC67FF2" w14:textId="77777777" w:rsidR="00463F43" w:rsidRPr="00ED674A" w:rsidRDefault="00463F43" w:rsidP="00CD3CD0">
            <w:pPr>
              <w:rPr>
                <w:rFonts w:eastAsia="Times New Roman" w:cs="Times New Roman"/>
                <w:snapToGrid w:val="0"/>
                <w:sz w:val="20"/>
                <w:szCs w:val="20"/>
                <w:lang w:val="en-US"/>
              </w:rPr>
            </w:pPr>
          </w:p>
        </w:tc>
        <w:tc>
          <w:tcPr>
            <w:tcW w:w="1271" w:type="dxa"/>
            <w:shd w:val="clear" w:color="auto" w:fill="C5E0B3" w:themeFill="accent6" w:themeFillTint="66"/>
          </w:tcPr>
          <w:p w14:paraId="79272E64"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17,800/yr **</w:t>
            </w:r>
          </w:p>
        </w:tc>
        <w:tc>
          <w:tcPr>
            <w:tcW w:w="1276" w:type="dxa"/>
            <w:vMerge/>
            <w:shd w:val="clear" w:color="auto" w:fill="F4B083" w:themeFill="accent2" w:themeFillTint="99"/>
          </w:tcPr>
          <w:p w14:paraId="6F2BBD78" w14:textId="77777777" w:rsidR="00463F43" w:rsidRPr="00ED674A" w:rsidRDefault="00463F43" w:rsidP="00CD3CD0">
            <w:pPr>
              <w:jc w:val="center"/>
              <w:rPr>
                <w:rFonts w:eastAsia="Times New Roman" w:cs="Times New Roman"/>
                <w:snapToGrid w:val="0"/>
                <w:sz w:val="20"/>
                <w:szCs w:val="20"/>
                <w:lang w:val="en-US"/>
              </w:rPr>
            </w:pPr>
          </w:p>
        </w:tc>
        <w:tc>
          <w:tcPr>
            <w:tcW w:w="1134" w:type="dxa"/>
            <w:vMerge/>
            <w:shd w:val="clear" w:color="auto" w:fill="F4B083" w:themeFill="accent2" w:themeFillTint="99"/>
          </w:tcPr>
          <w:p w14:paraId="7C108A45" w14:textId="77777777" w:rsidR="00463F43" w:rsidRPr="00ED674A" w:rsidRDefault="00463F43" w:rsidP="00CD3CD0">
            <w:pPr>
              <w:jc w:val="center"/>
              <w:rPr>
                <w:rFonts w:eastAsia="Times New Roman" w:cs="Times New Roman"/>
                <w:snapToGrid w:val="0"/>
                <w:sz w:val="20"/>
                <w:szCs w:val="20"/>
                <w:lang w:val="en-US"/>
              </w:rPr>
            </w:pPr>
          </w:p>
        </w:tc>
        <w:tc>
          <w:tcPr>
            <w:tcW w:w="1089" w:type="dxa"/>
            <w:vMerge/>
            <w:shd w:val="clear" w:color="auto" w:fill="F4B083" w:themeFill="accent2" w:themeFillTint="99"/>
          </w:tcPr>
          <w:p w14:paraId="219565A4" w14:textId="77777777" w:rsidR="00463F43" w:rsidRPr="00ED674A" w:rsidRDefault="00463F43" w:rsidP="00CD3CD0">
            <w:pPr>
              <w:jc w:val="center"/>
              <w:rPr>
                <w:rFonts w:eastAsia="Times New Roman" w:cs="Times New Roman"/>
                <w:snapToGrid w:val="0"/>
                <w:sz w:val="20"/>
                <w:szCs w:val="20"/>
                <w:lang w:val="en-US"/>
              </w:rPr>
            </w:pPr>
          </w:p>
        </w:tc>
        <w:tc>
          <w:tcPr>
            <w:tcW w:w="1032" w:type="dxa"/>
            <w:vMerge/>
            <w:shd w:val="clear" w:color="auto" w:fill="F4B083" w:themeFill="accent2" w:themeFillTint="99"/>
          </w:tcPr>
          <w:p w14:paraId="7B68FFB1" w14:textId="77777777" w:rsidR="00463F43" w:rsidRPr="00ED674A" w:rsidRDefault="00463F43" w:rsidP="00CD3CD0">
            <w:pPr>
              <w:jc w:val="center"/>
              <w:rPr>
                <w:rFonts w:eastAsia="Times New Roman" w:cs="Times New Roman"/>
                <w:snapToGrid w:val="0"/>
                <w:sz w:val="20"/>
                <w:szCs w:val="20"/>
                <w:lang w:val="en-US"/>
              </w:rPr>
            </w:pPr>
          </w:p>
        </w:tc>
        <w:tc>
          <w:tcPr>
            <w:tcW w:w="1651" w:type="dxa"/>
            <w:vMerge/>
            <w:shd w:val="clear" w:color="auto" w:fill="F4B083" w:themeFill="accent2" w:themeFillTint="99"/>
          </w:tcPr>
          <w:p w14:paraId="06263592" w14:textId="77777777" w:rsidR="00463F43" w:rsidRPr="00ED674A" w:rsidRDefault="00463F43" w:rsidP="00CD3CD0">
            <w:pPr>
              <w:jc w:val="center"/>
              <w:rPr>
                <w:rFonts w:eastAsia="Times New Roman" w:cs="Times New Roman"/>
                <w:snapToGrid w:val="0"/>
                <w:sz w:val="20"/>
                <w:szCs w:val="20"/>
                <w:lang w:val="en-US"/>
              </w:rPr>
            </w:pPr>
          </w:p>
        </w:tc>
      </w:tr>
      <w:tr w:rsidR="00463F43" w:rsidRPr="00ED674A" w14:paraId="144B0B3C" w14:textId="77777777" w:rsidTr="00CD3CD0">
        <w:trPr>
          <w:trHeight w:val="680"/>
        </w:trPr>
        <w:tc>
          <w:tcPr>
            <w:tcW w:w="1228" w:type="dxa"/>
            <w:vMerge/>
            <w:shd w:val="clear" w:color="auto" w:fill="auto"/>
          </w:tcPr>
          <w:p w14:paraId="2CF6F88F" w14:textId="77777777" w:rsidR="00463F43" w:rsidRPr="00ED674A" w:rsidRDefault="00463F43" w:rsidP="00CD3CD0">
            <w:pPr>
              <w:rPr>
                <w:rFonts w:eastAsia="Times New Roman" w:cs="Times New Roman"/>
                <w:snapToGrid w:val="0"/>
                <w:sz w:val="20"/>
                <w:szCs w:val="20"/>
                <w:lang w:val="en-US"/>
              </w:rPr>
            </w:pPr>
          </w:p>
        </w:tc>
        <w:tc>
          <w:tcPr>
            <w:tcW w:w="1827" w:type="dxa"/>
            <w:shd w:val="clear" w:color="auto" w:fill="B4C6E7" w:themeFill="accent1" w:themeFillTint="66"/>
          </w:tcPr>
          <w:p w14:paraId="19AA43C5"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Online/Community – regional and remote communities</w:t>
            </w:r>
          </w:p>
          <w:p w14:paraId="33F6A16D" w14:textId="77777777" w:rsidR="00463F43" w:rsidRPr="00ED674A" w:rsidRDefault="00463F43" w:rsidP="00CD3CD0">
            <w:pPr>
              <w:rPr>
                <w:rFonts w:eastAsia="Times New Roman" w:cs="Times New Roman"/>
                <w:snapToGrid w:val="0"/>
                <w:sz w:val="20"/>
                <w:szCs w:val="20"/>
                <w:lang w:val="en-US"/>
              </w:rPr>
            </w:pPr>
          </w:p>
        </w:tc>
        <w:tc>
          <w:tcPr>
            <w:tcW w:w="1275" w:type="dxa"/>
            <w:gridSpan w:val="2"/>
            <w:shd w:val="clear" w:color="auto" w:fill="B4C6E7" w:themeFill="accent1" w:themeFillTint="66"/>
          </w:tcPr>
          <w:p w14:paraId="179BA9AB"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 xml:space="preserve">Overseas testing </w:t>
            </w:r>
          </w:p>
        </w:tc>
        <w:tc>
          <w:tcPr>
            <w:tcW w:w="1262" w:type="dxa"/>
            <w:shd w:val="clear" w:color="auto" w:fill="B4C6E7" w:themeFill="accent1" w:themeFillTint="66"/>
          </w:tcPr>
          <w:p w14:paraId="49C8BB25"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Buccal: HLA, ABO and CMV</w:t>
            </w:r>
          </w:p>
        </w:tc>
        <w:tc>
          <w:tcPr>
            <w:tcW w:w="1354" w:type="dxa"/>
            <w:shd w:val="clear" w:color="auto" w:fill="B4C6E7" w:themeFill="accent1" w:themeFillTint="66"/>
          </w:tcPr>
          <w:p w14:paraId="34C052DC" w14:textId="77777777" w:rsidR="00463F43" w:rsidRPr="00ED674A" w:rsidRDefault="00463F43" w:rsidP="00CD3CD0">
            <w:pPr>
              <w:rPr>
                <w:rFonts w:eastAsia="Times New Roman" w:cs="Times New Roman"/>
                <w:snapToGrid w:val="0"/>
                <w:sz w:val="20"/>
                <w:szCs w:val="20"/>
                <w:lang w:val="en-US"/>
              </w:rPr>
            </w:pPr>
            <w:r>
              <w:rPr>
                <w:rFonts w:eastAsia="Times New Roman" w:cs="Times New Roman"/>
                <w:snapToGrid w:val="0"/>
                <w:sz w:val="20"/>
                <w:szCs w:val="20"/>
                <w:lang w:val="en-US"/>
              </w:rPr>
              <w:t>~</w:t>
            </w:r>
            <w:r w:rsidRPr="00ED674A">
              <w:rPr>
                <w:rFonts w:eastAsia="Times New Roman" w:cs="Times New Roman"/>
                <w:snapToGrid w:val="0"/>
                <w:sz w:val="20"/>
                <w:szCs w:val="20"/>
                <w:lang w:val="en-US"/>
              </w:rPr>
              <w:t>10,000/yr</w:t>
            </w:r>
          </w:p>
          <w:p w14:paraId="51378249" w14:textId="77777777" w:rsidR="00463F43" w:rsidRPr="00ED674A" w:rsidRDefault="00463F43" w:rsidP="00CD3CD0">
            <w:pPr>
              <w:rPr>
                <w:rFonts w:eastAsia="Times New Roman" w:cs="Times New Roman"/>
                <w:snapToGrid w:val="0"/>
                <w:sz w:val="20"/>
                <w:szCs w:val="20"/>
                <w:lang w:val="en-US"/>
              </w:rPr>
            </w:pPr>
          </w:p>
        </w:tc>
        <w:tc>
          <w:tcPr>
            <w:tcW w:w="1271" w:type="dxa"/>
            <w:shd w:val="clear" w:color="auto" w:fill="B4C6E7" w:themeFill="accent1" w:themeFillTint="66"/>
          </w:tcPr>
          <w:p w14:paraId="598E057B"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10,000</w:t>
            </w:r>
          </w:p>
          <w:p w14:paraId="38752D28" w14:textId="77777777" w:rsidR="00463F43" w:rsidRPr="00ED674A" w:rsidRDefault="00463F43" w:rsidP="00CD3CD0">
            <w:pPr>
              <w:jc w:val="center"/>
              <w:rPr>
                <w:rFonts w:eastAsia="Times New Roman" w:cs="Times New Roman"/>
                <w:snapToGrid w:val="0"/>
                <w:sz w:val="20"/>
                <w:szCs w:val="20"/>
                <w:lang w:val="en-US"/>
              </w:rPr>
            </w:pPr>
          </w:p>
        </w:tc>
        <w:tc>
          <w:tcPr>
            <w:tcW w:w="1276" w:type="dxa"/>
            <w:shd w:val="clear" w:color="auto" w:fill="B4C6E7" w:themeFill="accent1" w:themeFillTint="66"/>
          </w:tcPr>
          <w:p w14:paraId="02521979" w14:textId="77777777" w:rsidR="00463F43" w:rsidRPr="00ED674A" w:rsidRDefault="00463F43" w:rsidP="00CD3CD0">
            <w:pPr>
              <w:jc w:val="center"/>
              <w:rPr>
                <w:rFonts w:eastAsia="Times New Roman" w:cs="Times New Roman"/>
                <w:snapToGrid w:val="0"/>
                <w:sz w:val="20"/>
                <w:szCs w:val="20"/>
                <w:lang w:val="en-US"/>
              </w:rPr>
            </w:pPr>
          </w:p>
        </w:tc>
        <w:tc>
          <w:tcPr>
            <w:tcW w:w="1134" w:type="dxa"/>
            <w:shd w:val="clear" w:color="auto" w:fill="B4C6E7" w:themeFill="accent1" w:themeFillTint="66"/>
          </w:tcPr>
          <w:p w14:paraId="22A7E471" w14:textId="77777777" w:rsidR="00463F43" w:rsidRPr="00ED674A" w:rsidRDefault="00463F43" w:rsidP="00CD3CD0">
            <w:pPr>
              <w:jc w:val="center"/>
              <w:rPr>
                <w:rFonts w:eastAsia="Times New Roman" w:cs="Times New Roman"/>
                <w:snapToGrid w:val="0"/>
                <w:sz w:val="20"/>
                <w:szCs w:val="20"/>
                <w:lang w:val="en-US"/>
              </w:rPr>
            </w:pPr>
          </w:p>
        </w:tc>
        <w:tc>
          <w:tcPr>
            <w:tcW w:w="1089" w:type="dxa"/>
            <w:shd w:val="clear" w:color="auto" w:fill="B4C6E7" w:themeFill="accent1" w:themeFillTint="66"/>
          </w:tcPr>
          <w:p w14:paraId="1DF38059" w14:textId="77777777" w:rsidR="00463F43" w:rsidRPr="00ED674A" w:rsidRDefault="00463F43" w:rsidP="00CD3CD0">
            <w:pPr>
              <w:jc w:val="center"/>
              <w:rPr>
                <w:rFonts w:eastAsia="Times New Roman" w:cs="Times New Roman"/>
                <w:snapToGrid w:val="0"/>
                <w:sz w:val="20"/>
                <w:szCs w:val="20"/>
                <w:lang w:val="en-US"/>
              </w:rPr>
            </w:pPr>
          </w:p>
        </w:tc>
        <w:tc>
          <w:tcPr>
            <w:tcW w:w="1032" w:type="dxa"/>
            <w:shd w:val="clear" w:color="auto" w:fill="B4C6E7" w:themeFill="accent1" w:themeFillTint="66"/>
          </w:tcPr>
          <w:p w14:paraId="218F90C7" w14:textId="77777777" w:rsidR="00463F43" w:rsidRPr="00ED674A" w:rsidRDefault="00463F43" w:rsidP="00CD3CD0">
            <w:pPr>
              <w:jc w:val="center"/>
              <w:rPr>
                <w:rFonts w:eastAsia="Times New Roman" w:cs="Times New Roman"/>
                <w:snapToGrid w:val="0"/>
                <w:sz w:val="20"/>
                <w:szCs w:val="20"/>
                <w:lang w:val="en-US"/>
              </w:rPr>
            </w:pPr>
          </w:p>
        </w:tc>
        <w:tc>
          <w:tcPr>
            <w:tcW w:w="1651" w:type="dxa"/>
            <w:shd w:val="clear" w:color="auto" w:fill="B4C6E7" w:themeFill="accent1" w:themeFillTint="66"/>
          </w:tcPr>
          <w:p w14:paraId="1BB1EFD9"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10,000</w:t>
            </w:r>
          </w:p>
        </w:tc>
      </w:tr>
      <w:tr w:rsidR="00463F43" w:rsidRPr="00ED674A" w14:paraId="3461EF31" w14:textId="77777777" w:rsidTr="00CD3CD0">
        <w:trPr>
          <w:trHeight w:val="871"/>
        </w:trPr>
        <w:tc>
          <w:tcPr>
            <w:tcW w:w="1228" w:type="dxa"/>
            <w:vMerge/>
            <w:shd w:val="clear" w:color="auto" w:fill="auto"/>
          </w:tcPr>
          <w:p w14:paraId="1DFAC781" w14:textId="77777777" w:rsidR="00463F43" w:rsidRPr="00ED674A" w:rsidRDefault="00463F43" w:rsidP="00CD3CD0">
            <w:pPr>
              <w:rPr>
                <w:rFonts w:eastAsia="Times New Roman" w:cs="Times New Roman"/>
                <w:snapToGrid w:val="0"/>
                <w:sz w:val="20"/>
                <w:szCs w:val="20"/>
                <w:lang w:val="en-US"/>
              </w:rPr>
            </w:pPr>
          </w:p>
        </w:tc>
        <w:tc>
          <w:tcPr>
            <w:tcW w:w="1840" w:type="dxa"/>
            <w:gridSpan w:val="2"/>
            <w:shd w:val="clear" w:color="auto" w:fill="F7CAAC" w:themeFill="accent2" w:themeFillTint="66"/>
          </w:tcPr>
          <w:p w14:paraId="38C45703"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Online/Community – regional and remote communities</w:t>
            </w:r>
          </w:p>
        </w:tc>
        <w:tc>
          <w:tcPr>
            <w:tcW w:w="1262" w:type="dxa"/>
            <w:shd w:val="clear" w:color="auto" w:fill="F7CAAC" w:themeFill="accent2" w:themeFillTint="66"/>
          </w:tcPr>
          <w:p w14:paraId="5F4ADBF0"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Australian laboratory</w:t>
            </w:r>
          </w:p>
        </w:tc>
        <w:tc>
          <w:tcPr>
            <w:tcW w:w="1262" w:type="dxa"/>
            <w:shd w:val="clear" w:color="auto" w:fill="F7CAAC" w:themeFill="accent2" w:themeFillTint="66"/>
          </w:tcPr>
          <w:p w14:paraId="55E47BD3"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Buccal: HLA, ABO and CMV</w:t>
            </w:r>
          </w:p>
        </w:tc>
        <w:tc>
          <w:tcPr>
            <w:tcW w:w="1354" w:type="dxa"/>
            <w:shd w:val="clear" w:color="auto" w:fill="F7CAAC" w:themeFill="accent2" w:themeFillTint="66"/>
          </w:tcPr>
          <w:p w14:paraId="396F2E3C" w14:textId="77777777" w:rsidR="00463F43" w:rsidRPr="00ED674A" w:rsidRDefault="00463F43" w:rsidP="00CD3CD0">
            <w:pPr>
              <w:rPr>
                <w:rFonts w:eastAsia="Times New Roman" w:cs="Times New Roman"/>
                <w:snapToGrid w:val="0"/>
                <w:sz w:val="20"/>
                <w:szCs w:val="20"/>
                <w:lang w:val="en-US"/>
              </w:rPr>
            </w:pPr>
            <w:r w:rsidRPr="00ED674A">
              <w:rPr>
                <w:rFonts w:eastAsia="Times New Roman" w:cs="Times New Roman"/>
                <w:snapToGrid w:val="0"/>
                <w:sz w:val="20"/>
                <w:szCs w:val="20"/>
                <w:lang w:val="en-US"/>
              </w:rPr>
              <w:t>10,000/yr</w:t>
            </w:r>
          </w:p>
        </w:tc>
        <w:tc>
          <w:tcPr>
            <w:tcW w:w="1271" w:type="dxa"/>
            <w:shd w:val="clear" w:color="auto" w:fill="F7CAAC" w:themeFill="accent2" w:themeFillTint="66"/>
          </w:tcPr>
          <w:p w14:paraId="794D92CE" w14:textId="77777777" w:rsidR="00463F43" w:rsidRPr="00ED674A" w:rsidRDefault="00463F43" w:rsidP="00CD3CD0">
            <w:pPr>
              <w:jc w:val="center"/>
              <w:rPr>
                <w:rFonts w:eastAsia="Times New Roman" w:cs="Times New Roman"/>
                <w:snapToGrid w:val="0"/>
                <w:sz w:val="20"/>
                <w:szCs w:val="20"/>
                <w:lang w:val="en-US"/>
              </w:rPr>
            </w:pPr>
          </w:p>
        </w:tc>
        <w:tc>
          <w:tcPr>
            <w:tcW w:w="1276" w:type="dxa"/>
            <w:shd w:val="clear" w:color="auto" w:fill="F7CAAC" w:themeFill="accent2" w:themeFillTint="66"/>
          </w:tcPr>
          <w:p w14:paraId="3005CEF7"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10,000</w:t>
            </w:r>
          </w:p>
        </w:tc>
        <w:tc>
          <w:tcPr>
            <w:tcW w:w="1134" w:type="dxa"/>
            <w:shd w:val="clear" w:color="auto" w:fill="F7CAAC" w:themeFill="accent2" w:themeFillTint="66"/>
          </w:tcPr>
          <w:p w14:paraId="69E1A362"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10,000</w:t>
            </w:r>
          </w:p>
        </w:tc>
        <w:tc>
          <w:tcPr>
            <w:tcW w:w="1089" w:type="dxa"/>
            <w:shd w:val="clear" w:color="auto" w:fill="F7CAAC" w:themeFill="accent2" w:themeFillTint="66"/>
          </w:tcPr>
          <w:p w14:paraId="1045D5A6"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10,000</w:t>
            </w:r>
          </w:p>
        </w:tc>
        <w:tc>
          <w:tcPr>
            <w:tcW w:w="1032" w:type="dxa"/>
            <w:shd w:val="clear" w:color="auto" w:fill="F7CAAC" w:themeFill="accent2" w:themeFillTint="66"/>
          </w:tcPr>
          <w:p w14:paraId="6221FC1F"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10,000</w:t>
            </w:r>
          </w:p>
        </w:tc>
        <w:tc>
          <w:tcPr>
            <w:tcW w:w="1651" w:type="dxa"/>
            <w:shd w:val="clear" w:color="auto" w:fill="F7CAAC" w:themeFill="accent2" w:themeFillTint="66"/>
          </w:tcPr>
          <w:p w14:paraId="4CD221A7" w14:textId="77777777" w:rsidR="00463F43" w:rsidRPr="00ED674A" w:rsidRDefault="00463F43" w:rsidP="00CD3CD0">
            <w:pPr>
              <w:jc w:val="center"/>
              <w:rPr>
                <w:rFonts w:eastAsia="Times New Roman" w:cs="Times New Roman"/>
                <w:snapToGrid w:val="0"/>
                <w:sz w:val="20"/>
                <w:szCs w:val="20"/>
                <w:lang w:val="en-US"/>
              </w:rPr>
            </w:pPr>
            <w:r w:rsidRPr="00ED674A">
              <w:rPr>
                <w:rFonts w:eastAsia="Times New Roman" w:cs="Times New Roman"/>
                <w:snapToGrid w:val="0"/>
                <w:sz w:val="20"/>
                <w:szCs w:val="20"/>
                <w:lang w:val="en-US"/>
              </w:rPr>
              <w:t>40,000</w:t>
            </w:r>
          </w:p>
        </w:tc>
      </w:tr>
    </w:tbl>
    <w:p w14:paraId="2C21F761" w14:textId="77777777" w:rsidR="00463F43" w:rsidRPr="00ED674A" w:rsidRDefault="00463F43" w:rsidP="00463F43">
      <w:pPr>
        <w:widowControl w:val="0"/>
        <w:spacing w:after="0" w:line="240" w:lineRule="auto"/>
        <w:rPr>
          <w:rFonts w:eastAsia="Times New Roman" w:cstheme="minorHAnsi"/>
          <w:snapToGrid w:val="0"/>
          <w:sz w:val="20"/>
          <w:szCs w:val="20"/>
          <w:lang w:val="en-US"/>
        </w:rPr>
      </w:pPr>
      <w:r w:rsidRPr="00ED674A">
        <w:rPr>
          <w:rFonts w:eastAsia="Times New Roman" w:cstheme="minorHAnsi"/>
          <w:snapToGrid w:val="0"/>
          <w:sz w:val="24"/>
          <w:szCs w:val="20"/>
          <w:lang w:val="en-US"/>
        </w:rPr>
        <w:t>*</w:t>
      </w:r>
      <w:r w:rsidRPr="00ED674A">
        <w:rPr>
          <w:rFonts w:eastAsia="Times New Roman" w:cstheme="minorHAnsi"/>
          <w:snapToGrid w:val="0"/>
          <w:sz w:val="20"/>
          <w:szCs w:val="20"/>
          <w:lang w:val="en-US"/>
        </w:rPr>
        <w:t xml:space="preserve">Based on Lifeblood implementing </w:t>
      </w:r>
      <w:r>
        <w:rPr>
          <w:rFonts w:eastAsia="Times New Roman" w:cstheme="minorHAnsi"/>
          <w:snapToGrid w:val="0"/>
          <w:sz w:val="20"/>
          <w:szCs w:val="20"/>
          <w:lang w:val="en-US"/>
        </w:rPr>
        <w:t xml:space="preserve">additional </w:t>
      </w:r>
      <w:r w:rsidRPr="00ED674A">
        <w:rPr>
          <w:rFonts w:eastAsia="Times New Roman" w:cstheme="minorHAnsi"/>
          <w:snapToGrid w:val="0"/>
          <w:sz w:val="20"/>
          <w:szCs w:val="20"/>
          <w:lang w:val="en-US"/>
        </w:rPr>
        <w:t>laboratory capacity and accrediting laboratory workflow for NGS testing</w:t>
      </w:r>
    </w:p>
    <w:p w14:paraId="2E1C1024" w14:textId="77777777" w:rsidR="00463F43" w:rsidRPr="00ED674A" w:rsidRDefault="00463F43" w:rsidP="00463F43">
      <w:pPr>
        <w:widowControl w:val="0"/>
        <w:spacing w:after="0" w:line="240" w:lineRule="auto"/>
        <w:rPr>
          <w:rFonts w:eastAsia="Times New Roman" w:cs="Times New Roman"/>
          <w:snapToGrid w:val="0"/>
          <w:sz w:val="20"/>
          <w:szCs w:val="20"/>
          <w:lang w:val="en-US"/>
        </w:rPr>
      </w:pPr>
      <w:r w:rsidRPr="00ED674A">
        <w:rPr>
          <w:rFonts w:eastAsia="Times New Roman" w:cs="Times New Roman"/>
          <w:snapToGrid w:val="0"/>
          <w:sz w:val="20"/>
          <w:szCs w:val="20"/>
          <w:lang w:val="en-US"/>
        </w:rPr>
        <w:t xml:space="preserve">**Based on buccal swab HLA testing by laboratory capacity per year of: SA 800 tests, VIC 5000 tests, NSW 5000 tests, WA 5000 tests &amp; QLD 2000 tests. This laboratory capacity is dependent on additional de-capping robots in VIC and NSW, plus workforce for laboratory processing in all jurisdictions. </w:t>
      </w:r>
    </w:p>
    <w:p w14:paraId="05A40EFF" w14:textId="77777777" w:rsidR="00463F43" w:rsidRPr="00ED674A" w:rsidRDefault="00463F43" w:rsidP="00463F43">
      <w:pPr>
        <w:widowControl w:val="0"/>
        <w:spacing w:after="0" w:line="240" w:lineRule="auto"/>
        <w:rPr>
          <w:rFonts w:eastAsia="Times New Roman" w:cs="Times New Roman"/>
          <w:snapToGrid w:val="0"/>
          <w:sz w:val="20"/>
          <w:szCs w:val="20"/>
          <w:lang w:val="en-US"/>
        </w:rPr>
      </w:pPr>
    </w:p>
    <w:p w14:paraId="01DFFEEB" w14:textId="77777777" w:rsidR="00463F43" w:rsidRDefault="00463F43" w:rsidP="00463F43">
      <w:pPr>
        <w:widowControl w:val="0"/>
        <w:spacing w:after="0" w:line="240" w:lineRule="auto"/>
        <w:rPr>
          <w:rFonts w:cstheme="minorHAnsi"/>
        </w:rPr>
      </w:pPr>
      <w:r w:rsidRPr="00ED674A">
        <w:rPr>
          <w:rFonts w:eastAsia="Times New Roman" w:cstheme="minorHAnsi"/>
          <w:i/>
          <w:iCs/>
          <w:snapToGrid w:val="0"/>
          <w:sz w:val="20"/>
          <w:szCs w:val="20"/>
          <w:lang w:val="en-US"/>
        </w:rPr>
        <w:t>Shading reflects the implementation complexity associated with potential regulatory changes and accreditation processes. Green – NIL regulatory changes required as testing is within current accreditation, blue –no regulatory oversight as testing performed oversea, orange – regulatory changes required, and accreditation processes may be protracted.</w:t>
      </w:r>
    </w:p>
    <w:p w14:paraId="09432C48" w14:textId="77777777" w:rsidR="00463F43" w:rsidRDefault="00463F43" w:rsidP="00463F43">
      <w:pPr>
        <w:rPr>
          <w:rFonts w:cstheme="minorHAnsi"/>
        </w:rPr>
        <w:sectPr w:rsidR="00463F43" w:rsidSect="00CE10A7">
          <w:pgSz w:w="16838" w:h="11906" w:orient="landscape"/>
          <w:pgMar w:top="1440" w:right="1440" w:bottom="993" w:left="1134" w:header="708" w:footer="708" w:gutter="0"/>
          <w:cols w:space="708"/>
          <w:docGrid w:linePitch="360"/>
        </w:sectPr>
      </w:pPr>
    </w:p>
    <w:p w14:paraId="71066E64" w14:textId="77777777" w:rsidR="00463F43" w:rsidRDefault="00463F43" w:rsidP="00463F43">
      <w:pPr>
        <w:pStyle w:val="Heading1"/>
      </w:pPr>
      <w:bookmarkStart w:id="23" w:name="_Toc134611357"/>
      <w:r>
        <w:t>Background</w:t>
      </w:r>
      <w:bookmarkEnd w:id="23"/>
    </w:p>
    <w:p w14:paraId="1EC5F7EB" w14:textId="77777777" w:rsidR="00463F43" w:rsidRDefault="00463F43" w:rsidP="00463F43">
      <w:r>
        <w:t>As outlined in the National Strategic Action Plan for Blood Cancer</w:t>
      </w:r>
      <w:r>
        <w:rPr>
          <w:rStyle w:val="FootnoteReference"/>
        </w:rPr>
        <w:footnoteReference w:id="11"/>
      </w:r>
      <w:r>
        <w:t xml:space="preserve">, the therapeutic landscape for haematological malignancies has rapidly expanded beyond solely chemotherapy over the last two decades to include chemo-immunotherapy regimens, chimeric antigen receptor-T-cells (CAR-T cells), and bi-specific antibody products. Despite the increase in registered and experimental therapeutic options for patients with haematological malignancy, HPC transplantation remains an essential (and sometimes only) therapeutic option for many patients, depending on disease-type, degree of response to prior line(s) of therapy and remaining therapeutic options. HPCs also provide a necessary option in the management of a range serious and/or life-threatening heritable conditions of bone marrow failure or immunodeficiency. </w:t>
      </w:r>
    </w:p>
    <w:p w14:paraId="2BC4B7D5" w14:textId="46BE8EBA" w:rsidR="00463F43" w:rsidRPr="003B5E0A" w:rsidRDefault="00463F43" w:rsidP="00463F43">
      <w:r>
        <w:t xml:space="preserve">The number of HPC </w:t>
      </w:r>
      <w:r w:rsidRPr="003B5E0A">
        <w:t>transplants performed for Australian paediatric and adult patients over a five</w:t>
      </w:r>
      <w:r w:rsidR="006D018C">
        <w:noBreakHyphen/>
      </w:r>
      <w:r w:rsidRPr="003B5E0A">
        <w:t xml:space="preserve">year period is shown in Table 3. </w:t>
      </w:r>
    </w:p>
    <w:p w14:paraId="34CD2877" w14:textId="77777777" w:rsidR="00463F43" w:rsidRPr="00656857" w:rsidRDefault="00463F43" w:rsidP="00463F43">
      <w:pPr>
        <w:pStyle w:val="Heading5"/>
        <w:jc w:val="center"/>
        <w:rPr>
          <w:b w:val="0"/>
          <w:bCs/>
        </w:rPr>
      </w:pPr>
      <w:r w:rsidRPr="003D1AD2">
        <w:t>Table 3. Proportional split of adult and paediatric HPC transplants over a 5-year reporting period.</w:t>
      </w:r>
      <w:r w:rsidRPr="003D1AD2">
        <w:rPr>
          <w:rStyle w:val="FootnoteReference"/>
          <w:b w:val="0"/>
          <w:bCs/>
        </w:rPr>
        <w:footnoteReference w:id="12"/>
      </w:r>
    </w:p>
    <w:tbl>
      <w:tblPr>
        <w:tblStyle w:val="TableGrid"/>
        <w:tblW w:w="0" w:type="auto"/>
        <w:tblInd w:w="421" w:type="dxa"/>
        <w:tblLook w:val="04A0" w:firstRow="1" w:lastRow="0" w:firstColumn="1" w:lastColumn="0" w:noHBand="0" w:noVBand="1"/>
      </w:tblPr>
      <w:tblGrid>
        <w:gridCol w:w="2057"/>
        <w:gridCol w:w="945"/>
        <w:gridCol w:w="945"/>
        <w:gridCol w:w="946"/>
        <w:gridCol w:w="1069"/>
        <w:gridCol w:w="1069"/>
        <w:gridCol w:w="1048"/>
      </w:tblGrid>
      <w:tr w:rsidR="00463F43" w14:paraId="7E919471" w14:textId="77777777" w:rsidTr="00CD3CD0">
        <w:trPr>
          <w:trHeight w:val="393"/>
        </w:trPr>
        <w:tc>
          <w:tcPr>
            <w:tcW w:w="20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63F03"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Recipient</w:t>
            </w:r>
          </w:p>
        </w:tc>
        <w:tc>
          <w:tcPr>
            <w:tcW w:w="49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C3181"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Year of HPC transplant</w:t>
            </w:r>
          </w:p>
        </w:tc>
        <w:tc>
          <w:tcPr>
            <w:tcW w:w="104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103EC6B"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Total</w:t>
            </w:r>
          </w:p>
        </w:tc>
      </w:tr>
      <w:tr w:rsidR="00463F43" w14:paraId="0E2CEABE" w14:textId="77777777" w:rsidTr="00CD3CD0">
        <w:trPr>
          <w:trHeight w:val="424"/>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31F8AF82" w14:textId="77777777" w:rsidR="00463F43" w:rsidRPr="004123EC" w:rsidRDefault="00463F43" w:rsidP="00CD3CD0">
            <w:pPr>
              <w:jc w:val="center"/>
              <w:rPr>
                <w:rFonts w:asciiTheme="minorHAnsi" w:hAnsiTheme="minorHAnsi" w:cstheme="minorHAnsi"/>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1DCD4"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2017</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17940"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2018</w:t>
            </w:r>
          </w:p>
        </w:tc>
        <w:tc>
          <w:tcPr>
            <w:tcW w:w="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543A0"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2019</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00D84"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2020</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136A39" w14:textId="77777777" w:rsidR="00463F43" w:rsidRPr="003D1AD2" w:rsidRDefault="00463F43" w:rsidP="00CD3CD0">
            <w:pPr>
              <w:jc w:val="center"/>
              <w:rPr>
                <w:rFonts w:asciiTheme="minorHAnsi" w:hAnsiTheme="minorHAnsi" w:cstheme="minorHAnsi"/>
                <w:b/>
                <w:bCs/>
                <w:sz w:val="22"/>
                <w:szCs w:val="22"/>
              </w:rPr>
            </w:pPr>
            <w:r w:rsidRPr="003D1AD2">
              <w:rPr>
                <w:rFonts w:asciiTheme="minorHAnsi" w:hAnsiTheme="minorHAnsi" w:cstheme="minorHAnsi"/>
                <w:b/>
                <w:bCs/>
                <w:sz w:val="22"/>
                <w:szCs w:val="22"/>
              </w:rPr>
              <w:t>2021</w:t>
            </w:r>
          </w:p>
        </w:tc>
        <w:tc>
          <w:tcPr>
            <w:tcW w:w="1048" w:type="dxa"/>
            <w:vMerge/>
            <w:tcBorders>
              <w:left w:val="single" w:sz="4" w:space="0" w:color="auto"/>
              <w:bottom w:val="single" w:sz="4" w:space="0" w:color="auto"/>
              <w:right w:val="single" w:sz="4" w:space="0" w:color="auto"/>
            </w:tcBorders>
            <w:vAlign w:val="center"/>
          </w:tcPr>
          <w:p w14:paraId="49DF14C7" w14:textId="77777777" w:rsidR="00463F43" w:rsidRPr="004123EC" w:rsidRDefault="00463F43" w:rsidP="00CD3CD0">
            <w:pPr>
              <w:jc w:val="center"/>
              <w:rPr>
                <w:rFonts w:asciiTheme="minorHAnsi" w:hAnsiTheme="minorHAnsi" w:cstheme="minorHAnsi"/>
                <w:sz w:val="20"/>
                <w:szCs w:val="20"/>
              </w:rPr>
            </w:pPr>
          </w:p>
        </w:tc>
      </w:tr>
      <w:tr w:rsidR="00463F43" w14:paraId="51A2F2A3" w14:textId="77777777" w:rsidTr="00CD3CD0">
        <w:trPr>
          <w:trHeight w:val="621"/>
        </w:trPr>
        <w:tc>
          <w:tcPr>
            <w:tcW w:w="2057" w:type="dxa"/>
            <w:tcBorders>
              <w:top w:val="single" w:sz="4" w:space="0" w:color="auto"/>
              <w:left w:val="single" w:sz="4" w:space="0" w:color="auto"/>
              <w:bottom w:val="single" w:sz="4" w:space="0" w:color="auto"/>
              <w:right w:val="single" w:sz="4" w:space="0" w:color="auto"/>
            </w:tcBorders>
            <w:vAlign w:val="center"/>
            <w:hideMark/>
          </w:tcPr>
          <w:p w14:paraId="6C362355"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Adult</w:t>
            </w:r>
          </w:p>
        </w:tc>
        <w:tc>
          <w:tcPr>
            <w:tcW w:w="945" w:type="dxa"/>
            <w:tcBorders>
              <w:top w:val="single" w:sz="4" w:space="0" w:color="auto"/>
              <w:left w:val="single" w:sz="4" w:space="0" w:color="auto"/>
              <w:bottom w:val="single" w:sz="4" w:space="0" w:color="auto"/>
              <w:right w:val="single" w:sz="4" w:space="0" w:color="auto"/>
            </w:tcBorders>
            <w:vAlign w:val="center"/>
            <w:hideMark/>
          </w:tcPr>
          <w:p w14:paraId="73F66970"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302</w:t>
            </w:r>
          </w:p>
        </w:tc>
        <w:tc>
          <w:tcPr>
            <w:tcW w:w="945" w:type="dxa"/>
            <w:tcBorders>
              <w:top w:val="single" w:sz="4" w:space="0" w:color="auto"/>
              <w:left w:val="single" w:sz="4" w:space="0" w:color="auto"/>
              <w:bottom w:val="single" w:sz="4" w:space="0" w:color="auto"/>
              <w:right w:val="single" w:sz="4" w:space="0" w:color="auto"/>
            </w:tcBorders>
            <w:vAlign w:val="center"/>
            <w:hideMark/>
          </w:tcPr>
          <w:p w14:paraId="4F37EDBD"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323</w:t>
            </w:r>
          </w:p>
        </w:tc>
        <w:tc>
          <w:tcPr>
            <w:tcW w:w="946" w:type="dxa"/>
            <w:tcBorders>
              <w:top w:val="single" w:sz="4" w:space="0" w:color="auto"/>
              <w:left w:val="single" w:sz="4" w:space="0" w:color="auto"/>
              <w:bottom w:val="single" w:sz="4" w:space="0" w:color="auto"/>
              <w:right w:val="single" w:sz="4" w:space="0" w:color="auto"/>
            </w:tcBorders>
            <w:vAlign w:val="center"/>
            <w:hideMark/>
          </w:tcPr>
          <w:p w14:paraId="2FA855D6"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344</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7F1B4FA"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350</w:t>
            </w:r>
          </w:p>
        </w:tc>
        <w:tc>
          <w:tcPr>
            <w:tcW w:w="1069" w:type="dxa"/>
            <w:tcBorders>
              <w:top w:val="single" w:sz="4" w:space="0" w:color="auto"/>
              <w:left w:val="single" w:sz="4" w:space="0" w:color="auto"/>
              <w:bottom w:val="single" w:sz="4" w:space="0" w:color="auto"/>
              <w:right w:val="single" w:sz="4" w:space="0" w:color="auto"/>
            </w:tcBorders>
            <w:vAlign w:val="center"/>
            <w:hideMark/>
          </w:tcPr>
          <w:p w14:paraId="3EB8CA8A"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485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EE34D" w14:textId="45753A75"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1</w:t>
            </w:r>
            <w:r w:rsidR="006D018C">
              <w:rPr>
                <w:rFonts w:asciiTheme="minorHAnsi" w:hAnsiTheme="minorHAnsi" w:cstheme="minorHAnsi"/>
                <w:sz w:val="22"/>
                <w:szCs w:val="22"/>
              </w:rPr>
              <w:t>,</w:t>
            </w:r>
            <w:r w:rsidRPr="003D1AD2">
              <w:rPr>
                <w:rFonts w:asciiTheme="minorHAnsi" w:hAnsiTheme="minorHAnsi" w:cstheme="minorHAnsi"/>
                <w:sz w:val="22"/>
                <w:szCs w:val="22"/>
              </w:rPr>
              <w:t>774</w:t>
            </w:r>
          </w:p>
        </w:tc>
      </w:tr>
      <w:tr w:rsidR="00463F43" w14:paraId="02D54F19" w14:textId="77777777" w:rsidTr="00CD3CD0">
        <w:trPr>
          <w:trHeight w:val="521"/>
        </w:trPr>
        <w:tc>
          <w:tcPr>
            <w:tcW w:w="2057" w:type="dxa"/>
            <w:tcBorders>
              <w:top w:val="single" w:sz="4" w:space="0" w:color="auto"/>
              <w:left w:val="single" w:sz="4" w:space="0" w:color="auto"/>
              <w:bottom w:val="single" w:sz="4" w:space="0" w:color="auto"/>
              <w:right w:val="single" w:sz="4" w:space="0" w:color="auto"/>
            </w:tcBorders>
            <w:vAlign w:val="center"/>
            <w:hideMark/>
          </w:tcPr>
          <w:p w14:paraId="7343461B"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Paediatric</w:t>
            </w:r>
          </w:p>
        </w:tc>
        <w:tc>
          <w:tcPr>
            <w:tcW w:w="945" w:type="dxa"/>
            <w:tcBorders>
              <w:top w:val="single" w:sz="4" w:space="0" w:color="auto"/>
              <w:left w:val="single" w:sz="4" w:space="0" w:color="auto"/>
              <w:bottom w:val="single" w:sz="4" w:space="0" w:color="auto"/>
              <w:right w:val="single" w:sz="4" w:space="0" w:color="auto"/>
            </w:tcBorders>
            <w:vAlign w:val="center"/>
            <w:hideMark/>
          </w:tcPr>
          <w:p w14:paraId="76E5736A"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74</w:t>
            </w:r>
          </w:p>
        </w:tc>
        <w:tc>
          <w:tcPr>
            <w:tcW w:w="945" w:type="dxa"/>
            <w:tcBorders>
              <w:top w:val="single" w:sz="4" w:space="0" w:color="auto"/>
              <w:left w:val="single" w:sz="4" w:space="0" w:color="auto"/>
              <w:bottom w:val="single" w:sz="4" w:space="0" w:color="auto"/>
              <w:right w:val="single" w:sz="4" w:space="0" w:color="auto"/>
            </w:tcBorders>
            <w:vAlign w:val="center"/>
            <w:hideMark/>
          </w:tcPr>
          <w:p w14:paraId="5B89A237"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78</w:t>
            </w:r>
          </w:p>
        </w:tc>
        <w:tc>
          <w:tcPr>
            <w:tcW w:w="946" w:type="dxa"/>
            <w:tcBorders>
              <w:top w:val="single" w:sz="4" w:space="0" w:color="auto"/>
              <w:left w:val="single" w:sz="4" w:space="0" w:color="auto"/>
              <w:bottom w:val="single" w:sz="4" w:space="0" w:color="auto"/>
              <w:right w:val="single" w:sz="4" w:space="0" w:color="auto"/>
            </w:tcBorders>
            <w:vAlign w:val="center"/>
            <w:hideMark/>
          </w:tcPr>
          <w:p w14:paraId="4A2109CC"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68</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081AD93"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68</w:t>
            </w:r>
          </w:p>
        </w:tc>
        <w:tc>
          <w:tcPr>
            <w:tcW w:w="1069" w:type="dxa"/>
            <w:tcBorders>
              <w:top w:val="single" w:sz="4" w:space="0" w:color="auto"/>
              <w:left w:val="single" w:sz="4" w:space="0" w:color="auto"/>
              <w:bottom w:val="single" w:sz="4" w:space="0" w:color="auto"/>
              <w:right w:val="single" w:sz="4" w:space="0" w:color="auto"/>
            </w:tcBorders>
            <w:vAlign w:val="center"/>
            <w:hideMark/>
          </w:tcPr>
          <w:p w14:paraId="39ECD1C5"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88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3845A9" w14:textId="77777777" w:rsidR="00463F43" w:rsidRPr="003D1AD2" w:rsidRDefault="00463F43" w:rsidP="00CD3CD0">
            <w:pPr>
              <w:jc w:val="center"/>
              <w:rPr>
                <w:rFonts w:asciiTheme="minorHAnsi" w:hAnsiTheme="minorHAnsi" w:cstheme="minorHAnsi"/>
                <w:sz w:val="22"/>
                <w:szCs w:val="22"/>
              </w:rPr>
            </w:pPr>
            <w:r w:rsidRPr="003D1AD2">
              <w:rPr>
                <w:rFonts w:asciiTheme="minorHAnsi" w:hAnsiTheme="minorHAnsi" w:cstheme="minorHAnsi"/>
                <w:sz w:val="22"/>
                <w:szCs w:val="22"/>
              </w:rPr>
              <w:t>376</w:t>
            </w:r>
          </w:p>
        </w:tc>
      </w:tr>
    </w:tbl>
    <w:p w14:paraId="4C48185F" w14:textId="77777777" w:rsidR="00463F43" w:rsidRDefault="00463F43" w:rsidP="00463F43"/>
    <w:p w14:paraId="04DBC764" w14:textId="5E23E233" w:rsidR="00463F43" w:rsidRDefault="00463F43" w:rsidP="00463F43">
      <w:r w:rsidRPr="005373DD">
        <w:t>Among all HPC transplants in Australia, an unrelated</w:t>
      </w:r>
      <w:r w:rsidR="006D018C">
        <w:t xml:space="preserve"> HPC</w:t>
      </w:r>
      <w:r w:rsidRPr="005373DD">
        <w:t xml:space="preserve"> donor is used in 70% of adult recipients and 80% of paediatric recipients.</w:t>
      </w:r>
      <w:r>
        <w:t xml:space="preserve"> Where a related </w:t>
      </w:r>
      <w:r w:rsidR="006D018C">
        <w:t xml:space="preserve">HPC </w:t>
      </w:r>
      <w:r>
        <w:t xml:space="preserve">donor is identified as an option for a patient, directed testing of their immediate family members is undertaken i.e. separate from general HPC donor recruitment. For adult transplant recipients using a related </w:t>
      </w:r>
      <w:r w:rsidR="006D018C">
        <w:t xml:space="preserve">HPC </w:t>
      </w:r>
      <w:r>
        <w:t xml:space="preserve">donor, most donations are from a child or sibling (77% total) whereas for paediatric recipients the parent comprises the largest </w:t>
      </w:r>
      <w:r w:rsidR="006D018C">
        <w:t xml:space="preserve">HPC </w:t>
      </w:r>
      <w:r>
        <w:t>donor source (80%)</w:t>
      </w:r>
      <w:r w:rsidRPr="003D1AD2">
        <w:rPr>
          <w:rStyle w:val="FootnoteReference"/>
          <w:bCs/>
        </w:rPr>
        <w:footnoteReference w:id="13"/>
      </w:r>
      <w:r>
        <w:t xml:space="preserve">. </w:t>
      </w:r>
    </w:p>
    <w:p w14:paraId="7E7CE765" w14:textId="522EA88C" w:rsidR="00463F43" w:rsidRDefault="00463F43" w:rsidP="00463F43">
      <w:r>
        <w:t xml:space="preserve">The clinically optimal demographic for unrelated HPC donors is males aged 18-35 years, as this age-group have been demonstrated to achieve improved transplant outcomes compared with those from older </w:t>
      </w:r>
      <w:r w:rsidR="006D018C">
        <w:t xml:space="preserve">HPC </w:t>
      </w:r>
      <w:r>
        <w:t>donors</w:t>
      </w:r>
      <w:r>
        <w:rPr>
          <w:rStyle w:val="FootnoteReference"/>
        </w:rPr>
        <w:footnoteReference w:id="14"/>
      </w:r>
      <w:r>
        <w:t xml:space="preserve">. The preference for males is related to their lower likelihood of being sensitised to allogeneic antigens compared to females who may have been pregnant. </w:t>
      </w:r>
    </w:p>
    <w:p w14:paraId="18C60402" w14:textId="77777777" w:rsidR="00463F43" w:rsidRPr="005110FF" w:rsidRDefault="00463F43" w:rsidP="00463F43">
      <w:pPr>
        <w:pStyle w:val="Heading2"/>
      </w:pPr>
      <w:bookmarkStart w:id="24" w:name="_Toc134611358"/>
      <w:r>
        <w:t>C</w:t>
      </w:r>
      <w:r w:rsidRPr="005110FF">
        <w:t>urrent national HPC registry size</w:t>
      </w:r>
      <w:bookmarkEnd w:id="24"/>
    </w:p>
    <w:p w14:paraId="7F946D01" w14:textId="05F87817" w:rsidR="00463F43" w:rsidRDefault="00463F43" w:rsidP="00463F43">
      <w:pPr>
        <w:rPr>
          <w:rFonts w:cstheme="minorHAnsi"/>
        </w:rPr>
      </w:pPr>
      <w:r>
        <w:rPr>
          <w:rFonts w:cstheme="minorHAnsi"/>
        </w:rPr>
        <w:t>In 2021, o</w:t>
      </w:r>
      <w:r w:rsidRPr="00D16648">
        <w:rPr>
          <w:rFonts w:cstheme="minorHAnsi"/>
        </w:rPr>
        <w:t xml:space="preserve">ver 70% of </w:t>
      </w:r>
      <w:r>
        <w:rPr>
          <w:rFonts w:cstheme="minorHAnsi"/>
        </w:rPr>
        <w:t xml:space="preserve">unrelated </w:t>
      </w:r>
      <w:r w:rsidRPr="00D16648">
        <w:rPr>
          <w:rFonts w:cstheme="minorHAnsi"/>
        </w:rPr>
        <w:t>HPC transplants in Australia use</w:t>
      </w:r>
      <w:r>
        <w:rPr>
          <w:rFonts w:cstheme="minorHAnsi"/>
        </w:rPr>
        <w:t>d</w:t>
      </w:r>
      <w:r w:rsidRPr="00D16648">
        <w:rPr>
          <w:rFonts w:cstheme="minorHAnsi"/>
        </w:rPr>
        <w:t xml:space="preserve"> internationally </w:t>
      </w:r>
      <w:r>
        <w:rPr>
          <w:rFonts w:cstheme="minorHAnsi"/>
        </w:rPr>
        <w:t>sourced</w:t>
      </w:r>
      <w:r w:rsidRPr="00D16648">
        <w:rPr>
          <w:rFonts w:cstheme="minorHAnsi"/>
        </w:rPr>
        <w:t xml:space="preserve"> HPCs</w:t>
      </w:r>
      <w:r>
        <w:rPr>
          <w:rFonts w:cstheme="minorHAnsi"/>
        </w:rPr>
        <w:t xml:space="preserve"> and</w:t>
      </w:r>
      <w:r w:rsidRPr="00D16648">
        <w:rPr>
          <w:rFonts w:cstheme="minorHAnsi"/>
        </w:rPr>
        <w:t xml:space="preserve"> only 11% of </w:t>
      </w:r>
      <w:r w:rsidR="006D018C">
        <w:rPr>
          <w:rFonts w:cstheme="minorHAnsi"/>
        </w:rPr>
        <w:t xml:space="preserve">HPC </w:t>
      </w:r>
      <w:r w:rsidRPr="00D16648">
        <w:rPr>
          <w:rFonts w:cstheme="minorHAnsi"/>
        </w:rPr>
        <w:t xml:space="preserve">donors on </w:t>
      </w:r>
      <w:r>
        <w:rPr>
          <w:rFonts w:cstheme="minorHAnsi"/>
        </w:rPr>
        <w:t>the national r</w:t>
      </w:r>
      <w:r w:rsidRPr="00D16648">
        <w:rPr>
          <w:rFonts w:cstheme="minorHAnsi"/>
        </w:rPr>
        <w:t xml:space="preserve">egistry </w:t>
      </w:r>
      <w:r>
        <w:rPr>
          <w:rFonts w:cstheme="minorHAnsi"/>
        </w:rPr>
        <w:t xml:space="preserve">were </w:t>
      </w:r>
      <w:r w:rsidRPr="00D16648">
        <w:rPr>
          <w:rFonts w:cstheme="minorHAnsi"/>
        </w:rPr>
        <w:t xml:space="preserve">the clinically desirable </w:t>
      </w:r>
      <w:r>
        <w:rPr>
          <w:rFonts w:cstheme="minorHAnsi"/>
        </w:rPr>
        <w:t xml:space="preserve">demographic of </w:t>
      </w:r>
      <w:r w:rsidRPr="00D16648">
        <w:rPr>
          <w:rFonts w:cstheme="minorHAnsi"/>
        </w:rPr>
        <w:t>18</w:t>
      </w:r>
      <w:r w:rsidR="006D018C">
        <w:rPr>
          <w:rFonts w:cstheme="minorHAnsi"/>
        </w:rPr>
        <w:noBreakHyphen/>
      </w:r>
      <w:r w:rsidR="006D018C" w:rsidRPr="00D16648">
        <w:rPr>
          <w:rFonts w:cstheme="minorHAnsi"/>
        </w:rPr>
        <w:t>35</w:t>
      </w:r>
      <w:r w:rsidR="006D018C">
        <w:rPr>
          <w:rFonts w:cstheme="minorHAnsi"/>
        </w:rPr>
        <w:t> </w:t>
      </w:r>
      <w:r w:rsidRPr="00D16648">
        <w:rPr>
          <w:rFonts w:cstheme="minorHAnsi"/>
        </w:rPr>
        <w:t>year</w:t>
      </w:r>
      <w:r w:rsidR="003250DB">
        <w:rPr>
          <w:rFonts w:cstheme="minorHAnsi"/>
        </w:rPr>
        <w:t>-</w:t>
      </w:r>
      <w:r w:rsidRPr="00D16648">
        <w:rPr>
          <w:rFonts w:cstheme="minorHAnsi"/>
        </w:rPr>
        <w:t>old males</w:t>
      </w:r>
      <w:r>
        <w:rPr>
          <w:rFonts w:cstheme="minorHAnsi"/>
        </w:rPr>
        <w:t xml:space="preserve"> (preferred demographic)</w:t>
      </w:r>
      <w:r>
        <w:rPr>
          <w:rStyle w:val="FootnoteReference"/>
          <w:rFonts w:cstheme="minorHAnsi"/>
        </w:rPr>
        <w:footnoteReference w:id="15"/>
      </w:r>
      <w:r w:rsidRPr="00D16648">
        <w:rPr>
          <w:rFonts w:cstheme="minorHAnsi"/>
        </w:rPr>
        <w:t>.</w:t>
      </w:r>
      <w:r>
        <w:rPr>
          <w:rFonts w:cstheme="minorHAnsi"/>
        </w:rPr>
        <w:t xml:space="preserve"> </w:t>
      </w:r>
    </w:p>
    <w:p w14:paraId="7C26CCF9" w14:textId="32517813" w:rsidR="00463F43" w:rsidRDefault="00463F43" w:rsidP="00463F43">
      <w:pPr>
        <w:rPr>
          <w:rFonts w:cstheme="minorHAnsi"/>
        </w:rPr>
      </w:pPr>
      <w:r>
        <w:rPr>
          <w:rFonts w:cstheme="minorHAnsi"/>
        </w:rPr>
        <w:t>During 2022, the ABMDR commenced an “outreach program” to identify donors on the</w:t>
      </w:r>
      <w:r w:rsidR="006D018C">
        <w:rPr>
          <w:rFonts w:cstheme="minorHAnsi"/>
        </w:rPr>
        <w:t xml:space="preserve"> national</w:t>
      </w:r>
      <w:r>
        <w:rPr>
          <w:rFonts w:cstheme="minorHAnsi"/>
        </w:rPr>
        <w:t xml:space="preserve"> registry that were uncontactable or who wished to be removed from the </w:t>
      </w:r>
      <w:r w:rsidR="006D018C">
        <w:rPr>
          <w:rFonts w:cstheme="minorHAnsi"/>
        </w:rPr>
        <w:t xml:space="preserve">national </w:t>
      </w:r>
      <w:r>
        <w:rPr>
          <w:rFonts w:cstheme="minorHAnsi"/>
        </w:rPr>
        <w:t xml:space="preserve">registry as part of national registry maintenance. </w:t>
      </w:r>
    </w:p>
    <w:p w14:paraId="77927858" w14:textId="19AAFF0E" w:rsidR="00463F43" w:rsidRDefault="00463F43" w:rsidP="00463F43">
      <w:pPr>
        <w:rPr>
          <w:rFonts w:cstheme="minorHAnsi"/>
        </w:rPr>
      </w:pPr>
      <w:r>
        <w:rPr>
          <w:rFonts w:cstheme="minorHAnsi"/>
        </w:rPr>
        <w:t xml:space="preserve">The ABMDR most recently reported the adult </w:t>
      </w:r>
      <w:r w:rsidR="006D018C">
        <w:rPr>
          <w:rFonts w:cstheme="minorHAnsi"/>
        </w:rPr>
        <w:t xml:space="preserve">HPC </w:t>
      </w:r>
      <w:r>
        <w:rPr>
          <w:rFonts w:cstheme="minorHAnsi"/>
        </w:rPr>
        <w:t>donor registry size, as of 31 December 2022, as comprising 176,537 donors. However, following removal of donors who were uncontactable or wished to be removed, the effective total donor registry size will be 131,806 donors, with 52,834 (40.1%) donors being the preferred demographic. The current gender split of the 18-35</w:t>
      </w:r>
      <w:r w:rsidR="006D018C">
        <w:rPr>
          <w:rFonts w:cstheme="minorHAnsi"/>
        </w:rPr>
        <w:t xml:space="preserve"> </w:t>
      </w:r>
      <w:r>
        <w:rPr>
          <w:rFonts w:cstheme="minorHAnsi"/>
        </w:rPr>
        <w:t>y</w:t>
      </w:r>
      <w:r w:rsidR="006D018C">
        <w:rPr>
          <w:rFonts w:cstheme="minorHAnsi"/>
        </w:rPr>
        <w:t>ea</w:t>
      </w:r>
      <w:r>
        <w:rPr>
          <w:rFonts w:cstheme="minorHAnsi"/>
        </w:rPr>
        <w:t>r old donors is 40% male 60% female.</w:t>
      </w:r>
    </w:p>
    <w:p w14:paraId="491FCCF7" w14:textId="2823B930" w:rsidR="00463F43" w:rsidRDefault="00463F43" w:rsidP="00463F43">
      <w:r>
        <w:t xml:space="preserve">Data from the WMDA (Figure 1, provided by ABMDR) illustrates countries with comparable health systems to Australia whose registries comprise of preferred donors at between 0.4-0.6% of the national population, equivalent to an Australian pool of 125,000 to 200,000 individuals. Each country determines the age-range of HPC recruits and </w:t>
      </w:r>
      <w:r w:rsidR="006D018C">
        <w:t xml:space="preserve">donor </w:t>
      </w:r>
      <w:r>
        <w:t xml:space="preserve">recruitment strategies considered appropriate for its own population mix and likelihood of identifying a matched HPC </w:t>
      </w:r>
      <w:r w:rsidR="006D018C">
        <w:t>donor</w:t>
      </w:r>
      <w:r>
        <w:t>.</w:t>
      </w:r>
    </w:p>
    <w:p w14:paraId="64070974" w14:textId="77777777" w:rsidR="00463F43" w:rsidRDefault="00463F43" w:rsidP="00463F43">
      <w:pPr>
        <w:pStyle w:val="Heading5"/>
        <w:jc w:val="center"/>
      </w:pPr>
      <w:r>
        <w:rPr>
          <w:noProof/>
        </w:rPr>
        <w:drawing>
          <wp:anchor distT="0" distB="0" distL="114300" distR="114300" simplePos="0" relativeHeight="251660288" behindDoc="1" locked="0" layoutInCell="1" allowOverlap="1" wp14:anchorId="1C8057E0" wp14:editId="02B7DC7C">
            <wp:simplePos x="0" y="0"/>
            <wp:positionH relativeFrom="margin">
              <wp:align>left</wp:align>
            </wp:positionH>
            <wp:positionV relativeFrom="paragraph">
              <wp:posOffset>522533</wp:posOffset>
            </wp:positionV>
            <wp:extent cx="6218555" cy="3016250"/>
            <wp:effectExtent l="0" t="0" r="0" b="0"/>
            <wp:wrapTight wrapText="bothSides">
              <wp:wrapPolygon edited="0">
                <wp:start x="0" y="0"/>
                <wp:lineTo x="0" y="21418"/>
                <wp:lineTo x="21505" y="21418"/>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8555" cy="3016250"/>
                    </a:xfrm>
                    <a:prstGeom prst="rect">
                      <a:avLst/>
                    </a:prstGeom>
                    <a:noFill/>
                  </pic:spPr>
                </pic:pic>
              </a:graphicData>
            </a:graphic>
            <wp14:sizeRelH relativeFrom="page">
              <wp14:pctWidth>0</wp14:pctWidth>
            </wp14:sizeRelH>
            <wp14:sizeRelV relativeFrom="page">
              <wp14:pctHeight>0</wp14:pctHeight>
            </wp14:sizeRelV>
          </wp:anchor>
        </w:drawing>
      </w:r>
      <w:r w:rsidRPr="004123EC">
        <w:t>Figure 1</w:t>
      </w:r>
      <w:r>
        <w:t xml:space="preserve">. Preferred donor cohort as a proportion of the national population by country and recruitment method </w:t>
      </w:r>
      <w:r w:rsidRPr="004123EC">
        <w:t>(average 2016 to 2020)</w:t>
      </w:r>
      <w:r>
        <w:t xml:space="preserve">. </w:t>
      </w:r>
      <w:r>
        <w:rPr>
          <w:rStyle w:val="FootnoteReference"/>
        </w:rPr>
        <w:footnoteReference w:id="16"/>
      </w:r>
    </w:p>
    <w:p w14:paraId="7D028C4A" w14:textId="77777777" w:rsidR="00463F43" w:rsidRDefault="00463F43" w:rsidP="00463F43"/>
    <w:p w14:paraId="65CCFB53" w14:textId="77777777" w:rsidR="00463F43" w:rsidRDefault="00463F43" w:rsidP="00463F43">
      <w:pPr>
        <w:pStyle w:val="Heading2"/>
      </w:pPr>
      <w:bookmarkStart w:id="25" w:name="_Toc134611359"/>
      <w:r>
        <w:t>Current Australian HPC recruitment strategy</w:t>
      </w:r>
      <w:bookmarkEnd w:id="25"/>
    </w:p>
    <w:p w14:paraId="03D29684" w14:textId="77777777" w:rsidR="00463F43" w:rsidRDefault="00463F43" w:rsidP="00463F43">
      <w:r>
        <w:t>The Australian haematology and HPC recruitment sectors are inextricably linked to the domestic supply, and demand for, blood and blood-related products. All non-HPC treatment options in the management of blood cancers risk suppression across one or more cell lines, requiring management with blood-group matched red cells, tissue-typed platelets, immunoglobulin, or other blood-related products. Lifeblood has recruited approximately 90% of all HPC registrants, with the remainder through ABMDR-led buccal swab activities. The current recruitment strategies through Lifeblood and ABMDR, showing the relationship with other Lifeblood donor activity is shown in Figure 2.</w:t>
      </w:r>
    </w:p>
    <w:p w14:paraId="40E506FE" w14:textId="77777777" w:rsidR="00463F43" w:rsidRDefault="00463F43" w:rsidP="00463F43"/>
    <w:p w14:paraId="2D4A0B3A" w14:textId="77777777" w:rsidR="00463F43" w:rsidRDefault="00463F43" w:rsidP="00463F43">
      <w:pPr>
        <w:pStyle w:val="Heading5"/>
        <w:jc w:val="center"/>
      </w:pPr>
      <w:r>
        <w:t xml:space="preserve">Figure 2. </w:t>
      </w:r>
      <w:r w:rsidRPr="00A42F6F">
        <w:t>Schematic of current HPC and blood donor recruitment</w:t>
      </w:r>
    </w:p>
    <w:p w14:paraId="0C9D7874" w14:textId="77777777" w:rsidR="00463F43" w:rsidRDefault="00463F43" w:rsidP="00463F43">
      <w:r w:rsidRPr="00A42F6F">
        <w:rPr>
          <w:rFonts w:ascii="Calibri" w:eastAsia="Calibri" w:hAnsi="Calibri" w:cs="Times New Roman"/>
          <w:noProof/>
        </w:rPr>
        <mc:AlternateContent>
          <mc:Choice Requires="wpc">
            <w:drawing>
              <wp:inline distT="0" distB="0" distL="0" distR="0" wp14:anchorId="629225AF" wp14:editId="1BBCA3F7">
                <wp:extent cx="6438900" cy="5158740"/>
                <wp:effectExtent l="0" t="0" r="19050" b="3810"/>
                <wp:docPr id="151" name="Canvas 10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13" name="Text Box 44"/>
                        <wps:cNvSpPr txBox="1">
                          <a:spLocks noChangeArrowheads="1"/>
                        </wps:cNvSpPr>
                        <wps:spPr bwMode="auto">
                          <a:xfrm>
                            <a:off x="285400" y="3819145"/>
                            <a:ext cx="762000" cy="466705"/>
                          </a:xfrm>
                          <a:prstGeom prst="rect">
                            <a:avLst/>
                          </a:prstGeom>
                          <a:solidFill>
                            <a:srgbClr val="FFFFFF"/>
                          </a:solidFill>
                          <a:ln w="6350">
                            <a:solidFill>
                              <a:srgbClr val="000000"/>
                            </a:solidFill>
                            <a:miter lim="800000"/>
                            <a:headEnd/>
                            <a:tailEnd/>
                          </a:ln>
                        </wps:spPr>
                        <wps:txbx>
                          <w:txbxContent>
                            <w:p w14:paraId="43FD8E46" w14:textId="77777777" w:rsidR="00463F43" w:rsidRDefault="00463F43" w:rsidP="00463F43">
                              <w:pPr>
                                <w:jc w:val="center"/>
                                <w:rPr>
                                  <w:sz w:val="20"/>
                                  <w:szCs w:val="20"/>
                                </w:rPr>
                              </w:pPr>
                              <w:r>
                                <w:rPr>
                                  <w:sz w:val="20"/>
                                  <w:szCs w:val="20"/>
                                </w:rPr>
                                <w:t>ABMDR activity</w:t>
                              </w:r>
                            </w:p>
                          </w:txbxContent>
                        </wps:txbx>
                        <wps:bodyPr rot="0" vert="horz" wrap="square" lIns="91440" tIns="45720" rIns="91440" bIns="45720" anchor="t" anchorCtr="0" upright="1">
                          <a:noAutofit/>
                        </wps:bodyPr>
                      </wps:wsp>
                      <wps:wsp>
                        <wps:cNvPr id="114" name="Text Box 45"/>
                        <wps:cNvSpPr txBox="1">
                          <a:spLocks noChangeArrowheads="1"/>
                        </wps:cNvSpPr>
                        <wps:spPr bwMode="auto">
                          <a:xfrm>
                            <a:off x="234194" y="1766421"/>
                            <a:ext cx="762000" cy="476306"/>
                          </a:xfrm>
                          <a:prstGeom prst="rect">
                            <a:avLst/>
                          </a:prstGeom>
                          <a:solidFill>
                            <a:srgbClr val="FFFFFF"/>
                          </a:solidFill>
                          <a:ln w="6350">
                            <a:solidFill>
                              <a:srgbClr val="000000"/>
                            </a:solidFill>
                            <a:miter lim="800000"/>
                            <a:headEnd/>
                            <a:tailEnd/>
                          </a:ln>
                        </wps:spPr>
                        <wps:txbx>
                          <w:txbxContent>
                            <w:p w14:paraId="700FDA1B" w14:textId="77777777" w:rsidR="00463F43" w:rsidRDefault="00463F43" w:rsidP="00463F43">
                              <w:pPr>
                                <w:rPr>
                                  <w:sz w:val="20"/>
                                  <w:szCs w:val="20"/>
                                </w:rPr>
                              </w:pPr>
                              <w:r>
                                <w:rPr>
                                  <w:sz w:val="20"/>
                                  <w:szCs w:val="20"/>
                                </w:rPr>
                                <w:t>Lifeblood attendees</w:t>
                              </w:r>
                            </w:p>
                          </w:txbxContent>
                        </wps:txbx>
                        <wps:bodyPr rot="0" vert="horz" wrap="square" lIns="91440" tIns="45720" rIns="91440" bIns="45720" anchor="t" anchorCtr="0" upright="1">
                          <a:noAutofit/>
                        </wps:bodyPr>
                      </wps:wsp>
                      <wps:wsp>
                        <wps:cNvPr id="117" name="Text Box 48"/>
                        <wps:cNvSpPr txBox="1">
                          <a:spLocks noChangeArrowheads="1"/>
                        </wps:cNvSpPr>
                        <wps:spPr bwMode="auto">
                          <a:xfrm>
                            <a:off x="1790700" y="3159437"/>
                            <a:ext cx="1933500" cy="435805"/>
                          </a:xfrm>
                          <a:prstGeom prst="rect">
                            <a:avLst/>
                          </a:prstGeom>
                          <a:solidFill>
                            <a:srgbClr val="FFFFFF"/>
                          </a:solidFill>
                          <a:ln w="6350">
                            <a:solidFill>
                              <a:srgbClr val="000000"/>
                            </a:solidFill>
                            <a:miter lim="800000"/>
                            <a:headEnd/>
                            <a:tailEnd/>
                          </a:ln>
                        </wps:spPr>
                        <wps:txbx>
                          <w:txbxContent>
                            <w:p w14:paraId="4C6B21DB" w14:textId="77777777" w:rsidR="00463F43" w:rsidRDefault="00463F43" w:rsidP="00463F43">
                              <w:pPr>
                                <w:rPr>
                                  <w:sz w:val="20"/>
                                  <w:szCs w:val="20"/>
                                </w:rPr>
                              </w:pPr>
                              <w:r>
                                <w:rPr>
                                  <w:sz w:val="20"/>
                                  <w:szCs w:val="20"/>
                                </w:rPr>
                                <w:t>New HPC recruit (Blood-based testing: LB PQ PW)</w:t>
                              </w:r>
                            </w:p>
                          </w:txbxContent>
                        </wps:txbx>
                        <wps:bodyPr rot="0" vert="horz" wrap="square" lIns="91440" tIns="45720" rIns="91440" bIns="45720" anchor="t" anchorCtr="0" upright="1">
                          <a:noAutofit/>
                        </wps:bodyPr>
                      </wps:wsp>
                      <wps:wsp>
                        <wps:cNvPr id="118" name="Text Box 49"/>
                        <wps:cNvSpPr txBox="1">
                          <a:spLocks noChangeArrowheads="1"/>
                        </wps:cNvSpPr>
                        <wps:spPr bwMode="auto">
                          <a:xfrm>
                            <a:off x="1790700" y="166202"/>
                            <a:ext cx="1933500" cy="633907"/>
                          </a:xfrm>
                          <a:prstGeom prst="rect">
                            <a:avLst/>
                          </a:prstGeom>
                          <a:solidFill>
                            <a:srgbClr val="FFFFFF"/>
                          </a:solidFill>
                          <a:ln w="6350">
                            <a:solidFill>
                              <a:srgbClr val="000000"/>
                            </a:solidFill>
                            <a:miter lim="800000"/>
                            <a:headEnd/>
                            <a:tailEnd/>
                          </a:ln>
                        </wps:spPr>
                        <wps:txbx>
                          <w:txbxContent>
                            <w:p w14:paraId="7A3B6F74" w14:textId="77777777" w:rsidR="00463F43" w:rsidRDefault="00463F43" w:rsidP="00463F43">
                              <w:pPr>
                                <w:rPr>
                                  <w:sz w:val="20"/>
                                  <w:szCs w:val="20"/>
                                </w:rPr>
                              </w:pPr>
                              <w:r>
                                <w:rPr>
                                  <w:sz w:val="20"/>
                                  <w:szCs w:val="20"/>
                                </w:rPr>
                                <w:t>Existing blood donor</w:t>
                              </w:r>
                            </w:p>
                          </w:txbxContent>
                        </wps:txbx>
                        <wps:bodyPr rot="0" vert="horz" wrap="square" lIns="91440" tIns="45720" rIns="91440" bIns="45720" anchor="t" anchorCtr="0" upright="1">
                          <a:noAutofit/>
                        </wps:bodyPr>
                      </wps:wsp>
                      <wps:wsp>
                        <wps:cNvPr id="119" name="Text Box 50"/>
                        <wps:cNvSpPr txBox="1">
                          <a:spLocks noChangeArrowheads="1"/>
                        </wps:cNvSpPr>
                        <wps:spPr bwMode="auto">
                          <a:xfrm>
                            <a:off x="1791100" y="2004523"/>
                            <a:ext cx="1933600" cy="443405"/>
                          </a:xfrm>
                          <a:prstGeom prst="rect">
                            <a:avLst/>
                          </a:prstGeom>
                          <a:solidFill>
                            <a:srgbClr val="FFFFFF"/>
                          </a:solidFill>
                          <a:ln w="6350">
                            <a:solidFill>
                              <a:srgbClr val="000000"/>
                            </a:solidFill>
                            <a:miter lim="800000"/>
                            <a:headEnd/>
                            <a:tailEnd/>
                          </a:ln>
                        </wps:spPr>
                        <wps:txbx>
                          <w:txbxContent>
                            <w:p w14:paraId="2232E3F5" w14:textId="77777777" w:rsidR="00463F43" w:rsidRDefault="00463F43" w:rsidP="00463F43">
                              <w:r>
                                <w:rPr>
                                  <w:sz w:val="20"/>
                                  <w:szCs w:val="20"/>
                                </w:rPr>
                                <w:t>New Blood &amp; Platelet donor (male only, HLA tested 2Field +G)</w:t>
                              </w:r>
                            </w:p>
                          </w:txbxContent>
                        </wps:txbx>
                        <wps:bodyPr rot="0" vert="horz" wrap="square" lIns="91440" tIns="45720" rIns="91440" bIns="45720" anchor="t" anchorCtr="0" upright="1">
                          <a:noAutofit/>
                        </wps:bodyPr>
                      </wps:wsp>
                      <wps:wsp>
                        <wps:cNvPr id="120" name="Text Box 12"/>
                        <wps:cNvSpPr txBox="1">
                          <a:spLocks noChangeArrowheads="1"/>
                        </wps:cNvSpPr>
                        <wps:spPr bwMode="auto">
                          <a:xfrm>
                            <a:off x="1791100" y="1463317"/>
                            <a:ext cx="1933100" cy="440105"/>
                          </a:xfrm>
                          <a:prstGeom prst="rect">
                            <a:avLst/>
                          </a:prstGeom>
                          <a:solidFill>
                            <a:srgbClr val="FFFFFF"/>
                          </a:solidFill>
                          <a:ln w="6350">
                            <a:solidFill>
                              <a:srgbClr val="000000"/>
                            </a:solidFill>
                            <a:miter lim="800000"/>
                            <a:headEnd/>
                            <a:tailEnd/>
                          </a:ln>
                        </wps:spPr>
                        <wps:txbx>
                          <w:txbxContent>
                            <w:p w14:paraId="1C2E8847" w14:textId="77777777" w:rsidR="00463F43" w:rsidRDefault="00463F43" w:rsidP="00463F43">
                              <w:pPr>
                                <w:spacing w:line="254" w:lineRule="auto"/>
                                <w:rPr>
                                  <w:sz w:val="20"/>
                                  <w:szCs w:val="20"/>
                                </w:rPr>
                              </w:pPr>
                              <w:r>
                                <w:rPr>
                                  <w:sz w:val="20"/>
                                  <w:szCs w:val="20"/>
                                </w:rPr>
                                <w:t>New Blood &amp; Blood-related product donor</w:t>
                              </w:r>
                            </w:p>
                          </w:txbxContent>
                        </wps:txbx>
                        <wps:bodyPr rot="0" vert="horz" wrap="square" lIns="91440" tIns="45720" rIns="91440" bIns="45720" anchor="t" anchorCtr="0" upright="1">
                          <a:noAutofit/>
                        </wps:bodyPr>
                      </wps:wsp>
                      <wps:wsp>
                        <wps:cNvPr id="123" name="Straight Arrow Connector 54"/>
                        <wps:cNvCnPr>
                          <a:cxnSpLocks noChangeShapeType="1"/>
                          <a:stCxn id="113" idx="3"/>
                          <a:endCxn id="124" idx="1"/>
                        </wps:cNvCnPr>
                        <wps:spPr bwMode="auto">
                          <a:xfrm flipV="1">
                            <a:off x="1047400" y="4051742"/>
                            <a:ext cx="743700" cy="756"/>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4" name="Text Box 55"/>
                        <wps:cNvSpPr txBox="1">
                          <a:spLocks noChangeArrowheads="1"/>
                        </wps:cNvSpPr>
                        <wps:spPr bwMode="auto">
                          <a:xfrm>
                            <a:off x="1791100" y="3839789"/>
                            <a:ext cx="1933100" cy="423905"/>
                          </a:xfrm>
                          <a:prstGeom prst="rect">
                            <a:avLst/>
                          </a:prstGeom>
                          <a:solidFill>
                            <a:srgbClr val="FFFFFF"/>
                          </a:solidFill>
                          <a:ln w="6350">
                            <a:solidFill>
                              <a:srgbClr val="000000"/>
                            </a:solidFill>
                            <a:miter lim="800000"/>
                            <a:headEnd/>
                            <a:tailEnd/>
                          </a:ln>
                        </wps:spPr>
                        <wps:txbx>
                          <w:txbxContent>
                            <w:p w14:paraId="5F2CCC0D" w14:textId="77777777" w:rsidR="00463F43" w:rsidRDefault="00463F43" w:rsidP="00463F43">
                              <w:pPr>
                                <w:rPr>
                                  <w:sz w:val="20"/>
                                  <w:szCs w:val="20"/>
                                </w:rPr>
                              </w:pPr>
                              <w:r>
                                <w:rPr>
                                  <w:sz w:val="20"/>
                                  <w:szCs w:val="20"/>
                                </w:rPr>
                                <w:t>New HPC recruit (buccal swab testing overseas)</w:t>
                              </w:r>
                            </w:p>
                          </w:txbxContent>
                        </wps:txbx>
                        <wps:bodyPr rot="0" vert="horz" wrap="square" lIns="91440" tIns="45720" rIns="91440" bIns="45720" anchor="t" anchorCtr="0" upright="1">
                          <a:noAutofit/>
                        </wps:bodyPr>
                      </wps:wsp>
                      <wps:wsp>
                        <wps:cNvPr id="125" name="Text Box 11"/>
                        <wps:cNvSpPr txBox="1">
                          <a:spLocks noChangeArrowheads="1"/>
                        </wps:cNvSpPr>
                        <wps:spPr bwMode="auto">
                          <a:xfrm>
                            <a:off x="1790700" y="2603630"/>
                            <a:ext cx="1934000" cy="429605"/>
                          </a:xfrm>
                          <a:prstGeom prst="rect">
                            <a:avLst/>
                          </a:prstGeom>
                          <a:solidFill>
                            <a:srgbClr val="FFFFFF"/>
                          </a:solidFill>
                          <a:ln w="6350">
                            <a:solidFill>
                              <a:srgbClr val="000000"/>
                            </a:solidFill>
                            <a:miter lim="800000"/>
                            <a:headEnd/>
                            <a:tailEnd/>
                          </a:ln>
                        </wps:spPr>
                        <wps:txbx>
                          <w:txbxContent>
                            <w:p w14:paraId="266CA1A1" w14:textId="77777777" w:rsidR="00463F43" w:rsidRDefault="00463F43" w:rsidP="00463F43">
                              <w:pPr>
                                <w:rPr>
                                  <w:sz w:val="20"/>
                                  <w:szCs w:val="20"/>
                                </w:rPr>
                              </w:pPr>
                              <w:r>
                                <w:rPr>
                                  <w:sz w:val="20"/>
                                  <w:szCs w:val="20"/>
                                </w:rPr>
                                <w:t>New Blood donor &amp; HPC recruit (Blood-based testing: LB PQ PW)</w:t>
                              </w:r>
                            </w:p>
                          </w:txbxContent>
                        </wps:txbx>
                        <wps:bodyPr rot="0" vert="horz" wrap="square" lIns="91440" tIns="45720" rIns="91440" bIns="45720" anchor="t" anchorCtr="0" upright="1">
                          <a:noAutofit/>
                        </wps:bodyPr>
                      </wps:wsp>
                      <wps:wsp>
                        <wps:cNvPr id="132" name="Text Box 63"/>
                        <wps:cNvSpPr txBox="1">
                          <a:spLocks noChangeArrowheads="1"/>
                        </wps:cNvSpPr>
                        <wps:spPr bwMode="auto">
                          <a:xfrm>
                            <a:off x="5646420" y="106680"/>
                            <a:ext cx="792480" cy="1531620"/>
                          </a:xfrm>
                          <a:prstGeom prst="rect">
                            <a:avLst/>
                          </a:prstGeom>
                          <a:solidFill>
                            <a:srgbClr val="FFFFFF"/>
                          </a:solidFill>
                          <a:ln w="6350">
                            <a:solidFill>
                              <a:srgbClr val="000000"/>
                            </a:solidFill>
                            <a:miter lim="800000"/>
                            <a:headEnd/>
                            <a:tailEnd/>
                          </a:ln>
                        </wps:spPr>
                        <wps:txbx>
                          <w:txbxContent>
                            <w:p w14:paraId="6CDDBBF6" w14:textId="77777777" w:rsidR="00463F43" w:rsidRDefault="00463F43" w:rsidP="00463F43">
                              <w:pPr>
                                <w:rPr>
                                  <w:sz w:val="20"/>
                                  <w:szCs w:val="20"/>
                                </w:rPr>
                              </w:pPr>
                              <w:r>
                                <w:rPr>
                                  <w:sz w:val="20"/>
                                  <w:szCs w:val="20"/>
                                </w:rPr>
                                <w:t>Blood donor registry</w:t>
                              </w:r>
                            </w:p>
                            <w:p w14:paraId="1180ABD4" w14:textId="77777777" w:rsidR="00463F43" w:rsidRDefault="00463F43" w:rsidP="00463F43">
                              <w:pPr>
                                <w:rPr>
                                  <w:sz w:val="20"/>
                                  <w:szCs w:val="20"/>
                                </w:rPr>
                              </w:pPr>
                              <w:r>
                                <w:rPr>
                                  <w:sz w:val="20"/>
                                  <w:szCs w:val="20"/>
                                </w:rPr>
                                <w:t xml:space="preserve">Antibody register </w:t>
                              </w:r>
                            </w:p>
                            <w:p w14:paraId="104CA761" w14:textId="77777777" w:rsidR="00463F43" w:rsidRDefault="00463F43" w:rsidP="00463F43">
                              <w:pPr>
                                <w:rPr>
                                  <w:sz w:val="20"/>
                                  <w:szCs w:val="20"/>
                                </w:rPr>
                              </w:pPr>
                              <w:r>
                                <w:rPr>
                                  <w:sz w:val="20"/>
                                  <w:szCs w:val="20"/>
                                </w:rPr>
                                <w:t>Platelet registry</w:t>
                              </w:r>
                            </w:p>
                            <w:p w14:paraId="67BDF307" w14:textId="77777777" w:rsidR="00463F43" w:rsidRDefault="00463F43" w:rsidP="00463F43">
                              <w:pPr>
                                <w:rPr>
                                  <w:sz w:val="20"/>
                                  <w:szCs w:val="20"/>
                                </w:rPr>
                              </w:pPr>
                            </w:p>
                          </w:txbxContent>
                        </wps:txbx>
                        <wps:bodyPr rot="0" vert="horz" wrap="square" lIns="91440" tIns="45720" rIns="91440" bIns="45720" anchor="t" anchorCtr="0" upright="1">
                          <a:noAutofit/>
                        </wps:bodyPr>
                      </wps:wsp>
                      <wps:wsp>
                        <wps:cNvPr id="141" name="Text Box 93"/>
                        <wps:cNvSpPr txBox="1">
                          <a:spLocks noChangeArrowheads="1"/>
                        </wps:cNvSpPr>
                        <wps:spPr bwMode="auto">
                          <a:xfrm>
                            <a:off x="8300" y="247603"/>
                            <a:ext cx="1285900" cy="450405"/>
                          </a:xfrm>
                          <a:prstGeom prst="rect">
                            <a:avLst/>
                          </a:prstGeom>
                          <a:solidFill>
                            <a:srgbClr val="FFFFFF"/>
                          </a:solidFill>
                          <a:ln w="6350">
                            <a:solidFill>
                              <a:srgbClr val="000000"/>
                            </a:solidFill>
                            <a:miter lim="800000"/>
                            <a:headEnd/>
                            <a:tailEnd/>
                          </a:ln>
                        </wps:spPr>
                        <wps:txbx>
                          <w:txbxContent>
                            <w:p w14:paraId="7E130C0B" w14:textId="77777777" w:rsidR="00463F43" w:rsidRDefault="00463F43" w:rsidP="00463F43">
                              <w:pPr>
                                <w:jc w:val="center"/>
                                <w:rPr>
                                  <w:sz w:val="20"/>
                                  <w:szCs w:val="20"/>
                                </w:rPr>
                              </w:pPr>
                              <w:r>
                                <w:rPr>
                                  <w:sz w:val="20"/>
                                  <w:szCs w:val="20"/>
                                </w:rPr>
                                <w:t>Blood and HPC Recruitment target</w:t>
                              </w:r>
                            </w:p>
                          </w:txbxContent>
                        </wps:txbx>
                        <wps:bodyPr rot="0" vert="horz" wrap="square" lIns="91440" tIns="45720" rIns="91440" bIns="45720" anchor="t" anchorCtr="0" upright="1">
                          <a:noAutofit/>
                        </wps:bodyPr>
                      </wps:wsp>
                      <wps:wsp>
                        <wps:cNvPr id="142" name="Text Box 94"/>
                        <wps:cNvSpPr txBox="1">
                          <a:spLocks noChangeArrowheads="1"/>
                        </wps:cNvSpPr>
                        <wps:spPr bwMode="auto">
                          <a:xfrm>
                            <a:off x="142700" y="937711"/>
                            <a:ext cx="1009500" cy="418605"/>
                          </a:xfrm>
                          <a:prstGeom prst="rect">
                            <a:avLst/>
                          </a:prstGeom>
                          <a:solidFill>
                            <a:srgbClr val="FFFFFF"/>
                          </a:solidFill>
                          <a:ln w="6350">
                            <a:solidFill>
                              <a:srgbClr val="000000"/>
                            </a:solidFill>
                            <a:miter lim="800000"/>
                            <a:headEnd/>
                            <a:tailEnd/>
                          </a:ln>
                        </wps:spPr>
                        <wps:txbx>
                          <w:txbxContent>
                            <w:p w14:paraId="1DD824E5" w14:textId="77777777" w:rsidR="00463F43" w:rsidRDefault="00463F43" w:rsidP="00463F43">
                              <w:pPr>
                                <w:rPr>
                                  <w:sz w:val="20"/>
                                  <w:szCs w:val="20"/>
                                </w:rPr>
                              </w:pPr>
                              <w:r>
                                <w:rPr>
                                  <w:sz w:val="20"/>
                                  <w:szCs w:val="20"/>
                                </w:rPr>
                                <w:t>Messaging, advertising</w:t>
                              </w:r>
                            </w:p>
                          </w:txbxContent>
                        </wps:txbx>
                        <wps:bodyPr rot="0" vert="horz" wrap="square" lIns="91440" tIns="45720" rIns="91440" bIns="45720" anchor="t" anchorCtr="0" upright="1">
                          <a:noAutofit/>
                        </wps:bodyPr>
                      </wps:wsp>
                      <wps:wsp>
                        <wps:cNvPr id="143" name="Straight Arrow Connector 95"/>
                        <wps:cNvCnPr>
                          <a:cxnSpLocks noChangeShapeType="1"/>
                        </wps:cNvCnPr>
                        <wps:spPr bwMode="auto">
                          <a:xfrm flipH="1">
                            <a:off x="632870" y="698008"/>
                            <a:ext cx="3700" cy="239703"/>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44" name="Straight Arrow Connector 96"/>
                        <wps:cNvCnPr>
                          <a:cxnSpLocks noChangeShapeType="1"/>
                        </wps:cNvCnPr>
                        <wps:spPr bwMode="auto">
                          <a:xfrm flipH="1">
                            <a:off x="629264" y="1361602"/>
                            <a:ext cx="3606" cy="41010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45" name="Text Box 37"/>
                        <wps:cNvSpPr txBox="1">
                          <a:spLocks noChangeArrowheads="1"/>
                        </wps:cNvSpPr>
                        <wps:spPr bwMode="auto">
                          <a:xfrm>
                            <a:off x="244766" y="4594969"/>
                            <a:ext cx="837300" cy="418405"/>
                          </a:xfrm>
                          <a:prstGeom prst="rect">
                            <a:avLst/>
                          </a:prstGeom>
                          <a:solidFill>
                            <a:srgbClr val="FFFFFF"/>
                          </a:solidFill>
                          <a:ln w="6350">
                            <a:solidFill>
                              <a:srgbClr val="000000"/>
                            </a:solidFill>
                            <a:miter lim="800000"/>
                            <a:headEnd/>
                            <a:tailEnd/>
                          </a:ln>
                        </wps:spPr>
                        <wps:txbx>
                          <w:txbxContent>
                            <w:p w14:paraId="573A1A54" w14:textId="77777777" w:rsidR="00463F43" w:rsidRDefault="00463F43" w:rsidP="00463F43">
                              <w:pPr>
                                <w:spacing w:line="254" w:lineRule="auto"/>
                                <w:rPr>
                                  <w:sz w:val="20"/>
                                  <w:szCs w:val="20"/>
                                </w:rPr>
                              </w:pPr>
                              <w:r>
                                <w:rPr>
                                  <w:sz w:val="20"/>
                                  <w:szCs w:val="20"/>
                                </w:rPr>
                                <w:t>Messaging, advertising</w:t>
                              </w:r>
                            </w:p>
                          </w:txbxContent>
                        </wps:txbx>
                        <wps:bodyPr rot="0" vert="horz" wrap="square" lIns="91440" tIns="45720" rIns="91440" bIns="45720" anchor="t" anchorCtr="0" upright="1">
                          <a:noAutofit/>
                        </wps:bodyPr>
                      </wps:wsp>
                      <wps:wsp>
                        <wps:cNvPr id="146" name="Text Box 98"/>
                        <wps:cNvSpPr txBox="1">
                          <a:spLocks noChangeArrowheads="1"/>
                        </wps:cNvSpPr>
                        <wps:spPr bwMode="auto">
                          <a:xfrm>
                            <a:off x="1791100" y="899111"/>
                            <a:ext cx="1933600" cy="442905"/>
                          </a:xfrm>
                          <a:prstGeom prst="rect">
                            <a:avLst/>
                          </a:prstGeom>
                          <a:solidFill>
                            <a:srgbClr val="FFFFFF"/>
                          </a:solidFill>
                          <a:ln w="6350">
                            <a:solidFill>
                              <a:srgbClr val="000000"/>
                            </a:solidFill>
                            <a:miter lim="800000"/>
                            <a:headEnd/>
                            <a:tailEnd/>
                          </a:ln>
                        </wps:spPr>
                        <wps:txbx>
                          <w:txbxContent>
                            <w:p w14:paraId="0507495C" w14:textId="77777777" w:rsidR="00463F43" w:rsidRDefault="00463F43" w:rsidP="00463F43">
                              <w:pPr>
                                <w:rPr>
                                  <w:sz w:val="20"/>
                                  <w:szCs w:val="20"/>
                                </w:rPr>
                              </w:pPr>
                              <w:r>
                                <w:rPr>
                                  <w:sz w:val="20"/>
                                  <w:szCs w:val="20"/>
                                </w:rPr>
                                <w:t>New blood donor</w:t>
                              </w:r>
                            </w:p>
                          </w:txbxContent>
                        </wps:txbx>
                        <wps:bodyPr rot="0" vert="horz" wrap="square" lIns="91440" tIns="45720" rIns="91440" bIns="45720" anchor="t" anchorCtr="0" upright="1">
                          <a:noAutofit/>
                        </wps:bodyPr>
                      </wps:wsp>
                      <wps:wsp>
                        <wps:cNvPr id="147" name="Straight Arrow Connector 99"/>
                        <wps:cNvCnPr>
                          <a:cxnSpLocks noChangeShapeType="1"/>
                          <a:stCxn id="113" idx="2"/>
                          <a:endCxn id="145" idx="0"/>
                        </wps:cNvCnPr>
                        <wps:spPr bwMode="auto">
                          <a:xfrm flipH="1">
                            <a:off x="663416" y="4285850"/>
                            <a:ext cx="2984" cy="309119"/>
                          </a:xfrm>
                          <a:prstGeom prst="straightConnector1">
                            <a:avLst/>
                          </a:prstGeom>
                          <a:noFill/>
                          <a:ln w="6350">
                            <a:solidFill>
                              <a:srgbClr val="4472C4"/>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49" name="Text Box 105"/>
                        <wps:cNvSpPr txBox="1">
                          <a:spLocks noChangeArrowheads="1"/>
                        </wps:cNvSpPr>
                        <wps:spPr bwMode="auto">
                          <a:xfrm>
                            <a:off x="4023617" y="1195158"/>
                            <a:ext cx="1339400" cy="249203"/>
                          </a:xfrm>
                          <a:prstGeom prst="rect">
                            <a:avLst/>
                          </a:prstGeom>
                          <a:solidFill>
                            <a:sysClr val="window" lastClr="FFFFFF">
                              <a:lumMod val="100000"/>
                              <a:lumOff val="0"/>
                            </a:sysClr>
                          </a:solidFill>
                          <a:ln w="6350">
                            <a:solidFill>
                              <a:srgbClr val="000000"/>
                            </a:solidFill>
                            <a:miter lim="800000"/>
                            <a:headEnd/>
                            <a:tailEnd/>
                          </a:ln>
                        </wps:spPr>
                        <wps:txbx>
                          <w:txbxContent>
                            <w:p w14:paraId="2C8329D9" w14:textId="77777777" w:rsidR="00463F43" w:rsidRDefault="00463F43" w:rsidP="00463F43">
                              <w:pPr>
                                <w:rPr>
                                  <w:sz w:val="20"/>
                                  <w:szCs w:val="20"/>
                                </w:rPr>
                              </w:pPr>
                              <w:r>
                                <w:rPr>
                                  <w:sz w:val="20"/>
                                  <w:szCs w:val="20"/>
                                </w:rPr>
                                <w:t>Ig &amp; plasma products</w:t>
                              </w:r>
                            </w:p>
                          </w:txbxContent>
                        </wps:txbx>
                        <wps:bodyPr rot="0" vert="horz" wrap="square" lIns="91440" tIns="45720" rIns="91440" bIns="45720" anchor="t" anchorCtr="0" upright="1">
                          <a:noAutofit/>
                        </wps:bodyPr>
                      </wps:wsp>
                      <wps:wsp>
                        <wps:cNvPr id="21" name="Connector: Elbow 21"/>
                        <wps:cNvCnPr/>
                        <wps:spPr>
                          <a:xfrm>
                            <a:off x="3729486" y="483156"/>
                            <a:ext cx="1922220" cy="389334"/>
                          </a:xfrm>
                          <a:prstGeom prst="bentConnector3">
                            <a:avLst>
                              <a:gd name="adj1" fmla="val 89046"/>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3" name="Connector: Elbow 23"/>
                        <wps:cNvCnPr>
                          <a:stCxn id="146" idx="3"/>
                          <a:endCxn id="132" idx="1"/>
                        </wps:cNvCnPr>
                        <wps:spPr>
                          <a:xfrm flipV="1">
                            <a:off x="3724700" y="872490"/>
                            <a:ext cx="1921720" cy="248074"/>
                          </a:xfrm>
                          <a:prstGeom prst="bentConnector3">
                            <a:avLst>
                              <a:gd name="adj1" fmla="val 8933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5" name="Connector: Elbow 25"/>
                        <wps:cNvCnPr>
                          <a:stCxn id="120" idx="3"/>
                          <a:endCxn id="149" idx="1"/>
                        </wps:cNvCnPr>
                        <wps:spPr>
                          <a:xfrm flipV="1">
                            <a:off x="3724200" y="1319760"/>
                            <a:ext cx="299417" cy="363610"/>
                          </a:xfrm>
                          <a:prstGeom prst="bentConnector3">
                            <a:avLst>
                              <a:gd name="adj1" fmla="val 50000"/>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6" name="Connector: Elbow 26"/>
                        <wps:cNvCnPr>
                          <a:stCxn id="125" idx="3"/>
                          <a:endCxn id="132" idx="2"/>
                        </wps:cNvCnPr>
                        <wps:spPr>
                          <a:xfrm flipV="1">
                            <a:off x="3724700" y="1638300"/>
                            <a:ext cx="2317960" cy="1180133"/>
                          </a:xfrm>
                          <a:prstGeom prst="bentConnector2">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8" name="Connector: Elbow 28"/>
                        <wps:cNvCnPr>
                          <a:stCxn id="119" idx="3"/>
                        </wps:cNvCnPr>
                        <wps:spPr>
                          <a:xfrm flipV="1">
                            <a:off x="3724700" y="872490"/>
                            <a:ext cx="1914981" cy="1353736"/>
                          </a:xfrm>
                          <a:prstGeom prst="bentConnector3">
                            <a:avLst>
                              <a:gd name="adj1" fmla="val 89746"/>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 name="Connector: Elbow 29"/>
                        <wps:cNvCnPr>
                          <a:stCxn id="120" idx="3"/>
                          <a:endCxn id="132" idx="1"/>
                        </wps:cNvCnPr>
                        <wps:spPr>
                          <a:xfrm flipV="1">
                            <a:off x="3724200" y="872490"/>
                            <a:ext cx="1922220" cy="810880"/>
                          </a:xfrm>
                          <a:prstGeom prst="bentConnector3">
                            <a:avLst>
                              <a:gd name="adj1" fmla="val 8932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 name="Connector: Elbow 30"/>
                        <wps:cNvCnPr>
                          <a:stCxn id="125" idx="3"/>
                          <a:endCxn id="47" idx="0"/>
                        </wps:cNvCnPr>
                        <wps:spPr>
                          <a:xfrm>
                            <a:off x="3724700" y="2818433"/>
                            <a:ext cx="2317691" cy="996185"/>
                          </a:xfrm>
                          <a:prstGeom prst="bentConnector2">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1" name="Connector: Elbow 31"/>
                        <wps:cNvCnPr>
                          <a:stCxn id="124" idx="3"/>
                          <a:endCxn id="47" idx="1"/>
                        </wps:cNvCnPr>
                        <wps:spPr>
                          <a:xfrm flipV="1">
                            <a:off x="3724200" y="4050571"/>
                            <a:ext cx="1938341" cy="1171"/>
                          </a:xfrm>
                          <a:prstGeom prst="bentConnector3">
                            <a:avLst>
                              <a:gd name="adj1" fmla="val 50000"/>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96" name="Connector: Elbow 96"/>
                        <wps:cNvCnPr>
                          <a:stCxn id="117" idx="3"/>
                          <a:endCxn id="47" idx="1"/>
                        </wps:cNvCnPr>
                        <wps:spPr>
                          <a:xfrm>
                            <a:off x="3724200" y="3377340"/>
                            <a:ext cx="1938341" cy="673231"/>
                          </a:xfrm>
                          <a:prstGeom prst="bentConnector3">
                            <a:avLst>
                              <a:gd name="adj1" fmla="val 50000"/>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 name="Connector: Elbow 7"/>
                        <wps:cNvCnPr>
                          <a:stCxn id="114" idx="3"/>
                          <a:endCxn id="125" idx="1"/>
                        </wps:cNvCnPr>
                        <wps:spPr>
                          <a:xfrm>
                            <a:off x="996194" y="2004574"/>
                            <a:ext cx="794506" cy="81385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or: Elbow 8"/>
                        <wps:cNvCnPr>
                          <a:endCxn id="119" idx="1"/>
                        </wps:cNvCnPr>
                        <wps:spPr>
                          <a:xfrm>
                            <a:off x="996194" y="2004523"/>
                            <a:ext cx="794906" cy="22170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Connector: Elbow 9"/>
                        <wps:cNvCnPr>
                          <a:stCxn id="114" idx="3"/>
                          <a:endCxn id="117" idx="1"/>
                        </wps:cNvCnPr>
                        <wps:spPr>
                          <a:xfrm>
                            <a:off x="996194" y="2004574"/>
                            <a:ext cx="794506" cy="137276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or: Elbow 10"/>
                        <wps:cNvCnPr>
                          <a:endCxn id="120" idx="1"/>
                        </wps:cNvCnPr>
                        <wps:spPr>
                          <a:xfrm flipV="1">
                            <a:off x="996194" y="1683370"/>
                            <a:ext cx="794906" cy="32120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or: Elbow 11"/>
                        <wps:cNvCnPr>
                          <a:stCxn id="114" idx="3"/>
                          <a:endCxn id="146" idx="1"/>
                        </wps:cNvCnPr>
                        <wps:spPr>
                          <a:xfrm flipV="1">
                            <a:off x="996194" y="1120564"/>
                            <a:ext cx="794906" cy="88401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Text Box 58"/>
                        <wps:cNvSpPr txBox="1">
                          <a:spLocks noChangeArrowheads="1"/>
                        </wps:cNvSpPr>
                        <wps:spPr bwMode="auto">
                          <a:xfrm>
                            <a:off x="5662541" y="3814618"/>
                            <a:ext cx="759700" cy="471906"/>
                          </a:xfrm>
                          <a:prstGeom prst="rect">
                            <a:avLst/>
                          </a:prstGeom>
                          <a:solidFill>
                            <a:srgbClr val="FFFFFF"/>
                          </a:solidFill>
                          <a:ln w="6350">
                            <a:solidFill>
                              <a:srgbClr val="000000"/>
                            </a:solidFill>
                            <a:miter lim="800000"/>
                            <a:headEnd/>
                            <a:tailEnd/>
                          </a:ln>
                        </wps:spPr>
                        <wps:txbx>
                          <w:txbxContent>
                            <w:p w14:paraId="15D02F6B" w14:textId="77777777" w:rsidR="00463F43" w:rsidRDefault="00463F43" w:rsidP="00463F43">
                              <w:pPr>
                                <w:jc w:val="center"/>
                                <w:rPr>
                                  <w:sz w:val="20"/>
                                  <w:szCs w:val="20"/>
                                </w:rPr>
                              </w:pPr>
                              <w:r>
                                <w:rPr>
                                  <w:sz w:val="20"/>
                                  <w:szCs w:val="20"/>
                                </w:rPr>
                                <w:t>ABMDR registrant</w:t>
                              </w:r>
                            </w:p>
                          </w:txbxContent>
                        </wps:txbx>
                        <wps:bodyPr rot="0" vert="horz" wrap="square" lIns="91440" tIns="45720" rIns="91440" bIns="45720" anchor="t" anchorCtr="0" upright="1">
                          <a:noAutofit/>
                        </wps:bodyPr>
                      </wps:wsp>
                    </wpc:wpc>
                  </a:graphicData>
                </a:graphic>
              </wp:inline>
            </w:drawing>
          </mc:Choice>
          <mc:Fallback>
            <w:pict>
              <v:group w14:anchorId="629225AF" id="Canvas 100" o:spid="_x0000_s1026" editas="canvas" style="width:507pt;height:406.2pt;mso-position-horizontal-relative:char;mso-position-vertical-relative:line" coordsize="64389,5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9;height:51587;visibility:visible;mso-wrap-style:square" filled="t">
                  <v:fill o:detectmouseclick="t"/>
                  <v:path o:connecttype="none"/>
                </v:shape>
                <v:shapetype id="_x0000_t202" coordsize="21600,21600" o:spt="202" path="m,l,21600r21600,l21600,xe">
                  <v:stroke joinstyle="miter"/>
                  <v:path gradientshapeok="t" o:connecttype="rect"/>
                </v:shapetype>
                <v:shape id="Text Box 44" o:spid="_x0000_s1028" type="#_x0000_t202" style="position:absolute;left:2854;top:38191;width:7620;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" strokeweight=".5pt">
                  <v:textbox>
                    <w:txbxContent>
                      <w:p w14:paraId="43FD8E46" w14:textId="77777777" w:rsidR="00463F43" w:rsidRDefault="00463F43" w:rsidP="00463F43">
                        <w:pPr>
                          <w:jc w:val="center"/>
                          <w:rPr>
                            <w:sz w:val="20"/>
                            <w:szCs w:val="20"/>
                          </w:rPr>
                        </w:pPr>
                        <w:r>
                          <w:rPr>
                            <w:sz w:val="20"/>
                            <w:szCs w:val="20"/>
                          </w:rPr>
                          <w:t>ABMDR activity</w:t>
                        </w:r>
                      </w:p>
                    </w:txbxContent>
                  </v:textbox>
                </v:shape>
                <v:shape id="Text Box 45" o:spid="_x0000_s1029" type="#_x0000_t202" style="position:absolute;left:2341;top:17664;width:7620;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" strokeweight=".5pt">
                  <v:textbox>
                    <w:txbxContent>
                      <w:p w14:paraId="700FDA1B" w14:textId="77777777" w:rsidR="00463F43" w:rsidRDefault="00463F43" w:rsidP="00463F43">
                        <w:pPr>
                          <w:rPr>
                            <w:sz w:val="20"/>
                            <w:szCs w:val="20"/>
                          </w:rPr>
                        </w:pPr>
                        <w:r>
                          <w:rPr>
                            <w:sz w:val="20"/>
                            <w:szCs w:val="20"/>
                          </w:rPr>
                          <w:t>Lifeblood attendees</w:t>
                        </w:r>
                      </w:p>
                    </w:txbxContent>
                  </v:textbox>
                </v:shape>
                <v:shape id="Text Box 48" o:spid="_x0000_s1030" type="#_x0000_t202" style="position:absolute;left:17907;top:31594;width:19335;height: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" strokeweight=".5pt">
                  <v:textbox>
                    <w:txbxContent>
                      <w:p w14:paraId="4C6B21DB" w14:textId="77777777" w:rsidR="00463F43" w:rsidRDefault="00463F43" w:rsidP="00463F43">
                        <w:pPr>
                          <w:rPr>
                            <w:sz w:val="20"/>
                            <w:szCs w:val="20"/>
                          </w:rPr>
                        </w:pPr>
                        <w:r>
                          <w:rPr>
                            <w:sz w:val="20"/>
                            <w:szCs w:val="20"/>
                          </w:rPr>
                          <w:t>New HPC recruit (Blood-based testing: LB PQ PW)</w:t>
                        </w:r>
                      </w:p>
                    </w:txbxContent>
                  </v:textbox>
                </v:shape>
                <v:shape id="Text Box 49" o:spid="_x0000_s1031" type="#_x0000_t202" style="position:absolute;left:17907;top:1662;width:19335;height:6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" strokeweight=".5pt">
                  <v:textbox>
                    <w:txbxContent>
                      <w:p w14:paraId="7A3B6F74" w14:textId="77777777" w:rsidR="00463F43" w:rsidRDefault="00463F43" w:rsidP="00463F43">
                        <w:pPr>
                          <w:rPr>
                            <w:sz w:val="20"/>
                            <w:szCs w:val="20"/>
                          </w:rPr>
                        </w:pPr>
                        <w:r>
                          <w:rPr>
                            <w:sz w:val="20"/>
                            <w:szCs w:val="20"/>
                          </w:rPr>
                          <w:t>Existing blood donor</w:t>
                        </w:r>
                      </w:p>
                    </w:txbxContent>
                  </v:textbox>
                </v:shape>
                <v:shape id="Text Box 50" o:spid="_x0000_s1032" type="#_x0000_t202" style="position:absolute;left:17911;top:20045;width:19336;height:4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" strokeweight=".5pt">
                  <v:textbox>
                    <w:txbxContent>
                      <w:p w14:paraId="2232E3F5" w14:textId="77777777" w:rsidR="00463F43" w:rsidRDefault="00463F43" w:rsidP="00463F43">
                        <w:r>
                          <w:rPr>
                            <w:sz w:val="20"/>
                            <w:szCs w:val="20"/>
                          </w:rPr>
                          <w:t>New Blood &amp; Platelet donor (male only, HLA tested 2Field +G)</w:t>
                        </w:r>
                      </w:p>
                    </w:txbxContent>
                  </v:textbox>
                </v:shape>
                <v:shape id="Text Box 12" o:spid="_x0000_s1033" type="#_x0000_t202" style="position:absolute;left:17911;top:14633;width:19331;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" strokeweight=".5pt">
                  <v:textbox>
                    <w:txbxContent>
                      <w:p w14:paraId="1C2E8847" w14:textId="77777777" w:rsidR="00463F43" w:rsidRDefault="00463F43" w:rsidP="00463F43">
                        <w:pPr>
                          <w:spacing w:line="254" w:lineRule="auto"/>
                          <w:rPr>
                            <w:sz w:val="20"/>
                            <w:szCs w:val="20"/>
                          </w:rPr>
                        </w:pPr>
                        <w:r>
                          <w:rPr>
                            <w:sz w:val="20"/>
                            <w:szCs w:val="20"/>
                          </w:rPr>
                          <w:t>New Blood &amp; Blood-related product donor</w:t>
                        </w:r>
                      </w:p>
                    </w:txbxContent>
                  </v:textbox>
                </v:shape>
                <v:shapetype id="_x0000_t32" coordsize="21600,21600" o:spt="32" o:oned="t" path="m,l21600,21600e" filled="f">
                  <v:path arrowok="t" fillok="f" o:connecttype="none"/>
                  <o:lock v:ext="edit" shapetype="t"/>
                </v:shapetype>
                <v:shape id="Straight Arrow Connector 54" o:spid="_x0000_s1034" type="#_x0000_t32" style="position:absolute;left:10474;top:40517;width:7437;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" strokecolor="#4472c4" strokeweight=".5pt">
                  <v:stroke endarrow="block" joinstyle="miter"/>
                </v:shape>
                <v:shape id="Text Box 55" o:spid="_x0000_s1035" type="#_x0000_t202" style="position:absolute;left:17911;top:38397;width:19331;height:4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" strokeweight=".5pt">
                  <v:textbox>
                    <w:txbxContent>
                      <w:p w14:paraId="5F2CCC0D" w14:textId="77777777" w:rsidR="00463F43" w:rsidRDefault="00463F43" w:rsidP="00463F43">
                        <w:pPr>
                          <w:rPr>
                            <w:sz w:val="20"/>
                            <w:szCs w:val="20"/>
                          </w:rPr>
                        </w:pPr>
                        <w:r>
                          <w:rPr>
                            <w:sz w:val="20"/>
                            <w:szCs w:val="20"/>
                          </w:rPr>
                          <w:t>New HPC recruit (buccal swab testing overseas)</w:t>
                        </w:r>
                      </w:p>
                    </w:txbxContent>
                  </v:textbox>
                </v:shape>
                <v:shape id="Text Box 11" o:spid="_x0000_s1036" type="#_x0000_t202" style="position:absolute;left:17907;top:26036;width:19340;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" strokeweight=".5pt">
                  <v:textbox>
                    <w:txbxContent>
                      <w:p w14:paraId="266CA1A1" w14:textId="77777777" w:rsidR="00463F43" w:rsidRDefault="00463F43" w:rsidP="00463F43">
                        <w:pPr>
                          <w:rPr>
                            <w:sz w:val="20"/>
                            <w:szCs w:val="20"/>
                          </w:rPr>
                        </w:pPr>
                        <w:r>
                          <w:rPr>
                            <w:sz w:val="20"/>
                            <w:szCs w:val="20"/>
                          </w:rPr>
                          <w:t>New Blood donor &amp; HPC recruit (Blood-based testing: LB PQ PW)</w:t>
                        </w:r>
                      </w:p>
                    </w:txbxContent>
                  </v:textbox>
                </v:shape>
                <v:shape id="Text Box 63" o:spid="_x0000_s1037" type="#_x0000_t202" style="position:absolute;left:56464;top:1066;width:7925;height:15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" strokeweight=".5pt">
                  <v:textbox>
                    <w:txbxContent>
                      <w:p w14:paraId="6CDDBBF6" w14:textId="77777777" w:rsidR="00463F43" w:rsidRDefault="00463F43" w:rsidP="00463F43">
                        <w:pPr>
                          <w:rPr>
                            <w:sz w:val="20"/>
                            <w:szCs w:val="20"/>
                          </w:rPr>
                        </w:pPr>
                        <w:r>
                          <w:rPr>
                            <w:sz w:val="20"/>
                            <w:szCs w:val="20"/>
                          </w:rPr>
                          <w:t>Blood donor registry</w:t>
                        </w:r>
                      </w:p>
                      <w:p w14:paraId="1180ABD4" w14:textId="77777777" w:rsidR="00463F43" w:rsidRDefault="00463F43" w:rsidP="00463F43">
                        <w:pPr>
                          <w:rPr>
                            <w:sz w:val="20"/>
                            <w:szCs w:val="20"/>
                          </w:rPr>
                        </w:pPr>
                        <w:r>
                          <w:rPr>
                            <w:sz w:val="20"/>
                            <w:szCs w:val="20"/>
                          </w:rPr>
                          <w:t xml:space="preserve">Antibody register </w:t>
                        </w:r>
                      </w:p>
                      <w:p w14:paraId="104CA761" w14:textId="77777777" w:rsidR="00463F43" w:rsidRDefault="00463F43" w:rsidP="00463F43">
                        <w:pPr>
                          <w:rPr>
                            <w:sz w:val="20"/>
                            <w:szCs w:val="20"/>
                          </w:rPr>
                        </w:pPr>
                        <w:r>
                          <w:rPr>
                            <w:sz w:val="20"/>
                            <w:szCs w:val="20"/>
                          </w:rPr>
                          <w:t>Platelet registry</w:t>
                        </w:r>
                      </w:p>
                      <w:p w14:paraId="67BDF307" w14:textId="77777777" w:rsidR="00463F43" w:rsidRDefault="00463F43" w:rsidP="00463F43">
                        <w:pPr>
                          <w:rPr>
                            <w:sz w:val="20"/>
                            <w:szCs w:val="20"/>
                          </w:rPr>
                        </w:pPr>
                      </w:p>
                    </w:txbxContent>
                  </v:textbox>
                </v:shape>
                <v:shape id="Text Box 93" o:spid="_x0000_s1038" type="#_x0000_t202" style="position:absolute;left:83;top:2476;width:12859;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" strokeweight=".5pt">
                  <v:textbox>
                    <w:txbxContent>
                      <w:p w14:paraId="7E130C0B" w14:textId="77777777" w:rsidR="00463F43" w:rsidRDefault="00463F43" w:rsidP="00463F43">
                        <w:pPr>
                          <w:jc w:val="center"/>
                          <w:rPr>
                            <w:sz w:val="20"/>
                            <w:szCs w:val="20"/>
                          </w:rPr>
                        </w:pPr>
                        <w:r>
                          <w:rPr>
                            <w:sz w:val="20"/>
                            <w:szCs w:val="20"/>
                          </w:rPr>
                          <w:t>Blood and HPC Recruitment target</w:t>
                        </w:r>
                      </w:p>
                    </w:txbxContent>
                  </v:textbox>
                </v:shape>
                <v:shape id="Text Box 94" o:spid="_x0000_s1039" type="#_x0000_t202" style="position:absolute;left:1427;top:9377;width:10095;height: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" strokeweight=".5pt">
                  <v:textbox>
                    <w:txbxContent>
                      <w:p w14:paraId="1DD824E5" w14:textId="77777777" w:rsidR="00463F43" w:rsidRDefault="00463F43" w:rsidP="00463F43">
                        <w:pPr>
                          <w:rPr>
                            <w:sz w:val="20"/>
                            <w:szCs w:val="20"/>
                          </w:rPr>
                        </w:pPr>
                        <w:r>
                          <w:rPr>
                            <w:sz w:val="20"/>
                            <w:szCs w:val="20"/>
                          </w:rPr>
                          <w:t>Messaging, advertising</w:t>
                        </w:r>
                      </w:p>
                    </w:txbxContent>
                  </v:textbox>
                </v:shape>
                <v:shape id="Straight Arrow Connector 95" o:spid="_x0000_s1040" type="#_x0000_t32" style="position:absolute;left:6328;top:6980;width:37;height:2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" strokecolor="#4472c4" strokeweight=".5pt">
                  <v:stroke endarrow="block" joinstyle="miter"/>
                </v:shape>
                <v:shape id="Straight Arrow Connector 96" o:spid="_x0000_s1041" type="#_x0000_t32" style="position:absolute;left:6292;top:13616;width:36;height:4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" strokecolor="#4472c4" strokeweight=".5pt">
                  <v:stroke endarrow="block" joinstyle="miter"/>
                </v:shape>
                <v:shape id="Text Box 37" o:spid="_x0000_s1042" type="#_x0000_t202" style="position:absolute;left:2447;top:45949;width:837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" strokeweight=".5pt">
                  <v:textbox>
                    <w:txbxContent>
                      <w:p w14:paraId="573A1A54" w14:textId="77777777" w:rsidR="00463F43" w:rsidRDefault="00463F43" w:rsidP="00463F43">
                        <w:pPr>
                          <w:spacing w:line="254" w:lineRule="auto"/>
                          <w:rPr>
                            <w:sz w:val="20"/>
                            <w:szCs w:val="20"/>
                          </w:rPr>
                        </w:pPr>
                        <w:r>
                          <w:rPr>
                            <w:sz w:val="20"/>
                            <w:szCs w:val="20"/>
                          </w:rPr>
                          <w:t>Messaging, advertising</w:t>
                        </w:r>
                      </w:p>
                    </w:txbxContent>
                  </v:textbox>
                </v:shape>
                <v:shape id="Text Box 98" o:spid="_x0000_s1043" type="#_x0000_t202" style="position:absolute;left:17911;top:8991;width:19336;height:4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" strokeweight=".5pt">
                  <v:textbox>
                    <w:txbxContent>
                      <w:p w14:paraId="0507495C" w14:textId="77777777" w:rsidR="00463F43" w:rsidRDefault="00463F43" w:rsidP="00463F43">
                        <w:pPr>
                          <w:rPr>
                            <w:sz w:val="20"/>
                            <w:szCs w:val="20"/>
                          </w:rPr>
                        </w:pPr>
                        <w:r>
                          <w:rPr>
                            <w:sz w:val="20"/>
                            <w:szCs w:val="20"/>
                          </w:rPr>
                          <w:t>New blood donor</w:t>
                        </w:r>
                      </w:p>
                    </w:txbxContent>
                  </v:textbox>
                </v:shape>
                <v:shape id="Straight Arrow Connector 99" o:spid="_x0000_s1044" type="#_x0000_t32" style="position:absolute;left:6634;top:42858;width:30;height:3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" strokecolor="#4472c4" strokeweight=".5pt">
                  <v:stroke startarrow="block" endarrow="block" joinstyle="miter"/>
                </v:shape>
                <v:shape id="Text Box 105" o:spid="_x0000_s1045" type="#_x0000_t202" style="position:absolute;left:40236;top:11951;width:13394;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" strokeweight=".5pt">
                  <v:textbox>
                    <w:txbxContent>
                      <w:p w14:paraId="2C8329D9" w14:textId="77777777" w:rsidR="00463F43" w:rsidRDefault="00463F43" w:rsidP="00463F43">
                        <w:pPr>
                          <w:rPr>
                            <w:sz w:val="20"/>
                            <w:szCs w:val="20"/>
                          </w:rPr>
                        </w:pPr>
                        <w:r>
                          <w:rPr>
                            <w:sz w:val="20"/>
                            <w:szCs w:val="20"/>
                          </w:rPr>
                          <w:t>Ig &amp; plasma products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 o:spid="_x0000_s1046" type="#_x0000_t34" style="position:absolute;left:37294;top:4831;width:19223;height:389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" adj="19234" strokecolor="#4472c4 [3204]" strokeweight=".5pt">
                  <v:stroke endarrow="block"/>
                </v:shape>
                <v:shape id="Connector: Elbow 23" o:spid="_x0000_s1047" type="#_x0000_t34" style="position:absolute;left:37247;top:8724;width:19217;height:248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" adj="19295" strokecolor="#4472c4 [3204]" strokeweight=".5pt">
                  <v:stroke endarrow="block"/>
                </v:shape>
                <v:shape id="Connector: Elbow 25" o:spid="_x0000_s1048" type="#_x0000_t34" style="position:absolute;left:37242;top:13197;width:2994;height:363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" strokecolor="#4472c4 [3204]" strokeweight=".5pt">
                  <v:stroke endarrow="block"/>
                </v:shape>
                <v:shapetype id="_x0000_t33" coordsize="21600,21600" o:spt="33" o:oned="t" path="m,l21600,r,21600e" filled="f">
                  <v:stroke joinstyle="miter"/>
                  <v:path arrowok="t" fillok="f" o:connecttype="none"/>
                  <o:lock v:ext="edit" shapetype="t"/>
                </v:shapetype>
                <v:shape id="Connector: Elbow 26" o:spid="_x0000_s1049" type="#_x0000_t33" style="position:absolute;left:37247;top:16383;width:23179;height:118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" strokecolor="#4472c4 [3204]" strokeweight=".5pt">
                  <v:stroke endarrow="block"/>
                </v:shape>
                <v:shape id="Connector: Elbow 28" o:spid="_x0000_s1050" type="#_x0000_t34" style="position:absolute;left:37247;top:8724;width:19149;height:1353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" adj="19385" strokecolor="#4472c4 [3204]" strokeweight=".5pt">
                  <v:stroke endarrow="block"/>
                </v:shape>
                <v:shape id="Connector: Elbow 29" o:spid="_x0000_s1051" type="#_x0000_t34" style="position:absolute;left:37242;top:8724;width:19222;height:810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" adj="19293" strokecolor="#4472c4 [3204]" strokeweight=".5pt">
                  <v:stroke endarrow="block"/>
                </v:shape>
                <v:shape id="Connector: Elbow 30" o:spid="_x0000_s1052" type="#_x0000_t33" style="position:absolute;left:37247;top:28184;width:23176;height:99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" strokecolor="#4472c4 [3204]" strokeweight=".5pt">
                  <v:stroke endarrow="block"/>
                </v:shape>
                <v:shape id="Connector: Elbow 31" o:spid="_x0000_s1053" type="#_x0000_t34" style="position:absolute;left:37242;top:40505;width:19383;height: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" strokecolor="#4472c4 [3204]" strokeweight=".5pt">
                  <v:stroke endarrow="block"/>
                </v:shape>
                <v:shape id="Connector: Elbow 96" o:spid="_x0000_s1054" type="#_x0000_t34" style="position:absolute;left:37242;top:33773;width:19383;height:67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" strokecolor="#4472c4 [3204]" strokeweight=".5pt">
                  <v:stroke endarrow="block"/>
                </v:shape>
                <v:shape id="Connector: Elbow 7" o:spid="_x0000_s1055" type="#_x0000_t34" style="position:absolute;left:9961;top:20045;width:7946;height:81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" strokecolor="#4472c4 [3204]" strokeweight=".5pt">
                  <v:stroke endarrow="block"/>
                </v:shape>
                <v:shape id="Connector: Elbow 8" o:spid="_x0000_s1056" type="#_x0000_t34" style="position:absolute;left:9961;top:20045;width:7950;height:22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" strokecolor="#4472c4 [3204]" strokeweight=".5pt">
                  <v:stroke endarrow="block"/>
                </v:shape>
                <v:shape id="Connector: Elbow 9" o:spid="_x0000_s1057" type="#_x0000_t34" style="position:absolute;left:9961;top:20045;width:7946;height:1372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" strokecolor="#4472c4 [3204]" strokeweight=".5pt">
                  <v:stroke endarrow="block"/>
                </v:shape>
                <v:shape id="Connector: Elbow 10" o:spid="_x0000_s1058" type="#_x0000_t34" style="position:absolute;left:9961;top:16833;width:7950;height:32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" strokecolor="#4472c4 [3204]" strokeweight=".5pt">
                  <v:stroke endarrow="block"/>
                </v:shape>
                <v:shape id="Connector: Elbow 11" o:spid="_x0000_s1059" type="#_x0000_t34" style="position:absolute;left:9961;top:11205;width:7950;height:884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" strokecolor="#4472c4 [3204]" strokeweight=".5pt">
                  <v:stroke endarrow="block"/>
                </v:shape>
                <v:shape id="Text Box 58" o:spid="_x0000_s1060" type="#_x0000_t202" style="position:absolute;left:56625;top:38146;width:7597;height: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" strokeweight=".5pt">
                  <v:textbox>
                    <w:txbxContent>
                      <w:p w14:paraId="15D02F6B" w14:textId="77777777" w:rsidR="00463F43" w:rsidRDefault="00463F43" w:rsidP="00463F43">
                        <w:pPr>
                          <w:jc w:val="center"/>
                          <w:rPr>
                            <w:sz w:val="20"/>
                            <w:szCs w:val="20"/>
                          </w:rPr>
                        </w:pPr>
                        <w:r>
                          <w:rPr>
                            <w:sz w:val="20"/>
                            <w:szCs w:val="20"/>
                          </w:rPr>
                          <w:t>ABMDR registrant</w:t>
                        </w:r>
                      </w:p>
                    </w:txbxContent>
                  </v:textbox>
                </v:shape>
                <w10:anchorlock/>
              </v:group>
            </w:pict>
          </mc:Fallback>
        </mc:AlternateContent>
      </w:r>
    </w:p>
    <w:p w14:paraId="2017794B" w14:textId="4DD164ED" w:rsidR="00463F43" w:rsidRDefault="00463F43" w:rsidP="00463F43">
      <w:r>
        <w:t>In Australia, blood donors who present to a Lifeblood donation centre may also elect to become a donor of platelets, plasma, immunoglobulin and/or HPCs.</w:t>
      </w:r>
      <w:r w:rsidRPr="00A42F6F">
        <w:t xml:space="preserve"> </w:t>
      </w:r>
      <w:r>
        <w:t xml:space="preserve">The Lifeblood HPC </w:t>
      </w:r>
      <w:r w:rsidR="006D018C">
        <w:t xml:space="preserve">donor </w:t>
      </w:r>
      <w:r>
        <w:t xml:space="preserve">recruitment target is currently set by the ABMDR, with the ABMDR undertaking HPC </w:t>
      </w:r>
      <w:r w:rsidR="006D018C">
        <w:t xml:space="preserve">donor </w:t>
      </w:r>
      <w:r>
        <w:t xml:space="preserve">recruitment activities using buccal swabs separately. Lifeblood does not currently report the proportion of their HPC recruits that attend solely to be HPC donors (noting there are different eligibility criteria in becoming an HPC donor over a blood donor). </w:t>
      </w:r>
    </w:p>
    <w:p w14:paraId="3F94F5E8" w14:textId="7D842E11" w:rsidR="00463F43" w:rsidRDefault="00463F43" w:rsidP="00463F43">
      <w:r w:rsidRPr="000A5D54">
        <w:t xml:space="preserve">The current level of recruitment of blood donors provides for the ongoing domestic supply of blood and blood-related products. However, the provision of </w:t>
      </w:r>
      <w:r>
        <w:t xml:space="preserve">domestic </w:t>
      </w:r>
      <w:r w:rsidRPr="000A5D54">
        <w:t>blood and blood-related products is less stable than pre-</w:t>
      </w:r>
      <w:r>
        <w:t>COVID and t</w:t>
      </w:r>
      <w:r w:rsidRPr="000A5D54">
        <w:t>he contribution of Australian-fractionated immunoglobulin to</w:t>
      </w:r>
      <w:r>
        <w:t xml:space="preserve"> rising</w:t>
      </w:r>
      <w:r w:rsidRPr="000A5D54">
        <w:t xml:space="preserve"> national demand</w:t>
      </w:r>
      <w:r>
        <w:t>, in part due to B-cell depleting therapies for haematological malignancies, has reduced for the first time in five years</w:t>
      </w:r>
      <w:r>
        <w:rPr>
          <w:rStyle w:val="FootnoteReference"/>
        </w:rPr>
        <w:footnoteReference w:id="17"/>
      </w:r>
      <w:r w:rsidRPr="000A5D54">
        <w:t xml:space="preserve">. Maintenance of the </w:t>
      </w:r>
      <w:r>
        <w:t xml:space="preserve">current </w:t>
      </w:r>
      <w:r w:rsidRPr="000A5D54">
        <w:t>supply of blood and blood</w:t>
      </w:r>
      <w:r w:rsidR="006D018C">
        <w:noBreakHyphen/>
      </w:r>
      <w:r w:rsidRPr="000A5D54">
        <w:t>related products from Australian blood donors is essential</w:t>
      </w:r>
      <w:r>
        <w:t xml:space="preserve"> when considering change to HPC </w:t>
      </w:r>
      <w:r w:rsidR="006D018C">
        <w:t xml:space="preserve">donor </w:t>
      </w:r>
      <w:r>
        <w:t>recruitment.</w:t>
      </w:r>
    </w:p>
    <w:p w14:paraId="50AA9FF2" w14:textId="77777777" w:rsidR="00463F43" w:rsidRDefault="00463F43" w:rsidP="00463F43">
      <w:r>
        <w:t xml:space="preserve">Lifeblood performs approximately 63% of the HLA typing on HPC recruit samples per year </w:t>
      </w:r>
      <w:r w:rsidRPr="00A42F6F">
        <w:t xml:space="preserve">through </w:t>
      </w:r>
      <w:r>
        <w:t xml:space="preserve">a </w:t>
      </w:r>
      <w:r w:rsidRPr="00A42F6F">
        <w:t>semi-automated workflow on whole blood</w:t>
      </w:r>
      <w:r>
        <w:t xml:space="preserve"> samples. The</w:t>
      </w:r>
      <w:r w:rsidRPr="00A42F6F">
        <w:t xml:space="preserve"> state pathology HLA</w:t>
      </w:r>
      <w:r>
        <w:t xml:space="preserve"> typing</w:t>
      </w:r>
      <w:r w:rsidRPr="00A42F6F">
        <w:t xml:space="preserve"> laboratories in Queensland and Western Australia process</w:t>
      </w:r>
      <w:r>
        <w:t>es</w:t>
      </w:r>
      <w:r w:rsidRPr="00A42F6F">
        <w:t xml:space="preserve"> the remaining donors</w:t>
      </w:r>
      <w:r>
        <w:t>.</w:t>
      </w:r>
      <w:r w:rsidRPr="00A42F6F">
        <w:t xml:space="preserve"> </w:t>
      </w:r>
    </w:p>
    <w:p w14:paraId="3CC6D883" w14:textId="780376FB" w:rsidR="00463F43" w:rsidRDefault="00463F43" w:rsidP="00463F43">
      <w:r w:rsidRPr="00A42F6F">
        <w:t>The current target for HPC recruitment through Lifeblood is 5</w:t>
      </w:r>
      <w:r>
        <w:t>,</w:t>
      </w:r>
      <w:r w:rsidRPr="00A42F6F">
        <w:t>300</w:t>
      </w:r>
      <w:r>
        <w:t xml:space="preserve"> per year</w:t>
      </w:r>
      <w:r w:rsidRPr="00A42F6F">
        <w:t xml:space="preserve">, with </w:t>
      </w:r>
      <w:r>
        <w:t xml:space="preserve">7,845 HPC donors </w:t>
      </w:r>
      <w:r w:rsidRPr="00A42F6F">
        <w:t>recruited in 2020-21</w:t>
      </w:r>
      <w:r>
        <w:t>.</w:t>
      </w:r>
      <w:r w:rsidRPr="00A42F6F">
        <w:t xml:space="preserve"> </w:t>
      </w:r>
      <w:r>
        <w:t xml:space="preserve">Even though Lifeblood has recruited more </w:t>
      </w:r>
      <w:r w:rsidR="006D018C">
        <w:t xml:space="preserve">HPC </w:t>
      </w:r>
      <w:r>
        <w:t xml:space="preserve">donors than the target provided by ABMDR, </w:t>
      </w:r>
      <w:r w:rsidRPr="00A42F6F">
        <w:t xml:space="preserve">continued attrition of the </w:t>
      </w:r>
      <w:r>
        <w:t xml:space="preserve">preferred </w:t>
      </w:r>
      <w:r w:rsidRPr="00A42F6F">
        <w:t>HPC donor pool</w:t>
      </w:r>
      <w:r>
        <w:t xml:space="preserve"> would occur and over the next five years </w:t>
      </w:r>
      <w:r w:rsidRPr="00A42F6F">
        <w:t xml:space="preserve">would comprise </w:t>
      </w:r>
      <w:r>
        <w:t xml:space="preserve">approximately </w:t>
      </w:r>
      <w:r w:rsidRPr="00A42F6F">
        <w:t xml:space="preserve">39,225 </w:t>
      </w:r>
      <w:r>
        <w:t>donors</w:t>
      </w:r>
      <w:r w:rsidRPr="00A42F6F">
        <w:t>.</w:t>
      </w:r>
      <w:r>
        <w:t xml:space="preserve"> </w:t>
      </w:r>
    </w:p>
    <w:p w14:paraId="336CEC03" w14:textId="46A12990" w:rsidR="00463F43" w:rsidRDefault="00463F43" w:rsidP="00463F43">
      <w:r w:rsidRPr="00A42F6F">
        <w:t xml:space="preserve">The ABMDR </w:t>
      </w:r>
      <w:r>
        <w:t xml:space="preserve">advised </w:t>
      </w:r>
      <w:r w:rsidRPr="00A42F6F">
        <w:t>a minimum of 8</w:t>
      </w:r>
      <w:r>
        <w:t>,</w:t>
      </w:r>
      <w:r w:rsidRPr="00A42F6F">
        <w:t xml:space="preserve">000 new HPC recruits are required per year to arrest the current attrition rate of optimal donors, occurring due to ageing </w:t>
      </w:r>
      <w:r>
        <w:t xml:space="preserve">of the donors in the national registry </w:t>
      </w:r>
      <w:r w:rsidRPr="00A42F6F">
        <w:t>and low recruitment</w:t>
      </w:r>
      <w:r>
        <w:t>. However,</w:t>
      </w:r>
      <w:r w:rsidRPr="00A42F6F">
        <w:t xml:space="preserve"> </w:t>
      </w:r>
      <w:r>
        <w:t xml:space="preserve">this level of recruitment </w:t>
      </w:r>
      <w:r w:rsidRPr="00A42F6F">
        <w:t xml:space="preserve">would not </w:t>
      </w:r>
      <w:r>
        <w:t xml:space="preserve">increase </w:t>
      </w:r>
      <w:r w:rsidRPr="00A42F6F">
        <w:t xml:space="preserve">the </w:t>
      </w:r>
      <w:r w:rsidR="006D018C">
        <w:t xml:space="preserve">national </w:t>
      </w:r>
      <w:r w:rsidRPr="00A42F6F">
        <w:t>registry size</w:t>
      </w:r>
      <w:r>
        <w:rPr>
          <w:rStyle w:val="FootnoteReference"/>
        </w:rPr>
        <w:footnoteReference w:id="18"/>
      </w:r>
      <w:r w:rsidRPr="00A42F6F">
        <w:t>.</w:t>
      </w:r>
    </w:p>
    <w:p w14:paraId="74A7016F" w14:textId="77777777" w:rsidR="00463F43" w:rsidRDefault="00463F43" w:rsidP="00463F43">
      <w:r w:rsidRPr="00A42F6F">
        <w:t xml:space="preserve">The ABMDR </w:t>
      </w:r>
      <w:r>
        <w:t xml:space="preserve">has </w:t>
      </w:r>
      <w:r w:rsidRPr="00A42F6F">
        <w:t>undert</w:t>
      </w:r>
      <w:r>
        <w:t>aken</w:t>
      </w:r>
      <w:r w:rsidRPr="00A42F6F">
        <w:t xml:space="preserve"> two pilot programs </w:t>
      </w:r>
      <w:r>
        <w:t xml:space="preserve">using </w:t>
      </w:r>
      <w:r w:rsidRPr="00A42F6F">
        <w:t>buccal swab</w:t>
      </w:r>
      <w:r>
        <w:t>s</w:t>
      </w:r>
      <w:r w:rsidRPr="00A42F6F">
        <w:t xml:space="preserve"> </w:t>
      </w:r>
      <w:r>
        <w:t>at HPC donor recruitment, to test whether buccal swabs could be implemented in Australia to improve HPC donor recruitment.  STG1</w:t>
      </w:r>
      <w:r w:rsidRPr="00A42F6F">
        <w:t xml:space="preserve"> was funded directly by the ABMDR and recruited 5,540 individuals</w:t>
      </w:r>
      <w:r>
        <w:t xml:space="preserve"> between </w:t>
      </w:r>
      <w:r w:rsidRPr="00A42F6F">
        <w:t>July 2019 – May 2020</w:t>
      </w:r>
      <w:r>
        <w:t xml:space="preserve">. </w:t>
      </w:r>
      <w:r w:rsidRPr="00A42F6F">
        <w:t xml:space="preserve">Testing </w:t>
      </w:r>
      <w:r>
        <w:t xml:space="preserve">of swabs </w:t>
      </w:r>
      <w:r w:rsidRPr="00A42F6F">
        <w:t>was performed in the USA by Histogen</w:t>
      </w:r>
      <w:r>
        <w:t>etic</w:t>
      </w:r>
      <w:r w:rsidRPr="00A42F6F">
        <w:t>s (with a swab not listed on the A</w:t>
      </w:r>
      <w:r>
        <w:t xml:space="preserve">ustralian </w:t>
      </w:r>
      <w:r w:rsidRPr="00A42F6F">
        <w:t>R</w:t>
      </w:r>
      <w:r>
        <w:t xml:space="preserve">egister of Therapeutic Goods (ARTG)). </w:t>
      </w:r>
    </w:p>
    <w:p w14:paraId="45EEF111" w14:textId="77777777" w:rsidR="00463F43" w:rsidRDefault="00463F43" w:rsidP="00463F43">
      <w:r>
        <w:t>By</w:t>
      </w:r>
      <w:r w:rsidRPr="00A42F6F">
        <w:t xml:space="preserve"> April 2020, </w:t>
      </w:r>
      <w:r>
        <w:t>STG1 had</w:t>
      </w:r>
      <w:r w:rsidRPr="00A42F6F">
        <w:t xml:space="preserve"> yielded 4,481 new HPC recruits (36% male)</w:t>
      </w:r>
      <w:r>
        <w:t xml:space="preserve"> with face-to-face recruitment being influential in recruiting males of the preferred age range (Table 4).</w:t>
      </w:r>
    </w:p>
    <w:p w14:paraId="7AA2E8D2" w14:textId="77777777" w:rsidR="00463F43" w:rsidRPr="00C24EB2" w:rsidRDefault="00463F43" w:rsidP="00463F43">
      <w:pPr>
        <w:pStyle w:val="Heading5"/>
        <w:jc w:val="center"/>
      </w:pPr>
      <w:r>
        <w:t>Table 4.   The recruitment of male and female donors during STG1 by recruitment method.</w:t>
      </w:r>
    </w:p>
    <w:tbl>
      <w:tblPr>
        <w:tblStyle w:val="TableGrid4"/>
        <w:tblW w:w="0" w:type="auto"/>
        <w:tblLook w:val="04A0" w:firstRow="1" w:lastRow="0" w:firstColumn="1" w:lastColumn="0" w:noHBand="0" w:noVBand="1"/>
      </w:tblPr>
      <w:tblGrid>
        <w:gridCol w:w="2454"/>
        <w:gridCol w:w="2024"/>
        <w:gridCol w:w="2241"/>
        <w:gridCol w:w="2241"/>
      </w:tblGrid>
      <w:tr w:rsidR="00463F43" w:rsidRPr="00A42F6F" w14:paraId="08C465BF" w14:textId="77777777" w:rsidTr="00CD3CD0">
        <w:trPr>
          <w:trHeight w:val="285"/>
        </w:trPr>
        <w:tc>
          <w:tcPr>
            <w:tcW w:w="2454" w:type="dxa"/>
            <w:shd w:val="clear" w:color="auto" w:fill="D9D9D9" w:themeFill="background1" w:themeFillShade="D9"/>
          </w:tcPr>
          <w:p w14:paraId="56CAC3B6" w14:textId="77777777" w:rsidR="00463F43" w:rsidRPr="007B2669" w:rsidRDefault="00463F43" w:rsidP="00CD3CD0">
            <w:pPr>
              <w:jc w:val="center"/>
              <w:rPr>
                <w:b/>
                <w:bCs/>
                <w:sz w:val="20"/>
                <w:szCs w:val="20"/>
              </w:rPr>
            </w:pPr>
            <w:r w:rsidRPr="007B2669">
              <w:rPr>
                <w:b/>
                <w:bCs/>
                <w:sz w:val="20"/>
                <w:szCs w:val="20"/>
              </w:rPr>
              <w:t>Recruitment Method</w:t>
            </w:r>
          </w:p>
        </w:tc>
        <w:tc>
          <w:tcPr>
            <w:tcW w:w="2024" w:type="dxa"/>
            <w:shd w:val="clear" w:color="auto" w:fill="D9D9D9" w:themeFill="background1" w:themeFillShade="D9"/>
          </w:tcPr>
          <w:p w14:paraId="3BC30E09" w14:textId="77777777" w:rsidR="00463F43" w:rsidRDefault="00463F43" w:rsidP="00CD3CD0">
            <w:pPr>
              <w:jc w:val="center"/>
              <w:rPr>
                <w:b/>
                <w:bCs/>
                <w:sz w:val="20"/>
                <w:szCs w:val="20"/>
              </w:rPr>
            </w:pPr>
            <w:r>
              <w:rPr>
                <w:b/>
                <w:bCs/>
                <w:sz w:val="20"/>
                <w:szCs w:val="20"/>
              </w:rPr>
              <w:t>Recruits:</w:t>
            </w:r>
          </w:p>
          <w:p w14:paraId="44FE3ED8" w14:textId="77777777" w:rsidR="00463F43" w:rsidRPr="007B2669" w:rsidRDefault="00463F43" w:rsidP="00CD3CD0">
            <w:pPr>
              <w:jc w:val="center"/>
              <w:rPr>
                <w:b/>
                <w:bCs/>
                <w:sz w:val="20"/>
                <w:szCs w:val="20"/>
              </w:rPr>
            </w:pPr>
            <w:r w:rsidRPr="007B2669">
              <w:rPr>
                <w:b/>
                <w:bCs/>
                <w:sz w:val="20"/>
                <w:szCs w:val="20"/>
              </w:rPr>
              <w:t>N</w:t>
            </w:r>
            <w:r>
              <w:rPr>
                <w:b/>
                <w:bCs/>
                <w:sz w:val="20"/>
                <w:szCs w:val="20"/>
              </w:rPr>
              <w:t>umber</w:t>
            </w:r>
          </w:p>
        </w:tc>
        <w:tc>
          <w:tcPr>
            <w:tcW w:w="2241" w:type="dxa"/>
            <w:shd w:val="clear" w:color="auto" w:fill="D9D9D9" w:themeFill="background1" w:themeFillShade="D9"/>
          </w:tcPr>
          <w:p w14:paraId="68BDBA8F" w14:textId="77777777" w:rsidR="00463F43" w:rsidRDefault="00463F43" w:rsidP="00CD3CD0">
            <w:pPr>
              <w:jc w:val="center"/>
              <w:rPr>
                <w:b/>
                <w:bCs/>
                <w:sz w:val="20"/>
                <w:szCs w:val="20"/>
              </w:rPr>
            </w:pPr>
            <w:r w:rsidRPr="007B2669">
              <w:rPr>
                <w:b/>
                <w:bCs/>
                <w:sz w:val="20"/>
                <w:szCs w:val="20"/>
              </w:rPr>
              <w:t>Male</w:t>
            </w:r>
            <w:r>
              <w:rPr>
                <w:b/>
                <w:bCs/>
                <w:sz w:val="20"/>
                <w:szCs w:val="20"/>
              </w:rPr>
              <w:t>:</w:t>
            </w:r>
          </w:p>
          <w:p w14:paraId="51AAF4D6" w14:textId="3BE33598" w:rsidR="00463F43" w:rsidRPr="007B2669" w:rsidRDefault="00463F43" w:rsidP="00CD3CD0">
            <w:pPr>
              <w:jc w:val="center"/>
              <w:rPr>
                <w:b/>
                <w:bCs/>
                <w:sz w:val="20"/>
                <w:szCs w:val="20"/>
              </w:rPr>
            </w:pPr>
            <w:r w:rsidRPr="007B2669">
              <w:rPr>
                <w:b/>
                <w:bCs/>
                <w:sz w:val="20"/>
                <w:szCs w:val="20"/>
              </w:rPr>
              <w:t xml:space="preserve"> N</w:t>
            </w:r>
            <w:r>
              <w:rPr>
                <w:b/>
                <w:bCs/>
                <w:sz w:val="20"/>
                <w:szCs w:val="20"/>
              </w:rPr>
              <w:t>umber</w:t>
            </w:r>
            <w:r w:rsidR="003250DB">
              <w:rPr>
                <w:b/>
                <w:bCs/>
                <w:sz w:val="20"/>
                <w:szCs w:val="20"/>
              </w:rPr>
              <w:t xml:space="preserve"> </w:t>
            </w:r>
            <w:r w:rsidRPr="007B2669">
              <w:rPr>
                <w:b/>
                <w:bCs/>
                <w:sz w:val="20"/>
                <w:szCs w:val="20"/>
              </w:rPr>
              <w:t>(%)</w:t>
            </w:r>
          </w:p>
        </w:tc>
        <w:tc>
          <w:tcPr>
            <w:tcW w:w="2241" w:type="dxa"/>
            <w:shd w:val="clear" w:color="auto" w:fill="D9D9D9" w:themeFill="background1" w:themeFillShade="D9"/>
          </w:tcPr>
          <w:p w14:paraId="267F9D5F" w14:textId="77777777" w:rsidR="00463F43" w:rsidRDefault="00463F43" w:rsidP="00CD3CD0">
            <w:pPr>
              <w:jc w:val="center"/>
              <w:rPr>
                <w:b/>
                <w:bCs/>
                <w:sz w:val="20"/>
                <w:szCs w:val="20"/>
              </w:rPr>
            </w:pPr>
            <w:r w:rsidRPr="007B2669">
              <w:rPr>
                <w:b/>
                <w:bCs/>
                <w:sz w:val="20"/>
                <w:szCs w:val="20"/>
              </w:rPr>
              <w:t>Female</w:t>
            </w:r>
            <w:r>
              <w:rPr>
                <w:b/>
                <w:bCs/>
                <w:sz w:val="20"/>
                <w:szCs w:val="20"/>
              </w:rPr>
              <w:t>:</w:t>
            </w:r>
          </w:p>
          <w:p w14:paraId="08C50102" w14:textId="77777777" w:rsidR="00463F43" w:rsidRPr="007B2669" w:rsidRDefault="00463F43" w:rsidP="00CD3CD0">
            <w:pPr>
              <w:jc w:val="center"/>
              <w:rPr>
                <w:b/>
                <w:bCs/>
                <w:sz w:val="20"/>
                <w:szCs w:val="20"/>
              </w:rPr>
            </w:pPr>
            <w:r w:rsidRPr="007B2669">
              <w:rPr>
                <w:b/>
                <w:bCs/>
                <w:sz w:val="20"/>
                <w:szCs w:val="20"/>
              </w:rPr>
              <w:t xml:space="preserve"> N</w:t>
            </w:r>
            <w:r>
              <w:rPr>
                <w:b/>
                <w:bCs/>
                <w:sz w:val="20"/>
                <w:szCs w:val="20"/>
              </w:rPr>
              <w:t xml:space="preserve">umber </w:t>
            </w:r>
            <w:r w:rsidRPr="007B2669">
              <w:rPr>
                <w:b/>
                <w:bCs/>
                <w:sz w:val="20"/>
                <w:szCs w:val="20"/>
              </w:rPr>
              <w:t>(%)</w:t>
            </w:r>
          </w:p>
        </w:tc>
      </w:tr>
      <w:tr w:rsidR="00463F43" w:rsidRPr="00A42F6F" w14:paraId="68C0A35E" w14:textId="77777777" w:rsidTr="00CD3CD0">
        <w:trPr>
          <w:trHeight w:val="379"/>
        </w:trPr>
        <w:tc>
          <w:tcPr>
            <w:tcW w:w="2454" w:type="dxa"/>
            <w:tcBorders>
              <w:bottom w:val="single" w:sz="4" w:space="0" w:color="auto"/>
            </w:tcBorders>
          </w:tcPr>
          <w:p w14:paraId="718016D1" w14:textId="77777777" w:rsidR="00463F43" w:rsidRPr="00A42F6F" w:rsidRDefault="00463F43" w:rsidP="00CD3CD0">
            <w:pPr>
              <w:jc w:val="center"/>
              <w:rPr>
                <w:sz w:val="20"/>
                <w:szCs w:val="20"/>
              </w:rPr>
            </w:pPr>
            <w:r w:rsidRPr="00A42F6F">
              <w:rPr>
                <w:sz w:val="20"/>
                <w:szCs w:val="20"/>
              </w:rPr>
              <w:t>Face to face</w:t>
            </w:r>
          </w:p>
        </w:tc>
        <w:tc>
          <w:tcPr>
            <w:tcW w:w="2024" w:type="dxa"/>
            <w:tcBorders>
              <w:bottom w:val="single" w:sz="4" w:space="0" w:color="auto"/>
            </w:tcBorders>
          </w:tcPr>
          <w:p w14:paraId="59F8463C" w14:textId="77777777" w:rsidR="00463F43" w:rsidRPr="00A42F6F" w:rsidRDefault="00463F43" w:rsidP="00CD3CD0">
            <w:pPr>
              <w:jc w:val="center"/>
              <w:rPr>
                <w:sz w:val="20"/>
                <w:szCs w:val="20"/>
              </w:rPr>
            </w:pPr>
            <w:r w:rsidRPr="00A42F6F">
              <w:rPr>
                <w:sz w:val="20"/>
                <w:szCs w:val="20"/>
              </w:rPr>
              <w:t>980</w:t>
            </w:r>
          </w:p>
        </w:tc>
        <w:tc>
          <w:tcPr>
            <w:tcW w:w="2241" w:type="dxa"/>
            <w:tcBorders>
              <w:bottom w:val="single" w:sz="4" w:space="0" w:color="auto"/>
            </w:tcBorders>
          </w:tcPr>
          <w:p w14:paraId="24AB64CF" w14:textId="77777777" w:rsidR="00463F43" w:rsidRPr="00A42F6F" w:rsidRDefault="00463F43" w:rsidP="00CD3CD0">
            <w:pPr>
              <w:jc w:val="center"/>
              <w:rPr>
                <w:sz w:val="20"/>
                <w:szCs w:val="20"/>
              </w:rPr>
            </w:pPr>
            <w:r w:rsidRPr="00A42F6F">
              <w:rPr>
                <w:sz w:val="20"/>
                <w:szCs w:val="20"/>
              </w:rPr>
              <w:t>725 (74)</w:t>
            </w:r>
          </w:p>
        </w:tc>
        <w:tc>
          <w:tcPr>
            <w:tcW w:w="2241" w:type="dxa"/>
            <w:tcBorders>
              <w:bottom w:val="single" w:sz="4" w:space="0" w:color="auto"/>
            </w:tcBorders>
          </w:tcPr>
          <w:p w14:paraId="5E471A16" w14:textId="77777777" w:rsidR="00463F43" w:rsidRPr="00A42F6F" w:rsidRDefault="00463F43" w:rsidP="00CD3CD0">
            <w:pPr>
              <w:jc w:val="center"/>
              <w:rPr>
                <w:sz w:val="20"/>
                <w:szCs w:val="20"/>
              </w:rPr>
            </w:pPr>
            <w:r w:rsidRPr="00A42F6F">
              <w:rPr>
                <w:sz w:val="20"/>
                <w:szCs w:val="20"/>
              </w:rPr>
              <w:t>255 (26)</w:t>
            </w:r>
          </w:p>
        </w:tc>
      </w:tr>
      <w:tr w:rsidR="00463F43" w:rsidRPr="00A42F6F" w14:paraId="1C7330DE" w14:textId="77777777" w:rsidTr="00CD3CD0">
        <w:trPr>
          <w:trHeight w:val="412"/>
        </w:trPr>
        <w:tc>
          <w:tcPr>
            <w:tcW w:w="2454" w:type="dxa"/>
            <w:tcBorders>
              <w:bottom w:val="single" w:sz="4" w:space="0" w:color="auto"/>
            </w:tcBorders>
          </w:tcPr>
          <w:p w14:paraId="41484423" w14:textId="77777777" w:rsidR="00463F43" w:rsidRPr="00A42F6F" w:rsidRDefault="00463F43" w:rsidP="00CD3CD0">
            <w:pPr>
              <w:jc w:val="center"/>
              <w:rPr>
                <w:sz w:val="20"/>
                <w:szCs w:val="20"/>
              </w:rPr>
            </w:pPr>
            <w:r w:rsidRPr="00A42F6F">
              <w:rPr>
                <w:sz w:val="20"/>
                <w:szCs w:val="20"/>
              </w:rPr>
              <w:t>Online</w:t>
            </w:r>
          </w:p>
        </w:tc>
        <w:tc>
          <w:tcPr>
            <w:tcW w:w="2024" w:type="dxa"/>
            <w:tcBorders>
              <w:bottom w:val="single" w:sz="4" w:space="0" w:color="auto"/>
            </w:tcBorders>
          </w:tcPr>
          <w:p w14:paraId="0C6AB747" w14:textId="77777777" w:rsidR="00463F43" w:rsidRPr="00A42F6F" w:rsidRDefault="00463F43" w:rsidP="00CD3CD0">
            <w:pPr>
              <w:jc w:val="center"/>
              <w:rPr>
                <w:sz w:val="20"/>
                <w:szCs w:val="20"/>
              </w:rPr>
            </w:pPr>
            <w:r w:rsidRPr="00A42F6F">
              <w:rPr>
                <w:sz w:val="20"/>
                <w:szCs w:val="20"/>
              </w:rPr>
              <w:t>3.501</w:t>
            </w:r>
          </w:p>
        </w:tc>
        <w:tc>
          <w:tcPr>
            <w:tcW w:w="2241" w:type="dxa"/>
            <w:tcBorders>
              <w:bottom w:val="single" w:sz="4" w:space="0" w:color="auto"/>
            </w:tcBorders>
          </w:tcPr>
          <w:p w14:paraId="7505D9FC" w14:textId="77777777" w:rsidR="00463F43" w:rsidRPr="00A42F6F" w:rsidRDefault="00463F43" w:rsidP="00CD3CD0">
            <w:pPr>
              <w:jc w:val="center"/>
              <w:rPr>
                <w:sz w:val="20"/>
                <w:szCs w:val="20"/>
              </w:rPr>
            </w:pPr>
            <w:r w:rsidRPr="00A42F6F">
              <w:rPr>
                <w:sz w:val="20"/>
                <w:szCs w:val="20"/>
              </w:rPr>
              <w:t>896 (26)</w:t>
            </w:r>
          </w:p>
        </w:tc>
        <w:tc>
          <w:tcPr>
            <w:tcW w:w="2241" w:type="dxa"/>
            <w:tcBorders>
              <w:bottom w:val="single" w:sz="4" w:space="0" w:color="auto"/>
            </w:tcBorders>
          </w:tcPr>
          <w:p w14:paraId="7C88856A" w14:textId="77777777" w:rsidR="00463F43" w:rsidRPr="00A42F6F" w:rsidRDefault="00463F43" w:rsidP="00CD3CD0">
            <w:pPr>
              <w:jc w:val="center"/>
              <w:rPr>
                <w:sz w:val="20"/>
                <w:szCs w:val="20"/>
              </w:rPr>
            </w:pPr>
            <w:r w:rsidRPr="00A42F6F">
              <w:rPr>
                <w:sz w:val="20"/>
                <w:szCs w:val="20"/>
              </w:rPr>
              <w:t>2,605 (74)</w:t>
            </w:r>
          </w:p>
        </w:tc>
      </w:tr>
      <w:tr w:rsidR="00463F43" w:rsidRPr="00A42F6F" w14:paraId="7126455D" w14:textId="77777777" w:rsidTr="00CD3CD0">
        <w:trPr>
          <w:trHeight w:val="419"/>
        </w:trPr>
        <w:tc>
          <w:tcPr>
            <w:tcW w:w="2454" w:type="dxa"/>
            <w:tcBorders>
              <w:top w:val="single" w:sz="4" w:space="0" w:color="auto"/>
            </w:tcBorders>
          </w:tcPr>
          <w:p w14:paraId="0A2663C8" w14:textId="77777777" w:rsidR="00463F43" w:rsidRPr="00A42F6F" w:rsidRDefault="00463F43" w:rsidP="00CD3CD0">
            <w:pPr>
              <w:jc w:val="center"/>
              <w:rPr>
                <w:b/>
                <w:bCs/>
                <w:sz w:val="20"/>
                <w:szCs w:val="20"/>
              </w:rPr>
            </w:pPr>
            <w:r w:rsidRPr="00A42F6F">
              <w:rPr>
                <w:b/>
                <w:bCs/>
                <w:sz w:val="20"/>
                <w:szCs w:val="20"/>
              </w:rPr>
              <w:t>Total</w:t>
            </w:r>
          </w:p>
        </w:tc>
        <w:tc>
          <w:tcPr>
            <w:tcW w:w="2024" w:type="dxa"/>
            <w:tcBorders>
              <w:top w:val="single" w:sz="4" w:space="0" w:color="auto"/>
            </w:tcBorders>
          </w:tcPr>
          <w:p w14:paraId="7DCEACCB" w14:textId="77777777" w:rsidR="00463F43" w:rsidRPr="00A42F6F" w:rsidRDefault="00463F43" w:rsidP="00CD3CD0">
            <w:pPr>
              <w:jc w:val="center"/>
              <w:rPr>
                <w:b/>
                <w:bCs/>
                <w:sz w:val="20"/>
                <w:szCs w:val="20"/>
              </w:rPr>
            </w:pPr>
            <w:r w:rsidRPr="00A42F6F">
              <w:rPr>
                <w:b/>
                <w:bCs/>
                <w:sz w:val="20"/>
                <w:szCs w:val="20"/>
              </w:rPr>
              <w:t>4,481</w:t>
            </w:r>
          </w:p>
        </w:tc>
        <w:tc>
          <w:tcPr>
            <w:tcW w:w="2241" w:type="dxa"/>
            <w:tcBorders>
              <w:top w:val="single" w:sz="4" w:space="0" w:color="auto"/>
            </w:tcBorders>
          </w:tcPr>
          <w:p w14:paraId="7CC7F056" w14:textId="77777777" w:rsidR="00463F43" w:rsidRPr="00A42F6F" w:rsidRDefault="00463F43" w:rsidP="00CD3CD0">
            <w:pPr>
              <w:jc w:val="center"/>
              <w:rPr>
                <w:b/>
                <w:bCs/>
                <w:sz w:val="20"/>
                <w:szCs w:val="20"/>
              </w:rPr>
            </w:pPr>
            <w:r w:rsidRPr="00A42F6F">
              <w:rPr>
                <w:b/>
                <w:bCs/>
                <w:sz w:val="20"/>
                <w:szCs w:val="20"/>
              </w:rPr>
              <w:t>1,621 (36% average)</w:t>
            </w:r>
          </w:p>
        </w:tc>
        <w:tc>
          <w:tcPr>
            <w:tcW w:w="2241" w:type="dxa"/>
            <w:tcBorders>
              <w:top w:val="single" w:sz="4" w:space="0" w:color="auto"/>
            </w:tcBorders>
          </w:tcPr>
          <w:p w14:paraId="1D5C188B" w14:textId="77777777" w:rsidR="00463F43" w:rsidRPr="00A42F6F" w:rsidRDefault="00463F43" w:rsidP="00CD3CD0">
            <w:pPr>
              <w:jc w:val="center"/>
              <w:rPr>
                <w:b/>
                <w:bCs/>
                <w:sz w:val="20"/>
                <w:szCs w:val="20"/>
              </w:rPr>
            </w:pPr>
            <w:r w:rsidRPr="00A42F6F">
              <w:rPr>
                <w:b/>
                <w:bCs/>
                <w:sz w:val="20"/>
                <w:szCs w:val="20"/>
              </w:rPr>
              <w:t>2,860 (64% average)</w:t>
            </w:r>
          </w:p>
        </w:tc>
      </w:tr>
    </w:tbl>
    <w:p w14:paraId="643FFBD1" w14:textId="77777777" w:rsidR="00463F43" w:rsidRDefault="00463F43" w:rsidP="00463F43">
      <w:pPr>
        <w:jc w:val="center"/>
      </w:pPr>
    </w:p>
    <w:p w14:paraId="05AC64A9" w14:textId="472354E3" w:rsidR="00463F43" w:rsidRDefault="00463F43" w:rsidP="00463F43">
      <w:r>
        <w:t>STG2</w:t>
      </w:r>
      <w:r w:rsidRPr="00A42F6F">
        <w:t xml:space="preserve"> was funded </w:t>
      </w:r>
      <w:r>
        <w:t xml:space="preserve">by all governments </w:t>
      </w:r>
      <w:r w:rsidRPr="00A42F6F">
        <w:t>($625,000) and recruited 5,527 individuals</w:t>
      </w:r>
      <w:r>
        <w:t xml:space="preserve"> between </w:t>
      </w:r>
      <w:r w:rsidR="006D018C">
        <w:t>July </w:t>
      </w:r>
      <w:r>
        <w:t>2020</w:t>
      </w:r>
      <w:r w:rsidR="006D018C">
        <w:noBreakHyphen/>
      </w:r>
      <w:r>
        <w:t xml:space="preserve">April 2021. The </w:t>
      </w:r>
      <w:r w:rsidR="006D018C">
        <w:t xml:space="preserve">buccal </w:t>
      </w:r>
      <w:r>
        <w:t xml:space="preserve">swabs used had to be listed on the ARTG. PathWest performed the HLA typing, whilst Histogenetics performed the ABO and Rh blood group and CMV status testing. </w:t>
      </w:r>
    </w:p>
    <w:p w14:paraId="419E51CE" w14:textId="77777777" w:rsidR="00463F43" w:rsidRDefault="00463F43" w:rsidP="00463F43">
      <w:pPr>
        <w:rPr>
          <w:rFonts w:cstheme="minorHAnsi"/>
        </w:rPr>
      </w:pPr>
      <w:r w:rsidRPr="00197902">
        <w:rPr>
          <w:rFonts w:cstheme="minorHAnsi"/>
        </w:rPr>
        <w:t xml:space="preserve">Australia is a country of mixed ethnicity, comprising of </w:t>
      </w:r>
      <w:r>
        <w:rPr>
          <w:rFonts w:cstheme="minorHAnsi"/>
        </w:rPr>
        <w:t>i</w:t>
      </w:r>
      <w:r w:rsidRPr="00197902">
        <w:rPr>
          <w:rFonts w:cstheme="minorHAnsi"/>
        </w:rPr>
        <w:t>ndigenous people, descendants of European settlement and immigrants from other nations</w:t>
      </w:r>
      <w:r>
        <w:rPr>
          <w:rFonts w:cstheme="minorHAnsi"/>
        </w:rPr>
        <w:t xml:space="preserve"> making Australia their home</w:t>
      </w:r>
      <w:r w:rsidRPr="00197902">
        <w:rPr>
          <w:rFonts w:cstheme="minorHAnsi"/>
        </w:rPr>
        <w:t xml:space="preserve">. In 2021, </w:t>
      </w:r>
      <w:r>
        <w:rPr>
          <w:rFonts w:cstheme="minorHAnsi"/>
        </w:rPr>
        <w:t>Aboriginal and Torres Strait Islander First Nation people accounted for 3.2% of the population</w:t>
      </w:r>
      <w:r>
        <w:rPr>
          <w:rStyle w:val="FootnoteReference"/>
          <w:rFonts w:cstheme="minorHAnsi"/>
        </w:rPr>
        <w:footnoteReference w:id="19"/>
      </w:r>
      <w:r>
        <w:rPr>
          <w:rFonts w:cstheme="minorHAnsi"/>
        </w:rPr>
        <w:t xml:space="preserve">,  with variation across States and Territories. </w:t>
      </w:r>
      <w:r w:rsidRPr="00FA5A4E">
        <w:rPr>
          <w:rFonts w:cstheme="minorHAnsi"/>
          <w:color w:val="000000"/>
          <w:shd w:val="clear" w:color="auto" w:fill="FFFFFF"/>
        </w:rPr>
        <w:t>In 2021, 29.1% of Australia's resident population were born overseas (7.5 million migrants)</w:t>
      </w:r>
      <w:r w:rsidRPr="00FA5A4E">
        <w:rPr>
          <w:rStyle w:val="FootnoteReference"/>
          <w:rFonts w:cstheme="minorHAnsi"/>
          <w:color w:val="000000"/>
          <w:shd w:val="clear" w:color="auto" w:fill="FFFFFF"/>
        </w:rPr>
        <w:footnoteReference w:id="20"/>
      </w:r>
      <w:r>
        <w:rPr>
          <w:rFonts w:cstheme="minorHAnsi"/>
          <w:color w:val="000000"/>
          <w:shd w:val="clear" w:color="auto" w:fill="FFFFFF"/>
        </w:rPr>
        <w:t xml:space="preserve">.  </w:t>
      </w:r>
      <w:r w:rsidRPr="00C81088">
        <w:rPr>
          <w:rFonts w:cstheme="minorHAnsi"/>
        </w:rPr>
        <w:t>Australian patients from non-Caucasian and Indigenous populations are less likely to find a suitably matched Australian donor in the current register</w:t>
      </w:r>
      <w:r>
        <w:rPr>
          <w:rStyle w:val="FootnoteReference"/>
          <w:rFonts w:cstheme="minorHAnsi"/>
        </w:rPr>
        <w:footnoteReference w:id="21"/>
      </w:r>
      <w:r>
        <w:rPr>
          <w:rFonts w:cstheme="minorHAnsi"/>
        </w:rPr>
        <w:t xml:space="preserve"> (Figure 3). </w:t>
      </w:r>
    </w:p>
    <w:p w14:paraId="71B51E54" w14:textId="73F04C54" w:rsidR="00463F43" w:rsidRDefault="00463F43" w:rsidP="00463F43">
      <w:pPr>
        <w:rPr>
          <w:rFonts w:cstheme="minorHAnsi"/>
        </w:rPr>
      </w:pPr>
      <w:r w:rsidRPr="00C81088">
        <w:rPr>
          <w:rFonts w:cstheme="minorHAnsi"/>
        </w:rPr>
        <w:t xml:space="preserve">Since 2021, Lifeblood has been requested </w:t>
      </w:r>
      <w:r>
        <w:rPr>
          <w:rFonts w:cstheme="minorHAnsi"/>
        </w:rPr>
        <w:t xml:space="preserve">by ABMDR </w:t>
      </w:r>
      <w:r w:rsidRPr="00C81088">
        <w:rPr>
          <w:rFonts w:cstheme="minorHAnsi"/>
        </w:rPr>
        <w:t xml:space="preserve">to target the preferred </w:t>
      </w:r>
      <w:r w:rsidR="006D018C">
        <w:rPr>
          <w:rFonts w:cstheme="minorHAnsi"/>
        </w:rPr>
        <w:t xml:space="preserve">HPC </w:t>
      </w:r>
      <w:r w:rsidRPr="00C81088">
        <w:rPr>
          <w:rFonts w:cstheme="minorHAnsi"/>
        </w:rPr>
        <w:t>donor demographic</w:t>
      </w:r>
      <w:r>
        <w:rPr>
          <w:rFonts w:cstheme="minorHAnsi"/>
        </w:rPr>
        <w:t xml:space="preserve"> (male: 18-35 years). Lifeblood collects primary and secondary self-declared ethnicity from blood donors</w:t>
      </w:r>
      <w:r w:rsidRPr="00C81088">
        <w:rPr>
          <w:rFonts w:cstheme="minorHAnsi"/>
        </w:rPr>
        <w:t>.</w:t>
      </w:r>
      <w:r>
        <w:rPr>
          <w:rFonts w:cstheme="minorHAnsi"/>
        </w:rPr>
        <w:t xml:space="preserve"> </w:t>
      </w:r>
      <w:r w:rsidRPr="00FF2AE9">
        <w:t>In FY2021-22</w:t>
      </w:r>
      <w:r>
        <w:t>,</w:t>
      </w:r>
      <w:r w:rsidRPr="00FF2AE9">
        <w:t xml:space="preserve"> 93,431 new blood donors were recruited by Lifeblood across Australia</w:t>
      </w:r>
      <w:r>
        <w:t xml:space="preserve">. In the new blood donor pool, 24,904 (26.55%) were male and aged 18-35 years of age. </w:t>
      </w:r>
      <w:r>
        <w:rPr>
          <w:rFonts w:cstheme="minorHAnsi"/>
        </w:rPr>
        <w:t>42% of the new male donors aged 18-35 years identified British/Irish ethnicity as their primary ethnicity listed, with 40% of these donors listing non-British/Irish ethnicity as their secondary ethnicity</w:t>
      </w:r>
      <w:r>
        <w:rPr>
          <w:rStyle w:val="FootnoteReference"/>
          <w:rFonts w:cstheme="minorHAnsi"/>
        </w:rPr>
        <w:footnoteReference w:id="22"/>
      </w:r>
      <w:r>
        <w:rPr>
          <w:rFonts w:cstheme="minorHAnsi"/>
        </w:rPr>
        <w:t xml:space="preserve">. This indicates the Australian blood donor pool has donors with mixed ethnicity who could be recruited to the national registry. </w:t>
      </w:r>
    </w:p>
    <w:p w14:paraId="4C597C31" w14:textId="77777777" w:rsidR="00463F43" w:rsidRDefault="00463F43" w:rsidP="00463F43">
      <w:pPr>
        <w:pStyle w:val="Heading5"/>
        <w:jc w:val="center"/>
        <w:rPr>
          <w:rFonts w:cstheme="minorHAnsi"/>
        </w:rPr>
      </w:pPr>
      <w:r>
        <w:rPr>
          <w:noProof/>
        </w:rPr>
        <w:drawing>
          <wp:anchor distT="0" distB="0" distL="114300" distR="114300" simplePos="0" relativeHeight="251661312" behindDoc="1" locked="0" layoutInCell="1" allowOverlap="1" wp14:anchorId="2EEAE8BD" wp14:editId="04EF625F">
            <wp:simplePos x="0" y="0"/>
            <wp:positionH relativeFrom="page">
              <wp:posOffset>695537</wp:posOffset>
            </wp:positionH>
            <wp:positionV relativeFrom="paragraph">
              <wp:posOffset>407459</wp:posOffset>
            </wp:positionV>
            <wp:extent cx="6407150" cy="3276600"/>
            <wp:effectExtent l="0" t="0" r="0" b="0"/>
            <wp:wrapTight wrapText="bothSides">
              <wp:wrapPolygon edited="0">
                <wp:start x="0" y="0"/>
                <wp:lineTo x="0" y="21474"/>
                <wp:lineTo x="21514" y="21474"/>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407150" cy="3276600"/>
                    </a:xfrm>
                    <a:prstGeom prst="rect">
                      <a:avLst/>
                    </a:prstGeom>
                  </pic:spPr>
                </pic:pic>
              </a:graphicData>
            </a:graphic>
            <wp14:sizeRelH relativeFrom="page">
              <wp14:pctWidth>0</wp14:pctWidth>
            </wp14:sizeRelH>
            <wp14:sizeRelV relativeFrom="page">
              <wp14:pctHeight>0</wp14:pctHeight>
            </wp14:sizeRelV>
          </wp:anchor>
        </w:drawing>
      </w:r>
      <w:r w:rsidRPr="00D519CB">
        <w:t xml:space="preserve">Figure </w:t>
      </w:r>
      <w:r>
        <w:t>3</w:t>
      </w:r>
      <w:r w:rsidRPr="00D519CB">
        <w:t>.  Ethnic diversity of patients requiring transplant and the HPC donor p</w:t>
      </w:r>
      <w:r w:rsidRPr="00C24EB2">
        <w:t>ool</w:t>
      </w:r>
    </w:p>
    <w:p w14:paraId="1FFE516C" w14:textId="77777777" w:rsidR="00463F43" w:rsidRDefault="00463F43" w:rsidP="00463F43">
      <w:pPr>
        <w:rPr>
          <w:rFonts w:cstheme="minorHAnsi"/>
        </w:rPr>
      </w:pPr>
    </w:p>
    <w:p w14:paraId="7A866C1B" w14:textId="0CC87105" w:rsidR="00463F43" w:rsidRDefault="00463F43" w:rsidP="00463F43">
      <w:r>
        <w:rPr>
          <w:rFonts w:cstheme="minorHAnsi"/>
        </w:rPr>
        <w:t>There was insufficient evidence from the STG pilot programs that donors recruited differed in self</w:t>
      </w:r>
      <w:r w:rsidR="006D018C">
        <w:rPr>
          <w:rFonts w:cstheme="minorHAnsi"/>
        </w:rPr>
        <w:noBreakHyphen/>
      </w:r>
      <w:r>
        <w:rPr>
          <w:rFonts w:cstheme="minorHAnsi"/>
        </w:rPr>
        <w:t xml:space="preserve">reported ancestry to those recruited by Lifeblood, thereby improving the diversity of the registry. However, 39% of </w:t>
      </w:r>
      <w:r w:rsidRPr="00525DAF">
        <w:rPr>
          <w:rFonts w:cstheme="minorHAnsi"/>
        </w:rPr>
        <w:t xml:space="preserve">donors recruited through the STG </w:t>
      </w:r>
      <w:r w:rsidR="006D018C">
        <w:rPr>
          <w:rFonts w:cstheme="minorHAnsi"/>
        </w:rPr>
        <w:t xml:space="preserve">pilot </w:t>
      </w:r>
      <w:r w:rsidRPr="00525DAF">
        <w:rPr>
          <w:rFonts w:cstheme="minorHAnsi"/>
        </w:rPr>
        <w:t>programs self-declared ethnicity was not North</w:t>
      </w:r>
      <w:r>
        <w:rPr>
          <w:rFonts w:cstheme="minorHAnsi"/>
        </w:rPr>
        <w:t>-</w:t>
      </w:r>
      <w:r w:rsidRPr="00525DAF">
        <w:rPr>
          <w:rFonts w:cstheme="minorHAnsi"/>
        </w:rPr>
        <w:t>West European</w:t>
      </w:r>
      <w:r>
        <w:rPr>
          <w:rFonts w:cstheme="minorHAnsi"/>
        </w:rPr>
        <w:t>,</w:t>
      </w:r>
      <w:r w:rsidRPr="00525DAF">
        <w:rPr>
          <w:rFonts w:cstheme="minorHAnsi"/>
        </w:rPr>
        <w:t xml:space="preserve"> </w:t>
      </w:r>
      <w:r w:rsidRPr="00525DAF">
        <w:t>reflect</w:t>
      </w:r>
      <w:r>
        <w:t xml:space="preserve">ing </w:t>
      </w:r>
      <w:r w:rsidRPr="00525DAF">
        <w:t>populations that are currently under-represented in the ABMDR</w:t>
      </w:r>
      <w:r>
        <w:t xml:space="preserve"> (Table 5)</w:t>
      </w:r>
      <w:r w:rsidRPr="00525DAF">
        <w:t xml:space="preserve">. From the </w:t>
      </w:r>
      <w:r>
        <w:t>STG</w:t>
      </w:r>
      <w:r w:rsidRPr="00525DAF">
        <w:t xml:space="preserve"> ethnicity data, those recruits that did not have an ethnicity specified are assumed to be from the commonest populations</w:t>
      </w:r>
      <w:r>
        <w:t>.</w:t>
      </w:r>
    </w:p>
    <w:p w14:paraId="11EE39C7" w14:textId="77777777" w:rsidR="00463F43" w:rsidRDefault="00463F43" w:rsidP="00463F43"/>
    <w:p w14:paraId="7B2B4568" w14:textId="77777777" w:rsidR="00463F43" w:rsidRPr="00525DAF" w:rsidRDefault="00463F43" w:rsidP="00463F43">
      <w:pPr>
        <w:pStyle w:val="Heading5"/>
        <w:jc w:val="center"/>
      </w:pPr>
      <w:r w:rsidRPr="00525DAF">
        <w:t>Table 5.  Ethnicity data from ABMDR STG recruitment programs</w:t>
      </w:r>
    </w:p>
    <w:tbl>
      <w:tblPr>
        <w:tblStyle w:val="TableGrid5"/>
        <w:tblW w:w="0" w:type="auto"/>
        <w:jc w:val="center"/>
        <w:tblLook w:val="04A0" w:firstRow="1" w:lastRow="0" w:firstColumn="1" w:lastColumn="0" w:noHBand="0" w:noVBand="1"/>
      </w:tblPr>
      <w:tblGrid>
        <w:gridCol w:w="5524"/>
        <w:gridCol w:w="2739"/>
      </w:tblGrid>
      <w:tr w:rsidR="00463F43" w:rsidRPr="00525DAF" w14:paraId="739C02ED" w14:textId="77777777" w:rsidTr="00CD3CD0">
        <w:trPr>
          <w:trHeight w:val="129"/>
          <w:jc w:val="center"/>
        </w:trPr>
        <w:tc>
          <w:tcPr>
            <w:tcW w:w="5524" w:type="dxa"/>
            <w:shd w:val="clear" w:color="auto" w:fill="D9D9D9" w:themeFill="background1" w:themeFillShade="D9"/>
          </w:tcPr>
          <w:p w14:paraId="461296E0" w14:textId="77777777" w:rsidR="00463F43" w:rsidRPr="00525DAF" w:rsidRDefault="00463F43" w:rsidP="00CD3CD0">
            <w:pPr>
              <w:spacing w:line="252" w:lineRule="auto"/>
              <w:rPr>
                <w:b/>
                <w:bCs/>
              </w:rPr>
            </w:pPr>
            <w:r w:rsidRPr="00525DAF">
              <w:rPr>
                <w:b/>
                <w:bCs/>
              </w:rPr>
              <w:t>Descriptor</w:t>
            </w:r>
          </w:p>
        </w:tc>
        <w:tc>
          <w:tcPr>
            <w:tcW w:w="2739" w:type="dxa"/>
            <w:shd w:val="clear" w:color="auto" w:fill="D9D9D9" w:themeFill="background1" w:themeFillShade="D9"/>
          </w:tcPr>
          <w:p w14:paraId="5232DF06" w14:textId="77777777" w:rsidR="00463F43" w:rsidRDefault="00463F43" w:rsidP="00CD3CD0">
            <w:pPr>
              <w:spacing w:line="252" w:lineRule="auto"/>
              <w:jc w:val="center"/>
              <w:rPr>
                <w:b/>
                <w:bCs/>
              </w:rPr>
            </w:pPr>
            <w:r>
              <w:rPr>
                <w:b/>
                <w:bCs/>
              </w:rPr>
              <w:t>Data:</w:t>
            </w:r>
          </w:p>
          <w:p w14:paraId="04A2C63F" w14:textId="77777777" w:rsidR="00463F43" w:rsidRPr="00525DAF" w:rsidRDefault="00463F43" w:rsidP="00CD3CD0">
            <w:pPr>
              <w:spacing w:line="252" w:lineRule="auto"/>
              <w:jc w:val="center"/>
              <w:rPr>
                <w:b/>
                <w:bCs/>
              </w:rPr>
            </w:pPr>
            <w:r>
              <w:rPr>
                <w:b/>
                <w:bCs/>
              </w:rPr>
              <w:t>Number (%)</w:t>
            </w:r>
          </w:p>
        </w:tc>
      </w:tr>
      <w:tr w:rsidR="00463F43" w:rsidRPr="00525DAF" w14:paraId="5DD0B5A5" w14:textId="77777777" w:rsidTr="00CD3CD0">
        <w:trPr>
          <w:trHeight w:val="129"/>
          <w:jc w:val="center"/>
        </w:trPr>
        <w:tc>
          <w:tcPr>
            <w:tcW w:w="5524" w:type="dxa"/>
            <w:hideMark/>
          </w:tcPr>
          <w:p w14:paraId="43292619" w14:textId="77777777" w:rsidR="00463F43" w:rsidRPr="00525DAF" w:rsidRDefault="00463F43" w:rsidP="00CD3CD0">
            <w:pPr>
              <w:spacing w:line="252" w:lineRule="auto"/>
              <w:rPr>
                <w:sz w:val="20"/>
                <w:szCs w:val="20"/>
              </w:rPr>
            </w:pPr>
            <w:r w:rsidRPr="00525DAF">
              <w:t>Total searchable donors (both STG)</w:t>
            </w:r>
          </w:p>
        </w:tc>
        <w:tc>
          <w:tcPr>
            <w:tcW w:w="2739" w:type="dxa"/>
          </w:tcPr>
          <w:p w14:paraId="1CA76B6B" w14:textId="77777777" w:rsidR="00463F43" w:rsidRPr="00525DAF" w:rsidRDefault="00463F43" w:rsidP="00CD3CD0">
            <w:pPr>
              <w:spacing w:line="252" w:lineRule="auto"/>
              <w:jc w:val="center"/>
            </w:pPr>
            <w:r w:rsidRPr="00525DAF">
              <w:t>11,067</w:t>
            </w:r>
          </w:p>
        </w:tc>
      </w:tr>
      <w:tr w:rsidR="00463F43" w:rsidRPr="00525DAF" w14:paraId="609AC382" w14:textId="77777777" w:rsidTr="00CD3CD0">
        <w:trPr>
          <w:trHeight w:val="137"/>
          <w:jc w:val="center"/>
        </w:trPr>
        <w:tc>
          <w:tcPr>
            <w:tcW w:w="5524" w:type="dxa"/>
            <w:hideMark/>
          </w:tcPr>
          <w:p w14:paraId="2AD5699D" w14:textId="77777777" w:rsidR="00463F43" w:rsidRPr="00525DAF" w:rsidRDefault="00463F43" w:rsidP="00CD3CD0">
            <w:pPr>
              <w:spacing w:line="252" w:lineRule="auto"/>
            </w:pPr>
            <w:r w:rsidRPr="00525DAF">
              <w:t>Number of male recruits (% total)</w:t>
            </w:r>
          </w:p>
        </w:tc>
        <w:tc>
          <w:tcPr>
            <w:tcW w:w="2739" w:type="dxa"/>
          </w:tcPr>
          <w:p w14:paraId="58416A60" w14:textId="77777777" w:rsidR="00463F43" w:rsidRPr="00525DAF" w:rsidRDefault="00463F43" w:rsidP="00CD3CD0">
            <w:pPr>
              <w:spacing w:line="252" w:lineRule="auto"/>
              <w:jc w:val="center"/>
            </w:pPr>
            <w:r w:rsidRPr="00525DAF">
              <w:t>3,671 (33%)</w:t>
            </w:r>
          </w:p>
        </w:tc>
      </w:tr>
      <w:tr w:rsidR="00463F43" w:rsidRPr="00525DAF" w14:paraId="361AFA27" w14:textId="77777777" w:rsidTr="00CD3CD0">
        <w:trPr>
          <w:trHeight w:val="267"/>
          <w:jc w:val="center"/>
        </w:trPr>
        <w:tc>
          <w:tcPr>
            <w:tcW w:w="5524" w:type="dxa"/>
            <w:hideMark/>
          </w:tcPr>
          <w:p w14:paraId="2C4B3BE1" w14:textId="77777777" w:rsidR="00463F43" w:rsidRPr="00525DAF" w:rsidRDefault="00463F43" w:rsidP="00CD3CD0">
            <w:pPr>
              <w:spacing w:line="252" w:lineRule="auto"/>
              <w:rPr>
                <w:sz w:val="20"/>
                <w:szCs w:val="20"/>
              </w:rPr>
            </w:pPr>
            <w:r>
              <w:t>Recruits</w:t>
            </w:r>
            <w:r w:rsidRPr="00525DAF">
              <w:t xml:space="preserve"> with North</w:t>
            </w:r>
            <w:r>
              <w:t>-</w:t>
            </w:r>
            <w:r w:rsidRPr="00525DAF">
              <w:t>West European ethnicity (% total)</w:t>
            </w:r>
          </w:p>
        </w:tc>
        <w:tc>
          <w:tcPr>
            <w:tcW w:w="2739" w:type="dxa"/>
          </w:tcPr>
          <w:p w14:paraId="5D44DE8F" w14:textId="77777777" w:rsidR="00463F43" w:rsidRPr="00525DAF" w:rsidRDefault="00463F43" w:rsidP="00CD3CD0">
            <w:pPr>
              <w:spacing w:line="252" w:lineRule="auto"/>
              <w:jc w:val="center"/>
            </w:pPr>
            <w:r w:rsidRPr="00525DAF">
              <w:rPr>
                <w:i/>
                <w:iCs/>
              </w:rPr>
              <w:t xml:space="preserve"> </w:t>
            </w:r>
            <w:r w:rsidRPr="00525DAF">
              <w:t>(34%)</w:t>
            </w:r>
          </w:p>
        </w:tc>
      </w:tr>
      <w:tr w:rsidR="00463F43" w:rsidRPr="00525DAF" w14:paraId="04276202" w14:textId="77777777" w:rsidTr="00CD3CD0">
        <w:trPr>
          <w:trHeight w:val="267"/>
          <w:jc w:val="center"/>
        </w:trPr>
        <w:tc>
          <w:tcPr>
            <w:tcW w:w="5524" w:type="dxa"/>
            <w:hideMark/>
          </w:tcPr>
          <w:p w14:paraId="43FB7AB7" w14:textId="77777777" w:rsidR="00463F43" w:rsidRPr="00525DAF" w:rsidRDefault="00463F43" w:rsidP="00CD3CD0">
            <w:pPr>
              <w:spacing w:line="252" w:lineRule="auto"/>
            </w:pPr>
            <w:r>
              <w:t>Recruits</w:t>
            </w:r>
            <w:r w:rsidRPr="00525DAF">
              <w:t xml:space="preserve"> with unspecified self-reported ethnicity (% total)</w:t>
            </w:r>
          </w:p>
        </w:tc>
        <w:tc>
          <w:tcPr>
            <w:tcW w:w="2739" w:type="dxa"/>
          </w:tcPr>
          <w:p w14:paraId="219FA270" w14:textId="77777777" w:rsidR="00463F43" w:rsidRPr="00525DAF" w:rsidRDefault="00463F43" w:rsidP="00CD3CD0">
            <w:pPr>
              <w:spacing w:line="252" w:lineRule="auto"/>
              <w:jc w:val="center"/>
            </w:pPr>
            <w:r w:rsidRPr="00525DAF">
              <w:t xml:space="preserve"> (27%)</w:t>
            </w:r>
          </w:p>
        </w:tc>
      </w:tr>
      <w:tr w:rsidR="00463F43" w:rsidRPr="0047226D" w14:paraId="2BFA3A89" w14:textId="77777777" w:rsidTr="00CD3CD0">
        <w:trPr>
          <w:trHeight w:val="137"/>
          <w:jc w:val="center"/>
        </w:trPr>
        <w:tc>
          <w:tcPr>
            <w:tcW w:w="5524" w:type="dxa"/>
            <w:hideMark/>
          </w:tcPr>
          <w:p w14:paraId="75E7867E" w14:textId="77777777" w:rsidR="00463F43" w:rsidRPr="00525DAF" w:rsidRDefault="00463F43" w:rsidP="00CD3CD0">
            <w:pPr>
              <w:spacing w:line="252" w:lineRule="auto"/>
            </w:pPr>
            <w:r w:rsidRPr="00525DAF">
              <w:t xml:space="preserve">Proportion of </w:t>
            </w:r>
            <w:r>
              <w:t>recruits categorised a</w:t>
            </w:r>
            <w:r w:rsidRPr="00525DAF">
              <w:t xml:space="preserve"> category ‘diverse’, cumulatively reflecting low incidence ethnicity groups</w:t>
            </w:r>
          </w:p>
        </w:tc>
        <w:tc>
          <w:tcPr>
            <w:tcW w:w="2739" w:type="dxa"/>
          </w:tcPr>
          <w:p w14:paraId="4E1F9093" w14:textId="77777777" w:rsidR="00463F43" w:rsidRPr="00525DAF" w:rsidRDefault="00463F43" w:rsidP="00CD3CD0">
            <w:pPr>
              <w:spacing w:line="252" w:lineRule="auto"/>
              <w:jc w:val="center"/>
            </w:pPr>
            <w:r w:rsidRPr="00525DAF">
              <w:t>4,315 (39%)</w:t>
            </w:r>
          </w:p>
        </w:tc>
      </w:tr>
    </w:tbl>
    <w:p w14:paraId="39A45929" w14:textId="77777777" w:rsidR="00463F43" w:rsidRDefault="00463F43" w:rsidP="00463F43">
      <w:pPr>
        <w:rPr>
          <w:rFonts w:cstheme="minorHAnsi"/>
        </w:rPr>
      </w:pPr>
    </w:p>
    <w:p w14:paraId="70FD46FE" w14:textId="1AD52C89" w:rsidR="00463F43" w:rsidRDefault="00463F43" w:rsidP="00463F43">
      <w:pPr>
        <w:rPr>
          <w:rFonts w:cstheme="minorHAnsi"/>
        </w:rPr>
      </w:pPr>
      <w:r>
        <w:rPr>
          <w:rFonts w:cstheme="minorHAnsi"/>
        </w:rPr>
        <w:t>The ABMDR has advised it does not have the capability to analyse the national registry to determine if the HLA diversity of the</w:t>
      </w:r>
      <w:r w:rsidR="006D018C">
        <w:rPr>
          <w:rFonts w:cstheme="minorHAnsi"/>
        </w:rPr>
        <w:t xml:space="preserve"> national</w:t>
      </w:r>
      <w:r>
        <w:rPr>
          <w:rFonts w:cstheme="minorHAnsi"/>
        </w:rPr>
        <w:t xml:space="preserve"> registry mirrors the ethnic diversity of the registry and identify where any gaps exist. </w:t>
      </w:r>
    </w:p>
    <w:p w14:paraId="3F997AF4" w14:textId="77777777" w:rsidR="00463F43" w:rsidRPr="00DE5612" w:rsidRDefault="00463F43" w:rsidP="00463F43">
      <w:pPr>
        <w:pStyle w:val="Heading3"/>
      </w:pPr>
      <w:bookmarkStart w:id="26" w:name="_Toc134611360"/>
      <w:r>
        <w:t>S</w:t>
      </w:r>
      <w:r w:rsidRPr="00DE5612">
        <w:t>tandards for testing at HPC recruitment</w:t>
      </w:r>
      <w:r>
        <w:t xml:space="preserve"> – current practice</w:t>
      </w:r>
      <w:bookmarkEnd w:id="26"/>
    </w:p>
    <w:p w14:paraId="7E0EC611" w14:textId="77777777" w:rsidR="00463F43" w:rsidRDefault="00463F43" w:rsidP="00463F43">
      <w:r w:rsidRPr="00A42F6F">
        <w:t xml:space="preserve">The WMDA sets minimum standards for testing at recruitment and coordinates the results of HPC recruits worldwide, and states that “all testing must be carried out in a manner to ensure the accuracy of the data”. The testing performed in </w:t>
      </w:r>
      <w:r>
        <w:t xml:space="preserve">selected </w:t>
      </w:r>
      <w:r w:rsidRPr="00A42F6F">
        <w:t>other jurisdictions compared to Australia is shown in Appendix 1.</w:t>
      </w:r>
      <w:r>
        <w:t xml:space="preserve"> </w:t>
      </w:r>
      <w:r w:rsidRPr="00A42F6F">
        <w:t>The ABMDR standard mandates a higher resolution of HLA typing than the WMDA standard, and preferences blood group and CMV testing at initial recruitment rather than later at donor selection when verification typing is undertaken</w:t>
      </w:r>
      <w:r>
        <w:t xml:space="preserve"> (Table 6)</w:t>
      </w:r>
      <w:r w:rsidRPr="00A42F6F">
        <w:t>. Of note, for the ABMDR requirements, the timing of HLA testing as compared to blood group and CMV testing is not specified and may plausibly be undertaken separately.</w:t>
      </w:r>
    </w:p>
    <w:p w14:paraId="17D17BCE" w14:textId="77777777" w:rsidR="00463F43" w:rsidRPr="00043DD0" w:rsidRDefault="00463F43" w:rsidP="00463F43">
      <w:pPr>
        <w:pStyle w:val="Heading5"/>
        <w:jc w:val="center"/>
      </w:pPr>
      <w:r w:rsidRPr="003A2600">
        <w:t xml:space="preserve">Table </w:t>
      </w:r>
      <w:r>
        <w:t>6</w:t>
      </w:r>
      <w:r w:rsidRPr="00043DD0">
        <w:t xml:space="preserve">. Testing </w:t>
      </w:r>
      <w:r>
        <w:t>Standards</w:t>
      </w:r>
      <w:r w:rsidRPr="00043DD0">
        <w:t xml:space="preserve"> at </w:t>
      </w:r>
      <w:r>
        <w:t xml:space="preserve">HPC </w:t>
      </w:r>
      <w:r w:rsidRPr="00043DD0">
        <w:t>donor recruitment</w:t>
      </w:r>
    </w:p>
    <w:tbl>
      <w:tblPr>
        <w:tblStyle w:val="TableGrid2"/>
        <w:tblW w:w="0" w:type="auto"/>
        <w:jc w:val="center"/>
        <w:tblLook w:val="04A0" w:firstRow="1" w:lastRow="0" w:firstColumn="1" w:lastColumn="0" w:noHBand="0" w:noVBand="1"/>
      </w:tblPr>
      <w:tblGrid>
        <w:gridCol w:w="2303"/>
        <w:gridCol w:w="3526"/>
        <w:gridCol w:w="3169"/>
      </w:tblGrid>
      <w:tr w:rsidR="00463F43" w:rsidRPr="00A42F6F" w14:paraId="73BEDB4E" w14:textId="77777777" w:rsidTr="00CD3CD0">
        <w:trPr>
          <w:trHeight w:val="244"/>
          <w:jc w:val="center"/>
        </w:trPr>
        <w:tc>
          <w:tcPr>
            <w:tcW w:w="2303" w:type="dxa"/>
            <w:vMerge w:val="restart"/>
            <w:shd w:val="clear" w:color="auto" w:fill="D9D9D9" w:themeFill="background1" w:themeFillShade="D9"/>
          </w:tcPr>
          <w:p w14:paraId="5A874A9A" w14:textId="77777777" w:rsidR="00463F43" w:rsidRPr="00FC3A39" w:rsidRDefault="00463F43" w:rsidP="00CD3CD0">
            <w:pPr>
              <w:rPr>
                <w:b/>
                <w:bCs/>
                <w:sz w:val="20"/>
                <w:szCs w:val="20"/>
              </w:rPr>
            </w:pPr>
            <w:r w:rsidRPr="00FC3A39">
              <w:rPr>
                <w:b/>
                <w:bCs/>
                <w:sz w:val="20"/>
                <w:szCs w:val="20"/>
              </w:rPr>
              <w:t xml:space="preserve">Testing at HPC </w:t>
            </w:r>
            <w:r>
              <w:rPr>
                <w:b/>
                <w:bCs/>
                <w:sz w:val="20"/>
                <w:szCs w:val="20"/>
              </w:rPr>
              <w:t xml:space="preserve">donor </w:t>
            </w:r>
            <w:r w:rsidRPr="00FC3A39">
              <w:rPr>
                <w:b/>
                <w:bCs/>
                <w:sz w:val="20"/>
                <w:szCs w:val="20"/>
              </w:rPr>
              <w:t xml:space="preserve">recruitment </w:t>
            </w:r>
          </w:p>
        </w:tc>
        <w:tc>
          <w:tcPr>
            <w:tcW w:w="3526" w:type="dxa"/>
            <w:vMerge w:val="restart"/>
            <w:shd w:val="clear" w:color="auto" w:fill="D9D9D9" w:themeFill="background1" w:themeFillShade="D9"/>
            <w:vAlign w:val="center"/>
          </w:tcPr>
          <w:p w14:paraId="1345DBB3" w14:textId="77777777" w:rsidR="00463F43" w:rsidRPr="00FC3A39" w:rsidRDefault="00463F43" w:rsidP="00CD3CD0">
            <w:pPr>
              <w:jc w:val="center"/>
              <w:rPr>
                <w:b/>
                <w:bCs/>
                <w:sz w:val="20"/>
                <w:szCs w:val="20"/>
              </w:rPr>
            </w:pPr>
            <w:r w:rsidRPr="00FC3A39">
              <w:rPr>
                <w:b/>
                <w:bCs/>
                <w:sz w:val="20"/>
                <w:szCs w:val="20"/>
              </w:rPr>
              <w:t>WMDA standard</w:t>
            </w:r>
          </w:p>
        </w:tc>
        <w:tc>
          <w:tcPr>
            <w:tcW w:w="3169" w:type="dxa"/>
            <w:vMerge w:val="restart"/>
            <w:shd w:val="clear" w:color="auto" w:fill="D9D9D9" w:themeFill="background1" w:themeFillShade="D9"/>
            <w:vAlign w:val="center"/>
          </w:tcPr>
          <w:p w14:paraId="7A0A2F20" w14:textId="77777777" w:rsidR="00463F43" w:rsidRPr="00FC3A39" w:rsidRDefault="00463F43" w:rsidP="00CD3CD0">
            <w:pPr>
              <w:jc w:val="center"/>
              <w:rPr>
                <w:b/>
                <w:bCs/>
                <w:sz w:val="20"/>
                <w:szCs w:val="20"/>
              </w:rPr>
            </w:pPr>
            <w:r w:rsidRPr="00FC3A39">
              <w:rPr>
                <w:b/>
                <w:bCs/>
                <w:sz w:val="20"/>
                <w:szCs w:val="20"/>
              </w:rPr>
              <w:t>ABMDR standard</w:t>
            </w:r>
          </w:p>
        </w:tc>
      </w:tr>
      <w:tr w:rsidR="00463F43" w:rsidRPr="00A42F6F" w14:paraId="46114532" w14:textId="77777777" w:rsidTr="00CD3CD0">
        <w:trPr>
          <w:trHeight w:val="244"/>
          <w:jc w:val="center"/>
        </w:trPr>
        <w:tc>
          <w:tcPr>
            <w:tcW w:w="2303" w:type="dxa"/>
            <w:vMerge/>
            <w:shd w:val="clear" w:color="auto" w:fill="D9D9D9" w:themeFill="background1" w:themeFillShade="D9"/>
          </w:tcPr>
          <w:p w14:paraId="7BF022C3" w14:textId="77777777" w:rsidR="00463F43" w:rsidRPr="00A42F6F" w:rsidRDefault="00463F43" w:rsidP="00CD3CD0">
            <w:pPr>
              <w:rPr>
                <w:sz w:val="20"/>
                <w:szCs w:val="20"/>
              </w:rPr>
            </w:pPr>
          </w:p>
        </w:tc>
        <w:tc>
          <w:tcPr>
            <w:tcW w:w="3526" w:type="dxa"/>
            <w:vMerge/>
            <w:shd w:val="clear" w:color="auto" w:fill="D9D9D9" w:themeFill="background1" w:themeFillShade="D9"/>
          </w:tcPr>
          <w:p w14:paraId="4672948A" w14:textId="77777777" w:rsidR="00463F43" w:rsidRPr="00A42F6F" w:rsidRDefault="00463F43" w:rsidP="00CD3CD0">
            <w:pPr>
              <w:jc w:val="center"/>
              <w:rPr>
                <w:sz w:val="20"/>
                <w:szCs w:val="20"/>
              </w:rPr>
            </w:pPr>
          </w:p>
        </w:tc>
        <w:tc>
          <w:tcPr>
            <w:tcW w:w="3169" w:type="dxa"/>
            <w:vMerge/>
            <w:shd w:val="clear" w:color="auto" w:fill="D9D9D9" w:themeFill="background1" w:themeFillShade="D9"/>
          </w:tcPr>
          <w:p w14:paraId="34B95C28" w14:textId="77777777" w:rsidR="00463F43" w:rsidRPr="00A42F6F" w:rsidRDefault="00463F43" w:rsidP="00CD3CD0">
            <w:pPr>
              <w:jc w:val="center"/>
              <w:rPr>
                <w:sz w:val="20"/>
                <w:szCs w:val="20"/>
              </w:rPr>
            </w:pPr>
          </w:p>
        </w:tc>
      </w:tr>
      <w:tr w:rsidR="00463F43" w:rsidRPr="00A42F6F" w14:paraId="1D84E4ED" w14:textId="77777777" w:rsidTr="00CD3CD0">
        <w:trPr>
          <w:trHeight w:val="1019"/>
          <w:jc w:val="center"/>
        </w:trPr>
        <w:tc>
          <w:tcPr>
            <w:tcW w:w="2303" w:type="dxa"/>
          </w:tcPr>
          <w:p w14:paraId="1F9860C3" w14:textId="77777777" w:rsidR="00463F43" w:rsidRPr="00A42F6F" w:rsidRDefault="00463F43" w:rsidP="00CD3CD0">
            <w:pPr>
              <w:rPr>
                <w:sz w:val="20"/>
                <w:szCs w:val="20"/>
              </w:rPr>
            </w:pPr>
            <w:r w:rsidRPr="00A42F6F">
              <w:rPr>
                <w:sz w:val="20"/>
                <w:szCs w:val="20"/>
              </w:rPr>
              <w:t>HLA testing</w:t>
            </w:r>
          </w:p>
        </w:tc>
        <w:tc>
          <w:tcPr>
            <w:tcW w:w="3526" w:type="dxa"/>
          </w:tcPr>
          <w:p w14:paraId="33C4EB43" w14:textId="77777777" w:rsidR="00463F43" w:rsidRPr="00A42F6F" w:rsidRDefault="00463F43" w:rsidP="00CD3CD0">
            <w:pPr>
              <w:rPr>
                <w:sz w:val="20"/>
                <w:szCs w:val="20"/>
              </w:rPr>
            </w:pPr>
            <w:r w:rsidRPr="00A42F6F">
              <w:rPr>
                <w:sz w:val="20"/>
                <w:szCs w:val="20"/>
              </w:rPr>
              <w:t>A minimum of HLA‐A, ‐B, ‐C, ‐DRB1 DNA‐based typing results must be defined prior to listing newly recruited donors.</w:t>
            </w:r>
          </w:p>
        </w:tc>
        <w:tc>
          <w:tcPr>
            <w:tcW w:w="3169" w:type="dxa"/>
          </w:tcPr>
          <w:p w14:paraId="24823BB0" w14:textId="77777777" w:rsidR="00463F43" w:rsidRPr="00A42F6F" w:rsidRDefault="00463F43" w:rsidP="00CD3CD0">
            <w:pPr>
              <w:rPr>
                <w:sz w:val="20"/>
                <w:szCs w:val="20"/>
              </w:rPr>
            </w:pPr>
            <w:r w:rsidRPr="00A42F6F">
              <w:rPr>
                <w:sz w:val="20"/>
                <w:szCs w:val="20"/>
              </w:rPr>
              <w:t>HLA‐A, ‐B, ‐C, DRB1, ‐DQB1 and DPB1.</w:t>
            </w:r>
          </w:p>
          <w:p w14:paraId="33389A51" w14:textId="77777777" w:rsidR="00463F43" w:rsidRPr="00A42F6F" w:rsidRDefault="00463F43" w:rsidP="00CD3CD0">
            <w:pPr>
              <w:rPr>
                <w:sz w:val="20"/>
                <w:szCs w:val="20"/>
              </w:rPr>
            </w:pPr>
            <w:r w:rsidRPr="00A42F6F">
              <w:rPr>
                <w:sz w:val="20"/>
                <w:szCs w:val="20"/>
              </w:rPr>
              <w:t>2 field NGS plus G‐code as a minimum.</w:t>
            </w:r>
          </w:p>
        </w:tc>
      </w:tr>
      <w:tr w:rsidR="00463F43" w:rsidRPr="00A42F6F" w14:paraId="2E3B55DF" w14:textId="77777777" w:rsidTr="00CD3CD0">
        <w:trPr>
          <w:trHeight w:val="1125"/>
          <w:jc w:val="center"/>
        </w:trPr>
        <w:tc>
          <w:tcPr>
            <w:tcW w:w="2303" w:type="dxa"/>
          </w:tcPr>
          <w:p w14:paraId="0E4F273A" w14:textId="77777777" w:rsidR="00463F43" w:rsidRPr="00A42F6F" w:rsidRDefault="00463F43" w:rsidP="00CD3CD0">
            <w:pPr>
              <w:rPr>
                <w:sz w:val="20"/>
                <w:szCs w:val="20"/>
              </w:rPr>
            </w:pPr>
            <w:r w:rsidRPr="00A42F6F">
              <w:rPr>
                <w:sz w:val="20"/>
                <w:szCs w:val="20"/>
              </w:rPr>
              <w:t>Blood group</w:t>
            </w:r>
          </w:p>
        </w:tc>
        <w:tc>
          <w:tcPr>
            <w:tcW w:w="3526" w:type="dxa"/>
          </w:tcPr>
          <w:p w14:paraId="0DA0885B" w14:textId="77777777" w:rsidR="00463F43" w:rsidRPr="00A42F6F" w:rsidRDefault="00463F43" w:rsidP="00CD3CD0">
            <w:pPr>
              <w:rPr>
                <w:sz w:val="20"/>
                <w:szCs w:val="20"/>
              </w:rPr>
            </w:pPr>
            <w:r w:rsidRPr="00A42F6F">
              <w:rPr>
                <w:sz w:val="20"/>
                <w:szCs w:val="20"/>
              </w:rPr>
              <w:t>ABO and Rh blood group of donors must be done at the verification typing</w:t>
            </w:r>
          </w:p>
          <w:p w14:paraId="629BCBF2" w14:textId="77777777" w:rsidR="00463F43" w:rsidRPr="00A42F6F" w:rsidRDefault="00463F43" w:rsidP="00CD3CD0">
            <w:pPr>
              <w:rPr>
                <w:sz w:val="20"/>
                <w:szCs w:val="20"/>
              </w:rPr>
            </w:pPr>
            <w:r w:rsidRPr="00A42F6F">
              <w:rPr>
                <w:sz w:val="20"/>
                <w:szCs w:val="20"/>
              </w:rPr>
              <w:t>stage if the donor's blood group has not been previously determined</w:t>
            </w:r>
          </w:p>
        </w:tc>
        <w:tc>
          <w:tcPr>
            <w:tcW w:w="3169" w:type="dxa"/>
          </w:tcPr>
          <w:p w14:paraId="0DEBE84C" w14:textId="77777777" w:rsidR="00463F43" w:rsidRPr="00A42F6F" w:rsidRDefault="00463F43" w:rsidP="00CD3CD0">
            <w:pPr>
              <w:rPr>
                <w:sz w:val="20"/>
                <w:szCs w:val="20"/>
              </w:rPr>
            </w:pPr>
            <w:r w:rsidRPr="00A42F6F">
              <w:rPr>
                <w:sz w:val="20"/>
                <w:szCs w:val="20"/>
              </w:rPr>
              <w:t xml:space="preserve">Molecular ABO </w:t>
            </w:r>
            <w:r>
              <w:rPr>
                <w:sz w:val="20"/>
                <w:szCs w:val="20"/>
              </w:rPr>
              <w:t xml:space="preserve">and </w:t>
            </w:r>
            <w:r w:rsidRPr="00A42F6F">
              <w:rPr>
                <w:sz w:val="20"/>
                <w:szCs w:val="20"/>
              </w:rPr>
              <w:t>Rh</w:t>
            </w:r>
            <w:r>
              <w:rPr>
                <w:sz w:val="20"/>
                <w:szCs w:val="20"/>
              </w:rPr>
              <w:t>D</w:t>
            </w:r>
            <w:r w:rsidRPr="00A42F6F">
              <w:rPr>
                <w:sz w:val="20"/>
                <w:szCs w:val="20"/>
              </w:rPr>
              <w:t xml:space="preserve"> genotyping or</w:t>
            </w:r>
            <w:r>
              <w:rPr>
                <w:sz w:val="20"/>
                <w:szCs w:val="20"/>
              </w:rPr>
              <w:t xml:space="preserve"> </w:t>
            </w:r>
            <w:r w:rsidRPr="00A42F6F">
              <w:rPr>
                <w:sz w:val="20"/>
                <w:szCs w:val="20"/>
              </w:rPr>
              <w:t xml:space="preserve">serological blood </w:t>
            </w:r>
            <w:r>
              <w:rPr>
                <w:sz w:val="20"/>
                <w:szCs w:val="20"/>
              </w:rPr>
              <w:t xml:space="preserve">group </w:t>
            </w:r>
            <w:r w:rsidRPr="00A42F6F">
              <w:rPr>
                <w:sz w:val="20"/>
                <w:szCs w:val="20"/>
              </w:rPr>
              <w:t>test</w:t>
            </w:r>
          </w:p>
        </w:tc>
      </w:tr>
      <w:tr w:rsidR="00463F43" w:rsidRPr="00A42F6F" w14:paraId="10874F47" w14:textId="77777777" w:rsidTr="00CD3CD0">
        <w:trPr>
          <w:trHeight w:val="387"/>
          <w:jc w:val="center"/>
        </w:trPr>
        <w:tc>
          <w:tcPr>
            <w:tcW w:w="2303" w:type="dxa"/>
          </w:tcPr>
          <w:p w14:paraId="355A1092" w14:textId="77777777" w:rsidR="00463F43" w:rsidRPr="00A42F6F" w:rsidRDefault="00463F43" w:rsidP="00CD3CD0">
            <w:pPr>
              <w:rPr>
                <w:sz w:val="20"/>
                <w:szCs w:val="20"/>
              </w:rPr>
            </w:pPr>
            <w:r w:rsidRPr="00A42F6F">
              <w:rPr>
                <w:sz w:val="20"/>
                <w:szCs w:val="20"/>
              </w:rPr>
              <w:t>Cytomegalovirus</w:t>
            </w:r>
          </w:p>
        </w:tc>
        <w:tc>
          <w:tcPr>
            <w:tcW w:w="3526" w:type="dxa"/>
          </w:tcPr>
          <w:p w14:paraId="5B3A9298" w14:textId="77777777" w:rsidR="00463F43" w:rsidRPr="00A42F6F" w:rsidRDefault="00463F43" w:rsidP="00CD3CD0">
            <w:pPr>
              <w:rPr>
                <w:sz w:val="20"/>
                <w:szCs w:val="20"/>
              </w:rPr>
            </w:pPr>
            <w:r w:rsidRPr="00A42F6F">
              <w:rPr>
                <w:sz w:val="20"/>
                <w:szCs w:val="20"/>
              </w:rPr>
              <w:t>Not required at initial recruitment</w:t>
            </w:r>
            <w:r>
              <w:rPr>
                <w:sz w:val="20"/>
                <w:szCs w:val="20"/>
              </w:rPr>
              <w:t>. But performed at verification testing.</w:t>
            </w:r>
          </w:p>
        </w:tc>
        <w:tc>
          <w:tcPr>
            <w:tcW w:w="3169" w:type="dxa"/>
          </w:tcPr>
          <w:p w14:paraId="7116BE16" w14:textId="77777777" w:rsidR="00463F43" w:rsidRPr="00A42F6F" w:rsidRDefault="00463F43" w:rsidP="00CD3CD0">
            <w:pPr>
              <w:rPr>
                <w:sz w:val="20"/>
                <w:szCs w:val="20"/>
              </w:rPr>
            </w:pPr>
            <w:r w:rsidRPr="00A42F6F">
              <w:rPr>
                <w:sz w:val="20"/>
                <w:szCs w:val="20"/>
              </w:rPr>
              <w:t>IgG detection</w:t>
            </w:r>
          </w:p>
        </w:tc>
      </w:tr>
    </w:tbl>
    <w:p w14:paraId="31F8FEE1" w14:textId="77777777" w:rsidR="00463F43" w:rsidRPr="00A42F6F" w:rsidRDefault="00463F43" w:rsidP="00463F43">
      <w:pPr>
        <w:rPr>
          <w:b/>
          <w:bCs/>
        </w:rPr>
      </w:pPr>
    </w:p>
    <w:p w14:paraId="3856DE66" w14:textId="2578B89D" w:rsidR="00463F43" w:rsidRPr="00A42F6F" w:rsidRDefault="00463F43" w:rsidP="00463F43">
      <w:r w:rsidRPr="00A42F6F">
        <w:t xml:space="preserve">Following publication of the National HPC </w:t>
      </w:r>
      <w:r>
        <w:t>F</w:t>
      </w:r>
      <w:r w:rsidRPr="00A42F6F">
        <w:t>ramework</w:t>
      </w:r>
      <w:r>
        <w:t xml:space="preserve"> in </w:t>
      </w:r>
      <w:r w:rsidR="006D018C">
        <w:t xml:space="preserve">November </w:t>
      </w:r>
      <w:r>
        <w:t>2021</w:t>
      </w:r>
      <w:r w:rsidRPr="00A42F6F">
        <w:t xml:space="preserve">, all Australian </w:t>
      </w:r>
      <w:r>
        <w:t>l</w:t>
      </w:r>
      <w:r w:rsidRPr="00A42F6F">
        <w:t xml:space="preserve">aboratories now perform </w:t>
      </w:r>
      <w:r>
        <w:t xml:space="preserve">high resolution </w:t>
      </w:r>
      <w:r w:rsidRPr="00A42F6F">
        <w:t>HLA t</w:t>
      </w:r>
      <w:r>
        <w:t>ypin</w:t>
      </w:r>
      <w:r w:rsidRPr="00A42F6F">
        <w:t xml:space="preserve">g </w:t>
      </w:r>
      <w:r>
        <w:t xml:space="preserve">by NGS which </w:t>
      </w:r>
      <w:r w:rsidRPr="00A42F6F">
        <w:t>exceed</w:t>
      </w:r>
      <w:r>
        <w:t>s</w:t>
      </w:r>
      <w:r w:rsidRPr="00A42F6F">
        <w:t xml:space="preserve"> the standard defined by the ABMDR for initial HPC </w:t>
      </w:r>
      <w:r w:rsidR="006D018C">
        <w:t xml:space="preserve">donor </w:t>
      </w:r>
      <w:r w:rsidRPr="00A42F6F">
        <w:t>recruitment.</w:t>
      </w:r>
      <w:r>
        <w:t xml:space="preserve"> NGS by long-range polymerase chain reaction (PCR) using high throughput testing has been reported to deliver HLA results from buccal swab</w:t>
      </w:r>
      <w:r>
        <w:noBreakHyphen/>
        <w:t>based testing that are unambiguous, as is required for HPC transplantation, despite a lower DNA sample content compared with blood-based testing</w:t>
      </w:r>
      <w:r>
        <w:rPr>
          <w:rStyle w:val="FootnoteReference"/>
        </w:rPr>
        <w:footnoteReference w:id="23"/>
      </w:r>
      <w:r>
        <w:t>.</w:t>
      </w:r>
    </w:p>
    <w:p w14:paraId="779EAEAA" w14:textId="23FF24AB" w:rsidR="00463F43" w:rsidRDefault="00463F43" w:rsidP="00463F43">
      <w:r>
        <w:t>The reference standard of blood-based test for CMV Ig</w:t>
      </w:r>
      <w:r w:rsidR="003250DB">
        <w:t>G</w:t>
      </w:r>
      <w:r>
        <w:t xml:space="preserve"> identifies evidence of past infection with CMV. </w:t>
      </w:r>
      <w:r w:rsidRPr="001B281F">
        <w:t xml:space="preserve">The </w:t>
      </w:r>
      <w:r>
        <w:t xml:space="preserve">requirement for CMV IgG detection at initial recruitment was introduced in 2021 and testing is consistent with testing performed at recruitment by comparable overseas registries. </w:t>
      </w:r>
    </w:p>
    <w:p w14:paraId="1D9FB821" w14:textId="2ECFC534" w:rsidR="00463F43" w:rsidRDefault="00463F43" w:rsidP="00463F43">
      <w:pPr>
        <w:rPr>
          <w:rFonts w:asciiTheme="majorHAnsi" w:eastAsiaTheme="majorEastAsia" w:hAnsiTheme="majorHAnsi" w:cstheme="majorBidi"/>
          <w:color w:val="1F3763" w:themeColor="accent1" w:themeShade="7F"/>
          <w:sz w:val="24"/>
          <w:szCs w:val="24"/>
        </w:rPr>
      </w:pPr>
      <w:r>
        <w:t xml:space="preserve">It should be noted for the purposes of </w:t>
      </w:r>
      <w:r w:rsidRPr="00F835D5">
        <w:t>recruitment, t</w:t>
      </w:r>
      <w:r w:rsidRPr="00FA0870">
        <w:t>hat the sensitivity of CMV Ig</w:t>
      </w:r>
      <w:r w:rsidR="003250DB">
        <w:t>G</w:t>
      </w:r>
      <w:r w:rsidRPr="00FA0870">
        <w:t xml:space="preserve"> testing performed on buccal swabs is lower than from blood samples, and that testing on buccal swabs is seen as a guide for the initial selection of a potential </w:t>
      </w:r>
      <w:r w:rsidR="006D018C">
        <w:t xml:space="preserve">HPC </w:t>
      </w:r>
      <w:r w:rsidRPr="00FA0870">
        <w:t xml:space="preserve">donor for a specific recipient rather than a diagnostic test.  Similarly, when comparing blood-based </w:t>
      </w:r>
      <w:r w:rsidR="006D018C">
        <w:t xml:space="preserve">CMV </w:t>
      </w:r>
      <w:r w:rsidRPr="00FA0870">
        <w:t xml:space="preserve">testing with buccal swab-based </w:t>
      </w:r>
      <w:r w:rsidR="006D018C">
        <w:t xml:space="preserve">CMV </w:t>
      </w:r>
      <w:r w:rsidRPr="00FA0870">
        <w:t>testing, there is a small proportion of discordant test results</w:t>
      </w:r>
      <w:r w:rsidRPr="00FA0870">
        <w:rPr>
          <w:rStyle w:val="FootnoteReference"/>
        </w:rPr>
        <w:footnoteReference w:id="24"/>
      </w:r>
      <w:r w:rsidRPr="00FA0870">
        <w:t>. This variation in sensitivity and concordance is considered acceptable given that all CMV testing is repeated at verification testing and this can be performed rapidly where the transplant is considered time</w:t>
      </w:r>
      <w:r w:rsidRPr="00F835D5">
        <w:t xml:space="preserve"> sensitive.</w:t>
      </w:r>
    </w:p>
    <w:p w14:paraId="136793F2" w14:textId="3A0BAA64" w:rsidR="00463F43" w:rsidRPr="00A42F6F" w:rsidRDefault="00463F43" w:rsidP="00463F43">
      <w:pPr>
        <w:pStyle w:val="Heading3"/>
      </w:pPr>
      <w:bookmarkStart w:id="27" w:name="_Toc134611361"/>
      <w:r w:rsidRPr="00A42F6F">
        <w:t xml:space="preserve">Australian regulation and accreditation of HPC </w:t>
      </w:r>
      <w:r w:rsidR="006D018C">
        <w:t xml:space="preserve">donor </w:t>
      </w:r>
      <w:r w:rsidRPr="00A42F6F">
        <w:t>recruitment testing</w:t>
      </w:r>
      <w:bookmarkEnd w:id="27"/>
    </w:p>
    <w:p w14:paraId="07A3691C" w14:textId="77777777" w:rsidR="00463F43" w:rsidRPr="00FA0870" w:rsidRDefault="00463F43" w:rsidP="00463F43">
      <w:r w:rsidRPr="00A42F6F">
        <w:t xml:space="preserve">The TGA regulates </w:t>
      </w:r>
      <w:r w:rsidRPr="00F835D5">
        <w:t xml:space="preserve">pathology tests and donor screening tests as </w:t>
      </w:r>
      <w:r w:rsidRPr="00F835D5">
        <w:rPr>
          <w:i/>
          <w:iCs/>
        </w:rPr>
        <w:t>in vitro</w:t>
      </w:r>
      <w:r w:rsidRPr="00F835D5">
        <w:t xml:space="preserve"> medical devices (IVD), which are a subset of medical devices. </w:t>
      </w:r>
      <w:r w:rsidRPr="00FA0870">
        <w:t>IVDs are classified according to the intended purpose of the device and with regards to personal or public health risk. The IVD framework has a four-tier classification structure with Class 1 IVDs representing lower risk products and Class 4 IVD medical devices being the highest risk products.</w:t>
      </w:r>
    </w:p>
    <w:p w14:paraId="23040182" w14:textId="77777777" w:rsidR="00463F43" w:rsidRPr="00FA0870" w:rsidRDefault="00463F43" w:rsidP="00463F43">
      <w:r w:rsidRPr="00FA0870">
        <w:t xml:space="preserve">All commercially supplied laboratory tests for HLA, CMV and blood group testing performed to recruit donors to the national registry or prior to HPC transplantation are required to be included in the ARTG, before they can be legally supplied in Australia. Application/audit fees and annual charges apply. </w:t>
      </w:r>
    </w:p>
    <w:p w14:paraId="6BBAA3C0" w14:textId="77777777" w:rsidR="00463F43" w:rsidRPr="00FA0870" w:rsidRDefault="00463F43" w:rsidP="00463F43">
      <w:r w:rsidRPr="00FA0870">
        <w:t xml:space="preserve">Laboratory developed or modified commercial tests are regulated as in-house IVDs. Laboratories must evaluate their Class 1-3 in-house IVDs under their National Association of Testing Authorities (NATA)/The Royal College of Pathologists of Australasia (RCPA) accreditation in accordance with </w:t>
      </w:r>
      <w:r w:rsidRPr="00FA0870">
        <w:rPr>
          <w:i/>
          <w:iCs/>
        </w:rPr>
        <w:t>ISO15189 Medical Laboratories – Requirements for Quality and Competence</w:t>
      </w:r>
      <w:r w:rsidRPr="00FA0870">
        <w:t xml:space="preserve"> and </w:t>
      </w:r>
      <w:r w:rsidRPr="00FA0870">
        <w:rPr>
          <w:i/>
          <w:iCs/>
        </w:rPr>
        <w:t>Requirements for Development and Use of In-house IVDs</w:t>
      </w:r>
      <w:r w:rsidRPr="00FA0870">
        <w:rPr>
          <w:rStyle w:val="FootnoteReference"/>
        </w:rPr>
        <w:footnoteReference w:id="25"/>
      </w:r>
      <w:r w:rsidRPr="00FA0870">
        <w:t xml:space="preserve"> published by National Pathology Accreditation Advisory Council (NPAAC) and notify their Class 1-3 in-house IVDs to the TGA.  </w:t>
      </w:r>
    </w:p>
    <w:p w14:paraId="7229008C" w14:textId="77777777" w:rsidR="00463F43" w:rsidRPr="00FA0870" w:rsidRDefault="00463F43" w:rsidP="00463F43">
      <w:r w:rsidRPr="00FA0870">
        <w:t>All HLA typing tests are regulated as Class 3 IVDs and may be utilised by laboratories accredited to perform this testing. Currently, all commercially supplied laboratory tests for HLA typing are intended for use with blood samples. There are no commercial devices approved for HLA typing using buccal swabs. PathWest</w:t>
      </w:r>
      <w:r>
        <w:t>, Pathology Queensland and Lifeblood are</w:t>
      </w:r>
      <w:r w:rsidRPr="00FA0870">
        <w:t xml:space="preserve"> accredited </w:t>
      </w:r>
      <w:r>
        <w:t>to extract DNA from buccal swab samples</w:t>
      </w:r>
      <w:r w:rsidRPr="00FA0870">
        <w:t xml:space="preserve"> for HLA typing using </w:t>
      </w:r>
      <w:r w:rsidRPr="003D379E">
        <w:t>Class 3 in-house IVD</w:t>
      </w:r>
      <w:r>
        <w:t>s</w:t>
      </w:r>
      <w:r w:rsidRPr="00FA0870">
        <w:t>.</w:t>
      </w:r>
    </w:p>
    <w:p w14:paraId="2A06E82E" w14:textId="4108B85C" w:rsidR="00463F43" w:rsidRDefault="00463F43" w:rsidP="00463F43">
      <w:r w:rsidRPr="00FA0870">
        <w:t>Consistent with international regulatory alignment, all donor screening tests for transmissible infectious diseases and ABO and Rh</w:t>
      </w:r>
      <w:r>
        <w:t>D</w:t>
      </w:r>
      <w:r w:rsidRPr="00FA0870">
        <w:t xml:space="preserve"> blood group testing are regulated as Class 4 IVDs. Class 4 commercial IVDs and Class 4 in-house IVDs that are developed or modified from commercially supplied IVDs require inclusion in the ARTG. There are no commercially supplied Class 4 IVDs, or Class 4 in-house IVDs for ABO and Rh</w:t>
      </w:r>
      <w:r>
        <w:t>D</w:t>
      </w:r>
      <w:r w:rsidRPr="00FA0870">
        <w:t xml:space="preserve"> genotyping, or CMV IgG testing that are approved in Australia for testing buccal swab samples (Table 7).</w:t>
      </w:r>
    </w:p>
    <w:p w14:paraId="66060726" w14:textId="069574BF" w:rsidR="00463F43" w:rsidRPr="00F835D5" w:rsidRDefault="00463F43" w:rsidP="00463F43">
      <w:r w:rsidRPr="00741D5D">
        <w:t xml:space="preserve">All Australian tissue typing laboratories use NGS or massive parallel sequencing which can deliver the high-resolution HLA typing on blood samples, </w:t>
      </w:r>
      <w:r w:rsidRPr="00405702">
        <w:t xml:space="preserve">exceeding the level of resolution defined in the ABMDR standard above. All current HLA testing for ABMDR purposes is reported to </w:t>
      </w:r>
      <w:r w:rsidR="006D018C">
        <w:t>3</w:t>
      </w:r>
      <w:r w:rsidR="006D018C" w:rsidRPr="00405702">
        <w:t xml:space="preserve"> </w:t>
      </w:r>
      <w:r w:rsidRPr="00405702">
        <w:t xml:space="preserve">fields, </w:t>
      </w:r>
      <w:r w:rsidRPr="00741D5D">
        <w:t xml:space="preserve">which is above the ABMDR standard of 2 field plus G code. </w:t>
      </w:r>
    </w:p>
    <w:p w14:paraId="104D1FDD" w14:textId="77777777" w:rsidR="00463F43" w:rsidRPr="00741D5D" w:rsidRDefault="00463F43" w:rsidP="00463F43">
      <w:pPr>
        <w:pStyle w:val="Heading5"/>
        <w:jc w:val="center"/>
      </w:pPr>
      <w:r w:rsidRPr="00741D5D">
        <w:t>Table 7. Current capability and capacity of recruitment sample testing (Domestic versus Overseas).</w:t>
      </w:r>
    </w:p>
    <w:tbl>
      <w:tblPr>
        <w:tblStyle w:val="TableGrid3"/>
        <w:tblW w:w="0" w:type="auto"/>
        <w:tblInd w:w="-147" w:type="dxa"/>
        <w:tblLook w:val="04A0" w:firstRow="1" w:lastRow="0" w:firstColumn="1" w:lastColumn="0" w:noHBand="0" w:noVBand="1"/>
      </w:tblPr>
      <w:tblGrid>
        <w:gridCol w:w="1702"/>
        <w:gridCol w:w="1895"/>
        <w:gridCol w:w="1424"/>
        <w:gridCol w:w="1925"/>
        <w:gridCol w:w="2127"/>
      </w:tblGrid>
      <w:tr w:rsidR="00463F43" w:rsidRPr="00A42F6F" w14:paraId="23A33D41" w14:textId="77777777" w:rsidTr="00A94A2D">
        <w:trPr>
          <w:trHeight w:val="716"/>
        </w:trPr>
        <w:tc>
          <w:tcPr>
            <w:tcW w:w="1702" w:type="dxa"/>
            <w:vMerge w:val="restart"/>
            <w:shd w:val="clear" w:color="auto" w:fill="D9D9D9" w:themeFill="background1" w:themeFillShade="D9"/>
            <w:vAlign w:val="center"/>
          </w:tcPr>
          <w:p w14:paraId="79CC19B4" w14:textId="77777777" w:rsidR="00463F43" w:rsidRPr="00080CAB" w:rsidRDefault="00463F43" w:rsidP="00CD3CD0">
            <w:pPr>
              <w:jc w:val="center"/>
              <w:rPr>
                <w:b/>
                <w:bCs/>
              </w:rPr>
            </w:pPr>
            <w:r w:rsidRPr="00080CAB">
              <w:rPr>
                <w:b/>
                <w:bCs/>
              </w:rPr>
              <w:t>Test</w:t>
            </w:r>
          </w:p>
        </w:tc>
        <w:tc>
          <w:tcPr>
            <w:tcW w:w="1895" w:type="dxa"/>
            <w:vMerge w:val="restart"/>
            <w:shd w:val="clear" w:color="auto" w:fill="D9D9D9" w:themeFill="background1" w:themeFillShade="D9"/>
            <w:vAlign w:val="center"/>
          </w:tcPr>
          <w:p w14:paraId="260305FA" w14:textId="77777777" w:rsidR="00463F43" w:rsidRPr="00080CAB" w:rsidRDefault="00463F43" w:rsidP="00CD3CD0">
            <w:pPr>
              <w:jc w:val="center"/>
              <w:rPr>
                <w:b/>
                <w:bCs/>
              </w:rPr>
            </w:pPr>
            <w:r w:rsidRPr="00080CAB">
              <w:rPr>
                <w:b/>
                <w:bCs/>
              </w:rPr>
              <w:t>ABMDR standard</w:t>
            </w:r>
          </w:p>
        </w:tc>
        <w:tc>
          <w:tcPr>
            <w:tcW w:w="3349" w:type="dxa"/>
            <w:gridSpan w:val="2"/>
            <w:shd w:val="clear" w:color="auto" w:fill="D9D9D9" w:themeFill="background1" w:themeFillShade="D9"/>
            <w:vAlign w:val="center"/>
          </w:tcPr>
          <w:p w14:paraId="5D091DC3" w14:textId="77777777" w:rsidR="00463F43" w:rsidRPr="00080CAB" w:rsidRDefault="00463F43" w:rsidP="00CD3CD0">
            <w:pPr>
              <w:jc w:val="center"/>
              <w:rPr>
                <w:b/>
                <w:bCs/>
              </w:rPr>
            </w:pPr>
            <w:r w:rsidRPr="00080CAB">
              <w:rPr>
                <w:b/>
                <w:bCs/>
              </w:rPr>
              <w:t>Australian laboratory capability by sample type</w:t>
            </w:r>
          </w:p>
        </w:tc>
        <w:tc>
          <w:tcPr>
            <w:tcW w:w="2127" w:type="dxa"/>
            <w:shd w:val="clear" w:color="auto" w:fill="D9D9D9" w:themeFill="background1" w:themeFillShade="D9"/>
            <w:vAlign w:val="center"/>
          </w:tcPr>
          <w:p w14:paraId="41C7A8CB" w14:textId="77777777" w:rsidR="00463F43" w:rsidRPr="00080CAB" w:rsidRDefault="00463F43" w:rsidP="00CD3CD0">
            <w:pPr>
              <w:jc w:val="center"/>
              <w:rPr>
                <w:b/>
                <w:bCs/>
              </w:rPr>
            </w:pPr>
            <w:r w:rsidRPr="00080CAB">
              <w:rPr>
                <w:b/>
                <w:bCs/>
              </w:rPr>
              <w:t>US or German laboratory capability</w:t>
            </w:r>
          </w:p>
        </w:tc>
      </w:tr>
      <w:tr w:rsidR="00463F43" w:rsidRPr="00A42F6F" w14:paraId="5D11DA39" w14:textId="77777777" w:rsidTr="00A94A2D">
        <w:trPr>
          <w:trHeight w:val="597"/>
        </w:trPr>
        <w:tc>
          <w:tcPr>
            <w:tcW w:w="1702" w:type="dxa"/>
            <w:vMerge/>
            <w:shd w:val="clear" w:color="auto" w:fill="D9D9D9" w:themeFill="background1" w:themeFillShade="D9"/>
            <w:vAlign w:val="center"/>
          </w:tcPr>
          <w:p w14:paraId="4871A15B" w14:textId="77777777" w:rsidR="00463F43" w:rsidRPr="00080CAB" w:rsidRDefault="00463F43" w:rsidP="00CD3CD0">
            <w:pPr>
              <w:jc w:val="center"/>
              <w:rPr>
                <w:b/>
                <w:bCs/>
              </w:rPr>
            </w:pPr>
          </w:p>
        </w:tc>
        <w:tc>
          <w:tcPr>
            <w:tcW w:w="1895" w:type="dxa"/>
            <w:vMerge/>
            <w:shd w:val="clear" w:color="auto" w:fill="D9D9D9" w:themeFill="background1" w:themeFillShade="D9"/>
            <w:vAlign w:val="center"/>
          </w:tcPr>
          <w:p w14:paraId="4A48097B" w14:textId="77777777" w:rsidR="00463F43" w:rsidRPr="00080CAB" w:rsidRDefault="00463F43" w:rsidP="00CD3CD0">
            <w:pPr>
              <w:jc w:val="center"/>
              <w:rPr>
                <w:b/>
                <w:bCs/>
              </w:rPr>
            </w:pPr>
          </w:p>
        </w:tc>
        <w:tc>
          <w:tcPr>
            <w:tcW w:w="1424" w:type="dxa"/>
            <w:shd w:val="clear" w:color="auto" w:fill="D9D9D9" w:themeFill="background1" w:themeFillShade="D9"/>
            <w:vAlign w:val="center"/>
          </w:tcPr>
          <w:p w14:paraId="48A0A354" w14:textId="77777777" w:rsidR="00463F43" w:rsidRPr="00080CAB" w:rsidRDefault="00463F43" w:rsidP="00CD3CD0">
            <w:pPr>
              <w:jc w:val="center"/>
              <w:rPr>
                <w:b/>
                <w:bCs/>
              </w:rPr>
            </w:pPr>
            <w:r w:rsidRPr="00080CAB">
              <w:rPr>
                <w:b/>
                <w:bCs/>
              </w:rPr>
              <w:t>Blood</w:t>
            </w:r>
          </w:p>
        </w:tc>
        <w:tc>
          <w:tcPr>
            <w:tcW w:w="1925" w:type="dxa"/>
            <w:shd w:val="clear" w:color="auto" w:fill="D9D9D9" w:themeFill="background1" w:themeFillShade="D9"/>
            <w:vAlign w:val="center"/>
          </w:tcPr>
          <w:p w14:paraId="55A699B7" w14:textId="77777777" w:rsidR="00463F43" w:rsidRPr="00080CAB" w:rsidRDefault="00463F43" w:rsidP="00CD3CD0">
            <w:pPr>
              <w:jc w:val="center"/>
              <w:rPr>
                <w:b/>
                <w:bCs/>
              </w:rPr>
            </w:pPr>
            <w:r w:rsidRPr="00080CAB">
              <w:rPr>
                <w:b/>
                <w:bCs/>
              </w:rPr>
              <w:t>Buccal-swab</w:t>
            </w:r>
          </w:p>
        </w:tc>
        <w:tc>
          <w:tcPr>
            <w:tcW w:w="2127" w:type="dxa"/>
            <w:shd w:val="clear" w:color="auto" w:fill="D9D9D9" w:themeFill="background1" w:themeFillShade="D9"/>
            <w:vAlign w:val="center"/>
          </w:tcPr>
          <w:p w14:paraId="7363F744" w14:textId="77777777" w:rsidR="00463F43" w:rsidRPr="00080CAB" w:rsidRDefault="00463F43" w:rsidP="00CD3CD0">
            <w:pPr>
              <w:jc w:val="center"/>
              <w:rPr>
                <w:b/>
                <w:bCs/>
              </w:rPr>
            </w:pPr>
            <w:r w:rsidRPr="00080CAB">
              <w:rPr>
                <w:b/>
                <w:bCs/>
              </w:rPr>
              <w:t>Buccal-swab</w:t>
            </w:r>
          </w:p>
        </w:tc>
      </w:tr>
      <w:tr w:rsidR="00463F43" w:rsidRPr="00A42F6F" w14:paraId="68D675BD" w14:textId="77777777" w:rsidTr="00A94A2D">
        <w:trPr>
          <w:trHeight w:val="955"/>
        </w:trPr>
        <w:tc>
          <w:tcPr>
            <w:tcW w:w="1702" w:type="dxa"/>
            <w:vAlign w:val="center"/>
          </w:tcPr>
          <w:p w14:paraId="10ED938D" w14:textId="77777777" w:rsidR="00463F43" w:rsidRPr="00080CAB" w:rsidRDefault="00463F43" w:rsidP="00CD3CD0">
            <w:pPr>
              <w:rPr>
                <w:b/>
                <w:bCs/>
                <w:sz w:val="20"/>
                <w:szCs w:val="20"/>
              </w:rPr>
            </w:pPr>
            <w:r w:rsidRPr="00080CAB">
              <w:rPr>
                <w:b/>
                <w:bCs/>
                <w:sz w:val="20"/>
                <w:szCs w:val="20"/>
              </w:rPr>
              <w:t>HLA testing</w:t>
            </w:r>
          </w:p>
        </w:tc>
        <w:tc>
          <w:tcPr>
            <w:tcW w:w="1895" w:type="dxa"/>
          </w:tcPr>
          <w:p w14:paraId="05424FB5" w14:textId="77777777" w:rsidR="00463F43" w:rsidRPr="00A42F6F" w:rsidRDefault="00463F43" w:rsidP="00CD3CD0">
            <w:pPr>
              <w:rPr>
                <w:sz w:val="20"/>
                <w:szCs w:val="20"/>
              </w:rPr>
            </w:pPr>
            <w:r w:rsidRPr="00A42F6F">
              <w:rPr>
                <w:sz w:val="20"/>
                <w:szCs w:val="20"/>
              </w:rPr>
              <w:t>HLA‐A, ‐B, ‐C, DRB1, ‐DQB1 and DPB1.</w:t>
            </w:r>
          </w:p>
          <w:p w14:paraId="5BF8912B" w14:textId="77777777" w:rsidR="00463F43" w:rsidRPr="00A42F6F" w:rsidRDefault="00463F43" w:rsidP="00CD3CD0">
            <w:pPr>
              <w:rPr>
                <w:sz w:val="20"/>
                <w:szCs w:val="20"/>
              </w:rPr>
            </w:pPr>
            <w:r w:rsidRPr="00A42F6F">
              <w:rPr>
                <w:sz w:val="20"/>
                <w:szCs w:val="20"/>
              </w:rPr>
              <w:t>2 field NGS plus G‐code as a minimum.</w:t>
            </w:r>
          </w:p>
        </w:tc>
        <w:tc>
          <w:tcPr>
            <w:tcW w:w="1424" w:type="dxa"/>
            <w:shd w:val="clear" w:color="auto" w:fill="C5E0B3" w:themeFill="accent6" w:themeFillTint="66"/>
            <w:vAlign w:val="center"/>
          </w:tcPr>
          <w:p w14:paraId="69E60439" w14:textId="77777777" w:rsidR="00463F43" w:rsidRPr="00A42F6F" w:rsidRDefault="00463F43" w:rsidP="00CD3CD0">
            <w:pPr>
              <w:jc w:val="center"/>
              <w:rPr>
                <w:sz w:val="20"/>
                <w:szCs w:val="20"/>
              </w:rPr>
            </w:pPr>
            <w:r w:rsidRPr="00A42F6F">
              <w:rPr>
                <w:sz w:val="20"/>
                <w:szCs w:val="20"/>
              </w:rPr>
              <w:t>Capacity for current testing</w:t>
            </w:r>
          </w:p>
        </w:tc>
        <w:tc>
          <w:tcPr>
            <w:tcW w:w="1925" w:type="dxa"/>
            <w:shd w:val="clear" w:color="auto" w:fill="E2EFD9" w:themeFill="accent6" w:themeFillTint="33"/>
            <w:vAlign w:val="center"/>
          </w:tcPr>
          <w:p w14:paraId="383CE43C" w14:textId="14106DCE" w:rsidR="00463F43" w:rsidRPr="00A42F6F" w:rsidRDefault="00463F43" w:rsidP="00CD3CD0">
            <w:pPr>
              <w:jc w:val="center"/>
              <w:rPr>
                <w:sz w:val="20"/>
                <w:szCs w:val="20"/>
              </w:rPr>
            </w:pPr>
            <w:r w:rsidRPr="00A42F6F">
              <w:rPr>
                <w:sz w:val="20"/>
                <w:szCs w:val="20"/>
              </w:rPr>
              <w:t>Limited capacity for current testing (PathWest</w:t>
            </w:r>
            <w:r w:rsidR="003250DB">
              <w:rPr>
                <w:sz w:val="20"/>
                <w:szCs w:val="20"/>
              </w:rPr>
              <w:t xml:space="preserve"> &amp; Lifeblood</w:t>
            </w:r>
            <w:r w:rsidRPr="00A42F6F">
              <w:rPr>
                <w:sz w:val="20"/>
                <w:szCs w:val="20"/>
              </w:rPr>
              <w:t>)</w:t>
            </w:r>
          </w:p>
        </w:tc>
        <w:tc>
          <w:tcPr>
            <w:tcW w:w="2127" w:type="dxa"/>
            <w:shd w:val="clear" w:color="auto" w:fill="C5E0B3" w:themeFill="accent6" w:themeFillTint="66"/>
            <w:vAlign w:val="center"/>
          </w:tcPr>
          <w:p w14:paraId="130CB05C" w14:textId="77777777" w:rsidR="00463F43" w:rsidRPr="00A42F6F" w:rsidRDefault="00463F43" w:rsidP="00CD3CD0">
            <w:pPr>
              <w:jc w:val="center"/>
              <w:rPr>
                <w:sz w:val="20"/>
                <w:szCs w:val="20"/>
              </w:rPr>
            </w:pPr>
            <w:r w:rsidRPr="00A42F6F">
              <w:rPr>
                <w:sz w:val="20"/>
                <w:szCs w:val="20"/>
              </w:rPr>
              <w:t>Capacity</w:t>
            </w:r>
          </w:p>
        </w:tc>
      </w:tr>
      <w:tr w:rsidR="00463F43" w:rsidRPr="00A42F6F" w14:paraId="384FFCCE" w14:textId="77777777" w:rsidTr="00A94A2D">
        <w:trPr>
          <w:trHeight w:val="463"/>
        </w:trPr>
        <w:tc>
          <w:tcPr>
            <w:tcW w:w="1702" w:type="dxa"/>
            <w:vMerge w:val="restart"/>
            <w:vAlign w:val="center"/>
          </w:tcPr>
          <w:p w14:paraId="066FB5F8" w14:textId="77777777" w:rsidR="00463F43" w:rsidRPr="00080CAB" w:rsidRDefault="00463F43" w:rsidP="00CD3CD0">
            <w:pPr>
              <w:rPr>
                <w:b/>
                <w:bCs/>
                <w:sz w:val="20"/>
                <w:szCs w:val="20"/>
              </w:rPr>
            </w:pPr>
            <w:r w:rsidRPr="00080CAB">
              <w:rPr>
                <w:b/>
                <w:bCs/>
                <w:sz w:val="20"/>
                <w:szCs w:val="20"/>
              </w:rPr>
              <w:t>ABO and Rh</w:t>
            </w:r>
            <w:r>
              <w:rPr>
                <w:b/>
                <w:bCs/>
                <w:sz w:val="20"/>
                <w:szCs w:val="20"/>
              </w:rPr>
              <w:t>D</w:t>
            </w:r>
            <w:r w:rsidRPr="00080CAB">
              <w:rPr>
                <w:b/>
                <w:bCs/>
                <w:sz w:val="20"/>
                <w:szCs w:val="20"/>
              </w:rPr>
              <w:t xml:space="preserve"> Blood group</w:t>
            </w:r>
          </w:p>
        </w:tc>
        <w:tc>
          <w:tcPr>
            <w:tcW w:w="1895" w:type="dxa"/>
          </w:tcPr>
          <w:p w14:paraId="06A4AA90" w14:textId="77777777" w:rsidR="00463F43" w:rsidRPr="00A42F6F" w:rsidRDefault="00463F43" w:rsidP="00CD3CD0">
            <w:pPr>
              <w:rPr>
                <w:sz w:val="20"/>
                <w:szCs w:val="20"/>
              </w:rPr>
            </w:pPr>
            <w:r w:rsidRPr="00A42F6F">
              <w:rPr>
                <w:sz w:val="20"/>
                <w:szCs w:val="20"/>
              </w:rPr>
              <w:t>serological blood test</w:t>
            </w:r>
          </w:p>
        </w:tc>
        <w:tc>
          <w:tcPr>
            <w:tcW w:w="1424" w:type="dxa"/>
            <w:shd w:val="clear" w:color="auto" w:fill="C5E0B3" w:themeFill="accent6" w:themeFillTint="66"/>
            <w:vAlign w:val="center"/>
          </w:tcPr>
          <w:p w14:paraId="76300404" w14:textId="77777777" w:rsidR="00463F43" w:rsidRPr="00A42F6F" w:rsidRDefault="00463F43" w:rsidP="00CD3CD0">
            <w:pPr>
              <w:jc w:val="center"/>
              <w:rPr>
                <w:sz w:val="20"/>
                <w:szCs w:val="20"/>
              </w:rPr>
            </w:pPr>
            <w:r w:rsidRPr="00A42F6F">
              <w:rPr>
                <w:sz w:val="20"/>
                <w:szCs w:val="20"/>
              </w:rPr>
              <w:t>Capacity for current testing</w:t>
            </w:r>
          </w:p>
        </w:tc>
        <w:tc>
          <w:tcPr>
            <w:tcW w:w="1925" w:type="dxa"/>
            <w:vAlign w:val="center"/>
          </w:tcPr>
          <w:p w14:paraId="2B170604" w14:textId="77777777" w:rsidR="00463F43" w:rsidRPr="00A42F6F" w:rsidRDefault="00463F43" w:rsidP="00CD3CD0">
            <w:pPr>
              <w:jc w:val="center"/>
              <w:rPr>
                <w:sz w:val="20"/>
                <w:szCs w:val="20"/>
              </w:rPr>
            </w:pPr>
            <w:r w:rsidRPr="00A42F6F">
              <w:rPr>
                <w:sz w:val="20"/>
                <w:szCs w:val="20"/>
              </w:rPr>
              <w:t>N/A</w:t>
            </w:r>
          </w:p>
        </w:tc>
        <w:tc>
          <w:tcPr>
            <w:tcW w:w="2127" w:type="dxa"/>
            <w:vAlign w:val="center"/>
          </w:tcPr>
          <w:p w14:paraId="2D4E84F9" w14:textId="77777777" w:rsidR="00463F43" w:rsidRPr="00A42F6F" w:rsidRDefault="00463F43" w:rsidP="00CD3CD0">
            <w:pPr>
              <w:jc w:val="center"/>
              <w:rPr>
                <w:sz w:val="20"/>
                <w:szCs w:val="20"/>
              </w:rPr>
            </w:pPr>
            <w:r w:rsidRPr="00A42F6F">
              <w:rPr>
                <w:sz w:val="20"/>
                <w:szCs w:val="20"/>
              </w:rPr>
              <w:t>N/A</w:t>
            </w:r>
          </w:p>
        </w:tc>
      </w:tr>
      <w:tr w:rsidR="00463F43" w:rsidRPr="00A42F6F" w14:paraId="2F1CD908" w14:textId="77777777" w:rsidTr="00A94A2D">
        <w:trPr>
          <w:trHeight w:val="379"/>
        </w:trPr>
        <w:tc>
          <w:tcPr>
            <w:tcW w:w="1702" w:type="dxa"/>
            <w:vMerge/>
            <w:vAlign w:val="center"/>
          </w:tcPr>
          <w:p w14:paraId="6FA23516" w14:textId="77777777" w:rsidR="00463F43" w:rsidRPr="00080CAB" w:rsidRDefault="00463F43" w:rsidP="00CD3CD0">
            <w:pPr>
              <w:rPr>
                <w:b/>
                <w:bCs/>
                <w:sz w:val="20"/>
                <w:szCs w:val="20"/>
              </w:rPr>
            </w:pPr>
          </w:p>
        </w:tc>
        <w:tc>
          <w:tcPr>
            <w:tcW w:w="1895" w:type="dxa"/>
          </w:tcPr>
          <w:p w14:paraId="3CDB8D6B" w14:textId="77777777" w:rsidR="00463F43" w:rsidRPr="00A42F6F" w:rsidRDefault="00463F43" w:rsidP="00CD3CD0">
            <w:pPr>
              <w:rPr>
                <w:sz w:val="20"/>
                <w:szCs w:val="20"/>
              </w:rPr>
            </w:pPr>
            <w:r w:rsidRPr="00A42F6F">
              <w:rPr>
                <w:sz w:val="20"/>
                <w:szCs w:val="20"/>
              </w:rPr>
              <w:t xml:space="preserve">Molecular ABO </w:t>
            </w:r>
            <w:r>
              <w:rPr>
                <w:sz w:val="20"/>
                <w:szCs w:val="20"/>
              </w:rPr>
              <w:t xml:space="preserve">and </w:t>
            </w:r>
            <w:r w:rsidRPr="00A42F6F">
              <w:rPr>
                <w:sz w:val="20"/>
                <w:szCs w:val="20"/>
              </w:rPr>
              <w:t>Rh</w:t>
            </w:r>
            <w:r>
              <w:rPr>
                <w:sz w:val="20"/>
                <w:szCs w:val="20"/>
              </w:rPr>
              <w:t>esus</w:t>
            </w:r>
            <w:r w:rsidRPr="00A42F6F">
              <w:rPr>
                <w:sz w:val="20"/>
                <w:szCs w:val="20"/>
              </w:rPr>
              <w:t xml:space="preserve"> </w:t>
            </w:r>
            <w:r>
              <w:rPr>
                <w:sz w:val="20"/>
                <w:szCs w:val="20"/>
              </w:rPr>
              <w:t xml:space="preserve">D </w:t>
            </w:r>
            <w:r w:rsidRPr="00A42F6F">
              <w:rPr>
                <w:sz w:val="20"/>
                <w:szCs w:val="20"/>
              </w:rPr>
              <w:t>genotyping</w:t>
            </w:r>
          </w:p>
        </w:tc>
        <w:tc>
          <w:tcPr>
            <w:tcW w:w="1424" w:type="dxa"/>
            <w:shd w:val="clear" w:color="auto" w:fill="C5E0B3" w:themeFill="accent6" w:themeFillTint="66"/>
            <w:vAlign w:val="center"/>
          </w:tcPr>
          <w:p w14:paraId="4DCD2899" w14:textId="77777777" w:rsidR="00463F43" w:rsidRPr="00A42F6F" w:rsidRDefault="00463F43" w:rsidP="00CD3CD0">
            <w:pPr>
              <w:jc w:val="center"/>
              <w:rPr>
                <w:sz w:val="20"/>
                <w:szCs w:val="20"/>
              </w:rPr>
            </w:pPr>
            <w:r w:rsidRPr="00A42F6F">
              <w:rPr>
                <w:sz w:val="20"/>
                <w:szCs w:val="20"/>
              </w:rPr>
              <w:t>Capacity for current testing</w:t>
            </w:r>
          </w:p>
        </w:tc>
        <w:tc>
          <w:tcPr>
            <w:tcW w:w="1925" w:type="dxa"/>
            <w:shd w:val="clear" w:color="auto" w:fill="F7CAAC" w:themeFill="accent2" w:themeFillTint="66"/>
            <w:vAlign w:val="center"/>
          </w:tcPr>
          <w:p w14:paraId="529B508B" w14:textId="77777777" w:rsidR="00463F43" w:rsidRPr="00A42F6F" w:rsidRDefault="00463F43" w:rsidP="00CD3CD0">
            <w:pPr>
              <w:jc w:val="center"/>
              <w:rPr>
                <w:sz w:val="20"/>
                <w:szCs w:val="20"/>
              </w:rPr>
            </w:pPr>
            <w:r w:rsidRPr="00A42F6F">
              <w:rPr>
                <w:sz w:val="20"/>
                <w:szCs w:val="20"/>
              </w:rPr>
              <w:t xml:space="preserve">No current domestic </w:t>
            </w:r>
            <w:r>
              <w:rPr>
                <w:sz w:val="20"/>
                <w:szCs w:val="20"/>
              </w:rPr>
              <w:t>capability</w:t>
            </w:r>
          </w:p>
        </w:tc>
        <w:tc>
          <w:tcPr>
            <w:tcW w:w="2127" w:type="dxa"/>
            <w:shd w:val="clear" w:color="auto" w:fill="C5E0B3" w:themeFill="accent6" w:themeFillTint="66"/>
            <w:vAlign w:val="center"/>
          </w:tcPr>
          <w:p w14:paraId="2B6DD1F8" w14:textId="77777777" w:rsidR="00463F43" w:rsidRPr="00A42F6F" w:rsidRDefault="00463F43" w:rsidP="00CD3CD0">
            <w:pPr>
              <w:jc w:val="center"/>
              <w:rPr>
                <w:sz w:val="20"/>
                <w:szCs w:val="20"/>
              </w:rPr>
            </w:pPr>
            <w:r w:rsidRPr="00A42F6F">
              <w:rPr>
                <w:sz w:val="20"/>
                <w:szCs w:val="20"/>
              </w:rPr>
              <w:t>Capacity</w:t>
            </w:r>
          </w:p>
        </w:tc>
      </w:tr>
      <w:tr w:rsidR="00463F43" w:rsidRPr="00A42F6F" w14:paraId="29F0CCA5" w14:textId="77777777" w:rsidTr="00A94A2D">
        <w:trPr>
          <w:trHeight w:val="235"/>
        </w:trPr>
        <w:tc>
          <w:tcPr>
            <w:tcW w:w="1702" w:type="dxa"/>
            <w:vAlign w:val="center"/>
          </w:tcPr>
          <w:p w14:paraId="00BEDBC1" w14:textId="77777777" w:rsidR="00463F43" w:rsidRPr="00080CAB" w:rsidRDefault="00463F43" w:rsidP="00CD3CD0">
            <w:pPr>
              <w:rPr>
                <w:b/>
                <w:bCs/>
                <w:sz w:val="20"/>
                <w:szCs w:val="20"/>
              </w:rPr>
            </w:pPr>
            <w:r w:rsidRPr="00080CAB">
              <w:rPr>
                <w:b/>
                <w:bCs/>
                <w:sz w:val="20"/>
                <w:szCs w:val="20"/>
              </w:rPr>
              <w:t>Cytomegalovirus</w:t>
            </w:r>
          </w:p>
        </w:tc>
        <w:tc>
          <w:tcPr>
            <w:tcW w:w="1895" w:type="dxa"/>
          </w:tcPr>
          <w:p w14:paraId="35013868" w14:textId="77777777" w:rsidR="00463F43" w:rsidRPr="00A42F6F" w:rsidRDefault="00463F43" w:rsidP="00CD3CD0">
            <w:pPr>
              <w:rPr>
                <w:sz w:val="20"/>
                <w:szCs w:val="20"/>
              </w:rPr>
            </w:pPr>
            <w:r w:rsidRPr="00A42F6F">
              <w:rPr>
                <w:sz w:val="20"/>
                <w:szCs w:val="20"/>
              </w:rPr>
              <w:t>IgG detection</w:t>
            </w:r>
          </w:p>
        </w:tc>
        <w:tc>
          <w:tcPr>
            <w:tcW w:w="1424" w:type="dxa"/>
            <w:shd w:val="clear" w:color="auto" w:fill="C5E0B3" w:themeFill="accent6" w:themeFillTint="66"/>
            <w:vAlign w:val="center"/>
          </w:tcPr>
          <w:p w14:paraId="0ADDB797" w14:textId="77777777" w:rsidR="00463F43" w:rsidRPr="00A42F6F" w:rsidRDefault="00463F43" w:rsidP="00CD3CD0">
            <w:pPr>
              <w:jc w:val="center"/>
              <w:rPr>
                <w:sz w:val="20"/>
                <w:szCs w:val="20"/>
              </w:rPr>
            </w:pPr>
            <w:r w:rsidRPr="00A42F6F">
              <w:rPr>
                <w:sz w:val="20"/>
                <w:szCs w:val="20"/>
              </w:rPr>
              <w:t>Capacity for current testing</w:t>
            </w:r>
          </w:p>
        </w:tc>
        <w:tc>
          <w:tcPr>
            <w:tcW w:w="1925" w:type="dxa"/>
            <w:shd w:val="clear" w:color="auto" w:fill="F7CAAC" w:themeFill="accent2" w:themeFillTint="66"/>
            <w:vAlign w:val="center"/>
          </w:tcPr>
          <w:p w14:paraId="76D8D79C" w14:textId="77777777" w:rsidR="00463F43" w:rsidRPr="00A42F6F" w:rsidRDefault="00463F43" w:rsidP="00CD3CD0">
            <w:pPr>
              <w:jc w:val="center"/>
              <w:rPr>
                <w:sz w:val="20"/>
                <w:szCs w:val="20"/>
              </w:rPr>
            </w:pPr>
            <w:r w:rsidRPr="00A42F6F">
              <w:rPr>
                <w:sz w:val="20"/>
                <w:szCs w:val="20"/>
              </w:rPr>
              <w:t xml:space="preserve">No current domestic </w:t>
            </w:r>
            <w:r>
              <w:rPr>
                <w:sz w:val="20"/>
                <w:szCs w:val="20"/>
              </w:rPr>
              <w:t>capability</w:t>
            </w:r>
          </w:p>
        </w:tc>
        <w:tc>
          <w:tcPr>
            <w:tcW w:w="2127" w:type="dxa"/>
            <w:shd w:val="clear" w:color="auto" w:fill="C5E0B3" w:themeFill="accent6" w:themeFillTint="66"/>
            <w:vAlign w:val="center"/>
          </w:tcPr>
          <w:p w14:paraId="77D46342" w14:textId="77777777" w:rsidR="00463F43" w:rsidRPr="00A42F6F" w:rsidRDefault="00463F43" w:rsidP="00CD3CD0">
            <w:pPr>
              <w:jc w:val="center"/>
              <w:rPr>
                <w:sz w:val="20"/>
                <w:szCs w:val="20"/>
              </w:rPr>
            </w:pPr>
            <w:r w:rsidRPr="00A42F6F">
              <w:rPr>
                <w:sz w:val="20"/>
                <w:szCs w:val="20"/>
              </w:rPr>
              <w:t>Capacity</w:t>
            </w:r>
          </w:p>
        </w:tc>
      </w:tr>
    </w:tbl>
    <w:p w14:paraId="15E79E8D" w14:textId="77777777" w:rsidR="00463F43" w:rsidRPr="00A94A2D" w:rsidRDefault="00463F43" w:rsidP="00463F43">
      <w:pPr>
        <w:rPr>
          <w:sz w:val="2"/>
          <w:szCs w:val="2"/>
        </w:rPr>
      </w:pPr>
    </w:p>
    <w:p w14:paraId="71BA3B12" w14:textId="77777777" w:rsidR="00463F43" w:rsidRPr="00FA0870" w:rsidRDefault="00463F43" w:rsidP="00463F43">
      <w:r w:rsidRPr="00FA0870">
        <w:t>Laboratories that manufacture Class 4 in-house IVDs must lodge an application for inclusion in the ARTG with the TGA, and can use different conformity assessment pathways to support their application:</w:t>
      </w:r>
    </w:p>
    <w:p w14:paraId="1079160E" w14:textId="77777777" w:rsidR="00463F43" w:rsidRPr="00FA0870" w:rsidRDefault="00463F43" w:rsidP="00463F43">
      <w:pPr>
        <w:pStyle w:val="ListParagraph"/>
        <w:numPr>
          <w:ilvl w:val="0"/>
          <w:numId w:val="14"/>
        </w:numPr>
        <w:rPr>
          <w:rFonts w:asciiTheme="minorHAnsi" w:eastAsiaTheme="minorHAnsi" w:hAnsiTheme="minorHAnsi" w:cstheme="minorBidi"/>
          <w:lang w:val="en-AU"/>
        </w:rPr>
      </w:pPr>
      <w:r w:rsidRPr="00FA0870">
        <w:rPr>
          <w:rFonts w:asciiTheme="minorHAnsi" w:eastAsiaTheme="minorHAnsi" w:hAnsiTheme="minorHAnsi" w:cstheme="minorBidi"/>
          <w:lang w:val="en-AU"/>
        </w:rPr>
        <w:t>NATA accreditation, which meets the requirements of ISO15189 and NPAAC standard for the Development and Use of In-house IVDs</w:t>
      </w:r>
    </w:p>
    <w:p w14:paraId="104FDBF3" w14:textId="77777777" w:rsidR="00463F43" w:rsidRPr="00FA0870" w:rsidRDefault="00463F43" w:rsidP="00463F43">
      <w:pPr>
        <w:pStyle w:val="ListParagraph"/>
        <w:numPr>
          <w:ilvl w:val="0"/>
          <w:numId w:val="14"/>
        </w:numPr>
        <w:rPr>
          <w:rFonts w:asciiTheme="minorHAnsi" w:eastAsiaTheme="minorHAnsi" w:hAnsiTheme="minorHAnsi" w:cstheme="minorBidi"/>
          <w:lang w:val="en-AU"/>
        </w:rPr>
      </w:pPr>
      <w:r w:rsidRPr="00FA0870">
        <w:rPr>
          <w:rFonts w:asciiTheme="minorHAnsi" w:eastAsiaTheme="minorHAnsi" w:hAnsiTheme="minorHAnsi" w:cstheme="minorBidi"/>
          <w:lang w:val="en-AU"/>
        </w:rPr>
        <w:t>Code of Good Manufacturing Practice (GMP) for Blood and Blood Components, Human Tissues and Human Cellular Therapy Products (GMP manufacturing licence held by laboratories providing donor screening services for the tissue bank sector)</w:t>
      </w:r>
    </w:p>
    <w:p w14:paraId="62B5A9FB" w14:textId="77777777" w:rsidR="00463F43" w:rsidRPr="00FA0870" w:rsidRDefault="00463F43" w:rsidP="00463F43">
      <w:pPr>
        <w:pStyle w:val="ListParagraph"/>
        <w:numPr>
          <w:ilvl w:val="0"/>
          <w:numId w:val="14"/>
        </w:numPr>
        <w:rPr>
          <w:rFonts w:asciiTheme="minorHAnsi" w:eastAsiaTheme="minorHAnsi" w:hAnsiTheme="minorHAnsi" w:cstheme="minorBidi"/>
          <w:lang w:val="en-AU"/>
        </w:rPr>
      </w:pPr>
      <w:r w:rsidRPr="00FA0870">
        <w:rPr>
          <w:rFonts w:asciiTheme="minorHAnsi" w:eastAsiaTheme="minorHAnsi" w:hAnsiTheme="minorHAnsi" w:cstheme="minorBidi"/>
          <w:lang w:val="en-AU"/>
        </w:rPr>
        <w:t xml:space="preserve">TGA conformity assessment, which meets the requirements of </w:t>
      </w:r>
      <w:r w:rsidRPr="00FA0870">
        <w:rPr>
          <w:rFonts w:asciiTheme="minorHAnsi" w:eastAsiaTheme="minorHAnsi" w:hAnsiTheme="minorHAnsi" w:cstheme="minorBidi"/>
          <w:i/>
          <w:iCs/>
          <w:lang w:val="en-AU"/>
        </w:rPr>
        <w:t>ISO13485 Medical Devices – Quality management systems – Requirements for regulatory purposes</w:t>
      </w:r>
    </w:p>
    <w:p w14:paraId="6E46DE91" w14:textId="77777777" w:rsidR="00463F43" w:rsidRPr="00FA0870" w:rsidRDefault="00463F43" w:rsidP="00463F43">
      <w:pPr>
        <w:spacing w:before="120"/>
      </w:pPr>
      <w:r w:rsidRPr="00FA0870">
        <w:t>The laboratory must have available technical documentation which supports the analytical and clinical performance of their Class 4 in-house IVDs and pay an application fee of $1,098 for ARTG.</w:t>
      </w:r>
    </w:p>
    <w:p w14:paraId="2FD55F75" w14:textId="77777777" w:rsidR="00463F43" w:rsidRPr="00FA0870" w:rsidRDefault="00463F43" w:rsidP="00A94A2D">
      <w:pPr>
        <w:spacing w:after="0"/>
      </w:pPr>
      <w:r w:rsidRPr="00FA0870">
        <w:t>Assessment fees</w:t>
      </w:r>
      <w:r w:rsidRPr="00FA0870">
        <w:rPr>
          <w:rStyle w:val="FootnoteReference"/>
        </w:rPr>
        <w:footnoteReference w:id="26"/>
      </w:r>
      <w:r w:rsidRPr="00FA0870">
        <w:t xml:space="preserve"> for each individual test also apply, however there are provisions </w:t>
      </w:r>
      <w:r w:rsidRPr="00FA0870">
        <w:rPr>
          <w:rFonts w:eastAsia="Times New Roman"/>
        </w:rPr>
        <w:t>which allow for 70% reduction in assessment fees when requested, if it is in the interest of public health and it would not otherwise be commercially viable if the full fee were paid</w:t>
      </w:r>
      <w:r w:rsidRPr="00FA0870">
        <w:t>:</w:t>
      </w:r>
    </w:p>
    <w:p w14:paraId="27BBCBDE" w14:textId="77777777" w:rsidR="00463F43" w:rsidRPr="00FA0870" w:rsidRDefault="00463F43" w:rsidP="00463F43">
      <w:pPr>
        <w:pStyle w:val="NormalWeb"/>
        <w:numPr>
          <w:ilvl w:val="0"/>
          <w:numId w:val="17"/>
        </w:numPr>
        <w:spacing w:before="0" w:beforeAutospacing="0" w:after="0" w:afterAutospacing="0"/>
        <w:rPr>
          <w:rFonts w:asciiTheme="minorHAnsi" w:hAnsiTheme="minorHAnsi" w:cstheme="minorBidi"/>
          <w:sz w:val="22"/>
          <w:szCs w:val="22"/>
          <w:lang w:eastAsia="en-US"/>
        </w:rPr>
      </w:pPr>
      <w:r w:rsidRPr="00FA0870">
        <w:rPr>
          <w:rFonts w:asciiTheme="minorHAnsi" w:hAnsiTheme="minorHAnsi" w:cstheme="minorBidi"/>
          <w:sz w:val="22"/>
          <w:szCs w:val="22"/>
          <w:lang w:eastAsia="en-US"/>
        </w:rPr>
        <w:t>Assessment fee for Class 4 in-house IVDs for CMV testing - $22,387 (can be reduced to $6,720)</w:t>
      </w:r>
    </w:p>
    <w:p w14:paraId="6A88DE9C" w14:textId="77777777" w:rsidR="00463F43" w:rsidRPr="00FA0870" w:rsidRDefault="00463F43" w:rsidP="00463F43">
      <w:pPr>
        <w:pStyle w:val="NormalWeb"/>
        <w:numPr>
          <w:ilvl w:val="0"/>
          <w:numId w:val="17"/>
        </w:numPr>
        <w:spacing w:before="0" w:beforeAutospacing="0" w:after="0" w:afterAutospacing="0"/>
        <w:rPr>
          <w:rFonts w:asciiTheme="minorHAnsi" w:hAnsiTheme="minorHAnsi" w:cstheme="minorBidi"/>
          <w:sz w:val="22"/>
          <w:szCs w:val="22"/>
          <w:lang w:eastAsia="en-US"/>
        </w:rPr>
      </w:pPr>
      <w:r w:rsidRPr="00FA0870">
        <w:rPr>
          <w:rFonts w:asciiTheme="minorHAnsi" w:hAnsiTheme="minorHAnsi" w:cstheme="minorBidi"/>
          <w:sz w:val="22"/>
          <w:szCs w:val="22"/>
          <w:lang w:eastAsia="en-US"/>
        </w:rPr>
        <w:t>Assessment fee for Class 4 in-house IVDs for ABO or RhD genotyping - $16,621 (can be reduced to $4,990)</w:t>
      </w:r>
    </w:p>
    <w:p w14:paraId="1FD0F425" w14:textId="77777777" w:rsidR="00463F43" w:rsidRPr="00FA0870" w:rsidRDefault="00463F43" w:rsidP="00463F43">
      <w:pPr>
        <w:pStyle w:val="ListParagraph"/>
        <w:numPr>
          <w:ilvl w:val="0"/>
          <w:numId w:val="17"/>
        </w:numPr>
        <w:spacing w:before="0"/>
        <w:rPr>
          <w:rFonts w:asciiTheme="minorHAnsi" w:eastAsiaTheme="minorHAnsi" w:hAnsiTheme="minorHAnsi" w:cstheme="minorBidi"/>
          <w:lang w:val="en-AU"/>
        </w:rPr>
      </w:pPr>
      <w:r w:rsidRPr="00FA0870">
        <w:rPr>
          <w:rFonts w:asciiTheme="minorHAnsi" w:eastAsia="Times New Roman" w:hAnsiTheme="minorHAnsi" w:cstheme="minorBidi"/>
          <w:lang w:val="en-AU"/>
        </w:rPr>
        <w:t>Assessment fee for Class 4 in-house IVDs undergoing TGA conformity assessment (i.e. pathway 3 described above). Fees are consistent with applications for conformity assessment for commercial manufacturers and is therefore the least-preferred pathway for laboratories with Class 4 in-house IVDs.</w:t>
      </w:r>
    </w:p>
    <w:p w14:paraId="7362EA15" w14:textId="2EAC81BA" w:rsidR="00463F43" w:rsidRDefault="00463F43" w:rsidP="00A94A2D">
      <w:pPr>
        <w:pStyle w:val="ListParagraph"/>
        <w:numPr>
          <w:ilvl w:val="0"/>
          <w:numId w:val="17"/>
        </w:numPr>
        <w:spacing w:before="0"/>
      </w:pPr>
      <w:r w:rsidRPr="006D018C">
        <w:rPr>
          <w:rFonts w:eastAsia="Times New Roman"/>
        </w:rPr>
        <w:t>There are no annual charges or on-going fees associated with Class 4 in-house IVDs included in the ARTG.</w:t>
      </w:r>
    </w:p>
    <w:p w14:paraId="06ACB97A" w14:textId="6789A254" w:rsidR="00463F43" w:rsidRDefault="00463F43" w:rsidP="00463F43">
      <w:pPr>
        <w:pStyle w:val="Heading2"/>
      </w:pPr>
      <w:bookmarkStart w:id="28" w:name="_Toc134611362"/>
      <w:r>
        <w:t xml:space="preserve">Potential Future National HPC </w:t>
      </w:r>
      <w:r w:rsidR="00A94A2D">
        <w:t xml:space="preserve">Donor </w:t>
      </w:r>
      <w:r>
        <w:t>Recruitment Strategy</w:t>
      </w:r>
      <w:bookmarkEnd w:id="28"/>
    </w:p>
    <w:p w14:paraId="2B543B83" w14:textId="426C01D0" w:rsidR="00463F43" w:rsidRDefault="00463F43" w:rsidP="00463F43">
      <w:r>
        <w:t xml:space="preserve">Presently, HPC </w:t>
      </w:r>
      <w:r w:rsidR="006D018C">
        <w:t xml:space="preserve">donor </w:t>
      </w:r>
      <w:r>
        <w:t xml:space="preserve">recruitment is predominately through two separate systems with insufficient coordination: individuals present to a fixed or mobile Lifeblood collection centre as a potential blood donor, or through ABMDR-directed </w:t>
      </w:r>
      <w:r w:rsidR="006D018C">
        <w:t xml:space="preserve">donor </w:t>
      </w:r>
      <w:r>
        <w:t>recruitment drives undertaken in conjunction with or without patient representative groups. Lifeblood has a recruitment team to enable new or existing blood donors to also become donors of platelets, immunoglobulin, plasma and/or HPCs.</w:t>
      </w:r>
    </w:p>
    <w:p w14:paraId="597BE149" w14:textId="2EC8A352" w:rsidR="00463F43" w:rsidRDefault="00463F43" w:rsidP="00463F43">
      <w:r>
        <w:t>A formalised</w:t>
      </w:r>
      <w:r w:rsidRPr="0041236C">
        <w:t xml:space="preserve"> </w:t>
      </w:r>
      <w:r>
        <w:t xml:space="preserve">national strategy for ongoing, recruitment and service planning for HPC </w:t>
      </w:r>
      <w:r w:rsidR="006D018C">
        <w:t xml:space="preserve">donor </w:t>
      </w:r>
      <w:r>
        <w:t xml:space="preserve">recruitment should be established and enacted, by a single entity to direct HPC </w:t>
      </w:r>
      <w:r w:rsidR="006D018C">
        <w:t xml:space="preserve">donor </w:t>
      </w:r>
      <w:r>
        <w:t xml:space="preserve">recruitment (in line with the National HPC Framework). This strategy should be informed by the composition of existing ABMDR </w:t>
      </w:r>
      <w:r w:rsidR="006D018C">
        <w:t xml:space="preserve">registrants and </w:t>
      </w:r>
      <w:r>
        <w:t xml:space="preserve">also based on the need to populate the national registry to primarily fulfil domestic transplant needs given the diverse population structure of Australia. Planning should consider the recruitment settings and capacity to deliver efficient services through the combination of walk-in attendance at fixed or mobile centres, community recruitment in regional and remote settings, and a need to respond to requests for reactive </w:t>
      </w:r>
      <w:r w:rsidR="006D018C">
        <w:t xml:space="preserve">HPC </w:t>
      </w:r>
      <w:r>
        <w:t>donor recruitment driven by patient support groups.</w:t>
      </w:r>
    </w:p>
    <w:p w14:paraId="007E9F6A" w14:textId="77777777" w:rsidR="00463F43" w:rsidRDefault="00463F43" w:rsidP="00463F43">
      <w:r>
        <w:t>A proposed s</w:t>
      </w:r>
      <w:r w:rsidRPr="00A42F6F">
        <w:t xml:space="preserve">chematic of </w:t>
      </w:r>
      <w:r>
        <w:t xml:space="preserve">proposed </w:t>
      </w:r>
      <w:r w:rsidRPr="00A42F6F">
        <w:t xml:space="preserve">options for future HPC </w:t>
      </w:r>
      <w:r>
        <w:t xml:space="preserve">donor </w:t>
      </w:r>
      <w:r w:rsidRPr="00A42F6F">
        <w:t>recruitment</w:t>
      </w:r>
      <w:r>
        <w:t xml:space="preserve"> that fully integrates analysis of the registry with all recruitment method is provided in Figure 4. </w:t>
      </w:r>
    </w:p>
    <w:p w14:paraId="14B65C95" w14:textId="77777777" w:rsidR="00463F43" w:rsidRPr="005A5DFF" w:rsidRDefault="00463F43" w:rsidP="00463F43">
      <w:pPr>
        <w:pStyle w:val="Heading3"/>
      </w:pPr>
      <w:bookmarkStart w:id="29" w:name="_Toc134611363"/>
      <w:r>
        <w:t>Standards for testing of samples</w:t>
      </w:r>
      <w:r w:rsidRPr="00CC6133">
        <w:t xml:space="preserve"> at HPC </w:t>
      </w:r>
      <w:r>
        <w:t xml:space="preserve">donor </w:t>
      </w:r>
      <w:r w:rsidRPr="00CC6133">
        <w:t>recruitment</w:t>
      </w:r>
      <w:r>
        <w:t xml:space="preserve"> – future practice</w:t>
      </w:r>
      <w:bookmarkEnd w:id="29"/>
    </w:p>
    <w:p w14:paraId="330A8703" w14:textId="77777777" w:rsidR="00463F43" w:rsidRDefault="00463F43" w:rsidP="00463F43">
      <w:r w:rsidRPr="00CC6133">
        <w:t xml:space="preserve">The </w:t>
      </w:r>
      <w:r>
        <w:t>Advisory Group</w:t>
      </w:r>
      <w:r w:rsidRPr="00CC6133">
        <w:t xml:space="preserve"> considered that HLA typing at recruitment </w:t>
      </w:r>
      <w:r>
        <w:t xml:space="preserve">is </w:t>
      </w:r>
      <w:r w:rsidRPr="00CC6133">
        <w:t xml:space="preserve">the most clinically significant test </w:t>
      </w:r>
      <w:r>
        <w:t>that a clinician will use to select the most appropriate donor from an initial donor search report for verification testing (VT).  The resolution of HLA typing currently performed is appropriate if it is visible to the transplant physician in the registry search reports.</w:t>
      </w:r>
    </w:p>
    <w:p w14:paraId="35EA5CFD" w14:textId="77777777" w:rsidR="00463F43" w:rsidRDefault="00463F43" w:rsidP="00463F43">
      <w:r>
        <w:t>The donor’s ABO and Rh blood group and CMV status is clinically useful information to have upfront.</w:t>
      </w:r>
    </w:p>
    <w:p w14:paraId="7AFE1E66" w14:textId="178314DC" w:rsidR="00463F43" w:rsidRDefault="00463F43" w:rsidP="00463F43">
      <w:r>
        <w:t xml:space="preserve">CMV testing at initial recruitment has the lowest utility of the three recruitment tests (Table 6) but should remain at recruitment for consistency with comparable international registries. All potential </w:t>
      </w:r>
      <w:r w:rsidR="006D018C">
        <w:t xml:space="preserve">HPC </w:t>
      </w:r>
      <w:r>
        <w:t>donors have their CMV status retested at the time of VT prior to HPC donation, and that CMV status at this later time-point is influential on the survival outcome of an HPC transplant</w:t>
      </w:r>
      <w:r w:rsidR="006D018C">
        <w:t xml:space="preserve"> recipient</w:t>
      </w:r>
      <w:r>
        <w:rPr>
          <w:rStyle w:val="FootnoteReference"/>
        </w:rPr>
        <w:footnoteReference w:id="27"/>
      </w:r>
      <w:r>
        <w:t>.</w:t>
      </w:r>
    </w:p>
    <w:p w14:paraId="01E13854" w14:textId="2372310A" w:rsidR="00463F43" w:rsidRDefault="00463F43" w:rsidP="00463F43">
      <w:r>
        <w:t>The domestic laboratory capability to perform all three recruitment tests on buccal swabs needs to be developed</w:t>
      </w:r>
      <w:r w:rsidR="006D018C">
        <w:t xml:space="preserve">. This </w:t>
      </w:r>
      <w:r>
        <w:t>needs to occur within the current regulatory frameworks to ensure oversight of testing is maintained.</w:t>
      </w:r>
    </w:p>
    <w:p w14:paraId="383A9900" w14:textId="77777777" w:rsidR="00463F43" w:rsidRDefault="00463F43" w:rsidP="00463F43">
      <w:pPr>
        <w:pStyle w:val="Heading4"/>
      </w:pPr>
      <w:r>
        <w:t>Laboratory accreditation</w:t>
      </w:r>
      <w:r w:rsidRPr="00A42F6F">
        <w:t xml:space="preserve"> required to enable a transition from partial to full buccal swab testing in Australia</w:t>
      </w:r>
    </w:p>
    <w:p w14:paraId="3B0C6E78" w14:textId="77777777" w:rsidR="00463F43" w:rsidRPr="00A42F6F" w:rsidRDefault="00463F43" w:rsidP="00463F43">
      <w:pPr>
        <w:pStyle w:val="Heading6"/>
      </w:pPr>
      <w:r w:rsidRPr="00A42F6F">
        <w:t xml:space="preserve">HLA </w:t>
      </w:r>
      <w:r>
        <w:t>typing on buccal swabs</w:t>
      </w:r>
    </w:p>
    <w:p w14:paraId="66F6B76D" w14:textId="5C8770D0" w:rsidR="00463F43" w:rsidRDefault="00463F43" w:rsidP="006D018C">
      <w:r w:rsidRPr="00A42F6F">
        <w:t>Buccal swab-based DNA testing for HLA status (at any resolution) only requires laboratory accreditation for a given test platform</w:t>
      </w:r>
      <w:r w:rsidRPr="00F835D5">
        <w:t xml:space="preserve">, </w:t>
      </w:r>
      <w:r w:rsidRPr="00FA0870">
        <w:t>through NATA, and aside from the requirement to validate buccal swabs as an additional sample type</w:t>
      </w:r>
      <w:r w:rsidRPr="00F835D5">
        <w:t>, is not considered</w:t>
      </w:r>
      <w:r w:rsidRPr="00A42F6F">
        <w:t xml:space="preserve"> a barrier to implementation of buccal swab testing.</w:t>
      </w:r>
    </w:p>
    <w:p w14:paraId="21E7B587" w14:textId="77777777" w:rsidR="00463F43" w:rsidRPr="00A42F6F" w:rsidRDefault="00463F43" w:rsidP="00463F43">
      <w:r>
        <w:t>Lifeblood and Pathology Queensland have indicated that they would be willing to develop additional laboratory capacity to increase HLA testing using a buccal swab-based sample.</w:t>
      </w:r>
    </w:p>
    <w:p w14:paraId="512BC938" w14:textId="77777777" w:rsidR="00463F43" w:rsidRDefault="00463F43" w:rsidP="00463F43">
      <w:pPr>
        <w:rPr>
          <w:sz w:val="20"/>
          <w:szCs w:val="20"/>
        </w:rPr>
        <w:sectPr w:rsidR="00463F43" w:rsidSect="00A94A2D">
          <w:pgSz w:w="11906" w:h="16838"/>
          <w:pgMar w:top="1418" w:right="1440" w:bottom="1440" w:left="1440" w:header="708" w:footer="708" w:gutter="0"/>
          <w:cols w:space="708"/>
          <w:docGrid w:linePitch="360"/>
        </w:sectPr>
      </w:pPr>
    </w:p>
    <w:p w14:paraId="17D346A2" w14:textId="5054FB9C" w:rsidR="00463F43" w:rsidRDefault="00463F43" w:rsidP="00463F43">
      <w:pPr>
        <w:pStyle w:val="Heading5"/>
        <w:rPr>
          <w:color w:val="808080" w:themeColor="background1" w:themeShade="80"/>
        </w:rPr>
      </w:pPr>
      <w:r>
        <w:t>Figure 4. Schematic of proposed HPC recruitment that integrates national registry analysis with recruitment method.</w:t>
      </w:r>
    </w:p>
    <w:p w14:paraId="1F496DCD" w14:textId="61DE0CAF" w:rsidR="00463F43" w:rsidRDefault="009B2E74" w:rsidP="00463F43">
      <w:pPr>
        <w:keepLines/>
        <w:spacing w:after="0" w:line="240" w:lineRule="auto"/>
        <w:rPr>
          <w:color w:val="808080" w:themeColor="background1" w:themeShade="80"/>
        </w:rPr>
      </w:pPr>
      <w:r>
        <w:rPr>
          <w:noProof/>
          <w:color w:val="808080" w:themeColor="background1" w:themeShade="80"/>
        </w:rPr>
        <w:drawing>
          <wp:inline distT="0" distB="0" distL="0" distR="0" wp14:anchorId="1E997556" wp14:editId="3264A898">
            <wp:extent cx="7381875" cy="5107612"/>
            <wp:effectExtent l="0" t="0" r="0" b="0"/>
            <wp:docPr id="5" name="Picture 5"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diagram, fon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402386" cy="5121804"/>
                    </a:xfrm>
                    <a:prstGeom prst="rect">
                      <a:avLst/>
                    </a:prstGeom>
                  </pic:spPr>
                </pic:pic>
              </a:graphicData>
            </a:graphic>
          </wp:inline>
        </w:drawing>
      </w:r>
    </w:p>
    <w:p w14:paraId="5F0606BF" w14:textId="6ED00A39" w:rsidR="00463F43" w:rsidRPr="0019668C" w:rsidRDefault="00463F43" w:rsidP="00463F43">
      <w:pPr>
        <w:keepLines/>
        <w:spacing w:after="0" w:line="240" w:lineRule="auto"/>
        <w:rPr>
          <w:color w:val="808080" w:themeColor="background1" w:themeShade="80"/>
        </w:rPr>
      </w:pPr>
      <w:r w:rsidRPr="001712A7">
        <w:rPr>
          <w:color w:val="808080" w:themeColor="background1" w:themeShade="80"/>
        </w:rPr>
        <w:t xml:space="preserve">Legend: Green = enhanced current activity, orange = new activity. LB = </w:t>
      </w:r>
      <w:r>
        <w:rPr>
          <w:color w:val="808080" w:themeColor="background1" w:themeShade="80"/>
        </w:rPr>
        <w:t>L</w:t>
      </w:r>
      <w:r w:rsidRPr="001712A7">
        <w:rPr>
          <w:color w:val="808080" w:themeColor="background1" w:themeShade="80"/>
        </w:rPr>
        <w:t xml:space="preserve">ifeblood, PQ = </w:t>
      </w:r>
      <w:r>
        <w:rPr>
          <w:color w:val="808080" w:themeColor="background1" w:themeShade="80"/>
        </w:rPr>
        <w:t>P</w:t>
      </w:r>
      <w:r w:rsidRPr="001712A7">
        <w:rPr>
          <w:color w:val="808080" w:themeColor="background1" w:themeShade="80"/>
        </w:rPr>
        <w:t xml:space="preserve">athology Queensland, PW = PathWest, </w:t>
      </w:r>
      <w:r w:rsidRPr="0019668C">
        <w:rPr>
          <w:color w:val="808080" w:themeColor="background1" w:themeShade="80"/>
        </w:rPr>
        <w:t>NGS = next generation sequencing, RBC = red blood cell</w:t>
      </w:r>
      <w:r>
        <w:rPr>
          <w:color w:val="808080" w:themeColor="background1" w:themeShade="80"/>
        </w:rPr>
        <w:t xml:space="preserve"> antigen</w:t>
      </w:r>
      <w:r w:rsidRPr="0019668C">
        <w:rPr>
          <w:color w:val="808080" w:themeColor="background1" w:themeShade="80"/>
        </w:rPr>
        <w:t>, HPA = human platelet antigen, HLA = human leu</w:t>
      </w:r>
      <w:r w:rsidR="006D018C">
        <w:rPr>
          <w:color w:val="808080" w:themeColor="background1" w:themeShade="80"/>
        </w:rPr>
        <w:t>c</w:t>
      </w:r>
      <w:r w:rsidRPr="0019668C">
        <w:rPr>
          <w:color w:val="808080" w:themeColor="background1" w:themeShade="80"/>
        </w:rPr>
        <w:t>ocyte antigen, UBDT = universal blood donor testing</w:t>
      </w:r>
    </w:p>
    <w:p w14:paraId="053DACD9" w14:textId="77777777" w:rsidR="00463F43" w:rsidRDefault="00463F43" w:rsidP="00463F43">
      <w:pPr>
        <w:rPr>
          <w:b/>
          <w:bCs/>
        </w:rPr>
        <w:sectPr w:rsidR="00463F43" w:rsidSect="005C1AAC">
          <w:pgSz w:w="16838" w:h="11906" w:orient="landscape"/>
          <w:pgMar w:top="1440" w:right="1440" w:bottom="1440" w:left="1440" w:header="709" w:footer="709" w:gutter="0"/>
          <w:cols w:space="708"/>
          <w:docGrid w:linePitch="360"/>
        </w:sectPr>
      </w:pPr>
    </w:p>
    <w:p w14:paraId="2A1CC40B" w14:textId="77777777" w:rsidR="00463F43" w:rsidRPr="00072342" w:rsidRDefault="00463F43" w:rsidP="00463F43">
      <w:pPr>
        <w:pStyle w:val="Heading6"/>
        <w:rPr>
          <w:rFonts w:eastAsiaTheme="minorHAnsi"/>
        </w:rPr>
      </w:pPr>
      <w:r w:rsidRPr="00072342">
        <w:rPr>
          <w:rFonts w:eastAsiaTheme="minorHAnsi"/>
        </w:rPr>
        <w:t xml:space="preserve">Blood group &amp; Rhesus DNA testing </w:t>
      </w:r>
      <w:r>
        <w:rPr>
          <w:rFonts w:eastAsiaTheme="minorHAnsi"/>
        </w:rPr>
        <w:t>on</w:t>
      </w:r>
      <w:r w:rsidRPr="00072342">
        <w:rPr>
          <w:rFonts w:eastAsiaTheme="minorHAnsi"/>
        </w:rPr>
        <w:t xml:space="preserve"> buccal swab</w:t>
      </w:r>
    </w:p>
    <w:p w14:paraId="2C99B137" w14:textId="77777777" w:rsidR="00463F43" w:rsidRDefault="00463F43" w:rsidP="00463F43">
      <w:r>
        <w:t>The</w:t>
      </w:r>
      <w:r w:rsidRPr="00A42F6F">
        <w:t xml:space="preserve"> TGA assessment fee </w:t>
      </w:r>
      <w:r>
        <w:t xml:space="preserve">is identified </w:t>
      </w:r>
      <w:r w:rsidRPr="00A42F6F">
        <w:t xml:space="preserve">as a barrier to device manufacturers in bringing novel </w:t>
      </w:r>
      <w:r>
        <w:t xml:space="preserve">test </w:t>
      </w:r>
      <w:r w:rsidRPr="00A42F6F">
        <w:t xml:space="preserve">devices for use in Australia for the intended purpose of testing HPC recruits. The </w:t>
      </w:r>
      <w:r>
        <w:t>Advisory Group</w:t>
      </w:r>
      <w:r w:rsidRPr="00A42F6F">
        <w:t xml:space="preserve"> advises the JHPCC and TGA that there is a sufficient and compelling public health need for improved access to HPC testing capacity in Australia to warrant that the </w:t>
      </w:r>
      <w:r>
        <w:t xml:space="preserve">assessment </w:t>
      </w:r>
      <w:r w:rsidRPr="00A42F6F">
        <w:t>fee</w:t>
      </w:r>
      <w:r>
        <w:t>s</w:t>
      </w:r>
      <w:r w:rsidRPr="00A42F6F">
        <w:t xml:space="preserve"> for buccal</w:t>
      </w:r>
      <w:r>
        <w:t xml:space="preserve"> </w:t>
      </w:r>
      <w:r w:rsidRPr="00A42F6F">
        <w:t>swab</w:t>
      </w:r>
      <w:r>
        <w:noBreakHyphen/>
      </w:r>
      <w:r w:rsidRPr="00A42F6F">
        <w:t xml:space="preserve">based </w:t>
      </w:r>
      <w:r>
        <w:t>ABO and RhD</w:t>
      </w:r>
      <w:r w:rsidRPr="00A42F6F">
        <w:t xml:space="preserve"> blood group</w:t>
      </w:r>
      <w:r>
        <w:t xml:space="preserve"> </w:t>
      </w:r>
      <w:r w:rsidRPr="00A42F6F">
        <w:t>testing</w:t>
      </w:r>
      <w:r>
        <w:t xml:space="preserve"> is reduced to the extent possible</w:t>
      </w:r>
      <w:r w:rsidRPr="00A42F6F">
        <w:t>.</w:t>
      </w:r>
      <w:r>
        <w:t xml:space="preserve"> Advice was received from the TGA that available provisions for fee reduction could be applied to any Class 4 in-house IVD applications received from laboratories immediately following a recommendation from the Advisory Group.</w:t>
      </w:r>
    </w:p>
    <w:p w14:paraId="1F304EF1" w14:textId="77777777" w:rsidR="00463F43" w:rsidRPr="00A42F6F" w:rsidRDefault="00463F43" w:rsidP="00463F43">
      <w:pPr>
        <w:pStyle w:val="Heading6"/>
      </w:pPr>
      <w:r w:rsidRPr="00A42F6F">
        <w:t xml:space="preserve">CMV testing </w:t>
      </w:r>
      <w:r>
        <w:t>on</w:t>
      </w:r>
      <w:r w:rsidRPr="00A42F6F">
        <w:t xml:space="preserve"> buccal swab</w:t>
      </w:r>
    </w:p>
    <w:p w14:paraId="1B5143BA" w14:textId="77777777" w:rsidR="00463F43" w:rsidRDefault="00463F43" w:rsidP="00463F43">
      <w:r>
        <w:t>The Advisory Group identified the TGA assessment fees as a barrier to device manufacturers in bringing novel test devices for use in Australia for the intended purpose of testing HPC recruits. The Advisory Group advises the JHPCC and TGA that there is a sufficient and compelling public health need for improved access to HPC testing capacity in Australia to warrant that the assessment fees for buccal swab based CMV immunoglobulin testing is reduced to the extent possible.</w:t>
      </w:r>
      <w:r w:rsidRPr="00A42F6F">
        <w:t xml:space="preserve"> Advice was received from the TGA that the</w:t>
      </w:r>
      <w:r w:rsidRPr="00DD12B4">
        <w:t xml:space="preserve"> </w:t>
      </w:r>
      <w:r>
        <w:t>available provisions for</w:t>
      </w:r>
      <w:r w:rsidRPr="00A42F6F">
        <w:t xml:space="preserve"> fee reduction could be </w:t>
      </w:r>
      <w:r>
        <w:t>applied to any Class 4 in-house IVD applications received from laboratories</w:t>
      </w:r>
      <w:r w:rsidRPr="00A42F6F">
        <w:t xml:space="preserve"> immediately following a recommendation from the Advisory Group.</w:t>
      </w:r>
    </w:p>
    <w:p w14:paraId="179FF7B0" w14:textId="64638807" w:rsidR="00463F43" w:rsidRDefault="00463F43" w:rsidP="00463F43">
      <w:r>
        <w:t xml:space="preserve">The type and capacity of current testing required by ABMDR at initial HPC </w:t>
      </w:r>
      <w:r w:rsidR="006D018C">
        <w:t xml:space="preserve">donor </w:t>
      </w:r>
      <w:r>
        <w:t>recruitment is summarised in Table 7.</w:t>
      </w:r>
    </w:p>
    <w:p w14:paraId="6EEDC87E" w14:textId="4159FC9E" w:rsidR="00463F43" w:rsidRPr="00A42F6F" w:rsidRDefault="00463F43" w:rsidP="00463F43">
      <w:r w:rsidRPr="00A42F6F">
        <w:t xml:space="preserve">TGA </w:t>
      </w:r>
      <w:r>
        <w:t xml:space="preserve">and NPAAC </w:t>
      </w:r>
      <w:r w:rsidRPr="00A42F6F">
        <w:t xml:space="preserve">advice </w:t>
      </w:r>
      <w:r>
        <w:t>confirmed</w:t>
      </w:r>
      <w:r w:rsidRPr="00A42F6F">
        <w:t xml:space="preserve"> there is a need for laboratories to identify and validate every buccal swab type proposed for use in HPC </w:t>
      </w:r>
      <w:r w:rsidR="006D018C">
        <w:t xml:space="preserve">donor </w:t>
      </w:r>
      <w:r w:rsidRPr="00A42F6F">
        <w:t>recruitment. The issue of sample stability during transport would need to be considered in assessing test performance. Australian laboratories would need to establish a minimum yield for test sensitivity and specificity in comparison to blood testing to minimise risk of test result misclassification. Lifeblood have stated that they would need to determine the swab type for HLA testing for any expansion of testing to ensure quality of testing, rather than be directed by the ABMDR on the swab type used for HPC</w:t>
      </w:r>
      <w:r w:rsidR="006D018C">
        <w:t xml:space="preserve"> donor</w:t>
      </w:r>
      <w:r w:rsidRPr="00A42F6F">
        <w:t xml:space="preserve"> recruitment.</w:t>
      </w:r>
    </w:p>
    <w:p w14:paraId="33317466" w14:textId="77777777" w:rsidR="00463F43" w:rsidRDefault="00463F43" w:rsidP="00463F43">
      <w:r w:rsidRPr="00A42F6F">
        <w:t xml:space="preserve">The </w:t>
      </w:r>
      <w:r>
        <w:t>NPAAC standard “</w:t>
      </w:r>
      <w:r w:rsidRPr="00A42F6F">
        <w:rPr>
          <w:i/>
          <w:iCs/>
        </w:rPr>
        <w:t xml:space="preserve">Requirements for medical testing for human genetic </w:t>
      </w:r>
      <w:r>
        <w:rPr>
          <w:i/>
          <w:iCs/>
        </w:rPr>
        <w:t xml:space="preserve">variation” </w:t>
      </w:r>
      <w:r w:rsidRPr="00B1291E">
        <w:t xml:space="preserve">published by the </w:t>
      </w:r>
      <w:r w:rsidRPr="008B0300">
        <w:t>A</w:t>
      </w:r>
      <w:r w:rsidRPr="00A42F6F">
        <w:t>ustralian Commission on Standards and Quality in Healthcare (ACSQHC)</w:t>
      </w:r>
      <w:r>
        <w:rPr>
          <w:i/>
          <w:iCs/>
        </w:rPr>
        <w:t xml:space="preserve"> </w:t>
      </w:r>
      <w:r>
        <w:rPr>
          <w:rStyle w:val="FootnoteReference"/>
          <w:i/>
          <w:iCs/>
        </w:rPr>
        <w:footnoteReference w:id="28"/>
      </w:r>
      <w:r w:rsidRPr="00A42F6F">
        <w:t xml:space="preserve"> includes the statement that “Specimens collected by the patient are not ideal for nucleic acid tests due to an increased risk of pre-analytical errors and specimen contamination</w:t>
      </w:r>
      <w:r>
        <w:t>”</w:t>
      </w:r>
      <w:r w:rsidRPr="00A42F6F">
        <w:t xml:space="preserve">. </w:t>
      </w:r>
      <w:r>
        <w:t>Unsupervised</w:t>
      </w:r>
      <w:r w:rsidRPr="00A42F6F">
        <w:t xml:space="preserve"> </w:t>
      </w:r>
      <w:r>
        <w:t xml:space="preserve">(i.e. self-collected) </w:t>
      </w:r>
      <w:r w:rsidRPr="00A42F6F">
        <w:t xml:space="preserve">buccal swab </w:t>
      </w:r>
      <w:r>
        <w:t>samples for</w:t>
      </w:r>
      <w:r w:rsidRPr="00A42F6F">
        <w:t xml:space="preserve"> HLA and molecular genotyping of blood groups would fall under the remit of this statement</w:t>
      </w:r>
      <w:r>
        <w:t xml:space="preserve">, and is therefore not considered the optimal process for buccal swab sample collection.  Although the COVID-19 pandemic has required a large percentage of the population to develop competence in self collection for at-home tests, here is still </w:t>
      </w:r>
      <w:r w:rsidRPr="00A42F6F">
        <w:t xml:space="preserve">a potential risk for misidentification of HLA status </w:t>
      </w:r>
      <w:r>
        <w:t>via</w:t>
      </w:r>
      <w:r w:rsidRPr="00A42F6F">
        <w:t xml:space="preserve"> inadvertent exchange or mislabelling</w:t>
      </w:r>
      <w:r>
        <w:t xml:space="preserve"> </w:t>
      </w:r>
      <w:r w:rsidRPr="00A42F6F">
        <w:t>of samples</w:t>
      </w:r>
      <w:r>
        <w:t xml:space="preserve">. Samples could also be taken incorrectly (i.e. a saliva sample obtained instead of a buccal cell sample). Therefore, validation of self-collection kit </w:t>
      </w:r>
      <w:r w:rsidRPr="00F835D5">
        <w:t xml:space="preserve">instructions </w:t>
      </w:r>
      <w:r w:rsidRPr="00FA0870">
        <w:t>and sample transport stability is required to be completed by the laboratory and these aspects should be reviewed as part of the in-house Class 3 IVD accreditation process by either NATA or TGA review of in-house Class 4 IVDs</w:t>
      </w:r>
      <w:r w:rsidRPr="00F835D5">
        <w:t>.</w:t>
      </w:r>
      <w:r>
        <w:t xml:space="preserve"> </w:t>
      </w:r>
    </w:p>
    <w:p w14:paraId="0B4B32D1" w14:textId="3E251263" w:rsidR="00463F43" w:rsidRDefault="00463F43" w:rsidP="00463F43">
      <w:pPr>
        <w:rPr>
          <w:strike/>
        </w:rPr>
      </w:pPr>
      <w:r>
        <w:t xml:space="preserve">All laboratories </w:t>
      </w:r>
      <w:r w:rsidRPr="00A42F6F">
        <w:t xml:space="preserve">have stated that they would need to determine the swab type for HLA testing for any expansion of testing to ensure quality of testing, rather than be directed by ABMDR on the swab type used for HPC </w:t>
      </w:r>
      <w:r w:rsidR="006D018C">
        <w:t xml:space="preserve">donor </w:t>
      </w:r>
      <w:r w:rsidRPr="00A42F6F">
        <w:t>recruitment.</w:t>
      </w:r>
      <w:r>
        <w:t xml:space="preserve"> </w:t>
      </w:r>
    </w:p>
    <w:p w14:paraId="5EE93385" w14:textId="4760C124" w:rsidR="00463F43" w:rsidRPr="00A42F6F" w:rsidRDefault="00463F43" w:rsidP="00463F43">
      <w:pPr>
        <w:pStyle w:val="Heading4"/>
      </w:pPr>
      <w:r w:rsidRPr="00A42F6F">
        <w:t xml:space="preserve">Future testing capacity in Australia to meet the increased HPC </w:t>
      </w:r>
      <w:r w:rsidR="006D018C">
        <w:t xml:space="preserve">donor </w:t>
      </w:r>
      <w:r w:rsidRPr="00A42F6F">
        <w:t>recruitment target</w:t>
      </w:r>
    </w:p>
    <w:p w14:paraId="336A6CFA" w14:textId="77777777" w:rsidR="00463F43" w:rsidRPr="00A42F6F" w:rsidRDefault="00463F43" w:rsidP="00463F43">
      <w:r>
        <w:t>The</w:t>
      </w:r>
      <w:r w:rsidRPr="00A42F6F">
        <w:t xml:space="preserve"> estimated increase in recruitment </w:t>
      </w:r>
      <w:r>
        <w:t>(</w:t>
      </w:r>
      <w:r w:rsidRPr="00A42F6F">
        <w:t>100,000 to 150,000 new recruits over 5 years</w:t>
      </w:r>
      <w:r>
        <w:t xml:space="preserve">) </w:t>
      </w:r>
      <w:r w:rsidRPr="00A42F6F">
        <w:t xml:space="preserve">needed for Australia to have </w:t>
      </w:r>
      <w:r>
        <w:t>preferred donors at the same proportion as</w:t>
      </w:r>
      <w:r w:rsidRPr="00A42F6F">
        <w:t xml:space="preserve"> other comparable </w:t>
      </w:r>
      <w:r>
        <w:t xml:space="preserve">countries requires Australian laboratories to substantially increase their capacity to perform the number of tests required. </w:t>
      </w:r>
      <w:r w:rsidRPr="00A42F6F">
        <w:t xml:space="preserve"> </w:t>
      </w:r>
    </w:p>
    <w:p w14:paraId="14E38FBC" w14:textId="33EA1834" w:rsidR="00463F43" w:rsidRPr="00A42F6F" w:rsidRDefault="00463F43" w:rsidP="00463F43">
      <w:r w:rsidRPr="00A42F6F">
        <w:t xml:space="preserve">Advice received from the </w:t>
      </w:r>
      <w:r>
        <w:t>Australian</w:t>
      </w:r>
      <w:r w:rsidRPr="00A42F6F">
        <w:t xml:space="preserve"> laboratories</w:t>
      </w:r>
      <w:r>
        <w:t xml:space="preserve"> involved in HPC </w:t>
      </w:r>
      <w:r w:rsidR="006D018C">
        <w:t xml:space="preserve">donor </w:t>
      </w:r>
      <w:r>
        <w:t>recruitment testing</w:t>
      </w:r>
      <w:r w:rsidRPr="00A42F6F">
        <w:t xml:space="preserve"> is that current </w:t>
      </w:r>
      <w:r>
        <w:t xml:space="preserve">laboratory testing </w:t>
      </w:r>
      <w:r w:rsidRPr="00A42F6F">
        <w:t>capacity is not limited by DNA sequencing capacity, but that the implementation of buccal swab processing would be rate-limited by:</w:t>
      </w:r>
    </w:p>
    <w:p w14:paraId="790DDBC3" w14:textId="77777777" w:rsidR="00463F43" w:rsidRPr="00830199" w:rsidRDefault="00463F43" w:rsidP="00463F43">
      <w:pPr>
        <w:pStyle w:val="ListParagraph"/>
        <w:numPr>
          <w:ilvl w:val="0"/>
          <w:numId w:val="12"/>
        </w:numPr>
        <w:rPr>
          <w:rFonts w:asciiTheme="minorHAnsi" w:eastAsiaTheme="minorHAnsi" w:hAnsiTheme="minorHAnsi" w:cstheme="minorBidi"/>
          <w:lang w:val="en-AU"/>
        </w:rPr>
      </w:pPr>
      <w:r w:rsidRPr="00830199">
        <w:rPr>
          <w:rFonts w:asciiTheme="minorHAnsi" w:eastAsiaTheme="minorHAnsi" w:hAnsiTheme="minorHAnsi" w:cstheme="minorBidi"/>
          <w:lang w:val="en-AU"/>
        </w:rPr>
        <w:t>Dry or wet buccal swabs and DNA extraction failure rates</w:t>
      </w:r>
    </w:p>
    <w:p w14:paraId="23B4B816" w14:textId="77777777" w:rsidR="00463F43" w:rsidRPr="00830199" w:rsidRDefault="00463F43" w:rsidP="00463F43">
      <w:pPr>
        <w:pStyle w:val="ListParagraph"/>
        <w:numPr>
          <w:ilvl w:val="0"/>
          <w:numId w:val="12"/>
        </w:numPr>
        <w:rPr>
          <w:rFonts w:asciiTheme="minorHAnsi" w:eastAsiaTheme="minorHAnsi" w:hAnsiTheme="minorHAnsi" w:cstheme="minorBidi"/>
          <w:lang w:val="en-AU"/>
        </w:rPr>
      </w:pPr>
      <w:r w:rsidRPr="00830199">
        <w:rPr>
          <w:rFonts w:asciiTheme="minorHAnsi" w:eastAsiaTheme="minorHAnsi" w:hAnsiTheme="minorHAnsi" w:cstheme="minorBidi"/>
          <w:lang w:val="en-AU"/>
        </w:rPr>
        <w:t xml:space="preserve">Need for additional de-capping and processing DNA extraction robots </w:t>
      </w:r>
    </w:p>
    <w:p w14:paraId="6706DB5D" w14:textId="77777777" w:rsidR="00463F43" w:rsidRPr="00830199" w:rsidRDefault="00463F43" w:rsidP="00463F43">
      <w:pPr>
        <w:pStyle w:val="ListParagraph"/>
        <w:numPr>
          <w:ilvl w:val="0"/>
          <w:numId w:val="12"/>
        </w:numPr>
        <w:rPr>
          <w:rFonts w:asciiTheme="minorHAnsi" w:eastAsiaTheme="minorHAnsi" w:hAnsiTheme="minorHAnsi" w:cstheme="minorBidi"/>
          <w:lang w:val="en-AU"/>
        </w:rPr>
      </w:pPr>
      <w:r w:rsidRPr="00830199">
        <w:rPr>
          <w:rFonts w:asciiTheme="minorHAnsi" w:eastAsiaTheme="minorHAnsi" w:hAnsiTheme="minorHAnsi" w:cstheme="minorBidi"/>
          <w:lang w:val="en-AU"/>
        </w:rPr>
        <w:t xml:space="preserve">Additional </w:t>
      </w:r>
      <w:r>
        <w:rPr>
          <w:rFonts w:asciiTheme="minorHAnsi" w:eastAsiaTheme="minorHAnsi" w:hAnsiTheme="minorHAnsi" w:cstheme="minorBidi"/>
          <w:lang w:val="en-AU"/>
        </w:rPr>
        <w:t>full time equivalent (FTE)</w:t>
      </w:r>
      <w:r w:rsidRPr="00830199">
        <w:rPr>
          <w:rFonts w:asciiTheme="minorHAnsi" w:eastAsiaTheme="minorHAnsi" w:hAnsiTheme="minorHAnsi" w:cstheme="minorBidi"/>
          <w:lang w:val="en-AU"/>
        </w:rPr>
        <w:t xml:space="preserve"> to book in and process additional samples even if semi-automated </w:t>
      </w:r>
    </w:p>
    <w:p w14:paraId="0D1A618B" w14:textId="77777777" w:rsidR="00463F43" w:rsidRPr="00830199" w:rsidRDefault="00463F43" w:rsidP="00463F43">
      <w:pPr>
        <w:pStyle w:val="ListParagraph"/>
        <w:numPr>
          <w:ilvl w:val="0"/>
          <w:numId w:val="12"/>
        </w:numPr>
        <w:rPr>
          <w:rFonts w:asciiTheme="minorHAnsi" w:eastAsiaTheme="minorHAnsi" w:hAnsiTheme="minorHAnsi" w:cstheme="minorBidi"/>
          <w:lang w:val="en-AU"/>
        </w:rPr>
      </w:pPr>
      <w:r w:rsidRPr="00830199">
        <w:rPr>
          <w:rFonts w:asciiTheme="minorHAnsi" w:eastAsiaTheme="minorHAnsi" w:hAnsiTheme="minorHAnsi" w:cstheme="minorBidi"/>
          <w:lang w:val="en-AU"/>
        </w:rPr>
        <w:t xml:space="preserve">Additional FTE and workflows for reporting increases in test turnover </w:t>
      </w:r>
    </w:p>
    <w:p w14:paraId="481CD468" w14:textId="77777777" w:rsidR="00463F43" w:rsidRPr="00830199" w:rsidRDefault="00463F43" w:rsidP="00463F43">
      <w:pPr>
        <w:pStyle w:val="ListParagraph"/>
        <w:numPr>
          <w:ilvl w:val="0"/>
          <w:numId w:val="12"/>
        </w:numPr>
        <w:rPr>
          <w:rFonts w:asciiTheme="minorHAnsi" w:eastAsiaTheme="minorHAnsi" w:hAnsiTheme="minorHAnsi" w:cstheme="minorBidi"/>
          <w:lang w:val="en-AU"/>
        </w:rPr>
      </w:pPr>
      <w:r w:rsidRPr="00830199">
        <w:rPr>
          <w:rFonts w:asciiTheme="minorHAnsi" w:eastAsiaTheme="minorHAnsi" w:hAnsiTheme="minorHAnsi" w:cstheme="minorBidi"/>
          <w:lang w:val="en-AU"/>
        </w:rPr>
        <w:t>The manual booking system for new ABMDR donors which is inefficient and would need modification for high throughput testing systems.</w:t>
      </w:r>
    </w:p>
    <w:p w14:paraId="150D7B7E" w14:textId="77777777" w:rsidR="00463F43" w:rsidRDefault="00463F43" w:rsidP="00463F43"/>
    <w:p w14:paraId="41473EDB" w14:textId="77777777" w:rsidR="00463F43" w:rsidRDefault="00463F43" w:rsidP="00463F43">
      <w:r w:rsidRPr="00A42F6F">
        <w:t xml:space="preserve">However, with the additional personnel, provision of de-capping robots in the table below, plus automation of results transcription to </w:t>
      </w:r>
      <w:r>
        <w:t>MatchPoint</w:t>
      </w:r>
      <w:r w:rsidRPr="00A42F6F">
        <w:t xml:space="preserve"> additional capacity of approximately 17</w:t>
      </w:r>
      <w:r>
        <w:t>,</w:t>
      </w:r>
      <w:r w:rsidRPr="00A42F6F">
        <w:t>800 additional tests can be achieved per year</w:t>
      </w:r>
      <w:r>
        <w:t xml:space="preserve"> (Table 8)</w:t>
      </w:r>
      <w:r w:rsidRPr="00A42F6F">
        <w:t>.</w:t>
      </w:r>
    </w:p>
    <w:p w14:paraId="6543263B" w14:textId="77777777" w:rsidR="00463F43" w:rsidRPr="00A42F6F" w:rsidRDefault="00463F43" w:rsidP="00463F43">
      <w:pPr>
        <w:pStyle w:val="Heading5"/>
        <w:jc w:val="center"/>
      </w:pPr>
      <w:r>
        <w:t>Table 8. Australian laboratory capability requirements for processing of buccal swab samples above current blood sample testing process for HLA typing</w:t>
      </w:r>
    </w:p>
    <w:tbl>
      <w:tblPr>
        <w:tblStyle w:val="TableGrid7"/>
        <w:tblW w:w="0" w:type="auto"/>
        <w:tblInd w:w="460" w:type="dxa"/>
        <w:tblLook w:val="04A0" w:firstRow="1" w:lastRow="0" w:firstColumn="1" w:lastColumn="0" w:noHBand="0" w:noVBand="1"/>
      </w:tblPr>
      <w:tblGrid>
        <w:gridCol w:w="706"/>
        <w:gridCol w:w="1557"/>
        <w:gridCol w:w="1701"/>
        <w:gridCol w:w="2042"/>
        <w:gridCol w:w="1502"/>
      </w:tblGrid>
      <w:tr w:rsidR="00463F43" w:rsidRPr="00A42F6F" w14:paraId="766FE430" w14:textId="77777777" w:rsidTr="00CD3CD0">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E9AFF" w14:textId="77777777" w:rsidR="00463F43" w:rsidRPr="00A4549E" w:rsidRDefault="00463F43" w:rsidP="00CD3CD0">
            <w:pPr>
              <w:rPr>
                <w:b/>
                <w:bCs/>
              </w:rPr>
            </w:pPr>
            <w:r w:rsidRPr="00A4549E">
              <w:rPr>
                <w:b/>
                <w:bCs/>
              </w:rPr>
              <w:t>State</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2D0241" w14:textId="77777777" w:rsidR="00463F43" w:rsidRPr="00A4549E" w:rsidRDefault="00463F43" w:rsidP="00CD3CD0">
            <w:pPr>
              <w:rPr>
                <w:b/>
                <w:bCs/>
              </w:rPr>
            </w:pPr>
            <w:r w:rsidRPr="00A4549E">
              <w:rPr>
                <w:b/>
                <w:bCs/>
              </w:rPr>
              <w:t>Additional buccal swabs per week (year)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BC3461" w14:textId="77777777" w:rsidR="00463F43" w:rsidRPr="00A4549E" w:rsidRDefault="00463F43" w:rsidP="00CD3CD0">
            <w:pPr>
              <w:rPr>
                <w:b/>
                <w:bCs/>
              </w:rPr>
            </w:pPr>
            <w:r w:rsidRPr="00A4549E">
              <w:rPr>
                <w:b/>
                <w:bCs/>
              </w:rPr>
              <w:t>Additional FTE to process additional samples</w:t>
            </w:r>
          </w:p>
        </w:tc>
        <w:tc>
          <w:tcPr>
            <w:tcW w:w="2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252FD" w14:textId="77777777" w:rsidR="00463F43" w:rsidRPr="00A4549E" w:rsidRDefault="00463F43" w:rsidP="00CD3CD0">
            <w:pPr>
              <w:rPr>
                <w:b/>
                <w:bCs/>
              </w:rPr>
            </w:pPr>
            <w:r w:rsidRPr="00A4549E">
              <w:rPr>
                <w:b/>
                <w:bCs/>
              </w:rPr>
              <w:t xml:space="preserve">De-capping robot/ or additional robot for processing </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6A760" w14:textId="77777777" w:rsidR="00463F43" w:rsidRPr="00A4549E" w:rsidRDefault="00463F43" w:rsidP="00CD3CD0">
            <w:pPr>
              <w:rPr>
                <w:b/>
                <w:bCs/>
              </w:rPr>
            </w:pPr>
            <w:r w:rsidRPr="00A4549E">
              <w:rPr>
                <w:b/>
                <w:bCs/>
              </w:rPr>
              <w:t xml:space="preserve">Sequencer(s) capacity </w:t>
            </w:r>
          </w:p>
        </w:tc>
      </w:tr>
      <w:tr w:rsidR="00463F43" w:rsidRPr="00A42F6F" w14:paraId="4CE9E93A" w14:textId="77777777" w:rsidTr="00CD3CD0">
        <w:tc>
          <w:tcPr>
            <w:tcW w:w="706" w:type="dxa"/>
            <w:tcBorders>
              <w:top w:val="single" w:sz="4" w:space="0" w:color="auto"/>
              <w:left w:val="single" w:sz="4" w:space="0" w:color="auto"/>
              <w:bottom w:val="single" w:sz="4" w:space="0" w:color="auto"/>
              <w:right w:val="single" w:sz="4" w:space="0" w:color="auto"/>
            </w:tcBorders>
            <w:hideMark/>
          </w:tcPr>
          <w:p w14:paraId="3D920F3B" w14:textId="77777777" w:rsidR="00463F43" w:rsidRPr="00A42F6F" w:rsidRDefault="00463F43" w:rsidP="00CD3CD0">
            <w:r w:rsidRPr="00A42F6F">
              <w:t>SA</w:t>
            </w:r>
          </w:p>
        </w:tc>
        <w:tc>
          <w:tcPr>
            <w:tcW w:w="1557" w:type="dxa"/>
            <w:tcBorders>
              <w:top w:val="single" w:sz="4" w:space="0" w:color="auto"/>
              <w:left w:val="single" w:sz="4" w:space="0" w:color="auto"/>
              <w:bottom w:val="single" w:sz="4" w:space="0" w:color="auto"/>
              <w:right w:val="single" w:sz="4" w:space="0" w:color="auto"/>
            </w:tcBorders>
            <w:hideMark/>
          </w:tcPr>
          <w:p w14:paraId="275F25C6" w14:textId="77777777" w:rsidR="00463F43" w:rsidRPr="00A42F6F" w:rsidRDefault="00463F43" w:rsidP="00A94A2D">
            <w:pPr>
              <w:jc w:val="center"/>
            </w:pPr>
            <w:r w:rsidRPr="00A42F6F">
              <w:t>15 (800)</w:t>
            </w:r>
          </w:p>
        </w:tc>
        <w:tc>
          <w:tcPr>
            <w:tcW w:w="1701" w:type="dxa"/>
            <w:tcBorders>
              <w:top w:val="single" w:sz="4" w:space="0" w:color="auto"/>
              <w:left w:val="single" w:sz="4" w:space="0" w:color="auto"/>
              <w:bottom w:val="single" w:sz="4" w:space="0" w:color="auto"/>
              <w:right w:val="single" w:sz="4" w:space="0" w:color="auto"/>
            </w:tcBorders>
            <w:hideMark/>
          </w:tcPr>
          <w:p w14:paraId="0838E085" w14:textId="77777777" w:rsidR="00463F43" w:rsidRPr="00A42F6F" w:rsidRDefault="00463F43" w:rsidP="00CD3CD0">
            <w:pPr>
              <w:jc w:val="center"/>
            </w:pPr>
            <w:r w:rsidRPr="00A42F6F">
              <w:t>0.5</w:t>
            </w:r>
          </w:p>
        </w:tc>
        <w:tc>
          <w:tcPr>
            <w:tcW w:w="2042" w:type="dxa"/>
            <w:tcBorders>
              <w:top w:val="single" w:sz="4" w:space="0" w:color="auto"/>
              <w:left w:val="single" w:sz="4" w:space="0" w:color="auto"/>
              <w:bottom w:val="single" w:sz="4" w:space="0" w:color="auto"/>
              <w:right w:val="single" w:sz="4" w:space="0" w:color="auto"/>
            </w:tcBorders>
            <w:hideMark/>
          </w:tcPr>
          <w:p w14:paraId="0909FBA7" w14:textId="77777777" w:rsidR="00463F43" w:rsidRPr="00A42F6F" w:rsidRDefault="00463F43" w:rsidP="00CD3CD0">
            <w:pPr>
              <w:jc w:val="center"/>
            </w:pPr>
            <w:r w:rsidRPr="00A42F6F">
              <w:t>Not applicable</w:t>
            </w:r>
          </w:p>
        </w:tc>
        <w:tc>
          <w:tcPr>
            <w:tcW w:w="1502" w:type="dxa"/>
            <w:tcBorders>
              <w:top w:val="single" w:sz="4" w:space="0" w:color="auto"/>
              <w:left w:val="single" w:sz="4" w:space="0" w:color="auto"/>
              <w:bottom w:val="single" w:sz="4" w:space="0" w:color="auto"/>
              <w:right w:val="single" w:sz="4" w:space="0" w:color="auto"/>
            </w:tcBorders>
            <w:hideMark/>
          </w:tcPr>
          <w:p w14:paraId="5F07E505" w14:textId="77777777" w:rsidR="00463F43" w:rsidRPr="00A42F6F" w:rsidRDefault="00463F43" w:rsidP="00CD3CD0">
            <w:pPr>
              <w:jc w:val="center"/>
            </w:pPr>
            <w:r w:rsidRPr="00A42F6F">
              <w:t>Yes</w:t>
            </w:r>
          </w:p>
        </w:tc>
      </w:tr>
      <w:tr w:rsidR="00463F43" w:rsidRPr="00A42F6F" w14:paraId="75AA91D1" w14:textId="77777777" w:rsidTr="00CD3CD0">
        <w:tc>
          <w:tcPr>
            <w:tcW w:w="706" w:type="dxa"/>
            <w:tcBorders>
              <w:top w:val="single" w:sz="4" w:space="0" w:color="auto"/>
              <w:left w:val="single" w:sz="4" w:space="0" w:color="auto"/>
              <w:bottom w:val="single" w:sz="4" w:space="0" w:color="auto"/>
              <w:right w:val="single" w:sz="4" w:space="0" w:color="auto"/>
            </w:tcBorders>
            <w:hideMark/>
          </w:tcPr>
          <w:p w14:paraId="44A52BF0" w14:textId="77777777" w:rsidR="00463F43" w:rsidRPr="00A42F6F" w:rsidRDefault="00463F43" w:rsidP="00CD3CD0">
            <w:r w:rsidRPr="00A42F6F">
              <w:t>VIC</w:t>
            </w:r>
          </w:p>
        </w:tc>
        <w:tc>
          <w:tcPr>
            <w:tcW w:w="1557" w:type="dxa"/>
            <w:tcBorders>
              <w:top w:val="single" w:sz="4" w:space="0" w:color="auto"/>
              <w:left w:val="single" w:sz="4" w:space="0" w:color="auto"/>
              <w:bottom w:val="single" w:sz="4" w:space="0" w:color="auto"/>
              <w:right w:val="single" w:sz="4" w:space="0" w:color="auto"/>
            </w:tcBorders>
            <w:hideMark/>
          </w:tcPr>
          <w:p w14:paraId="0F93762D" w14:textId="77777777" w:rsidR="00463F43" w:rsidRPr="00A42F6F" w:rsidRDefault="00463F43" w:rsidP="00A94A2D">
            <w:pPr>
              <w:jc w:val="center"/>
            </w:pPr>
            <w:r w:rsidRPr="00A42F6F">
              <w:t>100 (5000)</w:t>
            </w:r>
          </w:p>
        </w:tc>
        <w:tc>
          <w:tcPr>
            <w:tcW w:w="1701" w:type="dxa"/>
            <w:tcBorders>
              <w:top w:val="single" w:sz="4" w:space="0" w:color="auto"/>
              <w:left w:val="single" w:sz="4" w:space="0" w:color="auto"/>
              <w:bottom w:val="single" w:sz="4" w:space="0" w:color="auto"/>
              <w:right w:val="single" w:sz="4" w:space="0" w:color="auto"/>
            </w:tcBorders>
            <w:hideMark/>
          </w:tcPr>
          <w:p w14:paraId="2729439D" w14:textId="77777777" w:rsidR="00463F43" w:rsidRPr="00A42F6F" w:rsidRDefault="00463F43" w:rsidP="00CD3CD0">
            <w:pPr>
              <w:jc w:val="center"/>
            </w:pPr>
            <w:r w:rsidRPr="00A42F6F">
              <w:t>2</w:t>
            </w:r>
          </w:p>
        </w:tc>
        <w:tc>
          <w:tcPr>
            <w:tcW w:w="2042" w:type="dxa"/>
            <w:tcBorders>
              <w:top w:val="single" w:sz="4" w:space="0" w:color="auto"/>
              <w:left w:val="single" w:sz="4" w:space="0" w:color="auto"/>
              <w:bottom w:val="single" w:sz="4" w:space="0" w:color="auto"/>
              <w:right w:val="single" w:sz="4" w:space="0" w:color="auto"/>
            </w:tcBorders>
            <w:hideMark/>
          </w:tcPr>
          <w:p w14:paraId="75139867" w14:textId="77777777" w:rsidR="00463F43" w:rsidRPr="00A42F6F" w:rsidRDefault="00463F43" w:rsidP="00CD3CD0">
            <w:pPr>
              <w:jc w:val="center"/>
            </w:pPr>
            <w:r w:rsidRPr="00A42F6F">
              <w:t>1-2</w:t>
            </w:r>
          </w:p>
        </w:tc>
        <w:tc>
          <w:tcPr>
            <w:tcW w:w="1502" w:type="dxa"/>
            <w:tcBorders>
              <w:top w:val="single" w:sz="4" w:space="0" w:color="auto"/>
              <w:left w:val="single" w:sz="4" w:space="0" w:color="auto"/>
              <w:bottom w:val="single" w:sz="4" w:space="0" w:color="auto"/>
              <w:right w:val="single" w:sz="4" w:space="0" w:color="auto"/>
            </w:tcBorders>
            <w:hideMark/>
          </w:tcPr>
          <w:p w14:paraId="0BCA945E" w14:textId="77777777" w:rsidR="00463F43" w:rsidRPr="00A42F6F" w:rsidRDefault="00463F43" w:rsidP="00CD3CD0">
            <w:pPr>
              <w:jc w:val="center"/>
            </w:pPr>
            <w:r w:rsidRPr="00A42F6F">
              <w:t>Yes</w:t>
            </w:r>
          </w:p>
        </w:tc>
      </w:tr>
      <w:tr w:rsidR="00463F43" w:rsidRPr="00A42F6F" w14:paraId="4A789442" w14:textId="77777777" w:rsidTr="00CD3CD0">
        <w:tc>
          <w:tcPr>
            <w:tcW w:w="706" w:type="dxa"/>
            <w:tcBorders>
              <w:top w:val="single" w:sz="4" w:space="0" w:color="auto"/>
              <w:left w:val="single" w:sz="4" w:space="0" w:color="auto"/>
              <w:bottom w:val="single" w:sz="4" w:space="0" w:color="auto"/>
              <w:right w:val="single" w:sz="4" w:space="0" w:color="auto"/>
            </w:tcBorders>
            <w:hideMark/>
          </w:tcPr>
          <w:p w14:paraId="2BA8FD8E" w14:textId="77777777" w:rsidR="00463F43" w:rsidRPr="00A42F6F" w:rsidRDefault="00463F43" w:rsidP="00CD3CD0">
            <w:r w:rsidRPr="00A42F6F">
              <w:t>NSW</w:t>
            </w:r>
          </w:p>
        </w:tc>
        <w:tc>
          <w:tcPr>
            <w:tcW w:w="1557" w:type="dxa"/>
            <w:tcBorders>
              <w:top w:val="single" w:sz="4" w:space="0" w:color="auto"/>
              <w:left w:val="single" w:sz="4" w:space="0" w:color="auto"/>
              <w:bottom w:val="single" w:sz="4" w:space="0" w:color="auto"/>
              <w:right w:val="single" w:sz="4" w:space="0" w:color="auto"/>
            </w:tcBorders>
            <w:hideMark/>
          </w:tcPr>
          <w:p w14:paraId="0D140987" w14:textId="77777777" w:rsidR="00463F43" w:rsidRPr="00A42F6F" w:rsidRDefault="00463F43" w:rsidP="00A94A2D">
            <w:pPr>
              <w:jc w:val="center"/>
            </w:pPr>
            <w:r w:rsidRPr="00A42F6F">
              <w:t>100 (5000)</w:t>
            </w:r>
          </w:p>
        </w:tc>
        <w:tc>
          <w:tcPr>
            <w:tcW w:w="1701" w:type="dxa"/>
            <w:tcBorders>
              <w:top w:val="single" w:sz="4" w:space="0" w:color="auto"/>
              <w:left w:val="single" w:sz="4" w:space="0" w:color="auto"/>
              <w:bottom w:val="single" w:sz="4" w:space="0" w:color="auto"/>
              <w:right w:val="single" w:sz="4" w:space="0" w:color="auto"/>
            </w:tcBorders>
            <w:hideMark/>
          </w:tcPr>
          <w:p w14:paraId="54BE4AD2" w14:textId="77777777" w:rsidR="00463F43" w:rsidRPr="00A42F6F" w:rsidRDefault="00463F43" w:rsidP="00CD3CD0">
            <w:pPr>
              <w:jc w:val="center"/>
            </w:pPr>
            <w:r w:rsidRPr="00A42F6F">
              <w:t>2</w:t>
            </w:r>
          </w:p>
        </w:tc>
        <w:tc>
          <w:tcPr>
            <w:tcW w:w="2042" w:type="dxa"/>
            <w:tcBorders>
              <w:top w:val="single" w:sz="4" w:space="0" w:color="auto"/>
              <w:left w:val="single" w:sz="4" w:space="0" w:color="auto"/>
              <w:bottom w:val="single" w:sz="4" w:space="0" w:color="auto"/>
              <w:right w:val="single" w:sz="4" w:space="0" w:color="auto"/>
            </w:tcBorders>
            <w:hideMark/>
          </w:tcPr>
          <w:p w14:paraId="23493EC5" w14:textId="77777777" w:rsidR="00463F43" w:rsidRPr="00A42F6F" w:rsidRDefault="00463F43" w:rsidP="00CD3CD0">
            <w:pPr>
              <w:jc w:val="center"/>
            </w:pPr>
            <w:r w:rsidRPr="00A42F6F">
              <w:t>1</w:t>
            </w:r>
          </w:p>
        </w:tc>
        <w:tc>
          <w:tcPr>
            <w:tcW w:w="1502" w:type="dxa"/>
            <w:tcBorders>
              <w:top w:val="single" w:sz="4" w:space="0" w:color="auto"/>
              <w:left w:val="single" w:sz="4" w:space="0" w:color="auto"/>
              <w:bottom w:val="single" w:sz="4" w:space="0" w:color="auto"/>
              <w:right w:val="single" w:sz="4" w:space="0" w:color="auto"/>
            </w:tcBorders>
            <w:hideMark/>
          </w:tcPr>
          <w:p w14:paraId="4BF9D54C" w14:textId="77777777" w:rsidR="00463F43" w:rsidRPr="00A42F6F" w:rsidRDefault="00463F43" w:rsidP="00CD3CD0">
            <w:pPr>
              <w:jc w:val="center"/>
            </w:pPr>
            <w:r w:rsidRPr="00A42F6F">
              <w:t>Yes</w:t>
            </w:r>
          </w:p>
        </w:tc>
      </w:tr>
      <w:tr w:rsidR="00463F43" w:rsidRPr="00A42F6F" w14:paraId="0510DC79" w14:textId="77777777" w:rsidTr="00CD3CD0">
        <w:tc>
          <w:tcPr>
            <w:tcW w:w="706" w:type="dxa"/>
            <w:tcBorders>
              <w:top w:val="single" w:sz="4" w:space="0" w:color="auto"/>
              <w:left w:val="single" w:sz="4" w:space="0" w:color="auto"/>
              <w:bottom w:val="single" w:sz="4" w:space="0" w:color="auto"/>
              <w:right w:val="single" w:sz="4" w:space="0" w:color="auto"/>
            </w:tcBorders>
            <w:hideMark/>
          </w:tcPr>
          <w:p w14:paraId="0EDC850A" w14:textId="77777777" w:rsidR="00463F43" w:rsidRPr="00A42F6F" w:rsidRDefault="00463F43" w:rsidP="00CD3CD0">
            <w:r w:rsidRPr="00A42F6F">
              <w:t>WA</w:t>
            </w:r>
          </w:p>
        </w:tc>
        <w:tc>
          <w:tcPr>
            <w:tcW w:w="1557" w:type="dxa"/>
            <w:tcBorders>
              <w:top w:val="single" w:sz="4" w:space="0" w:color="auto"/>
              <w:left w:val="single" w:sz="4" w:space="0" w:color="auto"/>
              <w:bottom w:val="single" w:sz="4" w:space="0" w:color="auto"/>
              <w:right w:val="single" w:sz="4" w:space="0" w:color="auto"/>
            </w:tcBorders>
            <w:hideMark/>
          </w:tcPr>
          <w:p w14:paraId="3CE89B0A" w14:textId="77777777" w:rsidR="00463F43" w:rsidRPr="00A42F6F" w:rsidRDefault="00463F43" w:rsidP="00A94A2D">
            <w:pPr>
              <w:jc w:val="center"/>
            </w:pPr>
            <w:r w:rsidRPr="00A42F6F">
              <w:t>100 (5000)</w:t>
            </w:r>
          </w:p>
        </w:tc>
        <w:tc>
          <w:tcPr>
            <w:tcW w:w="1701" w:type="dxa"/>
            <w:tcBorders>
              <w:top w:val="single" w:sz="4" w:space="0" w:color="auto"/>
              <w:left w:val="single" w:sz="4" w:space="0" w:color="auto"/>
              <w:bottom w:val="single" w:sz="4" w:space="0" w:color="auto"/>
              <w:right w:val="single" w:sz="4" w:space="0" w:color="auto"/>
            </w:tcBorders>
            <w:hideMark/>
          </w:tcPr>
          <w:p w14:paraId="42909045" w14:textId="77777777" w:rsidR="00463F43" w:rsidRPr="00A42F6F" w:rsidRDefault="00463F43" w:rsidP="00CD3CD0">
            <w:pPr>
              <w:jc w:val="center"/>
            </w:pPr>
            <w:r w:rsidRPr="00A42F6F">
              <w:t>1</w:t>
            </w:r>
          </w:p>
        </w:tc>
        <w:tc>
          <w:tcPr>
            <w:tcW w:w="2042" w:type="dxa"/>
            <w:tcBorders>
              <w:top w:val="single" w:sz="4" w:space="0" w:color="auto"/>
              <w:left w:val="single" w:sz="4" w:space="0" w:color="auto"/>
              <w:bottom w:val="single" w:sz="4" w:space="0" w:color="auto"/>
              <w:right w:val="single" w:sz="4" w:space="0" w:color="auto"/>
            </w:tcBorders>
            <w:hideMark/>
          </w:tcPr>
          <w:p w14:paraId="3EFB8567" w14:textId="77777777" w:rsidR="00463F43" w:rsidRPr="00A42F6F" w:rsidRDefault="00463F43" w:rsidP="00CD3CD0">
            <w:pPr>
              <w:jc w:val="center"/>
            </w:pPr>
            <w:r w:rsidRPr="00A42F6F">
              <w:t>Not required</w:t>
            </w:r>
          </w:p>
        </w:tc>
        <w:tc>
          <w:tcPr>
            <w:tcW w:w="1502" w:type="dxa"/>
            <w:tcBorders>
              <w:top w:val="single" w:sz="4" w:space="0" w:color="auto"/>
              <w:left w:val="single" w:sz="4" w:space="0" w:color="auto"/>
              <w:bottom w:val="single" w:sz="4" w:space="0" w:color="auto"/>
              <w:right w:val="single" w:sz="4" w:space="0" w:color="auto"/>
            </w:tcBorders>
            <w:hideMark/>
          </w:tcPr>
          <w:p w14:paraId="52398E31" w14:textId="77777777" w:rsidR="00463F43" w:rsidRPr="00A42F6F" w:rsidRDefault="00463F43" w:rsidP="00CD3CD0">
            <w:pPr>
              <w:jc w:val="center"/>
            </w:pPr>
            <w:r w:rsidRPr="00A42F6F">
              <w:t>Yes</w:t>
            </w:r>
          </w:p>
        </w:tc>
      </w:tr>
      <w:tr w:rsidR="00463F43" w:rsidRPr="00A42F6F" w14:paraId="60B4C267" w14:textId="77777777" w:rsidTr="00CD3CD0">
        <w:tc>
          <w:tcPr>
            <w:tcW w:w="706" w:type="dxa"/>
            <w:tcBorders>
              <w:top w:val="single" w:sz="4" w:space="0" w:color="auto"/>
              <w:left w:val="single" w:sz="4" w:space="0" w:color="auto"/>
              <w:bottom w:val="single" w:sz="4" w:space="0" w:color="auto"/>
              <w:right w:val="single" w:sz="4" w:space="0" w:color="auto"/>
            </w:tcBorders>
          </w:tcPr>
          <w:p w14:paraId="72E6CC4B" w14:textId="77777777" w:rsidR="00463F43" w:rsidRPr="00A42F6F" w:rsidRDefault="00463F43" w:rsidP="00CD3CD0">
            <w:r w:rsidRPr="00A42F6F">
              <w:t>QLD</w:t>
            </w:r>
          </w:p>
        </w:tc>
        <w:tc>
          <w:tcPr>
            <w:tcW w:w="1557" w:type="dxa"/>
            <w:tcBorders>
              <w:top w:val="single" w:sz="4" w:space="0" w:color="auto"/>
              <w:left w:val="single" w:sz="4" w:space="0" w:color="auto"/>
              <w:bottom w:val="single" w:sz="4" w:space="0" w:color="auto"/>
              <w:right w:val="single" w:sz="4" w:space="0" w:color="auto"/>
            </w:tcBorders>
          </w:tcPr>
          <w:p w14:paraId="1B385E3F" w14:textId="77777777" w:rsidR="00463F43" w:rsidRPr="00A42F6F" w:rsidRDefault="00463F43" w:rsidP="00A94A2D">
            <w:pPr>
              <w:jc w:val="center"/>
            </w:pPr>
            <w:r w:rsidRPr="00A42F6F">
              <w:t>40 (2000)</w:t>
            </w:r>
          </w:p>
        </w:tc>
        <w:tc>
          <w:tcPr>
            <w:tcW w:w="1701" w:type="dxa"/>
            <w:tcBorders>
              <w:top w:val="single" w:sz="4" w:space="0" w:color="auto"/>
              <w:left w:val="single" w:sz="4" w:space="0" w:color="auto"/>
              <w:bottom w:val="single" w:sz="4" w:space="0" w:color="auto"/>
              <w:right w:val="single" w:sz="4" w:space="0" w:color="auto"/>
            </w:tcBorders>
          </w:tcPr>
          <w:p w14:paraId="5C845A3F" w14:textId="77777777" w:rsidR="00463F43" w:rsidRPr="00A42F6F" w:rsidRDefault="00463F43" w:rsidP="00CD3CD0">
            <w:pPr>
              <w:jc w:val="center"/>
              <w:rPr>
                <w:highlight w:val="yellow"/>
              </w:rPr>
            </w:pPr>
            <w:r w:rsidRPr="00A42F6F">
              <w:t>-</w:t>
            </w:r>
          </w:p>
        </w:tc>
        <w:tc>
          <w:tcPr>
            <w:tcW w:w="2042" w:type="dxa"/>
            <w:tcBorders>
              <w:top w:val="single" w:sz="4" w:space="0" w:color="auto"/>
              <w:left w:val="single" w:sz="4" w:space="0" w:color="auto"/>
              <w:bottom w:val="single" w:sz="4" w:space="0" w:color="auto"/>
              <w:right w:val="single" w:sz="4" w:space="0" w:color="auto"/>
            </w:tcBorders>
          </w:tcPr>
          <w:p w14:paraId="5C87080A" w14:textId="77777777" w:rsidR="00463F43" w:rsidRPr="00A42F6F" w:rsidRDefault="00463F43" w:rsidP="00CD3CD0">
            <w:pPr>
              <w:jc w:val="center"/>
              <w:rPr>
                <w:highlight w:val="yellow"/>
              </w:rPr>
            </w:pPr>
            <w:r w:rsidRPr="00A42F6F">
              <w:t>1</w:t>
            </w:r>
          </w:p>
        </w:tc>
        <w:tc>
          <w:tcPr>
            <w:tcW w:w="1502" w:type="dxa"/>
            <w:tcBorders>
              <w:top w:val="single" w:sz="4" w:space="0" w:color="auto"/>
              <w:left w:val="single" w:sz="4" w:space="0" w:color="auto"/>
              <w:bottom w:val="single" w:sz="4" w:space="0" w:color="auto"/>
              <w:right w:val="single" w:sz="4" w:space="0" w:color="auto"/>
            </w:tcBorders>
          </w:tcPr>
          <w:p w14:paraId="434C49B7" w14:textId="77777777" w:rsidR="00463F43" w:rsidRPr="00A42F6F" w:rsidRDefault="00463F43" w:rsidP="00CD3CD0">
            <w:pPr>
              <w:jc w:val="center"/>
              <w:rPr>
                <w:highlight w:val="yellow"/>
              </w:rPr>
            </w:pPr>
          </w:p>
        </w:tc>
      </w:tr>
      <w:tr w:rsidR="00463F43" w:rsidRPr="00A42F6F" w14:paraId="45A230E0" w14:textId="77777777" w:rsidTr="00CD3CD0">
        <w:tc>
          <w:tcPr>
            <w:tcW w:w="706" w:type="dxa"/>
            <w:tcBorders>
              <w:top w:val="single" w:sz="4" w:space="0" w:color="auto"/>
              <w:left w:val="single" w:sz="4" w:space="0" w:color="auto"/>
              <w:bottom w:val="single" w:sz="4" w:space="0" w:color="auto"/>
              <w:right w:val="single" w:sz="4" w:space="0" w:color="auto"/>
            </w:tcBorders>
          </w:tcPr>
          <w:p w14:paraId="1192C9DB" w14:textId="77777777" w:rsidR="00463F43" w:rsidRPr="00A42F6F" w:rsidRDefault="00463F43" w:rsidP="00CD3CD0">
            <w:pPr>
              <w:rPr>
                <w:b/>
                <w:bCs/>
              </w:rPr>
            </w:pPr>
            <w:r w:rsidRPr="00A42F6F">
              <w:rPr>
                <w:b/>
                <w:bCs/>
              </w:rPr>
              <w:t xml:space="preserve">Total </w:t>
            </w:r>
          </w:p>
        </w:tc>
        <w:tc>
          <w:tcPr>
            <w:tcW w:w="1557" w:type="dxa"/>
            <w:tcBorders>
              <w:top w:val="single" w:sz="4" w:space="0" w:color="auto"/>
              <w:left w:val="single" w:sz="4" w:space="0" w:color="auto"/>
              <w:bottom w:val="single" w:sz="4" w:space="0" w:color="auto"/>
              <w:right w:val="single" w:sz="4" w:space="0" w:color="auto"/>
            </w:tcBorders>
          </w:tcPr>
          <w:p w14:paraId="47568145" w14:textId="77777777" w:rsidR="00463F43" w:rsidRPr="00A42F6F" w:rsidRDefault="00463F43" w:rsidP="00A94A2D">
            <w:pPr>
              <w:jc w:val="center"/>
              <w:rPr>
                <w:b/>
                <w:bCs/>
              </w:rPr>
            </w:pPr>
            <w:r>
              <w:rPr>
                <w:b/>
                <w:bCs/>
              </w:rPr>
              <w:t>355</w:t>
            </w:r>
            <w:r w:rsidRPr="00A42F6F">
              <w:rPr>
                <w:b/>
                <w:bCs/>
              </w:rPr>
              <w:t xml:space="preserve"> (17,800)</w:t>
            </w:r>
          </w:p>
        </w:tc>
        <w:tc>
          <w:tcPr>
            <w:tcW w:w="1701" w:type="dxa"/>
            <w:tcBorders>
              <w:top w:val="single" w:sz="4" w:space="0" w:color="auto"/>
              <w:left w:val="single" w:sz="4" w:space="0" w:color="auto"/>
              <w:bottom w:val="single" w:sz="4" w:space="0" w:color="auto"/>
              <w:right w:val="single" w:sz="4" w:space="0" w:color="auto"/>
            </w:tcBorders>
          </w:tcPr>
          <w:p w14:paraId="5CA9FC12" w14:textId="77777777" w:rsidR="00463F43" w:rsidRPr="00A42F6F" w:rsidRDefault="00463F43" w:rsidP="00CD3CD0">
            <w:pPr>
              <w:jc w:val="center"/>
              <w:rPr>
                <w:b/>
                <w:bCs/>
              </w:rPr>
            </w:pPr>
            <w:r w:rsidRPr="00A42F6F">
              <w:rPr>
                <w:b/>
                <w:bCs/>
              </w:rPr>
              <w:t>5.5</w:t>
            </w:r>
          </w:p>
        </w:tc>
        <w:tc>
          <w:tcPr>
            <w:tcW w:w="2042" w:type="dxa"/>
            <w:tcBorders>
              <w:top w:val="single" w:sz="4" w:space="0" w:color="auto"/>
              <w:left w:val="single" w:sz="4" w:space="0" w:color="auto"/>
              <w:bottom w:val="single" w:sz="4" w:space="0" w:color="auto"/>
              <w:right w:val="single" w:sz="4" w:space="0" w:color="auto"/>
            </w:tcBorders>
          </w:tcPr>
          <w:p w14:paraId="00382DBD" w14:textId="77777777" w:rsidR="00463F43" w:rsidRPr="00A42F6F" w:rsidRDefault="00463F43" w:rsidP="00CD3CD0">
            <w:pPr>
              <w:jc w:val="center"/>
              <w:rPr>
                <w:b/>
                <w:bCs/>
              </w:rPr>
            </w:pPr>
            <w:r w:rsidRPr="00A42F6F">
              <w:rPr>
                <w:b/>
                <w:bCs/>
              </w:rPr>
              <w:t>3-</w:t>
            </w:r>
            <w:r>
              <w:rPr>
                <w:b/>
                <w:bCs/>
              </w:rPr>
              <w:t>4</w:t>
            </w:r>
          </w:p>
        </w:tc>
        <w:tc>
          <w:tcPr>
            <w:tcW w:w="1502" w:type="dxa"/>
            <w:tcBorders>
              <w:top w:val="single" w:sz="4" w:space="0" w:color="auto"/>
              <w:left w:val="single" w:sz="4" w:space="0" w:color="auto"/>
              <w:bottom w:val="single" w:sz="4" w:space="0" w:color="auto"/>
              <w:right w:val="single" w:sz="4" w:space="0" w:color="auto"/>
            </w:tcBorders>
          </w:tcPr>
          <w:p w14:paraId="063F4E0E" w14:textId="77777777" w:rsidR="00463F43" w:rsidRPr="00A42F6F" w:rsidRDefault="00463F43" w:rsidP="00CD3CD0">
            <w:pPr>
              <w:jc w:val="center"/>
              <w:rPr>
                <w:b/>
                <w:bCs/>
                <w:highlight w:val="yellow"/>
              </w:rPr>
            </w:pPr>
          </w:p>
        </w:tc>
      </w:tr>
    </w:tbl>
    <w:p w14:paraId="7A39D5A7" w14:textId="77777777" w:rsidR="00463F43" w:rsidRPr="00A42F6F" w:rsidRDefault="00463F43" w:rsidP="00463F43"/>
    <w:p w14:paraId="17C65E48" w14:textId="77777777" w:rsidR="00463F43" w:rsidRDefault="00463F43" w:rsidP="00463F43">
      <w:pPr>
        <w:pStyle w:val="Heading4"/>
      </w:pPr>
      <w:r>
        <w:t>New testing platforms that could be utilised to identify potential HPC donor recruits</w:t>
      </w:r>
    </w:p>
    <w:p w14:paraId="301BB850" w14:textId="2F3F262D" w:rsidR="00463F43" w:rsidRDefault="00463F43" w:rsidP="00463F43">
      <w:r>
        <w:t xml:space="preserve">Lifeblood (Queensland) is currently validating a </w:t>
      </w:r>
      <w:r w:rsidRPr="00D635D4">
        <w:t>UBDT</w:t>
      </w:r>
      <w:r>
        <w:t xml:space="preserve"> platform that will enable high-throughput NGS of all new blood donors, testing for red </w:t>
      </w:r>
      <w:r w:rsidR="006D018C">
        <w:t xml:space="preserve">blood </w:t>
      </w:r>
      <w:r>
        <w:t>cell antigens, platelet antigens and HLA (see Figure 3). The level of resolution of HLA testing using the UBDT is sufficient for blood and platelet transfusion purposes (</w:t>
      </w:r>
      <w:r w:rsidR="006D018C">
        <w:t>2</w:t>
      </w:r>
      <w:r w:rsidRPr="00A42F6F">
        <w:t>-field resolution</w:t>
      </w:r>
      <w:r>
        <w:t xml:space="preserve">), but not sufficient for HPC transplantation decision-making. However, the UBDT provides a basis for increasing the pool of platelet donors and HPC donors from among the existing pool of blood donors, via identifying </w:t>
      </w:r>
      <w:r w:rsidRPr="00A42F6F">
        <w:t>individuals from the blood donor pool who may have rare or under-represented HLA subtype</w:t>
      </w:r>
      <w:r>
        <w:t>s. Upon counselling and with informed</w:t>
      </w:r>
      <w:r w:rsidRPr="00A42F6F">
        <w:t xml:space="preserve"> consent, </w:t>
      </w:r>
      <w:r>
        <w:t xml:space="preserve">these donors could subsequently </w:t>
      </w:r>
      <w:r w:rsidRPr="00A42F6F">
        <w:t xml:space="preserve">progress to </w:t>
      </w:r>
      <w:r>
        <w:t xml:space="preserve">high resolution </w:t>
      </w:r>
      <w:r w:rsidRPr="00A42F6F">
        <w:t>HLA testing to determine their suitability for platelet or HPC don</w:t>
      </w:r>
      <w:r>
        <w:t>or registration</w:t>
      </w:r>
      <w:r w:rsidRPr="00A42F6F">
        <w:t>.</w:t>
      </w:r>
    </w:p>
    <w:p w14:paraId="327AABD5" w14:textId="53F36C2F" w:rsidR="00463F43" w:rsidRPr="006422F8" w:rsidRDefault="00463F43" w:rsidP="00463F43">
      <w:pPr>
        <w:pStyle w:val="Heading3"/>
      </w:pPr>
      <w:bookmarkStart w:id="30" w:name="_Toc134611364"/>
      <w:r w:rsidRPr="006422F8">
        <w:t xml:space="preserve">Proposed </w:t>
      </w:r>
      <w:r>
        <w:t xml:space="preserve">changes to the HPC </w:t>
      </w:r>
      <w:r w:rsidR="006D018C">
        <w:t xml:space="preserve">donor </w:t>
      </w:r>
      <w:r>
        <w:t xml:space="preserve">recruitment target and </w:t>
      </w:r>
      <w:r w:rsidRPr="006422F8">
        <w:t>recruitment</w:t>
      </w:r>
      <w:r>
        <w:t xml:space="preserve"> method</w:t>
      </w:r>
      <w:bookmarkEnd w:id="30"/>
    </w:p>
    <w:p w14:paraId="271ECAE5" w14:textId="77777777" w:rsidR="00463F43" w:rsidRDefault="00463F43" w:rsidP="00463F43">
      <w:r>
        <w:t>HPC donor recruitment should continue to be a voluntary activity, undertaken with appropriate informed consent and that individuals may withdraw at any time, without coercion. Payment should continue to only be made for (incidental) expenses if a HPC recruit is called upon to donate. However, it is recognised that if there are barriers to donation; the donor might need to take unpaid leave to provide a HPC donation, which is a concern for those in short-term employment. Whilst the payment of expenses was not in the specific remit of the Advisory Group, the JHPCC should consider options to minimise the risk of HPC recruits declining to donate once called upon.</w:t>
      </w:r>
    </w:p>
    <w:p w14:paraId="635A75BA" w14:textId="671F9E31" w:rsidR="00463F43" w:rsidRDefault="00463F43" w:rsidP="00463F43">
      <w:r>
        <w:t xml:space="preserve">Although the recommendation to increase the target for HPC </w:t>
      </w:r>
      <w:r w:rsidR="006D018C">
        <w:t xml:space="preserve">donor </w:t>
      </w:r>
      <w:r>
        <w:t>recruitment will increase the likelihood of finding suitably HLA matched Australian donors for Australian and overseas recipients, complete self-sufficiency is not possible. There will continue to be reliance on international registries to identify an appropriate overseas donor for many Australian recipients.</w:t>
      </w:r>
    </w:p>
    <w:p w14:paraId="206345CD" w14:textId="77777777" w:rsidR="00463F43" w:rsidRDefault="00463F43" w:rsidP="00463F43">
      <w:r>
        <w:t xml:space="preserve">An absolute increase in recruitment numbers </w:t>
      </w:r>
      <w:r w:rsidRPr="00317054">
        <w:rPr>
          <w:i/>
          <w:iCs/>
        </w:rPr>
        <w:t>and</w:t>
      </w:r>
      <w:r>
        <w:t xml:space="preserve"> an ongoing demonstration of increasing ancestry and HLA diversity among recruits following the proposed changes in recruitment activities is required, through an annual review to inform optimal recruitment strategies, discussed below.</w:t>
      </w:r>
    </w:p>
    <w:p w14:paraId="1B798C29" w14:textId="6F4C0A09" w:rsidR="00463F43" w:rsidRDefault="00463F43" w:rsidP="00463F43">
      <w:r>
        <w:t xml:space="preserve">The comparative age-range for HPC </w:t>
      </w:r>
      <w:r w:rsidR="006D018C">
        <w:t xml:space="preserve">donor </w:t>
      </w:r>
      <w:r>
        <w:t>recruitment in other countries was considered, noting the variation in upper age limit. Given the need to increase ethnicity and HLA diversity of the national registry, it was considered on balance more prudent to widen the age range eligibility at recruitment now.</w:t>
      </w:r>
    </w:p>
    <w:p w14:paraId="2102CDB3" w14:textId="3390C5DE" w:rsidR="00463F43" w:rsidRPr="00A42F6F" w:rsidRDefault="00463F43" w:rsidP="00463F43">
      <w:r>
        <w:t xml:space="preserve">Activities to increase HPC </w:t>
      </w:r>
      <w:r w:rsidR="006D018C">
        <w:t xml:space="preserve">donor </w:t>
      </w:r>
      <w:r>
        <w:t xml:space="preserve">recruitment should not be at the expense of the recruitment of Australian blood donors in maintaining the domestic supply of blood and blood-related products, aiming to arrest demand for more costly imported products. </w:t>
      </w:r>
    </w:p>
    <w:p w14:paraId="039A067A" w14:textId="3B8E0BD7" w:rsidR="00463F43" w:rsidRPr="00A42F6F" w:rsidRDefault="00463F43" w:rsidP="00463F43">
      <w:r w:rsidRPr="00A42F6F">
        <w:t xml:space="preserve">The </w:t>
      </w:r>
      <w:r>
        <w:t>Advisory Group</w:t>
      </w:r>
      <w:r w:rsidRPr="00A42F6F">
        <w:t xml:space="preserve"> recommends achieving the increase and expansion of HPC</w:t>
      </w:r>
      <w:r w:rsidR="006D018C">
        <w:t xml:space="preserve"> donor</w:t>
      </w:r>
      <w:r w:rsidRPr="00A42F6F">
        <w:t xml:space="preserve"> recruitment through a combination of Lifeblood </w:t>
      </w:r>
      <w:r w:rsidRPr="00A42F6F">
        <w:rPr>
          <w:i/>
          <w:iCs/>
        </w:rPr>
        <w:t>and</w:t>
      </w:r>
      <w:r w:rsidRPr="00A42F6F">
        <w:t xml:space="preserve"> ABMDR activity: </w:t>
      </w:r>
    </w:p>
    <w:p w14:paraId="46F71D82" w14:textId="77777777" w:rsidR="00463F43" w:rsidRPr="00A42F6F" w:rsidRDefault="00463F43" w:rsidP="00463F43">
      <w:pPr>
        <w:numPr>
          <w:ilvl w:val="0"/>
          <w:numId w:val="9"/>
        </w:numPr>
        <w:contextualSpacing/>
      </w:pPr>
      <w:r w:rsidRPr="00A42F6F">
        <w:t xml:space="preserve">increasing </w:t>
      </w:r>
      <w:r>
        <w:t>L</w:t>
      </w:r>
      <w:r w:rsidRPr="00A42F6F">
        <w:t>ifeblood testing capacity to enable a higher proportion of existing and new Lifeblood blood donors to become HPC recruits (using blood-based HLA, blood group and CMV testing). This will have a flow-on benefit for identifying additional platelet donors.</w:t>
      </w:r>
    </w:p>
    <w:p w14:paraId="1133DDFE" w14:textId="54C16857" w:rsidR="00463F43" w:rsidRPr="00A42F6F" w:rsidRDefault="00463F43" w:rsidP="00463F43">
      <w:pPr>
        <w:numPr>
          <w:ilvl w:val="0"/>
          <w:numId w:val="9"/>
        </w:numPr>
        <w:spacing w:after="0"/>
        <w:ind w:left="1077"/>
        <w:contextualSpacing/>
        <w:rPr>
          <w:rFonts w:cstheme="minorHAnsi"/>
        </w:rPr>
      </w:pPr>
      <w:r w:rsidRPr="00A42F6F">
        <w:t xml:space="preserve">HPC </w:t>
      </w:r>
      <w:r w:rsidR="006D018C">
        <w:t xml:space="preserve">donor </w:t>
      </w:r>
      <w:r w:rsidRPr="00A42F6F">
        <w:t xml:space="preserve">recruitment through fixed or mobile Lifeblood centres using a combination of </w:t>
      </w:r>
      <w:r>
        <w:t xml:space="preserve">initial </w:t>
      </w:r>
      <w:r w:rsidRPr="00A42F6F">
        <w:rPr>
          <w:rFonts w:cstheme="minorHAnsi"/>
        </w:rPr>
        <w:t>buccal swab (for HLA) and later blood testing (for blood group and CMV).</w:t>
      </w:r>
    </w:p>
    <w:p w14:paraId="0DD823FB" w14:textId="0E2E7384" w:rsidR="00463F43" w:rsidRPr="00A42F6F" w:rsidRDefault="00463F43" w:rsidP="00463F43">
      <w:pPr>
        <w:pStyle w:val="ListParagraph"/>
        <w:numPr>
          <w:ilvl w:val="0"/>
          <w:numId w:val="9"/>
        </w:numPr>
        <w:spacing w:before="0"/>
        <w:ind w:left="1077"/>
        <w:rPr>
          <w:rFonts w:asciiTheme="minorHAnsi" w:eastAsiaTheme="minorHAnsi" w:hAnsiTheme="minorHAnsi" w:cstheme="minorHAnsi"/>
          <w:lang w:val="en-AU"/>
        </w:rPr>
      </w:pPr>
      <w:bookmarkStart w:id="31" w:name="_Hlk130905756"/>
      <w:r w:rsidRPr="00A42F6F">
        <w:rPr>
          <w:rFonts w:asciiTheme="minorHAnsi" w:hAnsiTheme="minorHAnsi" w:cstheme="minorHAnsi"/>
        </w:rPr>
        <w:t>ABMDR-led</w:t>
      </w:r>
      <w:r w:rsidR="003250DB">
        <w:rPr>
          <w:rFonts w:asciiTheme="minorHAnsi" w:hAnsiTheme="minorHAnsi" w:cstheme="minorHAnsi"/>
        </w:rPr>
        <w:t>,</w:t>
      </w:r>
      <w:r w:rsidRPr="00A42F6F">
        <w:rPr>
          <w:rFonts w:asciiTheme="minorHAnsi" w:hAnsiTheme="minorHAnsi" w:cstheme="minorHAnsi"/>
        </w:rPr>
        <w:t xml:space="preserve"> directed face-to-face community recruitment using only buccal swab testing (i.e. not via a </w:t>
      </w:r>
      <w:r>
        <w:rPr>
          <w:rFonts w:asciiTheme="minorHAnsi" w:hAnsiTheme="minorHAnsi" w:cstheme="minorHAnsi"/>
        </w:rPr>
        <w:t>L</w:t>
      </w:r>
      <w:r w:rsidRPr="00A42F6F">
        <w:rPr>
          <w:rFonts w:asciiTheme="minorHAnsi" w:hAnsiTheme="minorHAnsi" w:cstheme="minorHAnsi"/>
        </w:rPr>
        <w:t>ifeblood centre)</w:t>
      </w:r>
      <w:bookmarkEnd w:id="31"/>
      <w:r w:rsidRPr="00A42F6F">
        <w:rPr>
          <w:rFonts w:asciiTheme="minorHAnsi" w:hAnsiTheme="minorHAnsi" w:cstheme="minorHAnsi"/>
        </w:rPr>
        <w:t xml:space="preserve"> </w:t>
      </w:r>
    </w:p>
    <w:p w14:paraId="37E90B55" w14:textId="77777777" w:rsidR="00463F43" w:rsidRDefault="00463F43" w:rsidP="00463F43">
      <w:pPr>
        <w:numPr>
          <w:ilvl w:val="0"/>
          <w:numId w:val="9"/>
        </w:numPr>
        <w:contextualSpacing/>
      </w:pPr>
      <w:r w:rsidRPr="00A42F6F">
        <w:t xml:space="preserve">ABMDR-led </w:t>
      </w:r>
      <w:r>
        <w:t xml:space="preserve">online </w:t>
      </w:r>
      <w:r w:rsidRPr="00A42F6F">
        <w:t xml:space="preserve">community recruitment using only buccal swab testing (i.e. not via a </w:t>
      </w:r>
      <w:r>
        <w:t>L</w:t>
      </w:r>
      <w:r w:rsidRPr="00A42F6F">
        <w:t>ifeblood centre)</w:t>
      </w:r>
    </w:p>
    <w:p w14:paraId="026489BC" w14:textId="77777777" w:rsidR="00463F43" w:rsidRDefault="00463F43" w:rsidP="00463F43">
      <w:pPr>
        <w:contextualSpacing/>
      </w:pPr>
    </w:p>
    <w:p w14:paraId="66049A35" w14:textId="77777777" w:rsidR="00463F43" w:rsidRDefault="00463F43" w:rsidP="00463F43">
      <w:r>
        <w:t>Based on the cumulative population identified as ‘diverse’ (through self-reported assignation) in the STG pilot programs, the estimated size of ongoing recruitment of the most diverse populations is approximately 57,000 individuals over five years. Such recruitment would likely benefit most from face-to-face recruitment which would likely need facilitation through community engagement.</w:t>
      </w:r>
    </w:p>
    <w:p w14:paraId="599CC3D6" w14:textId="77777777" w:rsidR="00463F43" w:rsidRDefault="00463F43" w:rsidP="00463F43">
      <w:r>
        <w:t>Regular</w:t>
      </w:r>
      <w:r w:rsidRPr="004B1103">
        <w:t xml:space="preserve"> post-recruitment contact with all recruits should occur to ensure ongoing willingness to donate if called upon; those voluntarily withdrawing should be to be removed from the register in a timely manner.</w:t>
      </w:r>
    </w:p>
    <w:p w14:paraId="6E11DEC0" w14:textId="77777777" w:rsidR="00463F43" w:rsidRDefault="00463F43" w:rsidP="00463F43">
      <w:pPr>
        <w:rPr>
          <w:rFonts w:asciiTheme="majorHAnsi" w:eastAsiaTheme="majorEastAsia" w:hAnsiTheme="majorHAnsi" w:cstheme="majorBidi"/>
          <w:b/>
          <w:color w:val="2F5496" w:themeColor="accent1" w:themeShade="BF"/>
          <w:sz w:val="40"/>
          <w:szCs w:val="32"/>
        </w:rPr>
      </w:pPr>
      <w:r>
        <w:br w:type="page"/>
      </w:r>
    </w:p>
    <w:p w14:paraId="3E9B6F2D" w14:textId="77777777" w:rsidR="00463F43" w:rsidRDefault="00463F43" w:rsidP="00463F43">
      <w:pPr>
        <w:pStyle w:val="Heading1"/>
      </w:pPr>
      <w:bookmarkStart w:id="32" w:name="_Toc134611365"/>
      <w:r>
        <w:t>Appendix 1:</w:t>
      </w:r>
      <w:bookmarkEnd w:id="32"/>
      <w:r>
        <w:t xml:space="preserve"> </w:t>
      </w:r>
    </w:p>
    <w:p w14:paraId="6C04DBE6" w14:textId="77777777" w:rsidR="00463F43" w:rsidRDefault="00463F43" w:rsidP="00463F43">
      <w:pPr>
        <w:pStyle w:val="Heading2"/>
      </w:pPr>
      <w:bookmarkStart w:id="33" w:name="_Toc134611366"/>
      <w:r>
        <w:t>Testing performed on recruitment samples by international HPC donor registries</w:t>
      </w:r>
      <w:bookmarkEnd w:id="33"/>
    </w:p>
    <w:p w14:paraId="1174FC7F" w14:textId="77777777" w:rsidR="00463F43" w:rsidRDefault="00463F43" w:rsidP="00463F43"/>
    <w:p w14:paraId="50074404" w14:textId="77777777" w:rsidR="00463F43" w:rsidRDefault="00463F43" w:rsidP="00463F43"/>
    <w:p w14:paraId="41C929EA" w14:textId="77777777" w:rsidR="00463F43" w:rsidRDefault="00463F43" w:rsidP="00463F43"/>
    <w:p w14:paraId="5D59D564" w14:textId="77777777" w:rsidR="00463F43" w:rsidRDefault="00463F43" w:rsidP="00463F43"/>
    <w:p w14:paraId="5A5C3FEF" w14:textId="77777777" w:rsidR="00463F43" w:rsidRDefault="00463F43" w:rsidP="00463F43"/>
    <w:p w14:paraId="200D8F2A" w14:textId="77777777" w:rsidR="00463F43" w:rsidRDefault="00463F43" w:rsidP="00463F43"/>
    <w:p w14:paraId="433A01D8" w14:textId="77777777" w:rsidR="00463F43" w:rsidRDefault="00463F43" w:rsidP="00463F43"/>
    <w:p w14:paraId="23658F2A" w14:textId="77777777" w:rsidR="00463F43" w:rsidRDefault="00463F43" w:rsidP="00463F43"/>
    <w:p w14:paraId="0A3213FB" w14:textId="77777777" w:rsidR="00463F43" w:rsidRDefault="00463F43" w:rsidP="00463F43">
      <w:pPr>
        <w:sectPr w:rsidR="00463F43">
          <w:pgSz w:w="11906" w:h="16838"/>
          <w:pgMar w:top="1440" w:right="1440" w:bottom="1440" w:left="1440" w:header="708" w:footer="708" w:gutter="0"/>
          <w:cols w:space="708"/>
          <w:docGrid w:linePitch="360"/>
        </w:sectPr>
      </w:pPr>
    </w:p>
    <w:p w14:paraId="3E352FDE" w14:textId="77777777" w:rsidR="00463F43" w:rsidRPr="003D4BE7" w:rsidRDefault="00463F43" w:rsidP="00463F43">
      <w:pPr>
        <w:rPr>
          <w:b/>
          <w:bCs/>
          <w:szCs w:val="24"/>
        </w:rPr>
      </w:pPr>
      <w:r w:rsidRPr="003D4BE7">
        <w:rPr>
          <w:b/>
          <w:bCs/>
          <w:szCs w:val="24"/>
        </w:rPr>
        <w:t xml:space="preserve">Summary of testing performed on buccal swab or blood samples at recruitment by international </w:t>
      </w:r>
      <w:r>
        <w:rPr>
          <w:b/>
          <w:bCs/>
          <w:szCs w:val="24"/>
        </w:rPr>
        <w:t xml:space="preserve">HPC donor </w:t>
      </w:r>
      <w:r w:rsidRPr="003D4BE7">
        <w:rPr>
          <w:b/>
          <w:bCs/>
          <w:szCs w:val="24"/>
        </w:rPr>
        <w:t>registries</w:t>
      </w:r>
      <w:r>
        <w:rPr>
          <w:b/>
          <w:bCs/>
          <w:szCs w:val="24"/>
        </w:rPr>
        <w:t xml:space="preserve"> (updated March 2023)</w:t>
      </w:r>
    </w:p>
    <w:tbl>
      <w:tblPr>
        <w:tblStyle w:val="TableGrid1"/>
        <w:tblW w:w="15735" w:type="dxa"/>
        <w:tblInd w:w="-431" w:type="dxa"/>
        <w:tblLayout w:type="fixed"/>
        <w:tblLook w:val="04A0" w:firstRow="1" w:lastRow="0" w:firstColumn="1" w:lastColumn="0" w:noHBand="0" w:noVBand="1"/>
      </w:tblPr>
      <w:tblGrid>
        <w:gridCol w:w="1135"/>
        <w:gridCol w:w="1701"/>
        <w:gridCol w:w="1559"/>
        <w:gridCol w:w="2126"/>
        <w:gridCol w:w="1985"/>
        <w:gridCol w:w="850"/>
        <w:gridCol w:w="1134"/>
        <w:gridCol w:w="1135"/>
        <w:gridCol w:w="1275"/>
        <w:gridCol w:w="1560"/>
        <w:gridCol w:w="1275"/>
      </w:tblGrid>
      <w:tr w:rsidR="00463F43" w:rsidRPr="008F4EA9" w14:paraId="52C86183" w14:textId="77777777" w:rsidTr="00CD3CD0">
        <w:trPr>
          <w:trHeight w:val="675"/>
        </w:trPr>
        <w:tc>
          <w:tcPr>
            <w:tcW w:w="1135" w:type="dxa"/>
            <w:vMerge w:val="restart"/>
          </w:tcPr>
          <w:p w14:paraId="197A2D85" w14:textId="77777777" w:rsidR="00463F43" w:rsidRPr="008F4EA9" w:rsidRDefault="00463F43" w:rsidP="00CD3CD0">
            <w:pPr>
              <w:rPr>
                <w:b/>
                <w:bCs/>
                <w:sz w:val="21"/>
                <w:szCs w:val="21"/>
              </w:rPr>
            </w:pPr>
            <w:r w:rsidRPr="008F4EA9">
              <w:rPr>
                <w:b/>
                <w:bCs/>
                <w:sz w:val="21"/>
                <w:szCs w:val="21"/>
              </w:rPr>
              <w:t>Country</w:t>
            </w:r>
          </w:p>
        </w:tc>
        <w:tc>
          <w:tcPr>
            <w:tcW w:w="1701" w:type="dxa"/>
            <w:vMerge w:val="restart"/>
          </w:tcPr>
          <w:p w14:paraId="7F3100EF" w14:textId="77777777" w:rsidR="00463F43" w:rsidRPr="008F4EA9" w:rsidRDefault="00463F43" w:rsidP="00CD3CD0">
            <w:pPr>
              <w:rPr>
                <w:b/>
                <w:bCs/>
                <w:sz w:val="21"/>
                <w:szCs w:val="21"/>
              </w:rPr>
            </w:pPr>
            <w:r w:rsidRPr="008F4EA9">
              <w:rPr>
                <w:b/>
                <w:bCs/>
                <w:sz w:val="21"/>
                <w:szCs w:val="21"/>
              </w:rPr>
              <w:t>Registry Name</w:t>
            </w:r>
          </w:p>
        </w:tc>
        <w:tc>
          <w:tcPr>
            <w:tcW w:w="1559" w:type="dxa"/>
            <w:vMerge w:val="restart"/>
          </w:tcPr>
          <w:p w14:paraId="15FDC4D1" w14:textId="77777777" w:rsidR="00463F43" w:rsidRPr="008F4EA9" w:rsidRDefault="00463F43" w:rsidP="00CD3CD0">
            <w:pPr>
              <w:rPr>
                <w:b/>
                <w:bCs/>
                <w:sz w:val="21"/>
                <w:szCs w:val="21"/>
              </w:rPr>
            </w:pPr>
            <w:r w:rsidRPr="008F4EA9">
              <w:rPr>
                <w:b/>
                <w:bCs/>
                <w:sz w:val="21"/>
                <w:szCs w:val="21"/>
              </w:rPr>
              <w:t>Recruitment sample type</w:t>
            </w:r>
          </w:p>
        </w:tc>
        <w:tc>
          <w:tcPr>
            <w:tcW w:w="2126" w:type="dxa"/>
            <w:vMerge w:val="restart"/>
          </w:tcPr>
          <w:p w14:paraId="4374404C" w14:textId="77777777" w:rsidR="00463F43" w:rsidRPr="008F4EA9" w:rsidRDefault="00463F43" w:rsidP="00CD3CD0">
            <w:pPr>
              <w:rPr>
                <w:b/>
                <w:bCs/>
                <w:sz w:val="21"/>
                <w:szCs w:val="21"/>
              </w:rPr>
            </w:pPr>
            <w:r w:rsidRPr="008F4EA9">
              <w:rPr>
                <w:b/>
                <w:bCs/>
                <w:sz w:val="21"/>
                <w:szCs w:val="21"/>
              </w:rPr>
              <w:t>Routine level of HLA typing</w:t>
            </w:r>
          </w:p>
        </w:tc>
        <w:tc>
          <w:tcPr>
            <w:tcW w:w="1985" w:type="dxa"/>
            <w:vMerge w:val="restart"/>
          </w:tcPr>
          <w:p w14:paraId="5DD36A31" w14:textId="77777777" w:rsidR="00463F43" w:rsidRPr="008F4EA9" w:rsidRDefault="00463F43" w:rsidP="00CD3CD0">
            <w:pPr>
              <w:rPr>
                <w:b/>
                <w:bCs/>
                <w:sz w:val="21"/>
                <w:szCs w:val="21"/>
              </w:rPr>
            </w:pPr>
            <w:r w:rsidRPr="008F4EA9">
              <w:rPr>
                <w:b/>
                <w:bCs/>
                <w:sz w:val="21"/>
                <w:szCs w:val="21"/>
              </w:rPr>
              <w:t>Capability to perform HLA typing (Verification typing vs Extended Typing) Level of HLA typing</w:t>
            </w:r>
          </w:p>
        </w:tc>
        <w:tc>
          <w:tcPr>
            <w:tcW w:w="3119" w:type="dxa"/>
            <w:gridSpan w:val="3"/>
            <w:vAlign w:val="center"/>
          </w:tcPr>
          <w:p w14:paraId="129DB7B0" w14:textId="77777777" w:rsidR="00463F43" w:rsidRPr="008F4EA9" w:rsidRDefault="00463F43" w:rsidP="00CD3CD0">
            <w:pPr>
              <w:jc w:val="center"/>
              <w:rPr>
                <w:b/>
                <w:bCs/>
                <w:sz w:val="21"/>
                <w:szCs w:val="21"/>
              </w:rPr>
            </w:pPr>
            <w:r w:rsidRPr="008F4EA9">
              <w:rPr>
                <w:b/>
                <w:bCs/>
                <w:sz w:val="21"/>
                <w:szCs w:val="21"/>
              </w:rPr>
              <w:t>At recruitment (swab)</w:t>
            </w:r>
          </w:p>
        </w:tc>
        <w:tc>
          <w:tcPr>
            <w:tcW w:w="1275" w:type="dxa"/>
            <w:vMerge w:val="restart"/>
          </w:tcPr>
          <w:p w14:paraId="479CA544" w14:textId="77777777" w:rsidR="00463F43" w:rsidRPr="008F4EA9" w:rsidRDefault="00463F43" w:rsidP="00CD3CD0">
            <w:pPr>
              <w:rPr>
                <w:b/>
                <w:bCs/>
                <w:sz w:val="21"/>
                <w:szCs w:val="21"/>
              </w:rPr>
            </w:pPr>
            <w:r w:rsidRPr="008F4EA9">
              <w:rPr>
                <w:b/>
                <w:bCs/>
                <w:sz w:val="21"/>
                <w:szCs w:val="21"/>
              </w:rPr>
              <w:t>Routine verification typing (blood or swab)</w:t>
            </w:r>
          </w:p>
        </w:tc>
        <w:tc>
          <w:tcPr>
            <w:tcW w:w="1560" w:type="dxa"/>
            <w:vMerge w:val="restart"/>
          </w:tcPr>
          <w:p w14:paraId="5F7D02BC" w14:textId="77777777" w:rsidR="00463F43" w:rsidRPr="008F4EA9" w:rsidRDefault="00463F43" w:rsidP="00CD3CD0">
            <w:pPr>
              <w:rPr>
                <w:b/>
                <w:bCs/>
                <w:sz w:val="21"/>
                <w:szCs w:val="21"/>
              </w:rPr>
            </w:pPr>
            <w:r w:rsidRPr="008F4EA9">
              <w:rPr>
                <w:b/>
                <w:bCs/>
                <w:sz w:val="21"/>
                <w:szCs w:val="21"/>
              </w:rPr>
              <w:t>Target Age at recruitment</w:t>
            </w:r>
          </w:p>
        </w:tc>
        <w:tc>
          <w:tcPr>
            <w:tcW w:w="1275" w:type="dxa"/>
            <w:vMerge w:val="restart"/>
          </w:tcPr>
          <w:p w14:paraId="59DEC8C0" w14:textId="77777777" w:rsidR="00463F43" w:rsidRPr="008F4EA9" w:rsidRDefault="00463F43" w:rsidP="00CD3CD0">
            <w:pPr>
              <w:rPr>
                <w:b/>
                <w:bCs/>
                <w:sz w:val="21"/>
                <w:szCs w:val="21"/>
              </w:rPr>
            </w:pPr>
            <w:r w:rsidRPr="008F4EA9">
              <w:rPr>
                <w:b/>
                <w:bCs/>
                <w:sz w:val="21"/>
                <w:szCs w:val="21"/>
              </w:rPr>
              <w:t>Retirement age from register</w:t>
            </w:r>
          </w:p>
        </w:tc>
      </w:tr>
      <w:tr w:rsidR="00463F43" w:rsidRPr="008F4EA9" w14:paraId="4C3467AF" w14:textId="77777777" w:rsidTr="00CD3CD0">
        <w:trPr>
          <w:trHeight w:val="675"/>
        </w:trPr>
        <w:tc>
          <w:tcPr>
            <w:tcW w:w="1135" w:type="dxa"/>
            <w:vMerge/>
          </w:tcPr>
          <w:p w14:paraId="6C51D0C7" w14:textId="77777777" w:rsidR="00463F43" w:rsidRPr="008F4EA9" w:rsidRDefault="00463F43" w:rsidP="00CD3CD0">
            <w:pPr>
              <w:rPr>
                <w:sz w:val="21"/>
                <w:szCs w:val="21"/>
              </w:rPr>
            </w:pPr>
          </w:p>
        </w:tc>
        <w:tc>
          <w:tcPr>
            <w:tcW w:w="1701" w:type="dxa"/>
            <w:vMerge/>
          </w:tcPr>
          <w:p w14:paraId="19C35B9B" w14:textId="77777777" w:rsidR="00463F43" w:rsidRPr="008F4EA9" w:rsidRDefault="00463F43" w:rsidP="00CD3CD0">
            <w:pPr>
              <w:rPr>
                <w:sz w:val="21"/>
                <w:szCs w:val="21"/>
              </w:rPr>
            </w:pPr>
          </w:p>
        </w:tc>
        <w:tc>
          <w:tcPr>
            <w:tcW w:w="1559" w:type="dxa"/>
            <w:vMerge/>
          </w:tcPr>
          <w:p w14:paraId="769DFFC7" w14:textId="77777777" w:rsidR="00463F43" w:rsidRPr="008F4EA9" w:rsidRDefault="00463F43" w:rsidP="00CD3CD0">
            <w:pPr>
              <w:rPr>
                <w:sz w:val="21"/>
                <w:szCs w:val="21"/>
              </w:rPr>
            </w:pPr>
          </w:p>
        </w:tc>
        <w:tc>
          <w:tcPr>
            <w:tcW w:w="2126" w:type="dxa"/>
            <w:vMerge/>
          </w:tcPr>
          <w:p w14:paraId="266A7785" w14:textId="77777777" w:rsidR="00463F43" w:rsidRPr="008F4EA9" w:rsidRDefault="00463F43" w:rsidP="00CD3CD0">
            <w:pPr>
              <w:rPr>
                <w:sz w:val="21"/>
                <w:szCs w:val="21"/>
              </w:rPr>
            </w:pPr>
          </w:p>
        </w:tc>
        <w:tc>
          <w:tcPr>
            <w:tcW w:w="1985" w:type="dxa"/>
            <w:vMerge/>
          </w:tcPr>
          <w:p w14:paraId="5D77F777" w14:textId="77777777" w:rsidR="00463F43" w:rsidRPr="008F4EA9" w:rsidRDefault="00463F43" w:rsidP="00CD3CD0">
            <w:pPr>
              <w:rPr>
                <w:sz w:val="21"/>
                <w:szCs w:val="21"/>
              </w:rPr>
            </w:pPr>
          </w:p>
        </w:tc>
        <w:tc>
          <w:tcPr>
            <w:tcW w:w="850" w:type="dxa"/>
          </w:tcPr>
          <w:p w14:paraId="5E5D7B60" w14:textId="77777777" w:rsidR="00463F43" w:rsidRPr="008F4EA9" w:rsidRDefault="00463F43" w:rsidP="00CD3CD0">
            <w:pPr>
              <w:jc w:val="center"/>
              <w:rPr>
                <w:b/>
                <w:bCs/>
                <w:sz w:val="21"/>
                <w:szCs w:val="21"/>
              </w:rPr>
            </w:pPr>
            <w:r w:rsidRPr="008F4EA9">
              <w:rPr>
                <w:b/>
                <w:bCs/>
                <w:sz w:val="21"/>
                <w:szCs w:val="21"/>
              </w:rPr>
              <w:t>HLA Testing</w:t>
            </w:r>
          </w:p>
        </w:tc>
        <w:tc>
          <w:tcPr>
            <w:tcW w:w="1134" w:type="dxa"/>
          </w:tcPr>
          <w:p w14:paraId="43530856" w14:textId="77777777" w:rsidR="00463F43" w:rsidRPr="008F4EA9" w:rsidRDefault="00463F43" w:rsidP="00CD3CD0">
            <w:pPr>
              <w:jc w:val="center"/>
              <w:rPr>
                <w:b/>
                <w:bCs/>
                <w:sz w:val="21"/>
                <w:szCs w:val="21"/>
              </w:rPr>
            </w:pPr>
            <w:r w:rsidRPr="008F4EA9">
              <w:rPr>
                <w:b/>
                <w:bCs/>
                <w:sz w:val="21"/>
                <w:szCs w:val="21"/>
              </w:rPr>
              <w:t>ABO</w:t>
            </w:r>
          </w:p>
        </w:tc>
        <w:tc>
          <w:tcPr>
            <w:tcW w:w="1135" w:type="dxa"/>
          </w:tcPr>
          <w:p w14:paraId="6373ABBF" w14:textId="77777777" w:rsidR="00463F43" w:rsidRPr="008F4EA9" w:rsidRDefault="00463F43" w:rsidP="00CD3CD0">
            <w:pPr>
              <w:jc w:val="center"/>
              <w:rPr>
                <w:b/>
                <w:bCs/>
                <w:sz w:val="21"/>
                <w:szCs w:val="21"/>
              </w:rPr>
            </w:pPr>
            <w:r w:rsidRPr="008F4EA9">
              <w:rPr>
                <w:b/>
                <w:bCs/>
                <w:sz w:val="21"/>
                <w:szCs w:val="21"/>
              </w:rPr>
              <w:t>CMV</w:t>
            </w:r>
          </w:p>
        </w:tc>
        <w:tc>
          <w:tcPr>
            <w:tcW w:w="1275" w:type="dxa"/>
            <w:vMerge/>
          </w:tcPr>
          <w:p w14:paraId="6790BCCA" w14:textId="77777777" w:rsidR="00463F43" w:rsidRPr="008F4EA9" w:rsidRDefault="00463F43" w:rsidP="00CD3CD0">
            <w:pPr>
              <w:rPr>
                <w:sz w:val="21"/>
                <w:szCs w:val="21"/>
              </w:rPr>
            </w:pPr>
          </w:p>
        </w:tc>
        <w:tc>
          <w:tcPr>
            <w:tcW w:w="1560" w:type="dxa"/>
            <w:vMerge/>
          </w:tcPr>
          <w:p w14:paraId="36A77BA2" w14:textId="77777777" w:rsidR="00463F43" w:rsidRPr="008F4EA9" w:rsidRDefault="00463F43" w:rsidP="00CD3CD0">
            <w:pPr>
              <w:rPr>
                <w:sz w:val="21"/>
                <w:szCs w:val="21"/>
              </w:rPr>
            </w:pPr>
          </w:p>
        </w:tc>
        <w:tc>
          <w:tcPr>
            <w:tcW w:w="1275" w:type="dxa"/>
            <w:vMerge/>
          </w:tcPr>
          <w:p w14:paraId="523EBF0E" w14:textId="77777777" w:rsidR="00463F43" w:rsidRPr="008F4EA9" w:rsidRDefault="00463F43" w:rsidP="00CD3CD0">
            <w:pPr>
              <w:rPr>
                <w:sz w:val="21"/>
                <w:szCs w:val="21"/>
              </w:rPr>
            </w:pPr>
          </w:p>
        </w:tc>
      </w:tr>
      <w:tr w:rsidR="00463F43" w:rsidRPr="008F4EA9" w14:paraId="7F96A7F9" w14:textId="77777777" w:rsidTr="00CD3CD0">
        <w:trPr>
          <w:trHeight w:val="2082"/>
        </w:trPr>
        <w:tc>
          <w:tcPr>
            <w:tcW w:w="1135" w:type="dxa"/>
            <w:vMerge w:val="restart"/>
          </w:tcPr>
          <w:p w14:paraId="117A781F" w14:textId="77777777" w:rsidR="00463F43" w:rsidRPr="008F4EA9" w:rsidRDefault="00463F43" w:rsidP="00CD3CD0">
            <w:pPr>
              <w:rPr>
                <w:sz w:val="21"/>
                <w:szCs w:val="21"/>
              </w:rPr>
            </w:pPr>
            <w:r w:rsidRPr="008F4EA9">
              <w:rPr>
                <w:sz w:val="21"/>
                <w:szCs w:val="21"/>
              </w:rPr>
              <w:t>Australia</w:t>
            </w:r>
          </w:p>
          <w:p w14:paraId="225F050C" w14:textId="77777777" w:rsidR="00463F43" w:rsidRPr="008F4EA9" w:rsidRDefault="00463F43" w:rsidP="00CD3CD0">
            <w:pPr>
              <w:rPr>
                <w:sz w:val="21"/>
                <w:szCs w:val="21"/>
              </w:rPr>
            </w:pPr>
          </w:p>
        </w:tc>
        <w:tc>
          <w:tcPr>
            <w:tcW w:w="1701" w:type="dxa"/>
          </w:tcPr>
          <w:p w14:paraId="32515149" w14:textId="77777777" w:rsidR="00463F43" w:rsidRPr="008F4EA9" w:rsidRDefault="00463F43" w:rsidP="00CD3CD0">
            <w:pPr>
              <w:rPr>
                <w:sz w:val="21"/>
                <w:szCs w:val="21"/>
              </w:rPr>
            </w:pPr>
            <w:r w:rsidRPr="008F4EA9">
              <w:rPr>
                <w:sz w:val="21"/>
                <w:szCs w:val="21"/>
              </w:rPr>
              <w:t>ABMDR</w:t>
            </w:r>
          </w:p>
        </w:tc>
        <w:tc>
          <w:tcPr>
            <w:tcW w:w="1559" w:type="dxa"/>
          </w:tcPr>
          <w:p w14:paraId="74A832A3" w14:textId="77777777" w:rsidR="00463F43" w:rsidRPr="008F4EA9" w:rsidRDefault="00463F43" w:rsidP="00CD3CD0">
            <w:pPr>
              <w:rPr>
                <w:sz w:val="21"/>
                <w:szCs w:val="21"/>
              </w:rPr>
            </w:pPr>
            <w:r w:rsidRPr="008F4EA9">
              <w:rPr>
                <w:sz w:val="21"/>
                <w:szCs w:val="21"/>
              </w:rPr>
              <w:t>Blood draw (3 tubes for new donor) (1 tube for existing blood donor)</w:t>
            </w:r>
          </w:p>
        </w:tc>
        <w:tc>
          <w:tcPr>
            <w:tcW w:w="2126" w:type="dxa"/>
          </w:tcPr>
          <w:p w14:paraId="73AB7E3D" w14:textId="77777777" w:rsidR="00463F43" w:rsidRPr="008F4EA9" w:rsidRDefault="00463F43" w:rsidP="00CD3CD0">
            <w:pPr>
              <w:rPr>
                <w:sz w:val="21"/>
                <w:szCs w:val="21"/>
                <w:u w:val="single"/>
              </w:rPr>
            </w:pPr>
            <w:r w:rsidRPr="008F4EA9">
              <w:rPr>
                <w:sz w:val="21"/>
                <w:szCs w:val="21"/>
                <w:u w:val="single"/>
              </w:rPr>
              <w:t>Lifeblood</w:t>
            </w:r>
          </w:p>
          <w:p w14:paraId="1516E113" w14:textId="77777777" w:rsidR="00463F43" w:rsidRPr="008F4EA9" w:rsidRDefault="00463F43" w:rsidP="00CD3CD0">
            <w:pPr>
              <w:rPr>
                <w:sz w:val="21"/>
                <w:szCs w:val="21"/>
              </w:rPr>
            </w:pPr>
            <w:r w:rsidRPr="008F4EA9">
              <w:rPr>
                <w:sz w:val="21"/>
                <w:szCs w:val="21"/>
              </w:rPr>
              <w:t>6 loci (HLA-A, HLA-B, HLA-C, DQB1, DPB1, DRB1) at 3 field or higher resolution using NGS</w:t>
            </w:r>
          </w:p>
        </w:tc>
        <w:tc>
          <w:tcPr>
            <w:tcW w:w="1985" w:type="dxa"/>
          </w:tcPr>
          <w:p w14:paraId="29C55392" w14:textId="77777777" w:rsidR="00463F43" w:rsidRPr="008F4EA9" w:rsidRDefault="00463F43" w:rsidP="00CD3CD0">
            <w:pPr>
              <w:rPr>
                <w:sz w:val="21"/>
                <w:szCs w:val="21"/>
                <w:u w:val="single"/>
              </w:rPr>
            </w:pPr>
            <w:r w:rsidRPr="008F4EA9">
              <w:rPr>
                <w:sz w:val="21"/>
                <w:szCs w:val="21"/>
                <w:u w:val="single"/>
              </w:rPr>
              <w:t>Lifeblood</w:t>
            </w:r>
          </w:p>
          <w:p w14:paraId="1223CE53" w14:textId="77777777" w:rsidR="00463F43" w:rsidRPr="008F4EA9" w:rsidRDefault="00463F43" w:rsidP="00CD3CD0">
            <w:pPr>
              <w:rPr>
                <w:sz w:val="21"/>
                <w:szCs w:val="21"/>
                <w:u w:val="single"/>
              </w:rPr>
            </w:pPr>
            <w:r w:rsidRPr="008F4EA9">
              <w:rPr>
                <w:sz w:val="21"/>
                <w:szCs w:val="21"/>
              </w:rPr>
              <w:t xml:space="preserve">Capability for typing at 11 loci at 3-4 field level resolution </w:t>
            </w:r>
          </w:p>
          <w:p w14:paraId="02AF082B" w14:textId="77777777" w:rsidR="00463F43" w:rsidRPr="008F4EA9" w:rsidRDefault="00463F43" w:rsidP="00CD3CD0">
            <w:pPr>
              <w:rPr>
                <w:sz w:val="21"/>
                <w:szCs w:val="21"/>
              </w:rPr>
            </w:pPr>
          </w:p>
        </w:tc>
        <w:tc>
          <w:tcPr>
            <w:tcW w:w="850" w:type="dxa"/>
          </w:tcPr>
          <w:p w14:paraId="0FD90E13" w14:textId="77777777" w:rsidR="00463F43" w:rsidRPr="008F4EA9" w:rsidRDefault="00463F43" w:rsidP="00CD3CD0">
            <w:pPr>
              <w:jc w:val="center"/>
              <w:rPr>
                <w:sz w:val="21"/>
                <w:szCs w:val="21"/>
              </w:rPr>
            </w:pPr>
            <w:r w:rsidRPr="008F4EA9">
              <w:rPr>
                <w:sz w:val="21"/>
                <w:szCs w:val="21"/>
              </w:rPr>
              <w:t>Yes</w:t>
            </w:r>
          </w:p>
        </w:tc>
        <w:tc>
          <w:tcPr>
            <w:tcW w:w="1134" w:type="dxa"/>
          </w:tcPr>
          <w:p w14:paraId="14FDA814" w14:textId="77777777" w:rsidR="00463F43" w:rsidRPr="008F4EA9" w:rsidRDefault="00463F43" w:rsidP="00CD3CD0">
            <w:pPr>
              <w:jc w:val="center"/>
              <w:rPr>
                <w:sz w:val="21"/>
                <w:szCs w:val="21"/>
              </w:rPr>
            </w:pPr>
            <w:r w:rsidRPr="008F4EA9">
              <w:rPr>
                <w:sz w:val="21"/>
                <w:szCs w:val="21"/>
              </w:rPr>
              <w:t>Yes</w:t>
            </w:r>
          </w:p>
        </w:tc>
        <w:tc>
          <w:tcPr>
            <w:tcW w:w="1135" w:type="dxa"/>
          </w:tcPr>
          <w:p w14:paraId="6225C215" w14:textId="77777777" w:rsidR="00463F43" w:rsidRPr="008F4EA9" w:rsidRDefault="00463F43" w:rsidP="00CD3CD0">
            <w:pPr>
              <w:jc w:val="center"/>
              <w:rPr>
                <w:sz w:val="21"/>
                <w:szCs w:val="21"/>
              </w:rPr>
            </w:pPr>
            <w:r w:rsidRPr="008F4EA9">
              <w:rPr>
                <w:sz w:val="21"/>
                <w:szCs w:val="21"/>
              </w:rPr>
              <w:t>Yes</w:t>
            </w:r>
          </w:p>
        </w:tc>
        <w:tc>
          <w:tcPr>
            <w:tcW w:w="1275" w:type="dxa"/>
          </w:tcPr>
          <w:p w14:paraId="5D939005" w14:textId="77777777" w:rsidR="00463F43" w:rsidRPr="008F4EA9" w:rsidRDefault="00463F43" w:rsidP="00CD3CD0">
            <w:pPr>
              <w:jc w:val="center"/>
              <w:rPr>
                <w:sz w:val="21"/>
                <w:szCs w:val="21"/>
              </w:rPr>
            </w:pPr>
            <w:r w:rsidRPr="008F4EA9">
              <w:rPr>
                <w:sz w:val="21"/>
                <w:szCs w:val="21"/>
              </w:rPr>
              <w:t>Blood</w:t>
            </w:r>
          </w:p>
        </w:tc>
        <w:tc>
          <w:tcPr>
            <w:tcW w:w="1560" w:type="dxa"/>
          </w:tcPr>
          <w:p w14:paraId="0108FB58" w14:textId="77777777" w:rsidR="00463F43" w:rsidRPr="008F4EA9" w:rsidRDefault="00463F43" w:rsidP="00CD3CD0">
            <w:pPr>
              <w:rPr>
                <w:sz w:val="21"/>
                <w:szCs w:val="21"/>
              </w:rPr>
            </w:pPr>
            <w:r w:rsidRPr="008F4EA9">
              <w:rPr>
                <w:sz w:val="21"/>
                <w:szCs w:val="21"/>
              </w:rPr>
              <w:t>18-45 years up to 2018, most recent STG website update (Sep 2022) states 18-35 years</w:t>
            </w:r>
          </w:p>
        </w:tc>
        <w:tc>
          <w:tcPr>
            <w:tcW w:w="1275" w:type="dxa"/>
            <w:vMerge w:val="restart"/>
          </w:tcPr>
          <w:p w14:paraId="509F052E" w14:textId="77777777" w:rsidR="00463F43" w:rsidRPr="008F4EA9" w:rsidRDefault="00463F43" w:rsidP="00CD3CD0">
            <w:pPr>
              <w:rPr>
                <w:sz w:val="21"/>
                <w:szCs w:val="21"/>
              </w:rPr>
            </w:pPr>
            <w:r w:rsidRPr="008F4EA9">
              <w:rPr>
                <w:sz w:val="21"/>
                <w:szCs w:val="21"/>
              </w:rPr>
              <w:t>61 years</w:t>
            </w:r>
          </w:p>
        </w:tc>
      </w:tr>
      <w:tr w:rsidR="00463F43" w:rsidRPr="008F4EA9" w14:paraId="5623C5B4" w14:textId="77777777" w:rsidTr="00CD3CD0">
        <w:trPr>
          <w:trHeight w:val="1545"/>
        </w:trPr>
        <w:tc>
          <w:tcPr>
            <w:tcW w:w="1135" w:type="dxa"/>
            <w:vMerge/>
          </w:tcPr>
          <w:p w14:paraId="51B70733" w14:textId="77777777" w:rsidR="00463F43" w:rsidRPr="008F4EA9" w:rsidRDefault="00463F43" w:rsidP="00CD3CD0">
            <w:pPr>
              <w:rPr>
                <w:sz w:val="21"/>
                <w:szCs w:val="21"/>
              </w:rPr>
            </w:pPr>
          </w:p>
        </w:tc>
        <w:tc>
          <w:tcPr>
            <w:tcW w:w="1701" w:type="dxa"/>
          </w:tcPr>
          <w:p w14:paraId="759C0039" w14:textId="77777777" w:rsidR="00463F43" w:rsidRPr="008F4EA9" w:rsidRDefault="00463F43" w:rsidP="00CD3CD0">
            <w:pPr>
              <w:rPr>
                <w:sz w:val="21"/>
                <w:szCs w:val="21"/>
              </w:rPr>
            </w:pPr>
            <w:r w:rsidRPr="008F4EA9">
              <w:rPr>
                <w:sz w:val="21"/>
                <w:szCs w:val="21"/>
              </w:rPr>
              <w:t>ABMDR</w:t>
            </w:r>
          </w:p>
          <w:p w14:paraId="7CC17C98" w14:textId="77777777" w:rsidR="00463F43" w:rsidRPr="008F4EA9" w:rsidRDefault="00463F43" w:rsidP="00CD3CD0">
            <w:pPr>
              <w:rPr>
                <w:sz w:val="21"/>
                <w:szCs w:val="21"/>
              </w:rPr>
            </w:pPr>
            <w:r w:rsidRPr="008F4EA9">
              <w:rPr>
                <w:sz w:val="21"/>
                <w:szCs w:val="21"/>
              </w:rPr>
              <w:t>Strength to Give Pilot 1 (self-funded)</w:t>
            </w:r>
          </w:p>
        </w:tc>
        <w:tc>
          <w:tcPr>
            <w:tcW w:w="1559" w:type="dxa"/>
          </w:tcPr>
          <w:p w14:paraId="25D5D705" w14:textId="77777777" w:rsidR="00463F43" w:rsidRPr="008F4EA9" w:rsidRDefault="00463F43" w:rsidP="00CD3CD0">
            <w:pPr>
              <w:rPr>
                <w:sz w:val="21"/>
                <w:szCs w:val="21"/>
              </w:rPr>
            </w:pPr>
            <w:r w:rsidRPr="008F4EA9">
              <w:rPr>
                <w:sz w:val="21"/>
                <w:szCs w:val="21"/>
              </w:rPr>
              <w:t xml:space="preserve">4 x swabs </w:t>
            </w:r>
          </w:p>
          <w:p w14:paraId="17A6A1C7" w14:textId="77777777" w:rsidR="00463F43" w:rsidRPr="008F4EA9" w:rsidRDefault="00463F43" w:rsidP="00CD3CD0">
            <w:pPr>
              <w:rPr>
                <w:sz w:val="21"/>
                <w:szCs w:val="21"/>
              </w:rPr>
            </w:pPr>
            <w:r w:rsidRPr="008F4EA9">
              <w:rPr>
                <w:sz w:val="21"/>
                <w:szCs w:val="21"/>
              </w:rPr>
              <w:t>(not listed on ARTG)</w:t>
            </w:r>
          </w:p>
        </w:tc>
        <w:tc>
          <w:tcPr>
            <w:tcW w:w="2126" w:type="dxa"/>
          </w:tcPr>
          <w:p w14:paraId="6E99034A" w14:textId="77777777" w:rsidR="00463F43" w:rsidRPr="008F4EA9" w:rsidRDefault="00463F43" w:rsidP="00CD3CD0">
            <w:pPr>
              <w:rPr>
                <w:sz w:val="21"/>
                <w:szCs w:val="21"/>
              </w:rPr>
            </w:pPr>
            <w:r w:rsidRPr="008F4EA9">
              <w:rPr>
                <w:sz w:val="21"/>
                <w:szCs w:val="21"/>
              </w:rPr>
              <w:t xml:space="preserve">6 loci (HLA-A, HLA-B, HLA-C, DPB1, DRB1 and DQB1) at </w:t>
            </w:r>
            <w:r w:rsidRPr="008F4EA9">
              <w:rPr>
                <w:strike/>
                <w:sz w:val="21"/>
                <w:szCs w:val="21"/>
              </w:rPr>
              <w:t xml:space="preserve">3 </w:t>
            </w:r>
            <w:r w:rsidRPr="008F4EA9">
              <w:rPr>
                <w:sz w:val="21"/>
                <w:szCs w:val="21"/>
              </w:rPr>
              <w:t>2 field G codes using NGS through Histogenetics (USA)</w:t>
            </w:r>
          </w:p>
        </w:tc>
        <w:tc>
          <w:tcPr>
            <w:tcW w:w="1985" w:type="dxa"/>
          </w:tcPr>
          <w:p w14:paraId="7F203054" w14:textId="77777777" w:rsidR="00463F43" w:rsidRPr="008F4EA9" w:rsidRDefault="00463F43" w:rsidP="00CD3CD0">
            <w:pPr>
              <w:rPr>
                <w:sz w:val="21"/>
                <w:szCs w:val="21"/>
              </w:rPr>
            </w:pPr>
            <w:r w:rsidRPr="008F4EA9">
              <w:rPr>
                <w:sz w:val="21"/>
                <w:szCs w:val="21"/>
              </w:rPr>
              <w:t>unknown</w:t>
            </w:r>
          </w:p>
        </w:tc>
        <w:tc>
          <w:tcPr>
            <w:tcW w:w="850" w:type="dxa"/>
          </w:tcPr>
          <w:p w14:paraId="10EB0FDD" w14:textId="77777777" w:rsidR="00463F43" w:rsidRPr="008F4EA9" w:rsidRDefault="00463F43" w:rsidP="00CD3CD0">
            <w:pPr>
              <w:jc w:val="center"/>
              <w:rPr>
                <w:sz w:val="21"/>
                <w:szCs w:val="21"/>
              </w:rPr>
            </w:pPr>
            <w:r w:rsidRPr="008F4EA9">
              <w:rPr>
                <w:sz w:val="21"/>
                <w:szCs w:val="21"/>
              </w:rPr>
              <w:t>Yes*</w:t>
            </w:r>
          </w:p>
        </w:tc>
        <w:tc>
          <w:tcPr>
            <w:tcW w:w="1134" w:type="dxa"/>
          </w:tcPr>
          <w:p w14:paraId="24CC42D1" w14:textId="77777777" w:rsidR="00463F43" w:rsidRPr="008F4EA9" w:rsidRDefault="00463F43" w:rsidP="00CD3CD0">
            <w:pPr>
              <w:jc w:val="center"/>
              <w:rPr>
                <w:sz w:val="21"/>
                <w:szCs w:val="21"/>
              </w:rPr>
            </w:pPr>
            <w:r w:rsidRPr="008F4EA9">
              <w:rPr>
                <w:sz w:val="21"/>
                <w:szCs w:val="21"/>
              </w:rPr>
              <w:t>Yes*</w:t>
            </w:r>
          </w:p>
        </w:tc>
        <w:tc>
          <w:tcPr>
            <w:tcW w:w="1135" w:type="dxa"/>
          </w:tcPr>
          <w:p w14:paraId="4B2C01E0" w14:textId="77777777" w:rsidR="00463F43" w:rsidRPr="008F4EA9" w:rsidRDefault="00463F43" w:rsidP="00CD3CD0">
            <w:pPr>
              <w:jc w:val="center"/>
              <w:rPr>
                <w:sz w:val="21"/>
                <w:szCs w:val="21"/>
              </w:rPr>
            </w:pPr>
            <w:r w:rsidRPr="008F4EA9">
              <w:rPr>
                <w:sz w:val="21"/>
                <w:szCs w:val="21"/>
              </w:rPr>
              <w:t>Yes*</w:t>
            </w:r>
          </w:p>
        </w:tc>
        <w:tc>
          <w:tcPr>
            <w:tcW w:w="1275" w:type="dxa"/>
          </w:tcPr>
          <w:p w14:paraId="7250BFD2" w14:textId="77777777" w:rsidR="00463F43" w:rsidRPr="008F4EA9" w:rsidRDefault="00463F43" w:rsidP="00CD3CD0">
            <w:pPr>
              <w:jc w:val="center"/>
              <w:rPr>
                <w:sz w:val="21"/>
                <w:szCs w:val="21"/>
              </w:rPr>
            </w:pPr>
            <w:r w:rsidRPr="008F4EA9">
              <w:rPr>
                <w:sz w:val="21"/>
                <w:szCs w:val="21"/>
              </w:rPr>
              <w:t>Blood</w:t>
            </w:r>
          </w:p>
        </w:tc>
        <w:tc>
          <w:tcPr>
            <w:tcW w:w="1560" w:type="dxa"/>
          </w:tcPr>
          <w:p w14:paraId="1EDBC624" w14:textId="77777777" w:rsidR="00463F43" w:rsidRPr="008F4EA9" w:rsidRDefault="00463F43" w:rsidP="00CD3CD0">
            <w:pPr>
              <w:rPr>
                <w:sz w:val="21"/>
                <w:szCs w:val="21"/>
              </w:rPr>
            </w:pPr>
            <w:r w:rsidRPr="008F4EA9">
              <w:rPr>
                <w:sz w:val="21"/>
                <w:szCs w:val="21"/>
              </w:rPr>
              <w:t>18-30 years (based on social media posts during pilot)</w:t>
            </w:r>
          </w:p>
        </w:tc>
        <w:tc>
          <w:tcPr>
            <w:tcW w:w="1275" w:type="dxa"/>
            <w:vMerge/>
          </w:tcPr>
          <w:p w14:paraId="704D0773" w14:textId="77777777" w:rsidR="00463F43" w:rsidRPr="008F4EA9" w:rsidRDefault="00463F43" w:rsidP="00CD3CD0">
            <w:pPr>
              <w:rPr>
                <w:sz w:val="21"/>
                <w:szCs w:val="21"/>
              </w:rPr>
            </w:pPr>
          </w:p>
        </w:tc>
      </w:tr>
      <w:tr w:rsidR="00463F43" w:rsidRPr="008F4EA9" w14:paraId="24B665CA" w14:textId="77777777" w:rsidTr="00CD3CD0">
        <w:tc>
          <w:tcPr>
            <w:tcW w:w="1135" w:type="dxa"/>
            <w:vMerge/>
          </w:tcPr>
          <w:p w14:paraId="35647F34" w14:textId="77777777" w:rsidR="00463F43" w:rsidRPr="008F4EA9" w:rsidRDefault="00463F43" w:rsidP="00CD3CD0">
            <w:pPr>
              <w:rPr>
                <w:sz w:val="21"/>
                <w:szCs w:val="21"/>
              </w:rPr>
            </w:pPr>
          </w:p>
        </w:tc>
        <w:tc>
          <w:tcPr>
            <w:tcW w:w="1701" w:type="dxa"/>
          </w:tcPr>
          <w:p w14:paraId="6B70CE8C" w14:textId="77777777" w:rsidR="00463F43" w:rsidRPr="008F4EA9" w:rsidRDefault="00463F43" w:rsidP="00CD3CD0">
            <w:pPr>
              <w:rPr>
                <w:sz w:val="21"/>
                <w:szCs w:val="21"/>
              </w:rPr>
            </w:pPr>
            <w:r w:rsidRPr="008F4EA9">
              <w:rPr>
                <w:sz w:val="21"/>
                <w:szCs w:val="21"/>
              </w:rPr>
              <w:t>ABMDR</w:t>
            </w:r>
          </w:p>
          <w:p w14:paraId="61B0B6D6" w14:textId="77777777" w:rsidR="00463F43" w:rsidRPr="008F4EA9" w:rsidRDefault="00463F43" w:rsidP="00CD3CD0">
            <w:pPr>
              <w:rPr>
                <w:sz w:val="21"/>
                <w:szCs w:val="21"/>
              </w:rPr>
            </w:pPr>
            <w:r w:rsidRPr="008F4EA9">
              <w:rPr>
                <w:sz w:val="21"/>
                <w:szCs w:val="21"/>
              </w:rPr>
              <w:t xml:space="preserve">Strength to Give Pilot 2 </w:t>
            </w:r>
          </w:p>
          <w:p w14:paraId="536311D3" w14:textId="77777777" w:rsidR="00463F43" w:rsidRPr="008F4EA9" w:rsidRDefault="00463F43" w:rsidP="00CD3CD0">
            <w:pPr>
              <w:rPr>
                <w:sz w:val="21"/>
                <w:szCs w:val="21"/>
              </w:rPr>
            </w:pPr>
            <w:r w:rsidRPr="008F4EA9">
              <w:rPr>
                <w:sz w:val="21"/>
                <w:szCs w:val="21"/>
              </w:rPr>
              <w:t>(government funded)</w:t>
            </w:r>
          </w:p>
        </w:tc>
        <w:tc>
          <w:tcPr>
            <w:tcW w:w="1559" w:type="dxa"/>
          </w:tcPr>
          <w:p w14:paraId="1AAF9C94" w14:textId="77777777" w:rsidR="00463F43" w:rsidRPr="008F4EA9" w:rsidRDefault="00463F43" w:rsidP="00CD3CD0">
            <w:pPr>
              <w:rPr>
                <w:sz w:val="21"/>
                <w:szCs w:val="21"/>
              </w:rPr>
            </w:pPr>
            <w:r w:rsidRPr="008F4EA9">
              <w:rPr>
                <w:sz w:val="21"/>
                <w:szCs w:val="21"/>
              </w:rPr>
              <w:t>3 x nylon tipped FLOQSwab (listed on ARTG)</w:t>
            </w:r>
          </w:p>
        </w:tc>
        <w:tc>
          <w:tcPr>
            <w:tcW w:w="2126" w:type="dxa"/>
          </w:tcPr>
          <w:p w14:paraId="5E1693D5" w14:textId="77777777" w:rsidR="00463F43" w:rsidRPr="008F4EA9" w:rsidRDefault="00463F43" w:rsidP="00CD3CD0">
            <w:pPr>
              <w:rPr>
                <w:sz w:val="21"/>
                <w:szCs w:val="21"/>
                <w:u w:val="single"/>
              </w:rPr>
            </w:pPr>
            <w:r w:rsidRPr="008F4EA9">
              <w:rPr>
                <w:sz w:val="21"/>
                <w:szCs w:val="21"/>
              </w:rPr>
              <w:t>6 loci (HLA-A, HLA-B, HLA-C, DPB1, DRB1 and DQB1) at 3 fields or higher using NGS.</w:t>
            </w:r>
          </w:p>
        </w:tc>
        <w:tc>
          <w:tcPr>
            <w:tcW w:w="1985" w:type="dxa"/>
          </w:tcPr>
          <w:p w14:paraId="233249D1" w14:textId="77777777" w:rsidR="00463F43" w:rsidRPr="008F4EA9" w:rsidRDefault="00463F43" w:rsidP="00CD3CD0">
            <w:pPr>
              <w:rPr>
                <w:sz w:val="21"/>
                <w:szCs w:val="21"/>
              </w:rPr>
            </w:pPr>
            <w:r w:rsidRPr="008F4EA9">
              <w:rPr>
                <w:sz w:val="21"/>
                <w:szCs w:val="21"/>
                <w:u w:val="single"/>
              </w:rPr>
              <w:t>Pathwest</w:t>
            </w:r>
            <w:r w:rsidRPr="008F4EA9">
              <w:rPr>
                <w:sz w:val="21"/>
                <w:szCs w:val="21"/>
              </w:rPr>
              <w:t xml:space="preserve"> have capability for 11 loci via NGS</w:t>
            </w:r>
          </w:p>
        </w:tc>
        <w:tc>
          <w:tcPr>
            <w:tcW w:w="850" w:type="dxa"/>
          </w:tcPr>
          <w:p w14:paraId="5B469EEE" w14:textId="77777777" w:rsidR="00463F43" w:rsidRPr="008F4EA9" w:rsidRDefault="00463F43" w:rsidP="00CD3CD0">
            <w:pPr>
              <w:jc w:val="center"/>
              <w:rPr>
                <w:sz w:val="21"/>
                <w:szCs w:val="21"/>
              </w:rPr>
            </w:pPr>
            <w:r w:rsidRPr="008F4EA9">
              <w:rPr>
                <w:sz w:val="21"/>
                <w:szCs w:val="21"/>
              </w:rPr>
              <w:t>Yes</w:t>
            </w:r>
          </w:p>
        </w:tc>
        <w:tc>
          <w:tcPr>
            <w:tcW w:w="1134" w:type="dxa"/>
          </w:tcPr>
          <w:p w14:paraId="3F4BFFA8" w14:textId="77777777" w:rsidR="00463F43" w:rsidRPr="008F4EA9" w:rsidRDefault="00463F43" w:rsidP="00CD3CD0">
            <w:pPr>
              <w:jc w:val="center"/>
              <w:rPr>
                <w:sz w:val="21"/>
                <w:szCs w:val="21"/>
              </w:rPr>
            </w:pPr>
            <w:r w:rsidRPr="008F4EA9">
              <w:rPr>
                <w:sz w:val="21"/>
                <w:szCs w:val="21"/>
              </w:rPr>
              <w:t>Yes*</w:t>
            </w:r>
          </w:p>
        </w:tc>
        <w:tc>
          <w:tcPr>
            <w:tcW w:w="1135" w:type="dxa"/>
          </w:tcPr>
          <w:p w14:paraId="619B98C9" w14:textId="77777777" w:rsidR="00463F43" w:rsidRPr="008F4EA9" w:rsidRDefault="00463F43" w:rsidP="00CD3CD0">
            <w:pPr>
              <w:jc w:val="center"/>
              <w:rPr>
                <w:sz w:val="21"/>
                <w:szCs w:val="21"/>
              </w:rPr>
            </w:pPr>
            <w:r w:rsidRPr="008F4EA9">
              <w:rPr>
                <w:sz w:val="21"/>
                <w:szCs w:val="21"/>
              </w:rPr>
              <w:t>Yes*</w:t>
            </w:r>
          </w:p>
        </w:tc>
        <w:tc>
          <w:tcPr>
            <w:tcW w:w="1275" w:type="dxa"/>
          </w:tcPr>
          <w:p w14:paraId="29413F2C" w14:textId="77777777" w:rsidR="00463F43" w:rsidRPr="008F4EA9" w:rsidRDefault="00463F43" w:rsidP="00CD3CD0">
            <w:pPr>
              <w:jc w:val="center"/>
              <w:rPr>
                <w:sz w:val="21"/>
                <w:szCs w:val="21"/>
              </w:rPr>
            </w:pPr>
            <w:r w:rsidRPr="008F4EA9">
              <w:rPr>
                <w:sz w:val="21"/>
                <w:szCs w:val="21"/>
              </w:rPr>
              <w:t>Blood</w:t>
            </w:r>
          </w:p>
        </w:tc>
        <w:tc>
          <w:tcPr>
            <w:tcW w:w="1560" w:type="dxa"/>
          </w:tcPr>
          <w:p w14:paraId="472140E4" w14:textId="77777777" w:rsidR="00463F43" w:rsidRPr="008F4EA9" w:rsidRDefault="00463F43" w:rsidP="00CD3CD0">
            <w:pPr>
              <w:rPr>
                <w:sz w:val="21"/>
                <w:szCs w:val="21"/>
              </w:rPr>
            </w:pPr>
            <w:r w:rsidRPr="008F4EA9">
              <w:rPr>
                <w:sz w:val="21"/>
                <w:szCs w:val="21"/>
              </w:rPr>
              <w:t>18-35 years</w:t>
            </w:r>
          </w:p>
          <w:p w14:paraId="61C356B9" w14:textId="77777777" w:rsidR="00463F43" w:rsidRPr="008F4EA9" w:rsidRDefault="00463F43" w:rsidP="00CD3CD0">
            <w:pPr>
              <w:rPr>
                <w:sz w:val="21"/>
                <w:szCs w:val="21"/>
              </w:rPr>
            </w:pPr>
            <w:r w:rsidRPr="008F4EA9">
              <w:rPr>
                <w:sz w:val="21"/>
                <w:szCs w:val="21"/>
              </w:rPr>
              <w:t>(based on social media posts during pilot)</w:t>
            </w:r>
          </w:p>
        </w:tc>
        <w:tc>
          <w:tcPr>
            <w:tcW w:w="1275" w:type="dxa"/>
            <w:vMerge/>
          </w:tcPr>
          <w:p w14:paraId="1DE2E6A1" w14:textId="77777777" w:rsidR="00463F43" w:rsidRPr="008F4EA9" w:rsidRDefault="00463F43" w:rsidP="00CD3CD0">
            <w:pPr>
              <w:rPr>
                <w:sz w:val="21"/>
                <w:szCs w:val="21"/>
              </w:rPr>
            </w:pPr>
          </w:p>
        </w:tc>
      </w:tr>
      <w:tr w:rsidR="00463F43" w:rsidRPr="008F4EA9" w14:paraId="3FE22E50" w14:textId="77777777" w:rsidTr="00CD3CD0">
        <w:tc>
          <w:tcPr>
            <w:tcW w:w="1135" w:type="dxa"/>
            <w:vMerge w:val="restart"/>
          </w:tcPr>
          <w:p w14:paraId="046BABD0" w14:textId="77777777" w:rsidR="00463F43" w:rsidRPr="008F4EA9" w:rsidRDefault="00463F43" w:rsidP="00CD3CD0">
            <w:pPr>
              <w:rPr>
                <w:sz w:val="21"/>
                <w:szCs w:val="21"/>
              </w:rPr>
            </w:pPr>
            <w:r w:rsidRPr="008F4EA9">
              <w:rPr>
                <w:sz w:val="21"/>
                <w:szCs w:val="21"/>
              </w:rPr>
              <w:t>United Kingdom</w:t>
            </w:r>
          </w:p>
        </w:tc>
        <w:tc>
          <w:tcPr>
            <w:tcW w:w="1701" w:type="dxa"/>
          </w:tcPr>
          <w:p w14:paraId="31AAEB3C" w14:textId="77777777" w:rsidR="00463F43" w:rsidRPr="008F4EA9" w:rsidRDefault="00000000" w:rsidP="00CD3CD0">
            <w:pPr>
              <w:rPr>
                <w:sz w:val="21"/>
                <w:szCs w:val="21"/>
              </w:rPr>
            </w:pPr>
            <w:hyperlink r:id="rId19" w:history="1">
              <w:r w:rsidR="00463F43" w:rsidRPr="008F4EA9">
                <w:rPr>
                  <w:sz w:val="21"/>
                  <w:szCs w:val="21"/>
                  <w:u w:val="single"/>
                </w:rPr>
                <w:t>Anthony Nolan</w:t>
              </w:r>
            </w:hyperlink>
            <w:bookmarkStart w:id="34" w:name="_Ref113444737"/>
            <w:r w:rsidR="00463F43" w:rsidRPr="008F4EA9">
              <w:rPr>
                <w:sz w:val="21"/>
                <w:szCs w:val="21"/>
                <w:u w:val="single"/>
                <w:vertAlign w:val="superscript"/>
              </w:rPr>
              <w:footnoteReference w:id="29"/>
            </w:r>
            <w:bookmarkEnd w:id="34"/>
          </w:p>
        </w:tc>
        <w:tc>
          <w:tcPr>
            <w:tcW w:w="1559" w:type="dxa"/>
          </w:tcPr>
          <w:p w14:paraId="050F17C5" w14:textId="77777777" w:rsidR="00463F43" w:rsidRPr="008F4EA9" w:rsidRDefault="00463F43" w:rsidP="00CD3CD0">
            <w:pPr>
              <w:rPr>
                <w:sz w:val="21"/>
                <w:szCs w:val="21"/>
              </w:rPr>
            </w:pPr>
            <w:r w:rsidRPr="008F4EA9">
              <w:rPr>
                <w:sz w:val="21"/>
                <w:szCs w:val="21"/>
              </w:rPr>
              <w:t xml:space="preserve">Swab </w:t>
            </w:r>
          </w:p>
          <w:p w14:paraId="2F0F922C" w14:textId="77777777" w:rsidR="00463F43" w:rsidRPr="008F4EA9" w:rsidRDefault="00463F43" w:rsidP="00CD3CD0">
            <w:pPr>
              <w:rPr>
                <w:sz w:val="21"/>
                <w:szCs w:val="21"/>
              </w:rPr>
            </w:pPr>
            <w:r w:rsidRPr="008F4EA9">
              <w:rPr>
                <w:sz w:val="21"/>
                <w:szCs w:val="21"/>
              </w:rPr>
              <w:t>(2 swabs for HLA</w:t>
            </w:r>
            <w:r w:rsidRPr="008F4EA9">
              <w:rPr>
                <w:sz w:val="21"/>
                <w:szCs w:val="21"/>
                <w:vertAlign w:val="superscript"/>
              </w:rPr>
              <w:footnoteReference w:id="30"/>
            </w:r>
            <w:r w:rsidRPr="008F4EA9">
              <w:rPr>
                <w:sz w:val="21"/>
                <w:szCs w:val="21"/>
              </w:rPr>
              <w:t>)</w:t>
            </w:r>
          </w:p>
        </w:tc>
        <w:tc>
          <w:tcPr>
            <w:tcW w:w="2126" w:type="dxa"/>
          </w:tcPr>
          <w:p w14:paraId="03675EE8" w14:textId="77777777" w:rsidR="00463F43" w:rsidRPr="008F4EA9" w:rsidRDefault="00463F43" w:rsidP="00CD3CD0">
            <w:pPr>
              <w:rPr>
                <w:sz w:val="21"/>
                <w:szCs w:val="21"/>
              </w:rPr>
            </w:pPr>
            <w:r w:rsidRPr="008F4EA9">
              <w:rPr>
                <w:sz w:val="21"/>
                <w:szCs w:val="21"/>
              </w:rPr>
              <w:t>Allelic level typing at 9 loci (HLA- A, HLA-B, HLA-C, DRB1, DRB3/4/5, DQB1 and DPB1) with additional results for DQA1 and DPA1, where possible.</w:t>
            </w:r>
          </w:p>
        </w:tc>
        <w:tc>
          <w:tcPr>
            <w:tcW w:w="1985" w:type="dxa"/>
          </w:tcPr>
          <w:p w14:paraId="2FB0913F" w14:textId="77777777" w:rsidR="00463F43" w:rsidRPr="008F4EA9" w:rsidRDefault="00463F43" w:rsidP="00CD3CD0">
            <w:pPr>
              <w:rPr>
                <w:sz w:val="21"/>
                <w:szCs w:val="21"/>
              </w:rPr>
            </w:pPr>
            <w:r w:rsidRPr="008F4EA9">
              <w:rPr>
                <w:sz w:val="21"/>
                <w:szCs w:val="21"/>
              </w:rPr>
              <w:t>Capability for 11 loci</w:t>
            </w:r>
          </w:p>
        </w:tc>
        <w:tc>
          <w:tcPr>
            <w:tcW w:w="850" w:type="dxa"/>
          </w:tcPr>
          <w:p w14:paraId="23C0E2BF" w14:textId="77777777" w:rsidR="00463F43" w:rsidRPr="008F4EA9" w:rsidRDefault="00463F43" w:rsidP="00CD3CD0">
            <w:pPr>
              <w:jc w:val="center"/>
              <w:rPr>
                <w:sz w:val="21"/>
                <w:szCs w:val="21"/>
              </w:rPr>
            </w:pPr>
            <w:r w:rsidRPr="008F4EA9">
              <w:rPr>
                <w:sz w:val="21"/>
                <w:szCs w:val="21"/>
              </w:rPr>
              <w:t>Yes</w:t>
            </w:r>
          </w:p>
        </w:tc>
        <w:tc>
          <w:tcPr>
            <w:tcW w:w="1134" w:type="dxa"/>
          </w:tcPr>
          <w:p w14:paraId="39C79074" w14:textId="77777777" w:rsidR="00463F43" w:rsidRPr="008F4EA9" w:rsidRDefault="00463F43" w:rsidP="00CD3CD0">
            <w:pPr>
              <w:jc w:val="center"/>
              <w:rPr>
                <w:sz w:val="21"/>
                <w:szCs w:val="21"/>
              </w:rPr>
            </w:pPr>
            <w:r w:rsidRPr="008F4EA9">
              <w:rPr>
                <w:sz w:val="21"/>
                <w:szCs w:val="21"/>
              </w:rPr>
              <w:t>Yes</w:t>
            </w:r>
          </w:p>
        </w:tc>
        <w:tc>
          <w:tcPr>
            <w:tcW w:w="1135" w:type="dxa"/>
          </w:tcPr>
          <w:p w14:paraId="37FD8E87" w14:textId="77777777" w:rsidR="00463F43" w:rsidRPr="008F4EA9" w:rsidRDefault="00463F43" w:rsidP="00CD3CD0">
            <w:pPr>
              <w:jc w:val="center"/>
              <w:rPr>
                <w:sz w:val="21"/>
                <w:szCs w:val="21"/>
              </w:rPr>
            </w:pPr>
            <w:r w:rsidRPr="008F4EA9">
              <w:rPr>
                <w:sz w:val="21"/>
                <w:szCs w:val="21"/>
              </w:rPr>
              <w:t>Yes</w:t>
            </w:r>
          </w:p>
        </w:tc>
        <w:tc>
          <w:tcPr>
            <w:tcW w:w="1275" w:type="dxa"/>
          </w:tcPr>
          <w:p w14:paraId="1551A976" w14:textId="77777777" w:rsidR="00463F43" w:rsidRPr="008F4EA9" w:rsidRDefault="00463F43" w:rsidP="00CD3CD0">
            <w:pPr>
              <w:jc w:val="center"/>
              <w:rPr>
                <w:sz w:val="21"/>
                <w:szCs w:val="21"/>
              </w:rPr>
            </w:pPr>
            <w:r w:rsidRPr="008F4EA9">
              <w:rPr>
                <w:sz w:val="21"/>
                <w:szCs w:val="21"/>
              </w:rPr>
              <w:t>unknown</w:t>
            </w:r>
          </w:p>
        </w:tc>
        <w:tc>
          <w:tcPr>
            <w:tcW w:w="1560" w:type="dxa"/>
          </w:tcPr>
          <w:p w14:paraId="78DED43A" w14:textId="77777777" w:rsidR="00463F43" w:rsidRPr="008F4EA9" w:rsidRDefault="00463F43" w:rsidP="00CD3CD0">
            <w:pPr>
              <w:rPr>
                <w:sz w:val="21"/>
                <w:szCs w:val="21"/>
              </w:rPr>
            </w:pPr>
            <w:r w:rsidRPr="008F4EA9">
              <w:rPr>
                <w:sz w:val="21"/>
                <w:szCs w:val="21"/>
              </w:rPr>
              <w:t>Must be 16-30 years</w:t>
            </w:r>
          </w:p>
        </w:tc>
        <w:tc>
          <w:tcPr>
            <w:tcW w:w="1275" w:type="dxa"/>
          </w:tcPr>
          <w:p w14:paraId="1780B666" w14:textId="77777777" w:rsidR="00463F43" w:rsidRPr="008F4EA9" w:rsidRDefault="00463F43" w:rsidP="00CD3CD0">
            <w:pPr>
              <w:rPr>
                <w:sz w:val="21"/>
                <w:szCs w:val="21"/>
              </w:rPr>
            </w:pPr>
            <w:r w:rsidRPr="008F4EA9">
              <w:rPr>
                <w:sz w:val="21"/>
                <w:szCs w:val="21"/>
              </w:rPr>
              <w:t>Until 61 years old</w:t>
            </w:r>
          </w:p>
        </w:tc>
      </w:tr>
      <w:tr w:rsidR="00463F43" w:rsidRPr="008F4EA9" w14:paraId="1A7269D2" w14:textId="77777777" w:rsidTr="00CD3CD0">
        <w:tc>
          <w:tcPr>
            <w:tcW w:w="1135" w:type="dxa"/>
            <w:vMerge/>
          </w:tcPr>
          <w:p w14:paraId="631782EF" w14:textId="77777777" w:rsidR="00463F43" w:rsidRPr="008F4EA9" w:rsidRDefault="00463F43" w:rsidP="00CD3CD0">
            <w:pPr>
              <w:rPr>
                <w:sz w:val="21"/>
                <w:szCs w:val="21"/>
              </w:rPr>
            </w:pPr>
          </w:p>
        </w:tc>
        <w:tc>
          <w:tcPr>
            <w:tcW w:w="1701" w:type="dxa"/>
          </w:tcPr>
          <w:p w14:paraId="1806FCCB" w14:textId="77777777" w:rsidR="00463F43" w:rsidRPr="008F4EA9" w:rsidRDefault="00000000" w:rsidP="00CD3CD0">
            <w:pPr>
              <w:rPr>
                <w:sz w:val="21"/>
                <w:szCs w:val="21"/>
              </w:rPr>
            </w:pPr>
            <w:hyperlink r:id="rId20" w:history="1">
              <w:r w:rsidR="00463F43" w:rsidRPr="008F4EA9">
                <w:rPr>
                  <w:sz w:val="21"/>
                  <w:szCs w:val="21"/>
                  <w:u w:val="single"/>
                </w:rPr>
                <w:t>British Bone Marrow Registry</w:t>
              </w:r>
            </w:hyperlink>
          </w:p>
          <w:p w14:paraId="5F1CB5C9" w14:textId="77777777" w:rsidR="00463F43" w:rsidRPr="008F4EA9" w:rsidRDefault="00463F43" w:rsidP="00CD3CD0">
            <w:pPr>
              <w:rPr>
                <w:sz w:val="21"/>
                <w:szCs w:val="21"/>
              </w:rPr>
            </w:pPr>
            <w:r w:rsidRPr="008F4EA9">
              <w:rPr>
                <w:sz w:val="21"/>
                <w:szCs w:val="21"/>
              </w:rPr>
              <w:t>Recruitment from UK blood donors</w:t>
            </w:r>
          </w:p>
        </w:tc>
        <w:tc>
          <w:tcPr>
            <w:tcW w:w="1559" w:type="dxa"/>
          </w:tcPr>
          <w:p w14:paraId="6B76C924" w14:textId="77777777" w:rsidR="00463F43" w:rsidRPr="008F4EA9" w:rsidRDefault="00463F43" w:rsidP="00CD3CD0">
            <w:pPr>
              <w:rPr>
                <w:sz w:val="21"/>
                <w:szCs w:val="21"/>
              </w:rPr>
            </w:pPr>
            <w:r w:rsidRPr="008F4EA9">
              <w:rPr>
                <w:sz w:val="21"/>
                <w:szCs w:val="21"/>
              </w:rPr>
              <w:t>Blood sample</w:t>
            </w:r>
          </w:p>
        </w:tc>
        <w:tc>
          <w:tcPr>
            <w:tcW w:w="2126" w:type="dxa"/>
          </w:tcPr>
          <w:p w14:paraId="470F6436" w14:textId="77777777" w:rsidR="00463F43" w:rsidRPr="008F4EA9" w:rsidRDefault="00463F43" w:rsidP="00CD3CD0">
            <w:pPr>
              <w:rPr>
                <w:sz w:val="21"/>
                <w:szCs w:val="21"/>
              </w:rPr>
            </w:pPr>
            <w:r w:rsidRPr="008F4EA9">
              <w:rPr>
                <w:sz w:val="21"/>
                <w:szCs w:val="21"/>
              </w:rPr>
              <w:t>High resolution typing using NGS since 2015/16</w:t>
            </w:r>
            <w:r w:rsidRPr="008F4EA9">
              <w:rPr>
                <w:sz w:val="21"/>
                <w:szCs w:val="21"/>
                <w:vertAlign w:val="superscript"/>
              </w:rPr>
              <w:footnoteReference w:id="31"/>
            </w:r>
          </w:p>
        </w:tc>
        <w:tc>
          <w:tcPr>
            <w:tcW w:w="1985" w:type="dxa"/>
          </w:tcPr>
          <w:p w14:paraId="34844874" w14:textId="77777777" w:rsidR="00463F43" w:rsidRPr="008F4EA9" w:rsidRDefault="00463F43" w:rsidP="00CD3CD0">
            <w:pPr>
              <w:rPr>
                <w:sz w:val="21"/>
                <w:szCs w:val="21"/>
              </w:rPr>
            </w:pPr>
            <w:r w:rsidRPr="008F4EA9">
              <w:rPr>
                <w:sz w:val="21"/>
                <w:szCs w:val="21"/>
              </w:rPr>
              <w:t>Expect capability matches Anthony Nolan</w:t>
            </w:r>
          </w:p>
        </w:tc>
        <w:tc>
          <w:tcPr>
            <w:tcW w:w="850" w:type="dxa"/>
          </w:tcPr>
          <w:p w14:paraId="51DC6600" w14:textId="77777777" w:rsidR="00463F43" w:rsidRPr="008F4EA9" w:rsidRDefault="00463F43" w:rsidP="00CD3CD0">
            <w:pPr>
              <w:jc w:val="center"/>
              <w:rPr>
                <w:sz w:val="21"/>
                <w:szCs w:val="21"/>
              </w:rPr>
            </w:pPr>
            <w:r w:rsidRPr="008F4EA9">
              <w:rPr>
                <w:sz w:val="21"/>
                <w:szCs w:val="21"/>
              </w:rPr>
              <w:t>Yes</w:t>
            </w:r>
          </w:p>
        </w:tc>
        <w:tc>
          <w:tcPr>
            <w:tcW w:w="1134" w:type="dxa"/>
          </w:tcPr>
          <w:p w14:paraId="0F42025E" w14:textId="77777777" w:rsidR="00463F43" w:rsidRPr="008F4EA9" w:rsidRDefault="00463F43" w:rsidP="00CD3CD0">
            <w:pPr>
              <w:jc w:val="center"/>
              <w:rPr>
                <w:sz w:val="21"/>
                <w:szCs w:val="21"/>
              </w:rPr>
            </w:pPr>
            <w:r w:rsidRPr="008F4EA9">
              <w:rPr>
                <w:sz w:val="21"/>
                <w:szCs w:val="21"/>
              </w:rPr>
              <w:t>Yes</w:t>
            </w:r>
          </w:p>
        </w:tc>
        <w:tc>
          <w:tcPr>
            <w:tcW w:w="1135" w:type="dxa"/>
          </w:tcPr>
          <w:p w14:paraId="726186FE" w14:textId="77777777" w:rsidR="00463F43" w:rsidRPr="008F4EA9" w:rsidRDefault="00463F43" w:rsidP="00CD3CD0">
            <w:pPr>
              <w:jc w:val="center"/>
              <w:rPr>
                <w:sz w:val="21"/>
                <w:szCs w:val="21"/>
              </w:rPr>
            </w:pPr>
            <w:r w:rsidRPr="008F4EA9">
              <w:rPr>
                <w:sz w:val="21"/>
                <w:szCs w:val="21"/>
              </w:rPr>
              <w:t>Yes</w:t>
            </w:r>
          </w:p>
        </w:tc>
        <w:tc>
          <w:tcPr>
            <w:tcW w:w="1275" w:type="dxa"/>
          </w:tcPr>
          <w:p w14:paraId="2284BCFB" w14:textId="77777777" w:rsidR="00463F43" w:rsidRPr="008F4EA9" w:rsidRDefault="00463F43" w:rsidP="00CD3CD0">
            <w:pPr>
              <w:jc w:val="center"/>
              <w:rPr>
                <w:sz w:val="21"/>
                <w:szCs w:val="21"/>
              </w:rPr>
            </w:pPr>
            <w:r w:rsidRPr="008F4EA9">
              <w:rPr>
                <w:sz w:val="21"/>
                <w:szCs w:val="21"/>
              </w:rPr>
              <w:t>Blood</w:t>
            </w:r>
          </w:p>
        </w:tc>
        <w:tc>
          <w:tcPr>
            <w:tcW w:w="1560" w:type="dxa"/>
          </w:tcPr>
          <w:p w14:paraId="5952A2A7" w14:textId="77777777" w:rsidR="00463F43" w:rsidRPr="008F4EA9" w:rsidRDefault="00463F43" w:rsidP="00CD3CD0">
            <w:pPr>
              <w:rPr>
                <w:sz w:val="21"/>
                <w:szCs w:val="21"/>
              </w:rPr>
            </w:pPr>
            <w:r w:rsidRPr="008F4EA9">
              <w:rPr>
                <w:sz w:val="21"/>
                <w:szCs w:val="21"/>
              </w:rPr>
              <w:t>17-40 years</w:t>
            </w:r>
          </w:p>
        </w:tc>
        <w:tc>
          <w:tcPr>
            <w:tcW w:w="1275" w:type="dxa"/>
          </w:tcPr>
          <w:p w14:paraId="5236C6B8" w14:textId="77777777" w:rsidR="00463F43" w:rsidRPr="008F4EA9" w:rsidRDefault="00463F43" w:rsidP="00CD3CD0">
            <w:pPr>
              <w:rPr>
                <w:sz w:val="21"/>
                <w:szCs w:val="21"/>
              </w:rPr>
            </w:pPr>
            <w:r w:rsidRPr="008F4EA9">
              <w:rPr>
                <w:sz w:val="21"/>
                <w:szCs w:val="21"/>
              </w:rPr>
              <w:t>60 years</w:t>
            </w:r>
          </w:p>
        </w:tc>
      </w:tr>
      <w:tr w:rsidR="00463F43" w:rsidRPr="008F4EA9" w14:paraId="5CA6DE68" w14:textId="77777777" w:rsidTr="00CD3CD0">
        <w:trPr>
          <w:trHeight w:val="1305"/>
        </w:trPr>
        <w:tc>
          <w:tcPr>
            <w:tcW w:w="1135" w:type="dxa"/>
          </w:tcPr>
          <w:p w14:paraId="32526320" w14:textId="77777777" w:rsidR="00463F43" w:rsidRPr="008F4EA9" w:rsidRDefault="00463F43" w:rsidP="00CD3CD0">
            <w:pPr>
              <w:rPr>
                <w:sz w:val="21"/>
                <w:szCs w:val="21"/>
              </w:rPr>
            </w:pPr>
            <w:r w:rsidRPr="008F4EA9">
              <w:rPr>
                <w:sz w:val="21"/>
                <w:szCs w:val="21"/>
              </w:rPr>
              <w:t>Singapore</w:t>
            </w:r>
          </w:p>
        </w:tc>
        <w:tc>
          <w:tcPr>
            <w:tcW w:w="1701" w:type="dxa"/>
          </w:tcPr>
          <w:p w14:paraId="1DB18131" w14:textId="13952676" w:rsidR="00463F43" w:rsidRPr="008F4EA9" w:rsidRDefault="00000000" w:rsidP="00CD3CD0">
            <w:pPr>
              <w:rPr>
                <w:sz w:val="21"/>
                <w:szCs w:val="21"/>
              </w:rPr>
            </w:pPr>
            <w:hyperlink r:id="rId21" w:history="1">
              <w:r w:rsidR="00463F43" w:rsidRPr="008F4EA9">
                <w:rPr>
                  <w:sz w:val="21"/>
                  <w:szCs w:val="21"/>
                  <w:u w:val="single"/>
                </w:rPr>
                <w:t>Bone Marrow Donor P</w:t>
              </w:r>
            </w:hyperlink>
            <w:r w:rsidR="00463F43" w:rsidRPr="008F4EA9">
              <w:rPr>
                <w:sz w:val="21"/>
                <w:szCs w:val="21"/>
                <w:u w:val="single"/>
              </w:rPr>
              <w:t>rogramme (BMDP)</w:t>
            </w:r>
            <w:r w:rsidR="00463F43" w:rsidRPr="008F4EA9">
              <w:rPr>
                <w:sz w:val="21"/>
                <w:szCs w:val="21"/>
                <w:u w:val="single"/>
                <w:vertAlign w:val="superscript"/>
              </w:rPr>
              <w:fldChar w:fldCharType="begin"/>
            </w:r>
            <w:r w:rsidR="00463F43" w:rsidRPr="008F4EA9">
              <w:rPr>
                <w:sz w:val="21"/>
                <w:szCs w:val="21"/>
                <w:u w:val="single"/>
                <w:vertAlign w:val="superscript"/>
              </w:rPr>
              <w:instrText xml:space="preserve"> NOTEREF _Ref113444737 \h  \* MERGEFORMAT </w:instrText>
            </w:r>
            <w:r w:rsidR="00463F43" w:rsidRPr="008F4EA9">
              <w:rPr>
                <w:sz w:val="21"/>
                <w:szCs w:val="21"/>
                <w:u w:val="single"/>
                <w:vertAlign w:val="superscript"/>
              </w:rPr>
            </w:r>
            <w:r w:rsidR="00463F43" w:rsidRPr="008F4EA9">
              <w:rPr>
                <w:sz w:val="21"/>
                <w:szCs w:val="21"/>
                <w:u w:val="single"/>
                <w:vertAlign w:val="superscript"/>
              </w:rPr>
              <w:fldChar w:fldCharType="separate"/>
            </w:r>
            <w:r w:rsidR="00EC7D71">
              <w:rPr>
                <w:sz w:val="21"/>
                <w:szCs w:val="21"/>
                <w:u w:val="single"/>
                <w:vertAlign w:val="superscript"/>
              </w:rPr>
              <w:t>29</w:t>
            </w:r>
            <w:r w:rsidR="00463F43" w:rsidRPr="008F4EA9">
              <w:rPr>
                <w:sz w:val="21"/>
                <w:szCs w:val="21"/>
                <w:u w:val="single"/>
                <w:vertAlign w:val="superscript"/>
              </w:rPr>
              <w:fldChar w:fldCharType="end"/>
            </w:r>
          </w:p>
        </w:tc>
        <w:tc>
          <w:tcPr>
            <w:tcW w:w="1559" w:type="dxa"/>
          </w:tcPr>
          <w:p w14:paraId="3DB601FA" w14:textId="77777777" w:rsidR="00463F43" w:rsidRPr="008F4EA9" w:rsidRDefault="00463F43" w:rsidP="00CD3CD0">
            <w:pPr>
              <w:rPr>
                <w:sz w:val="21"/>
                <w:szCs w:val="21"/>
              </w:rPr>
            </w:pPr>
            <w:r w:rsidRPr="008F4EA9">
              <w:rPr>
                <w:sz w:val="21"/>
                <w:szCs w:val="21"/>
              </w:rPr>
              <w:t>Swabs</w:t>
            </w:r>
          </w:p>
        </w:tc>
        <w:tc>
          <w:tcPr>
            <w:tcW w:w="2126" w:type="dxa"/>
            <w:shd w:val="clear" w:color="auto" w:fill="auto"/>
          </w:tcPr>
          <w:p w14:paraId="0A76B11C" w14:textId="77777777" w:rsidR="00463F43" w:rsidRPr="008F4EA9" w:rsidRDefault="00463F43" w:rsidP="00CD3CD0">
            <w:pPr>
              <w:rPr>
                <w:sz w:val="21"/>
                <w:szCs w:val="21"/>
              </w:rPr>
            </w:pPr>
          </w:p>
        </w:tc>
        <w:tc>
          <w:tcPr>
            <w:tcW w:w="1985" w:type="dxa"/>
            <w:shd w:val="clear" w:color="auto" w:fill="auto"/>
          </w:tcPr>
          <w:p w14:paraId="0675381F" w14:textId="77777777" w:rsidR="00463F43" w:rsidRPr="008F4EA9" w:rsidRDefault="00463F43" w:rsidP="00CD3CD0">
            <w:pPr>
              <w:rPr>
                <w:sz w:val="21"/>
                <w:szCs w:val="21"/>
                <w:highlight w:val="yellow"/>
              </w:rPr>
            </w:pPr>
          </w:p>
        </w:tc>
        <w:tc>
          <w:tcPr>
            <w:tcW w:w="850" w:type="dxa"/>
            <w:shd w:val="clear" w:color="auto" w:fill="auto"/>
          </w:tcPr>
          <w:p w14:paraId="59F6B289" w14:textId="77777777" w:rsidR="00463F43" w:rsidRPr="008F4EA9" w:rsidRDefault="00463F43" w:rsidP="00CD3CD0">
            <w:pPr>
              <w:jc w:val="center"/>
              <w:rPr>
                <w:sz w:val="21"/>
                <w:szCs w:val="21"/>
              </w:rPr>
            </w:pPr>
            <w:r w:rsidRPr="008F4EA9">
              <w:rPr>
                <w:sz w:val="21"/>
                <w:szCs w:val="21"/>
              </w:rPr>
              <w:t>Yes</w:t>
            </w:r>
          </w:p>
        </w:tc>
        <w:tc>
          <w:tcPr>
            <w:tcW w:w="1134" w:type="dxa"/>
            <w:shd w:val="clear" w:color="auto" w:fill="auto"/>
          </w:tcPr>
          <w:p w14:paraId="682C113A" w14:textId="77777777" w:rsidR="00463F43" w:rsidRPr="008F4EA9" w:rsidRDefault="00463F43" w:rsidP="00CD3CD0">
            <w:pPr>
              <w:jc w:val="center"/>
              <w:rPr>
                <w:sz w:val="21"/>
                <w:szCs w:val="21"/>
              </w:rPr>
            </w:pPr>
            <w:r w:rsidRPr="008F4EA9">
              <w:rPr>
                <w:sz w:val="21"/>
                <w:szCs w:val="21"/>
              </w:rPr>
              <w:t>unknown</w:t>
            </w:r>
          </w:p>
        </w:tc>
        <w:tc>
          <w:tcPr>
            <w:tcW w:w="1135" w:type="dxa"/>
            <w:shd w:val="clear" w:color="auto" w:fill="auto"/>
          </w:tcPr>
          <w:p w14:paraId="7D9DC7A4" w14:textId="77777777" w:rsidR="00463F43" w:rsidRPr="008F4EA9" w:rsidRDefault="00463F43" w:rsidP="00CD3CD0">
            <w:pPr>
              <w:jc w:val="center"/>
              <w:rPr>
                <w:sz w:val="21"/>
                <w:szCs w:val="21"/>
              </w:rPr>
            </w:pPr>
            <w:r w:rsidRPr="008F4EA9">
              <w:rPr>
                <w:sz w:val="21"/>
                <w:szCs w:val="21"/>
              </w:rPr>
              <w:t>unknown</w:t>
            </w:r>
          </w:p>
        </w:tc>
        <w:tc>
          <w:tcPr>
            <w:tcW w:w="1275" w:type="dxa"/>
            <w:shd w:val="clear" w:color="auto" w:fill="auto"/>
          </w:tcPr>
          <w:p w14:paraId="2900DC29" w14:textId="77777777" w:rsidR="00463F43" w:rsidRPr="008F4EA9" w:rsidRDefault="00463F43" w:rsidP="00CD3CD0">
            <w:pPr>
              <w:jc w:val="center"/>
              <w:rPr>
                <w:sz w:val="21"/>
                <w:szCs w:val="21"/>
              </w:rPr>
            </w:pPr>
            <w:r w:rsidRPr="008F4EA9">
              <w:rPr>
                <w:sz w:val="21"/>
                <w:szCs w:val="21"/>
              </w:rPr>
              <w:t>Blood</w:t>
            </w:r>
          </w:p>
        </w:tc>
        <w:tc>
          <w:tcPr>
            <w:tcW w:w="1560" w:type="dxa"/>
            <w:shd w:val="clear" w:color="auto" w:fill="auto"/>
          </w:tcPr>
          <w:p w14:paraId="210AD4DB" w14:textId="77777777" w:rsidR="00463F43" w:rsidRPr="008F4EA9" w:rsidRDefault="00463F43" w:rsidP="00CD3CD0">
            <w:pPr>
              <w:rPr>
                <w:sz w:val="21"/>
                <w:szCs w:val="21"/>
              </w:rPr>
            </w:pPr>
            <w:r w:rsidRPr="008F4EA9">
              <w:rPr>
                <w:sz w:val="21"/>
                <w:szCs w:val="21"/>
              </w:rPr>
              <w:t>Must be 18-49 years</w:t>
            </w:r>
          </w:p>
        </w:tc>
        <w:tc>
          <w:tcPr>
            <w:tcW w:w="1275" w:type="dxa"/>
            <w:shd w:val="clear" w:color="auto" w:fill="auto"/>
          </w:tcPr>
          <w:p w14:paraId="3794A5BC" w14:textId="77777777" w:rsidR="00463F43" w:rsidRPr="008F4EA9" w:rsidRDefault="00463F43" w:rsidP="00CD3CD0">
            <w:pPr>
              <w:rPr>
                <w:sz w:val="21"/>
                <w:szCs w:val="21"/>
              </w:rPr>
            </w:pPr>
            <w:r w:rsidRPr="008F4EA9">
              <w:rPr>
                <w:sz w:val="21"/>
                <w:szCs w:val="21"/>
              </w:rPr>
              <w:t xml:space="preserve"> Until 60 years old</w:t>
            </w:r>
          </w:p>
        </w:tc>
      </w:tr>
      <w:tr w:rsidR="00463F43" w:rsidRPr="008F4EA9" w14:paraId="77F625EE" w14:textId="77777777" w:rsidTr="00CD3CD0">
        <w:trPr>
          <w:trHeight w:val="1533"/>
        </w:trPr>
        <w:tc>
          <w:tcPr>
            <w:tcW w:w="1135" w:type="dxa"/>
            <w:vMerge w:val="restart"/>
          </w:tcPr>
          <w:p w14:paraId="08AF3611" w14:textId="77777777" w:rsidR="00463F43" w:rsidRPr="008F4EA9" w:rsidRDefault="00463F43" w:rsidP="00CD3CD0">
            <w:pPr>
              <w:rPr>
                <w:sz w:val="21"/>
                <w:szCs w:val="21"/>
              </w:rPr>
            </w:pPr>
            <w:r w:rsidRPr="008F4EA9">
              <w:rPr>
                <w:sz w:val="21"/>
                <w:szCs w:val="21"/>
              </w:rPr>
              <w:t>United States</w:t>
            </w:r>
          </w:p>
          <w:p w14:paraId="44B9EE6F" w14:textId="77777777" w:rsidR="00463F43" w:rsidRPr="008F4EA9" w:rsidRDefault="00463F43" w:rsidP="00CD3CD0">
            <w:pPr>
              <w:rPr>
                <w:sz w:val="21"/>
                <w:szCs w:val="21"/>
              </w:rPr>
            </w:pPr>
          </w:p>
        </w:tc>
        <w:tc>
          <w:tcPr>
            <w:tcW w:w="1701" w:type="dxa"/>
          </w:tcPr>
          <w:p w14:paraId="2BFD045F" w14:textId="77777777" w:rsidR="00463F43" w:rsidRPr="008F4EA9" w:rsidRDefault="00463F43" w:rsidP="00CD3CD0">
            <w:pPr>
              <w:rPr>
                <w:sz w:val="21"/>
                <w:szCs w:val="21"/>
              </w:rPr>
            </w:pPr>
            <w:r w:rsidRPr="008F4EA9">
              <w:rPr>
                <w:sz w:val="21"/>
                <w:szCs w:val="21"/>
              </w:rPr>
              <w:t xml:space="preserve">National Marrow Donor Program (NMDP) operates through </w:t>
            </w:r>
            <w:hyperlink r:id="rId22" w:history="1">
              <w:r w:rsidRPr="004C39F6">
                <w:rPr>
                  <w:sz w:val="21"/>
                  <w:szCs w:val="21"/>
                </w:rPr>
                <w:t>Be The Match</w:t>
              </w:r>
            </w:hyperlink>
            <w:r w:rsidRPr="004C39F6">
              <w:rPr>
                <w:sz w:val="21"/>
                <w:szCs w:val="21"/>
                <w:vertAlign w:val="superscript"/>
              </w:rPr>
              <w:t>25</w:t>
            </w:r>
          </w:p>
        </w:tc>
        <w:tc>
          <w:tcPr>
            <w:tcW w:w="1559" w:type="dxa"/>
          </w:tcPr>
          <w:p w14:paraId="249D8781" w14:textId="77777777" w:rsidR="00463F43" w:rsidRPr="008F4EA9" w:rsidRDefault="00463F43" w:rsidP="00CD3CD0">
            <w:pPr>
              <w:rPr>
                <w:sz w:val="21"/>
                <w:szCs w:val="21"/>
              </w:rPr>
            </w:pPr>
            <w:r w:rsidRPr="008F4EA9">
              <w:rPr>
                <w:sz w:val="21"/>
                <w:szCs w:val="21"/>
              </w:rPr>
              <w:t>Nylon swabs</w:t>
            </w:r>
            <w:r>
              <w:rPr>
                <w:sz w:val="21"/>
                <w:szCs w:val="21"/>
                <w:vertAlign w:val="superscript"/>
              </w:rPr>
              <w:t>25</w:t>
            </w:r>
          </w:p>
          <w:p w14:paraId="4A643548" w14:textId="77777777" w:rsidR="00463F43" w:rsidRPr="008F4EA9" w:rsidRDefault="00463F43" w:rsidP="00CD3CD0">
            <w:pPr>
              <w:rPr>
                <w:sz w:val="21"/>
                <w:szCs w:val="21"/>
              </w:rPr>
            </w:pPr>
            <w:r w:rsidRPr="008F4EA9">
              <w:rPr>
                <w:sz w:val="21"/>
                <w:szCs w:val="21"/>
              </w:rPr>
              <w:t>2 swabs</w:t>
            </w:r>
            <w:r w:rsidRPr="008F4EA9">
              <w:rPr>
                <w:sz w:val="21"/>
                <w:szCs w:val="21"/>
                <w:vertAlign w:val="superscript"/>
              </w:rPr>
              <w:footnoteReference w:id="32"/>
            </w:r>
            <w:r w:rsidRPr="008F4EA9">
              <w:rPr>
                <w:sz w:val="21"/>
                <w:szCs w:val="21"/>
              </w:rPr>
              <w:t xml:space="preserve"> in kit</w:t>
            </w:r>
          </w:p>
          <w:p w14:paraId="015CE7B2" w14:textId="77777777" w:rsidR="00463F43" w:rsidRPr="008F4EA9" w:rsidRDefault="00463F43" w:rsidP="00CD3CD0">
            <w:pPr>
              <w:rPr>
                <w:sz w:val="21"/>
                <w:szCs w:val="21"/>
              </w:rPr>
            </w:pPr>
            <w:r w:rsidRPr="008F4EA9">
              <w:rPr>
                <w:sz w:val="21"/>
                <w:szCs w:val="21"/>
              </w:rPr>
              <w:t>Cotton swab kits from LabCorp</w:t>
            </w:r>
            <w:r w:rsidRPr="008F4EA9">
              <w:rPr>
                <w:sz w:val="21"/>
                <w:szCs w:val="21"/>
                <w:vertAlign w:val="superscript"/>
              </w:rPr>
              <w:footnoteReference w:id="33"/>
            </w:r>
          </w:p>
        </w:tc>
        <w:tc>
          <w:tcPr>
            <w:tcW w:w="2126" w:type="dxa"/>
          </w:tcPr>
          <w:p w14:paraId="643157A7" w14:textId="77777777" w:rsidR="00463F43" w:rsidRPr="008F4EA9" w:rsidRDefault="00463F43" w:rsidP="00CD3CD0">
            <w:pPr>
              <w:rPr>
                <w:sz w:val="21"/>
                <w:szCs w:val="21"/>
              </w:rPr>
            </w:pPr>
            <w:r w:rsidRPr="008F4EA9">
              <w:rPr>
                <w:sz w:val="21"/>
                <w:szCs w:val="21"/>
              </w:rPr>
              <w:t>High resolution using Next-Generation Sequencing (NGS)</w:t>
            </w:r>
          </w:p>
        </w:tc>
        <w:tc>
          <w:tcPr>
            <w:tcW w:w="1985" w:type="dxa"/>
          </w:tcPr>
          <w:p w14:paraId="53FC8027" w14:textId="77777777" w:rsidR="00463F43" w:rsidRPr="008F4EA9" w:rsidRDefault="00463F43" w:rsidP="00CD3CD0">
            <w:pPr>
              <w:rPr>
                <w:sz w:val="21"/>
                <w:szCs w:val="21"/>
              </w:rPr>
            </w:pPr>
            <w:r w:rsidRPr="008F4EA9">
              <w:rPr>
                <w:sz w:val="21"/>
                <w:szCs w:val="21"/>
              </w:rPr>
              <w:t>unknown</w:t>
            </w:r>
          </w:p>
        </w:tc>
        <w:tc>
          <w:tcPr>
            <w:tcW w:w="850" w:type="dxa"/>
          </w:tcPr>
          <w:p w14:paraId="18CD3F59" w14:textId="77777777" w:rsidR="00463F43" w:rsidRPr="008F4EA9" w:rsidRDefault="00463F43" w:rsidP="00CD3CD0">
            <w:pPr>
              <w:jc w:val="center"/>
              <w:rPr>
                <w:sz w:val="21"/>
                <w:szCs w:val="21"/>
              </w:rPr>
            </w:pPr>
            <w:r w:rsidRPr="008F4EA9">
              <w:rPr>
                <w:sz w:val="21"/>
                <w:szCs w:val="21"/>
              </w:rPr>
              <w:t>Yes</w:t>
            </w:r>
          </w:p>
        </w:tc>
        <w:tc>
          <w:tcPr>
            <w:tcW w:w="1134" w:type="dxa"/>
          </w:tcPr>
          <w:p w14:paraId="1503F162" w14:textId="77777777" w:rsidR="00463F43" w:rsidRPr="008F4EA9" w:rsidRDefault="00463F43" w:rsidP="00CD3CD0">
            <w:pPr>
              <w:jc w:val="center"/>
              <w:rPr>
                <w:sz w:val="21"/>
                <w:szCs w:val="21"/>
              </w:rPr>
            </w:pPr>
            <w:r w:rsidRPr="008F4EA9">
              <w:rPr>
                <w:sz w:val="21"/>
                <w:szCs w:val="21"/>
              </w:rPr>
              <w:t>Yes</w:t>
            </w:r>
          </w:p>
        </w:tc>
        <w:tc>
          <w:tcPr>
            <w:tcW w:w="1135" w:type="dxa"/>
          </w:tcPr>
          <w:p w14:paraId="534FEAFB" w14:textId="77777777" w:rsidR="00463F43" w:rsidRPr="008F4EA9" w:rsidRDefault="00463F43" w:rsidP="00CD3CD0">
            <w:pPr>
              <w:jc w:val="center"/>
              <w:rPr>
                <w:sz w:val="21"/>
                <w:szCs w:val="21"/>
              </w:rPr>
            </w:pPr>
            <w:r w:rsidRPr="008F4EA9">
              <w:rPr>
                <w:sz w:val="21"/>
                <w:szCs w:val="21"/>
              </w:rPr>
              <w:t>Yes</w:t>
            </w:r>
          </w:p>
        </w:tc>
        <w:tc>
          <w:tcPr>
            <w:tcW w:w="1275" w:type="dxa"/>
          </w:tcPr>
          <w:p w14:paraId="3BF689BB" w14:textId="77777777" w:rsidR="00463F43" w:rsidRPr="008F4EA9" w:rsidRDefault="00463F43" w:rsidP="00CD3CD0">
            <w:pPr>
              <w:jc w:val="center"/>
              <w:rPr>
                <w:sz w:val="21"/>
                <w:szCs w:val="21"/>
              </w:rPr>
            </w:pPr>
            <w:r w:rsidRPr="008F4EA9">
              <w:rPr>
                <w:sz w:val="21"/>
                <w:szCs w:val="21"/>
              </w:rPr>
              <w:t>Swabs</w:t>
            </w:r>
          </w:p>
        </w:tc>
        <w:tc>
          <w:tcPr>
            <w:tcW w:w="1560" w:type="dxa"/>
          </w:tcPr>
          <w:p w14:paraId="7C0EB002" w14:textId="77777777" w:rsidR="00463F43" w:rsidRPr="008F4EA9" w:rsidRDefault="00463F43" w:rsidP="00CD3CD0">
            <w:pPr>
              <w:rPr>
                <w:sz w:val="21"/>
                <w:szCs w:val="21"/>
              </w:rPr>
            </w:pPr>
            <w:r w:rsidRPr="008F4EA9">
              <w:rPr>
                <w:sz w:val="21"/>
                <w:szCs w:val="21"/>
              </w:rPr>
              <w:t>Must be 18-40 years ol</w:t>
            </w:r>
            <w:r>
              <w:rPr>
                <w:sz w:val="21"/>
                <w:szCs w:val="21"/>
              </w:rPr>
              <w:t>d</w:t>
            </w:r>
          </w:p>
        </w:tc>
        <w:tc>
          <w:tcPr>
            <w:tcW w:w="1275" w:type="dxa"/>
          </w:tcPr>
          <w:p w14:paraId="5A833E34" w14:textId="77777777" w:rsidR="00463F43" w:rsidRPr="008F4EA9" w:rsidRDefault="00463F43" w:rsidP="00CD3CD0">
            <w:pPr>
              <w:rPr>
                <w:sz w:val="21"/>
                <w:szCs w:val="21"/>
              </w:rPr>
            </w:pPr>
            <w:r w:rsidRPr="008F4EA9">
              <w:rPr>
                <w:sz w:val="21"/>
                <w:szCs w:val="21"/>
              </w:rPr>
              <w:t>61 years</w:t>
            </w:r>
            <w:r w:rsidRPr="008F4EA9">
              <w:rPr>
                <w:sz w:val="21"/>
                <w:szCs w:val="21"/>
                <w:vertAlign w:val="superscript"/>
              </w:rPr>
              <w:footnoteReference w:id="34"/>
            </w:r>
          </w:p>
        </w:tc>
      </w:tr>
      <w:tr w:rsidR="00463F43" w:rsidRPr="008F4EA9" w14:paraId="7104A044" w14:textId="77777777" w:rsidTr="00CD3CD0">
        <w:tc>
          <w:tcPr>
            <w:tcW w:w="1135" w:type="dxa"/>
            <w:vMerge/>
          </w:tcPr>
          <w:p w14:paraId="391A21E2" w14:textId="77777777" w:rsidR="00463F43" w:rsidRPr="008F4EA9" w:rsidRDefault="00463F43" w:rsidP="00CD3CD0">
            <w:pPr>
              <w:rPr>
                <w:sz w:val="21"/>
                <w:szCs w:val="21"/>
              </w:rPr>
            </w:pPr>
          </w:p>
        </w:tc>
        <w:tc>
          <w:tcPr>
            <w:tcW w:w="1701" w:type="dxa"/>
          </w:tcPr>
          <w:p w14:paraId="3A92AFD9" w14:textId="77777777" w:rsidR="00463F43" w:rsidRPr="008F4EA9" w:rsidRDefault="00000000" w:rsidP="00CD3CD0">
            <w:pPr>
              <w:rPr>
                <w:sz w:val="21"/>
                <w:szCs w:val="21"/>
              </w:rPr>
            </w:pPr>
            <w:hyperlink r:id="rId23" w:history="1">
              <w:r w:rsidR="00463F43" w:rsidRPr="008F4EA9">
                <w:rPr>
                  <w:sz w:val="21"/>
                  <w:szCs w:val="21"/>
                  <w:u w:val="single"/>
                </w:rPr>
                <w:t>Gift of Life</w:t>
              </w:r>
            </w:hyperlink>
          </w:p>
        </w:tc>
        <w:tc>
          <w:tcPr>
            <w:tcW w:w="1559" w:type="dxa"/>
          </w:tcPr>
          <w:p w14:paraId="2870DC05" w14:textId="77777777" w:rsidR="00463F43" w:rsidRPr="008F4EA9" w:rsidRDefault="00463F43" w:rsidP="00CD3CD0">
            <w:pPr>
              <w:rPr>
                <w:sz w:val="21"/>
                <w:szCs w:val="21"/>
              </w:rPr>
            </w:pPr>
            <w:r w:rsidRPr="008F4EA9">
              <w:rPr>
                <w:sz w:val="21"/>
                <w:szCs w:val="21"/>
              </w:rPr>
              <w:t>Swabs (donors use 4 swabs</w:t>
            </w:r>
            <w:r w:rsidRPr="008F4EA9">
              <w:rPr>
                <w:sz w:val="21"/>
                <w:szCs w:val="21"/>
                <w:vertAlign w:val="superscript"/>
              </w:rPr>
              <w:footnoteReference w:id="35"/>
            </w:r>
            <w:r w:rsidRPr="008F4EA9">
              <w:rPr>
                <w:sz w:val="21"/>
                <w:szCs w:val="21"/>
              </w:rPr>
              <w:t>)</w:t>
            </w:r>
          </w:p>
        </w:tc>
        <w:tc>
          <w:tcPr>
            <w:tcW w:w="2126" w:type="dxa"/>
          </w:tcPr>
          <w:p w14:paraId="0CB56A89" w14:textId="77777777" w:rsidR="00463F43" w:rsidRPr="008F4EA9" w:rsidRDefault="00463F43" w:rsidP="00CD3CD0">
            <w:pPr>
              <w:rPr>
                <w:sz w:val="21"/>
                <w:szCs w:val="21"/>
              </w:rPr>
            </w:pPr>
            <w:r w:rsidRPr="008F4EA9">
              <w:rPr>
                <w:sz w:val="21"/>
                <w:szCs w:val="21"/>
              </w:rPr>
              <w:t>Unknown</w:t>
            </w:r>
          </w:p>
        </w:tc>
        <w:tc>
          <w:tcPr>
            <w:tcW w:w="1985" w:type="dxa"/>
          </w:tcPr>
          <w:p w14:paraId="26C4BE85" w14:textId="77777777" w:rsidR="00463F43" w:rsidRPr="008F4EA9" w:rsidRDefault="00463F43" w:rsidP="00CD3CD0">
            <w:pPr>
              <w:rPr>
                <w:sz w:val="21"/>
                <w:szCs w:val="21"/>
              </w:rPr>
            </w:pPr>
          </w:p>
        </w:tc>
        <w:tc>
          <w:tcPr>
            <w:tcW w:w="850" w:type="dxa"/>
          </w:tcPr>
          <w:p w14:paraId="64CDC95C" w14:textId="77777777" w:rsidR="00463F43" w:rsidRPr="008F4EA9" w:rsidRDefault="00463F43" w:rsidP="00CD3CD0">
            <w:pPr>
              <w:jc w:val="center"/>
              <w:rPr>
                <w:sz w:val="21"/>
                <w:szCs w:val="21"/>
              </w:rPr>
            </w:pPr>
            <w:r w:rsidRPr="008F4EA9">
              <w:rPr>
                <w:sz w:val="21"/>
                <w:szCs w:val="21"/>
              </w:rPr>
              <w:t>Yes</w:t>
            </w:r>
          </w:p>
        </w:tc>
        <w:tc>
          <w:tcPr>
            <w:tcW w:w="1134" w:type="dxa"/>
          </w:tcPr>
          <w:p w14:paraId="45B2AE7B" w14:textId="77777777" w:rsidR="00463F43" w:rsidRPr="008F4EA9" w:rsidRDefault="00463F43" w:rsidP="00CD3CD0">
            <w:pPr>
              <w:jc w:val="center"/>
              <w:rPr>
                <w:sz w:val="21"/>
                <w:szCs w:val="21"/>
              </w:rPr>
            </w:pPr>
            <w:r w:rsidRPr="008F4EA9">
              <w:rPr>
                <w:sz w:val="21"/>
                <w:szCs w:val="21"/>
              </w:rPr>
              <w:t>unknown</w:t>
            </w:r>
          </w:p>
        </w:tc>
        <w:tc>
          <w:tcPr>
            <w:tcW w:w="1135" w:type="dxa"/>
          </w:tcPr>
          <w:p w14:paraId="72DC7946" w14:textId="77777777" w:rsidR="00463F43" w:rsidRPr="008F4EA9" w:rsidRDefault="00463F43" w:rsidP="00CD3CD0">
            <w:pPr>
              <w:jc w:val="center"/>
              <w:rPr>
                <w:sz w:val="21"/>
                <w:szCs w:val="21"/>
              </w:rPr>
            </w:pPr>
            <w:r w:rsidRPr="008F4EA9">
              <w:rPr>
                <w:sz w:val="21"/>
                <w:szCs w:val="21"/>
              </w:rPr>
              <w:t>unknown</w:t>
            </w:r>
          </w:p>
        </w:tc>
        <w:tc>
          <w:tcPr>
            <w:tcW w:w="1275" w:type="dxa"/>
          </w:tcPr>
          <w:p w14:paraId="0F257568" w14:textId="77777777" w:rsidR="00463F43" w:rsidRPr="008F4EA9" w:rsidRDefault="00463F43" w:rsidP="00CD3CD0">
            <w:pPr>
              <w:jc w:val="center"/>
              <w:rPr>
                <w:sz w:val="21"/>
                <w:szCs w:val="21"/>
              </w:rPr>
            </w:pPr>
            <w:r w:rsidRPr="008F4EA9">
              <w:rPr>
                <w:sz w:val="21"/>
                <w:szCs w:val="21"/>
              </w:rPr>
              <w:t>Blood and includes infectious disease markers</w:t>
            </w:r>
            <w:r w:rsidRPr="008F4EA9">
              <w:rPr>
                <w:sz w:val="21"/>
                <w:szCs w:val="21"/>
                <w:vertAlign w:val="superscript"/>
              </w:rPr>
              <w:footnoteReference w:id="36"/>
            </w:r>
          </w:p>
        </w:tc>
        <w:tc>
          <w:tcPr>
            <w:tcW w:w="1560" w:type="dxa"/>
          </w:tcPr>
          <w:p w14:paraId="2B15DDBD" w14:textId="77777777" w:rsidR="00463F43" w:rsidRPr="008F4EA9" w:rsidRDefault="00463F43" w:rsidP="00CD3CD0">
            <w:pPr>
              <w:rPr>
                <w:sz w:val="21"/>
                <w:szCs w:val="21"/>
              </w:rPr>
            </w:pPr>
            <w:r w:rsidRPr="008F4EA9">
              <w:rPr>
                <w:sz w:val="21"/>
                <w:szCs w:val="21"/>
              </w:rPr>
              <w:t>Must be 18-35 years inclusive. Those aged 36-60 years pay test cost to join</w:t>
            </w:r>
          </w:p>
        </w:tc>
        <w:tc>
          <w:tcPr>
            <w:tcW w:w="1275" w:type="dxa"/>
          </w:tcPr>
          <w:p w14:paraId="00E87607" w14:textId="77777777" w:rsidR="00463F43" w:rsidRPr="008F4EA9" w:rsidRDefault="00463F43" w:rsidP="00CD3CD0">
            <w:pPr>
              <w:rPr>
                <w:sz w:val="21"/>
                <w:szCs w:val="21"/>
              </w:rPr>
            </w:pPr>
            <w:r w:rsidRPr="008F4EA9">
              <w:rPr>
                <w:sz w:val="21"/>
                <w:szCs w:val="21"/>
              </w:rPr>
              <w:t>Until 61 years old</w:t>
            </w:r>
          </w:p>
        </w:tc>
      </w:tr>
      <w:tr w:rsidR="00463F43" w:rsidRPr="008F4EA9" w14:paraId="2A5F142B" w14:textId="77777777" w:rsidTr="00CD3CD0">
        <w:tc>
          <w:tcPr>
            <w:tcW w:w="1135" w:type="dxa"/>
          </w:tcPr>
          <w:p w14:paraId="5985339C" w14:textId="77777777" w:rsidR="00463F43" w:rsidRPr="008F4EA9" w:rsidRDefault="00463F43" w:rsidP="00CD3CD0">
            <w:pPr>
              <w:rPr>
                <w:sz w:val="21"/>
                <w:szCs w:val="21"/>
              </w:rPr>
            </w:pPr>
            <w:r w:rsidRPr="008F4EA9">
              <w:rPr>
                <w:sz w:val="21"/>
                <w:szCs w:val="21"/>
              </w:rPr>
              <w:t>Germany</w:t>
            </w:r>
          </w:p>
        </w:tc>
        <w:tc>
          <w:tcPr>
            <w:tcW w:w="1701" w:type="dxa"/>
          </w:tcPr>
          <w:p w14:paraId="6619C40E" w14:textId="4E097AF4" w:rsidR="00463F43" w:rsidRPr="008F4EA9" w:rsidRDefault="00000000" w:rsidP="00CD3CD0">
            <w:pPr>
              <w:rPr>
                <w:sz w:val="21"/>
                <w:szCs w:val="21"/>
              </w:rPr>
            </w:pPr>
            <w:hyperlink r:id="rId24" w:history="1">
              <w:r w:rsidR="00463F43" w:rsidRPr="008F4EA9">
                <w:rPr>
                  <w:sz w:val="21"/>
                  <w:szCs w:val="21"/>
                  <w:u w:val="single"/>
                </w:rPr>
                <w:t>Deutsche KnochenMarkSpenderdatei</w:t>
              </w:r>
              <w:r w:rsidR="00463F43" w:rsidRPr="008F4EA9">
                <w:rPr>
                  <w:rFonts w:ascii="HelveticaNeue" w:hAnsi="HelveticaNeue" w:cs="HelveticaNeue"/>
                  <w:sz w:val="21"/>
                  <w:szCs w:val="21"/>
                  <w:u w:val="single"/>
                </w:rPr>
                <w:t xml:space="preserve"> (</w:t>
              </w:r>
              <w:r w:rsidR="00463F43" w:rsidRPr="008F4EA9">
                <w:rPr>
                  <w:sz w:val="21"/>
                  <w:szCs w:val="21"/>
                  <w:u w:val="single"/>
                </w:rPr>
                <w:t>DKMS)</w:t>
              </w:r>
            </w:hyperlink>
            <w:r w:rsidR="00463F43" w:rsidRPr="008F4EA9">
              <w:rPr>
                <w:sz w:val="21"/>
                <w:szCs w:val="21"/>
              </w:rPr>
              <w:t xml:space="preserve"> </w:t>
            </w:r>
            <w:r w:rsidR="00463F43" w:rsidRPr="008F4EA9">
              <w:rPr>
                <w:sz w:val="21"/>
                <w:szCs w:val="21"/>
                <w:vertAlign w:val="superscript"/>
              </w:rPr>
              <w:fldChar w:fldCharType="begin"/>
            </w:r>
            <w:r w:rsidR="00463F43" w:rsidRPr="008F4EA9">
              <w:rPr>
                <w:sz w:val="21"/>
                <w:szCs w:val="21"/>
                <w:vertAlign w:val="superscript"/>
              </w:rPr>
              <w:instrText xml:space="preserve"> NOTEREF _Ref113444737 \h  \* MERGEFORMAT </w:instrText>
            </w:r>
            <w:r w:rsidR="00463F43" w:rsidRPr="008F4EA9">
              <w:rPr>
                <w:sz w:val="21"/>
                <w:szCs w:val="21"/>
                <w:vertAlign w:val="superscript"/>
              </w:rPr>
            </w:r>
            <w:r w:rsidR="00463F43" w:rsidRPr="008F4EA9">
              <w:rPr>
                <w:sz w:val="21"/>
                <w:szCs w:val="21"/>
                <w:vertAlign w:val="superscript"/>
              </w:rPr>
              <w:fldChar w:fldCharType="separate"/>
            </w:r>
            <w:r w:rsidR="00EC7D71">
              <w:rPr>
                <w:sz w:val="21"/>
                <w:szCs w:val="21"/>
                <w:vertAlign w:val="superscript"/>
              </w:rPr>
              <w:t>29</w:t>
            </w:r>
            <w:r w:rsidR="00463F43" w:rsidRPr="008F4EA9">
              <w:rPr>
                <w:sz w:val="21"/>
                <w:szCs w:val="21"/>
                <w:vertAlign w:val="superscript"/>
              </w:rPr>
              <w:fldChar w:fldCharType="end"/>
            </w:r>
            <w:r w:rsidR="00463F43" w:rsidRPr="008F4EA9">
              <w:rPr>
                <w:sz w:val="21"/>
                <w:szCs w:val="21"/>
                <w:vertAlign w:val="superscript"/>
              </w:rPr>
              <w:t xml:space="preserve">, </w:t>
            </w:r>
            <w:r w:rsidR="00463F43" w:rsidRPr="008F4EA9">
              <w:rPr>
                <w:sz w:val="21"/>
                <w:szCs w:val="21"/>
                <w:vertAlign w:val="superscript"/>
              </w:rPr>
              <w:footnoteReference w:id="37"/>
            </w:r>
          </w:p>
        </w:tc>
        <w:tc>
          <w:tcPr>
            <w:tcW w:w="1559" w:type="dxa"/>
          </w:tcPr>
          <w:p w14:paraId="05834BDE" w14:textId="77777777" w:rsidR="00463F43" w:rsidRPr="008F4EA9" w:rsidRDefault="00463F43" w:rsidP="00CD3CD0">
            <w:pPr>
              <w:rPr>
                <w:sz w:val="21"/>
                <w:szCs w:val="21"/>
              </w:rPr>
            </w:pPr>
            <w:r w:rsidRPr="008F4EA9">
              <w:rPr>
                <w:sz w:val="21"/>
                <w:szCs w:val="21"/>
              </w:rPr>
              <w:t>FLOQSwab (nylon)</w:t>
            </w:r>
          </w:p>
        </w:tc>
        <w:tc>
          <w:tcPr>
            <w:tcW w:w="2126" w:type="dxa"/>
          </w:tcPr>
          <w:p w14:paraId="19024404" w14:textId="77777777" w:rsidR="00463F43" w:rsidRPr="008F4EA9" w:rsidRDefault="00463F43" w:rsidP="00CD3CD0">
            <w:pPr>
              <w:rPr>
                <w:sz w:val="21"/>
                <w:szCs w:val="21"/>
              </w:rPr>
            </w:pPr>
            <w:r w:rsidRPr="008F4EA9">
              <w:rPr>
                <w:sz w:val="21"/>
                <w:szCs w:val="21"/>
              </w:rPr>
              <w:t>11 loci at high resolution (HLA-A, HLA-B, HLA-C, DQB1, DPB1 DRB1) or 11 loci (exons 2 and 3)</w:t>
            </w:r>
          </w:p>
          <w:p w14:paraId="06F8020E" w14:textId="77777777" w:rsidR="00463F43" w:rsidRPr="008F4EA9" w:rsidRDefault="00463F43" w:rsidP="00CD3CD0">
            <w:pPr>
              <w:rPr>
                <w:sz w:val="21"/>
                <w:szCs w:val="21"/>
              </w:rPr>
            </w:pPr>
          </w:p>
          <w:p w14:paraId="73739A31" w14:textId="77777777" w:rsidR="00463F43" w:rsidRPr="008F4EA9" w:rsidRDefault="00463F43" w:rsidP="00CD3CD0">
            <w:pPr>
              <w:rPr>
                <w:sz w:val="21"/>
                <w:szCs w:val="21"/>
              </w:rPr>
            </w:pPr>
          </w:p>
        </w:tc>
        <w:tc>
          <w:tcPr>
            <w:tcW w:w="1985" w:type="dxa"/>
          </w:tcPr>
          <w:p w14:paraId="34EF321A" w14:textId="77777777" w:rsidR="00463F43" w:rsidRPr="008F4EA9" w:rsidRDefault="00463F43" w:rsidP="00CD3CD0">
            <w:pPr>
              <w:rPr>
                <w:sz w:val="21"/>
                <w:szCs w:val="21"/>
              </w:rPr>
            </w:pPr>
            <w:r w:rsidRPr="008F4EA9">
              <w:rPr>
                <w:sz w:val="21"/>
                <w:szCs w:val="21"/>
              </w:rPr>
              <w:t>Capacity for 11 loci (at high resolution) although it is not routine for donor registration</w:t>
            </w:r>
          </w:p>
        </w:tc>
        <w:tc>
          <w:tcPr>
            <w:tcW w:w="850" w:type="dxa"/>
          </w:tcPr>
          <w:p w14:paraId="5761E34A" w14:textId="77777777" w:rsidR="00463F43" w:rsidRPr="008F4EA9" w:rsidRDefault="00463F43" w:rsidP="00CD3CD0">
            <w:pPr>
              <w:jc w:val="center"/>
              <w:rPr>
                <w:sz w:val="21"/>
                <w:szCs w:val="21"/>
              </w:rPr>
            </w:pPr>
            <w:r w:rsidRPr="008F4EA9">
              <w:rPr>
                <w:sz w:val="21"/>
                <w:szCs w:val="21"/>
              </w:rPr>
              <w:t>Yes</w:t>
            </w:r>
          </w:p>
        </w:tc>
        <w:tc>
          <w:tcPr>
            <w:tcW w:w="1134" w:type="dxa"/>
          </w:tcPr>
          <w:p w14:paraId="61597189" w14:textId="77777777" w:rsidR="00463F43" w:rsidRPr="008F4EA9" w:rsidRDefault="00463F43" w:rsidP="00CD3CD0">
            <w:pPr>
              <w:jc w:val="center"/>
              <w:rPr>
                <w:sz w:val="21"/>
                <w:szCs w:val="21"/>
              </w:rPr>
            </w:pPr>
            <w:r w:rsidRPr="008F4EA9">
              <w:rPr>
                <w:sz w:val="21"/>
                <w:szCs w:val="21"/>
              </w:rPr>
              <w:t>Yes</w:t>
            </w:r>
          </w:p>
        </w:tc>
        <w:tc>
          <w:tcPr>
            <w:tcW w:w="1135" w:type="dxa"/>
          </w:tcPr>
          <w:p w14:paraId="3F6584F0" w14:textId="77777777" w:rsidR="00463F43" w:rsidRPr="008F4EA9" w:rsidRDefault="00463F43" w:rsidP="00CD3CD0">
            <w:pPr>
              <w:jc w:val="center"/>
              <w:rPr>
                <w:sz w:val="21"/>
                <w:szCs w:val="21"/>
              </w:rPr>
            </w:pPr>
            <w:r w:rsidRPr="008F4EA9">
              <w:rPr>
                <w:sz w:val="21"/>
                <w:szCs w:val="21"/>
              </w:rPr>
              <w:t>Yes</w:t>
            </w:r>
          </w:p>
        </w:tc>
        <w:tc>
          <w:tcPr>
            <w:tcW w:w="1275" w:type="dxa"/>
          </w:tcPr>
          <w:p w14:paraId="34A9C1CE" w14:textId="77777777" w:rsidR="00463F43" w:rsidRPr="008F4EA9" w:rsidRDefault="00463F43" w:rsidP="00CD3CD0">
            <w:pPr>
              <w:jc w:val="center"/>
              <w:rPr>
                <w:sz w:val="21"/>
                <w:szCs w:val="21"/>
              </w:rPr>
            </w:pPr>
            <w:r w:rsidRPr="008F4EA9">
              <w:rPr>
                <w:sz w:val="21"/>
                <w:szCs w:val="21"/>
              </w:rPr>
              <w:t>Blood</w:t>
            </w:r>
          </w:p>
        </w:tc>
        <w:tc>
          <w:tcPr>
            <w:tcW w:w="1560" w:type="dxa"/>
          </w:tcPr>
          <w:p w14:paraId="6F7CD4C6" w14:textId="77777777" w:rsidR="00463F43" w:rsidRPr="008F4EA9" w:rsidRDefault="00463F43" w:rsidP="00CD3CD0">
            <w:pPr>
              <w:rPr>
                <w:sz w:val="21"/>
                <w:szCs w:val="21"/>
              </w:rPr>
            </w:pPr>
            <w:r w:rsidRPr="008F4EA9">
              <w:rPr>
                <w:sz w:val="21"/>
                <w:szCs w:val="21"/>
              </w:rPr>
              <w:t>Must be 17-55 years. At 18 years, younger registrants become available on searches.</w:t>
            </w:r>
          </w:p>
        </w:tc>
        <w:tc>
          <w:tcPr>
            <w:tcW w:w="1275" w:type="dxa"/>
          </w:tcPr>
          <w:p w14:paraId="22FBA113" w14:textId="77777777" w:rsidR="00463F43" w:rsidRPr="008F4EA9" w:rsidRDefault="00463F43" w:rsidP="00CD3CD0">
            <w:pPr>
              <w:rPr>
                <w:sz w:val="21"/>
                <w:szCs w:val="21"/>
              </w:rPr>
            </w:pPr>
            <w:r w:rsidRPr="008F4EA9">
              <w:rPr>
                <w:sz w:val="21"/>
                <w:szCs w:val="21"/>
              </w:rPr>
              <w:t>unknown</w:t>
            </w:r>
          </w:p>
        </w:tc>
      </w:tr>
      <w:tr w:rsidR="00463F43" w:rsidRPr="008F4EA9" w14:paraId="0F08CEAA" w14:textId="77777777" w:rsidTr="00CD3CD0">
        <w:tc>
          <w:tcPr>
            <w:tcW w:w="1135" w:type="dxa"/>
            <w:vMerge w:val="restart"/>
          </w:tcPr>
          <w:p w14:paraId="1C958D4A" w14:textId="77777777" w:rsidR="00463F43" w:rsidRPr="008F4EA9" w:rsidRDefault="00463F43" w:rsidP="00CD3CD0">
            <w:pPr>
              <w:rPr>
                <w:sz w:val="21"/>
                <w:szCs w:val="21"/>
              </w:rPr>
            </w:pPr>
            <w:r w:rsidRPr="008F4EA9">
              <w:rPr>
                <w:sz w:val="21"/>
                <w:szCs w:val="21"/>
              </w:rPr>
              <w:t>Canada</w:t>
            </w:r>
          </w:p>
        </w:tc>
        <w:tc>
          <w:tcPr>
            <w:tcW w:w="1701" w:type="dxa"/>
          </w:tcPr>
          <w:p w14:paraId="305A174A" w14:textId="1AB95EB9" w:rsidR="00463F43" w:rsidRPr="008F4EA9" w:rsidRDefault="00000000" w:rsidP="00CD3CD0">
            <w:pPr>
              <w:rPr>
                <w:sz w:val="21"/>
                <w:szCs w:val="21"/>
              </w:rPr>
            </w:pPr>
            <w:hyperlink r:id="rId25" w:history="1">
              <w:r w:rsidR="00463F43" w:rsidRPr="008F4EA9">
                <w:rPr>
                  <w:sz w:val="21"/>
                  <w:szCs w:val="21"/>
                  <w:u w:val="single"/>
                </w:rPr>
                <w:t>Canadian Blood Services Stem Cell Registry (formerly known as OneMatch)</w:t>
              </w:r>
            </w:hyperlink>
            <w:r w:rsidR="00463F43" w:rsidRPr="008F4EA9">
              <w:rPr>
                <w:sz w:val="21"/>
                <w:szCs w:val="21"/>
                <w:u w:val="single"/>
                <w:vertAlign w:val="superscript"/>
              </w:rPr>
              <w:fldChar w:fldCharType="begin"/>
            </w:r>
            <w:r w:rsidR="00463F43" w:rsidRPr="008F4EA9">
              <w:rPr>
                <w:sz w:val="21"/>
                <w:szCs w:val="21"/>
                <w:u w:val="single"/>
                <w:vertAlign w:val="superscript"/>
              </w:rPr>
              <w:instrText xml:space="preserve"> NOTEREF _Ref113444737 \h  \* MERGEFORMAT </w:instrText>
            </w:r>
            <w:r w:rsidR="00463F43" w:rsidRPr="008F4EA9">
              <w:rPr>
                <w:sz w:val="21"/>
                <w:szCs w:val="21"/>
                <w:u w:val="single"/>
                <w:vertAlign w:val="superscript"/>
              </w:rPr>
            </w:r>
            <w:r w:rsidR="00463F43" w:rsidRPr="008F4EA9">
              <w:rPr>
                <w:sz w:val="21"/>
                <w:szCs w:val="21"/>
                <w:u w:val="single"/>
                <w:vertAlign w:val="superscript"/>
              </w:rPr>
              <w:fldChar w:fldCharType="separate"/>
            </w:r>
            <w:r w:rsidR="00EC7D71">
              <w:rPr>
                <w:sz w:val="21"/>
                <w:szCs w:val="21"/>
                <w:u w:val="single"/>
                <w:vertAlign w:val="superscript"/>
              </w:rPr>
              <w:t>29</w:t>
            </w:r>
            <w:r w:rsidR="00463F43" w:rsidRPr="008F4EA9">
              <w:rPr>
                <w:sz w:val="21"/>
                <w:szCs w:val="21"/>
                <w:u w:val="single"/>
                <w:vertAlign w:val="superscript"/>
              </w:rPr>
              <w:fldChar w:fldCharType="end"/>
            </w:r>
          </w:p>
        </w:tc>
        <w:tc>
          <w:tcPr>
            <w:tcW w:w="1559" w:type="dxa"/>
          </w:tcPr>
          <w:p w14:paraId="0B3C4FB2" w14:textId="77777777" w:rsidR="00463F43" w:rsidRPr="008F4EA9" w:rsidRDefault="00463F43" w:rsidP="00CD3CD0">
            <w:pPr>
              <w:rPr>
                <w:sz w:val="21"/>
                <w:szCs w:val="21"/>
              </w:rPr>
            </w:pPr>
            <w:r w:rsidRPr="008F4EA9">
              <w:rPr>
                <w:sz w:val="21"/>
                <w:szCs w:val="21"/>
              </w:rPr>
              <w:t>Blood draw or swabs (donors use 4 swabs</w:t>
            </w:r>
            <w:r w:rsidRPr="008F4EA9">
              <w:rPr>
                <w:sz w:val="21"/>
                <w:szCs w:val="21"/>
                <w:vertAlign w:val="superscript"/>
              </w:rPr>
              <w:footnoteReference w:id="38"/>
            </w:r>
            <w:r w:rsidRPr="008F4EA9">
              <w:rPr>
                <w:sz w:val="21"/>
                <w:szCs w:val="21"/>
                <w:vertAlign w:val="superscript"/>
              </w:rPr>
              <w:t xml:space="preserve">, </w:t>
            </w:r>
            <w:r w:rsidRPr="008F4EA9">
              <w:rPr>
                <w:sz w:val="21"/>
                <w:szCs w:val="21"/>
                <w:vertAlign w:val="superscript"/>
              </w:rPr>
              <w:footnoteReference w:id="39"/>
            </w:r>
            <w:r w:rsidRPr="008F4EA9">
              <w:rPr>
                <w:sz w:val="21"/>
                <w:szCs w:val="21"/>
              </w:rPr>
              <w:t>)</w:t>
            </w:r>
          </w:p>
        </w:tc>
        <w:tc>
          <w:tcPr>
            <w:tcW w:w="2126" w:type="dxa"/>
          </w:tcPr>
          <w:p w14:paraId="23CA2307" w14:textId="77777777" w:rsidR="00463F43" w:rsidRPr="008F4EA9" w:rsidRDefault="00463F43" w:rsidP="00CD3CD0">
            <w:pPr>
              <w:rPr>
                <w:sz w:val="21"/>
                <w:szCs w:val="21"/>
              </w:rPr>
            </w:pPr>
          </w:p>
        </w:tc>
        <w:tc>
          <w:tcPr>
            <w:tcW w:w="1985" w:type="dxa"/>
          </w:tcPr>
          <w:p w14:paraId="1CAE8256" w14:textId="77777777" w:rsidR="00463F43" w:rsidRPr="008F4EA9" w:rsidRDefault="00463F43" w:rsidP="00CD3CD0">
            <w:pPr>
              <w:rPr>
                <w:sz w:val="21"/>
                <w:szCs w:val="21"/>
                <w:highlight w:val="yellow"/>
              </w:rPr>
            </w:pPr>
          </w:p>
        </w:tc>
        <w:tc>
          <w:tcPr>
            <w:tcW w:w="850" w:type="dxa"/>
          </w:tcPr>
          <w:p w14:paraId="6DCAD8F5" w14:textId="77777777" w:rsidR="00463F43" w:rsidRPr="008F4EA9" w:rsidRDefault="00463F43" w:rsidP="00CD3CD0">
            <w:pPr>
              <w:jc w:val="center"/>
              <w:rPr>
                <w:sz w:val="21"/>
                <w:szCs w:val="21"/>
              </w:rPr>
            </w:pPr>
            <w:r w:rsidRPr="008F4EA9">
              <w:rPr>
                <w:sz w:val="21"/>
                <w:szCs w:val="21"/>
              </w:rPr>
              <w:t>Yes</w:t>
            </w:r>
          </w:p>
        </w:tc>
        <w:tc>
          <w:tcPr>
            <w:tcW w:w="1134" w:type="dxa"/>
          </w:tcPr>
          <w:p w14:paraId="19F2264B" w14:textId="77777777" w:rsidR="00463F43" w:rsidRPr="008F4EA9" w:rsidRDefault="00463F43" w:rsidP="00CD3CD0">
            <w:pPr>
              <w:jc w:val="center"/>
              <w:rPr>
                <w:sz w:val="21"/>
                <w:szCs w:val="21"/>
              </w:rPr>
            </w:pPr>
            <w:r w:rsidRPr="008F4EA9">
              <w:rPr>
                <w:sz w:val="21"/>
                <w:szCs w:val="21"/>
              </w:rPr>
              <w:t>Yes</w:t>
            </w:r>
          </w:p>
        </w:tc>
        <w:tc>
          <w:tcPr>
            <w:tcW w:w="1135" w:type="dxa"/>
          </w:tcPr>
          <w:p w14:paraId="79B3C550" w14:textId="77777777" w:rsidR="00463F43" w:rsidRPr="008F4EA9" w:rsidRDefault="00463F43" w:rsidP="00CD3CD0">
            <w:pPr>
              <w:jc w:val="center"/>
              <w:rPr>
                <w:sz w:val="21"/>
                <w:szCs w:val="21"/>
              </w:rPr>
            </w:pPr>
            <w:r w:rsidRPr="008F4EA9">
              <w:rPr>
                <w:sz w:val="21"/>
                <w:szCs w:val="21"/>
              </w:rPr>
              <w:t>Yes</w:t>
            </w:r>
          </w:p>
        </w:tc>
        <w:tc>
          <w:tcPr>
            <w:tcW w:w="1275" w:type="dxa"/>
          </w:tcPr>
          <w:p w14:paraId="00A58581" w14:textId="77777777" w:rsidR="00463F43" w:rsidRPr="008F4EA9" w:rsidRDefault="00463F43" w:rsidP="00CD3CD0">
            <w:pPr>
              <w:jc w:val="center"/>
              <w:rPr>
                <w:sz w:val="21"/>
                <w:szCs w:val="21"/>
              </w:rPr>
            </w:pPr>
            <w:r w:rsidRPr="008F4EA9">
              <w:rPr>
                <w:sz w:val="21"/>
                <w:szCs w:val="21"/>
              </w:rPr>
              <w:t>Unknown</w:t>
            </w:r>
          </w:p>
        </w:tc>
        <w:tc>
          <w:tcPr>
            <w:tcW w:w="1560" w:type="dxa"/>
          </w:tcPr>
          <w:p w14:paraId="68FF47A7" w14:textId="77777777" w:rsidR="00463F43" w:rsidRPr="008F4EA9" w:rsidRDefault="00463F43" w:rsidP="00CD3CD0">
            <w:pPr>
              <w:rPr>
                <w:sz w:val="21"/>
                <w:szCs w:val="21"/>
              </w:rPr>
            </w:pPr>
            <w:r w:rsidRPr="008F4EA9">
              <w:rPr>
                <w:sz w:val="21"/>
                <w:szCs w:val="21"/>
              </w:rPr>
              <w:t>Preferably 17-35 years</w:t>
            </w:r>
          </w:p>
        </w:tc>
        <w:tc>
          <w:tcPr>
            <w:tcW w:w="1275" w:type="dxa"/>
          </w:tcPr>
          <w:p w14:paraId="246CCECD" w14:textId="77777777" w:rsidR="00463F43" w:rsidRPr="008F4EA9" w:rsidRDefault="00463F43" w:rsidP="00CD3CD0">
            <w:pPr>
              <w:rPr>
                <w:sz w:val="21"/>
                <w:szCs w:val="21"/>
              </w:rPr>
            </w:pPr>
          </w:p>
          <w:p w14:paraId="7D465A72" w14:textId="77777777" w:rsidR="00463F43" w:rsidRPr="008F4EA9" w:rsidRDefault="00463F43" w:rsidP="00CD3CD0">
            <w:pPr>
              <w:rPr>
                <w:sz w:val="21"/>
                <w:szCs w:val="21"/>
              </w:rPr>
            </w:pPr>
            <w:r w:rsidRPr="008F4EA9">
              <w:rPr>
                <w:sz w:val="21"/>
                <w:szCs w:val="21"/>
              </w:rPr>
              <w:t>Up to 60 years old</w:t>
            </w:r>
            <w:r w:rsidRPr="008F4EA9">
              <w:rPr>
                <w:sz w:val="21"/>
                <w:szCs w:val="21"/>
                <w:vertAlign w:val="superscript"/>
              </w:rPr>
              <w:footnoteReference w:id="40"/>
            </w:r>
          </w:p>
        </w:tc>
      </w:tr>
      <w:tr w:rsidR="00463F43" w:rsidRPr="008F4EA9" w14:paraId="3A9B4A60" w14:textId="77777777" w:rsidTr="00CD3CD0">
        <w:tc>
          <w:tcPr>
            <w:tcW w:w="1135" w:type="dxa"/>
            <w:vMerge/>
          </w:tcPr>
          <w:p w14:paraId="5FECFDFD" w14:textId="77777777" w:rsidR="00463F43" w:rsidRPr="008F4EA9" w:rsidRDefault="00463F43" w:rsidP="00CD3CD0">
            <w:pPr>
              <w:rPr>
                <w:sz w:val="21"/>
                <w:szCs w:val="21"/>
              </w:rPr>
            </w:pPr>
          </w:p>
        </w:tc>
        <w:tc>
          <w:tcPr>
            <w:tcW w:w="1701" w:type="dxa"/>
          </w:tcPr>
          <w:p w14:paraId="21D8AF86" w14:textId="77777777" w:rsidR="00463F43" w:rsidRPr="008F4EA9" w:rsidRDefault="00000000" w:rsidP="00CD3CD0">
            <w:pPr>
              <w:rPr>
                <w:sz w:val="21"/>
                <w:szCs w:val="21"/>
              </w:rPr>
            </w:pPr>
            <w:hyperlink r:id="rId26" w:history="1">
              <w:r w:rsidR="00463F43" w:rsidRPr="008F4EA9">
                <w:rPr>
                  <w:sz w:val="21"/>
                  <w:szCs w:val="21"/>
                  <w:u w:val="single"/>
                </w:rPr>
                <w:t>Hema-Quebec Stem Cell Donor Registry</w:t>
              </w:r>
            </w:hyperlink>
          </w:p>
        </w:tc>
        <w:tc>
          <w:tcPr>
            <w:tcW w:w="1559" w:type="dxa"/>
          </w:tcPr>
          <w:p w14:paraId="10D26EA4" w14:textId="77777777" w:rsidR="00463F43" w:rsidRPr="008F4EA9" w:rsidRDefault="00463F43" w:rsidP="00CD3CD0">
            <w:pPr>
              <w:rPr>
                <w:sz w:val="21"/>
                <w:szCs w:val="21"/>
              </w:rPr>
            </w:pPr>
            <w:r w:rsidRPr="008F4EA9">
              <w:rPr>
                <w:sz w:val="21"/>
                <w:szCs w:val="21"/>
              </w:rPr>
              <w:t>4 x swabs</w:t>
            </w:r>
          </w:p>
        </w:tc>
        <w:tc>
          <w:tcPr>
            <w:tcW w:w="2126" w:type="dxa"/>
          </w:tcPr>
          <w:p w14:paraId="73EB3D93" w14:textId="77777777" w:rsidR="00463F43" w:rsidRPr="008F4EA9" w:rsidRDefault="00463F43" w:rsidP="00CD3CD0">
            <w:pPr>
              <w:rPr>
                <w:sz w:val="21"/>
                <w:szCs w:val="21"/>
              </w:rPr>
            </w:pPr>
            <w:r w:rsidRPr="008F4EA9">
              <w:rPr>
                <w:sz w:val="21"/>
                <w:szCs w:val="21"/>
              </w:rPr>
              <w:t>Low-resolution (by SSO) and high-resolution (by NGS) HLA typing for HLA-A, -B, -C, DRB1, DRB3, DRB4, DRB5, DQA1, DQB1, DPA1 and DPB1 loci</w:t>
            </w:r>
          </w:p>
          <w:p w14:paraId="22A632DB" w14:textId="77777777" w:rsidR="00463F43" w:rsidRPr="008F4EA9" w:rsidRDefault="00463F43" w:rsidP="00CD3CD0">
            <w:pPr>
              <w:rPr>
                <w:sz w:val="21"/>
                <w:szCs w:val="21"/>
              </w:rPr>
            </w:pPr>
          </w:p>
        </w:tc>
        <w:tc>
          <w:tcPr>
            <w:tcW w:w="1985" w:type="dxa"/>
          </w:tcPr>
          <w:p w14:paraId="5CF9B82D" w14:textId="77777777" w:rsidR="00463F43" w:rsidRPr="008F4EA9" w:rsidRDefault="00463F43" w:rsidP="00CD3CD0">
            <w:pPr>
              <w:rPr>
                <w:sz w:val="21"/>
                <w:szCs w:val="21"/>
                <w:highlight w:val="yellow"/>
              </w:rPr>
            </w:pPr>
          </w:p>
        </w:tc>
        <w:tc>
          <w:tcPr>
            <w:tcW w:w="850" w:type="dxa"/>
          </w:tcPr>
          <w:p w14:paraId="731B6E29" w14:textId="77777777" w:rsidR="00463F43" w:rsidRPr="008F4EA9" w:rsidRDefault="00463F43" w:rsidP="00CD3CD0">
            <w:pPr>
              <w:jc w:val="center"/>
              <w:rPr>
                <w:sz w:val="21"/>
                <w:szCs w:val="21"/>
              </w:rPr>
            </w:pPr>
            <w:r w:rsidRPr="008F4EA9">
              <w:rPr>
                <w:sz w:val="21"/>
                <w:szCs w:val="21"/>
              </w:rPr>
              <w:t>Yes</w:t>
            </w:r>
          </w:p>
        </w:tc>
        <w:tc>
          <w:tcPr>
            <w:tcW w:w="1134" w:type="dxa"/>
          </w:tcPr>
          <w:p w14:paraId="7E5E1699" w14:textId="77777777" w:rsidR="00463F43" w:rsidRPr="008F4EA9" w:rsidRDefault="00463F43" w:rsidP="00CD3CD0">
            <w:pPr>
              <w:jc w:val="center"/>
              <w:rPr>
                <w:sz w:val="21"/>
                <w:szCs w:val="21"/>
              </w:rPr>
            </w:pPr>
            <w:r w:rsidRPr="008F4EA9">
              <w:rPr>
                <w:sz w:val="21"/>
                <w:szCs w:val="21"/>
              </w:rPr>
              <w:t>Unknown</w:t>
            </w:r>
          </w:p>
        </w:tc>
        <w:tc>
          <w:tcPr>
            <w:tcW w:w="1135" w:type="dxa"/>
          </w:tcPr>
          <w:p w14:paraId="7A95E796" w14:textId="77777777" w:rsidR="00463F43" w:rsidRPr="008F4EA9" w:rsidRDefault="00463F43" w:rsidP="00CD3CD0">
            <w:pPr>
              <w:jc w:val="center"/>
              <w:rPr>
                <w:sz w:val="21"/>
                <w:szCs w:val="21"/>
              </w:rPr>
            </w:pPr>
            <w:r>
              <w:rPr>
                <w:sz w:val="21"/>
                <w:szCs w:val="21"/>
              </w:rPr>
              <w:t>U</w:t>
            </w:r>
            <w:r w:rsidRPr="008F4EA9">
              <w:rPr>
                <w:sz w:val="21"/>
                <w:szCs w:val="21"/>
              </w:rPr>
              <w:t>nknown</w:t>
            </w:r>
          </w:p>
        </w:tc>
        <w:tc>
          <w:tcPr>
            <w:tcW w:w="1275" w:type="dxa"/>
          </w:tcPr>
          <w:p w14:paraId="63E25702" w14:textId="77777777" w:rsidR="00463F43" w:rsidRPr="008F4EA9" w:rsidRDefault="00463F43" w:rsidP="00CD3CD0">
            <w:pPr>
              <w:jc w:val="center"/>
              <w:rPr>
                <w:sz w:val="21"/>
                <w:szCs w:val="21"/>
              </w:rPr>
            </w:pPr>
            <w:r w:rsidRPr="008F4EA9">
              <w:rPr>
                <w:sz w:val="21"/>
                <w:szCs w:val="21"/>
              </w:rPr>
              <w:t>Blood</w:t>
            </w:r>
          </w:p>
        </w:tc>
        <w:tc>
          <w:tcPr>
            <w:tcW w:w="1560" w:type="dxa"/>
          </w:tcPr>
          <w:p w14:paraId="7D30C8C1" w14:textId="77777777" w:rsidR="00463F43" w:rsidRPr="008F4EA9" w:rsidRDefault="00463F43" w:rsidP="00CD3CD0">
            <w:pPr>
              <w:rPr>
                <w:sz w:val="21"/>
                <w:szCs w:val="21"/>
              </w:rPr>
            </w:pPr>
            <w:r w:rsidRPr="008F4EA9">
              <w:rPr>
                <w:sz w:val="21"/>
                <w:szCs w:val="21"/>
              </w:rPr>
              <w:t>18-35 years old</w:t>
            </w:r>
          </w:p>
        </w:tc>
        <w:tc>
          <w:tcPr>
            <w:tcW w:w="1275" w:type="dxa"/>
          </w:tcPr>
          <w:p w14:paraId="53929CEE" w14:textId="77777777" w:rsidR="00463F43" w:rsidRPr="008F4EA9" w:rsidRDefault="00463F43" w:rsidP="00CD3CD0">
            <w:pPr>
              <w:rPr>
                <w:sz w:val="21"/>
                <w:szCs w:val="21"/>
              </w:rPr>
            </w:pPr>
            <w:r w:rsidRPr="008F4EA9">
              <w:rPr>
                <w:sz w:val="21"/>
                <w:szCs w:val="21"/>
              </w:rPr>
              <w:t>Up to 60 years old</w:t>
            </w:r>
          </w:p>
        </w:tc>
      </w:tr>
    </w:tbl>
    <w:p w14:paraId="72811EA3" w14:textId="77777777" w:rsidR="00463F43" w:rsidRPr="008F4EA9" w:rsidRDefault="00463F43" w:rsidP="00463F43">
      <w:r w:rsidRPr="008F4EA9">
        <w:t xml:space="preserve">* Testing performed overseas by </w:t>
      </w:r>
      <w:r w:rsidRPr="008F4EA9">
        <w:rPr>
          <w:u w:val="single"/>
        </w:rPr>
        <w:t xml:space="preserve">Histogenetics </w:t>
      </w:r>
      <w:hyperlink r:id="rId27" w:history="1">
        <w:r w:rsidRPr="008F4EA9">
          <w:rPr>
            <w:u w:val="single"/>
          </w:rPr>
          <w:t>https://www.histogenetics.com/</w:t>
        </w:r>
      </w:hyperlink>
    </w:p>
    <w:p w14:paraId="5E814448" w14:textId="77777777" w:rsidR="00463F43" w:rsidRPr="008F4EA9" w:rsidRDefault="00463F43" w:rsidP="00463F43">
      <w:pPr>
        <w:numPr>
          <w:ilvl w:val="0"/>
          <w:numId w:val="13"/>
        </w:numPr>
        <w:contextualSpacing/>
      </w:pPr>
      <w:r w:rsidRPr="008F4EA9">
        <w:t xml:space="preserve">All registries consulted in Australia and overseas for the PwC Reviews, can perform full gene typing (11 loci) at high resolution. </w:t>
      </w:r>
    </w:p>
    <w:p w14:paraId="20255BBE" w14:textId="77777777" w:rsidR="00463F43" w:rsidRPr="008F4EA9" w:rsidRDefault="00463F43" w:rsidP="00463F43">
      <w:pPr>
        <w:numPr>
          <w:ilvl w:val="0"/>
          <w:numId w:val="13"/>
        </w:numPr>
        <w:contextualSpacing/>
      </w:pPr>
      <w:r w:rsidRPr="008F4EA9">
        <w:t>CMV tests on buccal swabs – overseas registries accept that CMV status from buccal swabs are not diagnostic tests, and therefore accept lower sensitivity for CMV detection for donor registration</w:t>
      </w:r>
    </w:p>
    <w:p w14:paraId="1728E648" w14:textId="77777777" w:rsidR="004433CD" w:rsidRDefault="004433CD"/>
    <w:sectPr w:rsidR="004433CD" w:rsidSect="008F4EA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6D8D" w14:textId="77777777" w:rsidR="00232E01" w:rsidRDefault="00232E01" w:rsidP="00463F43">
      <w:pPr>
        <w:spacing w:after="0" w:line="240" w:lineRule="auto"/>
      </w:pPr>
      <w:r>
        <w:separator/>
      </w:r>
    </w:p>
  </w:endnote>
  <w:endnote w:type="continuationSeparator" w:id="0">
    <w:p w14:paraId="3DF8DC1B" w14:textId="77777777" w:rsidR="00232E01" w:rsidRDefault="00232E01" w:rsidP="0046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194" w14:textId="77777777" w:rsidR="00A94A2D" w:rsidRDefault="00A94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81128"/>
      <w:docPartObj>
        <w:docPartGallery w:val="Page Numbers (Bottom of Page)"/>
        <w:docPartUnique/>
      </w:docPartObj>
    </w:sdtPr>
    <w:sdtEndPr>
      <w:rPr>
        <w:noProof/>
      </w:rPr>
    </w:sdtEndPr>
    <w:sdtContent>
      <w:p w14:paraId="535BE863" w14:textId="77777777" w:rsidR="00463F43" w:rsidRDefault="00463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EEF4BC" w14:textId="77777777" w:rsidR="00463F43" w:rsidRDefault="00463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1143" w14:textId="77777777" w:rsidR="00A94A2D" w:rsidRDefault="00A94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E840" w14:textId="77777777" w:rsidR="00232E01" w:rsidRDefault="00232E01" w:rsidP="00463F43">
      <w:pPr>
        <w:spacing w:after="0" w:line="240" w:lineRule="auto"/>
      </w:pPr>
      <w:r>
        <w:separator/>
      </w:r>
    </w:p>
  </w:footnote>
  <w:footnote w:type="continuationSeparator" w:id="0">
    <w:p w14:paraId="1EF6E29E" w14:textId="77777777" w:rsidR="00232E01" w:rsidRDefault="00232E01" w:rsidP="00463F43">
      <w:pPr>
        <w:spacing w:after="0" w:line="240" w:lineRule="auto"/>
      </w:pPr>
      <w:r>
        <w:continuationSeparator/>
      </w:r>
    </w:p>
  </w:footnote>
  <w:footnote w:id="1">
    <w:p w14:paraId="714F35E5" w14:textId="77777777" w:rsidR="00463F43" w:rsidRDefault="00463F43" w:rsidP="00463F43">
      <w:pPr>
        <w:pStyle w:val="FootnoteText"/>
      </w:pPr>
      <w:r>
        <w:rPr>
          <w:rStyle w:val="FootnoteReference"/>
        </w:rPr>
        <w:footnoteRef/>
      </w:r>
      <w:r>
        <w:t xml:space="preserve"> WMDA data sourced on 3 April 2023 from: </w:t>
      </w:r>
      <w:hyperlink r:id="rId1" w:history="1">
        <w:r w:rsidRPr="00B259D8">
          <w:rPr>
            <w:rStyle w:val="Hyperlink"/>
          </w:rPr>
          <w:t>https://wmda.info/</w:t>
        </w:r>
      </w:hyperlink>
      <w:r>
        <w:t xml:space="preserve"> </w:t>
      </w:r>
    </w:p>
  </w:footnote>
  <w:footnote w:id="2">
    <w:p w14:paraId="06D37DF1" w14:textId="77777777" w:rsidR="00463F43" w:rsidRDefault="00463F43" w:rsidP="00463F43">
      <w:pPr>
        <w:spacing w:after="0"/>
      </w:pPr>
      <w:r>
        <w:rPr>
          <w:rStyle w:val="FootnoteReference"/>
        </w:rPr>
        <w:footnoteRef/>
      </w:r>
      <w:r>
        <w:t xml:space="preserve"> </w:t>
      </w:r>
      <w:r w:rsidRPr="0060449E">
        <w:rPr>
          <w:sz w:val="20"/>
          <w:szCs w:val="20"/>
        </w:rPr>
        <w:t>For the purposes of this report, the national adult donor HPC registry (national registry) is used to describe the donor registry and ABMDR is used to describe the organisation contracted to manage the services of the national registry.</w:t>
      </w:r>
    </w:p>
  </w:footnote>
  <w:footnote w:id="3">
    <w:p w14:paraId="7A9341D1" w14:textId="77777777" w:rsidR="00463F43" w:rsidRDefault="00463F43" w:rsidP="00463F43">
      <w:pPr>
        <w:pStyle w:val="FootnoteText"/>
      </w:pPr>
      <w:r>
        <w:rPr>
          <w:rStyle w:val="FootnoteReference"/>
        </w:rPr>
        <w:footnoteRef/>
      </w:r>
      <w:r>
        <w:t xml:space="preserve"> WMDA International Standards: Unrelated Hematopoietic Stem Cell Donor Registries accessed via </w:t>
      </w:r>
      <w:r w:rsidRPr="00BD5470">
        <w:t>https://wmda.info/wp-content/uploads/2021/01/WMDA-2020-Standards_AM1_Jan2021-1.pdf</w:t>
      </w:r>
    </w:p>
  </w:footnote>
  <w:footnote w:id="4">
    <w:p w14:paraId="7E50E2C3" w14:textId="77777777" w:rsidR="00463F43" w:rsidRDefault="00463F43" w:rsidP="00463F43">
      <w:pPr>
        <w:pStyle w:val="FootnoteText"/>
      </w:pPr>
      <w:r>
        <w:rPr>
          <w:rStyle w:val="FootnoteReference"/>
        </w:rPr>
        <w:footnoteRef/>
      </w:r>
      <w:r>
        <w:t xml:space="preserve"> Australian Bone Marrow Transplant Recipient Registry Annual Data Summary 2015- 2020 accessed via </w:t>
      </w:r>
      <w:hyperlink r:id="rId2" w:history="1">
        <w:r w:rsidRPr="00B0770A">
          <w:rPr>
            <w:rStyle w:val="Hyperlink"/>
          </w:rPr>
          <w:t>https://www.abmtrr.org/index.php/annual-data-summary/</w:t>
        </w:r>
      </w:hyperlink>
      <w:r>
        <w:t xml:space="preserve"> </w:t>
      </w:r>
    </w:p>
  </w:footnote>
  <w:footnote w:id="5">
    <w:p w14:paraId="00184C27" w14:textId="77777777" w:rsidR="00463F43" w:rsidRDefault="00463F43" w:rsidP="00463F43">
      <w:pPr>
        <w:pStyle w:val="FootnoteText"/>
      </w:pPr>
      <w:r>
        <w:rPr>
          <w:rStyle w:val="FootnoteReference"/>
        </w:rPr>
        <w:footnoteRef/>
      </w:r>
      <w:r>
        <w:t xml:space="preserve"> Lee </w:t>
      </w:r>
      <w:r w:rsidRPr="00E31338">
        <w:rPr>
          <w:i/>
          <w:iCs/>
        </w:rPr>
        <w:t>et al</w:t>
      </w:r>
      <w:r>
        <w:t xml:space="preserve">, 2007 Blood. Accessed from: </w:t>
      </w:r>
      <w:r w:rsidRPr="004C39F6">
        <w:t>https://www.sciencedirect.com/science/article/pii/S0006497120529091#bib21</w:t>
      </w:r>
    </w:p>
  </w:footnote>
  <w:footnote w:id="6">
    <w:p w14:paraId="3F2E2AA4" w14:textId="77777777" w:rsidR="00463F43" w:rsidRDefault="00463F43" w:rsidP="00463F43">
      <w:pPr>
        <w:pStyle w:val="FootnoteText"/>
      </w:pPr>
      <w:r>
        <w:rPr>
          <w:rStyle w:val="FootnoteReference"/>
        </w:rPr>
        <w:footnoteRef/>
      </w:r>
      <w:r>
        <w:t xml:space="preserve"> ABMDR 2022 Annual Registry Report</w:t>
      </w:r>
    </w:p>
  </w:footnote>
  <w:footnote w:id="7">
    <w:p w14:paraId="6926B170" w14:textId="77777777" w:rsidR="00463F43" w:rsidRDefault="00463F43" w:rsidP="00463F43">
      <w:pPr>
        <w:pStyle w:val="FootnoteText"/>
      </w:pPr>
      <w:r>
        <w:rPr>
          <w:rStyle w:val="FootnoteReference"/>
        </w:rPr>
        <w:footnoteRef/>
      </w:r>
      <w:r>
        <w:t xml:space="preserve"> Throughout this report Rhesus (Rh) systems or Rh blood group refers to testing for the Rh D antigen. It should be noted that the Universal Blood Donor Testing (UBDT) array is able to detect all Rh antigens.</w:t>
      </w:r>
    </w:p>
  </w:footnote>
  <w:footnote w:id="8">
    <w:p w14:paraId="0C7217B1" w14:textId="70596EB4" w:rsidR="00463F43" w:rsidRDefault="00463F43" w:rsidP="00463F43">
      <w:pPr>
        <w:pStyle w:val="FootnoteText"/>
      </w:pPr>
      <w:r>
        <w:rPr>
          <w:rStyle w:val="FootnoteReference"/>
        </w:rPr>
        <w:footnoteRef/>
      </w:r>
      <w:r>
        <w:t xml:space="preserve"> </w:t>
      </w:r>
      <w:hyperlink r:id="rId3" w:history="1">
        <w:r w:rsidRPr="004C3825">
          <w:rPr>
            <w:rStyle w:val="Hyperlink"/>
          </w:rPr>
          <w:t>National HPC Framework</w:t>
        </w:r>
      </w:hyperlink>
      <w:r>
        <w:t xml:space="preserve">, </w:t>
      </w:r>
      <w:hyperlink r:id="rId4" w:history="1">
        <w:r w:rsidR="006D018C" w:rsidRPr="00107455">
          <w:rPr>
            <w:rStyle w:val="Hyperlink"/>
          </w:rPr>
          <w:t>https://www.health.gov.au/our-work/haemopoietic-progenitor-cell-framework-and-programs?language=und</w:t>
        </w:r>
      </w:hyperlink>
      <w:r w:rsidR="006D018C">
        <w:t xml:space="preserve">, </w:t>
      </w:r>
      <w:r>
        <w:t xml:space="preserve">published November 2021 </w:t>
      </w:r>
    </w:p>
  </w:footnote>
  <w:footnote w:id="9">
    <w:p w14:paraId="10039A66" w14:textId="77777777" w:rsidR="00463F43" w:rsidRDefault="00463F43" w:rsidP="00463F43">
      <w:pPr>
        <w:pStyle w:val="FootnoteText"/>
      </w:pPr>
      <w:r>
        <w:rPr>
          <w:rStyle w:val="FootnoteReference"/>
        </w:rPr>
        <w:footnoteRef/>
      </w:r>
      <w:r>
        <w:t xml:space="preserve"> Nulligravida describes women who have never been pregnant</w:t>
      </w:r>
    </w:p>
  </w:footnote>
  <w:footnote w:id="10">
    <w:p w14:paraId="7546FE43" w14:textId="77777777" w:rsidR="00463F43" w:rsidRDefault="00463F43" w:rsidP="00463F43">
      <w:pPr>
        <w:pStyle w:val="FootnoteText"/>
      </w:pPr>
      <w:r>
        <w:rPr>
          <w:rStyle w:val="FootnoteReference"/>
        </w:rPr>
        <w:footnoteRef/>
      </w:r>
      <w:r>
        <w:t xml:space="preserve"> Kollman </w:t>
      </w:r>
      <w:r w:rsidRPr="00407D71">
        <w:rPr>
          <w:i/>
          <w:iCs/>
        </w:rPr>
        <w:t>et al</w:t>
      </w:r>
      <w:r>
        <w:t xml:space="preserve">, 2001 Blood. Accessed from: </w:t>
      </w:r>
      <w:r w:rsidRPr="00407D71">
        <w:t>https://www.sciencedirect.com/science/article/pii/S0006497120587454</w:t>
      </w:r>
    </w:p>
  </w:footnote>
  <w:footnote w:id="11">
    <w:p w14:paraId="3F954DEC" w14:textId="77777777" w:rsidR="00463F43" w:rsidRDefault="00463F43" w:rsidP="00463F43">
      <w:pPr>
        <w:pStyle w:val="FootnoteText"/>
      </w:pPr>
      <w:r>
        <w:rPr>
          <w:rStyle w:val="FootnoteReference"/>
        </w:rPr>
        <w:footnoteRef/>
      </w:r>
      <w:r>
        <w:t xml:space="preserve"> National Strategic Action Plan for Blood Cancer, Leukaemia Foundation 2020, accessed from: </w:t>
      </w:r>
      <w:hyperlink r:id="rId5" w:history="1">
        <w:r w:rsidRPr="00B0770A">
          <w:rPr>
            <w:rStyle w:val="Hyperlink"/>
          </w:rPr>
          <w:t xml:space="preserve"> </w:t>
        </w:r>
        <w:r w:rsidRPr="00CF22B9">
          <w:rPr>
            <w:rStyle w:val="Hyperlink"/>
          </w:rPr>
          <w:t>https://www.leukaemia.org.au/national-action-plan/ndation</w:t>
        </w:r>
      </w:hyperlink>
    </w:p>
  </w:footnote>
  <w:footnote w:id="12">
    <w:p w14:paraId="5DDB1AB1" w14:textId="77777777" w:rsidR="00463F43" w:rsidRDefault="00463F43" w:rsidP="00463F43">
      <w:pPr>
        <w:pStyle w:val="FootnoteText"/>
      </w:pPr>
      <w:r>
        <w:rPr>
          <w:rStyle w:val="FootnoteReference"/>
        </w:rPr>
        <w:footnoteRef/>
      </w:r>
      <w:r>
        <w:t xml:space="preserve"> Data source: Australian and New Zealand Transplant and Cellular Therapies Register (ANZTCTR) Annual reports </w:t>
      </w:r>
    </w:p>
  </w:footnote>
  <w:footnote w:id="13">
    <w:p w14:paraId="399BEED7" w14:textId="77777777" w:rsidR="00463F43" w:rsidRDefault="00463F43" w:rsidP="00463F43">
      <w:pPr>
        <w:pStyle w:val="FootnoteText"/>
      </w:pPr>
      <w:r>
        <w:rPr>
          <w:rStyle w:val="FootnoteReference"/>
        </w:rPr>
        <w:footnoteRef/>
      </w:r>
      <w:r>
        <w:t xml:space="preserve"> Data source: Australian and New Zealand Transplant and Cellular Therapies Register (ANZTCTR) </w:t>
      </w:r>
    </w:p>
  </w:footnote>
  <w:footnote w:id="14">
    <w:p w14:paraId="2E266F38" w14:textId="77777777" w:rsidR="00463F43" w:rsidRDefault="00463F43" w:rsidP="00463F43">
      <w:pPr>
        <w:pStyle w:val="FootnoteText"/>
      </w:pPr>
      <w:r>
        <w:rPr>
          <w:rStyle w:val="FootnoteReference"/>
        </w:rPr>
        <w:footnoteRef/>
      </w:r>
      <w:r>
        <w:t xml:space="preserve"> Kollman </w:t>
      </w:r>
      <w:r w:rsidRPr="00407D71">
        <w:rPr>
          <w:i/>
          <w:iCs/>
        </w:rPr>
        <w:t>et al</w:t>
      </w:r>
      <w:r>
        <w:t>, 2001 Blood, accessed from:</w:t>
      </w:r>
      <w:r w:rsidRPr="00D927F8">
        <w:t xml:space="preserve"> </w:t>
      </w:r>
      <w:hyperlink r:id="rId6" w:history="1">
        <w:r w:rsidRPr="00B0770A">
          <w:rPr>
            <w:rStyle w:val="Hyperlink"/>
          </w:rPr>
          <w:t>https://www.sciencedirect.com/science/article/pii/S0006497120587454</w:t>
        </w:r>
      </w:hyperlink>
      <w:r>
        <w:t xml:space="preserve"> </w:t>
      </w:r>
    </w:p>
  </w:footnote>
  <w:footnote w:id="15">
    <w:p w14:paraId="13858B44" w14:textId="77777777" w:rsidR="00463F43" w:rsidRPr="00BE5E01" w:rsidRDefault="00463F43" w:rsidP="00463F43">
      <w:pPr>
        <w:pStyle w:val="FootnoteText"/>
      </w:pPr>
      <w:r w:rsidRPr="00BE5E01">
        <w:rPr>
          <w:rStyle w:val="FootnoteReference"/>
        </w:rPr>
        <w:footnoteRef/>
      </w:r>
      <w:r w:rsidRPr="00BE5E01">
        <w:t xml:space="preserve"> ABMDR Annual Registry Performance Report 2021</w:t>
      </w:r>
    </w:p>
  </w:footnote>
  <w:footnote w:id="16">
    <w:p w14:paraId="053C73F7" w14:textId="77777777" w:rsidR="00463F43" w:rsidRDefault="00463F43" w:rsidP="00463F43">
      <w:pPr>
        <w:pStyle w:val="FootnoteText"/>
      </w:pPr>
      <w:r>
        <w:rPr>
          <w:rStyle w:val="FootnoteReference"/>
        </w:rPr>
        <w:footnoteRef/>
      </w:r>
      <w:r>
        <w:t xml:space="preserve"> Data from the WMDA </w:t>
      </w:r>
      <w:r w:rsidRPr="008846AD">
        <w:t>Global trends report, 2021</w:t>
      </w:r>
      <w:r>
        <w:t xml:space="preserve"> provided by ABMDR October 2022</w:t>
      </w:r>
    </w:p>
  </w:footnote>
  <w:footnote w:id="17">
    <w:p w14:paraId="7B399069" w14:textId="77777777" w:rsidR="00463F43" w:rsidRDefault="00463F43" w:rsidP="00463F43">
      <w:pPr>
        <w:pStyle w:val="FootnoteText"/>
      </w:pPr>
      <w:r>
        <w:rPr>
          <w:rStyle w:val="FootnoteReference"/>
        </w:rPr>
        <w:footnoteRef/>
      </w:r>
      <w:r>
        <w:t xml:space="preserve"> </w:t>
      </w:r>
      <w:r w:rsidRPr="000A5D54">
        <w:t>National Blood Authority Annual Report 2021-2022</w:t>
      </w:r>
      <w:r>
        <w:t xml:space="preserve">, accessed from: </w:t>
      </w:r>
      <w:hyperlink r:id="rId7" w:history="1">
        <w:r w:rsidRPr="00B0770A">
          <w:rPr>
            <w:rStyle w:val="Hyperlink"/>
          </w:rPr>
          <w:t>https://www.blood.gov.au/sites/default/files/NBA0861%20%20NBA%20Annual%20Report%20202122%20-%20WCAG.pdf</w:t>
        </w:r>
      </w:hyperlink>
      <w:r>
        <w:t xml:space="preserve"> </w:t>
      </w:r>
    </w:p>
  </w:footnote>
  <w:footnote w:id="18">
    <w:p w14:paraId="6A66097F" w14:textId="77777777" w:rsidR="00463F43" w:rsidRDefault="00463F43" w:rsidP="00463F43">
      <w:pPr>
        <w:pStyle w:val="FootnoteText"/>
      </w:pPr>
      <w:r>
        <w:rPr>
          <w:rStyle w:val="FootnoteReference"/>
        </w:rPr>
        <w:footnoteRef/>
      </w:r>
      <w:r>
        <w:t xml:space="preserve"> ABMDR presentation to the Advisory Group - 14 October 2022</w:t>
      </w:r>
    </w:p>
  </w:footnote>
  <w:footnote w:id="19">
    <w:p w14:paraId="678748FE" w14:textId="77777777" w:rsidR="00463F43" w:rsidRPr="00331E84" w:rsidRDefault="00463F43" w:rsidP="00463F43">
      <w:pPr>
        <w:pStyle w:val="FootnoteText"/>
        <w:rPr>
          <w:rFonts w:cstheme="minorHAnsi"/>
        </w:rPr>
      </w:pPr>
      <w:r w:rsidRPr="00331E84">
        <w:rPr>
          <w:rStyle w:val="FootnoteReference"/>
          <w:rFonts w:cstheme="minorHAnsi"/>
        </w:rPr>
        <w:footnoteRef/>
      </w:r>
      <w:r w:rsidRPr="00331E84">
        <w:rPr>
          <w:rFonts w:cstheme="minorHAnsi"/>
        </w:rPr>
        <w:t xml:space="preserve"> </w:t>
      </w:r>
      <w:r>
        <w:rPr>
          <w:rFonts w:cstheme="minorHAnsi"/>
        </w:rPr>
        <w:t xml:space="preserve">Australian Bureau of Statistics data – Aboriginal and Torres Strait Islander population summary 2021 , accessed from: </w:t>
      </w:r>
      <w:hyperlink r:id="rId8" w:anchor=":~:text=The%20final%20estimated%20resident%20Aboriginal%20and%20Torres%20Strait,the%20estimate%20of%20669%2C900%20for%2030%20June%202011" w:history="1">
        <w:r w:rsidRPr="00B0770A">
          <w:rPr>
            <w:rStyle w:val="Hyperlink"/>
            <w:rFonts w:cstheme="minorHAnsi"/>
          </w:rPr>
          <w:t>https://www.abs.gov.au/statistics/people/aboriginal-and-torres-strait-islander-peoples/estimates-aboriginal-and-torres-strait-islander-australians/latest-release#:~:text=The%20final%20estimated%20resident%20Aboriginal%20and%20Torres%20Strait,the%20estimate%20of%20669%2C900%20for%2030%20June%202011</w:t>
        </w:r>
      </w:hyperlink>
      <w:r w:rsidRPr="00E31338">
        <w:rPr>
          <w:rFonts w:cstheme="minorHAnsi"/>
        </w:rPr>
        <w:t>.</w:t>
      </w:r>
      <w:r>
        <w:rPr>
          <w:rFonts w:cstheme="minorHAnsi"/>
        </w:rPr>
        <w:t xml:space="preserve"> </w:t>
      </w:r>
    </w:p>
  </w:footnote>
  <w:footnote w:id="20">
    <w:p w14:paraId="4C081BC7" w14:textId="77777777" w:rsidR="00463F43" w:rsidRPr="00FA5A4E" w:rsidRDefault="00463F43" w:rsidP="00463F43">
      <w:pPr>
        <w:pStyle w:val="FootnoteText"/>
      </w:pPr>
      <w:r w:rsidRPr="00331E84">
        <w:rPr>
          <w:rStyle w:val="FootnoteReference"/>
          <w:rFonts w:cstheme="minorHAnsi"/>
        </w:rPr>
        <w:footnoteRef/>
      </w:r>
      <w:r w:rsidRPr="00331E84">
        <w:rPr>
          <w:rFonts w:cstheme="minorHAnsi"/>
        </w:rPr>
        <w:t xml:space="preserve"> </w:t>
      </w:r>
      <w:r>
        <w:rPr>
          <w:rFonts w:cstheme="minorHAnsi"/>
        </w:rPr>
        <w:t xml:space="preserve">Australian Bureau of Statistics – Australia’s Population by Country of Birth, 2021 accessed from: </w:t>
      </w:r>
      <w:hyperlink r:id="rId9" w:history="1">
        <w:r w:rsidRPr="00B0770A">
          <w:rPr>
            <w:rStyle w:val="Hyperlink"/>
            <w:rFonts w:cstheme="minorHAnsi"/>
          </w:rPr>
          <w:t>https://www.abs.gov.au/statistics/people/population/australias-population-country-birth/latest-release</w:t>
        </w:r>
      </w:hyperlink>
      <w:r>
        <w:rPr>
          <w:rFonts w:cstheme="minorHAnsi"/>
        </w:rPr>
        <w:t xml:space="preserve"> </w:t>
      </w:r>
    </w:p>
  </w:footnote>
  <w:footnote w:id="21">
    <w:p w14:paraId="6E1E8385" w14:textId="77777777" w:rsidR="00463F43" w:rsidRPr="00331E84" w:rsidRDefault="00463F43" w:rsidP="00463F43">
      <w:pPr>
        <w:pStyle w:val="FootnoteText"/>
        <w:rPr>
          <w:rFonts w:cstheme="minorHAnsi"/>
        </w:rPr>
      </w:pPr>
      <w:r w:rsidRPr="00331E84">
        <w:rPr>
          <w:rStyle w:val="FootnoteReference"/>
          <w:rFonts w:cstheme="minorHAnsi"/>
        </w:rPr>
        <w:footnoteRef/>
      </w:r>
      <w:r w:rsidRPr="00331E84">
        <w:rPr>
          <w:rFonts w:cstheme="minorHAnsi"/>
        </w:rPr>
        <w:t xml:space="preserve"> Data provided by ABMDR </w:t>
      </w:r>
      <w:r>
        <w:rPr>
          <w:rFonts w:cstheme="minorHAnsi"/>
        </w:rPr>
        <w:t xml:space="preserve">- </w:t>
      </w:r>
      <w:r w:rsidRPr="00331E84">
        <w:rPr>
          <w:rFonts w:cstheme="minorHAnsi"/>
        </w:rPr>
        <w:t>October 2022.</w:t>
      </w:r>
    </w:p>
  </w:footnote>
  <w:footnote w:id="22">
    <w:p w14:paraId="23A88A8A" w14:textId="77777777" w:rsidR="00463F43" w:rsidRPr="003479AE" w:rsidRDefault="00463F43" w:rsidP="00463F43">
      <w:pPr>
        <w:pStyle w:val="FootnoteText"/>
        <w:rPr>
          <w:rFonts w:cstheme="minorHAnsi"/>
        </w:rPr>
      </w:pPr>
      <w:r>
        <w:rPr>
          <w:rStyle w:val="FootnoteReference"/>
        </w:rPr>
        <w:footnoteRef/>
      </w:r>
      <w:r>
        <w:t xml:space="preserve"> </w:t>
      </w:r>
      <w:r w:rsidRPr="003479AE">
        <w:rPr>
          <w:rFonts w:cstheme="minorHAnsi"/>
        </w:rPr>
        <w:t>Data provided by Lifeblood – November 2022</w:t>
      </w:r>
    </w:p>
  </w:footnote>
  <w:footnote w:id="23">
    <w:p w14:paraId="13D7A87A" w14:textId="77777777" w:rsidR="00463F43" w:rsidRDefault="00463F43" w:rsidP="00463F43">
      <w:pPr>
        <w:pStyle w:val="FootnoteText"/>
      </w:pPr>
      <w:r>
        <w:rPr>
          <w:rStyle w:val="FootnoteReference"/>
        </w:rPr>
        <w:footnoteRef/>
      </w:r>
      <w:r>
        <w:t xml:space="preserve"> Yin </w:t>
      </w:r>
      <w:r w:rsidRPr="00C24EB2">
        <w:rPr>
          <w:i/>
          <w:iCs/>
        </w:rPr>
        <w:t>et al</w:t>
      </w:r>
      <w:r>
        <w:t xml:space="preserve">, 2016. PLos One. Accessed from: </w:t>
      </w:r>
      <w:hyperlink r:id="rId10" w:history="1">
        <w:r w:rsidRPr="005E2F8E">
          <w:rPr>
            <w:rStyle w:val="Hyperlink"/>
          </w:rPr>
          <w:t>https://www.ncbi.nlm.nih.gov/pmc/articles/PMC5087893/</w:t>
        </w:r>
      </w:hyperlink>
      <w:r>
        <w:t xml:space="preserve"> </w:t>
      </w:r>
    </w:p>
  </w:footnote>
  <w:footnote w:id="24">
    <w:p w14:paraId="536709B7" w14:textId="77777777" w:rsidR="00463F43" w:rsidRDefault="00463F43" w:rsidP="00463F43">
      <w:pPr>
        <w:pStyle w:val="FootnoteText"/>
      </w:pPr>
      <w:r>
        <w:rPr>
          <w:rStyle w:val="FootnoteReference"/>
        </w:rPr>
        <w:footnoteRef/>
      </w:r>
      <w:r>
        <w:t xml:space="preserve"> Behrens </w:t>
      </w:r>
      <w:r w:rsidRPr="005E2F8E">
        <w:rPr>
          <w:i/>
          <w:iCs/>
        </w:rPr>
        <w:t>et al</w:t>
      </w:r>
      <w:r>
        <w:t>, 2021. Journal of Infectious Disease. Accessed from:</w:t>
      </w:r>
      <w:r w:rsidRPr="005E2F8E">
        <w:t xml:space="preserve"> </w:t>
      </w:r>
      <w:hyperlink r:id="rId11" w:history="1">
        <w:r w:rsidRPr="00B0770A">
          <w:rPr>
            <w:rStyle w:val="Hyperlink"/>
          </w:rPr>
          <w:t>https://professional.dkms.org/research-publications/publications/behrens2020</w:t>
        </w:r>
      </w:hyperlink>
      <w:r>
        <w:t xml:space="preserve"> </w:t>
      </w:r>
    </w:p>
  </w:footnote>
  <w:footnote w:id="25">
    <w:p w14:paraId="32EC9091" w14:textId="77777777" w:rsidR="00463F43" w:rsidRDefault="00463F43" w:rsidP="00463F43">
      <w:pPr>
        <w:pStyle w:val="FootnoteText"/>
      </w:pPr>
      <w:r>
        <w:rPr>
          <w:rStyle w:val="FootnoteReference"/>
        </w:rPr>
        <w:footnoteRef/>
      </w:r>
      <w:r>
        <w:t xml:space="preserve"> </w:t>
      </w:r>
      <w:r w:rsidRPr="006149D4">
        <w:t>https://www1.health.gov.au/internet/main/publishing.nsf/Content/health-npaac-dhaivd-2018</w:t>
      </w:r>
    </w:p>
  </w:footnote>
  <w:footnote w:id="26">
    <w:p w14:paraId="3872D169" w14:textId="77777777" w:rsidR="00463F43" w:rsidRDefault="00463F43" w:rsidP="00463F43">
      <w:pPr>
        <w:pStyle w:val="FootnoteText"/>
      </w:pPr>
      <w:r>
        <w:rPr>
          <w:rStyle w:val="FootnoteReference"/>
        </w:rPr>
        <w:footnoteRef/>
      </w:r>
      <w:r>
        <w:t xml:space="preserve"> TGA application and assessment fees stated are applicable to 2023-24 financial year.</w:t>
      </w:r>
    </w:p>
  </w:footnote>
  <w:footnote w:id="27">
    <w:p w14:paraId="27D86E9B" w14:textId="77777777" w:rsidR="00463F43" w:rsidRDefault="00463F43" w:rsidP="00463F43">
      <w:pPr>
        <w:pStyle w:val="FootnoteText"/>
      </w:pPr>
      <w:r>
        <w:rPr>
          <w:rStyle w:val="FootnoteReference"/>
        </w:rPr>
        <w:footnoteRef/>
      </w:r>
      <w:r>
        <w:t xml:space="preserve"> Ljungman </w:t>
      </w:r>
      <w:r w:rsidRPr="00C24EB2">
        <w:rPr>
          <w:i/>
          <w:iCs/>
        </w:rPr>
        <w:t>et al,</w:t>
      </w:r>
      <w:r>
        <w:t xml:space="preserve"> 2014. Clinical Infectious Disease. Accessed from: </w:t>
      </w:r>
      <w:hyperlink r:id="rId12" w:history="1">
        <w:r w:rsidRPr="00B0770A">
          <w:rPr>
            <w:rStyle w:val="Hyperlink"/>
          </w:rPr>
          <w:t>https://pubmed.ncbi.nlm.nih.gov/24850801/</w:t>
        </w:r>
      </w:hyperlink>
      <w:r>
        <w:t xml:space="preserve"> </w:t>
      </w:r>
    </w:p>
  </w:footnote>
  <w:footnote w:id="28">
    <w:p w14:paraId="3517F265" w14:textId="77777777" w:rsidR="00463F43" w:rsidRDefault="00463F43" w:rsidP="00463F43">
      <w:pPr>
        <w:pStyle w:val="FootnoteText"/>
      </w:pPr>
      <w:r>
        <w:rPr>
          <w:rStyle w:val="FootnoteReference"/>
        </w:rPr>
        <w:footnoteRef/>
      </w:r>
      <w:r>
        <w:t xml:space="preserve"> NPAAC accreditation standard (Third Edition, 2022), accessed from:  </w:t>
      </w:r>
      <w:hyperlink r:id="rId13" w:history="1">
        <w:r w:rsidRPr="00B0770A">
          <w:rPr>
            <w:rStyle w:val="Hyperlink"/>
          </w:rPr>
          <w:t>https://www.safetyandquality.gov.au/publications-and-resources/resource-library/requirements-medical-testing-human-genetic-variation-third-edition</w:t>
        </w:r>
      </w:hyperlink>
      <w:r>
        <w:t xml:space="preserve"> </w:t>
      </w:r>
    </w:p>
  </w:footnote>
  <w:footnote w:id="29">
    <w:p w14:paraId="72BAEE78" w14:textId="77777777" w:rsidR="00463F43" w:rsidRPr="00C73E24" w:rsidRDefault="00463F43" w:rsidP="00463F43">
      <w:pPr>
        <w:pStyle w:val="FootnoteText"/>
        <w:rPr>
          <w:rFonts w:cstheme="minorHAnsi"/>
        </w:rPr>
      </w:pPr>
      <w:r w:rsidRPr="00C73E24">
        <w:rPr>
          <w:rStyle w:val="FootnoteReference"/>
          <w:rFonts w:cstheme="minorHAnsi"/>
        </w:rPr>
        <w:footnoteRef/>
      </w:r>
      <w:r w:rsidRPr="00C73E24">
        <w:rPr>
          <w:rFonts w:cstheme="minorHAnsi"/>
        </w:rPr>
        <w:t xml:space="preserve"> Source: Review of international best practice in HPC donor recruitment and retention, PwC 6 July 2021</w:t>
      </w:r>
    </w:p>
  </w:footnote>
  <w:footnote w:id="30">
    <w:p w14:paraId="085B7360" w14:textId="77777777" w:rsidR="00463F43" w:rsidRPr="00C73E24" w:rsidRDefault="00463F43" w:rsidP="00463F43">
      <w:pPr>
        <w:pStyle w:val="FootnoteText"/>
        <w:rPr>
          <w:rFonts w:cstheme="minorHAnsi"/>
        </w:rPr>
      </w:pPr>
      <w:r w:rsidRPr="00C73E24">
        <w:rPr>
          <w:rStyle w:val="FootnoteReference"/>
          <w:rFonts w:cstheme="minorHAnsi"/>
        </w:rPr>
        <w:footnoteRef/>
      </w:r>
      <w:r w:rsidRPr="00C73E24">
        <w:rPr>
          <w:rFonts w:cstheme="minorHAnsi"/>
        </w:rPr>
        <w:t xml:space="preserve"> Anthony Nolan UK – Histocompatibility Laboratories, Service Provision User Guide, Version 10.0 – Access “Laboratory Users guide” via </w:t>
      </w:r>
      <w:hyperlink r:id="rId14" w:history="1">
        <w:r w:rsidRPr="00B0770A">
          <w:rPr>
            <w:rStyle w:val="Hyperlink"/>
          </w:rPr>
          <w:t>https://www.safetyandquality.gov.au/publications-and-resources/resource-library/requirements-medical-testing-human-genetic-variation-third-edition</w:t>
        </w:r>
      </w:hyperlink>
      <w:r>
        <w:t xml:space="preserve"> </w:t>
      </w:r>
    </w:p>
  </w:footnote>
  <w:footnote w:id="31">
    <w:p w14:paraId="3765CE11" w14:textId="77777777" w:rsidR="00463F43" w:rsidRPr="00C73E24" w:rsidRDefault="00463F43" w:rsidP="00463F43">
      <w:pPr>
        <w:pStyle w:val="FootnoteText"/>
        <w:rPr>
          <w:rFonts w:cstheme="minorHAnsi"/>
          <w:sz w:val="18"/>
          <w:szCs w:val="18"/>
        </w:rPr>
      </w:pPr>
      <w:r w:rsidRPr="00C73E24">
        <w:rPr>
          <w:rStyle w:val="FootnoteReference"/>
          <w:rFonts w:cstheme="minorHAnsi"/>
        </w:rPr>
        <w:footnoteRef/>
      </w:r>
      <w:r w:rsidRPr="00C73E24">
        <w:rPr>
          <w:rFonts w:cstheme="minorHAnsi"/>
        </w:rPr>
        <w:t xml:space="preserve"> </w:t>
      </w:r>
      <w:r w:rsidRPr="00C73E24">
        <w:rPr>
          <w:rFonts w:cstheme="minorHAnsi"/>
          <w:sz w:val="18"/>
          <w:szCs w:val="18"/>
        </w:rPr>
        <w:t xml:space="preserve">NHSBT first in UK to use Next Generation Sequencing - NHS Blood Donation - </w:t>
      </w:r>
      <w:hyperlink r:id="rId15" w:anchor=":~:text=In%202015%2F16%20NHS%20Blood%20and%20Transplant%20aims%20to,times%20more%20likely%20to%20be%20selected%20for%20transplant" w:history="1">
        <w:r w:rsidRPr="00C73E24">
          <w:rPr>
            <w:rStyle w:val="Hyperlink"/>
            <w:rFonts w:cstheme="minorHAnsi"/>
            <w:sz w:val="18"/>
            <w:szCs w:val="18"/>
          </w:rPr>
          <w:t>https://www.blood.co.uk/news-and-campaigns/news-and-statements/nhsbt-first-in-uk-to-use-next-generation-sequencing/#:~:text=In%202015%2F16%20NHS%20Blood%20and%20Transplant%20aims%20to,times%20more%20likely%20to%20be%20selected%20for%20transplant</w:t>
        </w:r>
      </w:hyperlink>
      <w:r w:rsidRPr="00C73E24">
        <w:rPr>
          <w:rFonts w:cstheme="minorHAnsi"/>
          <w:sz w:val="18"/>
          <w:szCs w:val="18"/>
        </w:rPr>
        <w:t xml:space="preserve">. </w:t>
      </w:r>
    </w:p>
  </w:footnote>
  <w:footnote w:id="32">
    <w:p w14:paraId="579F31C0" w14:textId="77777777" w:rsidR="00463F43" w:rsidRPr="00C73E24" w:rsidRDefault="00463F43" w:rsidP="00463F43">
      <w:pPr>
        <w:pStyle w:val="FootnoteText"/>
        <w:rPr>
          <w:rFonts w:cstheme="minorHAnsi"/>
          <w:sz w:val="18"/>
          <w:szCs w:val="18"/>
        </w:rPr>
      </w:pPr>
      <w:r w:rsidRPr="00C73E24">
        <w:rPr>
          <w:rStyle w:val="FootnoteReference"/>
          <w:rFonts w:cstheme="minorHAnsi"/>
          <w:sz w:val="18"/>
          <w:szCs w:val="18"/>
        </w:rPr>
        <w:footnoteRef/>
      </w:r>
      <w:r w:rsidRPr="00C73E24">
        <w:rPr>
          <w:rFonts w:cstheme="minorHAnsi"/>
          <w:sz w:val="18"/>
          <w:szCs w:val="18"/>
        </w:rPr>
        <w:t xml:space="preserve"> </w:t>
      </w:r>
      <w:hyperlink r:id="rId16" w:history="1">
        <w:r w:rsidRPr="00C73E24">
          <w:rPr>
            <w:rStyle w:val="Hyperlink"/>
            <w:rFonts w:cstheme="minorHAnsi"/>
            <w:sz w:val="18"/>
            <w:szCs w:val="18"/>
          </w:rPr>
          <w:t>https://bethematch.org/swabguide/</w:t>
        </w:r>
      </w:hyperlink>
      <w:r w:rsidRPr="00C73E24">
        <w:rPr>
          <w:rFonts w:cstheme="minorHAnsi"/>
          <w:sz w:val="18"/>
          <w:szCs w:val="18"/>
        </w:rPr>
        <w:t xml:space="preserve"> </w:t>
      </w:r>
    </w:p>
  </w:footnote>
  <w:footnote w:id="33">
    <w:p w14:paraId="114468D9" w14:textId="77777777" w:rsidR="00463F43" w:rsidRPr="00C73E24" w:rsidRDefault="00463F43" w:rsidP="00463F43">
      <w:pPr>
        <w:pStyle w:val="FootnoteText"/>
        <w:rPr>
          <w:rFonts w:cstheme="minorHAnsi"/>
          <w:sz w:val="18"/>
          <w:szCs w:val="18"/>
        </w:rPr>
      </w:pPr>
      <w:r w:rsidRPr="00C73E24">
        <w:rPr>
          <w:rStyle w:val="FootnoteReference"/>
          <w:rFonts w:cstheme="minorHAnsi"/>
          <w:sz w:val="18"/>
          <w:szCs w:val="18"/>
        </w:rPr>
        <w:footnoteRef/>
      </w:r>
      <w:r w:rsidRPr="00C73E24">
        <w:rPr>
          <w:rFonts w:cstheme="minorHAnsi"/>
          <w:sz w:val="18"/>
          <w:szCs w:val="18"/>
        </w:rPr>
        <w:t xml:space="preserve"> </w:t>
      </w:r>
      <w:r w:rsidRPr="00C73E24">
        <w:rPr>
          <w:rFonts w:cstheme="minorHAnsi"/>
          <w:color w:val="202020"/>
          <w:sz w:val="18"/>
          <w:szCs w:val="18"/>
          <w:shd w:val="clear" w:color="auto" w:fill="FFFFFF"/>
        </w:rPr>
        <w:t xml:space="preserve">Yin, Y. </w:t>
      </w:r>
      <w:r w:rsidRPr="004C39F6">
        <w:rPr>
          <w:rFonts w:cstheme="minorHAnsi"/>
          <w:i/>
          <w:iCs/>
          <w:color w:val="202020"/>
          <w:sz w:val="18"/>
          <w:szCs w:val="18"/>
          <w:shd w:val="clear" w:color="auto" w:fill="FFFFFF"/>
        </w:rPr>
        <w:t>et al</w:t>
      </w:r>
      <w:r w:rsidRPr="00C73E24">
        <w:rPr>
          <w:rFonts w:cstheme="minorHAnsi"/>
          <w:color w:val="202020"/>
          <w:sz w:val="18"/>
          <w:szCs w:val="18"/>
          <w:shd w:val="clear" w:color="auto" w:fill="FFFFFF"/>
        </w:rPr>
        <w:t xml:space="preserve">., Application of High-Throughput Next-Generation Sequencing for HLA Typing on Buccal Extracted DNA: Results from over 10,000 Donor Recruitment Samples, PLoS One, 2016 Oct; 11(10) </w:t>
      </w:r>
      <w:hyperlink r:id="rId17" w:history="1">
        <w:r w:rsidRPr="00C73E24">
          <w:rPr>
            <w:rStyle w:val="Hyperlink"/>
            <w:rFonts w:cstheme="minorHAnsi"/>
            <w:sz w:val="18"/>
            <w:szCs w:val="18"/>
            <w:shd w:val="clear" w:color="auto" w:fill="FFFFFF"/>
          </w:rPr>
          <w:t>https://doi.org/10.1371/journal.pone.0165810</w:t>
        </w:r>
      </w:hyperlink>
      <w:r w:rsidRPr="00C73E24">
        <w:rPr>
          <w:rFonts w:cstheme="minorHAnsi"/>
          <w:color w:val="202020"/>
          <w:sz w:val="18"/>
          <w:szCs w:val="18"/>
          <w:shd w:val="clear" w:color="auto" w:fill="FFFFFF"/>
        </w:rPr>
        <w:t xml:space="preserve"> </w:t>
      </w:r>
    </w:p>
  </w:footnote>
  <w:footnote w:id="34">
    <w:p w14:paraId="0876F4FF" w14:textId="77777777" w:rsidR="00463F43" w:rsidRPr="00C73E24" w:rsidRDefault="00463F43" w:rsidP="00463F43">
      <w:pPr>
        <w:pStyle w:val="FootnoteText"/>
        <w:rPr>
          <w:rFonts w:cstheme="minorHAnsi"/>
          <w:sz w:val="18"/>
          <w:szCs w:val="18"/>
        </w:rPr>
      </w:pPr>
      <w:r w:rsidRPr="00C73E24">
        <w:rPr>
          <w:rStyle w:val="FootnoteReference"/>
          <w:rFonts w:cstheme="minorHAnsi"/>
          <w:sz w:val="18"/>
          <w:szCs w:val="18"/>
        </w:rPr>
        <w:footnoteRef/>
      </w:r>
      <w:r w:rsidRPr="00C73E24">
        <w:rPr>
          <w:rFonts w:cstheme="minorHAnsi"/>
          <w:sz w:val="18"/>
          <w:szCs w:val="18"/>
        </w:rPr>
        <w:t xml:space="preserve"> </w:t>
      </w:r>
      <w:hyperlink r:id="rId18" w:history="1">
        <w:r w:rsidRPr="00C73E24">
          <w:rPr>
            <w:rStyle w:val="Hyperlink"/>
            <w:rFonts w:cstheme="minorHAnsi"/>
            <w:sz w:val="18"/>
            <w:szCs w:val="18"/>
          </w:rPr>
          <w:t>https://bethematch.org/transplant-basics/matching-patients-with-donors/why-donor-age-matters/</w:t>
        </w:r>
      </w:hyperlink>
      <w:r w:rsidRPr="00C73E24">
        <w:rPr>
          <w:rFonts w:cstheme="minorHAnsi"/>
          <w:sz w:val="18"/>
          <w:szCs w:val="18"/>
        </w:rPr>
        <w:t xml:space="preserve"> </w:t>
      </w:r>
    </w:p>
  </w:footnote>
  <w:footnote w:id="35">
    <w:p w14:paraId="56A19BE6" w14:textId="77777777" w:rsidR="00463F43" w:rsidRPr="00C73E24" w:rsidRDefault="00463F43" w:rsidP="00463F43">
      <w:pPr>
        <w:pStyle w:val="FootnoteText"/>
        <w:rPr>
          <w:rFonts w:cstheme="minorHAnsi"/>
          <w:sz w:val="18"/>
          <w:szCs w:val="18"/>
        </w:rPr>
      </w:pPr>
      <w:r w:rsidRPr="00C73E24">
        <w:rPr>
          <w:rStyle w:val="FootnoteReference"/>
          <w:rFonts w:cstheme="minorHAnsi"/>
          <w:sz w:val="18"/>
          <w:szCs w:val="18"/>
        </w:rPr>
        <w:footnoteRef/>
      </w:r>
      <w:r w:rsidRPr="00C73E24">
        <w:rPr>
          <w:rFonts w:cstheme="minorHAnsi"/>
          <w:sz w:val="18"/>
          <w:szCs w:val="18"/>
        </w:rPr>
        <w:t xml:space="preserve"> </w:t>
      </w:r>
      <w:hyperlink r:id="rId19" w:anchor=":~:text=The%20swab%20kit%20is%20processed%20at%20Gift%20of,system%20factors%20used%20to%20match%20donors%20and%20recipients." w:history="1">
        <w:r w:rsidRPr="00C73E24">
          <w:rPr>
            <w:rStyle w:val="Hyperlink"/>
            <w:rFonts w:cstheme="minorHAnsi"/>
            <w:sz w:val="18"/>
            <w:szCs w:val="18"/>
          </w:rPr>
          <w:t>Learn, Swab, Save Lives - Gift of Life</w:t>
        </w:r>
      </w:hyperlink>
      <w:r w:rsidRPr="00C73E24">
        <w:rPr>
          <w:rFonts w:cstheme="minorHAnsi"/>
          <w:sz w:val="18"/>
          <w:szCs w:val="18"/>
        </w:rPr>
        <w:t xml:space="preserve"> - </w:t>
      </w:r>
      <w:hyperlink r:id="rId20" w:anchor=":~:text=The%20swab%20kit%20is%20processed%20at%20Gift%20of,system%20factors%20used%20to%20match%20donors%20and%20recipients" w:history="1">
        <w:r w:rsidRPr="00C73E24">
          <w:rPr>
            <w:rStyle w:val="Hyperlink"/>
            <w:rFonts w:cstheme="minorHAnsi"/>
            <w:sz w:val="18"/>
            <w:szCs w:val="18"/>
          </w:rPr>
          <w:t>https://www.giftoflife.org/donors/donationprocess1#:~:text=The%20swab%20kit%20is%20processed%20at%20Gift%20of,system%20factors%20used%20to%20match%20donors%20and%20recipients</w:t>
        </w:r>
      </w:hyperlink>
      <w:r w:rsidRPr="00C73E24">
        <w:rPr>
          <w:rFonts w:cstheme="minorHAnsi"/>
          <w:sz w:val="18"/>
          <w:szCs w:val="18"/>
        </w:rPr>
        <w:t xml:space="preserve">. </w:t>
      </w:r>
    </w:p>
  </w:footnote>
  <w:footnote w:id="36">
    <w:p w14:paraId="10E6A86A" w14:textId="77777777" w:rsidR="00463F43" w:rsidRPr="00C73E24" w:rsidRDefault="00463F43" w:rsidP="00463F43">
      <w:pPr>
        <w:pStyle w:val="FootnoteText"/>
        <w:rPr>
          <w:rFonts w:cstheme="minorHAnsi"/>
          <w:sz w:val="18"/>
          <w:szCs w:val="18"/>
        </w:rPr>
      </w:pPr>
      <w:r w:rsidRPr="00C73E24">
        <w:rPr>
          <w:rStyle w:val="FootnoteReference"/>
          <w:rFonts w:cstheme="minorHAnsi"/>
          <w:sz w:val="18"/>
          <w:szCs w:val="18"/>
        </w:rPr>
        <w:footnoteRef/>
      </w:r>
      <w:r w:rsidRPr="00C73E24">
        <w:rPr>
          <w:rFonts w:cstheme="minorHAnsi"/>
          <w:sz w:val="18"/>
          <w:szCs w:val="18"/>
        </w:rPr>
        <w:t xml:space="preserve"> </w:t>
      </w:r>
      <w:r>
        <w:rPr>
          <w:rFonts w:cstheme="minorHAnsi"/>
          <w:sz w:val="18"/>
          <w:szCs w:val="18"/>
        </w:rPr>
        <w:t xml:space="preserve"> Gift of Life Confirmatory Typing accessed from:</w:t>
      </w:r>
      <w:r w:rsidRPr="00C73E24">
        <w:rPr>
          <w:rFonts w:cstheme="minorHAnsi"/>
          <w:sz w:val="18"/>
          <w:szCs w:val="18"/>
        </w:rPr>
        <w:t xml:space="preserve"> </w:t>
      </w:r>
      <w:hyperlink r:id="rId21" w:history="1">
        <w:r w:rsidRPr="00C73E24">
          <w:rPr>
            <w:rStyle w:val="Hyperlink"/>
            <w:rFonts w:cstheme="minorHAnsi"/>
            <w:sz w:val="18"/>
            <w:szCs w:val="18"/>
          </w:rPr>
          <w:t>https://www.giftoflife.org/donors/donationprocess2</w:t>
        </w:r>
      </w:hyperlink>
      <w:r w:rsidRPr="00C73E24">
        <w:rPr>
          <w:rFonts w:cstheme="minorHAnsi"/>
          <w:sz w:val="18"/>
          <w:szCs w:val="18"/>
        </w:rPr>
        <w:t xml:space="preserve"> </w:t>
      </w:r>
    </w:p>
  </w:footnote>
  <w:footnote w:id="37">
    <w:p w14:paraId="7BD7A686" w14:textId="77777777" w:rsidR="00463F43" w:rsidRPr="00C73E24" w:rsidRDefault="00463F43" w:rsidP="00463F43">
      <w:pPr>
        <w:pStyle w:val="FootnoteText"/>
        <w:rPr>
          <w:rFonts w:cstheme="minorHAnsi"/>
        </w:rPr>
      </w:pPr>
      <w:r w:rsidRPr="00C73E24">
        <w:rPr>
          <w:rStyle w:val="FootnoteReference"/>
          <w:rFonts w:cstheme="minorHAnsi"/>
        </w:rPr>
        <w:footnoteRef/>
      </w:r>
      <w:r w:rsidRPr="00C73E24">
        <w:rPr>
          <w:rFonts w:cstheme="minorHAnsi"/>
        </w:rPr>
        <w:t xml:space="preserve"> DKMS is an international charity with donor centres in Childe, Poland, UK, United States, India and Africa, information listed relates to the registry based in Germany.</w:t>
      </w:r>
    </w:p>
  </w:footnote>
  <w:footnote w:id="38">
    <w:p w14:paraId="1B1C4F7A" w14:textId="77777777" w:rsidR="00463F43" w:rsidRPr="00C73E24" w:rsidRDefault="00463F43" w:rsidP="00463F43">
      <w:pPr>
        <w:pStyle w:val="FootnoteText"/>
        <w:rPr>
          <w:rFonts w:cstheme="minorHAnsi"/>
        </w:rPr>
      </w:pPr>
      <w:r w:rsidRPr="00C73E24">
        <w:rPr>
          <w:rStyle w:val="FootnoteReference"/>
          <w:rFonts w:cstheme="minorHAnsi"/>
        </w:rPr>
        <w:footnoteRef/>
      </w:r>
      <w:r w:rsidRPr="00C73E24">
        <w:rPr>
          <w:rFonts w:cstheme="minorHAnsi"/>
        </w:rPr>
        <w:t xml:space="preserve"> Fingrut </w:t>
      </w:r>
      <w:r w:rsidRPr="00A94A2D">
        <w:rPr>
          <w:rFonts w:cstheme="minorHAnsi"/>
          <w:i/>
          <w:iCs/>
        </w:rPr>
        <w:t>et al.</w:t>
      </w:r>
      <w:r w:rsidRPr="00C73E24">
        <w:rPr>
          <w:rFonts w:cstheme="minorHAnsi"/>
        </w:rPr>
        <w:t xml:space="preserve"> (2020) Targeted recruitment of optimal donors for unrelated hematopoietic cell transplantation: The Stem Cell Club process, Hematology/Oncology and Stem Cell Therapy; 13(4):220-231, </w:t>
      </w:r>
      <w:hyperlink r:id="rId22" w:history="1">
        <w:r w:rsidRPr="00C73E24">
          <w:rPr>
            <w:rStyle w:val="Hyperlink"/>
            <w:rFonts w:cstheme="minorHAnsi"/>
          </w:rPr>
          <w:t>https://doi.org/10.1016/j.hemonc.2020.04.001</w:t>
        </w:r>
      </w:hyperlink>
    </w:p>
  </w:footnote>
  <w:footnote w:id="39">
    <w:p w14:paraId="2821CB45" w14:textId="77777777" w:rsidR="00463F43" w:rsidRPr="00C73E24" w:rsidRDefault="00463F43" w:rsidP="00463F43">
      <w:pPr>
        <w:pStyle w:val="FootnoteText"/>
        <w:rPr>
          <w:rFonts w:cstheme="minorHAnsi"/>
        </w:rPr>
      </w:pPr>
      <w:r w:rsidRPr="00C73E24">
        <w:rPr>
          <w:rStyle w:val="FootnoteReference"/>
          <w:rFonts w:cstheme="minorHAnsi"/>
        </w:rPr>
        <w:footnoteRef/>
      </w:r>
      <w:r w:rsidRPr="00C73E24">
        <w:rPr>
          <w:rFonts w:cstheme="minorHAnsi"/>
        </w:rPr>
        <w:t xml:space="preserve"> Stem Cell Registration – Buccal Swab, Canadian Blood Services, </w:t>
      </w:r>
      <w:hyperlink r:id="rId23" w:history="1">
        <w:r w:rsidRPr="00C73E24">
          <w:rPr>
            <w:rStyle w:val="Hyperlink"/>
            <w:rFonts w:cstheme="minorHAnsi"/>
          </w:rPr>
          <w:t>https://www.youtube.com/watch?v=lrOis-F3CiE</w:t>
        </w:r>
      </w:hyperlink>
      <w:r w:rsidRPr="00C73E24">
        <w:rPr>
          <w:rFonts w:cstheme="minorHAnsi"/>
        </w:rPr>
        <w:t xml:space="preserve"> </w:t>
      </w:r>
    </w:p>
  </w:footnote>
  <w:footnote w:id="40">
    <w:p w14:paraId="337FE8A3" w14:textId="77777777" w:rsidR="00463F43" w:rsidRPr="00C73E24" w:rsidRDefault="00463F43" w:rsidP="00463F43">
      <w:pPr>
        <w:pStyle w:val="FootnoteText"/>
        <w:rPr>
          <w:rFonts w:cstheme="minorHAnsi"/>
        </w:rPr>
      </w:pPr>
      <w:r w:rsidRPr="00C73E24">
        <w:rPr>
          <w:rStyle w:val="FootnoteReference"/>
          <w:rFonts w:cstheme="minorHAnsi"/>
        </w:rPr>
        <w:footnoteRef/>
      </w:r>
      <w:r w:rsidRPr="00C73E24">
        <w:rPr>
          <w:rFonts w:cstheme="minorHAnsi"/>
        </w:rPr>
        <w:t xml:space="preserve"> </w:t>
      </w:r>
      <w:hyperlink r:id="rId24" w:history="1">
        <w:r w:rsidRPr="00C73E24">
          <w:rPr>
            <w:rStyle w:val="Hyperlink"/>
            <w:rFonts w:cstheme="minorHAnsi"/>
          </w:rPr>
          <w:t>https://www.blood.ca/sites/default/files/1000106075.pdf</w:t>
        </w:r>
      </w:hyperlink>
      <w:r w:rsidRPr="00C73E24">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3573" w14:textId="77777777" w:rsidR="00A94A2D" w:rsidRDefault="00A94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12A2" w14:textId="1483776C" w:rsidR="00463F43" w:rsidRDefault="00463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2A5D" w14:textId="77777777" w:rsidR="00A94A2D" w:rsidRDefault="00A94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B09A58"/>
    <w:lvl w:ilvl="0">
      <w:start w:val="1"/>
      <w:numFmt w:val="decimal"/>
      <w:pStyle w:val="ListNumber"/>
      <w:lvlText w:val="%1."/>
      <w:lvlJc w:val="left"/>
      <w:pPr>
        <w:tabs>
          <w:tab w:val="num" w:pos="360"/>
        </w:tabs>
        <w:ind w:left="360" w:hanging="360"/>
      </w:pPr>
    </w:lvl>
  </w:abstractNum>
  <w:abstractNum w:abstractNumId="1" w15:restartNumberingAfterBreak="0">
    <w:nsid w:val="08CF1207"/>
    <w:multiLevelType w:val="hybridMultilevel"/>
    <w:tmpl w:val="955422D4"/>
    <w:lvl w:ilvl="0" w:tplc="295CF7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754B2"/>
    <w:multiLevelType w:val="hybridMultilevel"/>
    <w:tmpl w:val="88189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50305"/>
    <w:multiLevelType w:val="hybridMultilevel"/>
    <w:tmpl w:val="FE98C3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E2842"/>
    <w:multiLevelType w:val="hybridMultilevel"/>
    <w:tmpl w:val="3534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84C8B"/>
    <w:multiLevelType w:val="hybridMultilevel"/>
    <w:tmpl w:val="98128312"/>
    <w:lvl w:ilvl="0" w:tplc="E41A35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F216E4"/>
    <w:multiLevelType w:val="hybridMultilevel"/>
    <w:tmpl w:val="CA361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01DD6"/>
    <w:multiLevelType w:val="hybridMultilevel"/>
    <w:tmpl w:val="D534C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7A78CC"/>
    <w:multiLevelType w:val="hybridMultilevel"/>
    <w:tmpl w:val="E438D81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1F526E"/>
    <w:multiLevelType w:val="hybridMultilevel"/>
    <w:tmpl w:val="6E2E5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E21FEB"/>
    <w:multiLevelType w:val="hybridMultilevel"/>
    <w:tmpl w:val="636C814A"/>
    <w:lvl w:ilvl="0" w:tplc="89C24726">
      <w:numFmt w:val="bullet"/>
      <w:lvlText w:val="•"/>
      <w:lvlJc w:val="left"/>
      <w:pPr>
        <w:ind w:left="4924" w:hanging="284"/>
      </w:pPr>
      <w:rPr>
        <w:rFonts w:ascii="Franklin Gothic Book" w:eastAsia="Franklin Gothic Book" w:hAnsi="Franklin Gothic Book" w:cs="Franklin Gothic Book" w:hint="default"/>
        <w:b w:val="0"/>
        <w:bCs w:val="0"/>
        <w:i w:val="0"/>
        <w:iCs w:val="0"/>
        <w:w w:val="100"/>
        <w:sz w:val="22"/>
        <w:szCs w:val="22"/>
        <w:lang w:val="en-GB" w:eastAsia="en-US" w:bidi="ar-SA"/>
      </w:rPr>
    </w:lvl>
    <w:lvl w:ilvl="1" w:tplc="10340336">
      <w:numFmt w:val="bullet"/>
      <w:lvlText w:val="•"/>
      <w:lvlJc w:val="left"/>
      <w:pPr>
        <w:ind w:left="5171" w:hanging="284"/>
      </w:pPr>
      <w:rPr>
        <w:rFonts w:ascii="Franklin Gothic Book" w:eastAsia="Franklin Gothic Book" w:hAnsi="Franklin Gothic Book" w:cs="Franklin Gothic Book" w:hint="default"/>
        <w:b w:val="0"/>
        <w:bCs w:val="0"/>
        <w:i w:val="0"/>
        <w:iCs w:val="0"/>
        <w:w w:val="100"/>
        <w:sz w:val="22"/>
        <w:szCs w:val="22"/>
        <w:lang w:val="en-GB" w:eastAsia="en-US" w:bidi="ar-SA"/>
      </w:rPr>
    </w:lvl>
    <w:lvl w:ilvl="2" w:tplc="7996014E">
      <w:numFmt w:val="bullet"/>
      <w:lvlText w:val="•"/>
      <w:lvlJc w:val="left"/>
      <w:pPr>
        <w:ind w:left="5903" w:hanging="284"/>
      </w:pPr>
      <w:rPr>
        <w:rFonts w:hint="default"/>
        <w:lang w:val="en-GB" w:eastAsia="en-US" w:bidi="ar-SA"/>
      </w:rPr>
    </w:lvl>
    <w:lvl w:ilvl="3" w:tplc="802234BA">
      <w:numFmt w:val="bullet"/>
      <w:lvlText w:val="•"/>
      <w:lvlJc w:val="left"/>
      <w:pPr>
        <w:ind w:left="6630" w:hanging="284"/>
      </w:pPr>
      <w:rPr>
        <w:rFonts w:hint="default"/>
        <w:lang w:val="en-GB" w:eastAsia="en-US" w:bidi="ar-SA"/>
      </w:rPr>
    </w:lvl>
    <w:lvl w:ilvl="4" w:tplc="4A921C48">
      <w:numFmt w:val="bullet"/>
      <w:lvlText w:val="•"/>
      <w:lvlJc w:val="left"/>
      <w:pPr>
        <w:ind w:left="7357" w:hanging="284"/>
      </w:pPr>
      <w:rPr>
        <w:rFonts w:hint="default"/>
        <w:lang w:val="en-GB" w:eastAsia="en-US" w:bidi="ar-SA"/>
      </w:rPr>
    </w:lvl>
    <w:lvl w:ilvl="5" w:tplc="67021548">
      <w:numFmt w:val="bullet"/>
      <w:lvlText w:val="•"/>
      <w:lvlJc w:val="left"/>
      <w:pPr>
        <w:ind w:left="8085" w:hanging="284"/>
      </w:pPr>
      <w:rPr>
        <w:rFonts w:hint="default"/>
        <w:lang w:val="en-GB" w:eastAsia="en-US" w:bidi="ar-SA"/>
      </w:rPr>
    </w:lvl>
    <w:lvl w:ilvl="6" w:tplc="D07849D2">
      <w:numFmt w:val="bullet"/>
      <w:lvlText w:val="•"/>
      <w:lvlJc w:val="left"/>
      <w:pPr>
        <w:ind w:left="8812" w:hanging="284"/>
      </w:pPr>
      <w:rPr>
        <w:rFonts w:hint="default"/>
        <w:lang w:val="en-GB" w:eastAsia="en-US" w:bidi="ar-SA"/>
      </w:rPr>
    </w:lvl>
    <w:lvl w:ilvl="7" w:tplc="58AA0A34">
      <w:numFmt w:val="bullet"/>
      <w:lvlText w:val="•"/>
      <w:lvlJc w:val="left"/>
      <w:pPr>
        <w:ind w:left="9539" w:hanging="284"/>
      </w:pPr>
      <w:rPr>
        <w:rFonts w:hint="default"/>
        <w:lang w:val="en-GB" w:eastAsia="en-US" w:bidi="ar-SA"/>
      </w:rPr>
    </w:lvl>
    <w:lvl w:ilvl="8" w:tplc="CD548566">
      <w:numFmt w:val="bullet"/>
      <w:lvlText w:val="•"/>
      <w:lvlJc w:val="left"/>
      <w:pPr>
        <w:ind w:left="10266" w:hanging="284"/>
      </w:pPr>
      <w:rPr>
        <w:rFonts w:hint="default"/>
        <w:lang w:val="en-GB" w:eastAsia="en-US" w:bidi="ar-SA"/>
      </w:rPr>
    </w:lvl>
  </w:abstractNum>
  <w:abstractNum w:abstractNumId="11" w15:restartNumberingAfterBreak="0">
    <w:nsid w:val="56D914FE"/>
    <w:multiLevelType w:val="hybridMultilevel"/>
    <w:tmpl w:val="88189D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BE36AC"/>
    <w:multiLevelType w:val="hybridMultilevel"/>
    <w:tmpl w:val="3544E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5B7F32"/>
    <w:multiLevelType w:val="hybridMultilevel"/>
    <w:tmpl w:val="D0C2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FD1508"/>
    <w:multiLevelType w:val="hybridMultilevel"/>
    <w:tmpl w:val="24DA33C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FA700E"/>
    <w:multiLevelType w:val="hybridMultilevel"/>
    <w:tmpl w:val="E5207E64"/>
    <w:lvl w:ilvl="0" w:tplc="B02AE6C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16cid:durableId="1045711570">
    <w:abstractNumId w:val="10"/>
  </w:num>
  <w:num w:numId="2" w16cid:durableId="1814785854">
    <w:abstractNumId w:val="0"/>
  </w:num>
  <w:num w:numId="3" w16cid:durableId="82915380">
    <w:abstractNumId w:val="0"/>
    <w:lvlOverride w:ilvl="0">
      <w:startOverride w:val="1"/>
    </w:lvlOverride>
  </w:num>
  <w:num w:numId="4" w16cid:durableId="694886044">
    <w:abstractNumId w:val="12"/>
  </w:num>
  <w:num w:numId="5" w16cid:durableId="86393875">
    <w:abstractNumId w:val="4"/>
  </w:num>
  <w:num w:numId="6" w16cid:durableId="1085490449">
    <w:abstractNumId w:val="7"/>
  </w:num>
  <w:num w:numId="7" w16cid:durableId="1911651610">
    <w:abstractNumId w:val="9"/>
  </w:num>
  <w:num w:numId="8" w16cid:durableId="1726484438">
    <w:abstractNumId w:val="6"/>
  </w:num>
  <w:num w:numId="9" w16cid:durableId="557546609">
    <w:abstractNumId w:val="5"/>
  </w:num>
  <w:num w:numId="10" w16cid:durableId="1240403909">
    <w:abstractNumId w:val="11"/>
  </w:num>
  <w:num w:numId="11" w16cid:durableId="1960331252">
    <w:abstractNumId w:val="2"/>
  </w:num>
  <w:num w:numId="12" w16cid:durableId="1720129987">
    <w:abstractNumId w:val="3"/>
  </w:num>
  <w:num w:numId="13" w16cid:durableId="1876573527">
    <w:abstractNumId w:val="13"/>
  </w:num>
  <w:num w:numId="14" w16cid:durableId="76367420">
    <w:abstractNumId w:val="14"/>
  </w:num>
  <w:num w:numId="15" w16cid:durableId="452288219">
    <w:abstractNumId w:val="1"/>
  </w:num>
  <w:num w:numId="16" w16cid:durableId="647128127">
    <w:abstractNumId w:val="15"/>
  </w:num>
  <w:num w:numId="17" w16cid:durableId="1934700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43"/>
    <w:rsid w:val="00232E01"/>
    <w:rsid w:val="0028298B"/>
    <w:rsid w:val="003250DB"/>
    <w:rsid w:val="004433CD"/>
    <w:rsid w:val="00447586"/>
    <w:rsid w:val="00463F43"/>
    <w:rsid w:val="006D018C"/>
    <w:rsid w:val="006F12D5"/>
    <w:rsid w:val="0078265E"/>
    <w:rsid w:val="009B2E74"/>
    <w:rsid w:val="00A94A2D"/>
    <w:rsid w:val="00AE3C7B"/>
    <w:rsid w:val="00C92DA6"/>
    <w:rsid w:val="00CA4BAA"/>
    <w:rsid w:val="00EC7D71"/>
    <w:rsid w:val="00F11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B731"/>
  <w15:chartTrackingRefBased/>
  <w15:docId w15:val="{EAC7AE4E-0DF5-4B64-87D8-F2CBA25B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F43"/>
  </w:style>
  <w:style w:type="paragraph" w:styleId="Heading1">
    <w:name w:val="heading 1"/>
    <w:basedOn w:val="Normal"/>
    <w:next w:val="Normal"/>
    <w:link w:val="Heading1Char"/>
    <w:uiPriority w:val="9"/>
    <w:qFormat/>
    <w:rsid w:val="00463F43"/>
    <w:pPr>
      <w:keepNext/>
      <w:keepLines/>
      <w:spacing w:before="240" w:after="120"/>
      <w:outlineLvl w:val="0"/>
    </w:pPr>
    <w:rPr>
      <w:rFonts w:asciiTheme="majorHAnsi" w:eastAsiaTheme="majorEastAsia" w:hAnsiTheme="majorHAnsi"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463F43"/>
    <w:pPr>
      <w:keepNext/>
      <w:keepLines/>
      <w:spacing w:before="120" w:after="120"/>
      <w:outlineLvl w:val="1"/>
    </w:pPr>
    <w:rPr>
      <w:rFonts w:asciiTheme="majorHAnsi" w:eastAsiaTheme="majorEastAsia" w:hAnsiTheme="majorHAnsi" w:cstheme="majorBidi"/>
      <w:b/>
      <w:color w:val="C45911" w:themeColor="accent2" w:themeShade="BF"/>
      <w:sz w:val="28"/>
      <w:szCs w:val="26"/>
    </w:rPr>
  </w:style>
  <w:style w:type="paragraph" w:styleId="Heading3">
    <w:name w:val="heading 3"/>
    <w:basedOn w:val="Normal"/>
    <w:next w:val="Normal"/>
    <w:link w:val="Heading3Char"/>
    <w:uiPriority w:val="9"/>
    <w:unhideWhenUsed/>
    <w:qFormat/>
    <w:rsid w:val="00463F43"/>
    <w:pPr>
      <w:keepNext/>
      <w:keepLines/>
      <w:spacing w:before="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63F43"/>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463F43"/>
    <w:pPr>
      <w:keepNext/>
      <w:keepLines/>
      <w:spacing w:before="40" w:after="120"/>
      <w:outlineLvl w:val="4"/>
    </w:pPr>
    <w:rPr>
      <w:rFonts w:asciiTheme="majorHAnsi" w:eastAsiaTheme="majorEastAsia" w:hAnsiTheme="majorHAnsi" w:cstheme="majorBidi"/>
      <w:b/>
      <w:color w:val="2F5496" w:themeColor="accent1" w:themeShade="BF"/>
    </w:rPr>
  </w:style>
  <w:style w:type="paragraph" w:styleId="Heading6">
    <w:name w:val="heading 6"/>
    <w:basedOn w:val="Normal"/>
    <w:next w:val="Normal"/>
    <w:link w:val="Heading6Char"/>
    <w:uiPriority w:val="9"/>
    <w:unhideWhenUsed/>
    <w:qFormat/>
    <w:rsid w:val="00463F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F43"/>
    <w:rPr>
      <w:rFonts w:asciiTheme="majorHAnsi" w:eastAsiaTheme="majorEastAsia" w:hAnsiTheme="majorHAnsi" w:cstheme="majorBidi"/>
      <w:b/>
      <w:color w:val="2F5496" w:themeColor="accent1" w:themeShade="BF"/>
      <w:sz w:val="40"/>
      <w:szCs w:val="32"/>
    </w:rPr>
  </w:style>
  <w:style w:type="character" w:customStyle="1" w:styleId="Heading2Char">
    <w:name w:val="Heading 2 Char"/>
    <w:basedOn w:val="DefaultParagraphFont"/>
    <w:link w:val="Heading2"/>
    <w:uiPriority w:val="9"/>
    <w:rsid w:val="00463F43"/>
    <w:rPr>
      <w:rFonts w:asciiTheme="majorHAnsi" w:eastAsiaTheme="majorEastAsia" w:hAnsiTheme="majorHAnsi" w:cstheme="majorBidi"/>
      <w:b/>
      <w:color w:val="C45911" w:themeColor="accent2" w:themeShade="BF"/>
      <w:sz w:val="28"/>
      <w:szCs w:val="26"/>
    </w:rPr>
  </w:style>
  <w:style w:type="character" w:customStyle="1" w:styleId="Heading3Char">
    <w:name w:val="Heading 3 Char"/>
    <w:basedOn w:val="DefaultParagraphFont"/>
    <w:link w:val="Heading3"/>
    <w:uiPriority w:val="9"/>
    <w:rsid w:val="00463F4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63F4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463F43"/>
    <w:rPr>
      <w:rFonts w:asciiTheme="majorHAnsi" w:eastAsiaTheme="majorEastAsia" w:hAnsiTheme="majorHAnsi" w:cstheme="majorBidi"/>
      <w:b/>
      <w:color w:val="2F5496" w:themeColor="accent1" w:themeShade="BF"/>
    </w:rPr>
  </w:style>
  <w:style w:type="character" w:customStyle="1" w:styleId="Heading6Char">
    <w:name w:val="Heading 6 Char"/>
    <w:basedOn w:val="DefaultParagraphFont"/>
    <w:link w:val="Heading6"/>
    <w:uiPriority w:val="9"/>
    <w:rsid w:val="00463F43"/>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463F43"/>
    <w:pPr>
      <w:widowControl w:val="0"/>
      <w:autoSpaceDE w:val="0"/>
      <w:autoSpaceDN w:val="0"/>
      <w:spacing w:after="0" w:line="240" w:lineRule="auto"/>
    </w:pPr>
    <w:rPr>
      <w:rFonts w:ascii="Franklin Gothic Book" w:eastAsia="Franklin Gothic Book" w:hAnsi="Franklin Gothic Book" w:cs="Franklin Gothic Book"/>
      <w:lang w:val="en-GB"/>
    </w:rPr>
  </w:style>
  <w:style w:type="character" w:customStyle="1" w:styleId="BodyTextChar">
    <w:name w:val="Body Text Char"/>
    <w:basedOn w:val="DefaultParagraphFont"/>
    <w:link w:val="BodyText"/>
    <w:uiPriority w:val="1"/>
    <w:rsid w:val="00463F43"/>
    <w:rPr>
      <w:rFonts w:ascii="Franklin Gothic Book" w:eastAsia="Franklin Gothic Book" w:hAnsi="Franklin Gothic Book" w:cs="Franklin Gothic Book"/>
      <w:lang w:val="en-GB"/>
    </w:rPr>
  </w:style>
  <w:style w:type="paragraph" w:styleId="ListParagraph">
    <w:name w:val="List Paragraph"/>
    <w:basedOn w:val="Normal"/>
    <w:uiPriority w:val="1"/>
    <w:qFormat/>
    <w:rsid w:val="00463F43"/>
    <w:pPr>
      <w:widowControl w:val="0"/>
      <w:autoSpaceDE w:val="0"/>
      <w:autoSpaceDN w:val="0"/>
      <w:spacing w:before="116" w:after="0" w:line="240" w:lineRule="auto"/>
      <w:ind w:left="3788" w:hanging="284"/>
    </w:pPr>
    <w:rPr>
      <w:rFonts w:ascii="Franklin Gothic Book" w:eastAsia="Franklin Gothic Book" w:hAnsi="Franklin Gothic Book" w:cs="Franklin Gothic Book"/>
      <w:lang w:val="en-GB"/>
    </w:rPr>
  </w:style>
  <w:style w:type="character" w:styleId="CommentReference">
    <w:name w:val="annotation reference"/>
    <w:basedOn w:val="DefaultParagraphFont"/>
    <w:uiPriority w:val="99"/>
    <w:semiHidden/>
    <w:unhideWhenUsed/>
    <w:rsid w:val="00463F43"/>
    <w:rPr>
      <w:sz w:val="16"/>
      <w:szCs w:val="16"/>
    </w:rPr>
  </w:style>
  <w:style w:type="paragraph" w:styleId="CommentText">
    <w:name w:val="annotation text"/>
    <w:basedOn w:val="Normal"/>
    <w:link w:val="CommentTextChar"/>
    <w:uiPriority w:val="99"/>
    <w:semiHidden/>
    <w:unhideWhenUsed/>
    <w:rsid w:val="00463F43"/>
    <w:pPr>
      <w:spacing w:line="240" w:lineRule="auto"/>
    </w:pPr>
    <w:rPr>
      <w:sz w:val="20"/>
      <w:szCs w:val="20"/>
    </w:rPr>
  </w:style>
  <w:style w:type="character" w:customStyle="1" w:styleId="CommentTextChar">
    <w:name w:val="Comment Text Char"/>
    <w:basedOn w:val="DefaultParagraphFont"/>
    <w:link w:val="CommentText"/>
    <w:uiPriority w:val="99"/>
    <w:semiHidden/>
    <w:rsid w:val="00463F43"/>
    <w:rPr>
      <w:sz w:val="20"/>
      <w:szCs w:val="20"/>
    </w:rPr>
  </w:style>
  <w:style w:type="paragraph" w:styleId="CommentSubject">
    <w:name w:val="annotation subject"/>
    <w:basedOn w:val="CommentText"/>
    <w:next w:val="CommentText"/>
    <w:link w:val="CommentSubjectChar"/>
    <w:uiPriority w:val="99"/>
    <w:semiHidden/>
    <w:unhideWhenUsed/>
    <w:rsid w:val="00463F43"/>
    <w:rPr>
      <w:b/>
      <w:bCs/>
    </w:rPr>
  </w:style>
  <w:style w:type="character" w:customStyle="1" w:styleId="CommentSubjectChar">
    <w:name w:val="Comment Subject Char"/>
    <w:basedOn w:val="CommentTextChar"/>
    <w:link w:val="CommentSubject"/>
    <w:uiPriority w:val="99"/>
    <w:semiHidden/>
    <w:rsid w:val="00463F43"/>
    <w:rPr>
      <w:b/>
      <w:bCs/>
      <w:sz w:val="20"/>
      <w:szCs w:val="20"/>
    </w:rPr>
  </w:style>
  <w:style w:type="paragraph" w:styleId="ListNumber">
    <w:name w:val="List Number"/>
    <w:basedOn w:val="Normal"/>
    <w:rsid w:val="00463F43"/>
    <w:pPr>
      <w:numPr>
        <w:numId w:val="2"/>
      </w:numPr>
      <w:spacing w:before="120" w:after="120" w:line="240" w:lineRule="auto"/>
      <w:ind w:left="357" w:hanging="357"/>
    </w:pPr>
    <w:rPr>
      <w:rFonts w:ascii="Arial" w:eastAsia="Times New Roman" w:hAnsi="Arial" w:cs="Times New Roman"/>
      <w:szCs w:val="24"/>
    </w:rPr>
  </w:style>
  <w:style w:type="table" w:styleId="TableGrid">
    <w:name w:val="Table Grid"/>
    <w:basedOn w:val="TableNormal"/>
    <w:uiPriority w:val="39"/>
    <w:rsid w:val="00463F4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F43"/>
    <w:rPr>
      <w:color w:val="0000FF"/>
      <w:u w:val="single"/>
    </w:rPr>
  </w:style>
  <w:style w:type="table" w:customStyle="1" w:styleId="TableGrid1">
    <w:name w:val="Table Grid1"/>
    <w:basedOn w:val="TableNormal"/>
    <w:next w:val="TableGrid"/>
    <w:uiPriority w:val="39"/>
    <w:rsid w:val="004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43"/>
  </w:style>
  <w:style w:type="paragraph" w:styleId="Footer">
    <w:name w:val="footer"/>
    <w:basedOn w:val="Normal"/>
    <w:link w:val="FooterChar"/>
    <w:uiPriority w:val="99"/>
    <w:unhideWhenUsed/>
    <w:rsid w:val="00463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43"/>
  </w:style>
  <w:style w:type="table" w:customStyle="1" w:styleId="TableGrid2">
    <w:name w:val="Table Grid2"/>
    <w:basedOn w:val="TableNormal"/>
    <w:next w:val="TableGrid"/>
    <w:uiPriority w:val="39"/>
    <w:rsid w:val="004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3F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F43"/>
    <w:rPr>
      <w:sz w:val="20"/>
      <w:szCs w:val="20"/>
    </w:rPr>
  </w:style>
  <w:style w:type="character" w:styleId="FootnoteReference">
    <w:name w:val="footnote reference"/>
    <w:basedOn w:val="DefaultParagraphFont"/>
    <w:uiPriority w:val="99"/>
    <w:semiHidden/>
    <w:unhideWhenUsed/>
    <w:rsid w:val="00463F43"/>
    <w:rPr>
      <w:vertAlign w:val="superscript"/>
    </w:rPr>
  </w:style>
  <w:style w:type="character" w:styleId="FollowedHyperlink">
    <w:name w:val="FollowedHyperlink"/>
    <w:basedOn w:val="DefaultParagraphFont"/>
    <w:uiPriority w:val="99"/>
    <w:semiHidden/>
    <w:unhideWhenUsed/>
    <w:rsid w:val="00463F43"/>
    <w:rPr>
      <w:color w:val="954F72" w:themeColor="followedHyperlink"/>
      <w:u w:val="single"/>
    </w:rPr>
  </w:style>
  <w:style w:type="character" w:styleId="UnresolvedMention">
    <w:name w:val="Unresolved Mention"/>
    <w:basedOn w:val="DefaultParagraphFont"/>
    <w:uiPriority w:val="99"/>
    <w:semiHidden/>
    <w:unhideWhenUsed/>
    <w:rsid w:val="00463F43"/>
    <w:rPr>
      <w:color w:val="605E5C"/>
      <w:shd w:val="clear" w:color="auto" w:fill="E1DFDD"/>
    </w:rPr>
  </w:style>
  <w:style w:type="paragraph" w:styleId="EndnoteText">
    <w:name w:val="endnote text"/>
    <w:basedOn w:val="Normal"/>
    <w:link w:val="EndnoteTextChar"/>
    <w:uiPriority w:val="99"/>
    <w:semiHidden/>
    <w:unhideWhenUsed/>
    <w:rsid w:val="00463F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F43"/>
    <w:rPr>
      <w:sz w:val="20"/>
      <w:szCs w:val="20"/>
    </w:rPr>
  </w:style>
  <w:style w:type="character" w:styleId="EndnoteReference">
    <w:name w:val="endnote reference"/>
    <w:basedOn w:val="DefaultParagraphFont"/>
    <w:uiPriority w:val="99"/>
    <w:semiHidden/>
    <w:unhideWhenUsed/>
    <w:rsid w:val="00463F43"/>
    <w:rPr>
      <w:vertAlign w:val="superscript"/>
    </w:rPr>
  </w:style>
  <w:style w:type="paragraph" w:customStyle="1" w:styleId="StyleBodyTextLatinBodyCalibri">
    <w:name w:val="Style Body Text + (Latin) +Body (Calibri)"/>
    <w:basedOn w:val="BodyText"/>
    <w:rsid w:val="00463F43"/>
    <w:rPr>
      <w:rFonts w:asciiTheme="minorHAnsi" w:hAnsiTheme="minorHAnsi"/>
    </w:rPr>
  </w:style>
  <w:style w:type="paragraph" w:styleId="Revision">
    <w:name w:val="Revision"/>
    <w:hidden/>
    <w:uiPriority w:val="99"/>
    <w:semiHidden/>
    <w:rsid w:val="00463F43"/>
    <w:pPr>
      <w:spacing w:after="0" w:line="240" w:lineRule="auto"/>
    </w:pPr>
  </w:style>
  <w:style w:type="paragraph" w:styleId="TOCHeading">
    <w:name w:val="TOC Heading"/>
    <w:basedOn w:val="Heading1"/>
    <w:next w:val="Normal"/>
    <w:uiPriority w:val="39"/>
    <w:unhideWhenUsed/>
    <w:qFormat/>
    <w:rsid w:val="00463F43"/>
    <w:pPr>
      <w:spacing w:after="0"/>
      <w:outlineLvl w:val="9"/>
    </w:pPr>
    <w:rPr>
      <w:b w:val="0"/>
      <w:sz w:val="32"/>
      <w:lang w:val="en-US"/>
    </w:rPr>
  </w:style>
  <w:style w:type="paragraph" w:styleId="TOC1">
    <w:name w:val="toc 1"/>
    <w:basedOn w:val="Normal"/>
    <w:next w:val="Normal"/>
    <w:autoRedefine/>
    <w:uiPriority w:val="39"/>
    <w:unhideWhenUsed/>
    <w:rsid w:val="00463F43"/>
    <w:pPr>
      <w:spacing w:after="100"/>
    </w:pPr>
  </w:style>
  <w:style w:type="paragraph" w:styleId="TOC2">
    <w:name w:val="toc 2"/>
    <w:basedOn w:val="Normal"/>
    <w:next w:val="Normal"/>
    <w:autoRedefine/>
    <w:uiPriority w:val="39"/>
    <w:unhideWhenUsed/>
    <w:rsid w:val="00463F43"/>
    <w:pPr>
      <w:spacing w:after="100"/>
      <w:ind w:left="220"/>
    </w:pPr>
  </w:style>
  <w:style w:type="paragraph" w:styleId="TOC3">
    <w:name w:val="toc 3"/>
    <w:basedOn w:val="Normal"/>
    <w:next w:val="Normal"/>
    <w:autoRedefine/>
    <w:uiPriority w:val="39"/>
    <w:unhideWhenUsed/>
    <w:rsid w:val="00463F43"/>
    <w:pPr>
      <w:spacing w:after="100"/>
      <w:ind w:left="440"/>
    </w:pPr>
  </w:style>
  <w:style w:type="paragraph" w:styleId="NormalWeb">
    <w:name w:val="Normal (Web)"/>
    <w:basedOn w:val="Normal"/>
    <w:uiPriority w:val="99"/>
    <w:semiHidden/>
    <w:unhideWhenUsed/>
    <w:rsid w:val="00463F4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www.hema-quebec.qc.ca/index.en.html" TargetMode="External"/><Relationship Id="rId3" Type="http://schemas.openxmlformats.org/officeDocument/2006/relationships/settings" Target="settings.xml"/><Relationship Id="rId21" Type="http://schemas.openxmlformats.org/officeDocument/2006/relationships/hyperlink" Target="https://bmdp.org/"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blood.ca/en/stemcell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bbmr.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professional.dkms.org/about/registry"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giftoflife.org/"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anthonynolan.org/" TargetMode="External"/><Relationship Id="rId4" Type="http://schemas.openxmlformats.org/officeDocument/2006/relationships/webSettings" Target="webSettings.xml"/><Relationship Id="rId9" Type="http://schemas.openxmlformats.org/officeDocument/2006/relationships/hyperlink" Target="https://www.health.gov.au/initiatives-and-programs/haemopoietic-progenitor-cell-framework-and-programs" TargetMode="External"/><Relationship Id="rId14" Type="http://schemas.openxmlformats.org/officeDocument/2006/relationships/header" Target="header3.xml"/><Relationship Id="rId22" Type="http://schemas.openxmlformats.org/officeDocument/2006/relationships/hyperlink" Target="https://bethematch.org/" TargetMode="External"/><Relationship Id="rId27" Type="http://schemas.openxmlformats.org/officeDocument/2006/relationships/hyperlink" Target="https://www.histogenetic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people/aboriginal-and-torres-strait-islander-peoples/estimates-aboriginal-and-torres-strait-islander-australians/latest-release" TargetMode="External"/><Relationship Id="rId13" Type="http://schemas.openxmlformats.org/officeDocument/2006/relationships/hyperlink" Target="https://www.safetyandquality.gov.au/publications-and-resources/resource-library/requirements-medical-testing-human-genetic-variation-third-edition" TargetMode="External"/><Relationship Id="rId18" Type="http://schemas.openxmlformats.org/officeDocument/2006/relationships/hyperlink" Target="https://bethematch.org/transplant-basics/matching-patients-with-donors/why-donor-age-matters/" TargetMode="External"/><Relationship Id="rId3" Type="http://schemas.openxmlformats.org/officeDocument/2006/relationships/hyperlink" Target="https://www.health.gov.au/our-work/haemopoietic-progenitor-cell-framework-and-programs?language=und" TargetMode="External"/><Relationship Id="rId21" Type="http://schemas.openxmlformats.org/officeDocument/2006/relationships/hyperlink" Target="https://www.giftoflife.org/donors/donationprocess2" TargetMode="External"/><Relationship Id="rId7" Type="http://schemas.openxmlformats.org/officeDocument/2006/relationships/hyperlink" Target="https://www.blood.gov.au/sites/default/files/NBA0861%20%20NBA%20Annual%20Report%20202122%20-%20WCAG.pdf" TargetMode="External"/><Relationship Id="rId12" Type="http://schemas.openxmlformats.org/officeDocument/2006/relationships/hyperlink" Target="https://pubmed.ncbi.nlm.nih.gov/24850801/" TargetMode="External"/><Relationship Id="rId17" Type="http://schemas.openxmlformats.org/officeDocument/2006/relationships/hyperlink" Target="https://doi.org/10.1371/journal.pone.0165810" TargetMode="External"/><Relationship Id="rId2" Type="http://schemas.openxmlformats.org/officeDocument/2006/relationships/hyperlink" Target="https://www.abmtrr.org/index.php/annual-data-summary/" TargetMode="External"/><Relationship Id="rId16" Type="http://schemas.openxmlformats.org/officeDocument/2006/relationships/hyperlink" Target="https://bethematch.org/swabguide/" TargetMode="External"/><Relationship Id="rId20" Type="http://schemas.openxmlformats.org/officeDocument/2006/relationships/hyperlink" Target="https://www.giftoflife.org/donors/donationprocess1" TargetMode="External"/><Relationship Id="rId1" Type="http://schemas.openxmlformats.org/officeDocument/2006/relationships/hyperlink" Target="https://wmda.info/" TargetMode="External"/><Relationship Id="rId6" Type="http://schemas.openxmlformats.org/officeDocument/2006/relationships/hyperlink" Target="https://www.sciencedirect.com/science/article/pii/S0006497120587454" TargetMode="External"/><Relationship Id="rId11" Type="http://schemas.openxmlformats.org/officeDocument/2006/relationships/hyperlink" Target="https://professional.dkms.org/research-publications/publications/behrens2020" TargetMode="External"/><Relationship Id="rId24" Type="http://schemas.openxmlformats.org/officeDocument/2006/relationships/hyperlink" Target="https://www.blood.ca/sites/default/files/1000106075.pdf" TargetMode="External"/><Relationship Id="rId5" Type="http://schemas.openxmlformats.org/officeDocument/2006/relationships/hyperlink" Target="%20https://www.leukaemia.org.au/national-action-plan/ndation" TargetMode="External"/><Relationship Id="rId15" Type="http://schemas.openxmlformats.org/officeDocument/2006/relationships/hyperlink" Target="https://www.blood.co.uk/news-and-campaigns/news-and-statements/nhsbt-first-in-uk-to-use-next-generation-sequencing/" TargetMode="External"/><Relationship Id="rId23" Type="http://schemas.openxmlformats.org/officeDocument/2006/relationships/hyperlink" Target="https://www.youtube.com/watch?v=lrOis-F3CiE" TargetMode="External"/><Relationship Id="rId10" Type="http://schemas.openxmlformats.org/officeDocument/2006/relationships/hyperlink" Target="https://www.ncbi.nlm.nih.gov/pmc/articles/PMC5087893/" TargetMode="External"/><Relationship Id="rId19" Type="http://schemas.openxmlformats.org/officeDocument/2006/relationships/hyperlink" Target="https://www.giftoflife.org/donors/donationprocess1" TargetMode="External"/><Relationship Id="rId4" Type="http://schemas.openxmlformats.org/officeDocument/2006/relationships/hyperlink" Target="https://www.health.gov.au/our-work/haemopoietic-progenitor-cell-framework-and-programs?language=und" TargetMode="External"/><Relationship Id="rId9" Type="http://schemas.openxmlformats.org/officeDocument/2006/relationships/hyperlink" Target="https://www.abs.gov.au/statistics/people/population/australias-population-country-birth/latest-release" TargetMode="External"/><Relationship Id="rId14" Type="http://schemas.openxmlformats.org/officeDocument/2006/relationships/hyperlink" Target="https://www.safetyandquality.gov.au/publications-and-resources/resource-library/requirements-medical-testing-human-genetic-variation-third-edition" TargetMode="External"/><Relationship Id="rId22" Type="http://schemas.openxmlformats.org/officeDocument/2006/relationships/hyperlink" Target="https://doi.org/10.1016/j.hemonc.2020.0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10781</Words>
  <Characters>61458</Characters>
  <Application>Microsoft Office Word</Application>
  <DocSecurity>0</DocSecurity>
  <Lines>1575</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Adult Haemopoietic Progenitor Cell Donor Recruitment Reform</dc:title>
  <dc:subject/>
  <dc:creator>Australian Government Department of Health and Aged Care</dc:creator>
  <cp:keywords/>
  <dc:description/>
  <cp:lastModifiedBy>ARNOLD, Max</cp:lastModifiedBy>
  <cp:revision>4</cp:revision>
  <cp:lastPrinted>2023-12-14T02:20:00Z</cp:lastPrinted>
  <dcterms:created xsi:type="dcterms:W3CDTF">2023-12-14T02:18:00Z</dcterms:created>
  <dcterms:modified xsi:type="dcterms:W3CDTF">2023-12-14T02:32:00Z</dcterms:modified>
</cp:coreProperties>
</file>