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B8514" w14:textId="06A1E827" w:rsidR="00681E9F" w:rsidRPr="00D934B1" w:rsidRDefault="00ED0510" w:rsidP="00684B72">
      <w:pPr>
        <w:pStyle w:val="Heading1"/>
      </w:pPr>
      <w:bookmarkStart w:id="0" w:name="_Toc140849474"/>
      <w:bookmarkStart w:id="1" w:name="_Toc141263717"/>
      <w:bookmarkStart w:id="2" w:name="_Toc153452947"/>
      <w:r>
        <w:t>Questions and Answers</w:t>
      </w:r>
      <w:bookmarkEnd w:id="0"/>
      <w:bookmarkEnd w:id="1"/>
      <w:bookmarkEnd w:id="2"/>
    </w:p>
    <w:p w14:paraId="02E6AD6E" w14:textId="607D91E5" w:rsidR="00CA3823" w:rsidRPr="00CA3823" w:rsidRDefault="00CA3823" w:rsidP="00CA3823">
      <w:pPr>
        <w:pStyle w:val="Introduction"/>
        <w:rPr>
          <w:b/>
          <w:bCs/>
        </w:rPr>
      </w:pPr>
      <w:r w:rsidRPr="00CA3823">
        <w:rPr>
          <w:b/>
          <w:bCs/>
        </w:rPr>
        <w:t>Publishing provider reporting for stakeholders and the community Webinar – 28 November 2023</w:t>
      </w:r>
    </w:p>
    <w:p w14:paraId="7F1F28A3" w14:textId="7C558AD6" w:rsidR="00B126F1" w:rsidRPr="00214A44" w:rsidRDefault="00B126F1" w:rsidP="00214A44">
      <w:pPr>
        <w:pStyle w:val="Introduction"/>
      </w:pPr>
      <w:r w:rsidRPr="00214A44">
        <w:t xml:space="preserve">Thank you to everyone who attended and submitted their questions in the </w:t>
      </w:r>
      <w:hyperlink r:id="rId11">
        <w:r w:rsidRPr="00214A44">
          <w:rPr>
            <w:rStyle w:val="Hyperlink"/>
            <w:color w:val="1E1544"/>
            <w:u w:val="none"/>
          </w:rPr>
          <w:t>webinar</w:t>
        </w:r>
      </w:hyperlink>
      <w:r w:rsidR="00E85A75">
        <w:rPr>
          <w:rStyle w:val="Hyperlink"/>
          <w:color w:val="1E1544"/>
          <w:u w:val="none"/>
        </w:rPr>
        <w:t>.</w:t>
      </w:r>
      <w:r w:rsidRPr="00214A44">
        <w:t xml:space="preserve"> </w:t>
      </w:r>
    </w:p>
    <w:p w14:paraId="35BBE1A1" w14:textId="03A89758" w:rsidR="00214A44" w:rsidRDefault="00B126F1" w:rsidP="00681E9F">
      <w:pPr>
        <w:pStyle w:val="Introduction"/>
      </w:pPr>
      <w:r w:rsidRPr="00214A44">
        <w:t>This document provides answers to the questions</w:t>
      </w:r>
      <w:r w:rsidR="00D90951">
        <w:t>.</w:t>
      </w:r>
    </w:p>
    <w:p w14:paraId="61DD9089" w14:textId="76E76054" w:rsidR="00B126F1" w:rsidRPr="00214A44" w:rsidRDefault="00214A44" w:rsidP="00214A44">
      <w:pPr>
        <w:spacing w:before="0" w:after="0" w:line="240" w:lineRule="auto"/>
        <w:rPr>
          <w:color w:val="1E1544"/>
          <w:sz w:val="32"/>
          <w:szCs w:val="32"/>
        </w:rPr>
      </w:pPr>
      <w:r>
        <w:br w:type="page"/>
      </w:r>
    </w:p>
    <w:bookmarkStart w:id="3" w:name="_1)_Support_at" w:displacedByCustomXml="next"/>
    <w:bookmarkEnd w:id="3" w:displacedByCustomXml="next"/>
    <w:sdt>
      <w:sdtPr>
        <w:rPr>
          <w:rFonts w:ascii="Arial" w:eastAsia="Calibri" w:hAnsi="Arial" w:cs="Times New Roman"/>
          <w:color w:val="auto"/>
          <w:sz w:val="24"/>
          <w:szCs w:val="24"/>
          <w:lang w:val="en-AU"/>
        </w:rPr>
        <w:id w:val="601454733"/>
        <w:docPartObj>
          <w:docPartGallery w:val="Table of Contents"/>
          <w:docPartUnique/>
        </w:docPartObj>
      </w:sdtPr>
      <w:sdtEndPr>
        <w:rPr>
          <w:b/>
          <w:bCs/>
          <w:noProof/>
        </w:rPr>
      </w:sdtEndPr>
      <w:sdtContent>
        <w:p w14:paraId="4DE51CA2" w14:textId="39B939D6" w:rsidR="006E3865" w:rsidRPr="00214A44" w:rsidRDefault="006E3865">
          <w:pPr>
            <w:pStyle w:val="TOCHeading"/>
            <w:rPr>
              <w:rFonts w:ascii="Arial" w:hAnsi="Arial" w:cs="Arial"/>
              <w:b/>
              <w:bCs/>
              <w:color w:val="002060"/>
            </w:rPr>
          </w:pPr>
          <w:r w:rsidRPr="00214A44">
            <w:rPr>
              <w:rFonts w:ascii="Arial" w:hAnsi="Arial" w:cs="Arial"/>
              <w:b/>
              <w:bCs/>
              <w:color w:val="002060"/>
            </w:rPr>
            <w:t>Contents</w:t>
          </w:r>
        </w:p>
        <w:p w14:paraId="1586DBD6" w14:textId="14E847BA" w:rsidR="00555F20" w:rsidRDefault="006E3865">
          <w:pPr>
            <w:pStyle w:val="TOC1"/>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hyperlink w:anchor="_Toc153452947" w:history="1">
            <w:r w:rsidR="00555F20" w:rsidRPr="00B42F71">
              <w:rPr>
                <w:rStyle w:val="Hyperlink"/>
                <w:noProof/>
              </w:rPr>
              <w:t>Questions and Answers</w:t>
            </w:r>
            <w:r w:rsidR="00555F20">
              <w:rPr>
                <w:noProof/>
                <w:webHidden/>
              </w:rPr>
              <w:tab/>
            </w:r>
            <w:r w:rsidR="00555F20">
              <w:rPr>
                <w:noProof/>
                <w:webHidden/>
              </w:rPr>
              <w:fldChar w:fldCharType="begin"/>
            </w:r>
            <w:r w:rsidR="00555F20">
              <w:rPr>
                <w:noProof/>
                <w:webHidden/>
              </w:rPr>
              <w:instrText xml:space="preserve"> PAGEREF _Toc153452947 \h </w:instrText>
            </w:r>
            <w:r w:rsidR="00555F20">
              <w:rPr>
                <w:noProof/>
                <w:webHidden/>
              </w:rPr>
            </w:r>
            <w:r w:rsidR="00555F20">
              <w:rPr>
                <w:noProof/>
                <w:webHidden/>
              </w:rPr>
              <w:fldChar w:fldCharType="separate"/>
            </w:r>
            <w:r w:rsidR="00555F20">
              <w:rPr>
                <w:noProof/>
                <w:webHidden/>
              </w:rPr>
              <w:t>1</w:t>
            </w:r>
            <w:r w:rsidR="00555F20">
              <w:rPr>
                <w:noProof/>
                <w:webHidden/>
              </w:rPr>
              <w:fldChar w:fldCharType="end"/>
            </w:r>
          </w:hyperlink>
        </w:p>
        <w:p w14:paraId="71AC5D6F" w14:textId="4314804F" w:rsidR="00555F20" w:rsidRDefault="00C15079">
          <w:pPr>
            <w:pStyle w:val="TOC3"/>
            <w:tabs>
              <w:tab w:val="right" w:leader="dot" w:pos="10194"/>
            </w:tabs>
            <w:rPr>
              <w:rFonts w:asciiTheme="minorHAnsi" w:eastAsiaTheme="minorEastAsia" w:hAnsiTheme="minorHAnsi" w:cstheme="minorBidi"/>
              <w:noProof/>
              <w:sz w:val="22"/>
              <w:szCs w:val="22"/>
              <w:lang w:eastAsia="en-AU"/>
            </w:rPr>
          </w:pPr>
          <w:hyperlink w:anchor="_Toc153452948" w:history="1">
            <w:r w:rsidR="00555F20" w:rsidRPr="00B42F71">
              <w:rPr>
                <w:rStyle w:val="Hyperlink"/>
                <w:noProof/>
              </w:rPr>
              <w:t>Quarterly Financial Reporting</w:t>
            </w:r>
            <w:r w:rsidR="00555F20">
              <w:rPr>
                <w:noProof/>
                <w:webHidden/>
              </w:rPr>
              <w:tab/>
            </w:r>
            <w:r w:rsidR="00555F20">
              <w:rPr>
                <w:noProof/>
                <w:webHidden/>
              </w:rPr>
              <w:fldChar w:fldCharType="begin"/>
            </w:r>
            <w:r w:rsidR="00555F20">
              <w:rPr>
                <w:noProof/>
                <w:webHidden/>
              </w:rPr>
              <w:instrText xml:space="preserve"> PAGEREF _Toc153452948 \h </w:instrText>
            </w:r>
            <w:r w:rsidR="00555F20">
              <w:rPr>
                <w:noProof/>
                <w:webHidden/>
              </w:rPr>
            </w:r>
            <w:r w:rsidR="00555F20">
              <w:rPr>
                <w:noProof/>
                <w:webHidden/>
              </w:rPr>
              <w:fldChar w:fldCharType="separate"/>
            </w:r>
            <w:r w:rsidR="00555F20">
              <w:rPr>
                <w:noProof/>
                <w:webHidden/>
              </w:rPr>
              <w:t>3</w:t>
            </w:r>
            <w:r w:rsidR="00555F20">
              <w:rPr>
                <w:noProof/>
                <w:webHidden/>
              </w:rPr>
              <w:fldChar w:fldCharType="end"/>
            </w:r>
          </w:hyperlink>
        </w:p>
        <w:p w14:paraId="7C89611C" w14:textId="65777642" w:rsidR="00555F20" w:rsidRDefault="00C15079">
          <w:pPr>
            <w:pStyle w:val="TOC3"/>
            <w:tabs>
              <w:tab w:val="right" w:leader="dot" w:pos="10194"/>
            </w:tabs>
            <w:rPr>
              <w:rFonts w:asciiTheme="minorHAnsi" w:eastAsiaTheme="minorEastAsia" w:hAnsiTheme="minorHAnsi" w:cstheme="minorBidi"/>
              <w:noProof/>
              <w:sz w:val="22"/>
              <w:szCs w:val="22"/>
              <w:lang w:eastAsia="en-AU"/>
            </w:rPr>
          </w:pPr>
          <w:hyperlink w:anchor="_Toc153452949" w:history="1">
            <w:r w:rsidR="00555F20" w:rsidRPr="00B42F71">
              <w:rPr>
                <w:rStyle w:val="Hyperlink"/>
                <w:noProof/>
              </w:rPr>
              <w:t>Finance and Operations Publication Preview</w:t>
            </w:r>
            <w:r w:rsidR="00555F20">
              <w:rPr>
                <w:noProof/>
                <w:webHidden/>
              </w:rPr>
              <w:tab/>
            </w:r>
            <w:r w:rsidR="00555F20">
              <w:rPr>
                <w:noProof/>
                <w:webHidden/>
              </w:rPr>
              <w:fldChar w:fldCharType="begin"/>
            </w:r>
            <w:r w:rsidR="00555F20">
              <w:rPr>
                <w:noProof/>
                <w:webHidden/>
              </w:rPr>
              <w:instrText xml:space="preserve"> PAGEREF _Toc153452949 \h </w:instrText>
            </w:r>
            <w:r w:rsidR="00555F20">
              <w:rPr>
                <w:noProof/>
                <w:webHidden/>
              </w:rPr>
            </w:r>
            <w:r w:rsidR="00555F20">
              <w:rPr>
                <w:noProof/>
                <w:webHidden/>
              </w:rPr>
              <w:fldChar w:fldCharType="separate"/>
            </w:r>
            <w:r w:rsidR="00555F20">
              <w:rPr>
                <w:noProof/>
                <w:webHidden/>
              </w:rPr>
              <w:t>3</w:t>
            </w:r>
            <w:r w:rsidR="00555F20">
              <w:rPr>
                <w:noProof/>
                <w:webHidden/>
              </w:rPr>
              <w:fldChar w:fldCharType="end"/>
            </w:r>
          </w:hyperlink>
        </w:p>
        <w:p w14:paraId="3D5F5DB1" w14:textId="70B114FB" w:rsidR="00555F20" w:rsidRDefault="00C15079">
          <w:pPr>
            <w:pStyle w:val="TOC3"/>
            <w:tabs>
              <w:tab w:val="right" w:leader="dot" w:pos="10194"/>
            </w:tabs>
            <w:rPr>
              <w:rFonts w:asciiTheme="minorHAnsi" w:eastAsiaTheme="minorEastAsia" w:hAnsiTheme="minorHAnsi" w:cstheme="minorBidi"/>
              <w:noProof/>
              <w:sz w:val="22"/>
              <w:szCs w:val="22"/>
              <w:lang w:eastAsia="en-AU"/>
            </w:rPr>
          </w:pPr>
          <w:hyperlink w:anchor="_Toc153452950" w:history="1">
            <w:r w:rsidR="00555F20" w:rsidRPr="00B42F71">
              <w:rPr>
                <w:rStyle w:val="Hyperlink"/>
                <w:noProof/>
              </w:rPr>
              <w:t>Wages Reporting</w:t>
            </w:r>
            <w:r w:rsidR="00555F20">
              <w:rPr>
                <w:noProof/>
                <w:webHidden/>
              </w:rPr>
              <w:tab/>
            </w:r>
            <w:r w:rsidR="00555F20">
              <w:rPr>
                <w:noProof/>
                <w:webHidden/>
              </w:rPr>
              <w:fldChar w:fldCharType="begin"/>
            </w:r>
            <w:r w:rsidR="00555F20">
              <w:rPr>
                <w:noProof/>
                <w:webHidden/>
              </w:rPr>
              <w:instrText xml:space="preserve"> PAGEREF _Toc153452950 \h </w:instrText>
            </w:r>
            <w:r w:rsidR="00555F20">
              <w:rPr>
                <w:noProof/>
                <w:webHidden/>
              </w:rPr>
            </w:r>
            <w:r w:rsidR="00555F20">
              <w:rPr>
                <w:noProof/>
                <w:webHidden/>
              </w:rPr>
              <w:fldChar w:fldCharType="separate"/>
            </w:r>
            <w:r w:rsidR="00555F20">
              <w:rPr>
                <w:noProof/>
                <w:webHidden/>
              </w:rPr>
              <w:t>5</w:t>
            </w:r>
            <w:r w:rsidR="00555F20">
              <w:rPr>
                <w:noProof/>
                <w:webHidden/>
              </w:rPr>
              <w:fldChar w:fldCharType="end"/>
            </w:r>
          </w:hyperlink>
        </w:p>
        <w:p w14:paraId="0E9A2625" w14:textId="66AA998A" w:rsidR="00555F20" w:rsidRDefault="00C15079">
          <w:pPr>
            <w:pStyle w:val="TOC3"/>
            <w:tabs>
              <w:tab w:val="right" w:leader="dot" w:pos="10194"/>
            </w:tabs>
            <w:rPr>
              <w:rFonts w:asciiTheme="minorHAnsi" w:eastAsiaTheme="minorEastAsia" w:hAnsiTheme="minorHAnsi" w:cstheme="minorBidi"/>
              <w:noProof/>
              <w:sz w:val="22"/>
              <w:szCs w:val="22"/>
              <w:lang w:eastAsia="en-AU"/>
            </w:rPr>
          </w:pPr>
          <w:hyperlink w:anchor="_Toc153452951" w:history="1">
            <w:r w:rsidR="00555F20" w:rsidRPr="00B42F71">
              <w:rPr>
                <w:rStyle w:val="Hyperlink"/>
                <w:noProof/>
              </w:rPr>
              <w:t>Other</w:t>
            </w:r>
            <w:r w:rsidR="00555F20">
              <w:rPr>
                <w:noProof/>
                <w:webHidden/>
              </w:rPr>
              <w:tab/>
            </w:r>
            <w:r w:rsidR="00555F20">
              <w:rPr>
                <w:noProof/>
                <w:webHidden/>
              </w:rPr>
              <w:fldChar w:fldCharType="begin"/>
            </w:r>
            <w:r w:rsidR="00555F20">
              <w:rPr>
                <w:noProof/>
                <w:webHidden/>
              </w:rPr>
              <w:instrText xml:space="preserve"> PAGEREF _Toc153452951 \h </w:instrText>
            </w:r>
            <w:r w:rsidR="00555F20">
              <w:rPr>
                <w:noProof/>
                <w:webHidden/>
              </w:rPr>
            </w:r>
            <w:r w:rsidR="00555F20">
              <w:rPr>
                <w:noProof/>
                <w:webHidden/>
              </w:rPr>
              <w:fldChar w:fldCharType="separate"/>
            </w:r>
            <w:r w:rsidR="00555F20">
              <w:rPr>
                <w:noProof/>
                <w:webHidden/>
              </w:rPr>
              <w:t>6</w:t>
            </w:r>
            <w:r w:rsidR="00555F20">
              <w:rPr>
                <w:noProof/>
                <w:webHidden/>
              </w:rPr>
              <w:fldChar w:fldCharType="end"/>
            </w:r>
          </w:hyperlink>
        </w:p>
        <w:p w14:paraId="69883EE7" w14:textId="4AB620EC" w:rsidR="006E3865" w:rsidRDefault="006E3865">
          <w:r>
            <w:rPr>
              <w:b/>
              <w:bCs/>
              <w:noProof/>
            </w:rPr>
            <w:fldChar w:fldCharType="end"/>
          </w:r>
        </w:p>
      </w:sdtContent>
    </w:sdt>
    <w:p w14:paraId="695D9A6D" w14:textId="367A2659" w:rsidR="00D31008" w:rsidRDefault="00D31008" w:rsidP="00E73F61">
      <w:pPr>
        <w:pStyle w:val="Heading2"/>
      </w:pPr>
    </w:p>
    <w:p w14:paraId="4180CB7F" w14:textId="6D5417B5" w:rsidR="007C055E" w:rsidRPr="00CF4E4E" w:rsidRDefault="00D31008" w:rsidP="007C055E">
      <w:pPr>
        <w:spacing w:before="0" w:after="0" w:line="240" w:lineRule="auto"/>
        <w:rPr>
          <w:rStyle w:val="xnormaltextrun"/>
        </w:rPr>
      </w:pPr>
      <w:r>
        <w:br w:type="page"/>
      </w:r>
      <w:bookmarkStart w:id="4" w:name="_Hlk137808796"/>
    </w:p>
    <w:p w14:paraId="29C9ACE4" w14:textId="5495EBB6" w:rsidR="007C055E" w:rsidRPr="00BA0EF9" w:rsidRDefault="00CF4E4E" w:rsidP="00BF6D3F">
      <w:pPr>
        <w:pStyle w:val="Heading3"/>
      </w:pPr>
      <w:bookmarkStart w:id="5" w:name="_Toc153452948"/>
      <w:r>
        <w:lastRenderedPageBreak/>
        <w:t>Quarterly Financial Reporting</w:t>
      </w:r>
      <w:bookmarkEnd w:id="5"/>
    </w:p>
    <w:p w14:paraId="73437AAA" w14:textId="77777777" w:rsidR="0060244F" w:rsidRPr="0060244F" w:rsidRDefault="0060244F" w:rsidP="0060244F">
      <w:pPr>
        <w:pStyle w:val="Heading4"/>
        <w:rPr>
          <w:rFonts w:eastAsiaTheme="majorEastAsia"/>
        </w:rPr>
      </w:pPr>
      <w:r w:rsidRPr="0060244F">
        <w:rPr>
          <w:rFonts w:eastAsiaTheme="majorEastAsia"/>
        </w:rPr>
        <w:t>Is the Quarter 2 Quarterly Financial Report (QFR) due at the same time in GPMS as previous quarters?</w:t>
      </w:r>
    </w:p>
    <w:p w14:paraId="588B901F" w14:textId="77777777" w:rsidR="00262532" w:rsidRPr="00262532" w:rsidRDefault="00262532" w:rsidP="00262532">
      <w:pPr>
        <w:spacing w:after="160" w:line="240" w:lineRule="auto"/>
        <w:rPr>
          <w:rFonts w:cs="Arial"/>
        </w:rPr>
      </w:pPr>
      <w:r w:rsidRPr="00262532">
        <w:rPr>
          <w:rFonts w:cs="Arial"/>
        </w:rPr>
        <w:t xml:space="preserve">Yes. The submission periods and due dates for the Quarterly Financial Report (QFR) are the same on GPMS. The Quarter 2 reporting period for the QFR opens on 2 January 2024. The report is due on 14 February 2024. </w:t>
      </w:r>
    </w:p>
    <w:p w14:paraId="44F81074" w14:textId="77777777" w:rsidR="001A2A63" w:rsidRDefault="001A2A63" w:rsidP="00A5668A">
      <w:pPr>
        <w:pStyle w:val="Heading4"/>
        <w:rPr>
          <w:rFonts w:eastAsiaTheme="majorEastAsia"/>
        </w:rPr>
      </w:pPr>
    </w:p>
    <w:p w14:paraId="3E4AE59E" w14:textId="6F863134" w:rsidR="00A5668A" w:rsidRDefault="00A5668A" w:rsidP="00A5668A">
      <w:pPr>
        <w:pStyle w:val="Heading4"/>
        <w:rPr>
          <w:rFonts w:eastAsiaTheme="majorEastAsia"/>
        </w:rPr>
      </w:pPr>
      <w:r w:rsidRPr="00A5668A">
        <w:rPr>
          <w:rFonts w:eastAsiaTheme="majorEastAsia"/>
        </w:rPr>
        <w:t xml:space="preserve">Does the QFR and the </w:t>
      </w:r>
      <w:r w:rsidR="00FD4F94">
        <w:rPr>
          <w:rFonts w:eastAsiaTheme="majorEastAsia"/>
        </w:rPr>
        <w:t>Aged Care Financial Report (ACFR)</w:t>
      </w:r>
      <w:r w:rsidRPr="00A5668A">
        <w:rPr>
          <w:rFonts w:eastAsiaTheme="majorEastAsia"/>
        </w:rPr>
        <w:t xml:space="preserve"> give the range of care minutes?</w:t>
      </w:r>
    </w:p>
    <w:p w14:paraId="4CEF253A" w14:textId="77777777" w:rsidR="00594722" w:rsidRPr="00594722" w:rsidRDefault="00594722" w:rsidP="00594722">
      <w:pPr>
        <w:spacing w:after="160" w:line="259" w:lineRule="auto"/>
        <w:rPr>
          <w:rFonts w:cs="Arial"/>
        </w:rPr>
      </w:pPr>
      <w:r w:rsidRPr="00594722">
        <w:rPr>
          <w:rFonts w:cs="Arial"/>
        </w:rPr>
        <w:t xml:space="preserve">Average care minutes from the ACFR are published at the sector level in the Financial Report on the Australian Aged Care Sector (FRAACS report). From the QFR, care minutes are published at the sector level through the Quarterly Financial Snapshot. In each case, the results are presented for registered nurses, enrolled </w:t>
      </w:r>
      <w:proofErr w:type="gramStart"/>
      <w:r w:rsidRPr="00594722">
        <w:rPr>
          <w:rFonts w:cs="Arial"/>
        </w:rPr>
        <w:t>nurses</w:t>
      </w:r>
      <w:proofErr w:type="gramEnd"/>
      <w:r w:rsidRPr="00594722">
        <w:rPr>
          <w:rFonts w:cs="Arial"/>
        </w:rPr>
        <w:t xml:space="preserve"> and personal care workers / assistants in nursing across a range of different provider types. </w:t>
      </w:r>
    </w:p>
    <w:p w14:paraId="02F004A7" w14:textId="77777777" w:rsidR="00594722" w:rsidRPr="00594722" w:rsidRDefault="00594722" w:rsidP="00594722"/>
    <w:p w14:paraId="329BE302" w14:textId="14FCD995" w:rsidR="007C055E" w:rsidRPr="00BF6D3F" w:rsidRDefault="0087518E" w:rsidP="00BF6D3F">
      <w:pPr>
        <w:pStyle w:val="Heading3"/>
      </w:pPr>
      <w:bookmarkStart w:id="6" w:name="_Toc153452949"/>
      <w:r>
        <w:t>Finance and Operations Publication Preview</w:t>
      </w:r>
      <w:bookmarkEnd w:id="6"/>
    </w:p>
    <w:p w14:paraId="0BD2448E" w14:textId="77777777" w:rsidR="00441A65" w:rsidRPr="00441A65" w:rsidRDefault="00441A65" w:rsidP="00441A65">
      <w:pPr>
        <w:pStyle w:val="Heading4"/>
        <w:rPr>
          <w:rFonts w:eastAsiaTheme="majorEastAsia"/>
        </w:rPr>
      </w:pPr>
      <w:r w:rsidRPr="00441A65">
        <w:rPr>
          <w:rFonts w:eastAsiaTheme="majorEastAsia"/>
        </w:rPr>
        <w:t>Will the QFR be extended to capture the ACFR items included in the Finance and Operations Publication (</w:t>
      </w:r>
      <w:proofErr w:type="gramStart"/>
      <w:r w:rsidRPr="00441A65">
        <w:rPr>
          <w:rFonts w:eastAsiaTheme="majorEastAsia"/>
        </w:rPr>
        <w:t>e.g.</w:t>
      </w:r>
      <w:proofErr w:type="gramEnd"/>
      <w:r w:rsidRPr="00441A65">
        <w:rPr>
          <w:rFonts w:eastAsiaTheme="majorEastAsia"/>
        </w:rPr>
        <w:t xml:space="preserve"> will administration and accommodation expenses have to be reported each quarter)?</w:t>
      </w:r>
    </w:p>
    <w:p w14:paraId="29C315EA" w14:textId="4E8AB124" w:rsidR="00ED780B" w:rsidRPr="00EC38C1" w:rsidRDefault="00ED780B" w:rsidP="00ED780B">
      <w:pPr>
        <w:spacing w:after="160" w:line="259" w:lineRule="auto"/>
        <w:rPr>
          <w:rFonts w:cs="Arial"/>
        </w:rPr>
      </w:pPr>
      <w:r w:rsidRPr="0061510B">
        <w:rPr>
          <w:rFonts w:cs="Arial"/>
        </w:rPr>
        <w:t xml:space="preserve">The </w:t>
      </w:r>
      <w:r>
        <w:rPr>
          <w:rFonts w:cs="Arial"/>
        </w:rPr>
        <w:t xml:space="preserve">publication of </w:t>
      </w:r>
      <w:r w:rsidRPr="0061510B">
        <w:rPr>
          <w:rFonts w:cs="Arial"/>
        </w:rPr>
        <w:t xml:space="preserve">finance and operations </w:t>
      </w:r>
      <w:r>
        <w:rPr>
          <w:rFonts w:cs="Arial"/>
        </w:rPr>
        <w:t xml:space="preserve">on My Aged Care does </w:t>
      </w:r>
      <w:r w:rsidRPr="0061510B">
        <w:rPr>
          <w:rFonts w:cs="Arial"/>
        </w:rPr>
        <w:t xml:space="preserve">not </w:t>
      </w:r>
      <w:r>
        <w:rPr>
          <w:rFonts w:cs="Arial"/>
        </w:rPr>
        <w:t xml:space="preserve">alter </w:t>
      </w:r>
      <w:r w:rsidRPr="0061510B">
        <w:rPr>
          <w:rFonts w:cs="Arial"/>
        </w:rPr>
        <w:t>current reporting requirements</w:t>
      </w:r>
      <w:r>
        <w:rPr>
          <w:rFonts w:cs="Arial"/>
        </w:rPr>
        <w:t xml:space="preserve"> for providers</w:t>
      </w:r>
      <w:r w:rsidRPr="0061510B">
        <w:rPr>
          <w:rFonts w:cs="Arial"/>
        </w:rPr>
        <w:t>.</w:t>
      </w:r>
      <w:r w:rsidRPr="00ED780B">
        <w:rPr>
          <w:rFonts w:cs="Arial"/>
        </w:rPr>
        <w:t xml:space="preserve"> </w:t>
      </w:r>
    </w:p>
    <w:p w14:paraId="3C2C7452" w14:textId="18435F57" w:rsidR="00ED780B" w:rsidRDefault="00ED780B" w:rsidP="00ED780B">
      <w:pPr>
        <w:spacing w:after="160" w:line="259" w:lineRule="auto"/>
        <w:rPr>
          <w:rFonts w:cs="Arial"/>
        </w:rPr>
      </w:pPr>
      <w:r>
        <w:rPr>
          <w:rFonts w:cs="Arial"/>
        </w:rPr>
        <w:t xml:space="preserve">The QFR is not intended to capture as much information as the ACFR, as it is intended to be a shorter report. The QFR provides an up-to-date snapshot on the financial state of the sector and allows the Department of Health and Aged Care (department) and the Aged Care Quality and Safety Commission (ACQSC) </w:t>
      </w:r>
      <w:r w:rsidDel="00C26296">
        <w:rPr>
          <w:rFonts w:cs="Arial"/>
        </w:rPr>
        <w:t xml:space="preserve">to </w:t>
      </w:r>
      <w:r>
        <w:rPr>
          <w:rFonts w:cs="Arial"/>
        </w:rPr>
        <w:t xml:space="preserve">monitor risks, including viability risks in the sector. </w:t>
      </w:r>
    </w:p>
    <w:p w14:paraId="10773E1E" w14:textId="7B882833" w:rsidR="00ED780B" w:rsidRDefault="00ED780B" w:rsidP="00ED780B">
      <w:pPr>
        <w:spacing w:after="160" w:line="259" w:lineRule="auto"/>
        <w:rPr>
          <w:rFonts w:cs="Arial"/>
        </w:rPr>
      </w:pPr>
      <w:r>
        <w:rPr>
          <w:rFonts w:cs="Arial"/>
        </w:rPr>
        <w:t xml:space="preserve">The department is aware of the reporting requirements on providers, and for this reason, designed the QFR to be shorter and not collect all the same information as in the ACFR. </w:t>
      </w:r>
    </w:p>
    <w:p w14:paraId="0457164D" w14:textId="77777777" w:rsidR="00434FD0" w:rsidRDefault="00434FD0" w:rsidP="00ED780B">
      <w:pPr>
        <w:spacing w:after="160" w:line="259" w:lineRule="auto"/>
        <w:rPr>
          <w:rFonts w:cs="Arial"/>
        </w:rPr>
      </w:pPr>
    </w:p>
    <w:p w14:paraId="534585EA" w14:textId="77777777" w:rsidR="00434FD0" w:rsidRPr="00434FD0" w:rsidRDefault="00434FD0" w:rsidP="00434FD0">
      <w:pPr>
        <w:pStyle w:val="Heading4"/>
        <w:rPr>
          <w:rFonts w:eastAsiaTheme="majorEastAsia"/>
        </w:rPr>
      </w:pPr>
      <w:r w:rsidRPr="00434FD0">
        <w:rPr>
          <w:rFonts w:eastAsiaTheme="majorEastAsia"/>
        </w:rPr>
        <w:t>Will the provider finance and operations information published on My Aged Care be displayed at the approved provider or service level? What financial information will be displayed at provider level and what will displayed at a service level?</w:t>
      </w:r>
    </w:p>
    <w:p w14:paraId="50C47CA6" w14:textId="77777777" w:rsidR="00530129" w:rsidRDefault="00530129" w:rsidP="00530129">
      <w:pPr>
        <w:spacing w:after="160" w:line="259" w:lineRule="auto"/>
        <w:rPr>
          <w:rFonts w:cs="Arial"/>
        </w:rPr>
      </w:pPr>
      <w:r>
        <w:rPr>
          <w:rFonts w:cs="Arial"/>
        </w:rPr>
        <w:t>F</w:t>
      </w:r>
      <w:r w:rsidRPr="00C6318B">
        <w:rPr>
          <w:rFonts w:cs="Arial"/>
        </w:rPr>
        <w:t xml:space="preserve">inancial information </w:t>
      </w:r>
      <w:r>
        <w:rPr>
          <w:rFonts w:cs="Arial"/>
        </w:rPr>
        <w:t xml:space="preserve">on Home Care Packages </w:t>
      </w:r>
      <w:r w:rsidRPr="00C6318B">
        <w:rPr>
          <w:rFonts w:cs="Arial"/>
        </w:rPr>
        <w:t xml:space="preserve">will be </w:t>
      </w:r>
      <w:r>
        <w:rPr>
          <w:rFonts w:cs="Arial"/>
        </w:rPr>
        <w:t xml:space="preserve">published </w:t>
      </w:r>
      <w:r w:rsidRPr="00C6318B">
        <w:rPr>
          <w:rFonts w:cs="Arial"/>
        </w:rPr>
        <w:t>at a provider level</w:t>
      </w:r>
      <w:r>
        <w:rPr>
          <w:rFonts w:cs="Arial"/>
        </w:rPr>
        <w:t>.</w:t>
      </w:r>
      <w:r w:rsidRPr="00C6318B">
        <w:rPr>
          <w:rFonts w:cs="Arial"/>
        </w:rPr>
        <w:t xml:space="preserve"> </w:t>
      </w:r>
    </w:p>
    <w:p w14:paraId="10200083" w14:textId="190FFE20" w:rsidR="00530129" w:rsidRDefault="00530129" w:rsidP="00530129">
      <w:pPr>
        <w:spacing w:after="160" w:line="259" w:lineRule="auto"/>
        <w:rPr>
          <w:rFonts w:cs="Arial"/>
        </w:rPr>
      </w:pPr>
      <w:r>
        <w:rPr>
          <w:rFonts w:cs="Arial"/>
        </w:rPr>
        <w:t>M</w:t>
      </w:r>
      <w:r w:rsidRPr="00C6318B">
        <w:rPr>
          <w:rFonts w:cs="Arial"/>
        </w:rPr>
        <w:t xml:space="preserve">ost of the </w:t>
      </w:r>
      <w:r>
        <w:rPr>
          <w:rFonts w:cs="Arial"/>
        </w:rPr>
        <w:t xml:space="preserve">financial information for residential aged care services will be published at the service/facility level, except for wages information. </w:t>
      </w:r>
      <w:r w:rsidRPr="003E003B">
        <w:rPr>
          <w:rFonts w:cs="Arial"/>
        </w:rPr>
        <w:t xml:space="preserve">Information on worker wages is reported at the provider level and will therefore be published at the provider level. </w:t>
      </w:r>
    </w:p>
    <w:p w14:paraId="36C05BF6" w14:textId="77777777" w:rsidR="00530129" w:rsidRDefault="00530129" w:rsidP="00530129">
      <w:pPr>
        <w:spacing w:after="160" w:line="259" w:lineRule="auto"/>
        <w:rPr>
          <w:rFonts w:cs="Arial"/>
        </w:rPr>
      </w:pPr>
      <w:r w:rsidRPr="003E003B">
        <w:rPr>
          <w:rFonts w:cs="Arial"/>
        </w:rPr>
        <w:lastRenderedPageBreak/>
        <w:t>The new operational information published on My Aged Care will be a mix of provider and service level information, and this will be clear from the context</w:t>
      </w:r>
      <w:r>
        <w:rPr>
          <w:rFonts w:cs="Arial"/>
        </w:rPr>
        <w:t>.</w:t>
      </w:r>
    </w:p>
    <w:p w14:paraId="7C3D977D" w14:textId="77777777" w:rsidR="00E61093" w:rsidRDefault="00E61093" w:rsidP="00E61093">
      <w:pPr>
        <w:pStyle w:val="Heading4"/>
        <w:rPr>
          <w:rFonts w:eastAsiaTheme="majorEastAsia"/>
        </w:rPr>
      </w:pPr>
      <w:r w:rsidRPr="00E61093">
        <w:rPr>
          <w:rFonts w:eastAsiaTheme="majorEastAsia"/>
        </w:rPr>
        <w:t>In the Provider Operations Collection Form is there a reason why the details of all key personnel are not being published?</w:t>
      </w:r>
    </w:p>
    <w:p w14:paraId="0EB66F4B" w14:textId="77777777" w:rsidR="00825D95" w:rsidRDefault="00825D95" w:rsidP="00825D95">
      <w:pPr>
        <w:spacing w:after="160" w:line="259" w:lineRule="auto"/>
        <w:rPr>
          <w:rFonts w:cs="Arial"/>
        </w:rPr>
      </w:pPr>
      <w:r w:rsidRPr="7E2FE369">
        <w:rPr>
          <w:rFonts w:cs="Arial"/>
        </w:rPr>
        <w:t xml:space="preserve">Providers are asked in the Provider Operations Collection Form to give the name of </w:t>
      </w:r>
      <w:r>
        <w:rPr>
          <w:rFonts w:cs="Arial"/>
        </w:rPr>
        <w:t xml:space="preserve">between </w:t>
      </w:r>
      <w:r w:rsidRPr="3006AE66">
        <w:rPr>
          <w:rFonts w:cs="Arial"/>
        </w:rPr>
        <w:t xml:space="preserve">one </w:t>
      </w:r>
      <w:r>
        <w:rPr>
          <w:rFonts w:cs="Arial"/>
        </w:rPr>
        <w:t xml:space="preserve">and three </w:t>
      </w:r>
      <w:r w:rsidRPr="3006AE66">
        <w:rPr>
          <w:rFonts w:cs="Arial"/>
        </w:rPr>
        <w:t>person</w:t>
      </w:r>
      <w:r>
        <w:rPr>
          <w:rFonts w:cs="Arial"/>
        </w:rPr>
        <w:t>s</w:t>
      </w:r>
      <w:r w:rsidRPr="7E2FE369">
        <w:rPr>
          <w:rFonts w:cs="Arial"/>
        </w:rPr>
        <w:t xml:space="preserve"> who </w:t>
      </w:r>
      <w:r w:rsidRPr="3006AE66">
        <w:rPr>
          <w:rFonts w:cs="Arial"/>
        </w:rPr>
        <w:t>hold</w:t>
      </w:r>
      <w:r w:rsidRPr="7E2FE369">
        <w:rPr>
          <w:rFonts w:cs="Arial"/>
        </w:rPr>
        <w:t xml:space="preserve"> an executive position with the provider</w:t>
      </w:r>
      <w:r>
        <w:rPr>
          <w:rFonts w:cs="Arial"/>
        </w:rPr>
        <w:t xml:space="preserve"> for publication on My Aged Care</w:t>
      </w:r>
      <w:r w:rsidRPr="3006AE66">
        <w:rPr>
          <w:rFonts w:cs="Arial"/>
        </w:rPr>
        <w:t>. Th</w:t>
      </w:r>
      <w:r>
        <w:rPr>
          <w:rFonts w:cs="Arial"/>
        </w:rPr>
        <w:t>e</w:t>
      </w:r>
      <w:r w:rsidRPr="3006AE66">
        <w:rPr>
          <w:rFonts w:cs="Arial"/>
        </w:rPr>
        <w:t xml:space="preserve"> person</w:t>
      </w:r>
      <w:r>
        <w:rPr>
          <w:rFonts w:cs="Arial"/>
        </w:rPr>
        <w:t>s</w:t>
      </w:r>
      <w:r w:rsidRPr="7E2FE369">
        <w:rPr>
          <w:rFonts w:cs="Arial"/>
        </w:rPr>
        <w:t xml:space="preserve"> must consent to their </w:t>
      </w:r>
      <w:r w:rsidRPr="3006AE66">
        <w:rPr>
          <w:rFonts w:cs="Arial"/>
        </w:rPr>
        <w:t>name</w:t>
      </w:r>
      <w:r>
        <w:rPr>
          <w:rFonts w:cs="Arial"/>
        </w:rPr>
        <w:t>s</w:t>
      </w:r>
      <w:r w:rsidRPr="3006AE66">
        <w:rPr>
          <w:rFonts w:cs="Arial"/>
        </w:rPr>
        <w:t xml:space="preserve"> and role</w:t>
      </w:r>
      <w:r>
        <w:rPr>
          <w:rFonts w:cs="Arial"/>
        </w:rPr>
        <w:t>s</w:t>
      </w:r>
      <w:r w:rsidRPr="7E2FE369">
        <w:rPr>
          <w:rFonts w:cs="Arial"/>
        </w:rPr>
        <w:t xml:space="preserve"> being published before their details are entered into the Collection Form. </w:t>
      </w:r>
      <w:r w:rsidRPr="3006AE66">
        <w:rPr>
          <w:rFonts w:cs="Arial"/>
        </w:rPr>
        <w:t>Th</w:t>
      </w:r>
      <w:r>
        <w:rPr>
          <w:rFonts w:cs="Arial"/>
        </w:rPr>
        <w:t>e</w:t>
      </w:r>
      <w:r w:rsidRPr="7E2FE369">
        <w:rPr>
          <w:rFonts w:cs="Arial"/>
        </w:rPr>
        <w:t xml:space="preserve"> person</w:t>
      </w:r>
      <w:r>
        <w:rPr>
          <w:rFonts w:cs="Arial"/>
        </w:rPr>
        <w:t>(s)</w:t>
      </w:r>
      <w:r w:rsidRPr="7E2FE369">
        <w:rPr>
          <w:rFonts w:cs="Arial"/>
        </w:rPr>
        <w:t xml:space="preserve"> needs to be available to be contacted by care recipients and their representatives, should they wish to escalate an issue concerning </w:t>
      </w:r>
      <w:r>
        <w:rPr>
          <w:rFonts w:cs="Arial"/>
        </w:rPr>
        <w:t xml:space="preserve">the </w:t>
      </w:r>
      <w:r w:rsidRPr="7E2FE369">
        <w:rPr>
          <w:rFonts w:cs="Arial"/>
        </w:rPr>
        <w:t xml:space="preserve">organisation. </w:t>
      </w:r>
    </w:p>
    <w:p w14:paraId="07D83A5C" w14:textId="77777777" w:rsidR="00825D95" w:rsidRDefault="00825D95" w:rsidP="00825D95">
      <w:pPr>
        <w:spacing w:after="160" w:line="259" w:lineRule="auto"/>
        <w:rPr>
          <w:rFonts w:cs="Arial"/>
        </w:rPr>
      </w:pPr>
      <w:r w:rsidRPr="00825D95">
        <w:rPr>
          <w:rFonts w:cs="Arial"/>
        </w:rPr>
        <w:t>While the Royal Commission recommended that the details of all key personnel be published on My Aged Care, feedback from the sector indicated a preference that the number of key personal published on My Aged Care be limited to persons such as a chief executive, to whom issues could be escalated, if required.</w:t>
      </w:r>
    </w:p>
    <w:p w14:paraId="38132FBA" w14:textId="77777777" w:rsidR="00542432" w:rsidRDefault="00542432" w:rsidP="00D479B8">
      <w:pPr>
        <w:pStyle w:val="Heading4"/>
        <w:rPr>
          <w:rFonts w:eastAsiaTheme="majorEastAsia"/>
        </w:rPr>
      </w:pPr>
    </w:p>
    <w:p w14:paraId="38FB95FB" w14:textId="05AB43BB" w:rsidR="00D479B8" w:rsidRPr="00D479B8" w:rsidRDefault="00D479B8" w:rsidP="00D479B8">
      <w:pPr>
        <w:pStyle w:val="Heading4"/>
        <w:rPr>
          <w:rFonts w:eastAsiaTheme="majorEastAsia"/>
        </w:rPr>
      </w:pPr>
      <w:r w:rsidRPr="00D479B8">
        <w:rPr>
          <w:rFonts w:eastAsiaTheme="majorEastAsia"/>
        </w:rPr>
        <w:t>How will the Finance and Provider Operations Publication impact compliance actions from the Aged Care Quality and Safety Commission (</w:t>
      </w:r>
      <w:r w:rsidR="00B05D53">
        <w:rPr>
          <w:rFonts w:eastAsiaTheme="majorEastAsia"/>
        </w:rPr>
        <w:t>ACQSC</w:t>
      </w:r>
      <w:r w:rsidRPr="00D479B8">
        <w:rPr>
          <w:rFonts w:eastAsiaTheme="majorEastAsia"/>
        </w:rPr>
        <w:t>)?</w:t>
      </w:r>
    </w:p>
    <w:p w14:paraId="350CE52A" w14:textId="2AE8A4EA" w:rsidR="00C93F97" w:rsidRPr="00C93F97" w:rsidRDefault="00C93F97" w:rsidP="00C93F97">
      <w:pPr>
        <w:spacing w:after="160" w:line="259" w:lineRule="auto"/>
        <w:rPr>
          <w:rFonts w:cs="Arial"/>
        </w:rPr>
      </w:pPr>
      <w:r w:rsidRPr="00C93F97">
        <w:rPr>
          <w:rFonts w:cs="Arial"/>
        </w:rPr>
        <w:t xml:space="preserve">The primary intent of publishing additional information on finances and operations is to support older people, and their representatives, to make the best choices about their care. The information is also accessible to the </w:t>
      </w:r>
      <w:r w:rsidR="00B05D53">
        <w:rPr>
          <w:rFonts w:cs="Arial"/>
        </w:rPr>
        <w:t>ACQSC</w:t>
      </w:r>
      <w:r w:rsidRPr="00C93F97">
        <w:rPr>
          <w:rFonts w:cs="Arial"/>
        </w:rPr>
        <w:t xml:space="preserve"> for regulatory intelligence. </w:t>
      </w:r>
    </w:p>
    <w:p w14:paraId="44CD7914" w14:textId="77777777" w:rsidR="00542432" w:rsidRDefault="00542432" w:rsidP="00542432">
      <w:pPr>
        <w:pStyle w:val="Heading4"/>
        <w:rPr>
          <w:rFonts w:eastAsiaTheme="majorEastAsia"/>
        </w:rPr>
      </w:pPr>
    </w:p>
    <w:p w14:paraId="36DD8EAA" w14:textId="531AC391" w:rsidR="00542432" w:rsidRDefault="00542432" w:rsidP="00542432">
      <w:pPr>
        <w:pStyle w:val="Heading4"/>
        <w:rPr>
          <w:rFonts w:eastAsiaTheme="majorEastAsia"/>
        </w:rPr>
      </w:pPr>
      <w:r w:rsidRPr="00542432">
        <w:rPr>
          <w:rFonts w:eastAsiaTheme="majorEastAsia"/>
        </w:rPr>
        <w:t>Is it possible to see an overview of the residential sector data, not just individual providers via My Aged Care? For example, the range of dollars spent on care and broken down into regions?</w:t>
      </w:r>
    </w:p>
    <w:p w14:paraId="0FCD7B79" w14:textId="77777777" w:rsidR="00790297" w:rsidRDefault="00790297" w:rsidP="00790297">
      <w:pPr>
        <w:spacing w:after="160" w:line="259" w:lineRule="auto"/>
        <w:rPr>
          <w:rFonts w:cs="Arial"/>
        </w:rPr>
      </w:pPr>
      <w:r w:rsidRPr="00790297">
        <w:rPr>
          <w:rFonts w:cs="Arial"/>
        </w:rPr>
        <w:t>The sector-level reporting can be accessed on the department’s website through the Financial Report on the Australian Aged Care Sector (</w:t>
      </w:r>
      <w:hyperlink r:id="rId12" w:history="1">
        <w:r w:rsidRPr="00106DA1">
          <w:rPr>
            <w:rStyle w:val="Hyperlink"/>
            <w:rFonts w:cs="Arial"/>
            <w:color w:val="000000" w:themeColor="text1"/>
          </w:rPr>
          <w:t>FRAACS Report</w:t>
        </w:r>
      </w:hyperlink>
      <w:r w:rsidRPr="00790297">
        <w:rPr>
          <w:rFonts w:cs="Arial"/>
        </w:rPr>
        <w:t>), which is published annually, and the Quarterly Financial Snapshot (</w:t>
      </w:r>
      <w:hyperlink r:id="rId13">
        <w:r w:rsidRPr="00106DA1">
          <w:rPr>
            <w:rStyle w:val="Hyperlink"/>
            <w:rFonts w:cs="Arial"/>
            <w:color w:val="000000" w:themeColor="text1"/>
          </w:rPr>
          <w:t>QFS</w:t>
        </w:r>
      </w:hyperlink>
      <w:r w:rsidRPr="00790297">
        <w:rPr>
          <w:rFonts w:cs="Arial"/>
        </w:rPr>
        <w:t xml:space="preserve">), which is published by the department quarterly. </w:t>
      </w:r>
    </w:p>
    <w:p w14:paraId="6F5AF748" w14:textId="16ECA37E" w:rsidR="00790297" w:rsidRDefault="00790297" w:rsidP="0083195F">
      <w:pPr>
        <w:spacing w:after="160" w:line="259" w:lineRule="auto"/>
        <w:rPr>
          <w:rFonts w:cs="Arial"/>
        </w:rPr>
      </w:pPr>
      <w:r w:rsidRPr="00790297">
        <w:rPr>
          <w:rFonts w:cs="Arial"/>
        </w:rPr>
        <w:t xml:space="preserve">The QFS commenced in February of 2023 and breaks down the financial information at the sector level into metropolitan and regional areas. </w:t>
      </w:r>
    </w:p>
    <w:p w14:paraId="799964D9" w14:textId="77777777" w:rsidR="0083195F" w:rsidRPr="0083195F" w:rsidRDefault="0083195F" w:rsidP="0083195F">
      <w:pPr>
        <w:spacing w:after="160" w:line="259" w:lineRule="auto"/>
        <w:rPr>
          <w:rFonts w:cs="Arial"/>
        </w:rPr>
      </w:pPr>
    </w:p>
    <w:p w14:paraId="1AAFA884" w14:textId="77777777" w:rsidR="0083195F" w:rsidRDefault="0083195F" w:rsidP="0083195F">
      <w:pPr>
        <w:pStyle w:val="Heading4"/>
        <w:rPr>
          <w:rFonts w:eastAsiaTheme="majorEastAsia"/>
        </w:rPr>
      </w:pPr>
      <w:r w:rsidRPr="0083195F">
        <w:rPr>
          <w:rFonts w:eastAsiaTheme="majorEastAsia"/>
        </w:rPr>
        <w:t>Once the finance and operations information has been published, will the department seek feedback from aged care service users (</w:t>
      </w:r>
      <w:proofErr w:type="gramStart"/>
      <w:r w:rsidRPr="0083195F">
        <w:rPr>
          <w:rFonts w:eastAsiaTheme="majorEastAsia"/>
        </w:rPr>
        <w:t>i.e.</w:t>
      </w:r>
      <w:proofErr w:type="gramEnd"/>
      <w:r w:rsidRPr="0083195F">
        <w:rPr>
          <w:rFonts w:eastAsiaTheme="majorEastAsia"/>
        </w:rPr>
        <w:t xml:space="preserve"> residents and their families) to measure whether they have used the information and how much value they are obtaining from it?</w:t>
      </w:r>
    </w:p>
    <w:p w14:paraId="1B76CE37" w14:textId="77777777" w:rsidR="0009066C" w:rsidRPr="0009066C" w:rsidRDefault="0009066C" w:rsidP="0009066C">
      <w:pPr>
        <w:spacing w:after="160" w:line="259" w:lineRule="auto"/>
        <w:rPr>
          <w:rFonts w:cs="Arial"/>
        </w:rPr>
      </w:pPr>
      <w:r w:rsidRPr="0009066C">
        <w:rPr>
          <w:rFonts w:cs="Arial"/>
        </w:rPr>
        <w:t xml:space="preserve">The department has undertaken user testing and consultation about the additional finance and operations information to be published on My Aged Care. </w:t>
      </w:r>
    </w:p>
    <w:p w14:paraId="37D1E2E1" w14:textId="77777777" w:rsidR="0009066C" w:rsidRPr="0009066C" w:rsidRDefault="0009066C" w:rsidP="0009066C">
      <w:pPr>
        <w:spacing w:after="160" w:line="259" w:lineRule="auto"/>
        <w:rPr>
          <w:rFonts w:cs="Arial"/>
        </w:rPr>
      </w:pPr>
      <w:r w:rsidRPr="0009066C">
        <w:rPr>
          <w:rFonts w:cs="Arial"/>
        </w:rPr>
        <w:lastRenderedPageBreak/>
        <w:t xml:space="preserve">The department will be interested in how the information is being used, how older people and their families are interpreting the information, what they’re interested in, and what is not so useful. The department can then use this feedback to adjust the publication of data over time. </w:t>
      </w:r>
    </w:p>
    <w:p w14:paraId="09F9B5D9" w14:textId="77777777" w:rsidR="0009066C" w:rsidRPr="0009066C" w:rsidRDefault="0009066C" w:rsidP="0009066C">
      <w:pPr>
        <w:spacing w:after="160" w:line="259" w:lineRule="auto"/>
        <w:rPr>
          <w:rFonts w:cs="Arial"/>
        </w:rPr>
      </w:pPr>
      <w:r w:rsidRPr="0009066C">
        <w:rPr>
          <w:rFonts w:cs="Arial"/>
        </w:rPr>
        <w:t xml:space="preserve">We are expecting that the Star Ratings information about providers and the quality of care will remain the first point of reference for information on My Aged Care. </w:t>
      </w:r>
    </w:p>
    <w:p w14:paraId="4BC1ECB8" w14:textId="77777777" w:rsidR="0009066C" w:rsidRDefault="0009066C" w:rsidP="0009066C">
      <w:pPr>
        <w:spacing w:after="160" w:line="259" w:lineRule="auto"/>
        <w:rPr>
          <w:rFonts w:cs="Arial"/>
        </w:rPr>
      </w:pPr>
      <w:r w:rsidRPr="0009066C">
        <w:rPr>
          <w:rFonts w:cs="Arial"/>
        </w:rPr>
        <w:t>The new financial and operational information can be used by older people and their representatives to support informed discussions with aged care providers about the services they offer.</w:t>
      </w:r>
    </w:p>
    <w:p w14:paraId="2E812B3A" w14:textId="77777777" w:rsidR="002056AC" w:rsidRDefault="002056AC" w:rsidP="002056AC">
      <w:pPr>
        <w:spacing w:before="0" w:after="0" w:line="240" w:lineRule="auto"/>
        <w:rPr>
          <w:rFonts w:cs="Arial"/>
        </w:rPr>
      </w:pPr>
    </w:p>
    <w:p w14:paraId="2DA31883" w14:textId="0ADBD4D8" w:rsidR="002056AC" w:rsidRPr="002056AC" w:rsidRDefault="002056AC" w:rsidP="002056AC">
      <w:pPr>
        <w:pStyle w:val="Heading4"/>
        <w:rPr>
          <w:rFonts w:eastAsiaTheme="majorEastAsia"/>
        </w:rPr>
      </w:pPr>
      <w:r w:rsidRPr="002056AC">
        <w:rPr>
          <w:rFonts w:eastAsiaTheme="majorEastAsia"/>
        </w:rPr>
        <w:t xml:space="preserve">What will happen if I haven't yet submitted the Provider Operations Collection Form? </w:t>
      </w:r>
    </w:p>
    <w:p w14:paraId="79986447" w14:textId="77777777" w:rsidR="002D69D1" w:rsidRPr="00F00779" w:rsidRDefault="002D69D1" w:rsidP="002D69D1">
      <w:pPr>
        <w:spacing w:after="160" w:line="259" w:lineRule="auto"/>
        <w:rPr>
          <w:rFonts w:cs="Arial"/>
        </w:rPr>
      </w:pPr>
      <w:r>
        <w:rPr>
          <w:rFonts w:cs="Arial"/>
        </w:rPr>
        <w:t xml:space="preserve">The Provider Operations form was due </w:t>
      </w:r>
      <w:r w:rsidRPr="00F00779">
        <w:rPr>
          <w:rFonts w:cs="Arial"/>
        </w:rPr>
        <w:t xml:space="preserve">for submission </w:t>
      </w:r>
      <w:r>
        <w:rPr>
          <w:rFonts w:cs="Arial"/>
        </w:rPr>
        <w:t xml:space="preserve">to the </w:t>
      </w:r>
      <w:r w:rsidRPr="00F00779">
        <w:rPr>
          <w:rFonts w:cs="Arial"/>
        </w:rPr>
        <w:t>department</w:t>
      </w:r>
      <w:r>
        <w:rPr>
          <w:rFonts w:cs="Arial"/>
        </w:rPr>
        <w:t xml:space="preserve"> by 31</w:t>
      </w:r>
      <w:r w:rsidRPr="00F00779">
        <w:rPr>
          <w:rFonts w:cs="Arial"/>
        </w:rPr>
        <w:t> </w:t>
      </w:r>
      <w:r>
        <w:rPr>
          <w:rFonts w:cs="Arial"/>
        </w:rPr>
        <w:t xml:space="preserve">October </w:t>
      </w:r>
      <w:r w:rsidRPr="00F00779">
        <w:rPr>
          <w:rFonts w:cs="Arial"/>
        </w:rPr>
        <w:t>2023.</w:t>
      </w:r>
      <w:r>
        <w:rPr>
          <w:rFonts w:cs="Arial"/>
        </w:rPr>
        <w:t xml:space="preserve"> The purpose of the form is to collect information so that the </w:t>
      </w:r>
      <w:r w:rsidRPr="00F00779">
        <w:rPr>
          <w:rFonts w:cs="Arial"/>
        </w:rPr>
        <w:t>department</w:t>
      </w:r>
      <w:r>
        <w:rPr>
          <w:rFonts w:cs="Arial"/>
        </w:rPr>
        <w:t xml:space="preserve"> can provide information to older people seeking access to additional information about aged care providers to help inform their choices around their care. </w:t>
      </w:r>
    </w:p>
    <w:p w14:paraId="664BFFB6" w14:textId="77777777" w:rsidR="002D69D1" w:rsidRDefault="002D69D1" w:rsidP="002D69D1">
      <w:pPr>
        <w:spacing w:after="160" w:line="259" w:lineRule="auto"/>
        <w:rPr>
          <w:rFonts w:cs="Arial"/>
        </w:rPr>
      </w:pPr>
      <w:r>
        <w:rPr>
          <w:rFonts w:cs="Arial"/>
        </w:rPr>
        <w:t>If you have not yet submitted your Collection Form,</w:t>
      </w:r>
      <w:r w:rsidDel="000045F6">
        <w:rPr>
          <w:rFonts w:cs="Arial"/>
        </w:rPr>
        <w:t xml:space="preserve"> </w:t>
      </w:r>
      <w:r>
        <w:rPr>
          <w:rFonts w:cs="Arial"/>
        </w:rPr>
        <w:t xml:space="preserve">we encourage you to do this as soon as possible. The information is required for the preview in January ahead of the My Aged Care publication in February 2024. </w:t>
      </w:r>
    </w:p>
    <w:p w14:paraId="13B65E17" w14:textId="77777777" w:rsidR="00A36B13" w:rsidRDefault="00A36B13" w:rsidP="00A36B13">
      <w:pPr>
        <w:pStyle w:val="Heading4"/>
        <w:rPr>
          <w:rFonts w:eastAsiaTheme="majorEastAsia"/>
        </w:rPr>
      </w:pPr>
    </w:p>
    <w:p w14:paraId="2FBB329A" w14:textId="6BAAD4E6" w:rsidR="00A36B13" w:rsidRPr="00A36B13" w:rsidRDefault="00A36B13" w:rsidP="00A36B13">
      <w:pPr>
        <w:pStyle w:val="Heading4"/>
        <w:rPr>
          <w:rFonts w:eastAsiaTheme="majorEastAsia"/>
        </w:rPr>
      </w:pPr>
      <w:r w:rsidRPr="00A36B13">
        <w:rPr>
          <w:rFonts w:eastAsiaTheme="majorEastAsia"/>
        </w:rPr>
        <w:t xml:space="preserve">Please confirm - which user(s) will be advised that the Finance and Provider Operations Publication Preview is available in January 2024? </w:t>
      </w:r>
    </w:p>
    <w:p w14:paraId="01C7FB7F" w14:textId="798599CA" w:rsidR="009A354B" w:rsidRDefault="009A354B" w:rsidP="009A354B">
      <w:pPr>
        <w:spacing w:after="160" w:line="259" w:lineRule="auto"/>
        <w:rPr>
          <w:rFonts w:cs="Arial"/>
        </w:rPr>
      </w:pPr>
      <w:r>
        <w:rPr>
          <w:rFonts w:cs="Arial"/>
        </w:rPr>
        <w:t xml:space="preserve">The </w:t>
      </w:r>
      <w:r w:rsidRPr="00163E0E">
        <w:rPr>
          <w:rFonts w:cs="Arial"/>
        </w:rPr>
        <w:t xml:space="preserve">Finance and Provider Operations Publication </w:t>
      </w:r>
      <w:r>
        <w:rPr>
          <w:rFonts w:cs="Arial"/>
        </w:rPr>
        <w:t xml:space="preserve">Preview is expected to be available </w:t>
      </w:r>
      <w:r w:rsidR="00073955">
        <w:rPr>
          <w:rFonts w:cs="Arial"/>
        </w:rPr>
        <w:t xml:space="preserve">in </w:t>
      </w:r>
      <w:r w:rsidRPr="220BFD61">
        <w:rPr>
          <w:rFonts w:cs="Arial"/>
        </w:rPr>
        <w:t>Januar</w:t>
      </w:r>
      <w:r w:rsidRPr="002A720F">
        <w:rPr>
          <w:rFonts w:cs="Arial"/>
        </w:rPr>
        <w:t>y</w:t>
      </w:r>
      <w:r>
        <w:rPr>
          <w:rFonts w:cs="Arial"/>
        </w:rPr>
        <w:t xml:space="preserve"> 2024. </w:t>
      </w:r>
    </w:p>
    <w:p w14:paraId="7007DE19" w14:textId="77777777" w:rsidR="009A354B" w:rsidRDefault="009A354B" w:rsidP="009A354B">
      <w:pPr>
        <w:spacing w:after="160" w:line="259" w:lineRule="auto"/>
        <w:rPr>
          <w:rFonts w:cs="Arial"/>
        </w:rPr>
      </w:pPr>
      <w:r>
        <w:rPr>
          <w:rFonts w:cs="Arial"/>
        </w:rPr>
        <w:t xml:space="preserve">The </w:t>
      </w:r>
      <w:r w:rsidRPr="202F8C8B">
        <w:rPr>
          <w:rFonts w:cs="Arial"/>
        </w:rPr>
        <w:t>d</w:t>
      </w:r>
      <w:r>
        <w:rPr>
          <w:rFonts w:cs="Arial"/>
        </w:rPr>
        <w:t xml:space="preserve">epartment will send a notification </w:t>
      </w:r>
      <w:r w:rsidRPr="7BD2468B">
        <w:rPr>
          <w:rFonts w:cs="Arial"/>
        </w:rPr>
        <w:t xml:space="preserve">via email </w:t>
      </w:r>
      <w:r>
        <w:rPr>
          <w:rFonts w:cs="Arial"/>
        </w:rPr>
        <w:t>through GPMS to your organisation’s a</w:t>
      </w:r>
      <w:r w:rsidRPr="00444450">
        <w:rPr>
          <w:rFonts w:cs="Arial"/>
        </w:rPr>
        <w:t xml:space="preserve">dministrators </w:t>
      </w:r>
      <w:r>
        <w:rPr>
          <w:rFonts w:cs="Arial"/>
        </w:rPr>
        <w:t xml:space="preserve">when the preview period commences. </w:t>
      </w:r>
    </w:p>
    <w:p w14:paraId="78E0504E" w14:textId="77777777" w:rsidR="009A354B" w:rsidRDefault="009A354B" w:rsidP="009A354B">
      <w:pPr>
        <w:spacing w:after="160" w:line="259" w:lineRule="auto"/>
        <w:rPr>
          <w:rFonts w:cs="Arial"/>
        </w:rPr>
      </w:pPr>
      <w:r>
        <w:rPr>
          <w:rFonts w:cs="Arial"/>
        </w:rPr>
        <w:t xml:space="preserve">The </w:t>
      </w:r>
      <w:r w:rsidRPr="202F8C8B">
        <w:rPr>
          <w:rFonts w:cs="Arial"/>
        </w:rPr>
        <w:t>d</w:t>
      </w:r>
      <w:r>
        <w:rPr>
          <w:rFonts w:cs="Arial"/>
        </w:rPr>
        <w:t xml:space="preserve">epartment will also draw providers’ attention to the preview period through other communication channels such as newsletters. </w:t>
      </w:r>
    </w:p>
    <w:p w14:paraId="1D3A620F" w14:textId="77777777" w:rsidR="004F30F8" w:rsidRPr="001D2DCE" w:rsidRDefault="004F30F8" w:rsidP="009A354B">
      <w:pPr>
        <w:spacing w:after="160" w:line="259" w:lineRule="auto"/>
        <w:rPr>
          <w:rFonts w:cs="Arial"/>
        </w:rPr>
      </w:pPr>
    </w:p>
    <w:p w14:paraId="76F75DB7" w14:textId="7E9EAC7E" w:rsidR="004F30F8" w:rsidRDefault="004F30F8" w:rsidP="004F30F8">
      <w:pPr>
        <w:pStyle w:val="Heading3"/>
      </w:pPr>
      <w:bookmarkStart w:id="7" w:name="_Toc153452950"/>
      <w:r>
        <w:t>Wages Reporting</w:t>
      </w:r>
      <w:bookmarkEnd w:id="7"/>
    </w:p>
    <w:p w14:paraId="11A45700" w14:textId="77777777" w:rsidR="008B2C51" w:rsidRPr="008B2C51" w:rsidRDefault="008B2C51" w:rsidP="008B2C51">
      <w:pPr>
        <w:pStyle w:val="Heading4"/>
        <w:rPr>
          <w:rFonts w:eastAsiaTheme="majorEastAsia"/>
        </w:rPr>
      </w:pPr>
      <w:r w:rsidRPr="008B2C51">
        <w:rPr>
          <w:rFonts w:eastAsiaTheme="majorEastAsia"/>
        </w:rPr>
        <w:t>Are workforce wage rates published for all approved providers or just residential care?  </w:t>
      </w:r>
    </w:p>
    <w:p w14:paraId="1DEDCE15" w14:textId="48C92B57" w:rsidR="00FF416D" w:rsidRDefault="00FF416D" w:rsidP="00FF416D">
      <w:pPr>
        <w:spacing w:after="160" w:line="259" w:lineRule="auto"/>
        <w:rPr>
          <w:rFonts w:cs="Arial"/>
        </w:rPr>
      </w:pPr>
      <w:r w:rsidRPr="0033511B">
        <w:rPr>
          <w:rFonts w:cs="Arial"/>
        </w:rPr>
        <w:t>Yes, the wage rates to be published are for all Approved Providers, that’s residential aged care and Home Care Packages providers</w:t>
      </w:r>
      <w:r>
        <w:rPr>
          <w:rFonts w:cs="Arial"/>
        </w:rPr>
        <w:t>.</w:t>
      </w:r>
      <w:r w:rsidRPr="0033511B">
        <w:rPr>
          <w:rFonts w:cs="Arial"/>
        </w:rPr>
        <w:t> </w:t>
      </w:r>
    </w:p>
    <w:p w14:paraId="2DA45B15" w14:textId="77777777" w:rsidR="00B65101" w:rsidRDefault="00B65101" w:rsidP="00B65101">
      <w:pPr>
        <w:keepNext/>
        <w:keepLines/>
        <w:spacing w:after="0" w:line="240" w:lineRule="auto"/>
        <w:rPr>
          <w:rFonts w:cs="Arial"/>
          <w:b/>
          <w:bCs/>
        </w:rPr>
      </w:pPr>
    </w:p>
    <w:p w14:paraId="6800AF70" w14:textId="55580AD4" w:rsidR="00B65101" w:rsidRPr="00B65101" w:rsidRDefault="00B65101" w:rsidP="00B65101">
      <w:pPr>
        <w:pStyle w:val="Heading4"/>
        <w:rPr>
          <w:rFonts w:eastAsiaTheme="majorEastAsia"/>
        </w:rPr>
      </w:pPr>
      <w:r w:rsidRPr="00B65101">
        <w:rPr>
          <w:rFonts w:eastAsiaTheme="majorEastAsia"/>
        </w:rPr>
        <w:t>How do we report third party brokerage workers, is it the amount we are charged (as this is not what they would be paid)? </w:t>
      </w:r>
    </w:p>
    <w:p w14:paraId="0BA6D2C6" w14:textId="77777777" w:rsidR="00920766" w:rsidRDefault="00920766" w:rsidP="00920766">
      <w:pPr>
        <w:spacing w:after="160" w:line="259" w:lineRule="auto"/>
        <w:rPr>
          <w:rFonts w:cs="Arial"/>
        </w:rPr>
      </w:pPr>
      <w:r w:rsidRPr="00920766">
        <w:t xml:space="preserve">Any brokerage arrangements should be reported as a 0 (zero), the department understands there will be charges that are incurred by aged care providers, including additional costs that </w:t>
      </w:r>
      <w:r w:rsidRPr="00920766">
        <w:lastRenderedPageBreak/>
        <w:t>are over and above just the hourly rate. The department is only interested in the information that is for directly employed workers and the hourly rate, not including on-costs, as per the QFR definitions.  </w:t>
      </w:r>
    </w:p>
    <w:p w14:paraId="76EB9FF7" w14:textId="77777777" w:rsidR="00C50F0E" w:rsidRPr="00C50F0E" w:rsidRDefault="00C50F0E" w:rsidP="00C50F0E">
      <w:pPr>
        <w:pStyle w:val="Heading4"/>
        <w:rPr>
          <w:rFonts w:eastAsiaTheme="majorEastAsia"/>
        </w:rPr>
      </w:pPr>
      <w:r w:rsidRPr="00C50F0E">
        <w:rPr>
          <w:rFonts w:eastAsiaTheme="majorEastAsia"/>
        </w:rPr>
        <w:t>Is the department aware that Q4 2022/23 had one more pay period than Q1 2023/24? Additionally, there were significantly more Public Holidays in Q4 22/23. Has the department considered this when comparing wages between the two periods?  </w:t>
      </w:r>
    </w:p>
    <w:p w14:paraId="4E7B62ED" w14:textId="6D6E402E" w:rsidR="00AD3EEA" w:rsidRDefault="00AD3EEA" w:rsidP="00AD3EEA">
      <w:pPr>
        <w:spacing w:after="160" w:line="259" w:lineRule="auto"/>
      </w:pPr>
      <w:r w:rsidRPr="00AD3EEA">
        <w:t xml:space="preserve">Total wages and labour costs will not be published for Quarter 4. The hourly wage rates will be published, and Quarter 4 will not be affected by the number of pay periods in the quarter. In addition to this, </w:t>
      </w:r>
      <w:r w:rsidR="00CF7356">
        <w:t xml:space="preserve">the </w:t>
      </w:r>
      <w:r w:rsidR="00C664B3">
        <w:t>hourly wage rate</w:t>
      </w:r>
      <w:r w:rsidR="00CF7356">
        <w:t xml:space="preserve"> reported through the QFR is based on the agreement or award</w:t>
      </w:r>
      <w:r w:rsidR="00212DFC">
        <w:t xml:space="preserve"> </w:t>
      </w:r>
      <w:r w:rsidR="00CF7356">
        <w:t xml:space="preserve">rate for standard work hours. Providers do not need to calculate this item based on public holiday wage rates. </w:t>
      </w:r>
    </w:p>
    <w:p w14:paraId="6BEE4C4D" w14:textId="77777777" w:rsidR="00A0646C" w:rsidRPr="00AD3EEA" w:rsidRDefault="00A0646C" w:rsidP="00AD3EEA">
      <w:pPr>
        <w:spacing w:after="160" w:line="259" w:lineRule="auto"/>
      </w:pPr>
    </w:p>
    <w:p w14:paraId="7E548706" w14:textId="77777777" w:rsidR="00F81D55" w:rsidRPr="00F81D55" w:rsidRDefault="00F81D55" w:rsidP="00F81D55">
      <w:pPr>
        <w:pStyle w:val="Heading4"/>
        <w:rPr>
          <w:rFonts w:eastAsiaTheme="majorEastAsia"/>
        </w:rPr>
      </w:pPr>
      <w:r w:rsidRPr="00F81D55">
        <w:rPr>
          <w:rFonts w:eastAsiaTheme="majorEastAsia"/>
        </w:rPr>
        <w:t>Will reporting brokerage work as $0 incentivise brokerage instead of direct employment?  </w:t>
      </w:r>
    </w:p>
    <w:p w14:paraId="55CD810C" w14:textId="77777777" w:rsidR="002C5641" w:rsidRPr="002C5641" w:rsidRDefault="002C5641" w:rsidP="002C5641">
      <w:pPr>
        <w:spacing w:after="160" w:line="259" w:lineRule="auto"/>
      </w:pPr>
      <w:r w:rsidRPr="002C5641">
        <w:t xml:space="preserve">Publishing hourly wage rates is intended to provide transparency on the change in wages over time. The Department is particularly interested in observing changes resulting from the Government’s $11.3 billion investment to implement the Fair Work Commission’s decision to increase minimum award rates by 15% for many aged care workers, and any further decisions in the Aged Care Work Value case. The publication of wage rates should not provide an incentive for any </w:t>
      </w:r>
      <w:proofErr w:type="gramStart"/>
      <w:r w:rsidRPr="002C5641">
        <w:t>particular type of employment</w:t>
      </w:r>
      <w:proofErr w:type="gramEnd"/>
      <w:r w:rsidRPr="002C5641">
        <w:t>. Decisions made by aged care providers on employment models would typically be driven by other factors, rather than the publication of wage rates.  </w:t>
      </w:r>
    </w:p>
    <w:p w14:paraId="2588DD54" w14:textId="77777777" w:rsidR="00E121A2" w:rsidRDefault="00E121A2" w:rsidP="00047FFB">
      <w:pPr>
        <w:pStyle w:val="Heading3"/>
      </w:pPr>
    </w:p>
    <w:p w14:paraId="6B55584C" w14:textId="6ED6124C" w:rsidR="00047FFB" w:rsidRDefault="00047FFB" w:rsidP="00047FFB">
      <w:pPr>
        <w:pStyle w:val="Heading3"/>
      </w:pPr>
      <w:bookmarkStart w:id="8" w:name="_Toc153452951"/>
      <w:r>
        <w:t>Other</w:t>
      </w:r>
      <w:bookmarkEnd w:id="8"/>
    </w:p>
    <w:p w14:paraId="4C377B5A" w14:textId="77777777" w:rsidR="00E121A2" w:rsidRPr="00E121A2" w:rsidRDefault="00E121A2" w:rsidP="00E121A2">
      <w:pPr>
        <w:pStyle w:val="Heading4"/>
        <w:rPr>
          <w:rFonts w:eastAsiaTheme="majorEastAsia"/>
        </w:rPr>
      </w:pPr>
      <w:r w:rsidRPr="00E121A2">
        <w:rPr>
          <w:rFonts w:eastAsiaTheme="majorEastAsia"/>
        </w:rPr>
        <w:t xml:space="preserve">Does the department have any visibility over what proportion of residents and their families are </w:t>
      </w:r>
      <w:bookmarkStart w:id="9" w:name="_Int_Csal6gz6"/>
      <w:proofErr w:type="gramStart"/>
      <w:r w:rsidRPr="00E121A2">
        <w:rPr>
          <w:rFonts w:eastAsiaTheme="majorEastAsia"/>
        </w:rPr>
        <w:t>actually using</w:t>
      </w:r>
      <w:bookmarkEnd w:id="9"/>
      <w:proofErr w:type="gramEnd"/>
      <w:r w:rsidRPr="00E121A2">
        <w:rPr>
          <w:rFonts w:eastAsiaTheme="majorEastAsia"/>
        </w:rPr>
        <w:t xml:space="preserve"> the star ratings publications, as an indication of how many will actually access these new publications? Hearing mixed reports from Residential Aged Care providers in the sector so far.</w:t>
      </w:r>
    </w:p>
    <w:p w14:paraId="25139C69" w14:textId="77777777" w:rsidR="00A436DC" w:rsidRDefault="00A436DC" w:rsidP="00A436DC">
      <w:pPr>
        <w:spacing w:after="160" w:line="259" w:lineRule="auto"/>
      </w:pPr>
      <w:r w:rsidRPr="00A436DC">
        <w:t xml:space="preserve">We are hearing from various forums that older Australians and their representatives are accessing Star Ratings via the Find a Provider tool on the My Aged Care website to view their current service’s Star Ratings as well as to inform their choice for residential aged care. The department has received feedback that Star Ratings provide high level information that is helping older people identify services and make informed choices about their aged care. </w:t>
      </w:r>
    </w:p>
    <w:p w14:paraId="0C94B2F4" w14:textId="2916C3D1" w:rsidR="00530129" w:rsidRPr="006C0307" w:rsidRDefault="00A436DC" w:rsidP="00530129">
      <w:pPr>
        <w:spacing w:after="160" w:line="259" w:lineRule="auto"/>
        <w:rPr>
          <w:rFonts w:cs="Arial"/>
        </w:rPr>
      </w:pPr>
      <w:r w:rsidRPr="00A436DC">
        <w:t>From early next year the department will undertake the first formal evaluation of Star Ratings. This review will engage with a wide range of stakeholders to help us understand how older Australians and representatives and providers use Star Ratings in different ways. This evaluation also aims to assess consumer and provider sentiment for future enhancements to Star Ratings.</w:t>
      </w:r>
    </w:p>
    <w:p w14:paraId="135D75D4" w14:textId="77777777" w:rsidR="00434FD0" w:rsidRPr="006C0307" w:rsidRDefault="00434FD0" w:rsidP="00ED780B">
      <w:pPr>
        <w:spacing w:after="160" w:line="259" w:lineRule="auto"/>
        <w:rPr>
          <w:rFonts w:cs="Arial"/>
        </w:rPr>
      </w:pPr>
    </w:p>
    <w:bookmarkEnd w:id="4"/>
    <w:sectPr w:rsidR="00434FD0" w:rsidRPr="006C0307" w:rsidSect="00903E01">
      <w:footerReference w:type="default" r:id="rId14"/>
      <w:headerReference w:type="first" r:id="rId15"/>
      <w:pgSz w:w="11906" w:h="16838"/>
      <w:pgMar w:top="1440" w:right="851" w:bottom="851" w:left="851" w:header="221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36CE2" w14:textId="77777777" w:rsidR="00891EEC" w:rsidRDefault="00891EEC" w:rsidP="0076491B">
      <w:pPr>
        <w:spacing w:before="0" w:after="0" w:line="240" w:lineRule="auto"/>
      </w:pPr>
      <w:r>
        <w:separator/>
      </w:r>
    </w:p>
  </w:endnote>
  <w:endnote w:type="continuationSeparator" w:id="0">
    <w:p w14:paraId="07DF917F" w14:textId="77777777" w:rsidR="00891EEC" w:rsidRDefault="00891EEC" w:rsidP="0076491B">
      <w:pPr>
        <w:spacing w:before="0" w:after="0" w:line="240" w:lineRule="auto"/>
      </w:pPr>
      <w:r>
        <w:continuationSeparator/>
      </w:r>
    </w:p>
  </w:endnote>
  <w:endnote w:type="continuationNotice" w:id="1">
    <w:p w14:paraId="19C640E5" w14:textId="77777777" w:rsidR="00891EEC" w:rsidRDefault="00891EE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89829"/>
      <w:docPartObj>
        <w:docPartGallery w:val="Page Numbers (Bottom of Page)"/>
        <w:docPartUnique/>
      </w:docPartObj>
    </w:sdtPr>
    <w:sdtEndPr>
      <w:rPr>
        <w:sz w:val="18"/>
        <w:szCs w:val="18"/>
      </w:rPr>
    </w:sdtEndPr>
    <w:sdtContent>
      <w:sdt>
        <w:sdtPr>
          <w:rPr>
            <w:sz w:val="18"/>
            <w:szCs w:val="18"/>
          </w:rPr>
          <w:id w:val="1728636285"/>
          <w:docPartObj>
            <w:docPartGallery w:val="Page Numbers (Top of Page)"/>
            <w:docPartUnique/>
          </w:docPartObj>
        </w:sdtPr>
        <w:sdtEndPr/>
        <w:sdtContent>
          <w:p w14:paraId="60E0658B" w14:textId="0E4B9C80" w:rsidR="00495DCC" w:rsidRPr="00495DCC" w:rsidRDefault="00495DCC">
            <w:pPr>
              <w:pStyle w:val="Footer"/>
              <w:jc w:val="center"/>
              <w:rPr>
                <w:sz w:val="18"/>
                <w:szCs w:val="18"/>
              </w:rPr>
            </w:pPr>
            <w:r w:rsidRPr="00495DCC">
              <w:rPr>
                <w:sz w:val="18"/>
                <w:szCs w:val="18"/>
              </w:rPr>
              <w:t xml:space="preserve">Page </w:t>
            </w:r>
            <w:r w:rsidRPr="00495DCC">
              <w:rPr>
                <w:b/>
                <w:bCs/>
                <w:color w:val="2B579A"/>
                <w:sz w:val="18"/>
                <w:szCs w:val="18"/>
                <w:shd w:val="clear" w:color="auto" w:fill="E6E6E6"/>
              </w:rPr>
              <w:fldChar w:fldCharType="begin"/>
            </w:r>
            <w:r w:rsidRPr="00495DCC">
              <w:rPr>
                <w:b/>
                <w:bCs/>
                <w:sz w:val="18"/>
                <w:szCs w:val="18"/>
              </w:rPr>
              <w:instrText xml:space="preserve"> PAGE </w:instrText>
            </w:r>
            <w:r w:rsidRPr="00495DCC">
              <w:rPr>
                <w:b/>
                <w:bCs/>
                <w:color w:val="2B579A"/>
                <w:sz w:val="18"/>
                <w:szCs w:val="18"/>
                <w:shd w:val="clear" w:color="auto" w:fill="E6E6E6"/>
              </w:rPr>
              <w:fldChar w:fldCharType="separate"/>
            </w:r>
            <w:r w:rsidRPr="00495DCC">
              <w:rPr>
                <w:b/>
                <w:bCs/>
                <w:noProof/>
                <w:sz w:val="18"/>
                <w:szCs w:val="18"/>
              </w:rPr>
              <w:t>2</w:t>
            </w:r>
            <w:r w:rsidRPr="00495DCC">
              <w:rPr>
                <w:b/>
                <w:bCs/>
                <w:color w:val="2B579A"/>
                <w:sz w:val="18"/>
                <w:szCs w:val="18"/>
                <w:shd w:val="clear" w:color="auto" w:fill="E6E6E6"/>
              </w:rPr>
              <w:fldChar w:fldCharType="end"/>
            </w:r>
            <w:r w:rsidRPr="00495DCC">
              <w:rPr>
                <w:sz w:val="18"/>
                <w:szCs w:val="18"/>
              </w:rPr>
              <w:t xml:space="preserve"> of </w:t>
            </w:r>
            <w:r w:rsidRPr="00495DCC">
              <w:rPr>
                <w:b/>
                <w:bCs/>
                <w:color w:val="2B579A"/>
                <w:sz w:val="18"/>
                <w:szCs w:val="18"/>
                <w:shd w:val="clear" w:color="auto" w:fill="E6E6E6"/>
              </w:rPr>
              <w:fldChar w:fldCharType="begin"/>
            </w:r>
            <w:r w:rsidRPr="00495DCC">
              <w:rPr>
                <w:b/>
                <w:bCs/>
                <w:sz w:val="18"/>
                <w:szCs w:val="18"/>
              </w:rPr>
              <w:instrText xml:space="preserve"> NUMPAGES  </w:instrText>
            </w:r>
            <w:r w:rsidRPr="00495DCC">
              <w:rPr>
                <w:b/>
                <w:bCs/>
                <w:color w:val="2B579A"/>
                <w:sz w:val="18"/>
                <w:szCs w:val="18"/>
                <w:shd w:val="clear" w:color="auto" w:fill="E6E6E6"/>
              </w:rPr>
              <w:fldChar w:fldCharType="separate"/>
            </w:r>
            <w:r w:rsidRPr="00495DCC">
              <w:rPr>
                <w:b/>
                <w:bCs/>
                <w:noProof/>
                <w:sz w:val="18"/>
                <w:szCs w:val="18"/>
              </w:rPr>
              <w:t>2</w:t>
            </w:r>
            <w:r w:rsidRPr="00495DCC">
              <w:rPr>
                <w:b/>
                <w:bCs/>
                <w:color w:val="2B579A"/>
                <w:sz w:val="18"/>
                <w:szCs w:val="18"/>
                <w:shd w:val="clear" w:color="auto" w:fill="E6E6E6"/>
              </w:rPr>
              <w:fldChar w:fldCharType="end"/>
            </w:r>
          </w:p>
        </w:sdtContent>
      </w:sdt>
    </w:sdtContent>
  </w:sdt>
  <w:p w14:paraId="13A65619" w14:textId="77777777" w:rsidR="00495DCC" w:rsidRDefault="00495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5E525" w14:textId="77777777" w:rsidR="00891EEC" w:rsidRDefault="00891EEC" w:rsidP="0076491B">
      <w:pPr>
        <w:spacing w:before="0" w:after="0" w:line="240" w:lineRule="auto"/>
      </w:pPr>
      <w:r>
        <w:separator/>
      </w:r>
    </w:p>
  </w:footnote>
  <w:footnote w:type="continuationSeparator" w:id="0">
    <w:p w14:paraId="5FFBAE35" w14:textId="77777777" w:rsidR="00891EEC" w:rsidRDefault="00891EEC" w:rsidP="0076491B">
      <w:pPr>
        <w:spacing w:before="0" w:after="0" w:line="240" w:lineRule="auto"/>
      </w:pPr>
      <w:r>
        <w:continuationSeparator/>
      </w:r>
    </w:p>
  </w:footnote>
  <w:footnote w:type="continuationNotice" w:id="1">
    <w:p w14:paraId="0921C13E" w14:textId="77777777" w:rsidR="00891EEC" w:rsidRDefault="00891EE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DD60" w14:textId="4034A722" w:rsidR="0076491B" w:rsidRDefault="00B77F1C">
    <w:pPr>
      <w:pStyle w:val="Header"/>
    </w:pPr>
    <w:r>
      <w:rPr>
        <w:noProof/>
        <w:color w:val="2B579A"/>
        <w:shd w:val="clear" w:color="auto" w:fill="E6E6E6"/>
      </w:rPr>
      <w:drawing>
        <wp:anchor distT="0" distB="0" distL="114300" distR="114300" simplePos="0" relativeHeight="251657216" behindDoc="1" locked="0" layoutInCell="1" allowOverlap="1" wp14:anchorId="291F40A1" wp14:editId="18521DE6">
          <wp:simplePos x="0" y="0"/>
          <wp:positionH relativeFrom="page">
            <wp:posOffset>-342900</wp:posOffset>
          </wp:positionH>
          <wp:positionV relativeFrom="page">
            <wp:posOffset>-152400</wp:posOffset>
          </wp:positionV>
          <wp:extent cx="8230235" cy="354901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347" r="347"/>
                  <a:stretch>
                    <a:fillRect/>
                  </a:stretch>
                </pic:blipFill>
                <pic:spPr bwMode="auto">
                  <a:xfrm>
                    <a:off x="0" y="0"/>
                    <a:ext cx="8230235" cy="3549015"/>
                  </a:xfrm>
                  <a:prstGeom prst="rect">
                    <a:avLst/>
                  </a:prstGeom>
                  <a:noFill/>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59264" behindDoc="0" locked="0" layoutInCell="1" allowOverlap="1" wp14:anchorId="2EFF395B" wp14:editId="7A97A472">
          <wp:simplePos x="0" y="0"/>
          <wp:positionH relativeFrom="page">
            <wp:align>left</wp:align>
          </wp:positionH>
          <wp:positionV relativeFrom="page">
            <wp:align>top</wp:align>
          </wp:positionV>
          <wp:extent cx="7560310" cy="198691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9869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2F5"/>
    <w:multiLevelType w:val="hybridMultilevel"/>
    <w:tmpl w:val="71DEB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DB4BE8"/>
    <w:multiLevelType w:val="hybridMultilevel"/>
    <w:tmpl w:val="70C0E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3A1097"/>
    <w:multiLevelType w:val="hybridMultilevel"/>
    <w:tmpl w:val="462C8A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7D3C05"/>
    <w:multiLevelType w:val="hybridMultilevel"/>
    <w:tmpl w:val="86FCE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CE23B2"/>
    <w:multiLevelType w:val="hybridMultilevel"/>
    <w:tmpl w:val="52286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AC4A95"/>
    <w:multiLevelType w:val="hybridMultilevel"/>
    <w:tmpl w:val="D27A4AB6"/>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76FB6E"/>
    <w:multiLevelType w:val="hybridMultilevel"/>
    <w:tmpl w:val="6F28B64A"/>
    <w:lvl w:ilvl="0" w:tplc="AD1EFF9E">
      <w:start w:val="1"/>
      <w:numFmt w:val="bullet"/>
      <w:lvlText w:val=""/>
      <w:lvlJc w:val="left"/>
      <w:pPr>
        <w:ind w:left="720" w:hanging="360"/>
      </w:pPr>
      <w:rPr>
        <w:rFonts w:ascii="Symbol" w:hAnsi="Symbol" w:hint="default"/>
      </w:rPr>
    </w:lvl>
    <w:lvl w:ilvl="1" w:tplc="DD4E901C">
      <w:start w:val="1"/>
      <w:numFmt w:val="bullet"/>
      <w:lvlText w:val=""/>
      <w:lvlJc w:val="left"/>
      <w:pPr>
        <w:ind w:left="1440" w:hanging="360"/>
      </w:pPr>
      <w:rPr>
        <w:rFonts w:ascii="Symbol" w:hAnsi="Symbol" w:hint="default"/>
      </w:rPr>
    </w:lvl>
    <w:lvl w:ilvl="2" w:tplc="1A685F9A">
      <w:start w:val="1"/>
      <w:numFmt w:val="bullet"/>
      <w:lvlText w:val=""/>
      <w:lvlJc w:val="left"/>
      <w:pPr>
        <w:ind w:left="2160" w:hanging="360"/>
      </w:pPr>
      <w:rPr>
        <w:rFonts w:ascii="Wingdings" w:hAnsi="Wingdings" w:hint="default"/>
      </w:rPr>
    </w:lvl>
    <w:lvl w:ilvl="3" w:tplc="FD2657EC">
      <w:start w:val="1"/>
      <w:numFmt w:val="bullet"/>
      <w:lvlText w:val=""/>
      <w:lvlJc w:val="left"/>
      <w:pPr>
        <w:ind w:left="2880" w:hanging="360"/>
      </w:pPr>
      <w:rPr>
        <w:rFonts w:ascii="Symbol" w:hAnsi="Symbol" w:hint="default"/>
      </w:rPr>
    </w:lvl>
    <w:lvl w:ilvl="4" w:tplc="4B684020">
      <w:start w:val="1"/>
      <w:numFmt w:val="bullet"/>
      <w:lvlText w:val="o"/>
      <w:lvlJc w:val="left"/>
      <w:pPr>
        <w:ind w:left="3600" w:hanging="360"/>
      </w:pPr>
      <w:rPr>
        <w:rFonts w:ascii="Courier New" w:hAnsi="Courier New" w:hint="default"/>
      </w:rPr>
    </w:lvl>
    <w:lvl w:ilvl="5" w:tplc="8A9E73F8">
      <w:start w:val="1"/>
      <w:numFmt w:val="bullet"/>
      <w:lvlText w:val=""/>
      <w:lvlJc w:val="left"/>
      <w:pPr>
        <w:ind w:left="4320" w:hanging="360"/>
      </w:pPr>
      <w:rPr>
        <w:rFonts w:ascii="Wingdings" w:hAnsi="Wingdings" w:hint="default"/>
      </w:rPr>
    </w:lvl>
    <w:lvl w:ilvl="6" w:tplc="67C08A48">
      <w:start w:val="1"/>
      <w:numFmt w:val="bullet"/>
      <w:lvlText w:val=""/>
      <w:lvlJc w:val="left"/>
      <w:pPr>
        <w:ind w:left="5040" w:hanging="360"/>
      </w:pPr>
      <w:rPr>
        <w:rFonts w:ascii="Symbol" w:hAnsi="Symbol" w:hint="default"/>
      </w:rPr>
    </w:lvl>
    <w:lvl w:ilvl="7" w:tplc="6890F3A4">
      <w:start w:val="1"/>
      <w:numFmt w:val="bullet"/>
      <w:lvlText w:val="o"/>
      <w:lvlJc w:val="left"/>
      <w:pPr>
        <w:ind w:left="5760" w:hanging="360"/>
      </w:pPr>
      <w:rPr>
        <w:rFonts w:ascii="Courier New" w:hAnsi="Courier New" w:hint="default"/>
      </w:rPr>
    </w:lvl>
    <w:lvl w:ilvl="8" w:tplc="A5CAE8E6">
      <w:start w:val="1"/>
      <w:numFmt w:val="bullet"/>
      <w:lvlText w:val=""/>
      <w:lvlJc w:val="left"/>
      <w:pPr>
        <w:ind w:left="6480" w:hanging="360"/>
      </w:pPr>
      <w:rPr>
        <w:rFonts w:ascii="Wingdings" w:hAnsi="Wingdings" w:hint="default"/>
      </w:rPr>
    </w:lvl>
  </w:abstractNum>
  <w:abstractNum w:abstractNumId="7" w15:restartNumberingAfterBreak="0">
    <w:nsid w:val="18F40C87"/>
    <w:multiLevelType w:val="hybridMultilevel"/>
    <w:tmpl w:val="76A29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BE3916"/>
    <w:multiLevelType w:val="hybridMultilevel"/>
    <w:tmpl w:val="7CD6B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5103B9"/>
    <w:multiLevelType w:val="hybridMultilevel"/>
    <w:tmpl w:val="ECD2C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9005E1"/>
    <w:multiLevelType w:val="hybridMultilevel"/>
    <w:tmpl w:val="7714B8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310AE0"/>
    <w:multiLevelType w:val="hybridMultilevel"/>
    <w:tmpl w:val="A41C7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FA503F"/>
    <w:multiLevelType w:val="hybridMultilevel"/>
    <w:tmpl w:val="82F80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7F36D4"/>
    <w:multiLevelType w:val="hybridMultilevel"/>
    <w:tmpl w:val="2C40E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962FCB"/>
    <w:multiLevelType w:val="hybridMultilevel"/>
    <w:tmpl w:val="643A6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6E436F"/>
    <w:multiLevelType w:val="hybridMultilevel"/>
    <w:tmpl w:val="20B2BE82"/>
    <w:lvl w:ilvl="0" w:tplc="FFFFFFFF">
      <w:start w:val="1"/>
      <w:numFmt w:val="decimal"/>
      <w:lvlText w:val="%1."/>
      <w:lvlJc w:val="left"/>
      <w:pPr>
        <w:ind w:left="720" w:hanging="360"/>
      </w:pPr>
    </w:lvl>
    <w:lvl w:ilvl="1" w:tplc="FFFFFFFF">
      <w:start w:val="1"/>
      <w:numFmt w:val="bullet"/>
      <w:lvlText w:val=""/>
      <w:lvlJc w:val="left"/>
      <w:pPr>
        <w:ind w:left="1494" w:hanging="360"/>
      </w:pPr>
      <w:rPr>
        <w:rFonts w:ascii="Symbol" w:hAnsi="Symbol" w:hint="default"/>
      </w:rPr>
    </w:lvl>
    <w:lvl w:ilvl="2" w:tplc="FFFFFFFF">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0416C8A"/>
    <w:multiLevelType w:val="hybridMultilevel"/>
    <w:tmpl w:val="76ECC3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FB4E84"/>
    <w:multiLevelType w:val="hybridMultilevel"/>
    <w:tmpl w:val="E7903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594C91"/>
    <w:multiLevelType w:val="hybridMultilevel"/>
    <w:tmpl w:val="5C4E7C22"/>
    <w:lvl w:ilvl="0" w:tplc="FFFFFFFF">
      <w:start w:val="1"/>
      <w:numFmt w:val="decimal"/>
      <w:lvlText w:val="%1."/>
      <w:lvlJc w:val="left"/>
      <w:pPr>
        <w:ind w:left="720" w:hanging="360"/>
      </w:pPr>
    </w:lvl>
    <w:lvl w:ilvl="1" w:tplc="0C090001">
      <w:start w:val="1"/>
      <w:numFmt w:val="bullet"/>
      <w:lvlText w:val=""/>
      <w:lvlJc w:val="left"/>
      <w:pPr>
        <w:ind w:left="1494"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84602A7"/>
    <w:multiLevelType w:val="multilevel"/>
    <w:tmpl w:val="030A16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0ACEE5"/>
    <w:multiLevelType w:val="hybridMultilevel"/>
    <w:tmpl w:val="2B802380"/>
    <w:lvl w:ilvl="0" w:tplc="4998DF78">
      <w:start w:val="1"/>
      <w:numFmt w:val="bullet"/>
      <w:lvlText w:val=""/>
      <w:lvlJc w:val="left"/>
      <w:pPr>
        <w:ind w:left="720" w:hanging="360"/>
      </w:pPr>
      <w:rPr>
        <w:rFonts w:ascii="Symbol" w:hAnsi="Symbol" w:hint="default"/>
      </w:rPr>
    </w:lvl>
    <w:lvl w:ilvl="1" w:tplc="AE20A80A">
      <w:start w:val="1"/>
      <w:numFmt w:val="bullet"/>
      <w:lvlText w:val="o"/>
      <w:lvlJc w:val="left"/>
      <w:pPr>
        <w:ind w:left="1440" w:hanging="360"/>
      </w:pPr>
      <w:rPr>
        <w:rFonts w:ascii="Courier New" w:hAnsi="Courier New" w:hint="default"/>
      </w:rPr>
    </w:lvl>
    <w:lvl w:ilvl="2" w:tplc="F2C4066A">
      <w:start w:val="1"/>
      <w:numFmt w:val="bullet"/>
      <w:lvlText w:val=""/>
      <w:lvlJc w:val="left"/>
      <w:pPr>
        <w:ind w:left="2160" w:hanging="360"/>
      </w:pPr>
      <w:rPr>
        <w:rFonts w:ascii="Wingdings" w:hAnsi="Wingdings" w:hint="default"/>
      </w:rPr>
    </w:lvl>
    <w:lvl w:ilvl="3" w:tplc="64B4AF74">
      <w:start w:val="1"/>
      <w:numFmt w:val="bullet"/>
      <w:lvlText w:val=""/>
      <w:lvlJc w:val="left"/>
      <w:pPr>
        <w:ind w:left="2880" w:hanging="360"/>
      </w:pPr>
      <w:rPr>
        <w:rFonts w:ascii="Symbol" w:hAnsi="Symbol" w:hint="default"/>
      </w:rPr>
    </w:lvl>
    <w:lvl w:ilvl="4" w:tplc="A5368466">
      <w:start w:val="1"/>
      <w:numFmt w:val="bullet"/>
      <w:lvlText w:val="o"/>
      <w:lvlJc w:val="left"/>
      <w:pPr>
        <w:ind w:left="3600" w:hanging="360"/>
      </w:pPr>
      <w:rPr>
        <w:rFonts w:ascii="Courier New" w:hAnsi="Courier New" w:hint="default"/>
      </w:rPr>
    </w:lvl>
    <w:lvl w:ilvl="5" w:tplc="A76EBF9C">
      <w:start w:val="1"/>
      <w:numFmt w:val="bullet"/>
      <w:lvlText w:val=""/>
      <w:lvlJc w:val="left"/>
      <w:pPr>
        <w:ind w:left="4320" w:hanging="360"/>
      </w:pPr>
      <w:rPr>
        <w:rFonts w:ascii="Wingdings" w:hAnsi="Wingdings" w:hint="default"/>
      </w:rPr>
    </w:lvl>
    <w:lvl w:ilvl="6" w:tplc="641E6A18">
      <w:start w:val="1"/>
      <w:numFmt w:val="bullet"/>
      <w:lvlText w:val=""/>
      <w:lvlJc w:val="left"/>
      <w:pPr>
        <w:ind w:left="5040" w:hanging="360"/>
      </w:pPr>
      <w:rPr>
        <w:rFonts w:ascii="Symbol" w:hAnsi="Symbol" w:hint="default"/>
      </w:rPr>
    </w:lvl>
    <w:lvl w:ilvl="7" w:tplc="7B6E863A">
      <w:start w:val="1"/>
      <w:numFmt w:val="bullet"/>
      <w:lvlText w:val="o"/>
      <w:lvlJc w:val="left"/>
      <w:pPr>
        <w:ind w:left="5760" w:hanging="360"/>
      </w:pPr>
      <w:rPr>
        <w:rFonts w:ascii="Courier New" w:hAnsi="Courier New" w:hint="default"/>
      </w:rPr>
    </w:lvl>
    <w:lvl w:ilvl="8" w:tplc="FAB0B63E">
      <w:start w:val="1"/>
      <w:numFmt w:val="bullet"/>
      <w:lvlText w:val=""/>
      <w:lvlJc w:val="left"/>
      <w:pPr>
        <w:ind w:left="6480" w:hanging="360"/>
      </w:pPr>
      <w:rPr>
        <w:rFonts w:ascii="Wingdings" w:hAnsi="Wingdings" w:hint="default"/>
      </w:rPr>
    </w:lvl>
  </w:abstractNum>
  <w:abstractNum w:abstractNumId="21" w15:restartNumberingAfterBreak="0">
    <w:nsid w:val="392F6F43"/>
    <w:multiLevelType w:val="hybridMultilevel"/>
    <w:tmpl w:val="70D2A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61312F"/>
    <w:multiLevelType w:val="hybridMultilevel"/>
    <w:tmpl w:val="C61841EA"/>
    <w:lvl w:ilvl="0" w:tplc="174AC712">
      <w:start w:val="1"/>
      <w:numFmt w:val="decimal"/>
      <w:lvlText w:val="%1."/>
      <w:lvlJc w:val="left"/>
      <w:pPr>
        <w:ind w:left="720" w:hanging="360"/>
      </w:pPr>
    </w:lvl>
    <w:lvl w:ilvl="1" w:tplc="AA062844">
      <w:start w:val="1"/>
      <w:numFmt w:val="lowerLetter"/>
      <w:lvlText w:val="%2."/>
      <w:lvlJc w:val="left"/>
      <w:pPr>
        <w:ind w:left="1440" w:hanging="360"/>
      </w:pPr>
    </w:lvl>
    <w:lvl w:ilvl="2" w:tplc="07162B16">
      <w:start w:val="1"/>
      <w:numFmt w:val="lowerRoman"/>
      <w:lvlText w:val="%3."/>
      <w:lvlJc w:val="right"/>
      <w:pPr>
        <w:ind w:left="2160" w:hanging="180"/>
      </w:pPr>
    </w:lvl>
    <w:lvl w:ilvl="3" w:tplc="5478E492">
      <w:start w:val="1"/>
      <w:numFmt w:val="decimal"/>
      <w:lvlText w:val="%4."/>
      <w:lvlJc w:val="left"/>
      <w:pPr>
        <w:ind w:left="2880" w:hanging="360"/>
      </w:pPr>
    </w:lvl>
    <w:lvl w:ilvl="4" w:tplc="4DF62C88">
      <w:start w:val="1"/>
      <w:numFmt w:val="lowerLetter"/>
      <w:lvlText w:val="%5."/>
      <w:lvlJc w:val="left"/>
      <w:pPr>
        <w:ind w:left="3600" w:hanging="360"/>
      </w:pPr>
    </w:lvl>
    <w:lvl w:ilvl="5" w:tplc="B2608A9A">
      <w:start w:val="1"/>
      <w:numFmt w:val="lowerRoman"/>
      <w:lvlText w:val="%6."/>
      <w:lvlJc w:val="right"/>
      <w:pPr>
        <w:ind w:left="4320" w:hanging="180"/>
      </w:pPr>
    </w:lvl>
    <w:lvl w:ilvl="6" w:tplc="A336BA2C">
      <w:start w:val="1"/>
      <w:numFmt w:val="decimal"/>
      <w:lvlText w:val="%7."/>
      <w:lvlJc w:val="left"/>
      <w:pPr>
        <w:ind w:left="5040" w:hanging="360"/>
      </w:pPr>
    </w:lvl>
    <w:lvl w:ilvl="7" w:tplc="AF480BCE">
      <w:start w:val="1"/>
      <w:numFmt w:val="lowerLetter"/>
      <w:lvlText w:val="%8."/>
      <w:lvlJc w:val="left"/>
      <w:pPr>
        <w:ind w:left="5760" w:hanging="360"/>
      </w:pPr>
    </w:lvl>
    <w:lvl w:ilvl="8" w:tplc="1C7E9564">
      <w:start w:val="1"/>
      <w:numFmt w:val="lowerRoman"/>
      <w:lvlText w:val="%9."/>
      <w:lvlJc w:val="right"/>
      <w:pPr>
        <w:ind w:left="6480" w:hanging="180"/>
      </w:pPr>
    </w:lvl>
  </w:abstractNum>
  <w:abstractNum w:abstractNumId="23" w15:restartNumberingAfterBreak="0">
    <w:nsid w:val="41203C5F"/>
    <w:multiLevelType w:val="hybridMultilevel"/>
    <w:tmpl w:val="60EA63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37519BF"/>
    <w:multiLevelType w:val="hybridMultilevel"/>
    <w:tmpl w:val="B0F09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B10FCC"/>
    <w:multiLevelType w:val="hybridMultilevel"/>
    <w:tmpl w:val="58D2D32C"/>
    <w:lvl w:ilvl="0" w:tplc="A240DA9E">
      <w:start w:val="1"/>
      <w:numFmt w:val="decimal"/>
      <w:lvlText w:val="%1."/>
      <w:lvlJc w:val="left"/>
      <w:pPr>
        <w:ind w:left="720" w:hanging="360"/>
      </w:pPr>
    </w:lvl>
    <w:lvl w:ilvl="1" w:tplc="0C090001">
      <w:start w:val="1"/>
      <w:numFmt w:val="bullet"/>
      <w:lvlText w:val=""/>
      <w:lvlJc w:val="left"/>
      <w:pPr>
        <w:ind w:left="1494" w:hanging="360"/>
      </w:pPr>
      <w:rPr>
        <w:rFonts w:ascii="Symbol" w:hAnsi="Symbol" w:hint="default"/>
      </w:rPr>
    </w:lvl>
    <w:lvl w:ilvl="2" w:tplc="0C090003">
      <w:start w:val="1"/>
      <w:numFmt w:val="bullet"/>
      <w:lvlText w:val="o"/>
      <w:lvlJc w:val="left"/>
      <w:pPr>
        <w:ind w:left="2340" w:hanging="360"/>
      </w:pPr>
      <w:rPr>
        <w:rFonts w:ascii="Courier New" w:hAnsi="Courier New" w:cs="Courier New" w:hint="default"/>
      </w:rPr>
    </w:lvl>
    <w:lvl w:ilvl="3" w:tplc="B6FEA454">
      <w:start w:val="1"/>
      <w:numFmt w:val="decimal"/>
      <w:lvlText w:val="%4."/>
      <w:lvlJc w:val="left"/>
      <w:pPr>
        <w:ind w:left="2880" w:hanging="360"/>
      </w:pPr>
    </w:lvl>
    <w:lvl w:ilvl="4" w:tplc="D9FE7C04">
      <w:start w:val="1"/>
      <w:numFmt w:val="lowerLetter"/>
      <w:lvlText w:val="%5."/>
      <w:lvlJc w:val="left"/>
      <w:pPr>
        <w:ind w:left="3600" w:hanging="360"/>
      </w:pPr>
    </w:lvl>
    <w:lvl w:ilvl="5" w:tplc="1EBA2EB6">
      <w:start w:val="1"/>
      <w:numFmt w:val="lowerRoman"/>
      <w:lvlText w:val="%6."/>
      <w:lvlJc w:val="right"/>
      <w:pPr>
        <w:ind w:left="4320" w:hanging="180"/>
      </w:pPr>
    </w:lvl>
    <w:lvl w:ilvl="6" w:tplc="4D9A7852">
      <w:start w:val="1"/>
      <w:numFmt w:val="decimal"/>
      <w:lvlText w:val="%7."/>
      <w:lvlJc w:val="left"/>
      <w:pPr>
        <w:ind w:left="5040" w:hanging="360"/>
      </w:pPr>
    </w:lvl>
    <w:lvl w:ilvl="7" w:tplc="4226065C">
      <w:start w:val="1"/>
      <w:numFmt w:val="lowerLetter"/>
      <w:lvlText w:val="%8."/>
      <w:lvlJc w:val="left"/>
      <w:pPr>
        <w:ind w:left="5760" w:hanging="360"/>
      </w:pPr>
    </w:lvl>
    <w:lvl w:ilvl="8" w:tplc="4AFE54EE">
      <w:start w:val="1"/>
      <w:numFmt w:val="lowerRoman"/>
      <w:lvlText w:val="%9."/>
      <w:lvlJc w:val="right"/>
      <w:pPr>
        <w:ind w:left="6480" w:hanging="180"/>
      </w:pPr>
    </w:lvl>
  </w:abstractNum>
  <w:abstractNum w:abstractNumId="26" w15:restartNumberingAfterBreak="0">
    <w:nsid w:val="47D20E27"/>
    <w:multiLevelType w:val="hybridMultilevel"/>
    <w:tmpl w:val="27F43A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97E2ADF"/>
    <w:multiLevelType w:val="hybridMultilevel"/>
    <w:tmpl w:val="EF064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447936"/>
    <w:multiLevelType w:val="hybridMultilevel"/>
    <w:tmpl w:val="AA90D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2137F9"/>
    <w:multiLevelType w:val="hybridMultilevel"/>
    <w:tmpl w:val="F740EB56"/>
    <w:lvl w:ilvl="0" w:tplc="0C090003">
      <w:start w:val="1"/>
      <w:numFmt w:val="bullet"/>
      <w:lvlText w:val="o"/>
      <w:lvlJc w:val="left"/>
      <w:pPr>
        <w:ind w:left="1080" w:hanging="72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3EB1396"/>
    <w:multiLevelType w:val="hybridMultilevel"/>
    <w:tmpl w:val="ED26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43B3547"/>
    <w:multiLevelType w:val="hybridMultilevel"/>
    <w:tmpl w:val="289AFD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5C637EE7"/>
    <w:multiLevelType w:val="multilevel"/>
    <w:tmpl w:val="6124F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9096FA"/>
    <w:multiLevelType w:val="hybridMultilevel"/>
    <w:tmpl w:val="CAAE14AE"/>
    <w:lvl w:ilvl="0" w:tplc="DADEEF70">
      <w:start w:val="1"/>
      <w:numFmt w:val="decimal"/>
      <w:lvlText w:val="%1."/>
      <w:lvlJc w:val="left"/>
      <w:pPr>
        <w:ind w:left="720" w:hanging="360"/>
      </w:pPr>
    </w:lvl>
    <w:lvl w:ilvl="1" w:tplc="3426F670">
      <w:start w:val="1"/>
      <w:numFmt w:val="lowerLetter"/>
      <w:lvlText w:val="%2."/>
      <w:lvlJc w:val="left"/>
      <w:pPr>
        <w:ind w:left="1440" w:hanging="360"/>
      </w:pPr>
    </w:lvl>
    <w:lvl w:ilvl="2" w:tplc="B31CEA34">
      <w:start w:val="1"/>
      <w:numFmt w:val="lowerRoman"/>
      <w:lvlText w:val="%3."/>
      <w:lvlJc w:val="right"/>
      <w:pPr>
        <w:ind w:left="2160" w:hanging="180"/>
      </w:pPr>
    </w:lvl>
    <w:lvl w:ilvl="3" w:tplc="5F106C0A">
      <w:start w:val="1"/>
      <w:numFmt w:val="decimal"/>
      <w:lvlText w:val="%4."/>
      <w:lvlJc w:val="left"/>
      <w:pPr>
        <w:ind w:left="2880" w:hanging="360"/>
      </w:pPr>
    </w:lvl>
    <w:lvl w:ilvl="4" w:tplc="237E191E">
      <w:start w:val="1"/>
      <w:numFmt w:val="lowerLetter"/>
      <w:lvlText w:val="%5."/>
      <w:lvlJc w:val="left"/>
      <w:pPr>
        <w:ind w:left="3600" w:hanging="360"/>
      </w:pPr>
    </w:lvl>
    <w:lvl w:ilvl="5" w:tplc="D99CD57E">
      <w:start w:val="1"/>
      <w:numFmt w:val="lowerRoman"/>
      <w:lvlText w:val="%6."/>
      <w:lvlJc w:val="right"/>
      <w:pPr>
        <w:ind w:left="4320" w:hanging="180"/>
      </w:pPr>
    </w:lvl>
    <w:lvl w:ilvl="6" w:tplc="F162F7B0">
      <w:start w:val="1"/>
      <w:numFmt w:val="decimal"/>
      <w:lvlText w:val="%7."/>
      <w:lvlJc w:val="left"/>
      <w:pPr>
        <w:ind w:left="5040" w:hanging="360"/>
      </w:pPr>
    </w:lvl>
    <w:lvl w:ilvl="7" w:tplc="CF1E357A">
      <w:start w:val="1"/>
      <w:numFmt w:val="lowerLetter"/>
      <w:lvlText w:val="%8."/>
      <w:lvlJc w:val="left"/>
      <w:pPr>
        <w:ind w:left="5760" w:hanging="360"/>
      </w:pPr>
    </w:lvl>
    <w:lvl w:ilvl="8" w:tplc="F98E47CE">
      <w:start w:val="1"/>
      <w:numFmt w:val="lowerRoman"/>
      <w:lvlText w:val="%9."/>
      <w:lvlJc w:val="right"/>
      <w:pPr>
        <w:ind w:left="6480" w:hanging="180"/>
      </w:pPr>
    </w:lvl>
  </w:abstractNum>
  <w:abstractNum w:abstractNumId="34" w15:restartNumberingAfterBreak="0">
    <w:nsid w:val="66C441FD"/>
    <w:multiLevelType w:val="hybridMultilevel"/>
    <w:tmpl w:val="85A23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DF3535"/>
    <w:multiLevelType w:val="hybridMultilevel"/>
    <w:tmpl w:val="02D864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B9F1208"/>
    <w:multiLevelType w:val="hybridMultilevel"/>
    <w:tmpl w:val="ABD0D7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CDE59DE"/>
    <w:multiLevelType w:val="hybridMultilevel"/>
    <w:tmpl w:val="E25EC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A62B56"/>
    <w:multiLevelType w:val="hybridMultilevel"/>
    <w:tmpl w:val="967EE5B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B149DF"/>
    <w:multiLevelType w:val="hybridMultilevel"/>
    <w:tmpl w:val="428A2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7425DC"/>
    <w:multiLevelType w:val="hybridMultilevel"/>
    <w:tmpl w:val="3EC21D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7F7AC3"/>
    <w:multiLevelType w:val="hybridMultilevel"/>
    <w:tmpl w:val="CAF2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6093419">
    <w:abstractNumId w:val="20"/>
  </w:num>
  <w:num w:numId="2" w16cid:durableId="744645355">
    <w:abstractNumId w:val="26"/>
  </w:num>
  <w:num w:numId="3" w16cid:durableId="443614545">
    <w:abstractNumId w:val="35"/>
  </w:num>
  <w:num w:numId="4" w16cid:durableId="821047702">
    <w:abstractNumId w:val="23"/>
  </w:num>
  <w:num w:numId="5" w16cid:durableId="137576376">
    <w:abstractNumId w:val="30"/>
  </w:num>
  <w:num w:numId="6" w16cid:durableId="963510593">
    <w:abstractNumId w:val="5"/>
  </w:num>
  <w:num w:numId="7" w16cid:durableId="1182823062">
    <w:abstractNumId w:val="2"/>
  </w:num>
  <w:num w:numId="8" w16cid:durableId="984623842">
    <w:abstractNumId w:val="17"/>
  </w:num>
  <w:num w:numId="9" w16cid:durableId="1779446088">
    <w:abstractNumId w:val="36"/>
  </w:num>
  <w:num w:numId="10" w16cid:durableId="1113674581">
    <w:abstractNumId w:val="29"/>
  </w:num>
  <w:num w:numId="11" w16cid:durableId="452359771">
    <w:abstractNumId w:val="32"/>
  </w:num>
  <w:num w:numId="12" w16cid:durableId="1249191817">
    <w:abstractNumId w:val="16"/>
  </w:num>
  <w:num w:numId="13" w16cid:durableId="1804422847">
    <w:abstractNumId w:val="38"/>
  </w:num>
  <w:num w:numId="14" w16cid:durableId="836728396">
    <w:abstractNumId w:val="1"/>
  </w:num>
  <w:num w:numId="15" w16cid:durableId="40136843">
    <w:abstractNumId w:val="27"/>
  </w:num>
  <w:num w:numId="16" w16cid:durableId="1380131535">
    <w:abstractNumId w:val="14"/>
  </w:num>
  <w:num w:numId="17" w16cid:durableId="172189852">
    <w:abstractNumId w:val="39"/>
  </w:num>
  <w:num w:numId="18" w16cid:durableId="1868761203">
    <w:abstractNumId w:val="28"/>
  </w:num>
  <w:num w:numId="19" w16cid:durableId="1686857766">
    <w:abstractNumId w:val="8"/>
  </w:num>
  <w:num w:numId="20" w16cid:durableId="1464034261">
    <w:abstractNumId w:val="24"/>
  </w:num>
  <w:num w:numId="21" w16cid:durableId="663431530">
    <w:abstractNumId w:val="9"/>
  </w:num>
  <w:num w:numId="22" w16cid:durableId="2128696632">
    <w:abstractNumId w:val="40"/>
  </w:num>
  <w:num w:numId="23" w16cid:durableId="66929130">
    <w:abstractNumId w:val="4"/>
  </w:num>
  <w:num w:numId="24" w16cid:durableId="1634945120">
    <w:abstractNumId w:val="34"/>
  </w:num>
  <w:num w:numId="25" w16cid:durableId="1205100480">
    <w:abstractNumId w:val="12"/>
  </w:num>
  <w:num w:numId="26" w16cid:durableId="60492635">
    <w:abstractNumId w:val="3"/>
  </w:num>
  <w:num w:numId="27" w16cid:durableId="1291935940">
    <w:abstractNumId w:val="41"/>
  </w:num>
  <w:num w:numId="28" w16cid:durableId="2036996467">
    <w:abstractNumId w:val="13"/>
  </w:num>
  <w:num w:numId="29" w16cid:durableId="2033261741">
    <w:abstractNumId w:val="0"/>
  </w:num>
  <w:num w:numId="30" w16cid:durableId="1582564709">
    <w:abstractNumId w:val="11"/>
  </w:num>
  <w:num w:numId="31" w16cid:durableId="755631814">
    <w:abstractNumId w:val="7"/>
  </w:num>
  <w:num w:numId="32" w16cid:durableId="255484008">
    <w:abstractNumId w:val="10"/>
  </w:num>
  <w:num w:numId="33" w16cid:durableId="1346008623">
    <w:abstractNumId w:val="21"/>
  </w:num>
  <w:num w:numId="34" w16cid:durableId="1812942090">
    <w:abstractNumId w:val="19"/>
  </w:num>
  <w:num w:numId="35" w16cid:durableId="1782334904">
    <w:abstractNumId w:val="37"/>
  </w:num>
  <w:num w:numId="36" w16cid:durableId="1826969139">
    <w:abstractNumId w:val="33"/>
  </w:num>
  <w:num w:numId="37" w16cid:durableId="1642688036">
    <w:abstractNumId w:val="31"/>
  </w:num>
  <w:num w:numId="38" w16cid:durableId="1298492261">
    <w:abstractNumId w:val="6"/>
  </w:num>
  <w:num w:numId="39" w16cid:durableId="1050300053">
    <w:abstractNumId w:val="25"/>
  </w:num>
  <w:num w:numId="40" w16cid:durableId="1336568680">
    <w:abstractNumId w:val="18"/>
  </w:num>
  <w:num w:numId="41" w16cid:durableId="1703163234">
    <w:abstractNumId w:val="15"/>
  </w:num>
  <w:num w:numId="42" w16cid:durableId="722362640">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508"/>
    <w:rsid w:val="000043E9"/>
    <w:rsid w:val="000066D2"/>
    <w:rsid w:val="0001003A"/>
    <w:rsid w:val="0001245D"/>
    <w:rsid w:val="00017D82"/>
    <w:rsid w:val="0002096D"/>
    <w:rsid w:val="00020C90"/>
    <w:rsid w:val="00020D85"/>
    <w:rsid w:val="00021AB9"/>
    <w:rsid w:val="00025B78"/>
    <w:rsid w:val="00030EFC"/>
    <w:rsid w:val="0003663D"/>
    <w:rsid w:val="00036936"/>
    <w:rsid w:val="00036BE4"/>
    <w:rsid w:val="000412A9"/>
    <w:rsid w:val="00047FFB"/>
    <w:rsid w:val="00056649"/>
    <w:rsid w:val="00065D75"/>
    <w:rsid w:val="00073955"/>
    <w:rsid w:val="0007433B"/>
    <w:rsid w:val="00080927"/>
    <w:rsid w:val="00085115"/>
    <w:rsid w:val="00087779"/>
    <w:rsid w:val="000879B0"/>
    <w:rsid w:val="00087B60"/>
    <w:rsid w:val="0009066C"/>
    <w:rsid w:val="000909FD"/>
    <w:rsid w:val="00091558"/>
    <w:rsid w:val="000948D4"/>
    <w:rsid w:val="00096511"/>
    <w:rsid w:val="000979C9"/>
    <w:rsid w:val="000A08EC"/>
    <w:rsid w:val="000A0965"/>
    <w:rsid w:val="000A14AA"/>
    <w:rsid w:val="000A2D2A"/>
    <w:rsid w:val="000A414B"/>
    <w:rsid w:val="000B1ABF"/>
    <w:rsid w:val="000B4650"/>
    <w:rsid w:val="000B54B3"/>
    <w:rsid w:val="000B6E63"/>
    <w:rsid w:val="000D40AB"/>
    <w:rsid w:val="000D66E5"/>
    <w:rsid w:val="000D7AF0"/>
    <w:rsid w:val="000E16BF"/>
    <w:rsid w:val="000E1762"/>
    <w:rsid w:val="000E5EBA"/>
    <w:rsid w:val="000E65B9"/>
    <w:rsid w:val="000F3887"/>
    <w:rsid w:val="000F3DE7"/>
    <w:rsid w:val="000F62F8"/>
    <w:rsid w:val="001053CF"/>
    <w:rsid w:val="00106884"/>
    <w:rsid w:val="00106DA1"/>
    <w:rsid w:val="00111BB5"/>
    <w:rsid w:val="00125E5E"/>
    <w:rsid w:val="001353A9"/>
    <w:rsid w:val="0014453B"/>
    <w:rsid w:val="00150725"/>
    <w:rsid w:val="00150A7D"/>
    <w:rsid w:val="00152D7F"/>
    <w:rsid w:val="00154F81"/>
    <w:rsid w:val="00155B4F"/>
    <w:rsid w:val="001617FA"/>
    <w:rsid w:val="00162082"/>
    <w:rsid w:val="00162282"/>
    <w:rsid w:val="0016301C"/>
    <w:rsid w:val="00164AC5"/>
    <w:rsid w:val="00164BA4"/>
    <w:rsid w:val="001740D6"/>
    <w:rsid w:val="001742A6"/>
    <w:rsid w:val="001756DB"/>
    <w:rsid w:val="00176394"/>
    <w:rsid w:val="00176517"/>
    <w:rsid w:val="00191E5A"/>
    <w:rsid w:val="00194B46"/>
    <w:rsid w:val="001A209B"/>
    <w:rsid w:val="001A2A63"/>
    <w:rsid w:val="001A2E4C"/>
    <w:rsid w:val="001A355A"/>
    <w:rsid w:val="001A4831"/>
    <w:rsid w:val="001B07A8"/>
    <w:rsid w:val="001B3002"/>
    <w:rsid w:val="001B3A1A"/>
    <w:rsid w:val="001B6D0E"/>
    <w:rsid w:val="001B74FE"/>
    <w:rsid w:val="001C0AEF"/>
    <w:rsid w:val="001C1D44"/>
    <w:rsid w:val="001C3385"/>
    <w:rsid w:val="001C356C"/>
    <w:rsid w:val="001C5274"/>
    <w:rsid w:val="001C79F8"/>
    <w:rsid w:val="001D280C"/>
    <w:rsid w:val="001D2A13"/>
    <w:rsid w:val="001D501D"/>
    <w:rsid w:val="001E1783"/>
    <w:rsid w:val="001E602D"/>
    <w:rsid w:val="001F1113"/>
    <w:rsid w:val="001F762A"/>
    <w:rsid w:val="001F7907"/>
    <w:rsid w:val="0020048F"/>
    <w:rsid w:val="00201C65"/>
    <w:rsid w:val="002056AC"/>
    <w:rsid w:val="00212DFC"/>
    <w:rsid w:val="00214A44"/>
    <w:rsid w:val="00216FB3"/>
    <w:rsid w:val="00217E35"/>
    <w:rsid w:val="002202E1"/>
    <w:rsid w:val="002205B7"/>
    <w:rsid w:val="002258A3"/>
    <w:rsid w:val="00227405"/>
    <w:rsid w:val="002437E5"/>
    <w:rsid w:val="002460D9"/>
    <w:rsid w:val="00255649"/>
    <w:rsid w:val="00261F6B"/>
    <w:rsid w:val="00262532"/>
    <w:rsid w:val="00262F8D"/>
    <w:rsid w:val="002744F9"/>
    <w:rsid w:val="00274EAD"/>
    <w:rsid w:val="00277324"/>
    <w:rsid w:val="00277C06"/>
    <w:rsid w:val="002831EC"/>
    <w:rsid w:val="002841FD"/>
    <w:rsid w:val="002852B8"/>
    <w:rsid w:val="0028551C"/>
    <w:rsid w:val="00286B3B"/>
    <w:rsid w:val="0029050F"/>
    <w:rsid w:val="002932AD"/>
    <w:rsid w:val="00294455"/>
    <w:rsid w:val="002964E3"/>
    <w:rsid w:val="00296CFA"/>
    <w:rsid w:val="00296E10"/>
    <w:rsid w:val="002A1351"/>
    <w:rsid w:val="002A3695"/>
    <w:rsid w:val="002A6EEB"/>
    <w:rsid w:val="002B3EAB"/>
    <w:rsid w:val="002B6135"/>
    <w:rsid w:val="002C3574"/>
    <w:rsid w:val="002C4291"/>
    <w:rsid w:val="002C5641"/>
    <w:rsid w:val="002D1A97"/>
    <w:rsid w:val="002D2F06"/>
    <w:rsid w:val="002D3908"/>
    <w:rsid w:val="002D582C"/>
    <w:rsid w:val="002D69D1"/>
    <w:rsid w:val="002E4C6A"/>
    <w:rsid w:val="002F074F"/>
    <w:rsid w:val="002F542F"/>
    <w:rsid w:val="00301204"/>
    <w:rsid w:val="00301BE9"/>
    <w:rsid w:val="00302E54"/>
    <w:rsid w:val="003114B1"/>
    <w:rsid w:val="00313C5F"/>
    <w:rsid w:val="003150F4"/>
    <w:rsid w:val="0031610A"/>
    <w:rsid w:val="00316395"/>
    <w:rsid w:val="00320539"/>
    <w:rsid w:val="003206E7"/>
    <w:rsid w:val="00321178"/>
    <w:rsid w:val="00322AB1"/>
    <w:rsid w:val="00325048"/>
    <w:rsid w:val="00325A1E"/>
    <w:rsid w:val="0034073C"/>
    <w:rsid w:val="00345345"/>
    <w:rsid w:val="00355D01"/>
    <w:rsid w:val="00357923"/>
    <w:rsid w:val="0036098E"/>
    <w:rsid w:val="00360B18"/>
    <w:rsid w:val="00360B34"/>
    <w:rsid w:val="00363637"/>
    <w:rsid w:val="00364FE1"/>
    <w:rsid w:val="00372793"/>
    <w:rsid w:val="00375E62"/>
    <w:rsid w:val="00377239"/>
    <w:rsid w:val="003803F4"/>
    <w:rsid w:val="00380BBD"/>
    <w:rsid w:val="00381D85"/>
    <w:rsid w:val="00385B65"/>
    <w:rsid w:val="0039286E"/>
    <w:rsid w:val="00393C31"/>
    <w:rsid w:val="00396224"/>
    <w:rsid w:val="0039673D"/>
    <w:rsid w:val="00396F8B"/>
    <w:rsid w:val="003A22DB"/>
    <w:rsid w:val="003A4738"/>
    <w:rsid w:val="003A4C54"/>
    <w:rsid w:val="003C0BBF"/>
    <w:rsid w:val="003D10F6"/>
    <w:rsid w:val="003D2981"/>
    <w:rsid w:val="003D4D9E"/>
    <w:rsid w:val="003E047D"/>
    <w:rsid w:val="003E3A5F"/>
    <w:rsid w:val="003E6CCF"/>
    <w:rsid w:val="003E74BF"/>
    <w:rsid w:val="003F0600"/>
    <w:rsid w:val="003F2A0D"/>
    <w:rsid w:val="004037B6"/>
    <w:rsid w:val="004110C2"/>
    <w:rsid w:val="00416508"/>
    <w:rsid w:val="004172BA"/>
    <w:rsid w:val="004264BE"/>
    <w:rsid w:val="00426F98"/>
    <w:rsid w:val="00431A0B"/>
    <w:rsid w:val="00431CD1"/>
    <w:rsid w:val="00434FD0"/>
    <w:rsid w:val="00440121"/>
    <w:rsid w:val="0044024F"/>
    <w:rsid w:val="00441A65"/>
    <w:rsid w:val="004423BF"/>
    <w:rsid w:val="00444533"/>
    <w:rsid w:val="00452991"/>
    <w:rsid w:val="00452B3F"/>
    <w:rsid w:val="00452E99"/>
    <w:rsid w:val="004557A0"/>
    <w:rsid w:val="004577D2"/>
    <w:rsid w:val="0046065C"/>
    <w:rsid w:val="004632D0"/>
    <w:rsid w:val="0047059A"/>
    <w:rsid w:val="00477856"/>
    <w:rsid w:val="0048014C"/>
    <w:rsid w:val="00481E43"/>
    <w:rsid w:val="0048372F"/>
    <w:rsid w:val="004856A4"/>
    <w:rsid w:val="0048583F"/>
    <w:rsid w:val="00493A64"/>
    <w:rsid w:val="00495DCC"/>
    <w:rsid w:val="00496D69"/>
    <w:rsid w:val="004A2698"/>
    <w:rsid w:val="004A3D1D"/>
    <w:rsid w:val="004A4F71"/>
    <w:rsid w:val="004A76FF"/>
    <w:rsid w:val="004A779E"/>
    <w:rsid w:val="004A7C5D"/>
    <w:rsid w:val="004B1FD4"/>
    <w:rsid w:val="004B567E"/>
    <w:rsid w:val="004B5C5A"/>
    <w:rsid w:val="004B73F2"/>
    <w:rsid w:val="004C0D5A"/>
    <w:rsid w:val="004C11EB"/>
    <w:rsid w:val="004C142C"/>
    <w:rsid w:val="004C4CF5"/>
    <w:rsid w:val="004C5B46"/>
    <w:rsid w:val="004D4AA8"/>
    <w:rsid w:val="004D548B"/>
    <w:rsid w:val="004E1CA3"/>
    <w:rsid w:val="004E1CBB"/>
    <w:rsid w:val="004E64FE"/>
    <w:rsid w:val="004F0389"/>
    <w:rsid w:val="004F08D4"/>
    <w:rsid w:val="004F30F8"/>
    <w:rsid w:val="004F39D5"/>
    <w:rsid w:val="004F5634"/>
    <w:rsid w:val="004F5F0F"/>
    <w:rsid w:val="004F79FD"/>
    <w:rsid w:val="00500AA5"/>
    <w:rsid w:val="00501DDA"/>
    <w:rsid w:val="005035B6"/>
    <w:rsid w:val="0050551A"/>
    <w:rsid w:val="00505EAA"/>
    <w:rsid w:val="00513AE4"/>
    <w:rsid w:val="0051471E"/>
    <w:rsid w:val="005166A0"/>
    <w:rsid w:val="00521739"/>
    <w:rsid w:val="00521D53"/>
    <w:rsid w:val="005236DB"/>
    <w:rsid w:val="00527ACB"/>
    <w:rsid w:val="00530129"/>
    <w:rsid w:val="005318B1"/>
    <w:rsid w:val="00531951"/>
    <w:rsid w:val="00537A21"/>
    <w:rsid w:val="00542432"/>
    <w:rsid w:val="005454F6"/>
    <w:rsid w:val="005460FF"/>
    <w:rsid w:val="00554C41"/>
    <w:rsid w:val="0055582B"/>
    <w:rsid w:val="00555F20"/>
    <w:rsid w:val="00563885"/>
    <w:rsid w:val="00563BF9"/>
    <w:rsid w:val="0056707E"/>
    <w:rsid w:val="00571CA3"/>
    <w:rsid w:val="005733AD"/>
    <w:rsid w:val="005744CB"/>
    <w:rsid w:val="00576A5B"/>
    <w:rsid w:val="00577C30"/>
    <w:rsid w:val="00583E80"/>
    <w:rsid w:val="00585B73"/>
    <w:rsid w:val="005908A9"/>
    <w:rsid w:val="00592266"/>
    <w:rsid w:val="00594722"/>
    <w:rsid w:val="00597104"/>
    <w:rsid w:val="00597446"/>
    <w:rsid w:val="005A10D5"/>
    <w:rsid w:val="005A44F3"/>
    <w:rsid w:val="005A68A8"/>
    <w:rsid w:val="005A74B8"/>
    <w:rsid w:val="005A75D2"/>
    <w:rsid w:val="005B0F2A"/>
    <w:rsid w:val="005B101E"/>
    <w:rsid w:val="005B5680"/>
    <w:rsid w:val="005C2C12"/>
    <w:rsid w:val="005D094B"/>
    <w:rsid w:val="005D0A63"/>
    <w:rsid w:val="005D37CB"/>
    <w:rsid w:val="005D4DF7"/>
    <w:rsid w:val="005D5CEC"/>
    <w:rsid w:val="005D5FC4"/>
    <w:rsid w:val="005E0B7F"/>
    <w:rsid w:val="005F0854"/>
    <w:rsid w:val="005F6586"/>
    <w:rsid w:val="005F739D"/>
    <w:rsid w:val="00600BE0"/>
    <w:rsid w:val="0060244F"/>
    <w:rsid w:val="00602A9B"/>
    <w:rsid w:val="00604E38"/>
    <w:rsid w:val="0060640A"/>
    <w:rsid w:val="00611FBF"/>
    <w:rsid w:val="0063054E"/>
    <w:rsid w:val="0063087C"/>
    <w:rsid w:val="00633DB4"/>
    <w:rsid w:val="00634AE1"/>
    <w:rsid w:val="00646B32"/>
    <w:rsid w:val="00647BA4"/>
    <w:rsid w:val="00651365"/>
    <w:rsid w:val="00651ACF"/>
    <w:rsid w:val="00652D43"/>
    <w:rsid w:val="00656D9E"/>
    <w:rsid w:val="006628C6"/>
    <w:rsid w:val="00664B5F"/>
    <w:rsid w:val="00665BD8"/>
    <w:rsid w:val="00665C69"/>
    <w:rsid w:val="006712E1"/>
    <w:rsid w:val="00671EBD"/>
    <w:rsid w:val="006811C4"/>
    <w:rsid w:val="00681E9F"/>
    <w:rsid w:val="00684B72"/>
    <w:rsid w:val="00686DB5"/>
    <w:rsid w:val="00692323"/>
    <w:rsid w:val="00693486"/>
    <w:rsid w:val="006938F1"/>
    <w:rsid w:val="00697908"/>
    <w:rsid w:val="006A16F1"/>
    <w:rsid w:val="006A282C"/>
    <w:rsid w:val="006A49D0"/>
    <w:rsid w:val="006A5B63"/>
    <w:rsid w:val="006A75B0"/>
    <w:rsid w:val="006B676D"/>
    <w:rsid w:val="006C4204"/>
    <w:rsid w:val="006C52FB"/>
    <w:rsid w:val="006C72A2"/>
    <w:rsid w:val="006D1C17"/>
    <w:rsid w:val="006D2F4B"/>
    <w:rsid w:val="006D4C63"/>
    <w:rsid w:val="006D50CF"/>
    <w:rsid w:val="006E0223"/>
    <w:rsid w:val="006E3865"/>
    <w:rsid w:val="006E641E"/>
    <w:rsid w:val="006F4500"/>
    <w:rsid w:val="006F76D9"/>
    <w:rsid w:val="007003C4"/>
    <w:rsid w:val="00701537"/>
    <w:rsid w:val="0070202D"/>
    <w:rsid w:val="0070592F"/>
    <w:rsid w:val="007122C7"/>
    <w:rsid w:val="00715D90"/>
    <w:rsid w:val="00726939"/>
    <w:rsid w:val="0072774B"/>
    <w:rsid w:val="00727C21"/>
    <w:rsid w:val="00727CF9"/>
    <w:rsid w:val="00735306"/>
    <w:rsid w:val="00744982"/>
    <w:rsid w:val="0075392D"/>
    <w:rsid w:val="00755A7A"/>
    <w:rsid w:val="00763469"/>
    <w:rsid w:val="0076491B"/>
    <w:rsid w:val="00766F24"/>
    <w:rsid w:val="00771DFF"/>
    <w:rsid w:val="007801DC"/>
    <w:rsid w:val="00784F2A"/>
    <w:rsid w:val="00790297"/>
    <w:rsid w:val="007940A6"/>
    <w:rsid w:val="007A7ACC"/>
    <w:rsid w:val="007A7DBE"/>
    <w:rsid w:val="007B15F9"/>
    <w:rsid w:val="007B47C9"/>
    <w:rsid w:val="007C055E"/>
    <w:rsid w:val="007C5DC8"/>
    <w:rsid w:val="007D09C6"/>
    <w:rsid w:val="007D0B0E"/>
    <w:rsid w:val="007D0CA4"/>
    <w:rsid w:val="007D3CA1"/>
    <w:rsid w:val="007F0F45"/>
    <w:rsid w:val="0080360F"/>
    <w:rsid w:val="008041C3"/>
    <w:rsid w:val="00804212"/>
    <w:rsid w:val="00810FCB"/>
    <w:rsid w:val="00821C59"/>
    <w:rsid w:val="0082590D"/>
    <w:rsid w:val="00825D95"/>
    <w:rsid w:val="00830BE2"/>
    <w:rsid w:val="0083195F"/>
    <w:rsid w:val="00834694"/>
    <w:rsid w:val="00842DB0"/>
    <w:rsid w:val="0085386B"/>
    <w:rsid w:val="00855420"/>
    <w:rsid w:val="00870FD1"/>
    <w:rsid w:val="00871A8D"/>
    <w:rsid w:val="00871DE7"/>
    <w:rsid w:val="00872B41"/>
    <w:rsid w:val="0087518E"/>
    <w:rsid w:val="008768CA"/>
    <w:rsid w:val="008818D7"/>
    <w:rsid w:val="008854C8"/>
    <w:rsid w:val="008862BA"/>
    <w:rsid w:val="00891EEC"/>
    <w:rsid w:val="008A60C0"/>
    <w:rsid w:val="008A69BE"/>
    <w:rsid w:val="008B0D38"/>
    <w:rsid w:val="008B0E76"/>
    <w:rsid w:val="008B2C51"/>
    <w:rsid w:val="008B4971"/>
    <w:rsid w:val="008B733F"/>
    <w:rsid w:val="008C091A"/>
    <w:rsid w:val="008C3DE3"/>
    <w:rsid w:val="008C5D1A"/>
    <w:rsid w:val="008D69C5"/>
    <w:rsid w:val="008E6F2A"/>
    <w:rsid w:val="008F3293"/>
    <w:rsid w:val="008F768D"/>
    <w:rsid w:val="00901E78"/>
    <w:rsid w:val="00903A96"/>
    <w:rsid w:val="00903B62"/>
    <w:rsid w:val="00903E01"/>
    <w:rsid w:val="0092047D"/>
    <w:rsid w:val="00920766"/>
    <w:rsid w:val="00922C64"/>
    <w:rsid w:val="00923812"/>
    <w:rsid w:val="0092391D"/>
    <w:rsid w:val="00933EF2"/>
    <w:rsid w:val="009346B6"/>
    <w:rsid w:val="00935421"/>
    <w:rsid w:val="009414A1"/>
    <w:rsid w:val="00941E85"/>
    <w:rsid w:val="00942A99"/>
    <w:rsid w:val="0095454B"/>
    <w:rsid w:val="00954EA1"/>
    <w:rsid w:val="009640E9"/>
    <w:rsid w:val="00965317"/>
    <w:rsid w:val="00971C6C"/>
    <w:rsid w:val="00972040"/>
    <w:rsid w:val="00973AB4"/>
    <w:rsid w:val="00973CC6"/>
    <w:rsid w:val="00992524"/>
    <w:rsid w:val="0099422E"/>
    <w:rsid w:val="009A1AF4"/>
    <w:rsid w:val="009A354B"/>
    <w:rsid w:val="009A5FF1"/>
    <w:rsid w:val="009A7FD4"/>
    <w:rsid w:val="009B2828"/>
    <w:rsid w:val="009B5347"/>
    <w:rsid w:val="009B5726"/>
    <w:rsid w:val="009C16E6"/>
    <w:rsid w:val="009C5F08"/>
    <w:rsid w:val="009D4104"/>
    <w:rsid w:val="009D718B"/>
    <w:rsid w:val="009E0535"/>
    <w:rsid w:val="009E4028"/>
    <w:rsid w:val="009E403E"/>
    <w:rsid w:val="009F3DDA"/>
    <w:rsid w:val="009F4339"/>
    <w:rsid w:val="009F56A0"/>
    <w:rsid w:val="009F67AE"/>
    <w:rsid w:val="009F7194"/>
    <w:rsid w:val="00A002C3"/>
    <w:rsid w:val="00A015C4"/>
    <w:rsid w:val="00A01E14"/>
    <w:rsid w:val="00A0646C"/>
    <w:rsid w:val="00A066D9"/>
    <w:rsid w:val="00A10470"/>
    <w:rsid w:val="00A15071"/>
    <w:rsid w:val="00A201F3"/>
    <w:rsid w:val="00A22E5D"/>
    <w:rsid w:val="00A27EE0"/>
    <w:rsid w:val="00A338F8"/>
    <w:rsid w:val="00A33C7D"/>
    <w:rsid w:val="00A345F8"/>
    <w:rsid w:val="00A36B13"/>
    <w:rsid w:val="00A41AF8"/>
    <w:rsid w:val="00A436DC"/>
    <w:rsid w:val="00A45BD1"/>
    <w:rsid w:val="00A47729"/>
    <w:rsid w:val="00A54033"/>
    <w:rsid w:val="00A54D44"/>
    <w:rsid w:val="00A5668A"/>
    <w:rsid w:val="00A571CB"/>
    <w:rsid w:val="00A6019C"/>
    <w:rsid w:val="00A700EC"/>
    <w:rsid w:val="00A72861"/>
    <w:rsid w:val="00A72F09"/>
    <w:rsid w:val="00A741DA"/>
    <w:rsid w:val="00A75917"/>
    <w:rsid w:val="00A816F8"/>
    <w:rsid w:val="00A81AB4"/>
    <w:rsid w:val="00AA0B68"/>
    <w:rsid w:val="00AA2351"/>
    <w:rsid w:val="00AA4C85"/>
    <w:rsid w:val="00AA78A1"/>
    <w:rsid w:val="00AB1E00"/>
    <w:rsid w:val="00AB3D1D"/>
    <w:rsid w:val="00AC09CF"/>
    <w:rsid w:val="00AC7592"/>
    <w:rsid w:val="00AD0343"/>
    <w:rsid w:val="00AD075A"/>
    <w:rsid w:val="00AD1831"/>
    <w:rsid w:val="00AD3EEA"/>
    <w:rsid w:val="00AD677D"/>
    <w:rsid w:val="00AE0437"/>
    <w:rsid w:val="00AE24FD"/>
    <w:rsid w:val="00AE266D"/>
    <w:rsid w:val="00AE628C"/>
    <w:rsid w:val="00AE66F7"/>
    <w:rsid w:val="00AF19E3"/>
    <w:rsid w:val="00AF7061"/>
    <w:rsid w:val="00AF74F5"/>
    <w:rsid w:val="00B05D53"/>
    <w:rsid w:val="00B10C5B"/>
    <w:rsid w:val="00B126F1"/>
    <w:rsid w:val="00B1542B"/>
    <w:rsid w:val="00B22995"/>
    <w:rsid w:val="00B25406"/>
    <w:rsid w:val="00B3357C"/>
    <w:rsid w:val="00B407B0"/>
    <w:rsid w:val="00B50A5C"/>
    <w:rsid w:val="00B540A4"/>
    <w:rsid w:val="00B57BBA"/>
    <w:rsid w:val="00B6443A"/>
    <w:rsid w:val="00B65101"/>
    <w:rsid w:val="00B70349"/>
    <w:rsid w:val="00B743E6"/>
    <w:rsid w:val="00B77F1C"/>
    <w:rsid w:val="00B84B39"/>
    <w:rsid w:val="00B92A39"/>
    <w:rsid w:val="00B93DCE"/>
    <w:rsid w:val="00B95131"/>
    <w:rsid w:val="00B96BA5"/>
    <w:rsid w:val="00BA0EF9"/>
    <w:rsid w:val="00BB288C"/>
    <w:rsid w:val="00BB3818"/>
    <w:rsid w:val="00BB4677"/>
    <w:rsid w:val="00BB46B6"/>
    <w:rsid w:val="00BC0C7C"/>
    <w:rsid w:val="00BC6963"/>
    <w:rsid w:val="00BD0FBF"/>
    <w:rsid w:val="00BD451A"/>
    <w:rsid w:val="00BD4C1D"/>
    <w:rsid w:val="00BD4EE9"/>
    <w:rsid w:val="00BD7B2E"/>
    <w:rsid w:val="00BE0478"/>
    <w:rsid w:val="00BF01B0"/>
    <w:rsid w:val="00BF66C8"/>
    <w:rsid w:val="00BF6D3F"/>
    <w:rsid w:val="00C05B4D"/>
    <w:rsid w:val="00C144A6"/>
    <w:rsid w:val="00C15079"/>
    <w:rsid w:val="00C22E33"/>
    <w:rsid w:val="00C2780C"/>
    <w:rsid w:val="00C330AD"/>
    <w:rsid w:val="00C35112"/>
    <w:rsid w:val="00C363B8"/>
    <w:rsid w:val="00C36B54"/>
    <w:rsid w:val="00C45DD4"/>
    <w:rsid w:val="00C46331"/>
    <w:rsid w:val="00C50F0E"/>
    <w:rsid w:val="00C55F3B"/>
    <w:rsid w:val="00C57424"/>
    <w:rsid w:val="00C62AD9"/>
    <w:rsid w:val="00C63D65"/>
    <w:rsid w:val="00C664B3"/>
    <w:rsid w:val="00C70725"/>
    <w:rsid w:val="00C70D9E"/>
    <w:rsid w:val="00C76786"/>
    <w:rsid w:val="00C76B54"/>
    <w:rsid w:val="00C80EAD"/>
    <w:rsid w:val="00C8117B"/>
    <w:rsid w:val="00C83BE2"/>
    <w:rsid w:val="00C87C89"/>
    <w:rsid w:val="00C905D6"/>
    <w:rsid w:val="00C907AA"/>
    <w:rsid w:val="00C9187A"/>
    <w:rsid w:val="00C93F97"/>
    <w:rsid w:val="00C95581"/>
    <w:rsid w:val="00C95923"/>
    <w:rsid w:val="00CA0CFC"/>
    <w:rsid w:val="00CA1D4D"/>
    <w:rsid w:val="00CA3823"/>
    <w:rsid w:val="00CA3A9D"/>
    <w:rsid w:val="00CB3C39"/>
    <w:rsid w:val="00CB5E06"/>
    <w:rsid w:val="00CC0C52"/>
    <w:rsid w:val="00CC0E9C"/>
    <w:rsid w:val="00CC1211"/>
    <w:rsid w:val="00CC2EA7"/>
    <w:rsid w:val="00CC7326"/>
    <w:rsid w:val="00CD0F17"/>
    <w:rsid w:val="00CD281E"/>
    <w:rsid w:val="00CD302B"/>
    <w:rsid w:val="00CD3893"/>
    <w:rsid w:val="00CD5417"/>
    <w:rsid w:val="00CD6C96"/>
    <w:rsid w:val="00CE0764"/>
    <w:rsid w:val="00CE08F9"/>
    <w:rsid w:val="00CE1E8F"/>
    <w:rsid w:val="00CF034F"/>
    <w:rsid w:val="00CF150D"/>
    <w:rsid w:val="00CF4E4E"/>
    <w:rsid w:val="00CF7356"/>
    <w:rsid w:val="00D00586"/>
    <w:rsid w:val="00D00FFC"/>
    <w:rsid w:val="00D07E60"/>
    <w:rsid w:val="00D12208"/>
    <w:rsid w:val="00D13BE5"/>
    <w:rsid w:val="00D157C9"/>
    <w:rsid w:val="00D26BCB"/>
    <w:rsid w:val="00D31008"/>
    <w:rsid w:val="00D36B2C"/>
    <w:rsid w:val="00D372BE"/>
    <w:rsid w:val="00D37F6B"/>
    <w:rsid w:val="00D41508"/>
    <w:rsid w:val="00D415BB"/>
    <w:rsid w:val="00D45FC1"/>
    <w:rsid w:val="00D4731A"/>
    <w:rsid w:val="00D479B8"/>
    <w:rsid w:val="00D50713"/>
    <w:rsid w:val="00D534D4"/>
    <w:rsid w:val="00D553E4"/>
    <w:rsid w:val="00D56EAD"/>
    <w:rsid w:val="00D57AB0"/>
    <w:rsid w:val="00D62DF4"/>
    <w:rsid w:val="00D64566"/>
    <w:rsid w:val="00D6546F"/>
    <w:rsid w:val="00D80A73"/>
    <w:rsid w:val="00D815AE"/>
    <w:rsid w:val="00D83916"/>
    <w:rsid w:val="00D8416F"/>
    <w:rsid w:val="00D86771"/>
    <w:rsid w:val="00D90951"/>
    <w:rsid w:val="00D9121A"/>
    <w:rsid w:val="00D929F3"/>
    <w:rsid w:val="00D934B1"/>
    <w:rsid w:val="00D94316"/>
    <w:rsid w:val="00D96234"/>
    <w:rsid w:val="00D96247"/>
    <w:rsid w:val="00D9692D"/>
    <w:rsid w:val="00D96D10"/>
    <w:rsid w:val="00DA495B"/>
    <w:rsid w:val="00DA7C0B"/>
    <w:rsid w:val="00DB3830"/>
    <w:rsid w:val="00DB4624"/>
    <w:rsid w:val="00DB56A9"/>
    <w:rsid w:val="00DC073F"/>
    <w:rsid w:val="00DC1A4B"/>
    <w:rsid w:val="00DC1C2C"/>
    <w:rsid w:val="00DD0FB8"/>
    <w:rsid w:val="00DD47A9"/>
    <w:rsid w:val="00DD60C2"/>
    <w:rsid w:val="00DE3BF9"/>
    <w:rsid w:val="00DE40F1"/>
    <w:rsid w:val="00DE4270"/>
    <w:rsid w:val="00DE46AE"/>
    <w:rsid w:val="00DE5B7E"/>
    <w:rsid w:val="00DF14C7"/>
    <w:rsid w:val="00DF6FD0"/>
    <w:rsid w:val="00DF7527"/>
    <w:rsid w:val="00DF79B9"/>
    <w:rsid w:val="00E03ED5"/>
    <w:rsid w:val="00E121A2"/>
    <w:rsid w:val="00E14C08"/>
    <w:rsid w:val="00E21E5E"/>
    <w:rsid w:val="00E239E1"/>
    <w:rsid w:val="00E262CE"/>
    <w:rsid w:val="00E27023"/>
    <w:rsid w:val="00E3650E"/>
    <w:rsid w:val="00E510D0"/>
    <w:rsid w:val="00E51CB7"/>
    <w:rsid w:val="00E5214B"/>
    <w:rsid w:val="00E548F5"/>
    <w:rsid w:val="00E57ADC"/>
    <w:rsid w:val="00E60D44"/>
    <w:rsid w:val="00E61093"/>
    <w:rsid w:val="00E63C8C"/>
    <w:rsid w:val="00E653B5"/>
    <w:rsid w:val="00E67FF5"/>
    <w:rsid w:val="00E7171E"/>
    <w:rsid w:val="00E72576"/>
    <w:rsid w:val="00E73F61"/>
    <w:rsid w:val="00E74E88"/>
    <w:rsid w:val="00E7630E"/>
    <w:rsid w:val="00E8378A"/>
    <w:rsid w:val="00E83B7D"/>
    <w:rsid w:val="00E85A75"/>
    <w:rsid w:val="00E86FD7"/>
    <w:rsid w:val="00E92296"/>
    <w:rsid w:val="00E937D9"/>
    <w:rsid w:val="00E93B23"/>
    <w:rsid w:val="00EA68E0"/>
    <w:rsid w:val="00EB1A61"/>
    <w:rsid w:val="00EC2E20"/>
    <w:rsid w:val="00EC5511"/>
    <w:rsid w:val="00EC624E"/>
    <w:rsid w:val="00EC6A04"/>
    <w:rsid w:val="00EC7B45"/>
    <w:rsid w:val="00ED0510"/>
    <w:rsid w:val="00ED2DCC"/>
    <w:rsid w:val="00ED780B"/>
    <w:rsid w:val="00EE4F32"/>
    <w:rsid w:val="00EE623C"/>
    <w:rsid w:val="00EE6CA0"/>
    <w:rsid w:val="00EE7A6E"/>
    <w:rsid w:val="00F030FB"/>
    <w:rsid w:val="00F05590"/>
    <w:rsid w:val="00F0568C"/>
    <w:rsid w:val="00F117A7"/>
    <w:rsid w:val="00F1182D"/>
    <w:rsid w:val="00F16A76"/>
    <w:rsid w:val="00F207C0"/>
    <w:rsid w:val="00F2119A"/>
    <w:rsid w:val="00F24356"/>
    <w:rsid w:val="00F32385"/>
    <w:rsid w:val="00F331A9"/>
    <w:rsid w:val="00F3507F"/>
    <w:rsid w:val="00F35E07"/>
    <w:rsid w:val="00F36D0C"/>
    <w:rsid w:val="00F402FC"/>
    <w:rsid w:val="00F407A9"/>
    <w:rsid w:val="00F421A1"/>
    <w:rsid w:val="00F53EE8"/>
    <w:rsid w:val="00F57919"/>
    <w:rsid w:val="00F57DEA"/>
    <w:rsid w:val="00F61193"/>
    <w:rsid w:val="00F61896"/>
    <w:rsid w:val="00F61FC0"/>
    <w:rsid w:val="00F63B3E"/>
    <w:rsid w:val="00F6440D"/>
    <w:rsid w:val="00F65DB0"/>
    <w:rsid w:val="00F6757D"/>
    <w:rsid w:val="00F76BB7"/>
    <w:rsid w:val="00F81D55"/>
    <w:rsid w:val="00F820B4"/>
    <w:rsid w:val="00F82F52"/>
    <w:rsid w:val="00F87627"/>
    <w:rsid w:val="00F90D4B"/>
    <w:rsid w:val="00F93CA6"/>
    <w:rsid w:val="00F97DDF"/>
    <w:rsid w:val="00FA10FB"/>
    <w:rsid w:val="00FA380B"/>
    <w:rsid w:val="00FC1EAF"/>
    <w:rsid w:val="00FD1256"/>
    <w:rsid w:val="00FD4F94"/>
    <w:rsid w:val="00FD61EF"/>
    <w:rsid w:val="00FD7010"/>
    <w:rsid w:val="00FE2C46"/>
    <w:rsid w:val="00FE42B0"/>
    <w:rsid w:val="00FE46D2"/>
    <w:rsid w:val="00FE5301"/>
    <w:rsid w:val="00FE621C"/>
    <w:rsid w:val="00FE62FB"/>
    <w:rsid w:val="00FF04F0"/>
    <w:rsid w:val="00FF416D"/>
    <w:rsid w:val="00FF4317"/>
    <w:rsid w:val="00FF593E"/>
    <w:rsid w:val="018CB279"/>
    <w:rsid w:val="01922738"/>
    <w:rsid w:val="02F8DF77"/>
    <w:rsid w:val="03C4C091"/>
    <w:rsid w:val="044D0741"/>
    <w:rsid w:val="04AFA37E"/>
    <w:rsid w:val="04D504B6"/>
    <w:rsid w:val="05B23C9E"/>
    <w:rsid w:val="0601EF20"/>
    <w:rsid w:val="0686E07D"/>
    <w:rsid w:val="0835C1D4"/>
    <w:rsid w:val="08C09D97"/>
    <w:rsid w:val="093F2A20"/>
    <w:rsid w:val="09DD2D03"/>
    <w:rsid w:val="0A2CAC36"/>
    <w:rsid w:val="0B179F1C"/>
    <w:rsid w:val="0B578445"/>
    <w:rsid w:val="0BD56D50"/>
    <w:rsid w:val="0C460EBA"/>
    <w:rsid w:val="0CB05542"/>
    <w:rsid w:val="0D5164A9"/>
    <w:rsid w:val="0D713DB1"/>
    <w:rsid w:val="0D7E7AE4"/>
    <w:rsid w:val="0DE25BAC"/>
    <w:rsid w:val="0EB6FAD6"/>
    <w:rsid w:val="0F4B77C4"/>
    <w:rsid w:val="0FD694A2"/>
    <w:rsid w:val="0FF2984A"/>
    <w:rsid w:val="10FA035E"/>
    <w:rsid w:val="1129F807"/>
    <w:rsid w:val="11DEE066"/>
    <w:rsid w:val="12300366"/>
    <w:rsid w:val="13496DCD"/>
    <w:rsid w:val="13D73EA8"/>
    <w:rsid w:val="142280CC"/>
    <w:rsid w:val="1481CD73"/>
    <w:rsid w:val="14CF0BBF"/>
    <w:rsid w:val="14F2B5AC"/>
    <w:rsid w:val="15422E8A"/>
    <w:rsid w:val="154CF434"/>
    <w:rsid w:val="158F25D7"/>
    <w:rsid w:val="159DC8B8"/>
    <w:rsid w:val="15B4887C"/>
    <w:rsid w:val="160484CB"/>
    <w:rsid w:val="1666D1FC"/>
    <w:rsid w:val="16C4D68E"/>
    <w:rsid w:val="16D10D89"/>
    <w:rsid w:val="17303795"/>
    <w:rsid w:val="18093056"/>
    <w:rsid w:val="1849631B"/>
    <w:rsid w:val="18C58A88"/>
    <w:rsid w:val="1986A116"/>
    <w:rsid w:val="19B62B77"/>
    <w:rsid w:val="19D614C0"/>
    <w:rsid w:val="19FEC196"/>
    <w:rsid w:val="1A16CF5F"/>
    <w:rsid w:val="1BD9B419"/>
    <w:rsid w:val="1C2D6D5D"/>
    <w:rsid w:val="1C505BF3"/>
    <w:rsid w:val="1C7E10BA"/>
    <w:rsid w:val="1CD9C2D2"/>
    <w:rsid w:val="1D129BD7"/>
    <w:rsid w:val="1EA362C9"/>
    <w:rsid w:val="1EAE4CD0"/>
    <w:rsid w:val="1EAEC3B3"/>
    <w:rsid w:val="1EECA5A4"/>
    <w:rsid w:val="1F2C507E"/>
    <w:rsid w:val="1F385C95"/>
    <w:rsid w:val="1F87FCB5"/>
    <w:rsid w:val="1F9E6665"/>
    <w:rsid w:val="2057ABCB"/>
    <w:rsid w:val="209F2A04"/>
    <w:rsid w:val="20F1F120"/>
    <w:rsid w:val="21351D81"/>
    <w:rsid w:val="21D23E6A"/>
    <w:rsid w:val="226EAE9F"/>
    <w:rsid w:val="22984F68"/>
    <w:rsid w:val="22B23F1C"/>
    <w:rsid w:val="22B38BE1"/>
    <w:rsid w:val="2330089F"/>
    <w:rsid w:val="23FEF3C4"/>
    <w:rsid w:val="242BBE48"/>
    <w:rsid w:val="2445D433"/>
    <w:rsid w:val="24C44CDC"/>
    <w:rsid w:val="25425B90"/>
    <w:rsid w:val="25E262A2"/>
    <w:rsid w:val="2625D399"/>
    <w:rsid w:val="2684E34C"/>
    <w:rsid w:val="27369486"/>
    <w:rsid w:val="277832DE"/>
    <w:rsid w:val="27A04F7E"/>
    <w:rsid w:val="286C333A"/>
    <w:rsid w:val="29DFC89F"/>
    <w:rsid w:val="2BB8BB41"/>
    <w:rsid w:val="2C0173A8"/>
    <w:rsid w:val="2C1413E4"/>
    <w:rsid w:val="2DDB020F"/>
    <w:rsid w:val="2E0A3DA4"/>
    <w:rsid w:val="2E7342BB"/>
    <w:rsid w:val="2ED240E2"/>
    <w:rsid w:val="2FB4FB75"/>
    <w:rsid w:val="2FCD8DCB"/>
    <w:rsid w:val="307BC2D6"/>
    <w:rsid w:val="30898B0D"/>
    <w:rsid w:val="30BF8D21"/>
    <w:rsid w:val="312BE429"/>
    <w:rsid w:val="31E8BCE4"/>
    <w:rsid w:val="32255B6E"/>
    <w:rsid w:val="329FA86F"/>
    <w:rsid w:val="32DDAEC7"/>
    <w:rsid w:val="33867DA1"/>
    <w:rsid w:val="3458857E"/>
    <w:rsid w:val="3487B187"/>
    <w:rsid w:val="34B89082"/>
    <w:rsid w:val="3591111E"/>
    <w:rsid w:val="37BE7E2D"/>
    <w:rsid w:val="38D0DFAC"/>
    <w:rsid w:val="39192CC2"/>
    <w:rsid w:val="3B0F2334"/>
    <w:rsid w:val="3B6E0078"/>
    <w:rsid w:val="3BCC876D"/>
    <w:rsid w:val="3C4912CF"/>
    <w:rsid w:val="3E31D436"/>
    <w:rsid w:val="3EC07559"/>
    <w:rsid w:val="3ED832C2"/>
    <w:rsid w:val="3F377610"/>
    <w:rsid w:val="3F5BED82"/>
    <w:rsid w:val="3FCA18B5"/>
    <w:rsid w:val="3FD97FA5"/>
    <w:rsid w:val="401692BF"/>
    <w:rsid w:val="40E32D9C"/>
    <w:rsid w:val="413F501B"/>
    <w:rsid w:val="4165E916"/>
    <w:rsid w:val="41708A05"/>
    <w:rsid w:val="41C0338C"/>
    <w:rsid w:val="41E84F10"/>
    <w:rsid w:val="420FA4FE"/>
    <w:rsid w:val="428478F3"/>
    <w:rsid w:val="42CF36BA"/>
    <w:rsid w:val="436A058D"/>
    <w:rsid w:val="445B9ED9"/>
    <w:rsid w:val="44E151D7"/>
    <w:rsid w:val="453B01F3"/>
    <w:rsid w:val="4567CB4D"/>
    <w:rsid w:val="45BC7A8A"/>
    <w:rsid w:val="4714FB59"/>
    <w:rsid w:val="478BC576"/>
    <w:rsid w:val="481D9FDF"/>
    <w:rsid w:val="484DDCE5"/>
    <w:rsid w:val="48A1DE4A"/>
    <w:rsid w:val="49D9CCFE"/>
    <w:rsid w:val="4A11E019"/>
    <w:rsid w:val="4A6CC6B7"/>
    <w:rsid w:val="4ADC16D4"/>
    <w:rsid w:val="4B5540A1"/>
    <w:rsid w:val="4BE86C7C"/>
    <w:rsid w:val="4C66B0BE"/>
    <w:rsid w:val="4C672100"/>
    <w:rsid w:val="4DE1DE9D"/>
    <w:rsid w:val="4E5A5BAC"/>
    <w:rsid w:val="4ECA03DE"/>
    <w:rsid w:val="4FC84D7D"/>
    <w:rsid w:val="508BAE84"/>
    <w:rsid w:val="50A5F98B"/>
    <w:rsid w:val="50E5E6F1"/>
    <w:rsid w:val="5122E27C"/>
    <w:rsid w:val="51630DEE"/>
    <w:rsid w:val="519F09E3"/>
    <w:rsid w:val="51AE562F"/>
    <w:rsid w:val="51FAD72F"/>
    <w:rsid w:val="5209041E"/>
    <w:rsid w:val="52217281"/>
    <w:rsid w:val="52277EE5"/>
    <w:rsid w:val="5234E7A0"/>
    <w:rsid w:val="52B15CAD"/>
    <w:rsid w:val="52B311E9"/>
    <w:rsid w:val="52DBC3CB"/>
    <w:rsid w:val="52F41F91"/>
    <w:rsid w:val="531EE729"/>
    <w:rsid w:val="547B2580"/>
    <w:rsid w:val="550C20A2"/>
    <w:rsid w:val="558F85EB"/>
    <w:rsid w:val="55973C48"/>
    <w:rsid w:val="56A75D1F"/>
    <w:rsid w:val="56CE3883"/>
    <w:rsid w:val="57330CA9"/>
    <w:rsid w:val="5788C0E3"/>
    <w:rsid w:val="5890B405"/>
    <w:rsid w:val="58BBB490"/>
    <w:rsid w:val="58CEDD0A"/>
    <w:rsid w:val="58D2D919"/>
    <w:rsid w:val="597C8972"/>
    <w:rsid w:val="59AEAF5C"/>
    <w:rsid w:val="59B38F3A"/>
    <w:rsid w:val="5A6AAD6B"/>
    <w:rsid w:val="5B7A0065"/>
    <w:rsid w:val="5BA2B6F0"/>
    <w:rsid w:val="5D045609"/>
    <w:rsid w:val="5D06673D"/>
    <w:rsid w:val="5D50D709"/>
    <w:rsid w:val="5D642528"/>
    <w:rsid w:val="5D7F7D70"/>
    <w:rsid w:val="5D88882B"/>
    <w:rsid w:val="5E101201"/>
    <w:rsid w:val="5F0601ED"/>
    <w:rsid w:val="5F3E1E8E"/>
    <w:rsid w:val="5FD79AC7"/>
    <w:rsid w:val="6025488A"/>
    <w:rsid w:val="60AEE653"/>
    <w:rsid w:val="611393D0"/>
    <w:rsid w:val="613790AF"/>
    <w:rsid w:val="61420258"/>
    <w:rsid w:val="6171DFFD"/>
    <w:rsid w:val="61AF188F"/>
    <w:rsid w:val="6237964B"/>
    <w:rsid w:val="62B54085"/>
    <w:rsid w:val="630A435B"/>
    <w:rsid w:val="63B3D254"/>
    <w:rsid w:val="64B9A70C"/>
    <w:rsid w:val="6599D6AF"/>
    <w:rsid w:val="65A8B4A1"/>
    <w:rsid w:val="65CE7833"/>
    <w:rsid w:val="663D58A1"/>
    <w:rsid w:val="66A5542C"/>
    <w:rsid w:val="671B4D34"/>
    <w:rsid w:val="677A2A34"/>
    <w:rsid w:val="687226A6"/>
    <w:rsid w:val="68DFB841"/>
    <w:rsid w:val="691F4F79"/>
    <w:rsid w:val="6942A294"/>
    <w:rsid w:val="6A50A21A"/>
    <w:rsid w:val="6AB6B14B"/>
    <w:rsid w:val="6AC29C2B"/>
    <w:rsid w:val="6ADE72F5"/>
    <w:rsid w:val="6C86DF96"/>
    <w:rsid w:val="6D0BB918"/>
    <w:rsid w:val="6D252BA9"/>
    <w:rsid w:val="6D8842DC"/>
    <w:rsid w:val="6E3585E1"/>
    <w:rsid w:val="6E9DBA3F"/>
    <w:rsid w:val="6ED8BD0A"/>
    <w:rsid w:val="6EF03AEC"/>
    <w:rsid w:val="6F36E54F"/>
    <w:rsid w:val="6F4785B4"/>
    <w:rsid w:val="6FF0B3E9"/>
    <w:rsid w:val="7040E20E"/>
    <w:rsid w:val="713E2FE8"/>
    <w:rsid w:val="72AC3D0D"/>
    <w:rsid w:val="72E6DA3D"/>
    <w:rsid w:val="734D7201"/>
    <w:rsid w:val="739B5F62"/>
    <w:rsid w:val="73B955C5"/>
    <w:rsid w:val="74452844"/>
    <w:rsid w:val="7449CF2E"/>
    <w:rsid w:val="74CA3170"/>
    <w:rsid w:val="7507ED0B"/>
    <w:rsid w:val="75382310"/>
    <w:rsid w:val="759E1C5B"/>
    <w:rsid w:val="7663635E"/>
    <w:rsid w:val="76FBC032"/>
    <w:rsid w:val="773B49FD"/>
    <w:rsid w:val="7797CE0C"/>
    <w:rsid w:val="7AB9C008"/>
    <w:rsid w:val="7ADE63BA"/>
    <w:rsid w:val="7B21E994"/>
    <w:rsid w:val="7BAA6B46"/>
    <w:rsid w:val="7BC77040"/>
    <w:rsid w:val="7C0769CB"/>
    <w:rsid w:val="7CFE7286"/>
    <w:rsid w:val="7EF87C76"/>
    <w:rsid w:val="7F06D217"/>
    <w:rsid w:val="7F8CEF04"/>
    <w:rsid w:val="7F98AC80"/>
    <w:rsid w:val="7FC13E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1FC40"/>
  <w15:chartTrackingRefBased/>
  <w15:docId w15:val="{EEBB0052-D55C-408C-B6DB-31454090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DEA"/>
    <w:pPr>
      <w:spacing w:before="120" w:after="120" w:line="276" w:lineRule="auto"/>
    </w:pPr>
    <w:rPr>
      <w:rFonts w:ascii="Arial" w:hAnsi="Arial"/>
      <w:sz w:val="24"/>
      <w:szCs w:val="24"/>
      <w:lang w:eastAsia="en-US"/>
    </w:rPr>
  </w:style>
  <w:style w:type="paragraph" w:styleId="Heading1">
    <w:name w:val="heading 1"/>
    <w:basedOn w:val="Normal"/>
    <w:next w:val="Normal"/>
    <w:link w:val="Heading1Char"/>
    <w:uiPriority w:val="9"/>
    <w:qFormat/>
    <w:rsid w:val="00681E9F"/>
    <w:pPr>
      <w:keepNext/>
      <w:keepLines/>
      <w:spacing w:before="3120" w:after="240"/>
      <w:outlineLvl w:val="0"/>
    </w:pPr>
    <w:rPr>
      <w:rFonts w:eastAsia="Times New Roman" w:cs="Arial"/>
      <w:b/>
      <w:bCs/>
      <w:color w:val="1E1544"/>
      <w:sz w:val="60"/>
      <w:szCs w:val="60"/>
    </w:rPr>
  </w:style>
  <w:style w:type="paragraph" w:styleId="Heading2">
    <w:name w:val="heading 2"/>
    <w:basedOn w:val="Normal"/>
    <w:next w:val="Normal"/>
    <w:link w:val="Heading2Char"/>
    <w:uiPriority w:val="9"/>
    <w:unhideWhenUsed/>
    <w:qFormat/>
    <w:rsid w:val="00E73F61"/>
    <w:pPr>
      <w:keepNext/>
      <w:keepLines/>
      <w:spacing w:before="240" w:line="360" w:lineRule="auto"/>
      <w:outlineLvl w:val="1"/>
    </w:pPr>
    <w:rPr>
      <w:rFonts w:eastAsia="Times New Roman"/>
      <w:b/>
      <w:color w:val="1E1544"/>
      <w:sz w:val="32"/>
      <w:szCs w:val="26"/>
    </w:rPr>
  </w:style>
  <w:style w:type="paragraph" w:styleId="Heading3">
    <w:name w:val="heading 3"/>
    <w:basedOn w:val="Heading2"/>
    <w:next w:val="Normal"/>
    <w:link w:val="Heading3Char"/>
    <w:uiPriority w:val="9"/>
    <w:unhideWhenUsed/>
    <w:qFormat/>
    <w:rsid w:val="003E3A5F"/>
    <w:pPr>
      <w:spacing w:line="288" w:lineRule="auto"/>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81E9F"/>
    <w:rPr>
      <w:rFonts w:ascii="Arial" w:eastAsia="Times New Roman" w:hAnsi="Arial" w:cs="Arial"/>
      <w:b/>
      <w:bCs/>
      <w:color w:val="1E1544"/>
      <w:sz w:val="60"/>
      <w:szCs w:val="60"/>
    </w:rPr>
  </w:style>
  <w:style w:type="paragraph" w:styleId="NoSpacing">
    <w:name w:val="No Spacing"/>
    <w:uiPriority w:val="1"/>
    <w:qFormat/>
    <w:rsid w:val="00C9187A"/>
    <w:pPr>
      <w:spacing w:line="276" w:lineRule="auto"/>
    </w:pPr>
    <w:rPr>
      <w:rFonts w:ascii="Arial" w:hAnsi="Arial"/>
      <w:sz w:val="24"/>
      <w:szCs w:val="24"/>
      <w:lang w:eastAsia="en-US"/>
    </w:rPr>
  </w:style>
  <w:style w:type="character" w:customStyle="1" w:styleId="Heading2Char">
    <w:name w:val="Heading 2 Char"/>
    <w:link w:val="Heading2"/>
    <w:uiPriority w:val="9"/>
    <w:rsid w:val="00E73F61"/>
    <w:rPr>
      <w:rFonts w:ascii="Arial" w:eastAsia="Times New Roman" w:hAnsi="Arial" w:cs="Times New Roman"/>
      <w:b/>
      <w:color w:val="1E1544"/>
      <w:sz w:val="3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Table text"/>
    <w:basedOn w:val="Normal"/>
    <w:link w:val="ListParagraphChar"/>
    <w:uiPriority w:val="34"/>
    <w:qFormat/>
    <w:rsid w:val="00646B32"/>
    <w:pPr>
      <w:spacing w:before="0"/>
      <w:contextualSpacing/>
    </w:pPr>
  </w:style>
  <w:style w:type="character" w:customStyle="1" w:styleId="Heading3Char">
    <w:name w:val="Heading 3 Char"/>
    <w:link w:val="Heading3"/>
    <w:uiPriority w:val="9"/>
    <w:rsid w:val="003E3A5F"/>
    <w:rPr>
      <w:rFonts w:ascii="Arial" w:eastAsia="Times New Roman" w:hAnsi="Arial"/>
      <w:b/>
      <w:color w:val="1E1544"/>
      <w:sz w:val="28"/>
      <w:szCs w:val="24"/>
      <w:lang w:eastAsia="en-US"/>
    </w:rPr>
  </w:style>
  <w:style w:type="character" w:customStyle="1" w:styleId="Heading4Char">
    <w:name w:val="Heading 4 Char"/>
    <w:link w:val="Heading4"/>
    <w:uiPriority w:val="9"/>
    <w:rsid w:val="0076491B"/>
    <w:rPr>
      <w:rFonts w:ascii="Arial" w:eastAsia="Times New Roman" w:hAnsi="Arial" w:cs="Times New Roman"/>
      <w:b/>
      <w:color w:val="1E1544"/>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sz w:val="32"/>
      <w:szCs w:val="32"/>
    </w:rPr>
  </w:style>
  <w:style w:type="paragraph" w:styleId="FootnoteText">
    <w:name w:val="footnote text"/>
    <w:basedOn w:val="Normal"/>
    <w:link w:val="FootnoteTextChar"/>
    <w:uiPriority w:val="99"/>
    <w:semiHidden/>
    <w:unhideWhenUsed/>
    <w:rsid w:val="009F67AE"/>
    <w:pPr>
      <w:spacing w:before="0" w:after="0" w:line="240" w:lineRule="auto"/>
    </w:pPr>
    <w:rPr>
      <w:sz w:val="20"/>
      <w:szCs w:val="20"/>
    </w:rPr>
  </w:style>
  <w:style w:type="character" w:customStyle="1" w:styleId="FootnoteTextChar">
    <w:name w:val="Footnote Text Char"/>
    <w:link w:val="FootnoteText"/>
    <w:uiPriority w:val="99"/>
    <w:semiHidden/>
    <w:rsid w:val="009F67AE"/>
    <w:rPr>
      <w:rFonts w:ascii="Arial" w:hAnsi="Arial"/>
      <w:sz w:val="20"/>
      <w:szCs w:val="20"/>
    </w:rPr>
  </w:style>
  <w:style w:type="character" w:styleId="FootnoteReference">
    <w:name w:val="footnote reference"/>
    <w:uiPriority w:val="99"/>
    <w:semiHidden/>
    <w:unhideWhenUsed/>
    <w:rsid w:val="009F67AE"/>
    <w:rPr>
      <w:vertAlign w:val="superscript"/>
    </w:rPr>
  </w:style>
  <w:style w:type="table" w:styleId="TableGrid">
    <w:name w:val="Table Grid"/>
    <w:basedOn w:val="TableNormal"/>
    <w:uiPriority w:val="39"/>
    <w:rsid w:val="003A22DB"/>
    <w:tblPr>
      <w:tblBorders>
        <w:top w:val="single" w:sz="4" w:space="0" w:color="DA576C"/>
        <w:bottom w:val="single" w:sz="4" w:space="0" w:color="DA576C"/>
        <w:insideH w:val="single" w:sz="4" w:space="0" w:color="DA576C"/>
      </w:tblBorders>
    </w:tblPr>
  </w:style>
  <w:style w:type="paragraph" w:customStyle="1" w:styleId="boxtext">
    <w:name w:val="box text"/>
    <w:basedOn w:val="IntenseQuote"/>
    <w:qFormat/>
    <w:rsid w:val="00E27023"/>
    <w:pPr>
      <w:pBdr>
        <w:top w:val="single" w:sz="4" w:space="10" w:color="DA576C"/>
        <w:left w:val="single" w:sz="4" w:space="4" w:color="DA576C"/>
        <w:bottom w:val="single" w:sz="4" w:space="10" w:color="DA576C"/>
        <w:right w:val="single" w:sz="4" w:space="4" w:color="DA576C"/>
      </w:pBdr>
      <w:spacing w:before="120" w:after="120"/>
      <w:ind w:left="862" w:right="862"/>
      <w:jc w:val="left"/>
    </w:pPr>
    <w:rPr>
      <w:bCs/>
      <w:i w:val="0"/>
      <w:color w:val="auto"/>
    </w:rPr>
  </w:style>
  <w:style w:type="paragraph" w:customStyle="1" w:styleId="Boxtexthead">
    <w:name w:val="Box text head"/>
    <w:basedOn w:val="IntenseQuote"/>
    <w:qFormat/>
    <w:rsid w:val="00E27023"/>
    <w:pPr>
      <w:pBdr>
        <w:top w:val="single" w:sz="4" w:space="10" w:color="DA576C"/>
        <w:left w:val="single" w:sz="4" w:space="4" w:color="DA576C"/>
        <w:bottom w:val="single" w:sz="4" w:space="10" w:color="DA576C"/>
        <w:right w:val="single" w:sz="4" w:space="4" w:color="DA576C"/>
      </w:pBdr>
      <w:spacing w:before="120" w:after="120"/>
      <w:ind w:left="862" w:right="862"/>
      <w:jc w:val="left"/>
    </w:pPr>
    <w:rPr>
      <w:b/>
      <w:i w:val="0"/>
      <w:color w:val="auto"/>
    </w:rPr>
  </w:style>
  <w:style w:type="paragraph" w:customStyle="1" w:styleId="TableHeading">
    <w:name w:val="TableHeading"/>
    <w:qFormat/>
    <w:rsid w:val="003A22DB"/>
    <w:pPr>
      <w:spacing w:before="240" w:after="120" w:line="276" w:lineRule="auto"/>
    </w:pPr>
    <w:rPr>
      <w:rFonts w:ascii="Arial" w:eastAsia="Times New Roman" w:hAnsi="Arial"/>
      <w:b/>
      <w:bCs/>
      <w:color w:val="1E1544"/>
      <w:sz w:val="24"/>
      <w:szCs w:val="24"/>
      <w:lang w:eastAsia="en-US"/>
    </w:rPr>
  </w:style>
  <w:style w:type="paragraph" w:styleId="IntenseQuote">
    <w:name w:val="Intense Quote"/>
    <w:basedOn w:val="Normal"/>
    <w:next w:val="Normal"/>
    <w:link w:val="IntenseQuoteChar"/>
    <w:uiPriority w:val="30"/>
    <w:qFormat/>
    <w:rsid w:val="003A22DB"/>
    <w:pPr>
      <w:pBdr>
        <w:top w:val="single" w:sz="4" w:space="10" w:color="2AB1BB"/>
        <w:bottom w:val="single" w:sz="4" w:space="10" w:color="2AB1BB"/>
      </w:pBdr>
      <w:spacing w:before="360" w:after="360"/>
      <w:ind w:left="864" w:right="864"/>
      <w:jc w:val="center"/>
    </w:pPr>
    <w:rPr>
      <w:i/>
      <w:iCs/>
      <w:color w:val="2AB1BB"/>
    </w:rPr>
  </w:style>
  <w:style w:type="character" w:customStyle="1" w:styleId="IntenseQuoteChar">
    <w:name w:val="Intense Quote Char"/>
    <w:link w:val="IntenseQuote"/>
    <w:uiPriority w:val="30"/>
    <w:rsid w:val="003A22DB"/>
    <w:rPr>
      <w:rFonts w:ascii="Arial" w:hAnsi="Arial"/>
      <w:i/>
      <w:iCs/>
      <w:color w:val="2AB1BB"/>
    </w:rPr>
  </w:style>
  <w:style w:type="character" w:styleId="Hyperlink">
    <w:name w:val="Hyperlink"/>
    <w:uiPriority w:val="99"/>
    <w:unhideWhenUsed/>
    <w:rsid w:val="00684B72"/>
    <w:rPr>
      <w:color w:val="2AB1BB"/>
      <w:u w:val="single"/>
    </w:rPr>
  </w:style>
  <w:style w:type="character" w:styleId="UnresolvedMention">
    <w:name w:val="Unresolved Mention"/>
    <w:uiPriority w:val="99"/>
    <w:unhideWhenUsed/>
    <w:rsid w:val="00E27023"/>
    <w:rPr>
      <w:color w:val="605E5C"/>
      <w:shd w:val="clear" w:color="auto" w:fill="E1DFDD"/>
    </w:rPr>
  </w:style>
  <w:style w:type="paragraph" w:styleId="NormalWeb">
    <w:name w:val="Normal (Web)"/>
    <w:basedOn w:val="Normal"/>
    <w:uiPriority w:val="99"/>
    <w:unhideWhenUsed/>
    <w:rsid w:val="00325048"/>
    <w:pPr>
      <w:spacing w:before="100" w:beforeAutospacing="1" w:after="100" w:afterAutospacing="1" w:line="240" w:lineRule="auto"/>
    </w:pPr>
    <w:rPr>
      <w:rFonts w:ascii="Times New Roman" w:eastAsia="Times New Roman" w:hAnsi="Times New Roman"/>
      <w:lang w:eastAsia="en-AU"/>
    </w:rPr>
  </w:style>
  <w:style w:type="character" w:customStyle="1" w:styleId="normaltextrun">
    <w:name w:val="normaltextrun"/>
    <w:basedOn w:val="DefaultParagraphFont"/>
    <w:rsid w:val="00325048"/>
  </w:style>
  <w:style w:type="character" w:customStyle="1" w:styleId="eop">
    <w:name w:val="eop"/>
    <w:basedOn w:val="DefaultParagraphFont"/>
    <w:rsid w:val="00325048"/>
  </w:style>
  <w:style w:type="character" w:styleId="FollowedHyperlink">
    <w:name w:val="FollowedHyperlink"/>
    <w:uiPriority w:val="99"/>
    <w:semiHidden/>
    <w:unhideWhenUsed/>
    <w:rsid w:val="00325048"/>
    <w:rPr>
      <w:color w:val="6D6D70"/>
      <w:u w:val="single"/>
    </w:rPr>
  </w:style>
  <w:style w:type="paragraph" w:customStyle="1" w:styleId="paragraph">
    <w:name w:val="paragraph"/>
    <w:basedOn w:val="Normal"/>
    <w:link w:val="paragraphChar"/>
    <w:rsid w:val="00325048"/>
    <w:pPr>
      <w:spacing w:before="100" w:beforeAutospacing="1" w:after="100" w:afterAutospacing="1" w:line="240" w:lineRule="auto"/>
    </w:pPr>
    <w:rPr>
      <w:rFonts w:ascii="Times New Roman" w:eastAsia="Times New Roman" w:hAnsi="Times New Roman"/>
      <w:lang w:eastAsia="en-AU"/>
    </w:rPr>
  </w:style>
  <w:style w:type="character" w:styleId="IntenseReference">
    <w:name w:val="Intense Reference"/>
    <w:uiPriority w:val="32"/>
    <w:qFormat/>
    <w:rsid w:val="00325048"/>
    <w:rPr>
      <w:b/>
      <w:bCs/>
      <w:smallCaps/>
      <w:color w:val="2AB1BB"/>
      <w:spacing w:val="5"/>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link w:val="ListParagraph"/>
    <w:uiPriority w:val="34"/>
    <w:qFormat/>
    <w:rsid w:val="00646B32"/>
    <w:rPr>
      <w:rFonts w:ascii="Arial" w:hAnsi="Arial"/>
    </w:rPr>
  </w:style>
  <w:style w:type="character" w:styleId="CommentReference">
    <w:name w:val="annotation reference"/>
    <w:uiPriority w:val="99"/>
    <w:semiHidden/>
    <w:unhideWhenUsed/>
    <w:rsid w:val="00E14C08"/>
    <w:rPr>
      <w:sz w:val="16"/>
      <w:szCs w:val="16"/>
    </w:rPr>
  </w:style>
  <w:style w:type="paragraph" w:styleId="CommentText">
    <w:name w:val="annotation text"/>
    <w:basedOn w:val="Normal"/>
    <w:link w:val="CommentTextChar"/>
    <w:uiPriority w:val="99"/>
    <w:unhideWhenUsed/>
    <w:rsid w:val="00E14C08"/>
    <w:pPr>
      <w:spacing w:line="240" w:lineRule="auto"/>
    </w:pPr>
    <w:rPr>
      <w:sz w:val="20"/>
      <w:szCs w:val="20"/>
    </w:rPr>
  </w:style>
  <w:style w:type="character" w:customStyle="1" w:styleId="CommentTextChar">
    <w:name w:val="Comment Text Char"/>
    <w:link w:val="CommentText"/>
    <w:uiPriority w:val="99"/>
    <w:rsid w:val="00E14C0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14C08"/>
    <w:rPr>
      <w:b/>
      <w:bCs/>
    </w:rPr>
  </w:style>
  <w:style w:type="character" w:customStyle="1" w:styleId="CommentSubjectChar">
    <w:name w:val="Comment Subject Char"/>
    <w:link w:val="CommentSubject"/>
    <w:uiPriority w:val="99"/>
    <w:semiHidden/>
    <w:rsid w:val="00E14C08"/>
    <w:rPr>
      <w:rFonts w:ascii="Arial" w:hAnsi="Arial"/>
      <w:b/>
      <w:bCs/>
      <w:sz w:val="20"/>
      <w:szCs w:val="20"/>
    </w:rPr>
  </w:style>
  <w:style w:type="paragraph" w:customStyle="1" w:styleId="Bullet2">
    <w:name w:val="Bullet2"/>
    <w:basedOn w:val="Heading3"/>
    <w:next w:val="paragraph"/>
    <w:link w:val="Bullet2Char"/>
    <w:qFormat/>
    <w:rsid w:val="00E73F61"/>
    <w:pPr>
      <w:spacing w:before="120" w:line="276" w:lineRule="auto"/>
      <w:textAlignment w:val="baseline"/>
    </w:pPr>
    <w:rPr>
      <w:rFonts w:cs="Arial"/>
      <w:b w:val="0"/>
      <w:bCs/>
      <w:color w:val="1F848B"/>
      <w:szCs w:val="28"/>
      <w:lang w:val="en-US" w:eastAsia="en-AU"/>
    </w:rPr>
  </w:style>
  <w:style w:type="paragraph" w:customStyle="1" w:styleId="null">
    <w:name w:val="null"/>
    <w:basedOn w:val="Normal"/>
    <w:rsid w:val="00AB1E00"/>
    <w:pPr>
      <w:spacing w:before="100" w:beforeAutospacing="1" w:after="100" w:afterAutospacing="1" w:line="240" w:lineRule="auto"/>
    </w:pPr>
    <w:rPr>
      <w:rFonts w:ascii="Calibri" w:hAnsi="Calibri" w:cs="Calibri"/>
      <w:sz w:val="22"/>
      <w:szCs w:val="22"/>
      <w:lang w:eastAsia="en-AU"/>
    </w:rPr>
  </w:style>
  <w:style w:type="character" w:customStyle="1" w:styleId="paragraphChar">
    <w:name w:val="paragraph Char"/>
    <w:link w:val="paragraph"/>
    <w:rsid w:val="00871A8D"/>
    <w:rPr>
      <w:rFonts w:ascii="Times New Roman" w:eastAsia="Times New Roman" w:hAnsi="Times New Roman" w:cs="Times New Roman"/>
      <w:lang w:eastAsia="en-AU"/>
    </w:rPr>
  </w:style>
  <w:style w:type="character" w:customStyle="1" w:styleId="Bullet2Char">
    <w:name w:val="Bullet2 Char"/>
    <w:link w:val="Bullet2"/>
    <w:rsid w:val="00E73F61"/>
    <w:rPr>
      <w:rFonts w:ascii="Arial" w:eastAsia="Times New Roman" w:hAnsi="Arial" w:cs="Arial"/>
      <w:bCs/>
      <w:color w:val="1F848B"/>
      <w:sz w:val="28"/>
      <w:szCs w:val="28"/>
      <w:lang w:val="en-US" w:eastAsia="en-AU"/>
    </w:rPr>
  </w:style>
  <w:style w:type="character" w:customStyle="1" w:styleId="null1">
    <w:name w:val="null1"/>
    <w:basedOn w:val="DefaultParagraphFont"/>
    <w:rsid w:val="00AB1E00"/>
  </w:style>
  <w:style w:type="paragraph" w:customStyle="1" w:styleId="Tableheader">
    <w:name w:val="Table header"/>
    <w:basedOn w:val="Normal"/>
    <w:rsid w:val="00CF150D"/>
    <w:pPr>
      <w:spacing w:before="80" w:after="80"/>
    </w:pPr>
    <w:rPr>
      <w:rFonts w:cs="Arial"/>
      <w:b/>
      <w:bCs/>
      <w:color w:val="FFFFFF"/>
      <w:sz w:val="20"/>
      <w:szCs w:val="20"/>
    </w:rPr>
  </w:style>
  <w:style w:type="character" w:customStyle="1" w:styleId="TabletextleftChar">
    <w:name w:val="Table text left Char"/>
    <w:link w:val="Tabletextleft"/>
    <w:locked/>
    <w:rsid w:val="00CF150D"/>
    <w:rPr>
      <w:rFonts w:ascii="Arial" w:hAnsi="Arial" w:cs="Arial"/>
      <w:color w:val="000000"/>
    </w:rPr>
  </w:style>
  <w:style w:type="paragraph" w:customStyle="1" w:styleId="Tabletextleft">
    <w:name w:val="Table text left"/>
    <w:basedOn w:val="Normal"/>
    <w:link w:val="TabletextleftChar"/>
    <w:rsid w:val="00CF150D"/>
    <w:pPr>
      <w:spacing w:after="60" w:line="240" w:lineRule="auto"/>
    </w:pPr>
    <w:rPr>
      <w:rFonts w:cs="Arial"/>
      <w:color w:val="000000"/>
      <w:sz w:val="20"/>
      <w:szCs w:val="20"/>
      <w:lang w:eastAsia="en-AU"/>
    </w:rPr>
  </w:style>
  <w:style w:type="paragraph" w:styleId="TableofFigures">
    <w:name w:val="table of figures"/>
    <w:next w:val="Normal"/>
    <w:uiPriority w:val="99"/>
    <w:unhideWhenUsed/>
    <w:rsid w:val="002D1A97"/>
    <w:pPr>
      <w:contextualSpacing/>
    </w:pPr>
    <w:rPr>
      <w:rFonts w:ascii="Arial" w:eastAsia="Times New Roman" w:hAnsi="Arial"/>
      <w:noProof/>
      <w:shd w:val="clear" w:color="auto" w:fill="FFFFFF"/>
      <w:lang w:eastAsia="en-GB"/>
    </w:rPr>
  </w:style>
  <w:style w:type="table" w:styleId="ListTable3">
    <w:name w:val="List Table 3"/>
    <w:basedOn w:val="TableNormal"/>
    <w:uiPriority w:val="48"/>
    <w:rsid w:val="002D1A97"/>
    <w:rPr>
      <w:rFonts w:ascii="Helvetica" w:eastAsia="SimSun" w:hAnsi="Helvetica"/>
      <w:sz w:val="24"/>
      <w:szCs w:val="24"/>
      <w:lang w:eastAsia="zh-CN"/>
    </w:rPr>
    <w:tblPr>
      <w:tblStyleRowBandSize w:val="1"/>
      <w:tblStyleColBandSize w:val="1"/>
      <w:tblBorders>
        <w:top w:val="single" w:sz="4" w:space="0" w:color="1E1545"/>
        <w:left w:val="single" w:sz="4" w:space="0" w:color="1E1545"/>
        <w:bottom w:val="single" w:sz="4" w:space="0" w:color="1E1545"/>
        <w:right w:val="single" w:sz="4" w:space="0" w:color="1E1545"/>
      </w:tblBorders>
    </w:tblPr>
    <w:tblStylePr w:type="firstRow">
      <w:rPr>
        <w:b/>
        <w:bCs/>
        <w:color w:val="FFFFFF"/>
      </w:rPr>
      <w:tblPr/>
      <w:tcPr>
        <w:shd w:val="clear" w:color="auto" w:fill="1E1545"/>
      </w:tcPr>
    </w:tblStylePr>
    <w:tblStylePr w:type="lastRow">
      <w:rPr>
        <w:b/>
        <w:bCs/>
      </w:rPr>
      <w:tblPr/>
      <w:tcPr>
        <w:tcBorders>
          <w:top w:val="double" w:sz="4" w:space="0" w:color="1E154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E1545"/>
          <w:right w:val="single" w:sz="4" w:space="0" w:color="1E1545"/>
        </w:tcBorders>
      </w:tcPr>
    </w:tblStylePr>
    <w:tblStylePr w:type="band1Horz">
      <w:tblPr/>
      <w:tcPr>
        <w:tcBorders>
          <w:top w:val="single" w:sz="4" w:space="0" w:color="1E1545"/>
          <w:bottom w:val="single" w:sz="4" w:space="0" w:color="1E154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1545"/>
          <w:left w:val="nil"/>
        </w:tcBorders>
      </w:tcPr>
    </w:tblStylePr>
    <w:tblStylePr w:type="swCell">
      <w:tblPr/>
      <w:tcPr>
        <w:tcBorders>
          <w:top w:val="double" w:sz="4" w:space="0" w:color="1E1545"/>
          <w:right w:val="nil"/>
        </w:tcBorders>
      </w:tcPr>
    </w:tblStylePr>
  </w:style>
  <w:style w:type="paragraph" w:styleId="Revision">
    <w:name w:val="Revision"/>
    <w:hidden/>
    <w:uiPriority w:val="99"/>
    <w:semiHidden/>
    <w:rsid w:val="004172BA"/>
    <w:rPr>
      <w:rFonts w:ascii="Arial" w:hAnsi="Arial"/>
      <w:sz w:val="24"/>
      <w:szCs w:val="24"/>
      <w:lang w:eastAsia="en-US"/>
    </w:rPr>
  </w:style>
  <w:style w:type="paragraph" w:styleId="TOCHeading">
    <w:name w:val="TOC Heading"/>
    <w:basedOn w:val="Heading1"/>
    <w:next w:val="Normal"/>
    <w:uiPriority w:val="39"/>
    <w:unhideWhenUsed/>
    <w:qFormat/>
    <w:rsid w:val="00D31008"/>
    <w:pPr>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972040"/>
    <w:pPr>
      <w:tabs>
        <w:tab w:val="right" w:leader="dot" w:pos="10194"/>
      </w:tabs>
      <w:spacing w:after="100"/>
    </w:pPr>
  </w:style>
  <w:style w:type="paragraph" w:styleId="TOC2">
    <w:name w:val="toc 2"/>
    <w:basedOn w:val="Normal"/>
    <w:next w:val="Normal"/>
    <w:autoRedefine/>
    <w:uiPriority w:val="39"/>
    <w:unhideWhenUsed/>
    <w:rsid w:val="005236DB"/>
    <w:pPr>
      <w:tabs>
        <w:tab w:val="right" w:leader="dot" w:pos="10194"/>
      </w:tabs>
      <w:spacing w:after="100"/>
      <w:ind w:left="240"/>
    </w:pPr>
    <w:rPr>
      <w:rFonts w:cs="Arial"/>
      <w:b/>
      <w:bCs/>
      <w:noProof/>
    </w:rPr>
  </w:style>
  <w:style w:type="character" w:styleId="Mention">
    <w:name w:val="Mention"/>
    <w:basedOn w:val="DefaultParagraphFont"/>
    <w:uiPriority w:val="99"/>
    <w:unhideWhenUsed/>
    <w:rPr>
      <w:color w:val="2B579A"/>
      <w:shd w:val="clear" w:color="auto" w:fill="E6E6E6"/>
    </w:rPr>
  </w:style>
  <w:style w:type="paragraph" w:customStyle="1" w:styleId="xparagraphtext">
    <w:name w:val="x_paragraphtext"/>
    <w:basedOn w:val="Normal"/>
    <w:rsid w:val="007C055E"/>
    <w:pPr>
      <w:spacing w:before="100" w:beforeAutospacing="1" w:after="100" w:afterAutospacing="1" w:line="240" w:lineRule="auto"/>
    </w:pPr>
    <w:rPr>
      <w:rFonts w:ascii="Calibri" w:eastAsiaTheme="minorHAnsi" w:hAnsi="Calibri" w:cs="Calibri"/>
      <w:sz w:val="20"/>
      <w:szCs w:val="20"/>
      <w:lang w:eastAsia="en-AU"/>
    </w:rPr>
  </w:style>
  <w:style w:type="character" w:customStyle="1" w:styleId="xnormaltextrun">
    <w:name w:val="x_normaltextrun"/>
    <w:basedOn w:val="DefaultParagraphFont"/>
    <w:rsid w:val="007C055E"/>
  </w:style>
  <w:style w:type="character" w:customStyle="1" w:styleId="xeop">
    <w:name w:val="x_eop"/>
    <w:basedOn w:val="DefaultParagraphFont"/>
    <w:rsid w:val="007C055E"/>
  </w:style>
  <w:style w:type="paragraph" w:styleId="TOC3">
    <w:name w:val="toc 3"/>
    <w:basedOn w:val="Normal"/>
    <w:next w:val="Normal"/>
    <w:autoRedefine/>
    <w:uiPriority w:val="39"/>
    <w:unhideWhenUsed/>
    <w:rsid w:val="00F63B3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80637">
      <w:bodyDiv w:val="1"/>
      <w:marLeft w:val="0"/>
      <w:marRight w:val="0"/>
      <w:marTop w:val="0"/>
      <w:marBottom w:val="0"/>
      <w:divBdr>
        <w:top w:val="none" w:sz="0" w:space="0" w:color="auto"/>
        <w:left w:val="none" w:sz="0" w:space="0" w:color="auto"/>
        <w:bottom w:val="none" w:sz="0" w:space="0" w:color="auto"/>
        <w:right w:val="none" w:sz="0" w:space="0" w:color="auto"/>
      </w:divBdr>
    </w:div>
    <w:div w:id="343626972">
      <w:bodyDiv w:val="1"/>
      <w:marLeft w:val="0"/>
      <w:marRight w:val="0"/>
      <w:marTop w:val="0"/>
      <w:marBottom w:val="0"/>
      <w:divBdr>
        <w:top w:val="none" w:sz="0" w:space="0" w:color="auto"/>
        <w:left w:val="none" w:sz="0" w:space="0" w:color="auto"/>
        <w:bottom w:val="none" w:sz="0" w:space="0" w:color="auto"/>
        <w:right w:val="none" w:sz="0" w:space="0" w:color="auto"/>
      </w:divBdr>
    </w:div>
    <w:div w:id="424813493">
      <w:bodyDiv w:val="1"/>
      <w:marLeft w:val="0"/>
      <w:marRight w:val="0"/>
      <w:marTop w:val="0"/>
      <w:marBottom w:val="0"/>
      <w:divBdr>
        <w:top w:val="none" w:sz="0" w:space="0" w:color="auto"/>
        <w:left w:val="none" w:sz="0" w:space="0" w:color="auto"/>
        <w:bottom w:val="none" w:sz="0" w:space="0" w:color="auto"/>
        <w:right w:val="none" w:sz="0" w:space="0" w:color="auto"/>
      </w:divBdr>
    </w:div>
    <w:div w:id="526218391">
      <w:bodyDiv w:val="1"/>
      <w:marLeft w:val="0"/>
      <w:marRight w:val="0"/>
      <w:marTop w:val="0"/>
      <w:marBottom w:val="0"/>
      <w:divBdr>
        <w:top w:val="none" w:sz="0" w:space="0" w:color="auto"/>
        <w:left w:val="none" w:sz="0" w:space="0" w:color="auto"/>
        <w:bottom w:val="none" w:sz="0" w:space="0" w:color="auto"/>
        <w:right w:val="none" w:sz="0" w:space="0" w:color="auto"/>
      </w:divBdr>
      <w:divsChild>
        <w:div w:id="132912768">
          <w:marLeft w:val="0"/>
          <w:marRight w:val="0"/>
          <w:marTop w:val="0"/>
          <w:marBottom w:val="0"/>
          <w:divBdr>
            <w:top w:val="none" w:sz="0" w:space="0" w:color="auto"/>
            <w:left w:val="none" w:sz="0" w:space="0" w:color="auto"/>
            <w:bottom w:val="none" w:sz="0" w:space="0" w:color="auto"/>
            <w:right w:val="none" w:sz="0" w:space="0" w:color="auto"/>
          </w:divBdr>
        </w:div>
        <w:div w:id="220750212">
          <w:marLeft w:val="0"/>
          <w:marRight w:val="0"/>
          <w:marTop w:val="0"/>
          <w:marBottom w:val="0"/>
          <w:divBdr>
            <w:top w:val="none" w:sz="0" w:space="0" w:color="auto"/>
            <w:left w:val="none" w:sz="0" w:space="0" w:color="auto"/>
            <w:bottom w:val="none" w:sz="0" w:space="0" w:color="auto"/>
            <w:right w:val="none" w:sz="0" w:space="0" w:color="auto"/>
          </w:divBdr>
        </w:div>
        <w:div w:id="237322813">
          <w:marLeft w:val="0"/>
          <w:marRight w:val="0"/>
          <w:marTop w:val="0"/>
          <w:marBottom w:val="0"/>
          <w:divBdr>
            <w:top w:val="none" w:sz="0" w:space="0" w:color="auto"/>
            <w:left w:val="none" w:sz="0" w:space="0" w:color="auto"/>
            <w:bottom w:val="none" w:sz="0" w:space="0" w:color="auto"/>
            <w:right w:val="none" w:sz="0" w:space="0" w:color="auto"/>
          </w:divBdr>
        </w:div>
        <w:div w:id="245044331">
          <w:marLeft w:val="0"/>
          <w:marRight w:val="0"/>
          <w:marTop w:val="0"/>
          <w:marBottom w:val="0"/>
          <w:divBdr>
            <w:top w:val="none" w:sz="0" w:space="0" w:color="auto"/>
            <w:left w:val="none" w:sz="0" w:space="0" w:color="auto"/>
            <w:bottom w:val="none" w:sz="0" w:space="0" w:color="auto"/>
            <w:right w:val="none" w:sz="0" w:space="0" w:color="auto"/>
          </w:divBdr>
        </w:div>
        <w:div w:id="344982196">
          <w:marLeft w:val="0"/>
          <w:marRight w:val="0"/>
          <w:marTop w:val="0"/>
          <w:marBottom w:val="0"/>
          <w:divBdr>
            <w:top w:val="none" w:sz="0" w:space="0" w:color="auto"/>
            <w:left w:val="none" w:sz="0" w:space="0" w:color="auto"/>
            <w:bottom w:val="none" w:sz="0" w:space="0" w:color="auto"/>
            <w:right w:val="none" w:sz="0" w:space="0" w:color="auto"/>
          </w:divBdr>
        </w:div>
        <w:div w:id="373117183">
          <w:marLeft w:val="0"/>
          <w:marRight w:val="0"/>
          <w:marTop w:val="0"/>
          <w:marBottom w:val="0"/>
          <w:divBdr>
            <w:top w:val="none" w:sz="0" w:space="0" w:color="auto"/>
            <w:left w:val="none" w:sz="0" w:space="0" w:color="auto"/>
            <w:bottom w:val="none" w:sz="0" w:space="0" w:color="auto"/>
            <w:right w:val="none" w:sz="0" w:space="0" w:color="auto"/>
          </w:divBdr>
        </w:div>
        <w:div w:id="376586331">
          <w:marLeft w:val="0"/>
          <w:marRight w:val="0"/>
          <w:marTop w:val="0"/>
          <w:marBottom w:val="0"/>
          <w:divBdr>
            <w:top w:val="none" w:sz="0" w:space="0" w:color="auto"/>
            <w:left w:val="none" w:sz="0" w:space="0" w:color="auto"/>
            <w:bottom w:val="none" w:sz="0" w:space="0" w:color="auto"/>
            <w:right w:val="none" w:sz="0" w:space="0" w:color="auto"/>
          </w:divBdr>
        </w:div>
        <w:div w:id="516114074">
          <w:marLeft w:val="0"/>
          <w:marRight w:val="0"/>
          <w:marTop w:val="0"/>
          <w:marBottom w:val="0"/>
          <w:divBdr>
            <w:top w:val="none" w:sz="0" w:space="0" w:color="auto"/>
            <w:left w:val="none" w:sz="0" w:space="0" w:color="auto"/>
            <w:bottom w:val="none" w:sz="0" w:space="0" w:color="auto"/>
            <w:right w:val="none" w:sz="0" w:space="0" w:color="auto"/>
          </w:divBdr>
        </w:div>
        <w:div w:id="549535514">
          <w:marLeft w:val="0"/>
          <w:marRight w:val="0"/>
          <w:marTop w:val="0"/>
          <w:marBottom w:val="0"/>
          <w:divBdr>
            <w:top w:val="none" w:sz="0" w:space="0" w:color="auto"/>
            <w:left w:val="none" w:sz="0" w:space="0" w:color="auto"/>
            <w:bottom w:val="none" w:sz="0" w:space="0" w:color="auto"/>
            <w:right w:val="none" w:sz="0" w:space="0" w:color="auto"/>
          </w:divBdr>
        </w:div>
        <w:div w:id="603421154">
          <w:marLeft w:val="0"/>
          <w:marRight w:val="0"/>
          <w:marTop w:val="0"/>
          <w:marBottom w:val="0"/>
          <w:divBdr>
            <w:top w:val="none" w:sz="0" w:space="0" w:color="auto"/>
            <w:left w:val="none" w:sz="0" w:space="0" w:color="auto"/>
            <w:bottom w:val="none" w:sz="0" w:space="0" w:color="auto"/>
            <w:right w:val="none" w:sz="0" w:space="0" w:color="auto"/>
          </w:divBdr>
        </w:div>
        <w:div w:id="759061269">
          <w:marLeft w:val="0"/>
          <w:marRight w:val="0"/>
          <w:marTop w:val="0"/>
          <w:marBottom w:val="0"/>
          <w:divBdr>
            <w:top w:val="none" w:sz="0" w:space="0" w:color="auto"/>
            <w:left w:val="none" w:sz="0" w:space="0" w:color="auto"/>
            <w:bottom w:val="none" w:sz="0" w:space="0" w:color="auto"/>
            <w:right w:val="none" w:sz="0" w:space="0" w:color="auto"/>
          </w:divBdr>
        </w:div>
        <w:div w:id="761070909">
          <w:marLeft w:val="0"/>
          <w:marRight w:val="0"/>
          <w:marTop w:val="0"/>
          <w:marBottom w:val="0"/>
          <w:divBdr>
            <w:top w:val="none" w:sz="0" w:space="0" w:color="auto"/>
            <w:left w:val="none" w:sz="0" w:space="0" w:color="auto"/>
            <w:bottom w:val="none" w:sz="0" w:space="0" w:color="auto"/>
            <w:right w:val="none" w:sz="0" w:space="0" w:color="auto"/>
          </w:divBdr>
        </w:div>
        <w:div w:id="806778143">
          <w:marLeft w:val="0"/>
          <w:marRight w:val="0"/>
          <w:marTop w:val="0"/>
          <w:marBottom w:val="0"/>
          <w:divBdr>
            <w:top w:val="none" w:sz="0" w:space="0" w:color="auto"/>
            <w:left w:val="none" w:sz="0" w:space="0" w:color="auto"/>
            <w:bottom w:val="none" w:sz="0" w:space="0" w:color="auto"/>
            <w:right w:val="none" w:sz="0" w:space="0" w:color="auto"/>
          </w:divBdr>
        </w:div>
        <w:div w:id="834495185">
          <w:marLeft w:val="0"/>
          <w:marRight w:val="0"/>
          <w:marTop w:val="0"/>
          <w:marBottom w:val="0"/>
          <w:divBdr>
            <w:top w:val="none" w:sz="0" w:space="0" w:color="auto"/>
            <w:left w:val="none" w:sz="0" w:space="0" w:color="auto"/>
            <w:bottom w:val="none" w:sz="0" w:space="0" w:color="auto"/>
            <w:right w:val="none" w:sz="0" w:space="0" w:color="auto"/>
          </w:divBdr>
        </w:div>
        <w:div w:id="900359728">
          <w:marLeft w:val="0"/>
          <w:marRight w:val="0"/>
          <w:marTop w:val="0"/>
          <w:marBottom w:val="0"/>
          <w:divBdr>
            <w:top w:val="none" w:sz="0" w:space="0" w:color="auto"/>
            <w:left w:val="none" w:sz="0" w:space="0" w:color="auto"/>
            <w:bottom w:val="none" w:sz="0" w:space="0" w:color="auto"/>
            <w:right w:val="none" w:sz="0" w:space="0" w:color="auto"/>
          </w:divBdr>
        </w:div>
        <w:div w:id="924075188">
          <w:marLeft w:val="0"/>
          <w:marRight w:val="0"/>
          <w:marTop w:val="0"/>
          <w:marBottom w:val="0"/>
          <w:divBdr>
            <w:top w:val="none" w:sz="0" w:space="0" w:color="auto"/>
            <w:left w:val="none" w:sz="0" w:space="0" w:color="auto"/>
            <w:bottom w:val="none" w:sz="0" w:space="0" w:color="auto"/>
            <w:right w:val="none" w:sz="0" w:space="0" w:color="auto"/>
          </w:divBdr>
        </w:div>
        <w:div w:id="954292129">
          <w:marLeft w:val="0"/>
          <w:marRight w:val="0"/>
          <w:marTop w:val="0"/>
          <w:marBottom w:val="0"/>
          <w:divBdr>
            <w:top w:val="none" w:sz="0" w:space="0" w:color="auto"/>
            <w:left w:val="none" w:sz="0" w:space="0" w:color="auto"/>
            <w:bottom w:val="none" w:sz="0" w:space="0" w:color="auto"/>
            <w:right w:val="none" w:sz="0" w:space="0" w:color="auto"/>
          </w:divBdr>
        </w:div>
        <w:div w:id="1016157505">
          <w:marLeft w:val="0"/>
          <w:marRight w:val="0"/>
          <w:marTop w:val="0"/>
          <w:marBottom w:val="0"/>
          <w:divBdr>
            <w:top w:val="none" w:sz="0" w:space="0" w:color="auto"/>
            <w:left w:val="none" w:sz="0" w:space="0" w:color="auto"/>
            <w:bottom w:val="none" w:sz="0" w:space="0" w:color="auto"/>
            <w:right w:val="none" w:sz="0" w:space="0" w:color="auto"/>
          </w:divBdr>
        </w:div>
        <w:div w:id="1090463664">
          <w:marLeft w:val="0"/>
          <w:marRight w:val="0"/>
          <w:marTop w:val="0"/>
          <w:marBottom w:val="0"/>
          <w:divBdr>
            <w:top w:val="none" w:sz="0" w:space="0" w:color="auto"/>
            <w:left w:val="none" w:sz="0" w:space="0" w:color="auto"/>
            <w:bottom w:val="none" w:sz="0" w:space="0" w:color="auto"/>
            <w:right w:val="none" w:sz="0" w:space="0" w:color="auto"/>
          </w:divBdr>
        </w:div>
        <w:div w:id="1129779895">
          <w:marLeft w:val="0"/>
          <w:marRight w:val="0"/>
          <w:marTop w:val="0"/>
          <w:marBottom w:val="0"/>
          <w:divBdr>
            <w:top w:val="none" w:sz="0" w:space="0" w:color="auto"/>
            <w:left w:val="none" w:sz="0" w:space="0" w:color="auto"/>
            <w:bottom w:val="none" w:sz="0" w:space="0" w:color="auto"/>
            <w:right w:val="none" w:sz="0" w:space="0" w:color="auto"/>
          </w:divBdr>
        </w:div>
        <w:div w:id="1195390535">
          <w:marLeft w:val="0"/>
          <w:marRight w:val="0"/>
          <w:marTop w:val="0"/>
          <w:marBottom w:val="0"/>
          <w:divBdr>
            <w:top w:val="none" w:sz="0" w:space="0" w:color="auto"/>
            <w:left w:val="none" w:sz="0" w:space="0" w:color="auto"/>
            <w:bottom w:val="none" w:sz="0" w:space="0" w:color="auto"/>
            <w:right w:val="none" w:sz="0" w:space="0" w:color="auto"/>
          </w:divBdr>
        </w:div>
        <w:div w:id="1202128395">
          <w:marLeft w:val="0"/>
          <w:marRight w:val="0"/>
          <w:marTop w:val="0"/>
          <w:marBottom w:val="0"/>
          <w:divBdr>
            <w:top w:val="none" w:sz="0" w:space="0" w:color="auto"/>
            <w:left w:val="none" w:sz="0" w:space="0" w:color="auto"/>
            <w:bottom w:val="none" w:sz="0" w:space="0" w:color="auto"/>
            <w:right w:val="none" w:sz="0" w:space="0" w:color="auto"/>
          </w:divBdr>
        </w:div>
        <w:div w:id="1262445652">
          <w:marLeft w:val="0"/>
          <w:marRight w:val="0"/>
          <w:marTop w:val="0"/>
          <w:marBottom w:val="0"/>
          <w:divBdr>
            <w:top w:val="none" w:sz="0" w:space="0" w:color="auto"/>
            <w:left w:val="none" w:sz="0" w:space="0" w:color="auto"/>
            <w:bottom w:val="none" w:sz="0" w:space="0" w:color="auto"/>
            <w:right w:val="none" w:sz="0" w:space="0" w:color="auto"/>
          </w:divBdr>
        </w:div>
        <w:div w:id="1304194497">
          <w:marLeft w:val="0"/>
          <w:marRight w:val="0"/>
          <w:marTop w:val="0"/>
          <w:marBottom w:val="0"/>
          <w:divBdr>
            <w:top w:val="none" w:sz="0" w:space="0" w:color="auto"/>
            <w:left w:val="none" w:sz="0" w:space="0" w:color="auto"/>
            <w:bottom w:val="none" w:sz="0" w:space="0" w:color="auto"/>
            <w:right w:val="none" w:sz="0" w:space="0" w:color="auto"/>
          </w:divBdr>
        </w:div>
        <w:div w:id="1378237770">
          <w:marLeft w:val="0"/>
          <w:marRight w:val="0"/>
          <w:marTop w:val="0"/>
          <w:marBottom w:val="0"/>
          <w:divBdr>
            <w:top w:val="none" w:sz="0" w:space="0" w:color="auto"/>
            <w:left w:val="none" w:sz="0" w:space="0" w:color="auto"/>
            <w:bottom w:val="none" w:sz="0" w:space="0" w:color="auto"/>
            <w:right w:val="none" w:sz="0" w:space="0" w:color="auto"/>
          </w:divBdr>
        </w:div>
        <w:div w:id="1387416783">
          <w:marLeft w:val="0"/>
          <w:marRight w:val="0"/>
          <w:marTop w:val="0"/>
          <w:marBottom w:val="0"/>
          <w:divBdr>
            <w:top w:val="none" w:sz="0" w:space="0" w:color="auto"/>
            <w:left w:val="none" w:sz="0" w:space="0" w:color="auto"/>
            <w:bottom w:val="none" w:sz="0" w:space="0" w:color="auto"/>
            <w:right w:val="none" w:sz="0" w:space="0" w:color="auto"/>
          </w:divBdr>
        </w:div>
        <w:div w:id="1634287496">
          <w:marLeft w:val="0"/>
          <w:marRight w:val="0"/>
          <w:marTop w:val="0"/>
          <w:marBottom w:val="0"/>
          <w:divBdr>
            <w:top w:val="none" w:sz="0" w:space="0" w:color="auto"/>
            <w:left w:val="none" w:sz="0" w:space="0" w:color="auto"/>
            <w:bottom w:val="none" w:sz="0" w:space="0" w:color="auto"/>
            <w:right w:val="none" w:sz="0" w:space="0" w:color="auto"/>
          </w:divBdr>
        </w:div>
        <w:div w:id="1698119836">
          <w:marLeft w:val="0"/>
          <w:marRight w:val="0"/>
          <w:marTop w:val="0"/>
          <w:marBottom w:val="0"/>
          <w:divBdr>
            <w:top w:val="none" w:sz="0" w:space="0" w:color="auto"/>
            <w:left w:val="none" w:sz="0" w:space="0" w:color="auto"/>
            <w:bottom w:val="none" w:sz="0" w:space="0" w:color="auto"/>
            <w:right w:val="none" w:sz="0" w:space="0" w:color="auto"/>
          </w:divBdr>
        </w:div>
        <w:div w:id="1778132926">
          <w:marLeft w:val="0"/>
          <w:marRight w:val="0"/>
          <w:marTop w:val="0"/>
          <w:marBottom w:val="0"/>
          <w:divBdr>
            <w:top w:val="none" w:sz="0" w:space="0" w:color="auto"/>
            <w:left w:val="none" w:sz="0" w:space="0" w:color="auto"/>
            <w:bottom w:val="none" w:sz="0" w:space="0" w:color="auto"/>
            <w:right w:val="none" w:sz="0" w:space="0" w:color="auto"/>
          </w:divBdr>
        </w:div>
        <w:div w:id="1865245834">
          <w:marLeft w:val="0"/>
          <w:marRight w:val="0"/>
          <w:marTop w:val="0"/>
          <w:marBottom w:val="0"/>
          <w:divBdr>
            <w:top w:val="none" w:sz="0" w:space="0" w:color="auto"/>
            <w:left w:val="none" w:sz="0" w:space="0" w:color="auto"/>
            <w:bottom w:val="none" w:sz="0" w:space="0" w:color="auto"/>
            <w:right w:val="none" w:sz="0" w:space="0" w:color="auto"/>
          </w:divBdr>
        </w:div>
        <w:div w:id="1873758907">
          <w:marLeft w:val="0"/>
          <w:marRight w:val="0"/>
          <w:marTop w:val="0"/>
          <w:marBottom w:val="0"/>
          <w:divBdr>
            <w:top w:val="none" w:sz="0" w:space="0" w:color="auto"/>
            <w:left w:val="none" w:sz="0" w:space="0" w:color="auto"/>
            <w:bottom w:val="none" w:sz="0" w:space="0" w:color="auto"/>
            <w:right w:val="none" w:sz="0" w:space="0" w:color="auto"/>
          </w:divBdr>
        </w:div>
        <w:div w:id="1875119763">
          <w:marLeft w:val="0"/>
          <w:marRight w:val="0"/>
          <w:marTop w:val="0"/>
          <w:marBottom w:val="0"/>
          <w:divBdr>
            <w:top w:val="none" w:sz="0" w:space="0" w:color="auto"/>
            <w:left w:val="none" w:sz="0" w:space="0" w:color="auto"/>
            <w:bottom w:val="none" w:sz="0" w:space="0" w:color="auto"/>
            <w:right w:val="none" w:sz="0" w:space="0" w:color="auto"/>
          </w:divBdr>
        </w:div>
        <w:div w:id="1999766363">
          <w:marLeft w:val="0"/>
          <w:marRight w:val="0"/>
          <w:marTop w:val="0"/>
          <w:marBottom w:val="0"/>
          <w:divBdr>
            <w:top w:val="none" w:sz="0" w:space="0" w:color="auto"/>
            <w:left w:val="none" w:sz="0" w:space="0" w:color="auto"/>
            <w:bottom w:val="none" w:sz="0" w:space="0" w:color="auto"/>
            <w:right w:val="none" w:sz="0" w:space="0" w:color="auto"/>
          </w:divBdr>
        </w:div>
        <w:div w:id="2131046458">
          <w:marLeft w:val="0"/>
          <w:marRight w:val="0"/>
          <w:marTop w:val="0"/>
          <w:marBottom w:val="0"/>
          <w:divBdr>
            <w:top w:val="none" w:sz="0" w:space="0" w:color="auto"/>
            <w:left w:val="none" w:sz="0" w:space="0" w:color="auto"/>
            <w:bottom w:val="none" w:sz="0" w:space="0" w:color="auto"/>
            <w:right w:val="none" w:sz="0" w:space="0" w:color="auto"/>
          </w:divBdr>
        </w:div>
      </w:divsChild>
    </w:div>
    <w:div w:id="678778223">
      <w:bodyDiv w:val="1"/>
      <w:marLeft w:val="0"/>
      <w:marRight w:val="0"/>
      <w:marTop w:val="0"/>
      <w:marBottom w:val="0"/>
      <w:divBdr>
        <w:top w:val="none" w:sz="0" w:space="0" w:color="auto"/>
        <w:left w:val="none" w:sz="0" w:space="0" w:color="auto"/>
        <w:bottom w:val="none" w:sz="0" w:space="0" w:color="auto"/>
        <w:right w:val="none" w:sz="0" w:space="0" w:color="auto"/>
      </w:divBdr>
    </w:div>
    <w:div w:id="869998951">
      <w:bodyDiv w:val="1"/>
      <w:marLeft w:val="0"/>
      <w:marRight w:val="0"/>
      <w:marTop w:val="0"/>
      <w:marBottom w:val="0"/>
      <w:divBdr>
        <w:top w:val="none" w:sz="0" w:space="0" w:color="auto"/>
        <w:left w:val="none" w:sz="0" w:space="0" w:color="auto"/>
        <w:bottom w:val="none" w:sz="0" w:space="0" w:color="auto"/>
        <w:right w:val="none" w:sz="0" w:space="0" w:color="auto"/>
      </w:divBdr>
    </w:div>
    <w:div w:id="946037054">
      <w:bodyDiv w:val="1"/>
      <w:marLeft w:val="0"/>
      <w:marRight w:val="0"/>
      <w:marTop w:val="0"/>
      <w:marBottom w:val="0"/>
      <w:divBdr>
        <w:top w:val="none" w:sz="0" w:space="0" w:color="auto"/>
        <w:left w:val="none" w:sz="0" w:space="0" w:color="auto"/>
        <w:bottom w:val="none" w:sz="0" w:space="0" w:color="auto"/>
        <w:right w:val="none" w:sz="0" w:space="0" w:color="auto"/>
      </w:divBdr>
    </w:div>
    <w:div w:id="1414937932">
      <w:bodyDiv w:val="1"/>
      <w:marLeft w:val="0"/>
      <w:marRight w:val="0"/>
      <w:marTop w:val="0"/>
      <w:marBottom w:val="0"/>
      <w:divBdr>
        <w:top w:val="none" w:sz="0" w:space="0" w:color="auto"/>
        <w:left w:val="none" w:sz="0" w:space="0" w:color="auto"/>
        <w:bottom w:val="none" w:sz="0" w:space="0" w:color="auto"/>
        <w:right w:val="none" w:sz="0" w:space="0" w:color="auto"/>
      </w:divBdr>
      <w:divsChild>
        <w:div w:id="22556180">
          <w:marLeft w:val="0"/>
          <w:marRight w:val="0"/>
          <w:marTop w:val="0"/>
          <w:marBottom w:val="0"/>
          <w:divBdr>
            <w:top w:val="none" w:sz="0" w:space="0" w:color="auto"/>
            <w:left w:val="none" w:sz="0" w:space="0" w:color="auto"/>
            <w:bottom w:val="none" w:sz="0" w:space="0" w:color="auto"/>
            <w:right w:val="none" w:sz="0" w:space="0" w:color="auto"/>
          </w:divBdr>
          <w:divsChild>
            <w:div w:id="1741366401">
              <w:marLeft w:val="0"/>
              <w:marRight w:val="0"/>
              <w:marTop w:val="0"/>
              <w:marBottom w:val="0"/>
              <w:divBdr>
                <w:top w:val="none" w:sz="0" w:space="0" w:color="auto"/>
                <w:left w:val="none" w:sz="0" w:space="0" w:color="auto"/>
                <w:bottom w:val="none" w:sz="0" w:space="0" w:color="auto"/>
                <w:right w:val="none" w:sz="0" w:space="0" w:color="auto"/>
              </w:divBdr>
            </w:div>
            <w:div w:id="2084330499">
              <w:marLeft w:val="0"/>
              <w:marRight w:val="0"/>
              <w:marTop w:val="0"/>
              <w:marBottom w:val="0"/>
              <w:divBdr>
                <w:top w:val="none" w:sz="0" w:space="0" w:color="auto"/>
                <w:left w:val="none" w:sz="0" w:space="0" w:color="auto"/>
                <w:bottom w:val="none" w:sz="0" w:space="0" w:color="auto"/>
                <w:right w:val="none" w:sz="0" w:space="0" w:color="auto"/>
              </w:divBdr>
            </w:div>
          </w:divsChild>
        </w:div>
        <w:div w:id="250743968">
          <w:marLeft w:val="0"/>
          <w:marRight w:val="0"/>
          <w:marTop w:val="0"/>
          <w:marBottom w:val="0"/>
          <w:divBdr>
            <w:top w:val="none" w:sz="0" w:space="0" w:color="auto"/>
            <w:left w:val="none" w:sz="0" w:space="0" w:color="auto"/>
            <w:bottom w:val="none" w:sz="0" w:space="0" w:color="auto"/>
            <w:right w:val="none" w:sz="0" w:space="0" w:color="auto"/>
          </w:divBdr>
        </w:div>
        <w:div w:id="315955180">
          <w:marLeft w:val="0"/>
          <w:marRight w:val="0"/>
          <w:marTop w:val="0"/>
          <w:marBottom w:val="0"/>
          <w:divBdr>
            <w:top w:val="none" w:sz="0" w:space="0" w:color="auto"/>
            <w:left w:val="none" w:sz="0" w:space="0" w:color="auto"/>
            <w:bottom w:val="none" w:sz="0" w:space="0" w:color="auto"/>
            <w:right w:val="none" w:sz="0" w:space="0" w:color="auto"/>
          </w:divBdr>
        </w:div>
        <w:div w:id="814492616">
          <w:marLeft w:val="0"/>
          <w:marRight w:val="0"/>
          <w:marTop w:val="0"/>
          <w:marBottom w:val="0"/>
          <w:divBdr>
            <w:top w:val="none" w:sz="0" w:space="0" w:color="auto"/>
            <w:left w:val="none" w:sz="0" w:space="0" w:color="auto"/>
            <w:bottom w:val="none" w:sz="0" w:space="0" w:color="auto"/>
            <w:right w:val="none" w:sz="0" w:space="0" w:color="auto"/>
          </w:divBdr>
          <w:divsChild>
            <w:div w:id="74205812">
              <w:marLeft w:val="0"/>
              <w:marRight w:val="0"/>
              <w:marTop w:val="0"/>
              <w:marBottom w:val="0"/>
              <w:divBdr>
                <w:top w:val="none" w:sz="0" w:space="0" w:color="auto"/>
                <w:left w:val="none" w:sz="0" w:space="0" w:color="auto"/>
                <w:bottom w:val="none" w:sz="0" w:space="0" w:color="auto"/>
                <w:right w:val="none" w:sz="0" w:space="0" w:color="auto"/>
              </w:divBdr>
            </w:div>
            <w:div w:id="117257561">
              <w:marLeft w:val="0"/>
              <w:marRight w:val="0"/>
              <w:marTop w:val="0"/>
              <w:marBottom w:val="0"/>
              <w:divBdr>
                <w:top w:val="none" w:sz="0" w:space="0" w:color="auto"/>
                <w:left w:val="none" w:sz="0" w:space="0" w:color="auto"/>
                <w:bottom w:val="none" w:sz="0" w:space="0" w:color="auto"/>
                <w:right w:val="none" w:sz="0" w:space="0" w:color="auto"/>
              </w:divBdr>
            </w:div>
            <w:div w:id="490291508">
              <w:marLeft w:val="0"/>
              <w:marRight w:val="0"/>
              <w:marTop w:val="0"/>
              <w:marBottom w:val="0"/>
              <w:divBdr>
                <w:top w:val="none" w:sz="0" w:space="0" w:color="auto"/>
                <w:left w:val="none" w:sz="0" w:space="0" w:color="auto"/>
                <w:bottom w:val="none" w:sz="0" w:space="0" w:color="auto"/>
                <w:right w:val="none" w:sz="0" w:space="0" w:color="auto"/>
              </w:divBdr>
            </w:div>
            <w:div w:id="1271623146">
              <w:marLeft w:val="0"/>
              <w:marRight w:val="0"/>
              <w:marTop w:val="0"/>
              <w:marBottom w:val="0"/>
              <w:divBdr>
                <w:top w:val="none" w:sz="0" w:space="0" w:color="auto"/>
                <w:left w:val="none" w:sz="0" w:space="0" w:color="auto"/>
                <w:bottom w:val="none" w:sz="0" w:space="0" w:color="auto"/>
                <w:right w:val="none" w:sz="0" w:space="0" w:color="auto"/>
              </w:divBdr>
            </w:div>
            <w:div w:id="1494225881">
              <w:marLeft w:val="0"/>
              <w:marRight w:val="0"/>
              <w:marTop w:val="0"/>
              <w:marBottom w:val="0"/>
              <w:divBdr>
                <w:top w:val="none" w:sz="0" w:space="0" w:color="auto"/>
                <w:left w:val="none" w:sz="0" w:space="0" w:color="auto"/>
                <w:bottom w:val="none" w:sz="0" w:space="0" w:color="auto"/>
                <w:right w:val="none" w:sz="0" w:space="0" w:color="auto"/>
              </w:divBdr>
            </w:div>
          </w:divsChild>
        </w:div>
        <w:div w:id="828326324">
          <w:marLeft w:val="0"/>
          <w:marRight w:val="0"/>
          <w:marTop w:val="0"/>
          <w:marBottom w:val="0"/>
          <w:divBdr>
            <w:top w:val="none" w:sz="0" w:space="0" w:color="auto"/>
            <w:left w:val="none" w:sz="0" w:space="0" w:color="auto"/>
            <w:bottom w:val="none" w:sz="0" w:space="0" w:color="auto"/>
            <w:right w:val="none" w:sz="0" w:space="0" w:color="auto"/>
          </w:divBdr>
        </w:div>
        <w:div w:id="881668223">
          <w:marLeft w:val="0"/>
          <w:marRight w:val="0"/>
          <w:marTop w:val="0"/>
          <w:marBottom w:val="0"/>
          <w:divBdr>
            <w:top w:val="none" w:sz="0" w:space="0" w:color="auto"/>
            <w:left w:val="none" w:sz="0" w:space="0" w:color="auto"/>
            <w:bottom w:val="none" w:sz="0" w:space="0" w:color="auto"/>
            <w:right w:val="none" w:sz="0" w:space="0" w:color="auto"/>
          </w:divBdr>
        </w:div>
        <w:div w:id="1125540745">
          <w:marLeft w:val="0"/>
          <w:marRight w:val="0"/>
          <w:marTop w:val="0"/>
          <w:marBottom w:val="0"/>
          <w:divBdr>
            <w:top w:val="none" w:sz="0" w:space="0" w:color="auto"/>
            <w:left w:val="none" w:sz="0" w:space="0" w:color="auto"/>
            <w:bottom w:val="none" w:sz="0" w:space="0" w:color="auto"/>
            <w:right w:val="none" w:sz="0" w:space="0" w:color="auto"/>
          </w:divBdr>
          <w:divsChild>
            <w:div w:id="33964704">
              <w:marLeft w:val="0"/>
              <w:marRight w:val="0"/>
              <w:marTop w:val="0"/>
              <w:marBottom w:val="0"/>
              <w:divBdr>
                <w:top w:val="none" w:sz="0" w:space="0" w:color="auto"/>
                <w:left w:val="none" w:sz="0" w:space="0" w:color="auto"/>
                <w:bottom w:val="none" w:sz="0" w:space="0" w:color="auto"/>
                <w:right w:val="none" w:sz="0" w:space="0" w:color="auto"/>
              </w:divBdr>
            </w:div>
            <w:div w:id="83958897">
              <w:marLeft w:val="0"/>
              <w:marRight w:val="0"/>
              <w:marTop w:val="0"/>
              <w:marBottom w:val="0"/>
              <w:divBdr>
                <w:top w:val="none" w:sz="0" w:space="0" w:color="auto"/>
                <w:left w:val="none" w:sz="0" w:space="0" w:color="auto"/>
                <w:bottom w:val="none" w:sz="0" w:space="0" w:color="auto"/>
                <w:right w:val="none" w:sz="0" w:space="0" w:color="auto"/>
              </w:divBdr>
            </w:div>
            <w:div w:id="822936678">
              <w:marLeft w:val="0"/>
              <w:marRight w:val="0"/>
              <w:marTop w:val="0"/>
              <w:marBottom w:val="0"/>
              <w:divBdr>
                <w:top w:val="none" w:sz="0" w:space="0" w:color="auto"/>
                <w:left w:val="none" w:sz="0" w:space="0" w:color="auto"/>
                <w:bottom w:val="none" w:sz="0" w:space="0" w:color="auto"/>
                <w:right w:val="none" w:sz="0" w:space="0" w:color="auto"/>
              </w:divBdr>
            </w:div>
            <w:div w:id="1647009636">
              <w:marLeft w:val="0"/>
              <w:marRight w:val="0"/>
              <w:marTop w:val="0"/>
              <w:marBottom w:val="0"/>
              <w:divBdr>
                <w:top w:val="none" w:sz="0" w:space="0" w:color="auto"/>
                <w:left w:val="none" w:sz="0" w:space="0" w:color="auto"/>
                <w:bottom w:val="none" w:sz="0" w:space="0" w:color="auto"/>
                <w:right w:val="none" w:sz="0" w:space="0" w:color="auto"/>
              </w:divBdr>
            </w:div>
            <w:div w:id="1689679850">
              <w:marLeft w:val="0"/>
              <w:marRight w:val="0"/>
              <w:marTop w:val="0"/>
              <w:marBottom w:val="0"/>
              <w:divBdr>
                <w:top w:val="none" w:sz="0" w:space="0" w:color="auto"/>
                <w:left w:val="none" w:sz="0" w:space="0" w:color="auto"/>
                <w:bottom w:val="none" w:sz="0" w:space="0" w:color="auto"/>
                <w:right w:val="none" w:sz="0" w:space="0" w:color="auto"/>
              </w:divBdr>
            </w:div>
          </w:divsChild>
        </w:div>
        <w:div w:id="1464425260">
          <w:marLeft w:val="0"/>
          <w:marRight w:val="0"/>
          <w:marTop w:val="0"/>
          <w:marBottom w:val="0"/>
          <w:divBdr>
            <w:top w:val="none" w:sz="0" w:space="0" w:color="auto"/>
            <w:left w:val="none" w:sz="0" w:space="0" w:color="auto"/>
            <w:bottom w:val="none" w:sz="0" w:space="0" w:color="auto"/>
            <w:right w:val="none" w:sz="0" w:space="0" w:color="auto"/>
          </w:divBdr>
        </w:div>
        <w:div w:id="1543248534">
          <w:marLeft w:val="0"/>
          <w:marRight w:val="0"/>
          <w:marTop w:val="0"/>
          <w:marBottom w:val="0"/>
          <w:divBdr>
            <w:top w:val="none" w:sz="0" w:space="0" w:color="auto"/>
            <w:left w:val="none" w:sz="0" w:space="0" w:color="auto"/>
            <w:bottom w:val="none" w:sz="0" w:space="0" w:color="auto"/>
            <w:right w:val="none" w:sz="0" w:space="0" w:color="auto"/>
          </w:divBdr>
        </w:div>
        <w:div w:id="1600914497">
          <w:marLeft w:val="0"/>
          <w:marRight w:val="0"/>
          <w:marTop w:val="0"/>
          <w:marBottom w:val="0"/>
          <w:divBdr>
            <w:top w:val="none" w:sz="0" w:space="0" w:color="auto"/>
            <w:left w:val="none" w:sz="0" w:space="0" w:color="auto"/>
            <w:bottom w:val="none" w:sz="0" w:space="0" w:color="auto"/>
            <w:right w:val="none" w:sz="0" w:space="0" w:color="auto"/>
          </w:divBdr>
        </w:div>
        <w:div w:id="1947150113">
          <w:marLeft w:val="0"/>
          <w:marRight w:val="0"/>
          <w:marTop w:val="0"/>
          <w:marBottom w:val="0"/>
          <w:divBdr>
            <w:top w:val="none" w:sz="0" w:space="0" w:color="auto"/>
            <w:left w:val="none" w:sz="0" w:space="0" w:color="auto"/>
            <w:bottom w:val="none" w:sz="0" w:space="0" w:color="auto"/>
            <w:right w:val="none" w:sz="0" w:space="0" w:color="auto"/>
          </w:divBdr>
          <w:divsChild>
            <w:div w:id="84720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31110">
      <w:bodyDiv w:val="1"/>
      <w:marLeft w:val="0"/>
      <w:marRight w:val="0"/>
      <w:marTop w:val="0"/>
      <w:marBottom w:val="0"/>
      <w:divBdr>
        <w:top w:val="none" w:sz="0" w:space="0" w:color="auto"/>
        <w:left w:val="none" w:sz="0" w:space="0" w:color="auto"/>
        <w:bottom w:val="none" w:sz="0" w:space="0" w:color="auto"/>
        <w:right w:val="none" w:sz="0" w:space="0" w:color="auto"/>
      </w:divBdr>
      <w:divsChild>
        <w:div w:id="724909836">
          <w:marLeft w:val="0"/>
          <w:marRight w:val="0"/>
          <w:marTop w:val="0"/>
          <w:marBottom w:val="0"/>
          <w:divBdr>
            <w:top w:val="none" w:sz="0" w:space="0" w:color="auto"/>
            <w:left w:val="none" w:sz="0" w:space="0" w:color="auto"/>
            <w:bottom w:val="none" w:sz="0" w:space="0" w:color="auto"/>
            <w:right w:val="none" w:sz="0" w:space="0" w:color="auto"/>
          </w:divBdr>
          <w:divsChild>
            <w:div w:id="1716657071">
              <w:marLeft w:val="0"/>
              <w:marRight w:val="0"/>
              <w:marTop w:val="30"/>
              <w:marBottom w:val="30"/>
              <w:divBdr>
                <w:top w:val="none" w:sz="0" w:space="0" w:color="auto"/>
                <w:left w:val="none" w:sz="0" w:space="0" w:color="auto"/>
                <w:bottom w:val="none" w:sz="0" w:space="0" w:color="auto"/>
                <w:right w:val="none" w:sz="0" w:space="0" w:color="auto"/>
              </w:divBdr>
              <w:divsChild>
                <w:div w:id="121072062">
                  <w:marLeft w:val="0"/>
                  <w:marRight w:val="0"/>
                  <w:marTop w:val="0"/>
                  <w:marBottom w:val="0"/>
                  <w:divBdr>
                    <w:top w:val="none" w:sz="0" w:space="0" w:color="auto"/>
                    <w:left w:val="none" w:sz="0" w:space="0" w:color="auto"/>
                    <w:bottom w:val="none" w:sz="0" w:space="0" w:color="auto"/>
                    <w:right w:val="none" w:sz="0" w:space="0" w:color="auto"/>
                  </w:divBdr>
                  <w:divsChild>
                    <w:div w:id="1584292474">
                      <w:marLeft w:val="0"/>
                      <w:marRight w:val="0"/>
                      <w:marTop w:val="0"/>
                      <w:marBottom w:val="0"/>
                      <w:divBdr>
                        <w:top w:val="none" w:sz="0" w:space="0" w:color="auto"/>
                        <w:left w:val="none" w:sz="0" w:space="0" w:color="auto"/>
                        <w:bottom w:val="none" w:sz="0" w:space="0" w:color="auto"/>
                        <w:right w:val="none" w:sz="0" w:space="0" w:color="auto"/>
                      </w:divBdr>
                    </w:div>
                  </w:divsChild>
                </w:div>
                <w:div w:id="143402569">
                  <w:marLeft w:val="0"/>
                  <w:marRight w:val="0"/>
                  <w:marTop w:val="0"/>
                  <w:marBottom w:val="0"/>
                  <w:divBdr>
                    <w:top w:val="none" w:sz="0" w:space="0" w:color="auto"/>
                    <w:left w:val="none" w:sz="0" w:space="0" w:color="auto"/>
                    <w:bottom w:val="none" w:sz="0" w:space="0" w:color="auto"/>
                    <w:right w:val="none" w:sz="0" w:space="0" w:color="auto"/>
                  </w:divBdr>
                  <w:divsChild>
                    <w:div w:id="1544056086">
                      <w:marLeft w:val="0"/>
                      <w:marRight w:val="0"/>
                      <w:marTop w:val="0"/>
                      <w:marBottom w:val="0"/>
                      <w:divBdr>
                        <w:top w:val="none" w:sz="0" w:space="0" w:color="auto"/>
                        <w:left w:val="none" w:sz="0" w:space="0" w:color="auto"/>
                        <w:bottom w:val="none" w:sz="0" w:space="0" w:color="auto"/>
                        <w:right w:val="none" w:sz="0" w:space="0" w:color="auto"/>
                      </w:divBdr>
                    </w:div>
                  </w:divsChild>
                </w:div>
                <w:div w:id="177623656">
                  <w:marLeft w:val="0"/>
                  <w:marRight w:val="0"/>
                  <w:marTop w:val="0"/>
                  <w:marBottom w:val="0"/>
                  <w:divBdr>
                    <w:top w:val="none" w:sz="0" w:space="0" w:color="auto"/>
                    <w:left w:val="none" w:sz="0" w:space="0" w:color="auto"/>
                    <w:bottom w:val="none" w:sz="0" w:space="0" w:color="auto"/>
                    <w:right w:val="none" w:sz="0" w:space="0" w:color="auto"/>
                  </w:divBdr>
                  <w:divsChild>
                    <w:div w:id="395789160">
                      <w:marLeft w:val="0"/>
                      <w:marRight w:val="0"/>
                      <w:marTop w:val="0"/>
                      <w:marBottom w:val="0"/>
                      <w:divBdr>
                        <w:top w:val="none" w:sz="0" w:space="0" w:color="auto"/>
                        <w:left w:val="none" w:sz="0" w:space="0" w:color="auto"/>
                        <w:bottom w:val="none" w:sz="0" w:space="0" w:color="auto"/>
                        <w:right w:val="none" w:sz="0" w:space="0" w:color="auto"/>
                      </w:divBdr>
                    </w:div>
                    <w:div w:id="693002434">
                      <w:marLeft w:val="0"/>
                      <w:marRight w:val="0"/>
                      <w:marTop w:val="0"/>
                      <w:marBottom w:val="0"/>
                      <w:divBdr>
                        <w:top w:val="none" w:sz="0" w:space="0" w:color="auto"/>
                        <w:left w:val="none" w:sz="0" w:space="0" w:color="auto"/>
                        <w:bottom w:val="none" w:sz="0" w:space="0" w:color="auto"/>
                        <w:right w:val="none" w:sz="0" w:space="0" w:color="auto"/>
                      </w:divBdr>
                    </w:div>
                  </w:divsChild>
                </w:div>
                <w:div w:id="237330320">
                  <w:marLeft w:val="0"/>
                  <w:marRight w:val="0"/>
                  <w:marTop w:val="0"/>
                  <w:marBottom w:val="0"/>
                  <w:divBdr>
                    <w:top w:val="none" w:sz="0" w:space="0" w:color="auto"/>
                    <w:left w:val="none" w:sz="0" w:space="0" w:color="auto"/>
                    <w:bottom w:val="none" w:sz="0" w:space="0" w:color="auto"/>
                    <w:right w:val="none" w:sz="0" w:space="0" w:color="auto"/>
                  </w:divBdr>
                  <w:divsChild>
                    <w:div w:id="1351645146">
                      <w:marLeft w:val="0"/>
                      <w:marRight w:val="0"/>
                      <w:marTop w:val="0"/>
                      <w:marBottom w:val="0"/>
                      <w:divBdr>
                        <w:top w:val="none" w:sz="0" w:space="0" w:color="auto"/>
                        <w:left w:val="none" w:sz="0" w:space="0" w:color="auto"/>
                        <w:bottom w:val="none" w:sz="0" w:space="0" w:color="auto"/>
                        <w:right w:val="none" w:sz="0" w:space="0" w:color="auto"/>
                      </w:divBdr>
                    </w:div>
                  </w:divsChild>
                </w:div>
                <w:div w:id="310601046">
                  <w:marLeft w:val="0"/>
                  <w:marRight w:val="0"/>
                  <w:marTop w:val="0"/>
                  <w:marBottom w:val="0"/>
                  <w:divBdr>
                    <w:top w:val="none" w:sz="0" w:space="0" w:color="auto"/>
                    <w:left w:val="none" w:sz="0" w:space="0" w:color="auto"/>
                    <w:bottom w:val="none" w:sz="0" w:space="0" w:color="auto"/>
                    <w:right w:val="none" w:sz="0" w:space="0" w:color="auto"/>
                  </w:divBdr>
                  <w:divsChild>
                    <w:div w:id="1417750201">
                      <w:marLeft w:val="0"/>
                      <w:marRight w:val="0"/>
                      <w:marTop w:val="0"/>
                      <w:marBottom w:val="0"/>
                      <w:divBdr>
                        <w:top w:val="none" w:sz="0" w:space="0" w:color="auto"/>
                        <w:left w:val="none" w:sz="0" w:space="0" w:color="auto"/>
                        <w:bottom w:val="none" w:sz="0" w:space="0" w:color="auto"/>
                        <w:right w:val="none" w:sz="0" w:space="0" w:color="auto"/>
                      </w:divBdr>
                    </w:div>
                  </w:divsChild>
                </w:div>
                <w:div w:id="475033877">
                  <w:marLeft w:val="0"/>
                  <w:marRight w:val="0"/>
                  <w:marTop w:val="0"/>
                  <w:marBottom w:val="0"/>
                  <w:divBdr>
                    <w:top w:val="none" w:sz="0" w:space="0" w:color="auto"/>
                    <w:left w:val="none" w:sz="0" w:space="0" w:color="auto"/>
                    <w:bottom w:val="none" w:sz="0" w:space="0" w:color="auto"/>
                    <w:right w:val="none" w:sz="0" w:space="0" w:color="auto"/>
                  </w:divBdr>
                  <w:divsChild>
                    <w:div w:id="1880581431">
                      <w:marLeft w:val="0"/>
                      <w:marRight w:val="0"/>
                      <w:marTop w:val="0"/>
                      <w:marBottom w:val="0"/>
                      <w:divBdr>
                        <w:top w:val="none" w:sz="0" w:space="0" w:color="auto"/>
                        <w:left w:val="none" w:sz="0" w:space="0" w:color="auto"/>
                        <w:bottom w:val="none" w:sz="0" w:space="0" w:color="auto"/>
                        <w:right w:val="none" w:sz="0" w:space="0" w:color="auto"/>
                      </w:divBdr>
                    </w:div>
                  </w:divsChild>
                </w:div>
                <w:div w:id="527303792">
                  <w:marLeft w:val="0"/>
                  <w:marRight w:val="0"/>
                  <w:marTop w:val="0"/>
                  <w:marBottom w:val="0"/>
                  <w:divBdr>
                    <w:top w:val="none" w:sz="0" w:space="0" w:color="auto"/>
                    <w:left w:val="none" w:sz="0" w:space="0" w:color="auto"/>
                    <w:bottom w:val="none" w:sz="0" w:space="0" w:color="auto"/>
                    <w:right w:val="none" w:sz="0" w:space="0" w:color="auto"/>
                  </w:divBdr>
                  <w:divsChild>
                    <w:div w:id="2030180167">
                      <w:marLeft w:val="0"/>
                      <w:marRight w:val="0"/>
                      <w:marTop w:val="0"/>
                      <w:marBottom w:val="0"/>
                      <w:divBdr>
                        <w:top w:val="none" w:sz="0" w:space="0" w:color="auto"/>
                        <w:left w:val="none" w:sz="0" w:space="0" w:color="auto"/>
                        <w:bottom w:val="none" w:sz="0" w:space="0" w:color="auto"/>
                        <w:right w:val="none" w:sz="0" w:space="0" w:color="auto"/>
                      </w:divBdr>
                    </w:div>
                  </w:divsChild>
                </w:div>
                <w:div w:id="654264803">
                  <w:marLeft w:val="0"/>
                  <w:marRight w:val="0"/>
                  <w:marTop w:val="0"/>
                  <w:marBottom w:val="0"/>
                  <w:divBdr>
                    <w:top w:val="none" w:sz="0" w:space="0" w:color="auto"/>
                    <w:left w:val="none" w:sz="0" w:space="0" w:color="auto"/>
                    <w:bottom w:val="none" w:sz="0" w:space="0" w:color="auto"/>
                    <w:right w:val="none" w:sz="0" w:space="0" w:color="auto"/>
                  </w:divBdr>
                  <w:divsChild>
                    <w:div w:id="346448163">
                      <w:marLeft w:val="0"/>
                      <w:marRight w:val="0"/>
                      <w:marTop w:val="0"/>
                      <w:marBottom w:val="0"/>
                      <w:divBdr>
                        <w:top w:val="none" w:sz="0" w:space="0" w:color="auto"/>
                        <w:left w:val="none" w:sz="0" w:space="0" w:color="auto"/>
                        <w:bottom w:val="none" w:sz="0" w:space="0" w:color="auto"/>
                        <w:right w:val="none" w:sz="0" w:space="0" w:color="auto"/>
                      </w:divBdr>
                    </w:div>
                  </w:divsChild>
                </w:div>
                <w:div w:id="688726905">
                  <w:marLeft w:val="0"/>
                  <w:marRight w:val="0"/>
                  <w:marTop w:val="0"/>
                  <w:marBottom w:val="0"/>
                  <w:divBdr>
                    <w:top w:val="none" w:sz="0" w:space="0" w:color="auto"/>
                    <w:left w:val="none" w:sz="0" w:space="0" w:color="auto"/>
                    <w:bottom w:val="none" w:sz="0" w:space="0" w:color="auto"/>
                    <w:right w:val="none" w:sz="0" w:space="0" w:color="auto"/>
                  </w:divBdr>
                  <w:divsChild>
                    <w:div w:id="1787581830">
                      <w:marLeft w:val="0"/>
                      <w:marRight w:val="0"/>
                      <w:marTop w:val="0"/>
                      <w:marBottom w:val="0"/>
                      <w:divBdr>
                        <w:top w:val="none" w:sz="0" w:space="0" w:color="auto"/>
                        <w:left w:val="none" w:sz="0" w:space="0" w:color="auto"/>
                        <w:bottom w:val="none" w:sz="0" w:space="0" w:color="auto"/>
                        <w:right w:val="none" w:sz="0" w:space="0" w:color="auto"/>
                      </w:divBdr>
                    </w:div>
                  </w:divsChild>
                </w:div>
                <w:div w:id="751048529">
                  <w:marLeft w:val="0"/>
                  <w:marRight w:val="0"/>
                  <w:marTop w:val="0"/>
                  <w:marBottom w:val="0"/>
                  <w:divBdr>
                    <w:top w:val="none" w:sz="0" w:space="0" w:color="auto"/>
                    <w:left w:val="none" w:sz="0" w:space="0" w:color="auto"/>
                    <w:bottom w:val="none" w:sz="0" w:space="0" w:color="auto"/>
                    <w:right w:val="none" w:sz="0" w:space="0" w:color="auto"/>
                  </w:divBdr>
                  <w:divsChild>
                    <w:div w:id="1009141416">
                      <w:marLeft w:val="0"/>
                      <w:marRight w:val="0"/>
                      <w:marTop w:val="0"/>
                      <w:marBottom w:val="0"/>
                      <w:divBdr>
                        <w:top w:val="none" w:sz="0" w:space="0" w:color="auto"/>
                        <w:left w:val="none" w:sz="0" w:space="0" w:color="auto"/>
                        <w:bottom w:val="none" w:sz="0" w:space="0" w:color="auto"/>
                        <w:right w:val="none" w:sz="0" w:space="0" w:color="auto"/>
                      </w:divBdr>
                    </w:div>
                  </w:divsChild>
                </w:div>
                <w:div w:id="818378938">
                  <w:marLeft w:val="0"/>
                  <w:marRight w:val="0"/>
                  <w:marTop w:val="0"/>
                  <w:marBottom w:val="0"/>
                  <w:divBdr>
                    <w:top w:val="none" w:sz="0" w:space="0" w:color="auto"/>
                    <w:left w:val="none" w:sz="0" w:space="0" w:color="auto"/>
                    <w:bottom w:val="none" w:sz="0" w:space="0" w:color="auto"/>
                    <w:right w:val="none" w:sz="0" w:space="0" w:color="auto"/>
                  </w:divBdr>
                  <w:divsChild>
                    <w:div w:id="1301618268">
                      <w:marLeft w:val="0"/>
                      <w:marRight w:val="0"/>
                      <w:marTop w:val="0"/>
                      <w:marBottom w:val="0"/>
                      <w:divBdr>
                        <w:top w:val="none" w:sz="0" w:space="0" w:color="auto"/>
                        <w:left w:val="none" w:sz="0" w:space="0" w:color="auto"/>
                        <w:bottom w:val="none" w:sz="0" w:space="0" w:color="auto"/>
                        <w:right w:val="none" w:sz="0" w:space="0" w:color="auto"/>
                      </w:divBdr>
                    </w:div>
                  </w:divsChild>
                </w:div>
                <w:div w:id="819884603">
                  <w:marLeft w:val="0"/>
                  <w:marRight w:val="0"/>
                  <w:marTop w:val="0"/>
                  <w:marBottom w:val="0"/>
                  <w:divBdr>
                    <w:top w:val="none" w:sz="0" w:space="0" w:color="auto"/>
                    <w:left w:val="none" w:sz="0" w:space="0" w:color="auto"/>
                    <w:bottom w:val="none" w:sz="0" w:space="0" w:color="auto"/>
                    <w:right w:val="none" w:sz="0" w:space="0" w:color="auto"/>
                  </w:divBdr>
                  <w:divsChild>
                    <w:div w:id="37164921">
                      <w:marLeft w:val="0"/>
                      <w:marRight w:val="0"/>
                      <w:marTop w:val="0"/>
                      <w:marBottom w:val="0"/>
                      <w:divBdr>
                        <w:top w:val="none" w:sz="0" w:space="0" w:color="auto"/>
                        <w:left w:val="none" w:sz="0" w:space="0" w:color="auto"/>
                        <w:bottom w:val="none" w:sz="0" w:space="0" w:color="auto"/>
                        <w:right w:val="none" w:sz="0" w:space="0" w:color="auto"/>
                      </w:divBdr>
                    </w:div>
                    <w:div w:id="348877594">
                      <w:marLeft w:val="0"/>
                      <w:marRight w:val="0"/>
                      <w:marTop w:val="0"/>
                      <w:marBottom w:val="0"/>
                      <w:divBdr>
                        <w:top w:val="none" w:sz="0" w:space="0" w:color="auto"/>
                        <w:left w:val="none" w:sz="0" w:space="0" w:color="auto"/>
                        <w:bottom w:val="none" w:sz="0" w:space="0" w:color="auto"/>
                        <w:right w:val="none" w:sz="0" w:space="0" w:color="auto"/>
                      </w:divBdr>
                    </w:div>
                    <w:div w:id="516426529">
                      <w:marLeft w:val="0"/>
                      <w:marRight w:val="0"/>
                      <w:marTop w:val="0"/>
                      <w:marBottom w:val="0"/>
                      <w:divBdr>
                        <w:top w:val="none" w:sz="0" w:space="0" w:color="auto"/>
                        <w:left w:val="none" w:sz="0" w:space="0" w:color="auto"/>
                        <w:bottom w:val="none" w:sz="0" w:space="0" w:color="auto"/>
                        <w:right w:val="none" w:sz="0" w:space="0" w:color="auto"/>
                      </w:divBdr>
                    </w:div>
                    <w:div w:id="923222419">
                      <w:marLeft w:val="0"/>
                      <w:marRight w:val="0"/>
                      <w:marTop w:val="0"/>
                      <w:marBottom w:val="0"/>
                      <w:divBdr>
                        <w:top w:val="none" w:sz="0" w:space="0" w:color="auto"/>
                        <w:left w:val="none" w:sz="0" w:space="0" w:color="auto"/>
                        <w:bottom w:val="none" w:sz="0" w:space="0" w:color="auto"/>
                        <w:right w:val="none" w:sz="0" w:space="0" w:color="auto"/>
                      </w:divBdr>
                    </w:div>
                    <w:div w:id="1035040255">
                      <w:marLeft w:val="0"/>
                      <w:marRight w:val="0"/>
                      <w:marTop w:val="0"/>
                      <w:marBottom w:val="0"/>
                      <w:divBdr>
                        <w:top w:val="none" w:sz="0" w:space="0" w:color="auto"/>
                        <w:left w:val="none" w:sz="0" w:space="0" w:color="auto"/>
                        <w:bottom w:val="none" w:sz="0" w:space="0" w:color="auto"/>
                        <w:right w:val="none" w:sz="0" w:space="0" w:color="auto"/>
                      </w:divBdr>
                    </w:div>
                    <w:div w:id="1329795948">
                      <w:marLeft w:val="0"/>
                      <w:marRight w:val="0"/>
                      <w:marTop w:val="0"/>
                      <w:marBottom w:val="0"/>
                      <w:divBdr>
                        <w:top w:val="none" w:sz="0" w:space="0" w:color="auto"/>
                        <w:left w:val="none" w:sz="0" w:space="0" w:color="auto"/>
                        <w:bottom w:val="none" w:sz="0" w:space="0" w:color="auto"/>
                        <w:right w:val="none" w:sz="0" w:space="0" w:color="auto"/>
                      </w:divBdr>
                    </w:div>
                    <w:div w:id="1337461289">
                      <w:marLeft w:val="0"/>
                      <w:marRight w:val="0"/>
                      <w:marTop w:val="0"/>
                      <w:marBottom w:val="0"/>
                      <w:divBdr>
                        <w:top w:val="none" w:sz="0" w:space="0" w:color="auto"/>
                        <w:left w:val="none" w:sz="0" w:space="0" w:color="auto"/>
                        <w:bottom w:val="none" w:sz="0" w:space="0" w:color="auto"/>
                        <w:right w:val="none" w:sz="0" w:space="0" w:color="auto"/>
                      </w:divBdr>
                    </w:div>
                    <w:div w:id="1517384395">
                      <w:marLeft w:val="0"/>
                      <w:marRight w:val="0"/>
                      <w:marTop w:val="0"/>
                      <w:marBottom w:val="0"/>
                      <w:divBdr>
                        <w:top w:val="none" w:sz="0" w:space="0" w:color="auto"/>
                        <w:left w:val="none" w:sz="0" w:space="0" w:color="auto"/>
                        <w:bottom w:val="none" w:sz="0" w:space="0" w:color="auto"/>
                        <w:right w:val="none" w:sz="0" w:space="0" w:color="auto"/>
                      </w:divBdr>
                    </w:div>
                    <w:div w:id="1525053707">
                      <w:marLeft w:val="0"/>
                      <w:marRight w:val="0"/>
                      <w:marTop w:val="0"/>
                      <w:marBottom w:val="0"/>
                      <w:divBdr>
                        <w:top w:val="none" w:sz="0" w:space="0" w:color="auto"/>
                        <w:left w:val="none" w:sz="0" w:space="0" w:color="auto"/>
                        <w:bottom w:val="none" w:sz="0" w:space="0" w:color="auto"/>
                        <w:right w:val="none" w:sz="0" w:space="0" w:color="auto"/>
                      </w:divBdr>
                    </w:div>
                    <w:div w:id="1687562055">
                      <w:marLeft w:val="0"/>
                      <w:marRight w:val="0"/>
                      <w:marTop w:val="0"/>
                      <w:marBottom w:val="0"/>
                      <w:divBdr>
                        <w:top w:val="none" w:sz="0" w:space="0" w:color="auto"/>
                        <w:left w:val="none" w:sz="0" w:space="0" w:color="auto"/>
                        <w:bottom w:val="none" w:sz="0" w:space="0" w:color="auto"/>
                        <w:right w:val="none" w:sz="0" w:space="0" w:color="auto"/>
                      </w:divBdr>
                    </w:div>
                    <w:div w:id="1973975144">
                      <w:marLeft w:val="0"/>
                      <w:marRight w:val="0"/>
                      <w:marTop w:val="0"/>
                      <w:marBottom w:val="0"/>
                      <w:divBdr>
                        <w:top w:val="none" w:sz="0" w:space="0" w:color="auto"/>
                        <w:left w:val="none" w:sz="0" w:space="0" w:color="auto"/>
                        <w:bottom w:val="none" w:sz="0" w:space="0" w:color="auto"/>
                        <w:right w:val="none" w:sz="0" w:space="0" w:color="auto"/>
                      </w:divBdr>
                    </w:div>
                  </w:divsChild>
                </w:div>
                <w:div w:id="839197667">
                  <w:marLeft w:val="0"/>
                  <w:marRight w:val="0"/>
                  <w:marTop w:val="0"/>
                  <w:marBottom w:val="0"/>
                  <w:divBdr>
                    <w:top w:val="none" w:sz="0" w:space="0" w:color="auto"/>
                    <w:left w:val="none" w:sz="0" w:space="0" w:color="auto"/>
                    <w:bottom w:val="none" w:sz="0" w:space="0" w:color="auto"/>
                    <w:right w:val="none" w:sz="0" w:space="0" w:color="auto"/>
                  </w:divBdr>
                  <w:divsChild>
                    <w:div w:id="1732537930">
                      <w:marLeft w:val="0"/>
                      <w:marRight w:val="0"/>
                      <w:marTop w:val="0"/>
                      <w:marBottom w:val="0"/>
                      <w:divBdr>
                        <w:top w:val="none" w:sz="0" w:space="0" w:color="auto"/>
                        <w:left w:val="none" w:sz="0" w:space="0" w:color="auto"/>
                        <w:bottom w:val="none" w:sz="0" w:space="0" w:color="auto"/>
                        <w:right w:val="none" w:sz="0" w:space="0" w:color="auto"/>
                      </w:divBdr>
                    </w:div>
                  </w:divsChild>
                </w:div>
                <w:div w:id="857088575">
                  <w:marLeft w:val="0"/>
                  <w:marRight w:val="0"/>
                  <w:marTop w:val="0"/>
                  <w:marBottom w:val="0"/>
                  <w:divBdr>
                    <w:top w:val="none" w:sz="0" w:space="0" w:color="auto"/>
                    <w:left w:val="none" w:sz="0" w:space="0" w:color="auto"/>
                    <w:bottom w:val="none" w:sz="0" w:space="0" w:color="auto"/>
                    <w:right w:val="none" w:sz="0" w:space="0" w:color="auto"/>
                  </w:divBdr>
                  <w:divsChild>
                    <w:div w:id="1125388978">
                      <w:marLeft w:val="0"/>
                      <w:marRight w:val="0"/>
                      <w:marTop w:val="0"/>
                      <w:marBottom w:val="0"/>
                      <w:divBdr>
                        <w:top w:val="none" w:sz="0" w:space="0" w:color="auto"/>
                        <w:left w:val="none" w:sz="0" w:space="0" w:color="auto"/>
                        <w:bottom w:val="none" w:sz="0" w:space="0" w:color="auto"/>
                        <w:right w:val="none" w:sz="0" w:space="0" w:color="auto"/>
                      </w:divBdr>
                    </w:div>
                  </w:divsChild>
                </w:div>
                <w:div w:id="957377396">
                  <w:marLeft w:val="0"/>
                  <w:marRight w:val="0"/>
                  <w:marTop w:val="0"/>
                  <w:marBottom w:val="0"/>
                  <w:divBdr>
                    <w:top w:val="none" w:sz="0" w:space="0" w:color="auto"/>
                    <w:left w:val="none" w:sz="0" w:space="0" w:color="auto"/>
                    <w:bottom w:val="none" w:sz="0" w:space="0" w:color="auto"/>
                    <w:right w:val="none" w:sz="0" w:space="0" w:color="auto"/>
                  </w:divBdr>
                  <w:divsChild>
                    <w:div w:id="1377121132">
                      <w:marLeft w:val="0"/>
                      <w:marRight w:val="0"/>
                      <w:marTop w:val="0"/>
                      <w:marBottom w:val="0"/>
                      <w:divBdr>
                        <w:top w:val="none" w:sz="0" w:space="0" w:color="auto"/>
                        <w:left w:val="none" w:sz="0" w:space="0" w:color="auto"/>
                        <w:bottom w:val="none" w:sz="0" w:space="0" w:color="auto"/>
                        <w:right w:val="none" w:sz="0" w:space="0" w:color="auto"/>
                      </w:divBdr>
                    </w:div>
                    <w:div w:id="1452433463">
                      <w:marLeft w:val="0"/>
                      <w:marRight w:val="0"/>
                      <w:marTop w:val="0"/>
                      <w:marBottom w:val="0"/>
                      <w:divBdr>
                        <w:top w:val="none" w:sz="0" w:space="0" w:color="auto"/>
                        <w:left w:val="none" w:sz="0" w:space="0" w:color="auto"/>
                        <w:bottom w:val="none" w:sz="0" w:space="0" w:color="auto"/>
                        <w:right w:val="none" w:sz="0" w:space="0" w:color="auto"/>
                      </w:divBdr>
                    </w:div>
                  </w:divsChild>
                </w:div>
                <w:div w:id="985159568">
                  <w:marLeft w:val="0"/>
                  <w:marRight w:val="0"/>
                  <w:marTop w:val="0"/>
                  <w:marBottom w:val="0"/>
                  <w:divBdr>
                    <w:top w:val="none" w:sz="0" w:space="0" w:color="auto"/>
                    <w:left w:val="none" w:sz="0" w:space="0" w:color="auto"/>
                    <w:bottom w:val="none" w:sz="0" w:space="0" w:color="auto"/>
                    <w:right w:val="none" w:sz="0" w:space="0" w:color="auto"/>
                  </w:divBdr>
                  <w:divsChild>
                    <w:div w:id="70391190">
                      <w:marLeft w:val="0"/>
                      <w:marRight w:val="0"/>
                      <w:marTop w:val="0"/>
                      <w:marBottom w:val="0"/>
                      <w:divBdr>
                        <w:top w:val="none" w:sz="0" w:space="0" w:color="auto"/>
                        <w:left w:val="none" w:sz="0" w:space="0" w:color="auto"/>
                        <w:bottom w:val="none" w:sz="0" w:space="0" w:color="auto"/>
                        <w:right w:val="none" w:sz="0" w:space="0" w:color="auto"/>
                      </w:divBdr>
                    </w:div>
                  </w:divsChild>
                </w:div>
                <w:div w:id="1088771991">
                  <w:marLeft w:val="0"/>
                  <w:marRight w:val="0"/>
                  <w:marTop w:val="0"/>
                  <w:marBottom w:val="0"/>
                  <w:divBdr>
                    <w:top w:val="none" w:sz="0" w:space="0" w:color="auto"/>
                    <w:left w:val="none" w:sz="0" w:space="0" w:color="auto"/>
                    <w:bottom w:val="none" w:sz="0" w:space="0" w:color="auto"/>
                    <w:right w:val="none" w:sz="0" w:space="0" w:color="auto"/>
                  </w:divBdr>
                  <w:divsChild>
                    <w:div w:id="51731714">
                      <w:marLeft w:val="0"/>
                      <w:marRight w:val="0"/>
                      <w:marTop w:val="0"/>
                      <w:marBottom w:val="0"/>
                      <w:divBdr>
                        <w:top w:val="none" w:sz="0" w:space="0" w:color="auto"/>
                        <w:left w:val="none" w:sz="0" w:space="0" w:color="auto"/>
                        <w:bottom w:val="none" w:sz="0" w:space="0" w:color="auto"/>
                        <w:right w:val="none" w:sz="0" w:space="0" w:color="auto"/>
                      </w:divBdr>
                    </w:div>
                  </w:divsChild>
                </w:div>
                <w:div w:id="1186403042">
                  <w:marLeft w:val="0"/>
                  <w:marRight w:val="0"/>
                  <w:marTop w:val="0"/>
                  <w:marBottom w:val="0"/>
                  <w:divBdr>
                    <w:top w:val="none" w:sz="0" w:space="0" w:color="auto"/>
                    <w:left w:val="none" w:sz="0" w:space="0" w:color="auto"/>
                    <w:bottom w:val="none" w:sz="0" w:space="0" w:color="auto"/>
                    <w:right w:val="none" w:sz="0" w:space="0" w:color="auto"/>
                  </w:divBdr>
                  <w:divsChild>
                    <w:div w:id="1335958331">
                      <w:marLeft w:val="0"/>
                      <w:marRight w:val="0"/>
                      <w:marTop w:val="0"/>
                      <w:marBottom w:val="0"/>
                      <w:divBdr>
                        <w:top w:val="none" w:sz="0" w:space="0" w:color="auto"/>
                        <w:left w:val="none" w:sz="0" w:space="0" w:color="auto"/>
                        <w:bottom w:val="none" w:sz="0" w:space="0" w:color="auto"/>
                        <w:right w:val="none" w:sz="0" w:space="0" w:color="auto"/>
                      </w:divBdr>
                    </w:div>
                  </w:divsChild>
                </w:div>
                <w:div w:id="1228421239">
                  <w:marLeft w:val="0"/>
                  <w:marRight w:val="0"/>
                  <w:marTop w:val="0"/>
                  <w:marBottom w:val="0"/>
                  <w:divBdr>
                    <w:top w:val="none" w:sz="0" w:space="0" w:color="auto"/>
                    <w:left w:val="none" w:sz="0" w:space="0" w:color="auto"/>
                    <w:bottom w:val="none" w:sz="0" w:space="0" w:color="auto"/>
                    <w:right w:val="none" w:sz="0" w:space="0" w:color="auto"/>
                  </w:divBdr>
                  <w:divsChild>
                    <w:div w:id="1055466000">
                      <w:marLeft w:val="0"/>
                      <w:marRight w:val="0"/>
                      <w:marTop w:val="0"/>
                      <w:marBottom w:val="0"/>
                      <w:divBdr>
                        <w:top w:val="none" w:sz="0" w:space="0" w:color="auto"/>
                        <w:left w:val="none" w:sz="0" w:space="0" w:color="auto"/>
                        <w:bottom w:val="none" w:sz="0" w:space="0" w:color="auto"/>
                        <w:right w:val="none" w:sz="0" w:space="0" w:color="auto"/>
                      </w:divBdr>
                    </w:div>
                  </w:divsChild>
                </w:div>
                <w:div w:id="1445618069">
                  <w:marLeft w:val="0"/>
                  <w:marRight w:val="0"/>
                  <w:marTop w:val="0"/>
                  <w:marBottom w:val="0"/>
                  <w:divBdr>
                    <w:top w:val="none" w:sz="0" w:space="0" w:color="auto"/>
                    <w:left w:val="none" w:sz="0" w:space="0" w:color="auto"/>
                    <w:bottom w:val="none" w:sz="0" w:space="0" w:color="auto"/>
                    <w:right w:val="none" w:sz="0" w:space="0" w:color="auto"/>
                  </w:divBdr>
                  <w:divsChild>
                    <w:div w:id="792210727">
                      <w:marLeft w:val="0"/>
                      <w:marRight w:val="0"/>
                      <w:marTop w:val="0"/>
                      <w:marBottom w:val="0"/>
                      <w:divBdr>
                        <w:top w:val="none" w:sz="0" w:space="0" w:color="auto"/>
                        <w:left w:val="none" w:sz="0" w:space="0" w:color="auto"/>
                        <w:bottom w:val="none" w:sz="0" w:space="0" w:color="auto"/>
                        <w:right w:val="none" w:sz="0" w:space="0" w:color="auto"/>
                      </w:divBdr>
                    </w:div>
                  </w:divsChild>
                </w:div>
                <w:div w:id="1448235492">
                  <w:marLeft w:val="0"/>
                  <w:marRight w:val="0"/>
                  <w:marTop w:val="0"/>
                  <w:marBottom w:val="0"/>
                  <w:divBdr>
                    <w:top w:val="none" w:sz="0" w:space="0" w:color="auto"/>
                    <w:left w:val="none" w:sz="0" w:space="0" w:color="auto"/>
                    <w:bottom w:val="none" w:sz="0" w:space="0" w:color="auto"/>
                    <w:right w:val="none" w:sz="0" w:space="0" w:color="auto"/>
                  </w:divBdr>
                  <w:divsChild>
                    <w:div w:id="582841204">
                      <w:marLeft w:val="0"/>
                      <w:marRight w:val="0"/>
                      <w:marTop w:val="0"/>
                      <w:marBottom w:val="0"/>
                      <w:divBdr>
                        <w:top w:val="none" w:sz="0" w:space="0" w:color="auto"/>
                        <w:left w:val="none" w:sz="0" w:space="0" w:color="auto"/>
                        <w:bottom w:val="none" w:sz="0" w:space="0" w:color="auto"/>
                        <w:right w:val="none" w:sz="0" w:space="0" w:color="auto"/>
                      </w:divBdr>
                    </w:div>
                  </w:divsChild>
                </w:div>
                <w:div w:id="1530408233">
                  <w:marLeft w:val="0"/>
                  <w:marRight w:val="0"/>
                  <w:marTop w:val="0"/>
                  <w:marBottom w:val="0"/>
                  <w:divBdr>
                    <w:top w:val="none" w:sz="0" w:space="0" w:color="auto"/>
                    <w:left w:val="none" w:sz="0" w:space="0" w:color="auto"/>
                    <w:bottom w:val="none" w:sz="0" w:space="0" w:color="auto"/>
                    <w:right w:val="none" w:sz="0" w:space="0" w:color="auto"/>
                  </w:divBdr>
                  <w:divsChild>
                    <w:div w:id="1756047021">
                      <w:marLeft w:val="0"/>
                      <w:marRight w:val="0"/>
                      <w:marTop w:val="0"/>
                      <w:marBottom w:val="0"/>
                      <w:divBdr>
                        <w:top w:val="none" w:sz="0" w:space="0" w:color="auto"/>
                        <w:left w:val="none" w:sz="0" w:space="0" w:color="auto"/>
                        <w:bottom w:val="none" w:sz="0" w:space="0" w:color="auto"/>
                        <w:right w:val="none" w:sz="0" w:space="0" w:color="auto"/>
                      </w:divBdr>
                    </w:div>
                  </w:divsChild>
                </w:div>
                <w:div w:id="1579291913">
                  <w:marLeft w:val="0"/>
                  <w:marRight w:val="0"/>
                  <w:marTop w:val="0"/>
                  <w:marBottom w:val="0"/>
                  <w:divBdr>
                    <w:top w:val="none" w:sz="0" w:space="0" w:color="auto"/>
                    <w:left w:val="none" w:sz="0" w:space="0" w:color="auto"/>
                    <w:bottom w:val="none" w:sz="0" w:space="0" w:color="auto"/>
                    <w:right w:val="none" w:sz="0" w:space="0" w:color="auto"/>
                  </w:divBdr>
                  <w:divsChild>
                    <w:div w:id="378745348">
                      <w:marLeft w:val="0"/>
                      <w:marRight w:val="0"/>
                      <w:marTop w:val="0"/>
                      <w:marBottom w:val="0"/>
                      <w:divBdr>
                        <w:top w:val="none" w:sz="0" w:space="0" w:color="auto"/>
                        <w:left w:val="none" w:sz="0" w:space="0" w:color="auto"/>
                        <w:bottom w:val="none" w:sz="0" w:space="0" w:color="auto"/>
                        <w:right w:val="none" w:sz="0" w:space="0" w:color="auto"/>
                      </w:divBdr>
                    </w:div>
                  </w:divsChild>
                </w:div>
                <w:div w:id="1665545960">
                  <w:marLeft w:val="0"/>
                  <w:marRight w:val="0"/>
                  <w:marTop w:val="0"/>
                  <w:marBottom w:val="0"/>
                  <w:divBdr>
                    <w:top w:val="none" w:sz="0" w:space="0" w:color="auto"/>
                    <w:left w:val="none" w:sz="0" w:space="0" w:color="auto"/>
                    <w:bottom w:val="none" w:sz="0" w:space="0" w:color="auto"/>
                    <w:right w:val="none" w:sz="0" w:space="0" w:color="auto"/>
                  </w:divBdr>
                  <w:divsChild>
                    <w:div w:id="1112285479">
                      <w:marLeft w:val="0"/>
                      <w:marRight w:val="0"/>
                      <w:marTop w:val="0"/>
                      <w:marBottom w:val="0"/>
                      <w:divBdr>
                        <w:top w:val="none" w:sz="0" w:space="0" w:color="auto"/>
                        <w:left w:val="none" w:sz="0" w:space="0" w:color="auto"/>
                        <w:bottom w:val="none" w:sz="0" w:space="0" w:color="auto"/>
                        <w:right w:val="none" w:sz="0" w:space="0" w:color="auto"/>
                      </w:divBdr>
                    </w:div>
                  </w:divsChild>
                </w:div>
                <w:div w:id="1681740324">
                  <w:marLeft w:val="0"/>
                  <w:marRight w:val="0"/>
                  <w:marTop w:val="0"/>
                  <w:marBottom w:val="0"/>
                  <w:divBdr>
                    <w:top w:val="none" w:sz="0" w:space="0" w:color="auto"/>
                    <w:left w:val="none" w:sz="0" w:space="0" w:color="auto"/>
                    <w:bottom w:val="none" w:sz="0" w:space="0" w:color="auto"/>
                    <w:right w:val="none" w:sz="0" w:space="0" w:color="auto"/>
                  </w:divBdr>
                  <w:divsChild>
                    <w:div w:id="1261719744">
                      <w:marLeft w:val="0"/>
                      <w:marRight w:val="0"/>
                      <w:marTop w:val="0"/>
                      <w:marBottom w:val="0"/>
                      <w:divBdr>
                        <w:top w:val="none" w:sz="0" w:space="0" w:color="auto"/>
                        <w:left w:val="none" w:sz="0" w:space="0" w:color="auto"/>
                        <w:bottom w:val="none" w:sz="0" w:space="0" w:color="auto"/>
                        <w:right w:val="none" w:sz="0" w:space="0" w:color="auto"/>
                      </w:divBdr>
                    </w:div>
                  </w:divsChild>
                </w:div>
                <w:div w:id="1684744752">
                  <w:marLeft w:val="0"/>
                  <w:marRight w:val="0"/>
                  <w:marTop w:val="0"/>
                  <w:marBottom w:val="0"/>
                  <w:divBdr>
                    <w:top w:val="none" w:sz="0" w:space="0" w:color="auto"/>
                    <w:left w:val="none" w:sz="0" w:space="0" w:color="auto"/>
                    <w:bottom w:val="none" w:sz="0" w:space="0" w:color="auto"/>
                    <w:right w:val="none" w:sz="0" w:space="0" w:color="auto"/>
                  </w:divBdr>
                  <w:divsChild>
                    <w:div w:id="867066122">
                      <w:marLeft w:val="0"/>
                      <w:marRight w:val="0"/>
                      <w:marTop w:val="0"/>
                      <w:marBottom w:val="0"/>
                      <w:divBdr>
                        <w:top w:val="none" w:sz="0" w:space="0" w:color="auto"/>
                        <w:left w:val="none" w:sz="0" w:space="0" w:color="auto"/>
                        <w:bottom w:val="none" w:sz="0" w:space="0" w:color="auto"/>
                        <w:right w:val="none" w:sz="0" w:space="0" w:color="auto"/>
                      </w:divBdr>
                    </w:div>
                  </w:divsChild>
                </w:div>
                <w:div w:id="1772822989">
                  <w:marLeft w:val="0"/>
                  <w:marRight w:val="0"/>
                  <w:marTop w:val="0"/>
                  <w:marBottom w:val="0"/>
                  <w:divBdr>
                    <w:top w:val="none" w:sz="0" w:space="0" w:color="auto"/>
                    <w:left w:val="none" w:sz="0" w:space="0" w:color="auto"/>
                    <w:bottom w:val="none" w:sz="0" w:space="0" w:color="auto"/>
                    <w:right w:val="none" w:sz="0" w:space="0" w:color="auto"/>
                  </w:divBdr>
                  <w:divsChild>
                    <w:div w:id="445348692">
                      <w:marLeft w:val="0"/>
                      <w:marRight w:val="0"/>
                      <w:marTop w:val="0"/>
                      <w:marBottom w:val="0"/>
                      <w:divBdr>
                        <w:top w:val="none" w:sz="0" w:space="0" w:color="auto"/>
                        <w:left w:val="none" w:sz="0" w:space="0" w:color="auto"/>
                        <w:bottom w:val="none" w:sz="0" w:space="0" w:color="auto"/>
                        <w:right w:val="none" w:sz="0" w:space="0" w:color="auto"/>
                      </w:divBdr>
                    </w:div>
                    <w:div w:id="1580944306">
                      <w:marLeft w:val="0"/>
                      <w:marRight w:val="0"/>
                      <w:marTop w:val="0"/>
                      <w:marBottom w:val="0"/>
                      <w:divBdr>
                        <w:top w:val="none" w:sz="0" w:space="0" w:color="auto"/>
                        <w:left w:val="none" w:sz="0" w:space="0" w:color="auto"/>
                        <w:bottom w:val="none" w:sz="0" w:space="0" w:color="auto"/>
                        <w:right w:val="none" w:sz="0" w:space="0" w:color="auto"/>
                      </w:divBdr>
                    </w:div>
                    <w:div w:id="2054885526">
                      <w:marLeft w:val="0"/>
                      <w:marRight w:val="0"/>
                      <w:marTop w:val="0"/>
                      <w:marBottom w:val="0"/>
                      <w:divBdr>
                        <w:top w:val="none" w:sz="0" w:space="0" w:color="auto"/>
                        <w:left w:val="none" w:sz="0" w:space="0" w:color="auto"/>
                        <w:bottom w:val="none" w:sz="0" w:space="0" w:color="auto"/>
                        <w:right w:val="none" w:sz="0" w:space="0" w:color="auto"/>
                      </w:divBdr>
                    </w:div>
                  </w:divsChild>
                </w:div>
                <w:div w:id="1784498434">
                  <w:marLeft w:val="0"/>
                  <w:marRight w:val="0"/>
                  <w:marTop w:val="0"/>
                  <w:marBottom w:val="0"/>
                  <w:divBdr>
                    <w:top w:val="none" w:sz="0" w:space="0" w:color="auto"/>
                    <w:left w:val="none" w:sz="0" w:space="0" w:color="auto"/>
                    <w:bottom w:val="none" w:sz="0" w:space="0" w:color="auto"/>
                    <w:right w:val="none" w:sz="0" w:space="0" w:color="auto"/>
                  </w:divBdr>
                  <w:divsChild>
                    <w:div w:id="2046368692">
                      <w:marLeft w:val="0"/>
                      <w:marRight w:val="0"/>
                      <w:marTop w:val="0"/>
                      <w:marBottom w:val="0"/>
                      <w:divBdr>
                        <w:top w:val="none" w:sz="0" w:space="0" w:color="auto"/>
                        <w:left w:val="none" w:sz="0" w:space="0" w:color="auto"/>
                        <w:bottom w:val="none" w:sz="0" w:space="0" w:color="auto"/>
                        <w:right w:val="none" w:sz="0" w:space="0" w:color="auto"/>
                      </w:divBdr>
                    </w:div>
                  </w:divsChild>
                </w:div>
                <w:div w:id="2063559615">
                  <w:marLeft w:val="0"/>
                  <w:marRight w:val="0"/>
                  <w:marTop w:val="0"/>
                  <w:marBottom w:val="0"/>
                  <w:divBdr>
                    <w:top w:val="none" w:sz="0" w:space="0" w:color="auto"/>
                    <w:left w:val="none" w:sz="0" w:space="0" w:color="auto"/>
                    <w:bottom w:val="none" w:sz="0" w:space="0" w:color="auto"/>
                    <w:right w:val="none" w:sz="0" w:space="0" w:color="auto"/>
                  </w:divBdr>
                  <w:divsChild>
                    <w:div w:id="796067560">
                      <w:marLeft w:val="0"/>
                      <w:marRight w:val="0"/>
                      <w:marTop w:val="0"/>
                      <w:marBottom w:val="0"/>
                      <w:divBdr>
                        <w:top w:val="none" w:sz="0" w:space="0" w:color="auto"/>
                        <w:left w:val="none" w:sz="0" w:space="0" w:color="auto"/>
                        <w:bottom w:val="none" w:sz="0" w:space="0" w:color="auto"/>
                        <w:right w:val="none" w:sz="0" w:space="0" w:color="auto"/>
                      </w:divBdr>
                    </w:div>
                  </w:divsChild>
                </w:div>
                <w:div w:id="2133017487">
                  <w:marLeft w:val="0"/>
                  <w:marRight w:val="0"/>
                  <w:marTop w:val="0"/>
                  <w:marBottom w:val="0"/>
                  <w:divBdr>
                    <w:top w:val="none" w:sz="0" w:space="0" w:color="auto"/>
                    <w:left w:val="none" w:sz="0" w:space="0" w:color="auto"/>
                    <w:bottom w:val="none" w:sz="0" w:space="0" w:color="auto"/>
                    <w:right w:val="none" w:sz="0" w:space="0" w:color="auto"/>
                  </w:divBdr>
                  <w:divsChild>
                    <w:div w:id="172879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67360">
          <w:marLeft w:val="0"/>
          <w:marRight w:val="0"/>
          <w:marTop w:val="0"/>
          <w:marBottom w:val="0"/>
          <w:divBdr>
            <w:top w:val="none" w:sz="0" w:space="0" w:color="auto"/>
            <w:left w:val="none" w:sz="0" w:space="0" w:color="auto"/>
            <w:bottom w:val="none" w:sz="0" w:space="0" w:color="auto"/>
            <w:right w:val="none" w:sz="0" w:space="0" w:color="auto"/>
          </w:divBdr>
        </w:div>
      </w:divsChild>
    </w:div>
    <w:div w:id="1802456344">
      <w:bodyDiv w:val="1"/>
      <w:marLeft w:val="0"/>
      <w:marRight w:val="0"/>
      <w:marTop w:val="0"/>
      <w:marBottom w:val="0"/>
      <w:divBdr>
        <w:top w:val="none" w:sz="0" w:space="0" w:color="auto"/>
        <w:left w:val="none" w:sz="0" w:space="0" w:color="auto"/>
        <w:bottom w:val="none" w:sz="0" w:space="0" w:color="auto"/>
        <w:right w:val="none" w:sz="0" w:space="0" w:color="auto"/>
      </w:divBdr>
    </w:div>
    <w:div w:id="1870794351">
      <w:bodyDiv w:val="1"/>
      <w:marLeft w:val="0"/>
      <w:marRight w:val="0"/>
      <w:marTop w:val="0"/>
      <w:marBottom w:val="0"/>
      <w:divBdr>
        <w:top w:val="none" w:sz="0" w:space="0" w:color="auto"/>
        <w:left w:val="none" w:sz="0" w:space="0" w:color="auto"/>
        <w:bottom w:val="none" w:sz="0" w:space="0" w:color="auto"/>
        <w:right w:val="none" w:sz="0" w:space="0" w:color="auto"/>
      </w:divBdr>
    </w:div>
    <w:div w:id="208876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collections/quarterly-financial-snapshot-of-the-aged-care-secto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resources/publications/financial-report-on-the-australian-aged-care-sector-2021-22?language=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webinars/greater-transparency-about-aged-care-providers-and-services-upcoming-reporting-requiremen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4876c76-5897-4d5d-ac80-954d0599e137">
      <UserInfo>
        <DisplayName>SVENSSON, Garry</DisplayName>
        <AccountId>214</AccountId>
        <AccountType/>
      </UserInfo>
    </SharedWithUsers>
    <TaxCatchAll xmlns="c4876c76-5897-4d5d-ac80-954d0599e137" xsi:nil="true"/>
    <lcf76f155ced4ddcb4097134ff3c332f xmlns="01920aa1-7832-453e-a147-98c77996387c">
      <Terms xmlns="http://schemas.microsoft.com/office/infopath/2007/PartnerControls"/>
    </lcf76f155ced4ddcb4097134ff3c332f>
    <Status xmlns="01920aa1-7832-453e-a147-98c77996387c">Draft</Statu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E71144B0A72D48BAD5085EFC329F68" ma:contentTypeVersion="16" ma:contentTypeDescription="Create a new document." ma:contentTypeScope="" ma:versionID="ec5c6f4d36d691efa9ec93d84e679c55">
  <xsd:schema xmlns:xsd="http://www.w3.org/2001/XMLSchema" xmlns:xs="http://www.w3.org/2001/XMLSchema" xmlns:p="http://schemas.microsoft.com/office/2006/metadata/properties" xmlns:ns2="01920aa1-7832-453e-a147-98c77996387c" xmlns:ns3="c4876c76-5897-4d5d-ac80-954d0599e137" targetNamespace="http://schemas.microsoft.com/office/2006/metadata/properties" ma:root="true" ma:fieldsID="166a512f3f5bf3fc0923f4065f288def" ns2:_="" ns3:_="">
    <xsd:import namespace="01920aa1-7832-453e-a147-98c77996387c"/>
    <xsd:import namespace="c4876c76-5897-4d5d-ac80-954d0599e1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20aa1-7832-453e-a147-98c779963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Status" ma:index="23" nillable="true" ma:displayName="Status" ma:default="Draft" ma:description="The status of the document." ma:format="Dropdown" ma:internalName="Status">
      <xsd:simpleType>
        <xsd:restriction base="dms:Choice">
          <xsd:enumeration value="Draft"/>
          <xsd:enumeration value="Peer Review"/>
          <xsd:enumeration value="Ready for Review"/>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d8fdd3-9a13-4991-bca6-b41b1946ae43}" ma:internalName="TaxCatchAll" ma:showField="CatchAllData" ma:web="c4876c76-5897-4d5d-ac80-954d0599e1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A27801-8554-E843-8F95-A508B3213042}">
  <ds:schemaRefs>
    <ds:schemaRef ds:uri="http://schemas.openxmlformats.org/officeDocument/2006/bibliography"/>
  </ds:schemaRefs>
</ds:datastoreItem>
</file>

<file path=customXml/itemProps2.xml><?xml version="1.0" encoding="utf-8"?>
<ds:datastoreItem xmlns:ds="http://schemas.openxmlformats.org/officeDocument/2006/customXml" ds:itemID="{A40A4526-3B1A-4483-BC33-A89599EBB9EF}">
  <ds:schemaRefs>
    <ds:schemaRef ds:uri="http://schemas.microsoft.com/sharepoint/v3/contenttype/forms"/>
  </ds:schemaRefs>
</ds:datastoreItem>
</file>

<file path=customXml/itemProps3.xml><?xml version="1.0" encoding="utf-8"?>
<ds:datastoreItem xmlns:ds="http://schemas.openxmlformats.org/officeDocument/2006/customXml" ds:itemID="{0A071644-DA3E-4CB8-B19E-2F3DF50FA85E}">
  <ds:schemaRefs>
    <ds:schemaRef ds:uri="http://purl.org/dc/terms/"/>
    <ds:schemaRef ds:uri="http://schemas.microsoft.com/office/2006/documentManagement/types"/>
    <ds:schemaRef ds:uri="http://schemas.microsoft.com/office/2006/metadata/properties"/>
    <ds:schemaRef ds:uri="http://purl.org/dc/elements/1.1/"/>
    <ds:schemaRef ds:uri="c4876c76-5897-4d5d-ac80-954d0599e137"/>
    <ds:schemaRef ds:uri="01920aa1-7832-453e-a147-98c77996387c"/>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3E9F71B-8B0A-4C16-8652-CD98FB688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20aa1-7832-453e-a147-98c77996387c"/>
    <ds:schemaRef ds:uri="c4876c76-5897-4d5d-ac80-954d0599e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1643</Words>
  <Characters>9366</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Australian Government Department of Health and Aged Care</Company>
  <LinksUpToDate>false</LinksUpToDate>
  <CharactersWithSpaces>10988</CharactersWithSpaces>
  <SharedDoc>false</SharedDoc>
  <HLinks>
    <vt:vector size="252" baseType="variant">
      <vt:variant>
        <vt:i4>1310792</vt:i4>
      </vt:variant>
      <vt:variant>
        <vt:i4>183</vt:i4>
      </vt:variant>
      <vt:variant>
        <vt:i4>0</vt:i4>
      </vt:variant>
      <vt:variant>
        <vt:i4>5</vt:i4>
      </vt:variant>
      <vt:variant>
        <vt:lpwstr>https://www.health.gov.au/topics/aged-care-workforce/what-were-doing/better-and-fairer-wages</vt:lpwstr>
      </vt:variant>
      <vt:variant>
        <vt:lpwstr/>
      </vt:variant>
      <vt:variant>
        <vt:i4>6684707</vt:i4>
      </vt:variant>
      <vt:variant>
        <vt:i4>180</vt:i4>
      </vt:variant>
      <vt:variant>
        <vt:i4>0</vt:i4>
      </vt:variant>
      <vt:variant>
        <vt:i4>5</vt:i4>
      </vt:variant>
      <vt:variant>
        <vt:lpwstr>https://www.health.gov.au/resources/collections/government-provider-management-system-resources</vt:lpwstr>
      </vt:variant>
      <vt:variant>
        <vt:lpwstr/>
      </vt:variant>
      <vt:variant>
        <vt:i4>2228276</vt:i4>
      </vt:variant>
      <vt:variant>
        <vt:i4>177</vt:i4>
      </vt:variant>
      <vt:variant>
        <vt:i4>0</vt:i4>
      </vt:variant>
      <vt:variant>
        <vt:i4>5</vt:i4>
      </vt:variant>
      <vt:variant>
        <vt:lpwstr>https://health.formsadministration.com.au/dss.nsf/home.xsp</vt:lpwstr>
      </vt:variant>
      <vt:variant>
        <vt:lpwstr/>
      </vt:variant>
      <vt:variant>
        <vt:i4>7733371</vt:i4>
      </vt:variant>
      <vt:variant>
        <vt:i4>174</vt:i4>
      </vt:variant>
      <vt:variant>
        <vt:i4>0</vt:i4>
      </vt:variant>
      <vt:variant>
        <vt:i4>5</vt:i4>
      </vt:variant>
      <vt:variant>
        <vt:lpwstr>https://www.health.gov.au/topics/aged-care/aged-care-reforms-and-reviews/strengthening-provider-governance-in-aged-care</vt:lpwstr>
      </vt:variant>
      <vt:variant>
        <vt:lpwstr/>
      </vt:variant>
      <vt:variant>
        <vt:i4>4587526</vt:i4>
      </vt:variant>
      <vt:variant>
        <vt:i4>171</vt:i4>
      </vt:variant>
      <vt:variant>
        <vt:i4>0</vt:i4>
      </vt:variant>
      <vt:variant>
        <vt:i4>5</vt:i4>
      </vt:variant>
      <vt:variant>
        <vt:lpwstr>https://www.health.gov.au/resources/collections/strengthening-provider-governance-in-aged-care-resources</vt:lpwstr>
      </vt:variant>
      <vt:variant>
        <vt:lpwstr/>
      </vt:variant>
      <vt:variant>
        <vt:i4>65656</vt:i4>
      </vt:variant>
      <vt:variant>
        <vt:i4>168</vt:i4>
      </vt:variant>
      <vt:variant>
        <vt:i4>0</vt:i4>
      </vt:variant>
      <vt:variant>
        <vt:i4>5</vt:i4>
      </vt:variant>
      <vt:variant>
        <vt:lpwstr>mailto:tcp@health.gov.au</vt:lpwstr>
      </vt:variant>
      <vt:variant>
        <vt:lpwstr/>
      </vt:variant>
      <vt:variant>
        <vt:i4>65656</vt:i4>
      </vt:variant>
      <vt:variant>
        <vt:i4>165</vt:i4>
      </vt:variant>
      <vt:variant>
        <vt:i4>0</vt:i4>
      </vt:variant>
      <vt:variant>
        <vt:i4>5</vt:i4>
      </vt:variant>
      <vt:variant>
        <vt:lpwstr>mailto:tcp@health.gov.au</vt:lpwstr>
      </vt:variant>
      <vt:variant>
        <vt:lpwstr/>
      </vt:variant>
      <vt:variant>
        <vt:i4>7012478</vt:i4>
      </vt:variant>
      <vt:variant>
        <vt:i4>162</vt:i4>
      </vt:variant>
      <vt:variant>
        <vt:i4>0</vt:i4>
      </vt:variant>
      <vt:variant>
        <vt:i4>5</vt:i4>
      </vt:variant>
      <vt:variant>
        <vt:lpwstr>https://www.health.gov.au/resources/publications/provider-operations-reporting-faqs</vt:lpwstr>
      </vt:variant>
      <vt:variant>
        <vt:lpwstr/>
      </vt:variant>
      <vt:variant>
        <vt:i4>3211312</vt:i4>
      </vt:variant>
      <vt:variant>
        <vt:i4>159</vt:i4>
      </vt:variant>
      <vt:variant>
        <vt:i4>0</vt:i4>
      </vt:variant>
      <vt:variant>
        <vt:i4>5</vt:i4>
      </vt:variant>
      <vt:variant>
        <vt:lpwstr>https://www.health.gov.au/resources/publications/gpms-user-guide-provider-operations-reporting</vt:lpwstr>
      </vt:variant>
      <vt:variant>
        <vt:lpwstr/>
      </vt:variant>
      <vt:variant>
        <vt:i4>6684707</vt:i4>
      </vt:variant>
      <vt:variant>
        <vt:i4>156</vt:i4>
      </vt:variant>
      <vt:variant>
        <vt:i4>0</vt:i4>
      </vt:variant>
      <vt:variant>
        <vt:i4>5</vt:i4>
      </vt:variant>
      <vt:variant>
        <vt:lpwstr>https://www.health.gov.au/resources/collections/government-provider-management-system-resources</vt:lpwstr>
      </vt:variant>
      <vt:variant>
        <vt:lpwstr/>
      </vt:variant>
      <vt:variant>
        <vt:i4>6357116</vt:i4>
      </vt:variant>
      <vt:variant>
        <vt:i4>153</vt:i4>
      </vt:variant>
      <vt:variant>
        <vt:i4>0</vt:i4>
      </vt:variant>
      <vt:variant>
        <vt:i4>5</vt:i4>
      </vt:variant>
      <vt:variant>
        <vt:lpwstr>https://www.health.gov.au/our-work/government-provider-management-system-gpms/accessing</vt:lpwstr>
      </vt:variant>
      <vt:variant>
        <vt:lpwstr/>
      </vt:variant>
      <vt:variant>
        <vt:i4>3539059</vt:i4>
      </vt:variant>
      <vt:variant>
        <vt:i4>150</vt:i4>
      </vt:variant>
      <vt:variant>
        <vt:i4>0</vt:i4>
      </vt:variant>
      <vt:variant>
        <vt:i4>5</vt:i4>
      </vt:variant>
      <vt:variant>
        <vt:lpwstr>Aged Care Act 1997 (legislation.gov.au)</vt:lpwstr>
      </vt:variant>
      <vt:variant>
        <vt:lpwstr/>
      </vt:variant>
      <vt:variant>
        <vt:i4>7995489</vt:i4>
      </vt:variant>
      <vt:variant>
        <vt:i4>147</vt:i4>
      </vt:variant>
      <vt:variant>
        <vt:i4>0</vt:i4>
      </vt:variant>
      <vt:variant>
        <vt:i4>5</vt:i4>
      </vt:variant>
      <vt:variant>
        <vt:lpwstr>https://www.agedcarequality.gov.au/news-centre/quality-bulletin</vt:lpwstr>
      </vt:variant>
      <vt:variant>
        <vt:lpwstr/>
      </vt:variant>
      <vt:variant>
        <vt:i4>1441815</vt:i4>
      </vt:variant>
      <vt:variant>
        <vt:i4>144</vt:i4>
      </vt:variant>
      <vt:variant>
        <vt:i4>0</vt:i4>
      </vt:variant>
      <vt:variant>
        <vt:i4>5</vt:i4>
      </vt:variant>
      <vt:variant>
        <vt:lpwstr>https://www.agedcarequality.gov.au/providers/strengthening-provider-governance</vt:lpwstr>
      </vt:variant>
      <vt:variant>
        <vt:lpwstr>:%7E:text=Strengthening%20provider%20governance%201%20Membership%20of%20governing%20bodies,Reform%20in%20Aged%20Care%20Program%20...%20More%20items</vt:lpwstr>
      </vt:variant>
      <vt:variant>
        <vt:i4>22</vt:i4>
      </vt:variant>
      <vt:variant>
        <vt:i4>141</vt:i4>
      </vt:variant>
      <vt:variant>
        <vt:i4>0</vt:i4>
      </vt:variant>
      <vt:variant>
        <vt:i4>5</vt:i4>
      </vt:variant>
      <vt:variant>
        <vt:lpwstr>https://www.health.gov.au/resources/videos/provider-operations-reporting-collection-form-gpms-training-video</vt:lpwstr>
      </vt:variant>
      <vt:variant>
        <vt:lpwstr/>
      </vt:variant>
      <vt:variant>
        <vt:i4>7733371</vt:i4>
      </vt:variant>
      <vt:variant>
        <vt:i4>135</vt:i4>
      </vt:variant>
      <vt:variant>
        <vt:i4>0</vt:i4>
      </vt:variant>
      <vt:variant>
        <vt:i4>5</vt:i4>
      </vt:variant>
      <vt:variant>
        <vt:lpwstr>https://www.health.gov.au/topics/aged-care/aged-care-reforms-and-reviews/strengthening-provider-governance-in-aged-care</vt:lpwstr>
      </vt:variant>
      <vt:variant>
        <vt:lpwstr/>
      </vt:variant>
      <vt:variant>
        <vt:i4>65656</vt:i4>
      </vt:variant>
      <vt:variant>
        <vt:i4>132</vt:i4>
      </vt:variant>
      <vt:variant>
        <vt:i4>0</vt:i4>
      </vt:variant>
      <vt:variant>
        <vt:i4>5</vt:i4>
      </vt:variant>
      <vt:variant>
        <vt:lpwstr>mailto:tcp@health.gov.au</vt:lpwstr>
      </vt:variant>
      <vt:variant>
        <vt:lpwstr/>
      </vt:variant>
      <vt:variant>
        <vt:i4>1966179</vt:i4>
      </vt:variant>
      <vt:variant>
        <vt:i4>129</vt:i4>
      </vt:variant>
      <vt:variant>
        <vt:i4>0</vt:i4>
      </vt:variant>
      <vt:variant>
        <vt:i4>5</vt:i4>
      </vt:variant>
      <vt:variant>
        <vt:lpwstr>mailto:ProviderOperationsD@health.gov.au</vt:lpwstr>
      </vt:variant>
      <vt:variant>
        <vt:lpwstr/>
      </vt:variant>
      <vt:variant>
        <vt:i4>3866681</vt:i4>
      </vt:variant>
      <vt:variant>
        <vt:i4>126</vt:i4>
      </vt:variant>
      <vt:variant>
        <vt:i4>0</vt:i4>
      </vt:variant>
      <vt:variant>
        <vt:i4>5</vt:i4>
      </vt:variant>
      <vt:variant>
        <vt:lpwstr>https://www.health.gov.au/topics/aged-care/aged-care-reforms-and-reviews/stronger-provider-governance-in-aged-care</vt:lpwstr>
      </vt:variant>
      <vt:variant>
        <vt:lpwstr/>
      </vt:variant>
      <vt:variant>
        <vt:i4>1310777</vt:i4>
      </vt:variant>
      <vt:variant>
        <vt:i4>119</vt:i4>
      </vt:variant>
      <vt:variant>
        <vt:i4>0</vt:i4>
      </vt:variant>
      <vt:variant>
        <vt:i4>5</vt:i4>
      </vt:variant>
      <vt:variant>
        <vt:lpwstr/>
      </vt:variant>
      <vt:variant>
        <vt:lpwstr>_Toc141085128</vt:lpwstr>
      </vt:variant>
      <vt:variant>
        <vt:i4>1310777</vt:i4>
      </vt:variant>
      <vt:variant>
        <vt:i4>113</vt:i4>
      </vt:variant>
      <vt:variant>
        <vt:i4>0</vt:i4>
      </vt:variant>
      <vt:variant>
        <vt:i4>5</vt:i4>
      </vt:variant>
      <vt:variant>
        <vt:lpwstr/>
      </vt:variant>
      <vt:variant>
        <vt:lpwstr>_Toc141085127</vt:lpwstr>
      </vt:variant>
      <vt:variant>
        <vt:i4>1310777</vt:i4>
      </vt:variant>
      <vt:variant>
        <vt:i4>107</vt:i4>
      </vt:variant>
      <vt:variant>
        <vt:i4>0</vt:i4>
      </vt:variant>
      <vt:variant>
        <vt:i4>5</vt:i4>
      </vt:variant>
      <vt:variant>
        <vt:lpwstr/>
      </vt:variant>
      <vt:variant>
        <vt:lpwstr>_Toc141085126</vt:lpwstr>
      </vt:variant>
      <vt:variant>
        <vt:i4>1310777</vt:i4>
      </vt:variant>
      <vt:variant>
        <vt:i4>101</vt:i4>
      </vt:variant>
      <vt:variant>
        <vt:i4>0</vt:i4>
      </vt:variant>
      <vt:variant>
        <vt:i4>5</vt:i4>
      </vt:variant>
      <vt:variant>
        <vt:lpwstr/>
      </vt:variant>
      <vt:variant>
        <vt:lpwstr>_Toc141085125</vt:lpwstr>
      </vt:variant>
      <vt:variant>
        <vt:i4>1310777</vt:i4>
      </vt:variant>
      <vt:variant>
        <vt:i4>95</vt:i4>
      </vt:variant>
      <vt:variant>
        <vt:i4>0</vt:i4>
      </vt:variant>
      <vt:variant>
        <vt:i4>5</vt:i4>
      </vt:variant>
      <vt:variant>
        <vt:lpwstr/>
      </vt:variant>
      <vt:variant>
        <vt:lpwstr>_Toc141085124</vt:lpwstr>
      </vt:variant>
      <vt:variant>
        <vt:i4>1310777</vt:i4>
      </vt:variant>
      <vt:variant>
        <vt:i4>89</vt:i4>
      </vt:variant>
      <vt:variant>
        <vt:i4>0</vt:i4>
      </vt:variant>
      <vt:variant>
        <vt:i4>5</vt:i4>
      </vt:variant>
      <vt:variant>
        <vt:lpwstr/>
      </vt:variant>
      <vt:variant>
        <vt:lpwstr>_Toc141085123</vt:lpwstr>
      </vt:variant>
      <vt:variant>
        <vt:i4>1310777</vt:i4>
      </vt:variant>
      <vt:variant>
        <vt:i4>83</vt:i4>
      </vt:variant>
      <vt:variant>
        <vt:i4>0</vt:i4>
      </vt:variant>
      <vt:variant>
        <vt:i4>5</vt:i4>
      </vt:variant>
      <vt:variant>
        <vt:lpwstr/>
      </vt:variant>
      <vt:variant>
        <vt:lpwstr>_Toc141085122</vt:lpwstr>
      </vt:variant>
      <vt:variant>
        <vt:i4>1310777</vt:i4>
      </vt:variant>
      <vt:variant>
        <vt:i4>77</vt:i4>
      </vt:variant>
      <vt:variant>
        <vt:i4>0</vt:i4>
      </vt:variant>
      <vt:variant>
        <vt:i4>5</vt:i4>
      </vt:variant>
      <vt:variant>
        <vt:lpwstr/>
      </vt:variant>
      <vt:variant>
        <vt:lpwstr>_Toc141085121</vt:lpwstr>
      </vt:variant>
      <vt:variant>
        <vt:i4>1310777</vt:i4>
      </vt:variant>
      <vt:variant>
        <vt:i4>71</vt:i4>
      </vt:variant>
      <vt:variant>
        <vt:i4>0</vt:i4>
      </vt:variant>
      <vt:variant>
        <vt:i4>5</vt:i4>
      </vt:variant>
      <vt:variant>
        <vt:lpwstr/>
      </vt:variant>
      <vt:variant>
        <vt:lpwstr>_Toc141085120</vt:lpwstr>
      </vt:variant>
      <vt:variant>
        <vt:i4>1507385</vt:i4>
      </vt:variant>
      <vt:variant>
        <vt:i4>65</vt:i4>
      </vt:variant>
      <vt:variant>
        <vt:i4>0</vt:i4>
      </vt:variant>
      <vt:variant>
        <vt:i4>5</vt:i4>
      </vt:variant>
      <vt:variant>
        <vt:lpwstr/>
      </vt:variant>
      <vt:variant>
        <vt:lpwstr>_Toc141085119</vt:lpwstr>
      </vt:variant>
      <vt:variant>
        <vt:i4>1507385</vt:i4>
      </vt:variant>
      <vt:variant>
        <vt:i4>59</vt:i4>
      </vt:variant>
      <vt:variant>
        <vt:i4>0</vt:i4>
      </vt:variant>
      <vt:variant>
        <vt:i4>5</vt:i4>
      </vt:variant>
      <vt:variant>
        <vt:lpwstr/>
      </vt:variant>
      <vt:variant>
        <vt:lpwstr>_Toc141085118</vt:lpwstr>
      </vt:variant>
      <vt:variant>
        <vt:i4>1507385</vt:i4>
      </vt:variant>
      <vt:variant>
        <vt:i4>53</vt:i4>
      </vt:variant>
      <vt:variant>
        <vt:i4>0</vt:i4>
      </vt:variant>
      <vt:variant>
        <vt:i4>5</vt:i4>
      </vt:variant>
      <vt:variant>
        <vt:lpwstr/>
      </vt:variant>
      <vt:variant>
        <vt:lpwstr>_Toc141085117</vt:lpwstr>
      </vt:variant>
      <vt:variant>
        <vt:i4>1507385</vt:i4>
      </vt:variant>
      <vt:variant>
        <vt:i4>47</vt:i4>
      </vt:variant>
      <vt:variant>
        <vt:i4>0</vt:i4>
      </vt:variant>
      <vt:variant>
        <vt:i4>5</vt:i4>
      </vt:variant>
      <vt:variant>
        <vt:lpwstr/>
      </vt:variant>
      <vt:variant>
        <vt:lpwstr>_Toc141085116</vt:lpwstr>
      </vt:variant>
      <vt:variant>
        <vt:i4>1507385</vt:i4>
      </vt:variant>
      <vt:variant>
        <vt:i4>41</vt:i4>
      </vt:variant>
      <vt:variant>
        <vt:i4>0</vt:i4>
      </vt:variant>
      <vt:variant>
        <vt:i4>5</vt:i4>
      </vt:variant>
      <vt:variant>
        <vt:lpwstr/>
      </vt:variant>
      <vt:variant>
        <vt:lpwstr>_Toc141085115</vt:lpwstr>
      </vt:variant>
      <vt:variant>
        <vt:i4>1507385</vt:i4>
      </vt:variant>
      <vt:variant>
        <vt:i4>35</vt:i4>
      </vt:variant>
      <vt:variant>
        <vt:i4>0</vt:i4>
      </vt:variant>
      <vt:variant>
        <vt:i4>5</vt:i4>
      </vt:variant>
      <vt:variant>
        <vt:lpwstr/>
      </vt:variant>
      <vt:variant>
        <vt:lpwstr>_Toc141085114</vt:lpwstr>
      </vt:variant>
      <vt:variant>
        <vt:i4>1507385</vt:i4>
      </vt:variant>
      <vt:variant>
        <vt:i4>29</vt:i4>
      </vt:variant>
      <vt:variant>
        <vt:i4>0</vt:i4>
      </vt:variant>
      <vt:variant>
        <vt:i4>5</vt:i4>
      </vt:variant>
      <vt:variant>
        <vt:lpwstr/>
      </vt:variant>
      <vt:variant>
        <vt:lpwstr>_Toc141085113</vt:lpwstr>
      </vt:variant>
      <vt:variant>
        <vt:i4>1507385</vt:i4>
      </vt:variant>
      <vt:variant>
        <vt:i4>23</vt:i4>
      </vt:variant>
      <vt:variant>
        <vt:i4>0</vt:i4>
      </vt:variant>
      <vt:variant>
        <vt:i4>5</vt:i4>
      </vt:variant>
      <vt:variant>
        <vt:lpwstr/>
      </vt:variant>
      <vt:variant>
        <vt:lpwstr>_Toc141085112</vt:lpwstr>
      </vt:variant>
      <vt:variant>
        <vt:i4>1507385</vt:i4>
      </vt:variant>
      <vt:variant>
        <vt:i4>17</vt:i4>
      </vt:variant>
      <vt:variant>
        <vt:i4>0</vt:i4>
      </vt:variant>
      <vt:variant>
        <vt:i4>5</vt:i4>
      </vt:variant>
      <vt:variant>
        <vt:lpwstr/>
      </vt:variant>
      <vt:variant>
        <vt:lpwstr>_Toc141085111</vt:lpwstr>
      </vt:variant>
      <vt:variant>
        <vt:i4>1507385</vt:i4>
      </vt:variant>
      <vt:variant>
        <vt:i4>11</vt:i4>
      </vt:variant>
      <vt:variant>
        <vt:i4>0</vt:i4>
      </vt:variant>
      <vt:variant>
        <vt:i4>5</vt:i4>
      </vt:variant>
      <vt:variant>
        <vt:lpwstr/>
      </vt:variant>
      <vt:variant>
        <vt:lpwstr>_Toc141085110</vt:lpwstr>
      </vt:variant>
      <vt:variant>
        <vt:i4>1441849</vt:i4>
      </vt:variant>
      <vt:variant>
        <vt:i4>5</vt:i4>
      </vt:variant>
      <vt:variant>
        <vt:i4>0</vt:i4>
      </vt:variant>
      <vt:variant>
        <vt:i4>5</vt:i4>
      </vt:variant>
      <vt:variant>
        <vt:lpwstr/>
      </vt:variant>
      <vt:variant>
        <vt:lpwstr>_Toc141085109</vt:lpwstr>
      </vt:variant>
      <vt:variant>
        <vt:i4>2031700</vt:i4>
      </vt:variant>
      <vt:variant>
        <vt:i4>0</vt:i4>
      </vt:variant>
      <vt:variant>
        <vt:i4>0</vt:i4>
      </vt:variant>
      <vt:variant>
        <vt:i4>5</vt:i4>
      </vt:variant>
      <vt:variant>
        <vt:lpwstr>https://www.health.gov.au/resources/webinars/greater-transparency-about-aged-care-providers-and-services-upcoming-reporting-requirements</vt:lpwstr>
      </vt:variant>
      <vt:variant>
        <vt:lpwstr/>
      </vt:variant>
      <vt:variant>
        <vt:i4>6946915</vt:i4>
      </vt:variant>
      <vt:variant>
        <vt:i4>3</vt:i4>
      </vt:variant>
      <vt:variant>
        <vt:i4>0</vt:i4>
      </vt:variant>
      <vt:variant>
        <vt:i4>5</vt:i4>
      </vt:variant>
      <vt:variant>
        <vt:lpwstr>https://www.legislation.gov.au/Details/C2017C00241/Download</vt:lpwstr>
      </vt:variant>
      <vt:variant>
        <vt:lpwstr/>
      </vt:variant>
      <vt:variant>
        <vt:i4>65656</vt:i4>
      </vt:variant>
      <vt:variant>
        <vt:i4>0</vt:i4>
      </vt:variant>
      <vt:variant>
        <vt:i4>0</vt:i4>
      </vt:variant>
      <vt:variant>
        <vt:i4>5</vt:i4>
      </vt:variant>
      <vt:variant>
        <vt:lpwstr>mailto:tcp@health.gov.au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Aged Care</dc:subject>
  <dc:creator>HOOD, Jodi</dc:creator>
  <cp:keywords>Aged Care, Aged Care Reforms</cp:keywords>
  <dc:description/>
  <cp:lastModifiedBy>MARTIN, Mel</cp:lastModifiedBy>
  <cp:revision>2</cp:revision>
  <dcterms:created xsi:type="dcterms:W3CDTF">2023-12-18T00:33:00Z</dcterms:created>
  <dcterms:modified xsi:type="dcterms:W3CDTF">2023-12-18T00:33:00Z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0x010100FEE71144B0A72D48BAD5085EFC329F68</vt:lpwstr>
  </property>
</Properties>
</file>