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5.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68F1E" w14:textId="632A48B5" w:rsidR="00CB5C40" w:rsidRPr="00CB5C40" w:rsidRDefault="00A8519F" w:rsidP="00CB5C40">
      <w:pPr>
        <w:pStyle w:val="Title"/>
        <w:contextualSpacing w:val="0"/>
        <w:rPr>
          <w:sz w:val="40"/>
          <w:szCs w:val="40"/>
        </w:rPr>
      </w:pPr>
      <w:bookmarkStart w:id="0" w:name="_Hlk132279189"/>
      <w:r>
        <w:rPr>
          <w:sz w:val="40"/>
          <w:szCs w:val="40"/>
        </w:rPr>
        <w:t>T</w:t>
      </w:r>
      <w:r w:rsidR="00AD1C54" w:rsidRPr="003F2EB5">
        <w:rPr>
          <w:sz w:val="40"/>
          <w:szCs w:val="40"/>
        </w:rPr>
        <w:t>he Prescribed List of Medical Devices and Human Tissue Products</w:t>
      </w:r>
      <w:r>
        <w:rPr>
          <w:sz w:val="40"/>
          <w:szCs w:val="40"/>
        </w:rPr>
        <w:t xml:space="preserve"> Guide</w:t>
      </w:r>
      <w:r w:rsidR="00CB5C40">
        <w:rPr>
          <w:sz w:val="40"/>
          <w:szCs w:val="40"/>
        </w:rPr>
        <w:t xml:space="preserve"> - </w:t>
      </w:r>
      <w:r w:rsidR="00CB5C40" w:rsidRPr="00CB5C40">
        <w:rPr>
          <w:color w:val="FF0000"/>
          <w:sz w:val="40"/>
          <w:szCs w:val="40"/>
        </w:rPr>
        <w:t>DRAFT</w:t>
      </w:r>
    </w:p>
    <w:bookmarkEnd w:id="0"/>
    <w:p w14:paraId="60A521FE" w14:textId="770B03C0" w:rsidR="00CA79CF" w:rsidRDefault="00D45C6A" w:rsidP="00476DB9">
      <w:pPr>
        <w:pStyle w:val="Title"/>
        <w:rPr>
          <w:sz w:val="40"/>
          <w:szCs w:val="40"/>
        </w:rPr>
      </w:pPr>
      <w:r>
        <w:rPr>
          <w:sz w:val="32"/>
          <w:szCs w:val="32"/>
        </w:rPr>
        <w:t>December</w:t>
      </w:r>
      <w:r w:rsidR="005E4D1D" w:rsidRPr="00557390">
        <w:rPr>
          <w:sz w:val="32"/>
          <w:szCs w:val="32"/>
        </w:rPr>
        <w:t xml:space="preserve"> </w:t>
      </w:r>
      <w:r w:rsidR="006A7D38" w:rsidRPr="00557390">
        <w:rPr>
          <w:sz w:val="32"/>
          <w:szCs w:val="32"/>
        </w:rPr>
        <w:t>2023</w:t>
      </w:r>
    </w:p>
    <w:p w14:paraId="7513B7EC" w14:textId="77777777" w:rsidR="00BF7E0B" w:rsidRDefault="00BF7E0B" w:rsidP="00BF7E0B"/>
    <w:p w14:paraId="4D9B3752" w14:textId="77777777" w:rsidR="00BF7E0B" w:rsidRDefault="00BF7E0B" w:rsidP="00BF7E0B"/>
    <w:p w14:paraId="77A23637" w14:textId="77777777" w:rsidR="003C36F5" w:rsidRPr="003C36F5" w:rsidRDefault="003C36F5" w:rsidP="003C36F5"/>
    <w:p w14:paraId="0FAD71B1" w14:textId="70C135F5" w:rsidR="003C36F5" w:rsidRDefault="003C36F5" w:rsidP="003C36F5">
      <w:pPr>
        <w:tabs>
          <w:tab w:val="left" w:pos="6987"/>
        </w:tabs>
      </w:pPr>
      <w:r>
        <w:tab/>
      </w:r>
    </w:p>
    <w:p w14:paraId="6527348D" w14:textId="77777777" w:rsidR="003C36F5" w:rsidRDefault="003C36F5" w:rsidP="003C36F5"/>
    <w:p w14:paraId="2EFF08D6" w14:textId="73B0EAA8" w:rsidR="003C36F5" w:rsidRPr="003C36F5" w:rsidRDefault="003C36F5" w:rsidP="003C36F5">
      <w:pPr>
        <w:sectPr w:rsidR="003C36F5" w:rsidRPr="003C36F5" w:rsidSect="00CA79CF">
          <w:headerReference w:type="default" r:id="rId11"/>
          <w:headerReference w:type="first" r:id="rId12"/>
          <w:type w:val="continuous"/>
          <w:pgSz w:w="11906" w:h="16838"/>
          <w:pgMar w:top="1701" w:right="1418" w:bottom="1418" w:left="1418" w:header="709" w:footer="709" w:gutter="0"/>
          <w:cols w:space="708"/>
          <w:titlePg/>
          <w:docGrid w:linePitch="360"/>
        </w:sectPr>
      </w:pPr>
    </w:p>
    <w:p w14:paraId="18A8F997" w14:textId="77777777" w:rsidR="0050658B" w:rsidRDefault="0050658B" w:rsidP="0050658B">
      <w:pPr>
        <w:pStyle w:val="Heading1"/>
      </w:pPr>
      <w:bookmarkStart w:id="1" w:name="_Toc132805910"/>
      <w:bookmarkStart w:id="2" w:name="_Toc133660779"/>
      <w:bookmarkStart w:id="3" w:name="_Toc135832392"/>
      <w:bookmarkStart w:id="4" w:name="_Toc135832441"/>
      <w:bookmarkStart w:id="5" w:name="_Toc136516660"/>
      <w:bookmarkStart w:id="6" w:name="_Toc136613110"/>
      <w:bookmarkStart w:id="7" w:name="_Toc149228479"/>
      <w:r>
        <w:lastRenderedPageBreak/>
        <w:t>Version Control</w:t>
      </w:r>
      <w:bookmarkEnd w:id="1"/>
      <w:bookmarkEnd w:id="2"/>
      <w:bookmarkEnd w:id="3"/>
      <w:bookmarkEnd w:id="4"/>
      <w:bookmarkEnd w:id="5"/>
      <w:bookmarkEnd w:id="6"/>
      <w:bookmarkEnd w:id="7"/>
    </w:p>
    <w:p w14:paraId="257BD21A" w14:textId="77777777" w:rsidR="0050658B" w:rsidRDefault="0050658B" w:rsidP="0050658B">
      <w:r>
        <w:t xml:space="preserve">This table is to record the document’s history as changes are made. As each version is drafted and submitted for acceptance, update the version number and in the table record the changes made to the prior version. </w:t>
      </w:r>
    </w:p>
    <w:p w14:paraId="4D8ABFCC" w14:textId="5D074E57" w:rsidR="0050658B" w:rsidRDefault="0050658B" w:rsidP="0050658B">
      <w:r>
        <w:t>Major changes should increment the version number by 1.0 and minor changes should increment the version number by 0.1.</w:t>
      </w:r>
    </w:p>
    <w:p w14:paraId="7C55389E" w14:textId="6C69FD82" w:rsidR="0050658B" w:rsidRDefault="0050658B" w:rsidP="0050658B"/>
    <w:p w14:paraId="79E8F1EF" w14:textId="77777777" w:rsidR="0050658B" w:rsidRDefault="0050658B" w:rsidP="0050658B">
      <w:pPr>
        <w:pStyle w:val="Heading1"/>
      </w:pPr>
      <w:bookmarkStart w:id="8" w:name="_Toc132805911"/>
      <w:bookmarkStart w:id="9" w:name="_Toc133660780"/>
      <w:bookmarkStart w:id="10" w:name="_Toc135832393"/>
      <w:bookmarkStart w:id="11" w:name="_Toc135832442"/>
      <w:bookmarkStart w:id="12" w:name="_Toc136516661"/>
      <w:bookmarkStart w:id="13" w:name="_Toc136613111"/>
      <w:bookmarkStart w:id="14" w:name="_Toc149228480"/>
      <w:r>
        <w:t>Document Location</w:t>
      </w:r>
      <w:bookmarkEnd w:id="8"/>
      <w:bookmarkEnd w:id="9"/>
      <w:bookmarkEnd w:id="10"/>
      <w:bookmarkEnd w:id="11"/>
      <w:bookmarkEnd w:id="12"/>
      <w:bookmarkEnd w:id="13"/>
      <w:bookmarkEnd w:id="14"/>
    </w:p>
    <w:p w14:paraId="38B3C61F" w14:textId="15576A70" w:rsidR="0050658B" w:rsidRDefault="0050658B" w:rsidP="0050658B"/>
    <w:tbl>
      <w:tblPr>
        <w:tblStyle w:val="DepartmentofHealthtable"/>
        <w:tblW w:w="9072" w:type="dxa"/>
        <w:tblLook w:val="04A0" w:firstRow="1" w:lastRow="0" w:firstColumn="1" w:lastColumn="0" w:noHBand="0" w:noVBand="1"/>
        <w:tblDescription w:val="Add Alt Text describing the content of the table"/>
      </w:tblPr>
      <w:tblGrid>
        <w:gridCol w:w="1418"/>
        <w:gridCol w:w="1417"/>
        <w:gridCol w:w="1418"/>
        <w:gridCol w:w="1843"/>
        <w:gridCol w:w="2976"/>
      </w:tblGrid>
      <w:tr w:rsidR="00A75BB0" w:rsidRPr="00557D5A" w14:paraId="3EBA04E3" w14:textId="77777777" w:rsidTr="00A75B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418" w:type="dxa"/>
          </w:tcPr>
          <w:p w14:paraId="3937B204" w14:textId="2AE91C11" w:rsidR="00A75BB0" w:rsidRPr="00557D5A" w:rsidRDefault="00A75BB0" w:rsidP="00000953">
            <w:pPr>
              <w:pStyle w:val="TableHeaderWhite"/>
            </w:pPr>
            <w:r>
              <w:t>Version</w:t>
            </w:r>
            <w:r w:rsidRPr="00557D5A">
              <w:t xml:space="preserve"> </w:t>
            </w:r>
          </w:p>
        </w:tc>
        <w:tc>
          <w:tcPr>
            <w:tcW w:w="1417" w:type="dxa"/>
          </w:tcPr>
          <w:p w14:paraId="28B528AF" w14:textId="55B9B18B" w:rsidR="00A75BB0" w:rsidRPr="00557D5A" w:rsidRDefault="00A75BB0" w:rsidP="00000953">
            <w:pPr>
              <w:pStyle w:val="TableHeader"/>
              <w:cnfStyle w:val="100000000000" w:firstRow="1" w:lastRow="0" w:firstColumn="0" w:lastColumn="0" w:oddVBand="0" w:evenVBand="0" w:oddHBand="0" w:evenHBand="0" w:firstRowFirstColumn="0" w:firstRowLastColumn="0" w:lastRowFirstColumn="0" w:lastRowLastColumn="0"/>
            </w:pPr>
            <w:r>
              <w:t>Date</w:t>
            </w:r>
          </w:p>
        </w:tc>
        <w:tc>
          <w:tcPr>
            <w:tcW w:w="1418" w:type="dxa"/>
          </w:tcPr>
          <w:p w14:paraId="48E68443" w14:textId="61C642AD" w:rsidR="00A75BB0" w:rsidRPr="00557D5A" w:rsidRDefault="00A75BB0" w:rsidP="00A75BB0">
            <w:pPr>
              <w:pStyle w:val="TableHeader"/>
              <w:cnfStyle w:val="100000000000" w:firstRow="1" w:lastRow="0" w:firstColumn="0" w:lastColumn="0" w:oddVBand="0" w:evenVBand="0" w:oddHBand="0" w:evenHBand="0" w:firstRowFirstColumn="0" w:firstRowLastColumn="0" w:lastRowFirstColumn="0" w:lastRowLastColumn="0"/>
            </w:pPr>
            <w:r>
              <w:t>Author</w:t>
            </w:r>
          </w:p>
        </w:tc>
        <w:tc>
          <w:tcPr>
            <w:tcW w:w="1843" w:type="dxa"/>
          </w:tcPr>
          <w:p w14:paraId="1CB7C4E8" w14:textId="0B01E4EE" w:rsidR="00A75BB0" w:rsidRDefault="00A75BB0" w:rsidP="00A75BB0">
            <w:pPr>
              <w:pStyle w:val="TableHeader"/>
              <w:cnfStyle w:val="100000000000" w:firstRow="1" w:lastRow="0" w:firstColumn="0" w:lastColumn="0" w:oddVBand="0" w:evenVBand="0" w:oddHBand="0" w:evenHBand="0" w:firstRowFirstColumn="0" w:firstRowLastColumn="0" w:lastRowFirstColumn="0" w:lastRowLastColumn="0"/>
            </w:pPr>
            <w:r>
              <w:t>Distribution</w:t>
            </w:r>
          </w:p>
        </w:tc>
        <w:tc>
          <w:tcPr>
            <w:tcW w:w="2976" w:type="dxa"/>
          </w:tcPr>
          <w:p w14:paraId="4E6CCB24" w14:textId="6A7716E5" w:rsidR="00A75BB0" w:rsidRPr="00557D5A" w:rsidRDefault="00A75BB0" w:rsidP="00A75BB0">
            <w:pPr>
              <w:pStyle w:val="TableHeader"/>
              <w:cnfStyle w:val="100000000000" w:firstRow="1" w:lastRow="0" w:firstColumn="0" w:lastColumn="0" w:oddVBand="0" w:evenVBand="0" w:oddHBand="0" w:evenHBand="0" w:firstRowFirstColumn="0" w:firstRowLastColumn="0" w:lastRowFirstColumn="0" w:lastRowLastColumn="0"/>
            </w:pPr>
            <w:r>
              <w:t>Change Description</w:t>
            </w:r>
          </w:p>
        </w:tc>
      </w:tr>
      <w:tr w:rsidR="00A75BB0" w:rsidRPr="00557D5A" w14:paraId="15A275D2" w14:textId="77777777" w:rsidTr="00A75B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015A4605" w14:textId="4D367B01" w:rsidR="00A75BB0" w:rsidRPr="006C027C" w:rsidRDefault="00A75BB0" w:rsidP="00CB38CE">
            <w:pPr>
              <w:pStyle w:val="Tabletextleft"/>
            </w:pPr>
          </w:p>
        </w:tc>
        <w:tc>
          <w:tcPr>
            <w:tcW w:w="1417" w:type="dxa"/>
          </w:tcPr>
          <w:p w14:paraId="7F3CE137" w14:textId="47DEE651" w:rsidR="00A75BB0" w:rsidRPr="006C027C" w:rsidRDefault="00A75BB0" w:rsidP="00CB38CE">
            <w:pPr>
              <w:pStyle w:val="Tabletextleft"/>
              <w:cnfStyle w:val="000000100000" w:firstRow="0" w:lastRow="0" w:firstColumn="0" w:lastColumn="0" w:oddVBand="0" w:evenVBand="0" w:oddHBand="1" w:evenHBand="0" w:firstRowFirstColumn="0" w:firstRowLastColumn="0" w:lastRowFirstColumn="0" w:lastRowLastColumn="0"/>
            </w:pPr>
          </w:p>
        </w:tc>
        <w:tc>
          <w:tcPr>
            <w:tcW w:w="1418" w:type="dxa"/>
          </w:tcPr>
          <w:p w14:paraId="5D98EC0C" w14:textId="69539DF0" w:rsidR="00A75BB0" w:rsidRPr="00557D5A" w:rsidRDefault="00A75BB0" w:rsidP="00CB38CE">
            <w:pPr>
              <w:pStyle w:val="Tabletextcentre"/>
              <w:cnfStyle w:val="000000100000" w:firstRow="0" w:lastRow="0" w:firstColumn="0" w:lastColumn="0" w:oddVBand="0" w:evenVBand="0" w:oddHBand="1" w:evenHBand="0" w:firstRowFirstColumn="0" w:firstRowLastColumn="0" w:lastRowFirstColumn="0" w:lastRowLastColumn="0"/>
            </w:pPr>
          </w:p>
        </w:tc>
        <w:tc>
          <w:tcPr>
            <w:tcW w:w="1843" w:type="dxa"/>
          </w:tcPr>
          <w:p w14:paraId="7B48808F" w14:textId="77777777" w:rsidR="00A75BB0"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c>
          <w:tcPr>
            <w:tcW w:w="2976" w:type="dxa"/>
          </w:tcPr>
          <w:p w14:paraId="4EA4717C" w14:textId="75B62FC5" w:rsidR="00A75BB0" w:rsidRPr="00557D5A"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r>
      <w:tr w:rsidR="00A75BB0" w:rsidRPr="00557D5A" w14:paraId="129D34D1" w14:textId="77777777" w:rsidTr="00A75BB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0055D1D5" w14:textId="77777777" w:rsidR="00A75BB0" w:rsidRPr="006C027C" w:rsidRDefault="00A75BB0" w:rsidP="00CB38CE">
            <w:pPr>
              <w:pStyle w:val="Tabletextleft"/>
            </w:pPr>
          </w:p>
        </w:tc>
        <w:tc>
          <w:tcPr>
            <w:tcW w:w="1417" w:type="dxa"/>
          </w:tcPr>
          <w:p w14:paraId="775F7EBD" w14:textId="77777777" w:rsidR="00A75BB0" w:rsidRPr="006C027C" w:rsidRDefault="00A75BB0" w:rsidP="00CB38CE">
            <w:pPr>
              <w:pStyle w:val="Tabletextleft"/>
              <w:cnfStyle w:val="000000010000" w:firstRow="0" w:lastRow="0" w:firstColumn="0" w:lastColumn="0" w:oddVBand="0" w:evenVBand="0" w:oddHBand="0" w:evenHBand="1" w:firstRowFirstColumn="0" w:firstRowLastColumn="0" w:lastRowFirstColumn="0" w:lastRowLastColumn="0"/>
            </w:pPr>
          </w:p>
        </w:tc>
        <w:tc>
          <w:tcPr>
            <w:tcW w:w="1418" w:type="dxa"/>
          </w:tcPr>
          <w:p w14:paraId="258E18DE" w14:textId="77777777" w:rsidR="00A75BB0" w:rsidRPr="00557D5A" w:rsidRDefault="00A75BB0" w:rsidP="00CB38CE">
            <w:pPr>
              <w:pStyle w:val="Tabletextcentre"/>
              <w:cnfStyle w:val="000000010000" w:firstRow="0" w:lastRow="0" w:firstColumn="0" w:lastColumn="0" w:oddVBand="0" w:evenVBand="0" w:oddHBand="0" w:evenHBand="1" w:firstRowFirstColumn="0" w:firstRowLastColumn="0" w:lastRowFirstColumn="0" w:lastRowLastColumn="0"/>
            </w:pPr>
          </w:p>
        </w:tc>
        <w:tc>
          <w:tcPr>
            <w:tcW w:w="1843" w:type="dxa"/>
          </w:tcPr>
          <w:p w14:paraId="575CB66B" w14:textId="77777777" w:rsidR="00A75BB0" w:rsidRDefault="00A75BB0" w:rsidP="00CB38CE">
            <w:pPr>
              <w:pStyle w:val="Tabletextright0"/>
              <w:cnfStyle w:val="000000010000" w:firstRow="0" w:lastRow="0" w:firstColumn="0" w:lastColumn="0" w:oddVBand="0" w:evenVBand="0" w:oddHBand="0" w:evenHBand="1" w:firstRowFirstColumn="0" w:firstRowLastColumn="0" w:lastRowFirstColumn="0" w:lastRowLastColumn="0"/>
            </w:pPr>
          </w:p>
        </w:tc>
        <w:tc>
          <w:tcPr>
            <w:tcW w:w="2976" w:type="dxa"/>
          </w:tcPr>
          <w:p w14:paraId="1ACF0270" w14:textId="77777777" w:rsidR="00A75BB0" w:rsidRPr="00557D5A" w:rsidRDefault="00A75BB0" w:rsidP="00CB38CE">
            <w:pPr>
              <w:pStyle w:val="Tabletextright0"/>
              <w:cnfStyle w:val="000000010000" w:firstRow="0" w:lastRow="0" w:firstColumn="0" w:lastColumn="0" w:oddVBand="0" w:evenVBand="0" w:oddHBand="0" w:evenHBand="1" w:firstRowFirstColumn="0" w:firstRowLastColumn="0" w:lastRowFirstColumn="0" w:lastRowLastColumn="0"/>
            </w:pPr>
          </w:p>
        </w:tc>
      </w:tr>
      <w:tr w:rsidR="00A75BB0" w:rsidRPr="00557D5A" w14:paraId="5327169F" w14:textId="77777777" w:rsidTr="00A75B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2B516A43" w14:textId="77777777" w:rsidR="00A75BB0" w:rsidRPr="006C027C" w:rsidRDefault="00A75BB0" w:rsidP="00CB38CE">
            <w:pPr>
              <w:pStyle w:val="Tabletextleft"/>
            </w:pPr>
          </w:p>
        </w:tc>
        <w:tc>
          <w:tcPr>
            <w:tcW w:w="1417" w:type="dxa"/>
          </w:tcPr>
          <w:p w14:paraId="6D6651F2" w14:textId="77777777" w:rsidR="00A75BB0" w:rsidRPr="006C027C" w:rsidRDefault="00A75BB0" w:rsidP="00CB38CE">
            <w:pPr>
              <w:pStyle w:val="Tabletextleft"/>
              <w:cnfStyle w:val="000000100000" w:firstRow="0" w:lastRow="0" w:firstColumn="0" w:lastColumn="0" w:oddVBand="0" w:evenVBand="0" w:oddHBand="1" w:evenHBand="0" w:firstRowFirstColumn="0" w:firstRowLastColumn="0" w:lastRowFirstColumn="0" w:lastRowLastColumn="0"/>
            </w:pPr>
          </w:p>
        </w:tc>
        <w:tc>
          <w:tcPr>
            <w:tcW w:w="1418" w:type="dxa"/>
          </w:tcPr>
          <w:p w14:paraId="0962A74E" w14:textId="77777777" w:rsidR="00A75BB0" w:rsidRPr="00557D5A" w:rsidRDefault="00A75BB0" w:rsidP="00CB38CE">
            <w:pPr>
              <w:pStyle w:val="Tabletextcentre"/>
              <w:cnfStyle w:val="000000100000" w:firstRow="0" w:lastRow="0" w:firstColumn="0" w:lastColumn="0" w:oddVBand="0" w:evenVBand="0" w:oddHBand="1" w:evenHBand="0" w:firstRowFirstColumn="0" w:firstRowLastColumn="0" w:lastRowFirstColumn="0" w:lastRowLastColumn="0"/>
            </w:pPr>
          </w:p>
        </w:tc>
        <w:tc>
          <w:tcPr>
            <w:tcW w:w="1843" w:type="dxa"/>
          </w:tcPr>
          <w:p w14:paraId="28B90E84" w14:textId="77777777" w:rsidR="00A75BB0"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c>
          <w:tcPr>
            <w:tcW w:w="2976" w:type="dxa"/>
          </w:tcPr>
          <w:p w14:paraId="5E6E93C0" w14:textId="77777777" w:rsidR="00A75BB0" w:rsidRPr="00557D5A"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r>
    </w:tbl>
    <w:p w14:paraId="559B0043" w14:textId="3665DF4F" w:rsidR="00A75BB0" w:rsidRDefault="00A75BB0" w:rsidP="0050658B"/>
    <w:p w14:paraId="392F44A9" w14:textId="7E197877" w:rsidR="0050658B" w:rsidRDefault="0050658B" w:rsidP="0050658B">
      <w:pPr>
        <w:pStyle w:val="Heading1"/>
      </w:pPr>
      <w:bookmarkStart w:id="15" w:name="_Toc132805912"/>
      <w:bookmarkStart w:id="16" w:name="_Toc133660781"/>
      <w:bookmarkStart w:id="17" w:name="_Toc135832394"/>
      <w:bookmarkStart w:id="18" w:name="_Toc135832443"/>
      <w:bookmarkStart w:id="19" w:name="_Toc136516662"/>
      <w:bookmarkStart w:id="20" w:name="_Toc136613112"/>
      <w:bookmarkStart w:id="21" w:name="_Toc149228481"/>
      <w:r>
        <w:t>Related Documents</w:t>
      </w:r>
      <w:bookmarkEnd w:id="15"/>
      <w:bookmarkEnd w:id="16"/>
      <w:bookmarkEnd w:id="17"/>
      <w:bookmarkEnd w:id="18"/>
      <w:bookmarkEnd w:id="19"/>
      <w:bookmarkEnd w:id="20"/>
      <w:bookmarkEnd w:id="21"/>
    </w:p>
    <w:p w14:paraId="28A51B79" w14:textId="1BB37F20" w:rsidR="0050658B" w:rsidRDefault="0050658B" w:rsidP="0050658B"/>
    <w:tbl>
      <w:tblPr>
        <w:tblStyle w:val="DepartmentofHealthtable"/>
        <w:tblW w:w="9072" w:type="dxa"/>
        <w:tblLook w:val="04A0" w:firstRow="1" w:lastRow="0" w:firstColumn="1" w:lastColumn="0" w:noHBand="0" w:noVBand="1"/>
        <w:tblDescription w:val="Add Alt Text describing the content of the table"/>
      </w:tblPr>
      <w:tblGrid>
        <w:gridCol w:w="2127"/>
        <w:gridCol w:w="6945"/>
      </w:tblGrid>
      <w:tr w:rsidR="00A75BB0" w:rsidRPr="00557D5A" w14:paraId="4D835393" w14:textId="77777777" w:rsidTr="00A75B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127" w:type="dxa"/>
          </w:tcPr>
          <w:p w14:paraId="34EE979D" w14:textId="4BD83C65" w:rsidR="00A75BB0" w:rsidRPr="00557D5A" w:rsidRDefault="00A75BB0" w:rsidP="00000953">
            <w:pPr>
              <w:pStyle w:val="TableHeaderWhite"/>
            </w:pPr>
            <w:r>
              <w:t>Document Location</w:t>
            </w:r>
            <w:r w:rsidRPr="00557D5A">
              <w:t xml:space="preserve"> </w:t>
            </w:r>
          </w:p>
        </w:tc>
        <w:tc>
          <w:tcPr>
            <w:tcW w:w="6945" w:type="dxa"/>
          </w:tcPr>
          <w:p w14:paraId="39F38007" w14:textId="19239EC4" w:rsidR="00A75BB0" w:rsidRPr="00557D5A" w:rsidRDefault="00A75BB0" w:rsidP="00000953">
            <w:pPr>
              <w:pStyle w:val="TableHeader"/>
              <w:cnfStyle w:val="100000000000" w:firstRow="1" w:lastRow="0" w:firstColumn="0" w:lastColumn="0" w:oddVBand="0" w:evenVBand="0" w:oddHBand="0" w:evenHBand="0" w:firstRowFirstColumn="0" w:firstRowLastColumn="0" w:lastRowFirstColumn="0" w:lastRowLastColumn="0"/>
            </w:pPr>
            <w:r>
              <w:t>Document Name</w:t>
            </w:r>
          </w:p>
        </w:tc>
      </w:tr>
      <w:tr w:rsidR="00A75BB0" w:rsidRPr="00557D5A" w14:paraId="1C694120" w14:textId="77777777" w:rsidTr="00A75B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422A0FBC" w14:textId="77777777" w:rsidR="00A75BB0" w:rsidRPr="006C027C" w:rsidRDefault="00A75BB0" w:rsidP="00CB38CE">
            <w:pPr>
              <w:pStyle w:val="Tabletextleft"/>
            </w:pPr>
          </w:p>
        </w:tc>
        <w:tc>
          <w:tcPr>
            <w:tcW w:w="6945" w:type="dxa"/>
          </w:tcPr>
          <w:p w14:paraId="1B8A1C38" w14:textId="77777777" w:rsidR="00A75BB0" w:rsidRPr="00557D5A"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r>
      <w:tr w:rsidR="00A75BB0" w:rsidRPr="00557D5A" w14:paraId="3E644231" w14:textId="77777777" w:rsidTr="00A75BB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0CF4259F" w14:textId="77777777" w:rsidR="00A75BB0" w:rsidRPr="006C027C" w:rsidRDefault="00A75BB0" w:rsidP="00CB38CE">
            <w:pPr>
              <w:pStyle w:val="Tabletextleft"/>
            </w:pPr>
          </w:p>
        </w:tc>
        <w:tc>
          <w:tcPr>
            <w:tcW w:w="6945" w:type="dxa"/>
          </w:tcPr>
          <w:p w14:paraId="34F88DCA" w14:textId="77777777" w:rsidR="00A75BB0" w:rsidRPr="00557D5A" w:rsidRDefault="00A75BB0" w:rsidP="00CB38CE">
            <w:pPr>
              <w:pStyle w:val="Tabletextright0"/>
              <w:cnfStyle w:val="000000010000" w:firstRow="0" w:lastRow="0" w:firstColumn="0" w:lastColumn="0" w:oddVBand="0" w:evenVBand="0" w:oddHBand="0" w:evenHBand="1" w:firstRowFirstColumn="0" w:firstRowLastColumn="0" w:lastRowFirstColumn="0" w:lastRowLastColumn="0"/>
            </w:pPr>
          </w:p>
        </w:tc>
      </w:tr>
      <w:tr w:rsidR="00A75BB0" w:rsidRPr="00557D5A" w14:paraId="33164867" w14:textId="77777777" w:rsidTr="00A75BB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274C3A67" w14:textId="77777777" w:rsidR="00A75BB0" w:rsidRPr="006C027C" w:rsidRDefault="00A75BB0" w:rsidP="00CB38CE">
            <w:pPr>
              <w:pStyle w:val="Tabletextleft"/>
            </w:pPr>
          </w:p>
        </w:tc>
        <w:tc>
          <w:tcPr>
            <w:tcW w:w="6945" w:type="dxa"/>
          </w:tcPr>
          <w:p w14:paraId="1B58A748" w14:textId="77777777" w:rsidR="00A75BB0" w:rsidRPr="00557D5A" w:rsidRDefault="00A75BB0" w:rsidP="00CB38CE">
            <w:pPr>
              <w:pStyle w:val="Tabletextright0"/>
              <w:cnfStyle w:val="000000100000" w:firstRow="0" w:lastRow="0" w:firstColumn="0" w:lastColumn="0" w:oddVBand="0" w:evenVBand="0" w:oddHBand="1" w:evenHBand="0" w:firstRowFirstColumn="0" w:firstRowLastColumn="0" w:lastRowFirstColumn="0" w:lastRowLastColumn="0"/>
            </w:pPr>
          </w:p>
        </w:tc>
      </w:tr>
    </w:tbl>
    <w:p w14:paraId="3D1CB9D7" w14:textId="77777777" w:rsidR="0050658B" w:rsidRDefault="0050658B">
      <w:pPr>
        <w:spacing w:before="0" w:after="0" w:line="240" w:lineRule="auto"/>
        <w:rPr>
          <w:rFonts w:cs="Arial"/>
          <w:b/>
          <w:bCs/>
          <w:color w:val="3F4A75"/>
          <w:kern w:val="28"/>
          <w:sz w:val="44"/>
          <w:szCs w:val="36"/>
        </w:rPr>
      </w:pPr>
      <w:r>
        <w:br w:type="page"/>
      </w:r>
    </w:p>
    <w:p w14:paraId="42C9F651" w14:textId="5EECCA60" w:rsidR="00100F6D" w:rsidRPr="003F2EB5" w:rsidRDefault="00100F6D" w:rsidP="003F2EB5">
      <w:pPr>
        <w:pStyle w:val="Heading1"/>
      </w:pPr>
      <w:bookmarkStart w:id="22" w:name="_Toc132805913"/>
      <w:bookmarkStart w:id="23" w:name="_Toc133660782"/>
      <w:bookmarkStart w:id="24" w:name="_Toc135832395"/>
      <w:bookmarkStart w:id="25" w:name="_Toc135832444"/>
      <w:bookmarkStart w:id="26" w:name="_Toc136516663"/>
      <w:bookmarkStart w:id="27" w:name="_Toc136613113"/>
      <w:bookmarkStart w:id="28" w:name="_Toc149228482"/>
      <w:r w:rsidRPr="003F2EB5">
        <w:lastRenderedPageBreak/>
        <w:t>Contents</w:t>
      </w:r>
      <w:bookmarkEnd w:id="22"/>
      <w:bookmarkEnd w:id="23"/>
      <w:bookmarkEnd w:id="24"/>
      <w:bookmarkEnd w:id="25"/>
      <w:bookmarkEnd w:id="26"/>
      <w:bookmarkEnd w:id="27"/>
      <w:bookmarkEnd w:id="28"/>
    </w:p>
    <w:sdt>
      <w:sdtPr>
        <w:id w:val="-941301990"/>
        <w:docPartObj>
          <w:docPartGallery w:val="Table of Contents"/>
          <w:docPartUnique/>
        </w:docPartObj>
      </w:sdtPr>
      <w:sdtEndPr>
        <w:rPr>
          <w:noProof/>
        </w:rPr>
      </w:sdtEndPr>
      <w:sdtContent>
        <w:p w14:paraId="26C6953D" w14:textId="6941C686" w:rsidR="00653D33" w:rsidRDefault="006A63BD">
          <w:pPr>
            <w:pStyle w:val="TOC1"/>
            <w:rPr>
              <w:rFonts w:asciiTheme="minorHAnsi" w:eastAsiaTheme="minorEastAsia" w:hAnsiTheme="minorHAnsi" w:cstheme="minorBidi"/>
              <w:noProof/>
              <w:color w:val="auto"/>
              <w:szCs w:val="22"/>
              <w:lang w:eastAsia="en-AU"/>
            </w:rPr>
          </w:pPr>
          <w:r>
            <w:fldChar w:fldCharType="begin"/>
          </w:r>
          <w:r>
            <w:instrText xml:space="preserve"> TOC \o "1-3" \h \z \u </w:instrText>
          </w:r>
          <w:r>
            <w:fldChar w:fldCharType="separate"/>
          </w:r>
          <w:hyperlink w:anchor="_Toc149228479" w:history="1">
            <w:r w:rsidR="00653D33" w:rsidRPr="00404EDC">
              <w:rPr>
                <w:rStyle w:val="Hyperlink"/>
                <w:noProof/>
              </w:rPr>
              <w:t>Version Control</w:t>
            </w:r>
            <w:r w:rsidR="00653D33">
              <w:rPr>
                <w:noProof/>
                <w:webHidden/>
              </w:rPr>
              <w:tab/>
            </w:r>
            <w:r w:rsidR="00653D33">
              <w:rPr>
                <w:noProof/>
                <w:webHidden/>
              </w:rPr>
              <w:fldChar w:fldCharType="begin"/>
            </w:r>
            <w:r w:rsidR="00653D33">
              <w:rPr>
                <w:noProof/>
                <w:webHidden/>
              </w:rPr>
              <w:instrText xml:space="preserve"> PAGEREF _Toc149228479 \h </w:instrText>
            </w:r>
            <w:r w:rsidR="00653D33">
              <w:rPr>
                <w:noProof/>
                <w:webHidden/>
              </w:rPr>
            </w:r>
            <w:r w:rsidR="00653D33">
              <w:rPr>
                <w:noProof/>
                <w:webHidden/>
              </w:rPr>
              <w:fldChar w:fldCharType="separate"/>
            </w:r>
            <w:r w:rsidR="00552628">
              <w:rPr>
                <w:noProof/>
                <w:webHidden/>
              </w:rPr>
              <w:t>ii</w:t>
            </w:r>
            <w:r w:rsidR="00653D33">
              <w:rPr>
                <w:noProof/>
                <w:webHidden/>
              </w:rPr>
              <w:fldChar w:fldCharType="end"/>
            </w:r>
          </w:hyperlink>
        </w:p>
        <w:p w14:paraId="2B581E7A" w14:textId="204023FA" w:rsidR="00653D33" w:rsidRDefault="00000000">
          <w:pPr>
            <w:pStyle w:val="TOC1"/>
            <w:rPr>
              <w:rFonts w:asciiTheme="minorHAnsi" w:eastAsiaTheme="minorEastAsia" w:hAnsiTheme="minorHAnsi" w:cstheme="minorBidi"/>
              <w:noProof/>
              <w:color w:val="auto"/>
              <w:szCs w:val="22"/>
              <w:lang w:eastAsia="en-AU"/>
            </w:rPr>
          </w:pPr>
          <w:hyperlink w:anchor="_Toc149228480" w:history="1">
            <w:r w:rsidR="00653D33" w:rsidRPr="00404EDC">
              <w:rPr>
                <w:rStyle w:val="Hyperlink"/>
                <w:noProof/>
              </w:rPr>
              <w:t>Document Location</w:t>
            </w:r>
            <w:r w:rsidR="00653D33">
              <w:rPr>
                <w:noProof/>
                <w:webHidden/>
              </w:rPr>
              <w:tab/>
            </w:r>
            <w:r w:rsidR="00653D33">
              <w:rPr>
                <w:noProof/>
                <w:webHidden/>
              </w:rPr>
              <w:fldChar w:fldCharType="begin"/>
            </w:r>
            <w:r w:rsidR="00653D33">
              <w:rPr>
                <w:noProof/>
                <w:webHidden/>
              </w:rPr>
              <w:instrText xml:space="preserve"> PAGEREF _Toc149228480 \h </w:instrText>
            </w:r>
            <w:r w:rsidR="00653D33">
              <w:rPr>
                <w:noProof/>
                <w:webHidden/>
              </w:rPr>
            </w:r>
            <w:r w:rsidR="00653D33">
              <w:rPr>
                <w:noProof/>
                <w:webHidden/>
              </w:rPr>
              <w:fldChar w:fldCharType="separate"/>
            </w:r>
            <w:r w:rsidR="00552628">
              <w:rPr>
                <w:noProof/>
                <w:webHidden/>
              </w:rPr>
              <w:t>ii</w:t>
            </w:r>
            <w:r w:rsidR="00653D33">
              <w:rPr>
                <w:noProof/>
                <w:webHidden/>
              </w:rPr>
              <w:fldChar w:fldCharType="end"/>
            </w:r>
          </w:hyperlink>
        </w:p>
        <w:p w14:paraId="6E95F593" w14:textId="39132306" w:rsidR="00653D33" w:rsidRDefault="00000000">
          <w:pPr>
            <w:pStyle w:val="TOC1"/>
            <w:rPr>
              <w:rFonts w:asciiTheme="minorHAnsi" w:eastAsiaTheme="minorEastAsia" w:hAnsiTheme="minorHAnsi" w:cstheme="minorBidi"/>
              <w:noProof/>
              <w:color w:val="auto"/>
              <w:szCs w:val="22"/>
              <w:lang w:eastAsia="en-AU"/>
            </w:rPr>
          </w:pPr>
          <w:hyperlink w:anchor="_Toc149228481" w:history="1">
            <w:r w:rsidR="00653D33" w:rsidRPr="00404EDC">
              <w:rPr>
                <w:rStyle w:val="Hyperlink"/>
                <w:noProof/>
              </w:rPr>
              <w:t>Related Documents</w:t>
            </w:r>
            <w:r w:rsidR="00653D33">
              <w:rPr>
                <w:noProof/>
                <w:webHidden/>
              </w:rPr>
              <w:tab/>
            </w:r>
            <w:r w:rsidR="00653D33">
              <w:rPr>
                <w:noProof/>
                <w:webHidden/>
              </w:rPr>
              <w:fldChar w:fldCharType="begin"/>
            </w:r>
            <w:r w:rsidR="00653D33">
              <w:rPr>
                <w:noProof/>
                <w:webHidden/>
              </w:rPr>
              <w:instrText xml:space="preserve"> PAGEREF _Toc149228481 \h </w:instrText>
            </w:r>
            <w:r w:rsidR="00653D33">
              <w:rPr>
                <w:noProof/>
                <w:webHidden/>
              </w:rPr>
            </w:r>
            <w:r w:rsidR="00653D33">
              <w:rPr>
                <w:noProof/>
                <w:webHidden/>
              </w:rPr>
              <w:fldChar w:fldCharType="separate"/>
            </w:r>
            <w:r w:rsidR="00552628">
              <w:rPr>
                <w:noProof/>
                <w:webHidden/>
              </w:rPr>
              <w:t>ii</w:t>
            </w:r>
            <w:r w:rsidR="00653D33">
              <w:rPr>
                <w:noProof/>
                <w:webHidden/>
              </w:rPr>
              <w:fldChar w:fldCharType="end"/>
            </w:r>
          </w:hyperlink>
        </w:p>
        <w:p w14:paraId="09FAFEA5" w14:textId="0375FA04" w:rsidR="00653D33" w:rsidRDefault="00000000">
          <w:pPr>
            <w:pStyle w:val="TOC1"/>
            <w:rPr>
              <w:rFonts w:asciiTheme="minorHAnsi" w:eastAsiaTheme="minorEastAsia" w:hAnsiTheme="minorHAnsi" w:cstheme="minorBidi"/>
              <w:noProof/>
              <w:color w:val="auto"/>
              <w:szCs w:val="22"/>
              <w:lang w:eastAsia="en-AU"/>
            </w:rPr>
          </w:pPr>
          <w:hyperlink w:anchor="_Toc149228482" w:history="1">
            <w:r w:rsidR="00653D33" w:rsidRPr="00404EDC">
              <w:rPr>
                <w:rStyle w:val="Hyperlink"/>
                <w:noProof/>
              </w:rPr>
              <w:t>Contents</w:t>
            </w:r>
            <w:r w:rsidR="00653D33">
              <w:rPr>
                <w:noProof/>
                <w:webHidden/>
              </w:rPr>
              <w:tab/>
            </w:r>
            <w:r w:rsidR="00653D33">
              <w:rPr>
                <w:noProof/>
                <w:webHidden/>
              </w:rPr>
              <w:fldChar w:fldCharType="begin"/>
            </w:r>
            <w:r w:rsidR="00653D33">
              <w:rPr>
                <w:noProof/>
                <w:webHidden/>
              </w:rPr>
              <w:instrText xml:space="preserve"> PAGEREF _Toc149228482 \h </w:instrText>
            </w:r>
            <w:r w:rsidR="00653D33">
              <w:rPr>
                <w:noProof/>
                <w:webHidden/>
              </w:rPr>
            </w:r>
            <w:r w:rsidR="00653D33">
              <w:rPr>
                <w:noProof/>
                <w:webHidden/>
              </w:rPr>
              <w:fldChar w:fldCharType="separate"/>
            </w:r>
            <w:r w:rsidR="00552628">
              <w:rPr>
                <w:noProof/>
                <w:webHidden/>
              </w:rPr>
              <w:t>iii</w:t>
            </w:r>
            <w:r w:rsidR="00653D33">
              <w:rPr>
                <w:noProof/>
                <w:webHidden/>
              </w:rPr>
              <w:fldChar w:fldCharType="end"/>
            </w:r>
          </w:hyperlink>
        </w:p>
        <w:p w14:paraId="7D07A554" w14:textId="3E5B2F53" w:rsidR="00653D33" w:rsidRDefault="00000000">
          <w:pPr>
            <w:pStyle w:val="TOC1"/>
            <w:rPr>
              <w:rFonts w:asciiTheme="minorHAnsi" w:eastAsiaTheme="minorEastAsia" w:hAnsiTheme="minorHAnsi" w:cstheme="minorBidi"/>
              <w:noProof/>
              <w:color w:val="auto"/>
              <w:szCs w:val="22"/>
              <w:lang w:eastAsia="en-AU"/>
            </w:rPr>
          </w:pPr>
          <w:hyperlink w:anchor="_Toc149228483" w:history="1">
            <w:r w:rsidR="00653D33" w:rsidRPr="00404EDC">
              <w:rPr>
                <w:rStyle w:val="Hyperlink"/>
                <w:noProof/>
              </w:rPr>
              <w:t>Abbreviations and Acronyms</w:t>
            </w:r>
            <w:r w:rsidR="00653D33">
              <w:rPr>
                <w:noProof/>
                <w:webHidden/>
              </w:rPr>
              <w:tab/>
            </w:r>
            <w:r w:rsidR="00653D33">
              <w:rPr>
                <w:noProof/>
                <w:webHidden/>
              </w:rPr>
              <w:fldChar w:fldCharType="begin"/>
            </w:r>
            <w:r w:rsidR="00653D33">
              <w:rPr>
                <w:noProof/>
                <w:webHidden/>
              </w:rPr>
              <w:instrText xml:space="preserve"> PAGEREF _Toc149228483 \h </w:instrText>
            </w:r>
            <w:r w:rsidR="00653D33">
              <w:rPr>
                <w:noProof/>
                <w:webHidden/>
              </w:rPr>
            </w:r>
            <w:r w:rsidR="00653D33">
              <w:rPr>
                <w:noProof/>
                <w:webHidden/>
              </w:rPr>
              <w:fldChar w:fldCharType="separate"/>
            </w:r>
            <w:r w:rsidR="00552628">
              <w:rPr>
                <w:noProof/>
                <w:webHidden/>
              </w:rPr>
              <w:t>vi</w:t>
            </w:r>
            <w:r w:rsidR="00653D33">
              <w:rPr>
                <w:noProof/>
                <w:webHidden/>
              </w:rPr>
              <w:fldChar w:fldCharType="end"/>
            </w:r>
          </w:hyperlink>
        </w:p>
        <w:p w14:paraId="295E79DC" w14:textId="0C32D192" w:rsidR="00653D33" w:rsidRDefault="00000000">
          <w:pPr>
            <w:pStyle w:val="TOC1"/>
            <w:rPr>
              <w:rFonts w:asciiTheme="minorHAnsi" w:eastAsiaTheme="minorEastAsia" w:hAnsiTheme="minorHAnsi" w:cstheme="minorBidi"/>
              <w:noProof/>
              <w:color w:val="auto"/>
              <w:szCs w:val="22"/>
              <w:lang w:eastAsia="en-AU"/>
            </w:rPr>
          </w:pPr>
          <w:hyperlink w:anchor="_Toc149228484" w:history="1">
            <w:r w:rsidR="00653D33" w:rsidRPr="00404EDC">
              <w:rPr>
                <w:rStyle w:val="Hyperlink"/>
                <w:noProof/>
              </w:rPr>
              <w:t>PART 1: OPERATIONAL INSTRUCTIONS</w:t>
            </w:r>
            <w:r w:rsidR="00653D33">
              <w:rPr>
                <w:noProof/>
                <w:webHidden/>
              </w:rPr>
              <w:tab/>
            </w:r>
            <w:r w:rsidR="00653D33">
              <w:rPr>
                <w:noProof/>
                <w:webHidden/>
              </w:rPr>
              <w:fldChar w:fldCharType="begin"/>
            </w:r>
            <w:r w:rsidR="00653D33">
              <w:rPr>
                <w:noProof/>
                <w:webHidden/>
              </w:rPr>
              <w:instrText xml:space="preserve"> PAGEREF _Toc149228484 \h </w:instrText>
            </w:r>
            <w:r w:rsidR="00653D33">
              <w:rPr>
                <w:noProof/>
                <w:webHidden/>
              </w:rPr>
            </w:r>
            <w:r w:rsidR="00653D33">
              <w:rPr>
                <w:noProof/>
                <w:webHidden/>
              </w:rPr>
              <w:fldChar w:fldCharType="separate"/>
            </w:r>
            <w:r w:rsidR="00552628">
              <w:rPr>
                <w:noProof/>
                <w:webHidden/>
              </w:rPr>
              <w:t>1</w:t>
            </w:r>
            <w:r w:rsidR="00653D33">
              <w:rPr>
                <w:noProof/>
                <w:webHidden/>
              </w:rPr>
              <w:fldChar w:fldCharType="end"/>
            </w:r>
          </w:hyperlink>
        </w:p>
        <w:p w14:paraId="2875A798" w14:textId="1FD5B6E3" w:rsidR="00653D33" w:rsidRDefault="00000000">
          <w:pPr>
            <w:pStyle w:val="TOC1"/>
            <w:rPr>
              <w:rFonts w:asciiTheme="minorHAnsi" w:eastAsiaTheme="minorEastAsia" w:hAnsiTheme="minorHAnsi" w:cstheme="minorBidi"/>
              <w:noProof/>
              <w:color w:val="auto"/>
              <w:szCs w:val="22"/>
              <w:lang w:eastAsia="en-AU"/>
            </w:rPr>
          </w:pPr>
          <w:hyperlink w:anchor="_Toc149228485" w:history="1">
            <w:r w:rsidR="00653D33" w:rsidRPr="00404EDC">
              <w:rPr>
                <w:rStyle w:val="Hyperlink"/>
                <w:noProof/>
              </w:rPr>
              <w:t>Chapter 1: About this Guide</w:t>
            </w:r>
            <w:r w:rsidR="00653D33">
              <w:rPr>
                <w:noProof/>
                <w:webHidden/>
              </w:rPr>
              <w:tab/>
            </w:r>
            <w:r w:rsidR="00653D33">
              <w:rPr>
                <w:noProof/>
                <w:webHidden/>
              </w:rPr>
              <w:fldChar w:fldCharType="begin"/>
            </w:r>
            <w:r w:rsidR="00653D33">
              <w:rPr>
                <w:noProof/>
                <w:webHidden/>
              </w:rPr>
              <w:instrText xml:space="preserve"> PAGEREF _Toc149228485 \h </w:instrText>
            </w:r>
            <w:r w:rsidR="00653D33">
              <w:rPr>
                <w:noProof/>
                <w:webHidden/>
              </w:rPr>
            </w:r>
            <w:r w:rsidR="00653D33">
              <w:rPr>
                <w:noProof/>
                <w:webHidden/>
              </w:rPr>
              <w:fldChar w:fldCharType="separate"/>
            </w:r>
            <w:r w:rsidR="00552628">
              <w:rPr>
                <w:noProof/>
                <w:webHidden/>
              </w:rPr>
              <w:t>1</w:t>
            </w:r>
            <w:r w:rsidR="00653D33">
              <w:rPr>
                <w:noProof/>
                <w:webHidden/>
              </w:rPr>
              <w:fldChar w:fldCharType="end"/>
            </w:r>
          </w:hyperlink>
        </w:p>
        <w:p w14:paraId="44AB2E50" w14:textId="7BA842C5" w:rsidR="00653D33" w:rsidRDefault="00000000">
          <w:pPr>
            <w:pStyle w:val="TOC2"/>
            <w:rPr>
              <w:rFonts w:asciiTheme="minorHAnsi" w:eastAsiaTheme="minorEastAsia" w:hAnsiTheme="minorHAnsi" w:cstheme="minorBidi"/>
              <w:noProof/>
              <w:color w:val="auto"/>
              <w:szCs w:val="22"/>
              <w:lang w:eastAsia="en-AU"/>
            </w:rPr>
          </w:pPr>
          <w:hyperlink w:anchor="_Toc149228486" w:history="1">
            <w:r w:rsidR="00653D33" w:rsidRPr="00404EDC">
              <w:rPr>
                <w:rStyle w:val="Hyperlink"/>
                <w:noProof/>
              </w:rPr>
              <w:t>What is the Prescribed List of Medical Devices and Human Tissue Products Guide (the Guide)?</w:t>
            </w:r>
            <w:r w:rsidR="00653D33">
              <w:rPr>
                <w:noProof/>
                <w:webHidden/>
              </w:rPr>
              <w:tab/>
            </w:r>
            <w:r w:rsidR="00653D33">
              <w:rPr>
                <w:noProof/>
                <w:webHidden/>
              </w:rPr>
              <w:fldChar w:fldCharType="begin"/>
            </w:r>
            <w:r w:rsidR="00653D33">
              <w:rPr>
                <w:noProof/>
                <w:webHidden/>
              </w:rPr>
              <w:instrText xml:space="preserve"> PAGEREF _Toc149228486 \h </w:instrText>
            </w:r>
            <w:r w:rsidR="00653D33">
              <w:rPr>
                <w:noProof/>
                <w:webHidden/>
              </w:rPr>
            </w:r>
            <w:r w:rsidR="00653D33">
              <w:rPr>
                <w:noProof/>
                <w:webHidden/>
              </w:rPr>
              <w:fldChar w:fldCharType="separate"/>
            </w:r>
            <w:r w:rsidR="00552628">
              <w:rPr>
                <w:noProof/>
                <w:webHidden/>
              </w:rPr>
              <w:t>1</w:t>
            </w:r>
            <w:r w:rsidR="00653D33">
              <w:rPr>
                <w:noProof/>
                <w:webHidden/>
              </w:rPr>
              <w:fldChar w:fldCharType="end"/>
            </w:r>
          </w:hyperlink>
        </w:p>
        <w:p w14:paraId="761C8076" w14:textId="56224678" w:rsidR="00653D33" w:rsidRDefault="00000000">
          <w:pPr>
            <w:pStyle w:val="TOC2"/>
            <w:rPr>
              <w:rFonts w:asciiTheme="minorHAnsi" w:eastAsiaTheme="minorEastAsia" w:hAnsiTheme="minorHAnsi" w:cstheme="minorBidi"/>
              <w:noProof/>
              <w:color w:val="auto"/>
              <w:szCs w:val="22"/>
              <w:lang w:eastAsia="en-AU"/>
            </w:rPr>
          </w:pPr>
          <w:hyperlink w:anchor="_Toc149228487" w:history="1">
            <w:r w:rsidR="00653D33" w:rsidRPr="00404EDC">
              <w:rPr>
                <w:rStyle w:val="Hyperlink"/>
                <w:noProof/>
              </w:rPr>
              <w:t>Who is the intended user of the Guide?</w:t>
            </w:r>
            <w:r w:rsidR="00653D33">
              <w:rPr>
                <w:noProof/>
                <w:webHidden/>
              </w:rPr>
              <w:tab/>
            </w:r>
            <w:r w:rsidR="00653D33">
              <w:rPr>
                <w:noProof/>
                <w:webHidden/>
              </w:rPr>
              <w:fldChar w:fldCharType="begin"/>
            </w:r>
            <w:r w:rsidR="00653D33">
              <w:rPr>
                <w:noProof/>
                <w:webHidden/>
              </w:rPr>
              <w:instrText xml:space="preserve"> PAGEREF _Toc149228487 \h </w:instrText>
            </w:r>
            <w:r w:rsidR="00653D33">
              <w:rPr>
                <w:noProof/>
                <w:webHidden/>
              </w:rPr>
            </w:r>
            <w:r w:rsidR="00653D33">
              <w:rPr>
                <w:noProof/>
                <w:webHidden/>
              </w:rPr>
              <w:fldChar w:fldCharType="separate"/>
            </w:r>
            <w:r w:rsidR="00552628">
              <w:rPr>
                <w:noProof/>
                <w:webHidden/>
              </w:rPr>
              <w:t>1</w:t>
            </w:r>
            <w:r w:rsidR="00653D33">
              <w:rPr>
                <w:noProof/>
                <w:webHidden/>
              </w:rPr>
              <w:fldChar w:fldCharType="end"/>
            </w:r>
          </w:hyperlink>
        </w:p>
        <w:p w14:paraId="3E79210F" w14:textId="330FA4BE" w:rsidR="00653D33" w:rsidRDefault="00000000">
          <w:pPr>
            <w:pStyle w:val="TOC2"/>
            <w:rPr>
              <w:rFonts w:asciiTheme="minorHAnsi" w:eastAsiaTheme="minorEastAsia" w:hAnsiTheme="minorHAnsi" w:cstheme="minorBidi"/>
              <w:noProof/>
              <w:color w:val="auto"/>
              <w:szCs w:val="22"/>
              <w:lang w:eastAsia="en-AU"/>
            </w:rPr>
          </w:pPr>
          <w:hyperlink w:anchor="_Toc149228488" w:history="1">
            <w:r w:rsidR="00653D33" w:rsidRPr="00404EDC">
              <w:rPr>
                <w:rStyle w:val="Hyperlink"/>
                <w:noProof/>
              </w:rPr>
              <w:t>Additional information and resources that support this Guide</w:t>
            </w:r>
            <w:r w:rsidR="00653D33">
              <w:rPr>
                <w:noProof/>
                <w:webHidden/>
              </w:rPr>
              <w:tab/>
            </w:r>
            <w:r w:rsidR="00653D33">
              <w:rPr>
                <w:noProof/>
                <w:webHidden/>
              </w:rPr>
              <w:fldChar w:fldCharType="begin"/>
            </w:r>
            <w:r w:rsidR="00653D33">
              <w:rPr>
                <w:noProof/>
                <w:webHidden/>
              </w:rPr>
              <w:instrText xml:space="preserve"> PAGEREF _Toc149228488 \h </w:instrText>
            </w:r>
            <w:r w:rsidR="00653D33">
              <w:rPr>
                <w:noProof/>
                <w:webHidden/>
              </w:rPr>
            </w:r>
            <w:r w:rsidR="00653D33">
              <w:rPr>
                <w:noProof/>
                <w:webHidden/>
              </w:rPr>
              <w:fldChar w:fldCharType="separate"/>
            </w:r>
            <w:r w:rsidR="00552628">
              <w:rPr>
                <w:noProof/>
                <w:webHidden/>
              </w:rPr>
              <w:t>1</w:t>
            </w:r>
            <w:r w:rsidR="00653D33">
              <w:rPr>
                <w:noProof/>
                <w:webHidden/>
              </w:rPr>
              <w:fldChar w:fldCharType="end"/>
            </w:r>
          </w:hyperlink>
        </w:p>
        <w:p w14:paraId="47F60F65" w14:textId="1B1479D2" w:rsidR="00653D33" w:rsidRDefault="00000000">
          <w:pPr>
            <w:pStyle w:val="TOC2"/>
            <w:rPr>
              <w:rFonts w:asciiTheme="minorHAnsi" w:eastAsiaTheme="minorEastAsia" w:hAnsiTheme="minorHAnsi" w:cstheme="minorBidi"/>
              <w:noProof/>
              <w:color w:val="auto"/>
              <w:szCs w:val="22"/>
              <w:lang w:eastAsia="en-AU"/>
            </w:rPr>
          </w:pPr>
          <w:hyperlink w:anchor="_Toc149228489" w:history="1">
            <w:r w:rsidR="00653D33" w:rsidRPr="00404EDC">
              <w:rPr>
                <w:rStyle w:val="Hyperlink"/>
                <w:noProof/>
              </w:rPr>
              <w:t>How is this Guide structured</w:t>
            </w:r>
            <w:r w:rsidR="00653D33">
              <w:rPr>
                <w:noProof/>
                <w:webHidden/>
              </w:rPr>
              <w:tab/>
            </w:r>
            <w:r w:rsidR="00653D33">
              <w:rPr>
                <w:noProof/>
                <w:webHidden/>
              </w:rPr>
              <w:fldChar w:fldCharType="begin"/>
            </w:r>
            <w:r w:rsidR="00653D33">
              <w:rPr>
                <w:noProof/>
                <w:webHidden/>
              </w:rPr>
              <w:instrText xml:space="preserve"> PAGEREF _Toc149228489 \h </w:instrText>
            </w:r>
            <w:r w:rsidR="00653D33">
              <w:rPr>
                <w:noProof/>
                <w:webHidden/>
              </w:rPr>
            </w:r>
            <w:r w:rsidR="00653D33">
              <w:rPr>
                <w:noProof/>
                <w:webHidden/>
              </w:rPr>
              <w:fldChar w:fldCharType="separate"/>
            </w:r>
            <w:r w:rsidR="00552628">
              <w:rPr>
                <w:noProof/>
                <w:webHidden/>
              </w:rPr>
              <w:t>2</w:t>
            </w:r>
            <w:r w:rsidR="00653D33">
              <w:rPr>
                <w:noProof/>
                <w:webHidden/>
              </w:rPr>
              <w:fldChar w:fldCharType="end"/>
            </w:r>
          </w:hyperlink>
        </w:p>
        <w:p w14:paraId="45B97274" w14:textId="33302C26" w:rsidR="00653D33" w:rsidRDefault="00000000">
          <w:pPr>
            <w:pStyle w:val="TOC2"/>
            <w:rPr>
              <w:rFonts w:asciiTheme="minorHAnsi" w:eastAsiaTheme="minorEastAsia" w:hAnsiTheme="minorHAnsi" w:cstheme="minorBidi"/>
              <w:noProof/>
              <w:color w:val="auto"/>
              <w:szCs w:val="22"/>
              <w:lang w:eastAsia="en-AU"/>
            </w:rPr>
          </w:pPr>
          <w:hyperlink w:anchor="_Toc149228490" w:history="1">
            <w:r w:rsidR="00653D33" w:rsidRPr="00404EDC">
              <w:rPr>
                <w:rStyle w:val="Hyperlink"/>
                <w:noProof/>
              </w:rPr>
              <w:t>Updates to the Guide</w:t>
            </w:r>
            <w:r w:rsidR="00653D33">
              <w:rPr>
                <w:noProof/>
                <w:webHidden/>
              </w:rPr>
              <w:tab/>
            </w:r>
            <w:r w:rsidR="00653D33">
              <w:rPr>
                <w:noProof/>
                <w:webHidden/>
              </w:rPr>
              <w:fldChar w:fldCharType="begin"/>
            </w:r>
            <w:r w:rsidR="00653D33">
              <w:rPr>
                <w:noProof/>
                <w:webHidden/>
              </w:rPr>
              <w:instrText xml:space="preserve"> PAGEREF _Toc149228490 \h </w:instrText>
            </w:r>
            <w:r w:rsidR="00653D33">
              <w:rPr>
                <w:noProof/>
                <w:webHidden/>
              </w:rPr>
            </w:r>
            <w:r w:rsidR="00653D33">
              <w:rPr>
                <w:noProof/>
                <w:webHidden/>
              </w:rPr>
              <w:fldChar w:fldCharType="separate"/>
            </w:r>
            <w:r w:rsidR="00552628">
              <w:rPr>
                <w:noProof/>
                <w:webHidden/>
              </w:rPr>
              <w:t>2</w:t>
            </w:r>
            <w:r w:rsidR="00653D33">
              <w:rPr>
                <w:noProof/>
                <w:webHidden/>
              </w:rPr>
              <w:fldChar w:fldCharType="end"/>
            </w:r>
          </w:hyperlink>
        </w:p>
        <w:p w14:paraId="7668A108" w14:textId="43DBB8C1" w:rsidR="00653D33" w:rsidRDefault="00000000">
          <w:pPr>
            <w:pStyle w:val="TOC2"/>
            <w:rPr>
              <w:rFonts w:asciiTheme="minorHAnsi" w:eastAsiaTheme="minorEastAsia" w:hAnsiTheme="minorHAnsi" w:cstheme="minorBidi"/>
              <w:noProof/>
              <w:color w:val="auto"/>
              <w:szCs w:val="22"/>
              <w:lang w:eastAsia="en-AU"/>
            </w:rPr>
          </w:pPr>
          <w:hyperlink w:anchor="_Toc149228491" w:history="1">
            <w:r w:rsidR="00653D33" w:rsidRPr="00404EDC">
              <w:rPr>
                <w:rStyle w:val="Hyperlink"/>
                <w:noProof/>
              </w:rPr>
              <w:t>How to provide feedback on the Guide</w:t>
            </w:r>
            <w:r w:rsidR="00653D33">
              <w:rPr>
                <w:noProof/>
                <w:webHidden/>
              </w:rPr>
              <w:tab/>
            </w:r>
            <w:r w:rsidR="00653D33">
              <w:rPr>
                <w:noProof/>
                <w:webHidden/>
              </w:rPr>
              <w:fldChar w:fldCharType="begin"/>
            </w:r>
            <w:r w:rsidR="00653D33">
              <w:rPr>
                <w:noProof/>
                <w:webHidden/>
              </w:rPr>
              <w:instrText xml:space="preserve"> PAGEREF _Toc149228491 \h </w:instrText>
            </w:r>
            <w:r w:rsidR="00653D33">
              <w:rPr>
                <w:noProof/>
                <w:webHidden/>
              </w:rPr>
            </w:r>
            <w:r w:rsidR="00653D33">
              <w:rPr>
                <w:noProof/>
                <w:webHidden/>
              </w:rPr>
              <w:fldChar w:fldCharType="separate"/>
            </w:r>
            <w:r w:rsidR="00552628">
              <w:rPr>
                <w:noProof/>
                <w:webHidden/>
              </w:rPr>
              <w:t>2</w:t>
            </w:r>
            <w:r w:rsidR="00653D33">
              <w:rPr>
                <w:noProof/>
                <w:webHidden/>
              </w:rPr>
              <w:fldChar w:fldCharType="end"/>
            </w:r>
          </w:hyperlink>
        </w:p>
        <w:p w14:paraId="26F6A865" w14:textId="74F7144A" w:rsidR="00653D33" w:rsidRDefault="00000000">
          <w:pPr>
            <w:pStyle w:val="TOC1"/>
            <w:rPr>
              <w:rFonts w:asciiTheme="minorHAnsi" w:eastAsiaTheme="minorEastAsia" w:hAnsiTheme="minorHAnsi" w:cstheme="minorBidi"/>
              <w:noProof/>
              <w:color w:val="auto"/>
              <w:szCs w:val="22"/>
              <w:lang w:eastAsia="en-AU"/>
            </w:rPr>
          </w:pPr>
          <w:hyperlink w:anchor="_Toc149228492" w:history="1">
            <w:r w:rsidR="00653D33" w:rsidRPr="00404EDC">
              <w:rPr>
                <w:rStyle w:val="Hyperlink"/>
                <w:noProof/>
              </w:rPr>
              <w:t>Chapter 2: Overview</w:t>
            </w:r>
            <w:r w:rsidR="00653D33">
              <w:rPr>
                <w:noProof/>
                <w:webHidden/>
              </w:rPr>
              <w:tab/>
            </w:r>
            <w:r w:rsidR="00653D33">
              <w:rPr>
                <w:noProof/>
                <w:webHidden/>
              </w:rPr>
              <w:fldChar w:fldCharType="begin"/>
            </w:r>
            <w:r w:rsidR="00653D33">
              <w:rPr>
                <w:noProof/>
                <w:webHidden/>
              </w:rPr>
              <w:instrText xml:space="preserve"> PAGEREF _Toc149228492 \h </w:instrText>
            </w:r>
            <w:r w:rsidR="00653D33">
              <w:rPr>
                <w:noProof/>
                <w:webHidden/>
              </w:rPr>
            </w:r>
            <w:r w:rsidR="00653D33">
              <w:rPr>
                <w:noProof/>
                <w:webHidden/>
              </w:rPr>
              <w:fldChar w:fldCharType="separate"/>
            </w:r>
            <w:r w:rsidR="00552628">
              <w:rPr>
                <w:noProof/>
                <w:webHidden/>
              </w:rPr>
              <w:t>2</w:t>
            </w:r>
            <w:r w:rsidR="00653D33">
              <w:rPr>
                <w:noProof/>
                <w:webHidden/>
              </w:rPr>
              <w:fldChar w:fldCharType="end"/>
            </w:r>
          </w:hyperlink>
        </w:p>
        <w:p w14:paraId="5FA6E12A" w14:textId="3139B589" w:rsidR="00653D33" w:rsidRDefault="00000000">
          <w:pPr>
            <w:pStyle w:val="TOC2"/>
            <w:rPr>
              <w:rFonts w:asciiTheme="minorHAnsi" w:eastAsiaTheme="minorEastAsia" w:hAnsiTheme="minorHAnsi" w:cstheme="minorBidi"/>
              <w:noProof/>
              <w:color w:val="auto"/>
              <w:szCs w:val="22"/>
              <w:lang w:eastAsia="en-AU"/>
            </w:rPr>
          </w:pPr>
          <w:hyperlink w:anchor="_Toc149228493" w:history="1">
            <w:r w:rsidR="00653D33" w:rsidRPr="00404EDC">
              <w:rPr>
                <w:rStyle w:val="Hyperlink"/>
                <w:noProof/>
              </w:rPr>
              <w:t>What is the Prescribed List?</w:t>
            </w:r>
            <w:r w:rsidR="00653D33">
              <w:rPr>
                <w:noProof/>
                <w:webHidden/>
              </w:rPr>
              <w:tab/>
            </w:r>
            <w:r w:rsidR="00653D33">
              <w:rPr>
                <w:noProof/>
                <w:webHidden/>
              </w:rPr>
              <w:fldChar w:fldCharType="begin"/>
            </w:r>
            <w:r w:rsidR="00653D33">
              <w:rPr>
                <w:noProof/>
                <w:webHidden/>
              </w:rPr>
              <w:instrText xml:space="preserve"> PAGEREF _Toc149228493 \h </w:instrText>
            </w:r>
            <w:r w:rsidR="00653D33">
              <w:rPr>
                <w:noProof/>
                <w:webHidden/>
              </w:rPr>
            </w:r>
            <w:r w:rsidR="00653D33">
              <w:rPr>
                <w:noProof/>
                <w:webHidden/>
              </w:rPr>
              <w:fldChar w:fldCharType="separate"/>
            </w:r>
            <w:r w:rsidR="00552628">
              <w:rPr>
                <w:noProof/>
                <w:webHidden/>
              </w:rPr>
              <w:t>2</w:t>
            </w:r>
            <w:r w:rsidR="00653D33">
              <w:rPr>
                <w:noProof/>
                <w:webHidden/>
              </w:rPr>
              <w:fldChar w:fldCharType="end"/>
            </w:r>
          </w:hyperlink>
        </w:p>
        <w:p w14:paraId="2018E41F" w14:textId="33954F22" w:rsidR="00653D33" w:rsidRDefault="00000000">
          <w:pPr>
            <w:pStyle w:val="TOC2"/>
            <w:rPr>
              <w:rFonts w:asciiTheme="minorHAnsi" w:eastAsiaTheme="minorEastAsia" w:hAnsiTheme="minorHAnsi" w:cstheme="minorBidi"/>
              <w:noProof/>
              <w:color w:val="auto"/>
              <w:szCs w:val="22"/>
              <w:lang w:eastAsia="en-AU"/>
            </w:rPr>
          </w:pPr>
          <w:hyperlink w:anchor="_Toc149228494" w:history="1">
            <w:r w:rsidR="00653D33" w:rsidRPr="00404EDC">
              <w:rPr>
                <w:rStyle w:val="Hyperlink"/>
                <w:noProof/>
              </w:rPr>
              <w:t>Structure of the Prescribed List</w:t>
            </w:r>
            <w:r w:rsidR="00653D33">
              <w:rPr>
                <w:noProof/>
                <w:webHidden/>
              </w:rPr>
              <w:tab/>
            </w:r>
            <w:r w:rsidR="00653D33">
              <w:rPr>
                <w:noProof/>
                <w:webHidden/>
              </w:rPr>
              <w:fldChar w:fldCharType="begin"/>
            </w:r>
            <w:r w:rsidR="00653D33">
              <w:rPr>
                <w:noProof/>
                <w:webHidden/>
              </w:rPr>
              <w:instrText xml:space="preserve"> PAGEREF _Toc149228494 \h </w:instrText>
            </w:r>
            <w:r w:rsidR="00653D33">
              <w:rPr>
                <w:noProof/>
                <w:webHidden/>
              </w:rPr>
            </w:r>
            <w:r w:rsidR="00653D33">
              <w:rPr>
                <w:noProof/>
                <w:webHidden/>
              </w:rPr>
              <w:fldChar w:fldCharType="separate"/>
            </w:r>
            <w:r w:rsidR="00552628">
              <w:rPr>
                <w:noProof/>
                <w:webHidden/>
              </w:rPr>
              <w:t>4</w:t>
            </w:r>
            <w:r w:rsidR="00653D33">
              <w:rPr>
                <w:noProof/>
                <w:webHidden/>
              </w:rPr>
              <w:fldChar w:fldCharType="end"/>
            </w:r>
          </w:hyperlink>
        </w:p>
        <w:p w14:paraId="75F44742" w14:textId="4669821A" w:rsidR="00653D33" w:rsidRDefault="00000000">
          <w:pPr>
            <w:pStyle w:val="TOC2"/>
            <w:rPr>
              <w:rFonts w:asciiTheme="minorHAnsi" w:eastAsiaTheme="minorEastAsia" w:hAnsiTheme="minorHAnsi" w:cstheme="minorBidi"/>
              <w:noProof/>
              <w:color w:val="auto"/>
              <w:szCs w:val="22"/>
              <w:lang w:eastAsia="en-AU"/>
            </w:rPr>
          </w:pPr>
          <w:hyperlink w:anchor="_Toc149228495" w:history="1">
            <w:r w:rsidR="00653D33" w:rsidRPr="00404EDC">
              <w:rPr>
                <w:rStyle w:val="Hyperlink"/>
                <w:noProof/>
              </w:rPr>
              <w:t>Billing codes and catalogue numbers</w:t>
            </w:r>
            <w:r w:rsidR="00653D33">
              <w:rPr>
                <w:noProof/>
                <w:webHidden/>
              </w:rPr>
              <w:tab/>
            </w:r>
            <w:r w:rsidR="00653D33">
              <w:rPr>
                <w:noProof/>
                <w:webHidden/>
              </w:rPr>
              <w:fldChar w:fldCharType="begin"/>
            </w:r>
            <w:r w:rsidR="00653D33">
              <w:rPr>
                <w:noProof/>
                <w:webHidden/>
              </w:rPr>
              <w:instrText xml:space="preserve"> PAGEREF _Toc149228495 \h </w:instrText>
            </w:r>
            <w:r w:rsidR="00653D33">
              <w:rPr>
                <w:noProof/>
                <w:webHidden/>
              </w:rPr>
            </w:r>
            <w:r w:rsidR="00653D33">
              <w:rPr>
                <w:noProof/>
                <w:webHidden/>
              </w:rPr>
              <w:fldChar w:fldCharType="separate"/>
            </w:r>
            <w:r w:rsidR="00552628">
              <w:rPr>
                <w:noProof/>
                <w:webHidden/>
              </w:rPr>
              <w:t>5</w:t>
            </w:r>
            <w:r w:rsidR="00653D33">
              <w:rPr>
                <w:noProof/>
                <w:webHidden/>
              </w:rPr>
              <w:fldChar w:fldCharType="end"/>
            </w:r>
          </w:hyperlink>
        </w:p>
        <w:p w14:paraId="375EB28D" w14:textId="1A385899" w:rsidR="00653D33" w:rsidRDefault="00000000">
          <w:pPr>
            <w:pStyle w:val="TOC2"/>
            <w:rPr>
              <w:rFonts w:asciiTheme="minorHAnsi" w:eastAsiaTheme="minorEastAsia" w:hAnsiTheme="minorHAnsi" w:cstheme="minorBidi"/>
              <w:noProof/>
              <w:color w:val="auto"/>
              <w:szCs w:val="22"/>
              <w:lang w:eastAsia="en-AU"/>
            </w:rPr>
          </w:pPr>
          <w:hyperlink w:anchor="_Toc149228496" w:history="1">
            <w:r w:rsidR="00653D33" w:rsidRPr="00404EDC">
              <w:rPr>
                <w:rStyle w:val="Hyperlink"/>
                <w:noProof/>
              </w:rPr>
              <w:t>Health technology assessment in Australia</w:t>
            </w:r>
            <w:r w:rsidR="00653D33">
              <w:rPr>
                <w:noProof/>
                <w:webHidden/>
              </w:rPr>
              <w:tab/>
            </w:r>
            <w:r w:rsidR="00653D33">
              <w:rPr>
                <w:noProof/>
                <w:webHidden/>
              </w:rPr>
              <w:fldChar w:fldCharType="begin"/>
            </w:r>
            <w:r w:rsidR="00653D33">
              <w:rPr>
                <w:noProof/>
                <w:webHidden/>
              </w:rPr>
              <w:instrText xml:space="preserve"> PAGEREF _Toc149228496 \h </w:instrText>
            </w:r>
            <w:r w:rsidR="00653D33">
              <w:rPr>
                <w:noProof/>
                <w:webHidden/>
              </w:rPr>
            </w:r>
            <w:r w:rsidR="00653D33">
              <w:rPr>
                <w:noProof/>
                <w:webHidden/>
              </w:rPr>
              <w:fldChar w:fldCharType="separate"/>
            </w:r>
            <w:r w:rsidR="00552628">
              <w:rPr>
                <w:noProof/>
                <w:webHidden/>
              </w:rPr>
              <w:t>6</w:t>
            </w:r>
            <w:r w:rsidR="00653D33">
              <w:rPr>
                <w:noProof/>
                <w:webHidden/>
              </w:rPr>
              <w:fldChar w:fldCharType="end"/>
            </w:r>
          </w:hyperlink>
        </w:p>
        <w:p w14:paraId="46F4A390" w14:textId="1CC77053" w:rsidR="00653D33" w:rsidRDefault="00000000">
          <w:pPr>
            <w:pStyle w:val="TOC2"/>
            <w:rPr>
              <w:rFonts w:asciiTheme="minorHAnsi" w:eastAsiaTheme="minorEastAsia" w:hAnsiTheme="minorHAnsi" w:cstheme="minorBidi"/>
              <w:noProof/>
              <w:color w:val="auto"/>
              <w:szCs w:val="22"/>
              <w:lang w:eastAsia="en-AU"/>
            </w:rPr>
          </w:pPr>
          <w:hyperlink w:anchor="_Toc149228497" w:history="1">
            <w:r w:rsidR="00653D33" w:rsidRPr="00404EDC">
              <w:rPr>
                <w:rStyle w:val="Hyperlink"/>
                <w:noProof/>
              </w:rPr>
              <w:t>Application requirements and assessment pathways</w:t>
            </w:r>
            <w:r w:rsidR="00653D33">
              <w:rPr>
                <w:noProof/>
                <w:webHidden/>
              </w:rPr>
              <w:tab/>
            </w:r>
            <w:r w:rsidR="00653D33">
              <w:rPr>
                <w:noProof/>
                <w:webHidden/>
              </w:rPr>
              <w:fldChar w:fldCharType="begin"/>
            </w:r>
            <w:r w:rsidR="00653D33">
              <w:rPr>
                <w:noProof/>
                <w:webHidden/>
              </w:rPr>
              <w:instrText xml:space="preserve"> PAGEREF _Toc149228497 \h </w:instrText>
            </w:r>
            <w:r w:rsidR="00653D33">
              <w:rPr>
                <w:noProof/>
                <w:webHidden/>
              </w:rPr>
            </w:r>
            <w:r w:rsidR="00653D33">
              <w:rPr>
                <w:noProof/>
                <w:webHidden/>
              </w:rPr>
              <w:fldChar w:fldCharType="separate"/>
            </w:r>
            <w:r w:rsidR="00552628">
              <w:rPr>
                <w:noProof/>
                <w:webHidden/>
              </w:rPr>
              <w:t>6</w:t>
            </w:r>
            <w:r w:rsidR="00653D33">
              <w:rPr>
                <w:noProof/>
                <w:webHidden/>
              </w:rPr>
              <w:fldChar w:fldCharType="end"/>
            </w:r>
          </w:hyperlink>
        </w:p>
        <w:p w14:paraId="3233AB12" w14:textId="168004FD" w:rsidR="00653D33" w:rsidRDefault="00000000">
          <w:pPr>
            <w:pStyle w:val="TOC2"/>
            <w:rPr>
              <w:rFonts w:asciiTheme="minorHAnsi" w:eastAsiaTheme="minorEastAsia" w:hAnsiTheme="minorHAnsi" w:cstheme="minorBidi"/>
              <w:noProof/>
              <w:color w:val="auto"/>
              <w:szCs w:val="22"/>
              <w:lang w:eastAsia="en-AU"/>
            </w:rPr>
          </w:pPr>
          <w:hyperlink w:anchor="_Toc149228498" w:history="1">
            <w:r w:rsidR="00653D33" w:rsidRPr="00404EDC">
              <w:rPr>
                <w:rStyle w:val="Hyperlink"/>
                <w:noProof/>
              </w:rPr>
              <w:t>Post-listing reviews</w:t>
            </w:r>
            <w:r w:rsidR="00653D33">
              <w:rPr>
                <w:noProof/>
                <w:webHidden/>
              </w:rPr>
              <w:tab/>
            </w:r>
            <w:r w:rsidR="00653D33">
              <w:rPr>
                <w:noProof/>
                <w:webHidden/>
              </w:rPr>
              <w:fldChar w:fldCharType="begin"/>
            </w:r>
            <w:r w:rsidR="00653D33">
              <w:rPr>
                <w:noProof/>
                <w:webHidden/>
              </w:rPr>
              <w:instrText xml:space="preserve"> PAGEREF _Toc149228498 \h </w:instrText>
            </w:r>
            <w:r w:rsidR="00653D33">
              <w:rPr>
                <w:noProof/>
                <w:webHidden/>
              </w:rPr>
            </w:r>
            <w:r w:rsidR="00653D33">
              <w:rPr>
                <w:noProof/>
                <w:webHidden/>
              </w:rPr>
              <w:fldChar w:fldCharType="separate"/>
            </w:r>
            <w:r w:rsidR="00552628">
              <w:rPr>
                <w:noProof/>
                <w:webHidden/>
              </w:rPr>
              <w:t>11</w:t>
            </w:r>
            <w:r w:rsidR="00653D33">
              <w:rPr>
                <w:noProof/>
                <w:webHidden/>
              </w:rPr>
              <w:fldChar w:fldCharType="end"/>
            </w:r>
          </w:hyperlink>
        </w:p>
        <w:p w14:paraId="0336B0A1" w14:textId="2A970561" w:rsidR="00653D33" w:rsidRDefault="00000000">
          <w:pPr>
            <w:pStyle w:val="TOC2"/>
            <w:rPr>
              <w:rFonts w:asciiTheme="minorHAnsi" w:eastAsiaTheme="minorEastAsia" w:hAnsiTheme="minorHAnsi" w:cstheme="minorBidi"/>
              <w:noProof/>
              <w:color w:val="auto"/>
              <w:szCs w:val="22"/>
              <w:lang w:eastAsia="en-AU"/>
            </w:rPr>
          </w:pPr>
          <w:hyperlink w:anchor="_Toc149228499" w:history="1">
            <w:r w:rsidR="00653D33" w:rsidRPr="00404EDC">
              <w:rPr>
                <w:rStyle w:val="Hyperlink"/>
                <w:noProof/>
              </w:rPr>
              <w:t>Removal of a product from the Prescribed List</w:t>
            </w:r>
            <w:r w:rsidR="00653D33">
              <w:rPr>
                <w:noProof/>
                <w:webHidden/>
              </w:rPr>
              <w:tab/>
            </w:r>
            <w:r w:rsidR="00653D33">
              <w:rPr>
                <w:noProof/>
                <w:webHidden/>
              </w:rPr>
              <w:fldChar w:fldCharType="begin"/>
            </w:r>
            <w:r w:rsidR="00653D33">
              <w:rPr>
                <w:noProof/>
                <w:webHidden/>
              </w:rPr>
              <w:instrText xml:space="preserve"> PAGEREF _Toc149228499 \h </w:instrText>
            </w:r>
            <w:r w:rsidR="00653D33">
              <w:rPr>
                <w:noProof/>
                <w:webHidden/>
              </w:rPr>
            </w:r>
            <w:r w:rsidR="00653D33">
              <w:rPr>
                <w:noProof/>
                <w:webHidden/>
              </w:rPr>
              <w:fldChar w:fldCharType="separate"/>
            </w:r>
            <w:r w:rsidR="00552628">
              <w:rPr>
                <w:noProof/>
                <w:webHidden/>
              </w:rPr>
              <w:t>11</w:t>
            </w:r>
            <w:r w:rsidR="00653D33">
              <w:rPr>
                <w:noProof/>
                <w:webHidden/>
              </w:rPr>
              <w:fldChar w:fldCharType="end"/>
            </w:r>
          </w:hyperlink>
        </w:p>
        <w:p w14:paraId="6422B0DB" w14:textId="2B04E276" w:rsidR="00653D33" w:rsidRDefault="00000000">
          <w:pPr>
            <w:pStyle w:val="TOC2"/>
            <w:rPr>
              <w:rFonts w:asciiTheme="minorHAnsi" w:eastAsiaTheme="minorEastAsia" w:hAnsiTheme="minorHAnsi" w:cstheme="minorBidi"/>
              <w:noProof/>
              <w:color w:val="auto"/>
              <w:szCs w:val="22"/>
              <w:lang w:eastAsia="en-AU"/>
            </w:rPr>
          </w:pPr>
          <w:hyperlink w:anchor="_Toc149228500" w:history="1">
            <w:r w:rsidR="00653D33" w:rsidRPr="00404EDC">
              <w:rPr>
                <w:rStyle w:val="Hyperlink"/>
                <w:noProof/>
              </w:rPr>
              <w:t>Compliance and assurance</w:t>
            </w:r>
            <w:r w:rsidR="00653D33">
              <w:rPr>
                <w:noProof/>
                <w:webHidden/>
              </w:rPr>
              <w:tab/>
            </w:r>
            <w:r w:rsidR="00653D33">
              <w:rPr>
                <w:noProof/>
                <w:webHidden/>
              </w:rPr>
              <w:fldChar w:fldCharType="begin"/>
            </w:r>
            <w:r w:rsidR="00653D33">
              <w:rPr>
                <w:noProof/>
                <w:webHidden/>
              </w:rPr>
              <w:instrText xml:space="preserve"> PAGEREF _Toc149228500 \h </w:instrText>
            </w:r>
            <w:r w:rsidR="00653D33">
              <w:rPr>
                <w:noProof/>
                <w:webHidden/>
              </w:rPr>
            </w:r>
            <w:r w:rsidR="00653D33">
              <w:rPr>
                <w:noProof/>
                <w:webHidden/>
              </w:rPr>
              <w:fldChar w:fldCharType="separate"/>
            </w:r>
            <w:r w:rsidR="00552628">
              <w:rPr>
                <w:noProof/>
                <w:webHidden/>
              </w:rPr>
              <w:t>12</w:t>
            </w:r>
            <w:r w:rsidR="00653D33">
              <w:rPr>
                <w:noProof/>
                <w:webHidden/>
              </w:rPr>
              <w:fldChar w:fldCharType="end"/>
            </w:r>
          </w:hyperlink>
        </w:p>
        <w:p w14:paraId="21E7AD63" w14:textId="7BFF585B" w:rsidR="00653D33" w:rsidRDefault="00000000">
          <w:pPr>
            <w:pStyle w:val="TOC2"/>
            <w:rPr>
              <w:rFonts w:asciiTheme="minorHAnsi" w:eastAsiaTheme="minorEastAsia" w:hAnsiTheme="minorHAnsi" w:cstheme="minorBidi"/>
              <w:noProof/>
              <w:color w:val="auto"/>
              <w:szCs w:val="22"/>
              <w:lang w:eastAsia="en-AU"/>
            </w:rPr>
          </w:pPr>
          <w:hyperlink w:anchor="_Toc149228501" w:history="1">
            <w:r w:rsidR="00653D33" w:rsidRPr="00404EDC">
              <w:rPr>
                <w:rStyle w:val="Hyperlink"/>
                <w:noProof/>
              </w:rPr>
              <w:t>Parallel assessment for PL and TGA applications</w:t>
            </w:r>
            <w:r w:rsidR="00653D33">
              <w:rPr>
                <w:noProof/>
                <w:webHidden/>
              </w:rPr>
              <w:tab/>
            </w:r>
            <w:r w:rsidR="00653D33">
              <w:rPr>
                <w:noProof/>
                <w:webHidden/>
              </w:rPr>
              <w:fldChar w:fldCharType="begin"/>
            </w:r>
            <w:r w:rsidR="00653D33">
              <w:rPr>
                <w:noProof/>
                <w:webHidden/>
              </w:rPr>
              <w:instrText xml:space="preserve"> PAGEREF _Toc149228501 \h </w:instrText>
            </w:r>
            <w:r w:rsidR="00653D33">
              <w:rPr>
                <w:noProof/>
                <w:webHidden/>
              </w:rPr>
            </w:r>
            <w:r w:rsidR="00653D33">
              <w:rPr>
                <w:noProof/>
                <w:webHidden/>
              </w:rPr>
              <w:fldChar w:fldCharType="separate"/>
            </w:r>
            <w:r w:rsidR="00552628">
              <w:rPr>
                <w:noProof/>
                <w:webHidden/>
              </w:rPr>
              <w:t>12</w:t>
            </w:r>
            <w:r w:rsidR="00653D33">
              <w:rPr>
                <w:noProof/>
                <w:webHidden/>
              </w:rPr>
              <w:fldChar w:fldCharType="end"/>
            </w:r>
          </w:hyperlink>
        </w:p>
        <w:p w14:paraId="4FF361B1" w14:textId="6DE33CAC" w:rsidR="00653D33" w:rsidRDefault="00000000">
          <w:pPr>
            <w:pStyle w:val="TOC1"/>
            <w:rPr>
              <w:rFonts w:asciiTheme="minorHAnsi" w:eastAsiaTheme="minorEastAsia" w:hAnsiTheme="minorHAnsi" w:cstheme="minorBidi"/>
              <w:noProof/>
              <w:color w:val="auto"/>
              <w:szCs w:val="22"/>
              <w:lang w:eastAsia="en-AU"/>
            </w:rPr>
          </w:pPr>
          <w:hyperlink w:anchor="_Toc149228502" w:history="1">
            <w:r w:rsidR="00653D33" w:rsidRPr="00404EDC">
              <w:rPr>
                <w:rStyle w:val="Hyperlink"/>
                <w:noProof/>
              </w:rPr>
              <w:t>Chapter 3: Criteria for listing products on the Prescribed List</w:t>
            </w:r>
            <w:r w:rsidR="00653D33">
              <w:rPr>
                <w:noProof/>
                <w:webHidden/>
              </w:rPr>
              <w:tab/>
            </w:r>
            <w:r w:rsidR="00653D33">
              <w:rPr>
                <w:noProof/>
                <w:webHidden/>
              </w:rPr>
              <w:fldChar w:fldCharType="begin"/>
            </w:r>
            <w:r w:rsidR="00653D33">
              <w:rPr>
                <w:noProof/>
                <w:webHidden/>
              </w:rPr>
              <w:instrText xml:space="preserve"> PAGEREF _Toc149228502 \h </w:instrText>
            </w:r>
            <w:r w:rsidR="00653D33">
              <w:rPr>
                <w:noProof/>
                <w:webHidden/>
              </w:rPr>
            </w:r>
            <w:r w:rsidR="00653D33">
              <w:rPr>
                <w:noProof/>
                <w:webHidden/>
              </w:rPr>
              <w:fldChar w:fldCharType="separate"/>
            </w:r>
            <w:r w:rsidR="00552628">
              <w:rPr>
                <w:noProof/>
                <w:webHidden/>
              </w:rPr>
              <w:t>13</w:t>
            </w:r>
            <w:r w:rsidR="00653D33">
              <w:rPr>
                <w:noProof/>
                <w:webHidden/>
              </w:rPr>
              <w:fldChar w:fldCharType="end"/>
            </w:r>
          </w:hyperlink>
        </w:p>
        <w:p w14:paraId="46F79C04" w14:textId="07126A60" w:rsidR="00653D33" w:rsidRDefault="00000000">
          <w:pPr>
            <w:pStyle w:val="TOC2"/>
            <w:rPr>
              <w:rFonts w:asciiTheme="minorHAnsi" w:eastAsiaTheme="minorEastAsia" w:hAnsiTheme="minorHAnsi" w:cstheme="minorBidi"/>
              <w:noProof/>
              <w:color w:val="auto"/>
              <w:szCs w:val="22"/>
              <w:lang w:eastAsia="en-AU"/>
            </w:rPr>
          </w:pPr>
          <w:hyperlink w:anchor="_Toc149228503" w:history="1">
            <w:r w:rsidR="00653D33" w:rsidRPr="00404EDC">
              <w:rPr>
                <w:rStyle w:val="Hyperlink"/>
                <w:noProof/>
              </w:rPr>
              <w:t>General listing criteria</w:t>
            </w:r>
            <w:r w:rsidR="00653D33">
              <w:rPr>
                <w:noProof/>
                <w:webHidden/>
              </w:rPr>
              <w:tab/>
            </w:r>
            <w:r w:rsidR="00653D33">
              <w:rPr>
                <w:noProof/>
                <w:webHidden/>
              </w:rPr>
              <w:fldChar w:fldCharType="begin"/>
            </w:r>
            <w:r w:rsidR="00653D33">
              <w:rPr>
                <w:noProof/>
                <w:webHidden/>
              </w:rPr>
              <w:instrText xml:space="preserve"> PAGEREF _Toc149228503 \h </w:instrText>
            </w:r>
            <w:r w:rsidR="00653D33">
              <w:rPr>
                <w:noProof/>
                <w:webHidden/>
              </w:rPr>
            </w:r>
            <w:r w:rsidR="00653D33">
              <w:rPr>
                <w:noProof/>
                <w:webHidden/>
              </w:rPr>
              <w:fldChar w:fldCharType="separate"/>
            </w:r>
            <w:r w:rsidR="00552628">
              <w:rPr>
                <w:noProof/>
                <w:webHidden/>
              </w:rPr>
              <w:t>13</w:t>
            </w:r>
            <w:r w:rsidR="00653D33">
              <w:rPr>
                <w:noProof/>
                <w:webHidden/>
              </w:rPr>
              <w:fldChar w:fldCharType="end"/>
            </w:r>
          </w:hyperlink>
        </w:p>
        <w:p w14:paraId="242921B1" w14:textId="37BE05E8" w:rsidR="00653D33" w:rsidRDefault="00000000">
          <w:pPr>
            <w:pStyle w:val="TOC2"/>
            <w:rPr>
              <w:rFonts w:asciiTheme="minorHAnsi" w:eastAsiaTheme="minorEastAsia" w:hAnsiTheme="minorHAnsi" w:cstheme="minorBidi"/>
              <w:noProof/>
              <w:color w:val="auto"/>
              <w:szCs w:val="22"/>
              <w:lang w:eastAsia="en-AU"/>
            </w:rPr>
          </w:pPr>
          <w:hyperlink w:anchor="_Toc149228504" w:history="1">
            <w:r w:rsidR="00653D33" w:rsidRPr="00404EDC">
              <w:rPr>
                <w:rStyle w:val="Hyperlink"/>
                <w:noProof/>
              </w:rPr>
              <w:t>Listing criteria for medical devices to be listed in Part A</w:t>
            </w:r>
            <w:r w:rsidR="00653D33">
              <w:rPr>
                <w:noProof/>
                <w:webHidden/>
              </w:rPr>
              <w:tab/>
            </w:r>
            <w:r w:rsidR="00653D33">
              <w:rPr>
                <w:noProof/>
                <w:webHidden/>
              </w:rPr>
              <w:fldChar w:fldCharType="begin"/>
            </w:r>
            <w:r w:rsidR="00653D33">
              <w:rPr>
                <w:noProof/>
                <w:webHidden/>
              </w:rPr>
              <w:instrText xml:space="preserve"> PAGEREF _Toc149228504 \h </w:instrText>
            </w:r>
            <w:r w:rsidR="00653D33">
              <w:rPr>
                <w:noProof/>
                <w:webHidden/>
              </w:rPr>
            </w:r>
            <w:r w:rsidR="00653D33">
              <w:rPr>
                <w:noProof/>
                <w:webHidden/>
              </w:rPr>
              <w:fldChar w:fldCharType="separate"/>
            </w:r>
            <w:r w:rsidR="00552628">
              <w:rPr>
                <w:noProof/>
                <w:webHidden/>
              </w:rPr>
              <w:t>13</w:t>
            </w:r>
            <w:r w:rsidR="00653D33">
              <w:rPr>
                <w:noProof/>
                <w:webHidden/>
              </w:rPr>
              <w:fldChar w:fldCharType="end"/>
            </w:r>
          </w:hyperlink>
        </w:p>
        <w:p w14:paraId="58FE4DC7" w14:textId="55DA2840" w:rsidR="00653D33" w:rsidRDefault="00000000">
          <w:pPr>
            <w:pStyle w:val="TOC2"/>
            <w:rPr>
              <w:rFonts w:asciiTheme="minorHAnsi" w:eastAsiaTheme="minorEastAsia" w:hAnsiTheme="minorHAnsi" w:cstheme="minorBidi"/>
              <w:noProof/>
              <w:color w:val="auto"/>
              <w:szCs w:val="22"/>
              <w:lang w:eastAsia="en-AU"/>
            </w:rPr>
          </w:pPr>
          <w:hyperlink w:anchor="_Toc149228505" w:history="1">
            <w:r w:rsidR="00653D33" w:rsidRPr="00404EDC">
              <w:rPr>
                <w:rStyle w:val="Hyperlink"/>
                <w:noProof/>
              </w:rPr>
              <w:t>Listing criteria for human tissue products to be listed in Part B</w:t>
            </w:r>
            <w:r w:rsidR="00653D33">
              <w:rPr>
                <w:noProof/>
                <w:webHidden/>
              </w:rPr>
              <w:tab/>
            </w:r>
            <w:r w:rsidR="00653D33">
              <w:rPr>
                <w:noProof/>
                <w:webHidden/>
              </w:rPr>
              <w:fldChar w:fldCharType="begin"/>
            </w:r>
            <w:r w:rsidR="00653D33">
              <w:rPr>
                <w:noProof/>
                <w:webHidden/>
              </w:rPr>
              <w:instrText xml:space="preserve"> PAGEREF _Toc149228505 \h </w:instrText>
            </w:r>
            <w:r w:rsidR="00653D33">
              <w:rPr>
                <w:noProof/>
                <w:webHidden/>
              </w:rPr>
            </w:r>
            <w:r w:rsidR="00653D33">
              <w:rPr>
                <w:noProof/>
                <w:webHidden/>
              </w:rPr>
              <w:fldChar w:fldCharType="separate"/>
            </w:r>
            <w:r w:rsidR="00552628">
              <w:rPr>
                <w:noProof/>
                <w:webHidden/>
              </w:rPr>
              <w:t>14</w:t>
            </w:r>
            <w:r w:rsidR="00653D33">
              <w:rPr>
                <w:noProof/>
                <w:webHidden/>
              </w:rPr>
              <w:fldChar w:fldCharType="end"/>
            </w:r>
          </w:hyperlink>
        </w:p>
        <w:p w14:paraId="2EFABA43" w14:textId="1A35B1D8" w:rsidR="00653D33" w:rsidRDefault="00000000">
          <w:pPr>
            <w:pStyle w:val="TOC2"/>
            <w:rPr>
              <w:rFonts w:asciiTheme="minorHAnsi" w:eastAsiaTheme="minorEastAsia" w:hAnsiTheme="minorHAnsi" w:cstheme="minorBidi"/>
              <w:noProof/>
              <w:color w:val="auto"/>
              <w:szCs w:val="22"/>
              <w:lang w:eastAsia="en-AU"/>
            </w:rPr>
          </w:pPr>
          <w:hyperlink w:anchor="_Toc149228506" w:history="1">
            <w:r w:rsidR="00653D33" w:rsidRPr="00404EDC">
              <w:rPr>
                <w:rStyle w:val="Hyperlink"/>
                <w:noProof/>
              </w:rPr>
              <w:t>Listing criteria for medical devices to be listed in Part C</w:t>
            </w:r>
            <w:r w:rsidR="00653D33">
              <w:rPr>
                <w:noProof/>
                <w:webHidden/>
              </w:rPr>
              <w:tab/>
            </w:r>
            <w:r w:rsidR="00653D33">
              <w:rPr>
                <w:noProof/>
                <w:webHidden/>
              </w:rPr>
              <w:fldChar w:fldCharType="begin"/>
            </w:r>
            <w:r w:rsidR="00653D33">
              <w:rPr>
                <w:noProof/>
                <w:webHidden/>
              </w:rPr>
              <w:instrText xml:space="preserve"> PAGEREF _Toc149228506 \h </w:instrText>
            </w:r>
            <w:r w:rsidR="00653D33">
              <w:rPr>
                <w:noProof/>
                <w:webHidden/>
              </w:rPr>
            </w:r>
            <w:r w:rsidR="00653D33">
              <w:rPr>
                <w:noProof/>
                <w:webHidden/>
              </w:rPr>
              <w:fldChar w:fldCharType="separate"/>
            </w:r>
            <w:r w:rsidR="00552628">
              <w:rPr>
                <w:noProof/>
                <w:webHidden/>
              </w:rPr>
              <w:t>15</w:t>
            </w:r>
            <w:r w:rsidR="00653D33">
              <w:rPr>
                <w:noProof/>
                <w:webHidden/>
              </w:rPr>
              <w:fldChar w:fldCharType="end"/>
            </w:r>
          </w:hyperlink>
        </w:p>
        <w:p w14:paraId="63C8768D" w14:textId="7471FE7C" w:rsidR="00653D33" w:rsidRDefault="00000000">
          <w:pPr>
            <w:pStyle w:val="TOC1"/>
            <w:rPr>
              <w:rFonts w:asciiTheme="minorHAnsi" w:eastAsiaTheme="minorEastAsia" w:hAnsiTheme="minorHAnsi" w:cstheme="minorBidi"/>
              <w:noProof/>
              <w:color w:val="auto"/>
              <w:szCs w:val="22"/>
              <w:lang w:eastAsia="en-AU"/>
            </w:rPr>
          </w:pPr>
          <w:hyperlink w:anchor="_Toc149228507" w:history="1">
            <w:r w:rsidR="00653D33" w:rsidRPr="00404EDC">
              <w:rPr>
                <w:rStyle w:val="Hyperlink"/>
                <w:noProof/>
              </w:rPr>
              <w:t>Chapter 4: Cost recovery</w:t>
            </w:r>
            <w:r w:rsidR="00653D33">
              <w:rPr>
                <w:noProof/>
                <w:webHidden/>
              </w:rPr>
              <w:tab/>
            </w:r>
            <w:r w:rsidR="00653D33">
              <w:rPr>
                <w:noProof/>
                <w:webHidden/>
              </w:rPr>
              <w:fldChar w:fldCharType="begin"/>
            </w:r>
            <w:r w:rsidR="00653D33">
              <w:rPr>
                <w:noProof/>
                <w:webHidden/>
              </w:rPr>
              <w:instrText xml:space="preserve"> PAGEREF _Toc149228507 \h </w:instrText>
            </w:r>
            <w:r w:rsidR="00653D33">
              <w:rPr>
                <w:noProof/>
                <w:webHidden/>
              </w:rPr>
            </w:r>
            <w:r w:rsidR="00653D33">
              <w:rPr>
                <w:noProof/>
                <w:webHidden/>
              </w:rPr>
              <w:fldChar w:fldCharType="separate"/>
            </w:r>
            <w:r w:rsidR="00552628">
              <w:rPr>
                <w:noProof/>
                <w:webHidden/>
              </w:rPr>
              <w:t>16</w:t>
            </w:r>
            <w:r w:rsidR="00653D33">
              <w:rPr>
                <w:noProof/>
                <w:webHidden/>
              </w:rPr>
              <w:fldChar w:fldCharType="end"/>
            </w:r>
          </w:hyperlink>
        </w:p>
        <w:p w14:paraId="1C78F3BD" w14:textId="3CA8A419" w:rsidR="00653D33" w:rsidRDefault="00000000">
          <w:pPr>
            <w:pStyle w:val="TOC2"/>
            <w:rPr>
              <w:rFonts w:asciiTheme="minorHAnsi" w:eastAsiaTheme="minorEastAsia" w:hAnsiTheme="minorHAnsi" w:cstheme="minorBidi"/>
              <w:noProof/>
              <w:color w:val="auto"/>
              <w:szCs w:val="22"/>
              <w:lang w:eastAsia="en-AU"/>
            </w:rPr>
          </w:pPr>
          <w:hyperlink w:anchor="_Toc149228508" w:history="1">
            <w:r w:rsidR="00653D33" w:rsidRPr="00404EDC">
              <w:rPr>
                <w:rStyle w:val="Hyperlink"/>
                <w:noProof/>
              </w:rPr>
              <w:t>Cost recovery associated with applications relating to medical devices</w:t>
            </w:r>
            <w:r w:rsidR="00653D33">
              <w:rPr>
                <w:noProof/>
                <w:webHidden/>
              </w:rPr>
              <w:tab/>
            </w:r>
            <w:r w:rsidR="00653D33">
              <w:rPr>
                <w:noProof/>
                <w:webHidden/>
              </w:rPr>
              <w:fldChar w:fldCharType="begin"/>
            </w:r>
            <w:r w:rsidR="00653D33">
              <w:rPr>
                <w:noProof/>
                <w:webHidden/>
              </w:rPr>
              <w:instrText xml:space="preserve"> PAGEREF _Toc149228508 \h </w:instrText>
            </w:r>
            <w:r w:rsidR="00653D33">
              <w:rPr>
                <w:noProof/>
                <w:webHidden/>
              </w:rPr>
            </w:r>
            <w:r w:rsidR="00653D33">
              <w:rPr>
                <w:noProof/>
                <w:webHidden/>
              </w:rPr>
              <w:fldChar w:fldCharType="separate"/>
            </w:r>
            <w:r w:rsidR="00552628">
              <w:rPr>
                <w:noProof/>
                <w:webHidden/>
              </w:rPr>
              <w:t>16</w:t>
            </w:r>
            <w:r w:rsidR="00653D33">
              <w:rPr>
                <w:noProof/>
                <w:webHidden/>
              </w:rPr>
              <w:fldChar w:fldCharType="end"/>
            </w:r>
          </w:hyperlink>
        </w:p>
        <w:p w14:paraId="672B5E71" w14:textId="663B34C6" w:rsidR="00653D33" w:rsidRDefault="00000000">
          <w:pPr>
            <w:pStyle w:val="TOC2"/>
            <w:rPr>
              <w:rFonts w:asciiTheme="minorHAnsi" w:eastAsiaTheme="minorEastAsia" w:hAnsiTheme="minorHAnsi" w:cstheme="minorBidi"/>
              <w:noProof/>
              <w:color w:val="auto"/>
              <w:szCs w:val="22"/>
              <w:lang w:eastAsia="en-AU"/>
            </w:rPr>
          </w:pPr>
          <w:hyperlink w:anchor="_Toc149228509" w:history="1">
            <w:r w:rsidR="00653D33" w:rsidRPr="00404EDC">
              <w:rPr>
                <w:rStyle w:val="Hyperlink"/>
                <w:noProof/>
              </w:rPr>
              <w:t>Fee categories</w:t>
            </w:r>
            <w:r w:rsidR="00653D33">
              <w:rPr>
                <w:noProof/>
                <w:webHidden/>
              </w:rPr>
              <w:tab/>
            </w:r>
            <w:r w:rsidR="00653D33">
              <w:rPr>
                <w:noProof/>
                <w:webHidden/>
              </w:rPr>
              <w:fldChar w:fldCharType="begin"/>
            </w:r>
            <w:r w:rsidR="00653D33">
              <w:rPr>
                <w:noProof/>
                <w:webHidden/>
              </w:rPr>
              <w:instrText xml:space="preserve"> PAGEREF _Toc149228509 \h </w:instrText>
            </w:r>
            <w:r w:rsidR="00653D33">
              <w:rPr>
                <w:noProof/>
                <w:webHidden/>
              </w:rPr>
            </w:r>
            <w:r w:rsidR="00653D33">
              <w:rPr>
                <w:noProof/>
                <w:webHidden/>
              </w:rPr>
              <w:fldChar w:fldCharType="separate"/>
            </w:r>
            <w:r w:rsidR="00552628">
              <w:rPr>
                <w:noProof/>
                <w:webHidden/>
              </w:rPr>
              <w:t>17</w:t>
            </w:r>
            <w:r w:rsidR="00653D33">
              <w:rPr>
                <w:noProof/>
                <w:webHidden/>
              </w:rPr>
              <w:fldChar w:fldCharType="end"/>
            </w:r>
          </w:hyperlink>
        </w:p>
        <w:p w14:paraId="05D30B84" w14:textId="10514FB2" w:rsidR="00653D33" w:rsidRDefault="00000000">
          <w:pPr>
            <w:pStyle w:val="TOC2"/>
            <w:rPr>
              <w:rFonts w:asciiTheme="minorHAnsi" w:eastAsiaTheme="minorEastAsia" w:hAnsiTheme="minorHAnsi" w:cstheme="minorBidi"/>
              <w:noProof/>
              <w:color w:val="auto"/>
              <w:szCs w:val="22"/>
              <w:lang w:eastAsia="en-AU"/>
            </w:rPr>
          </w:pPr>
          <w:hyperlink w:anchor="_Toc149228510" w:history="1">
            <w:r w:rsidR="00653D33" w:rsidRPr="00404EDC">
              <w:rPr>
                <w:rStyle w:val="Hyperlink"/>
                <w:noProof/>
              </w:rPr>
              <w:t>Payment of fees</w:t>
            </w:r>
            <w:r w:rsidR="00653D33">
              <w:rPr>
                <w:noProof/>
                <w:webHidden/>
              </w:rPr>
              <w:tab/>
            </w:r>
            <w:r w:rsidR="00653D33">
              <w:rPr>
                <w:noProof/>
                <w:webHidden/>
              </w:rPr>
              <w:fldChar w:fldCharType="begin"/>
            </w:r>
            <w:r w:rsidR="00653D33">
              <w:rPr>
                <w:noProof/>
                <w:webHidden/>
              </w:rPr>
              <w:instrText xml:space="preserve"> PAGEREF _Toc149228510 \h </w:instrText>
            </w:r>
            <w:r w:rsidR="00653D33">
              <w:rPr>
                <w:noProof/>
                <w:webHidden/>
              </w:rPr>
            </w:r>
            <w:r w:rsidR="00653D33">
              <w:rPr>
                <w:noProof/>
                <w:webHidden/>
              </w:rPr>
              <w:fldChar w:fldCharType="separate"/>
            </w:r>
            <w:r w:rsidR="00552628">
              <w:rPr>
                <w:noProof/>
                <w:webHidden/>
              </w:rPr>
              <w:t>17</w:t>
            </w:r>
            <w:r w:rsidR="00653D33">
              <w:rPr>
                <w:noProof/>
                <w:webHidden/>
              </w:rPr>
              <w:fldChar w:fldCharType="end"/>
            </w:r>
          </w:hyperlink>
        </w:p>
        <w:p w14:paraId="0C6D811A" w14:textId="1C0E981E" w:rsidR="00653D33" w:rsidRDefault="00000000">
          <w:pPr>
            <w:pStyle w:val="TOC2"/>
            <w:rPr>
              <w:rFonts w:asciiTheme="minorHAnsi" w:eastAsiaTheme="minorEastAsia" w:hAnsiTheme="minorHAnsi" w:cstheme="minorBidi"/>
              <w:noProof/>
              <w:color w:val="auto"/>
              <w:szCs w:val="22"/>
              <w:lang w:eastAsia="en-AU"/>
            </w:rPr>
          </w:pPr>
          <w:hyperlink w:anchor="_Toc149228511" w:history="1">
            <w:r w:rsidR="00653D33" w:rsidRPr="00404EDC">
              <w:rPr>
                <w:rStyle w:val="Hyperlink"/>
                <w:noProof/>
              </w:rPr>
              <w:t>Withdrawal of applications and refunds</w:t>
            </w:r>
            <w:r w:rsidR="00653D33">
              <w:rPr>
                <w:noProof/>
                <w:webHidden/>
              </w:rPr>
              <w:tab/>
            </w:r>
            <w:r w:rsidR="00653D33">
              <w:rPr>
                <w:noProof/>
                <w:webHidden/>
              </w:rPr>
              <w:fldChar w:fldCharType="begin"/>
            </w:r>
            <w:r w:rsidR="00653D33">
              <w:rPr>
                <w:noProof/>
                <w:webHidden/>
              </w:rPr>
              <w:instrText xml:space="preserve"> PAGEREF _Toc149228511 \h </w:instrText>
            </w:r>
            <w:r w:rsidR="00653D33">
              <w:rPr>
                <w:noProof/>
                <w:webHidden/>
              </w:rPr>
            </w:r>
            <w:r w:rsidR="00653D33">
              <w:rPr>
                <w:noProof/>
                <w:webHidden/>
              </w:rPr>
              <w:fldChar w:fldCharType="separate"/>
            </w:r>
            <w:r w:rsidR="00552628">
              <w:rPr>
                <w:noProof/>
                <w:webHidden/>
              </w:rPr>
              <w:t>18</w:t>
            </w:r>
            <w:r w:rsidR="00653D33">
              <w:rPr>
                <w:noProof/>
                <w:webHidden/>
              </w:rPr>
              <w:fldChar w:fldCharType="end"/>
            </w:r>
          </w:hyperlink>
        </w:p>
        <w:p w14:paraId="5FFE741F" w14:textId="37A3E64F" w:rsidR="00653D33" w:rsidRDefault="00000000">
          <w:pPr>
            <w:pStyle w:val="TOC2"/>
            <w:rPr>
              <w:rFonts w:asciiTheme="minorHAnsi" w:eastAsiaTheme="minorEastAsia" w:hAnsiTheme="minorHAnsi" w:cstheme="minorBidi"/>
              <w:noProof/>
              <w:color w:val="auto"/>
              <w:szCs w:val="22"/>
              <w:lang w:eastAsia="en-AU"/>
            </w:rPr>
          </w:pPr>
          <w:hyperlink w:anchor="_Toc149228512" w:history="1">
            <w:r w:rsidR="00653D33" w:rsidRPr="00404EDC">
              <w:rPr>
                <w:rStyle w:val="Hyperlink"/>
                <w:noProof/>
              </w:rPr>
              <w:t>Fee waivers</w:t>
            </w:r>
            <w:r w:rsidR="00653D33">
              <w:rPr>
                <w:noProof/>
                <w:webHidden/>
              </w:rPr>
              <w:tab/>
            </w:r>
            <w:r w:rsidR="00653D33">
              <w:rPr>
                <w:noProof/>
                <w:webHidden/>
              </w:rPr>
              <w:fldChar w:fldCharType="begin"/>
            </w:r>
            <w:r w:rsidR="00653D33">
              <w:rPr>
                <w:noProof/>
                <w:webHidden/>
              </w:rPr>
              <w:instrText xml:space="preserve"> PAGEREF _Toc149228512 \h </w:instrText>
            </w:r>
            <w:r w:rsidR="00653D33">
              <w:rPr>
                <w:noProof/>
                <w:webHidden/>
              </w:rPr>
            </w:r>
            <w:r w:rsidR="00653D33">
              <w:rPr>
                <w:noProof/>
                <w:webHidden/>
              </w:rPr>
              <w:fldChar w:fldCharType="separate"/>
            </w:r>
            <w:r w:rsidR="00552628">
              <w:rPr>
                <w:noProof/>
                <w:webHidden/>
              </w:rPr>
              <w:t>18</w:t>
            </w:r>
            <w:r w:rsidR="00653D33">
              <w:rPr>
                <w:noProof/>
                <w:webHidden/>
              </w:rPr>
              <w:fldChar w:fldCharType="end"/>
            </w:r>
          </w:hyperlink>
        </w:p>
        <w:p w14:paraId="3FB9B383" w14:textId="67440AFA" w:rsidR="00653D33" w:rsidRDefault="00000000">
          <w:pPr>
            <w:pStyle w:val="TOC2"/>
            <w:rPr>
              <w:rFonts w:asciiTheme="minorHAnsi" w:eastAsiaTheme="minorEastAsia" w:hAnsiTheme="minorHAnsi" w:cstheme="minorBidi"/>
              <w:noProof/>
              <w:color w:val="auto"/>
              <w:szCs w:val="22"/>
              <w:lang w:eastAsia="en-AU"/>
            </w:rPr>
          </w:pPr>
          <w:hyperlink w:anchor="_Toc149228513" w:history="1">
            <w:r w:rsidR="00653D33" w:rsidRPr="00404EDC">
              <w:rPr>
                <w:rStyle w:val="Hyperlink"/>
                <w:noProof/>
              </w:rPr>
              <w:t>Fee exemptions</w:t>
            </w:r>
            <w:r w:rsidR="00653D33">
              <w:rPr>
                <w:noProof/>
                <w:webHidden/>
              </w:rPr>
              <w:tab/>
            </w:r>
            <w:r w:rsidR="00653D33">
              <w:rPr>
                <w:noProof/>
                <w:webHidden/>
              </w:rPr>
              <w:fldChar w:fldCharType="begin"/>
            </w:r>
            <w:r w:rsidR="00653D33">
              <w:rPr>
                <w:noProof/>
                <w:webHidden/>
              </w:rPr>
              <w:instrText xml:space="preserve"> PAGEREF _Toc149228513 \h </w:instrText>
            </w:r>
            <w:r w:rsidR="00653D33">
              <w:rPr>
                <w:noProof/>
                <w:webHidden/>
              </w:rPr>
            </w:r>
            <w:r w:rsidR="00653D33">
              <w:rPr>
                <w:noProof/>
                <w:webHidden/>
              </w:rPr>
              <w:fldChar w:fldCharType="separate"/>
            </w:r>
            <w:r w:rsidR="00552628">
              <w:rPr>
                <w:noProof/>
                <w:webHidden/>
              </w:rPr>
              <w:t>18</w:t>
            </w:r>
            <w:r w:rsidR="00653D33">
              <w:rPr>
                <w:noProof/>
                <w:webHidden/>
              </w:rPr>
              <w:fldChar w:fldCharType="end"/>
            </w:r>
          </w:hyperlink>
        </w:p>
        <w:p w14:paraId="522871CB" w14:textId="3BBEBC2F" w:rsidR="00653D33" w:rsidRDefault="00000000">
          <w:pPr>
            <w:pStyle w:val="TOC2"/>
            <w:rPr>
              <w:rFonts w:asciiTheme="minorHAnsi" w:eastAsiaTheme="minorEastAsia" w:hAnsiTheme="minorHAnsi" w:cstheme="minorBidi"/>
              <w:noProof/>
              <w:color w:val="auto"/>
              <w:szCs w:val="22"/>
              <w:lang w:eastAsia="en-AU"/>
            </w:rPr>
          </w:pPr>
          <w:hyperlink w:anchor="_Toc149228514" w:history="1">
            <w:r w:rsidR="00653D33" w:rsidRPr="00404EDC">
              <w:rPr>
                <w:rStyle w:val="Hyperlink"/>
                <w:noProof/>
              </w:rPr>
              <w:t>Reviewable decisions</w:t>
            </w:r>
            <w:r w:rsidR="00653D33">
              <w:rPr>
                <w:noProof/>
                <w:webHidden/>
              </w:rPr>
              <w:tab/>
            </w:r>
            <w:r w:rsidR="00653D33">
              <w:rPr>
                <w:noProof/>
                <w:webHidden/>
              </w:rPr>
              <w:fldChar w:fldCharType="begin"/>
            </w:r>
            <w:r w:rsidR="00653D33">
              <w:rPr>
                <w:noProof/>
                <w:webHidden/>
              </w:rPr>
              <w:instrText xml:space="preserve"> PAGEREF _Toc149228514 \h </w:instrText>
            </w:r>
            <w:r w:rsidR="00653D33">
              <w:rPr>
                <w:noProof/>
                <w:webHidden/>
              </w:rPr>
            </w:r>
            <w:r w:rsidR="00653D33">
              <w:rPr>
                <w:noProof/>
                <w:webHidden/>
              </w:rPr>
              <w:fldChar w:fldCharType="separate"/>
            </w:r>
            <w:r w:rsidR="00552628">
              <w:rPr>
                <w:noProof/>
                <w:webHidden/>
              </w:rPr>
              <w:t>18</w:t>
            </w:r>
            <w:r w:rsidR="00653D33">
              <w:rPr>
                <w:noProof/>
                <w:webHidden/>
              </w:rPr>
              <w:fldChar w:fldCharType="end"/>
            </w:r>
          </w:hyperlink>
        </w:p>
        <w:p w14:paraId="74A26457" w14:textId="648FBE81" w:rsidR="00653D33" w:rsidRDefault="00000000">
          <w:pPr>
            <w:pStyle w:val="TOC2"/>
            <w:rPr>
              <w:rFonts w:asciiTheme="minorHAnsi" w:eastAsiaTheme="minorEastAsia" w:hAnsiTheme="minorHAnsi" w:cstheme="minorBidi"/>
              <w:noProof/>
              <w:color w:val="auto"/>
              <w:szCs w:val="22"/>
              <w:lang w:eastAsia="en-AU"/>
            </w:rPr>
          </w:pPr>
          <w:hyperlink w:anchor="_Toc149228515" w:history="1">
            <w:r w:rsidR="00653D33" w:rsidRPr="00404EDC">
              <w:rPr>
                <w:rStyle w:val="Hyperlink"/>
                <w:noProof/>
              </w:rPr>
              <w:t>Cost recovery levy</w:t>
            </w:r>
            <w:r w:rsidR="00653D33">
              <w:rPr>
                <w:noProof/>
                <w:webHidden/>
              </w:rPr>
              <w:tab/>
            </w:r>
            <w:r w:rsidR="00653D33">
              <w:rPr>
                <w:noProof/>
                <w:webHidden/>
              </w:rPr>
              <w:fldChar w:fldCharType="begin"/>
            </w:r>
            <w:r w:rsidR="00653D33">
              <w:rPr>
                <w:noProof/>
                <w:webHidden/>
              </w:rPr>
              <w:instrText xml:space="preserve"> PAGEREF _Toc149228515 \h </w:instrText>
            </w:r>
            <w:r w:rsidR="00653D33">
              <w:rPr>
                <w:noProof/>
                <w:webHidden/>
              </w:rPr>
            </w:r>
            <w:r w:rsidR="00653D33">
              <w:rPr>
                <w:noProof/>
                <w:webHidden/>
              </w:rPr>
              <w:fldChar w:fldCharType="separate"/>
            </w:r>
            <w:r w:rsidR="00552628">
              <w:rPr>
                <w:noProof/>
                <w:webHidden/>
              </w:rPr>
              <w:t>19</w:t>
            </w:r>
            <w:r w:rsidR="00653D33">
              <w:rPr>
                <w:noProof/>
                <w:webHidden/>
              </w:rPr>
              <w:fldChar w:fldCharType="end"/>
            </w:r>
          </w:hyperlink>
        </w:p>
        <w:p w14:paraId="14F05784" w14:textId="1421DFCE" w:rsidR="00653D33" w:rsidRDefault="00000000">
          <w:pPr>
            <w:pStyle w:val="TOC1"/>
            <w:rPr>
              <w:rFonts w:asciiTheme="minorHAnsi" w:eastAsiaTheme="minorEastAsia" w:hAnsiTheme="minorHAnsi" w:cstheme="minorBidi"/>
              <w:noProof/>
              <w:color w:val="auto"/>
              <w:szCs w:val="22"/>
              <w:lang w:eastAsia="en-AU"/>
            </w:rPr>
          </w:pPr>
          <w:hyperlink w:anchor="_Toc149228516" w:history="1">
            <w:r w:rsidR="00653D33" w:rsidRPr="00404EDC">
              <w:rPr>
                <w:rStyle w:val="Hyperlink"/>
                <w:noProof/>
              </w:rPr>
              <w:t>PART 2: INFORMATION TO BE PROVIDED IN THE APPLICATION</w:t>
            </w:r>
            <w:r w:rsidR="00653D33">
              <w:rPr>
                <w:noProof/>
                <w:webHidden/>
              </w:rPr>
              <w:tab/>
            </w:r>
            <w:r w:rsidR="00653D33">
              <w:rPr>
                <w:noProof/>
                <w:webHidden/>
              </w:rPr>
              <w:fldChar w:fldCharType="begin"/>
            </w:r>
            <w:r w:rsidR="00653D33">
              <w:rPr>
                <w:noProof/>
                <w:webHidden/>
              </w:rPr>
              <w:instrText xml:space="preserve"> PAGEREF _Toc149228516 \h </w:instrText>
            </w:r>
            <w:r w:rsidR="00653D33">
              <w:rPr>
                <w:noProof/>
                <w:webHidden/>
              </w:rPr>
            </w:r>
            <w:r w:rsidR="00653D33">
              <w:rPr>
                <w:noProof/>
                <w:webHidden/>
              </w:rPr>
              <w:fldChar w:fldCharType="separate"/>
            </w:r>
            <w:r w:rsidR="00552628">
              <w:rPr>
                <w:noProof/>
                <w:webHidden/>
              </w:rPr>
              <w:t>20</w:t>
            </w:r>
            <w:r w:rsidR="00653D33">
              <w:rPr>
                <w:noProof/>
                <w:webHidden/>
              </w:rPr>
              <w:fldChar w:fldCharType="end"/>
            </w:r>
          </w:hyperlink>
        </w:p>
        <w:p w14:paraId="635A2ACF" w14:textId="249FDB0B" w:rsidR="00653D33" w:rsidRDefault="00000000">
          <w:pPr>
            <w:pStyle w:val="TOC1"/>
            <w:rPr>
              <w:rFonts w:asciiTheme="minorHAnsi" w:eastAsiaTheme="minorEastAsia" w:hAnsiTheme="minorHAnsi" w:cstheme="minorBidi"/>
              <w:noProof/>
              <w:color w:val="auto"/>
              <w:szCs w:val="22"/>
              <w:lang w:eastAsia="en-AU"/>
            </w:rPr>
          </w:pPr>
          <w:hyperlink w:anchor="_Toc149228517" w:history="1">
            <w:r w:rsidR="00653D33" w:rsidRPr="00404EDC">
              <w:rPr>
                <w:rStyle w:val="Hyperlink"/>
                <w:noProof/>
              </w:rPr>
              <w:t>Chapter 5: Making an application</w:t>
            </w:r>
            <w:r w:rsidR="00653D33">
              <w:rPr>
                <w:noProof/>
                <w:webHidden/>
              </w:rPr>
              <w:tab/>
            </w:r>
            <w:r w:rsidR="00653D33">
              <w:rPr>
                <w:noProof/>
                <w:webHidden/>
              </w:rPr>
              <w:fldChar w:fldCharType="begin"/>
            </w:r>
            <w:r w:rsidR="00653D33">
              <w:rPr>
                <w:noProof/>
                <w:webHidden/>
              </w:rPr>
              <w:instrText xml:space="preserve"> PAGEREF _Toc149228517 \h </w:instrText>
            </w:r>
            <w:r w:rsidR="00653D33">
              <w:rPr>
                <w:noProof/>
                <w:webHidden/>
              </w:rPr>
            </w:r>
            <w:r w:rsidR="00653D33">
              <w:rPr>
                <w:noProof/>
                <w:webHidden/>
              </w:rPr>
              <w:fldChar w:fldCharType="separate"/>
            </w:r>
            <w:r w:rsidR="00552628">
              <w:rPr>
                <w:noProof/>
                <w:webHidden/>
              </w:rPr>
              <w:t>20</w:t>
            </w:r>
            <w:r w:rsidR="00653D33">
              <w:rPr>
                <w:noProof/>
                <w:webHidden/>
              </w:rPr>
              <w:fldChar w:fldCharType="end"/>
            </w:r>
          </w:hyperlink>
        </w:p>
        <w:p w14:paraId="15292876" w14:textId="405D8659" w:rsidR="00653D33" w:rsidRDefault="00000000">
          <w:pPr>
            <w:pStyle w:val="TOC2"/>
            <w:rPr>
              <w:rFonts w:asciiTheme="minorHAnsi" w:eastAsiaTheme="minorEastAsia" w:hAnsiTheme="minorHAnsi" w:cstheme="minorBidi"/>
              <w:noProof/>
              <w:color w:val="auto"/>
              <w:szCs w:val="22"/>
              <w:lang w:eastAsia="en-AU"/>
            </w:rPr>
          </w:pPr>
          <w:hyperlink w:anchor="_Toc149228518" w:history="1">
            <w:r w:rsidR="00653D33" w:rsidRPr="00404EDC">
              <w:rPr>
                <w:rStyle w:val="Hyperlink"/>
                <w:noProof/>
              </w:rPr>
              <w:t>Health Products Portal</w:t>
            </w:r>
            <w:r w:rsidR="00653D33">
              <w:rPr>
                <w:noProof/>
                <w:webHidden/>
              </w:rPr>
              <w:tab/>
            </w:r>
            <w:r w:rsidR="00653D33">
              <w:rPr>
                <w:noProof/>
                <w:webHidden/>
              </w:rPr>
              <w:fldChar w:fldCharType="begin"/>
            </w:r>
            <w:r w:rsidR="00653D33">
              <w:rPr>
                <w:noProof/>
                <w:webHidden/>
              </w:rPr>
              <w:instrText xml:space="preserve"> PAGEREF _Toc149228518 \h </w:instrText>
            </w:r>
            <w:r w:rsidR="00653D33">
              <w:rPr>
                <w:noProof/>
                <w:webHidden/>
              </w:rPr>
            </w:r>
            <w:r w:rsidR="00653D33">
              <w:rPr>
                <w:noProof/>
                <w:webHidden/>
              </w:rPr>
              <w:fldChar w:fldCharType="separate"/>
            </w:r>
            <w:r w:rsidR="00552628">
              <w:rPr>
                <w:noProof/>
                <w:webHidden/>
              </w:rPr>
              <w:t>20</w:t>
            </w:r>
            <w:r w:rsidR="00653D33">
              <w:rPr>
                <w:noProof/>
                <w:webHidden/>
              </w:rPr>
              <w:fldChar w:fldCharType="end"/>
            </w:r>
          </w:hyperlink>
        </w:p>
        <w:p w14:paraId="6701E180" w14:textId="64866180" w:rsidR="00653D33" w:rsidRDefault="00000000">
          <w:pPr>
            <w:pStyle w:val="TOC2"/>
            <w:rPr>
              <w:rFonts w:asciiTheme="minorHAnsi" w:eastAsiaTheme="minorEastAsia" w:hAnsiTheme="minorHAnsi" w:cstheme="minorBidi"/>
              <w:noProof/>
              <w:color w:val="auto"/>
              <w:szCs w:val="22"/>
              <w:lang w:eastAsia="en-AU"/>
            </w:rPr>
          </w:pPr>
          <w:hyperlink w:anchor="_Toc149228519" w:history="1">
            <w:r w:rsidR="00653D33" w:rsidRPr="00404EDC">
              <w:rPr>
                <w:rStyle w:val="Hyperlink"/>
                <w:noProof/>
              </w:rPr>
              <w:t>Application cut-off dates</w:t>
            </w:r>
            <w:r w:rsidR="00653D33">
              <w:rPr>
                <w:noProof/>
                <w:webHidden/>
              </w:rPr>
              <w:tab/>
            </w:r>
            <w:r w:rsidR="00653D33">
              <w:rPr>
                <w:noProof/>
                <w:webHidden/>
              </w:rPr>
              <w:fldChar w:fldCharType="begin"/>
            </w:r>
            <w:r w:rsidR="00653D33">
              <w:rPr>
                <w:noProof/>
                <w:webHidden/>
              </w:rPr>
              <w:instrText xml:space="preserve"> PAGEREF _Toc149228519 \h </w:instrText>
            </w:r>
            <w:r w:rsidR="00653D33">
              <w:rPr>
                <w:noProof/>
                <w:webHidden/>
              </w:rPr>
            </w:r>
            <w:r w:rsidR="00653D33">
              <w:rPr>
                <w:noProof/>
                <w:webHidden/>
              </w:rPr>
              <w:fldChar w:fldCharType="separate"/>
            </w:r>
            <w:r w:rsidR="00552628">
              <w:rPr>
                <w:noProof/>
                <w:webHidden/>
              </w:rPr>
              <w:t>20</w:t>
            </w:r>
            <w:r w:rsidR="00653D33">
              <w:rPr>
                <w:noProof/>
                <w:webHidden/>
              </w:rPr>
              <w:fldChar w:fldCharType="end"/>
            </w:r>
          </w:hyperlink>
        </w:p>
        <w:p w14:paraId="4E34D2E7" w14:textId="3DB7B67A" w:rsidR="00653D33" w:rsidRDefault="00000000">
          <w:pPr>
            <w:pStyle w:val="TOC2"/>
            <w:rPr>
              <w:rFonts w:asciiTheme="minorHAnsi" w:eastAsiaTheme="minorEastAsia" w:hAnsiTheme="minorHAnsi" w:cstheme="minorBidi"/>
              <w:noProof/>
              <w:color w:val="auto"/>
              <w:szCs w:val="22"/>
              <w:lang w:eastAsia="en-AU"/>
            </w:rPr>
          </w:pPr>
          <w:hyperlink w:anchor="_Toc149228520" w:history="1">
            <w:r w:rsidR="00653D33" w:rsidRPr="00404EDC">
              <w:rPr>
                <w:rStyle w:val="Hyperlink"/>
                <w:noProof/>
              </w:rPr>
              <w:t>Application types</w:t>
            </w:r>
            <w:r w:rsidR="00653D33">
              <w:rPr>
                <w:noProof/>
                <w:webHidden/>
              </w:rPr>
              <w:tab/>
            </w:r>
            <w:r w:rsidR="00653D33">
              <w:rPr>
                <w:noProof/>
                <w:webHidden/>
              </w:rPr>
              <w:fldChar w:fldCharType="begin"/>
            </w:r>
            <w:r w:rsidR="00653D33">
              <w:rPr>
                <w:noProof/>
                <w:webHidden/>
              </w:rPr>
              <w:instrText xml:space="preserve"> PAGEREF _Toc149228520 \h </w:instrText>
            </w:r>
            <w:r w:rsidR="00653D33">
              <w:rPr>
                <w:noProof/>
                <w:webHidden/>
              </w:rPr>
            </w:r>
            <w:r w:rsidR="00653D33">
              <w:rPr>
                <w:noProof/>
                <w:webHidden/>
              </w:rPr>
              <w:fldChar w:fldCharType="separate"/>
            </w:r>
            <w:r w:rsidR="00552628">
              <w:rPr>
                <w:noProof/>
                <w:webHidden/>
              </w:rPr>
              <w:t>20</w:t>
            </w:r>
            <w:r w:rsidR="00653D33">
              <w:rPr>
                <w:noProof/>
                <w:webHidden/>
              </w:rPr>
              <w:fldChar w:fldCharType="end"/>
            </w:r>
          </w:hyperlink>
        </w:p>
        <w:p w14:paraId="5B8BB4DE" w14:textId="76C4E2A6" w:rsidR="00653D33" w:rsidRDefault="00000000">
          <w:pPr>
            <w:pStyle w:val="TOC3"/>
            <w:rPr>
              <w:rFonts w:asciiTheme="minorHAnsi" w:eastAsiaTheme="minorEastAsia" w:hAnsiTheme="minorHAnsi" w:cstheme="minorBidi"/>
              <w:color w:val="auto"/>
              <w:szCs w:val="22"/>
              <w:lang w:eastAsia="en-AU"/>
            </w:rPr>
          </w:pPr>
          <w:hyperlink w:anchor="_Toc149228521" w:history="1">
            <w:r w:rsidR="00653D33" w:rsidRPr="00404EDC">
              <w:rPr>
                <w:rStyle w:val="Hyperlink"/>
                <w:iCs/>
              </w:rPr>
              <w:t>Deletion applications</w:t>
            </w:r>
            <w:r w:rsidR="00653D33">
              <w:rPr>
                <w:webHidden/>
              </w:rPr>
              <w:tab/>
            </w:r>
            <w:r w:rsidR="00653D33">
              <w:rPr>
                <w:webHidden/>
              </w:rPr>
              <w:fldChar w:fldCharType="begin"/>
            </w:r>
            <w:r w:rsidR="00653D33">
              <w:rPr>
                <w:webHidden/>
              </w:rPr>
              <w:instrText xml:space="preserve"> PAGEREF _Toc149228521 \h </w:instrText>
            </w:r>
            <w:r w:rsidR="00653D33">
              <w:rPr>
                <w:webHidden/>
              </w:rPr>
            </w:r>
            <w:r w:rsidR="00653D33">
              <w:rPr>
                <w:webHidden/>
              </w:rPr>
              <w:fldChar w:fldCharType="separate"/>
            </w:r>
            <w:r w:rsidR="00552628">
              <w:rPr>
                <w:webHidden/>
              </w:rPr>
              <w:t>22</w:t>
            </w:r>
            <w:r w:rsidR="00653D33">
              <w:rPr>
                <w:webHidden/>
              </w:rPr>
              <w:fldChar w:fldCharType="end"/>
            </w:r>
          </w:hyperlink>
        </w:p>
        <w:p w14:paraId="19A69765" w14:textId="4D61C3B4" w:rsidR="00653D33" w:rsidRDefault="00000000">
          <w:pPr>
            <w:pStyle w:val="TOC3"/>
            <w:rPr>
              <w:rFonts w:asciiTheme="minorHAnsi" w:eastAsiaTheme="minorEastAsia" w:hAnsiTheme="minorHAnsi" w:cstheme="minorBidi"/>
              <w:color w:val="auto"/>
              <w:szCs w:val="22"/>
              <w:lang w:eastAsia="en-AU"/>
            </w:rPr>
          </w:pPr>
          <w:hyperlink w:anchor="_Toc149228522" w:history="1">
            <w:r w:rsidR="00653D33" w:rsidRPr="00404EDC">
              <w:rPr>
                <w:rStyle w:val="Hyperlink"/>
                <w:rFonts w:cs="Times New Roman"/>
              </w:rPr>
              <w:t>Sponsor may submit deletion application to delete the existing billing code from the PL.</w:t>
            </w:r>
            <w:r w:rsidR="00653D33">
              <w:rPr>
                <w:webHidden/>
              </w:rPr>
              <w:tab/>
            </w:r>
            <w:r w:rsidR="00653D33">
              <w:rPr>
                <w:webHidden/>
              </w:rPr>
              <w:fldChar w:fldCharType="begin"/>
            </w:r>
            <w:r w:rsidR="00653D33">
              <w:rPr>
                <w:webHidden/>
              </w:rPr>
              <w:instrText xml:space="preserve"> PAGEREF _Toc149228522 \h </w:instrText>
            </w:r>
            <w:r w:rsidR="00653D33">
              <w:rPr>
                <w:webHidden/>
              </w:rPr>
            </w:r>
            <w:r w:rsidR="00653D33">
              <w:rPr>
                <w:webHidden/>
              </w:rPr>
              <w:fldChar w:fldCharType="separate"/>
            </w:r>
            <w:r w:rsidR="00552628">
              <w:rPr>
                <w:webHidden/>
              </w:rPr>
              <w:t>22</w:t>
            </w:r>
            <w:r w:rsidR="00653D33">
              <w:rPr>
                <w:webHidden/>
              </w:rPr>
              <w:fldChar w:fldCharType="end"/>
            </w:r>
          </w:hyperlink>
        </w:p>
        <w:p w14:paraId="270AC300" w14:textId="4BC10051" w:rsidR="00653D33" w:rsidRDefault="00000000">
          <w:pPr>
            <w:pStyle w:val="TOC2"/>
            <w:rPr>
              <w:rFonts w:asciiTheme="minorHAnsi" w:eastAsiaTheme="minorEastAsia" w:hAnsiTheme="minorHAnsi" w:cstheme="minorBidi"/>
              <w:noProof/>
              <w:color w:val="auto"/>
              <w:szCs w:val="22"/>
              <w:lang w:eastAsia="en-AU"/>
            </w:rPr>
          </w:pPr>
          <w:hyperlink w:anchor="_Toc149228523" w:history="1">
            <w:r w:rsidR="00653D33" w:rsidRPr="00404EDC">
              <w:rPr>
                <w:rStyle w:val="Hyperlink"/>
                <w:noProof/>
              </w:rPr>
              <w:t>Assessment of Part B applications</w:t>
            </w:r>
            <w:r w:rsidR="00653D33">
              <w:rPr>
                <w:noProof/>
                <w:webHidden/>
              </w:rPr>
              <w:tab/>
            </w:r>
            <w:r w:rsidR="00653D33">
              <w:rPr>
                <w:noProof/>
                <w:webHidden/>
              </w:rPr>
              <w:fldChar w:fldCharType="begin"/>
            </w:r>
            <w:r w:rsidR="00653D33">
              <w:rPr>
                <w:noProof/>
                <w:webHidden/>
              </w:rPr>
              <w:instrText xml:space="preserve"> PAGEREF _Toc149228523 \h </w:instrText>
            </w:r>
            <w:r w:rsidR="00653D33">
              <w:rPr>
                <w:noProof/>
                <w:webHidden/>
              </w:rPr>
            </w:r>
            <w:r w:rsidR="00653D33">
              <w:rPr>
                <w:noProof/>
                <w:webHidden/>
              </w:rPr>
              <w:fldChar w:fldCharType="separate"/>
            </w:r>
            <w:r w:rsidR="00552628">
              <w:rPr>
                <w:noProof/>
                <w:webHidden/>
              </w:rPr>
              <w:t>22</w:t>
            </w:r>
            <w:r w:rsidR="00653D33">
              <w:rPr>
                <w:noProof/>
                <w:webHidden/>
              </w:rPr>
              <w:fldChar w:fldCharType="end"/>
            </w:r>
          </w:hyperlink>
        </w:p>
        <w:p w14:paraId="62E7B183" w14:textId="1DFD4580" w:rsidR="00653D33" w:rsidRDefault="00000000">
          <w:pPr>
            <w:pStyle w:val="TOC2"/>
            <w:rPr>
              <w:rFonts w:asciiTheme="minorHAnsi" w:eastAsiaTheme="minorEastAsia" w:hAnsiTheme="minorHAnsi" w:cstheme="minorBidi"/>
              <w:noProof/>
              <w:color w:val="auto"/>
              <w:szCs w:val="22"/>
              <w:lang w:eastAsia="en-AU"/>
            </w:rPr>
          </w:pPr>
          <w:hyperlink w:anchor="_Toc149228524" w:history="1">
            <w:r w:rsidR="00653D33" w:rsidRPr="00404EDC">
              <w:rPr>
                <w:rStyle w:val="Hyperlink"/>
                <w:noProof/>
              </w:rPr>
              <w:t>Assessment of Part A and Part C applications</w:t>
            </w:r>
            <w:r w:rsidR="00653D33">
              <w:rPr>
                <w:noProof/>
                <w:webHidden/>
              </w:rPr>
              <w:tab/>
            </w:r>
            <w:r w:rsidR="00653D33">
              <w:rPr>
                <w:noProof/>
                <w:webHidden/>
              </w:rPr>
              <w:fldChar w:fldCharType="begin"/>
            </w:r>
            <w:r w:rsidR="00653D33">
              <w:rPr>
                <w:noProof/>
                <w:webHidden/>
              </w:rPr>
              <w:instrText xml:space="preserve"> PAGEREF _Toc149228524 \h </w:instrText>
            </w:r>
            <w:r w:rsidR="00653D33">
              <w:rPr>
                <w:noProof/>
                <w:webHidden/>
              </w:rPr>
            </w:r>
            <w:r w:rsidR="00653D33">
              <w:rPr>
                <w:noProof/>
                <w:webHidden/>
              </w:rPr>
              <w:fldChar w:fldCharType="separate"/>
            </w:r>
            <w:r w:rsidR="00552628">
              <w:rPr>
                <w:noProof/>
                <w:webHidden/>
              </w:rPr>
              <w:t>23</w:t>
            </w:r>
            <w:r w:rsidR="00653D33">
              <w:rPr>
                <w:noProof/>
                <w:webHidden/>
              </w:rPr>
              <w:fldChar w:fldCharType="end"/>
            </w:r>
          </w:hyperlink>
        </w:p>
        <w:p w14:paraId="6D91D89C" w14:textId="37ED04F8" w:rsidR="00653D33" w:rsidRDefault="00000000">
          <w:pPr>
            <w:pStyle w:val="TOC3"/>
            <w:rPr>
              <w:rFonts w:asciiTheme="minorHAnsi" w:eastAsiaTheme="minorEastAsia" w:hAnsiTheme="minorHAnsi" w:cstheme="minorBidi"/>
              <w:color w:val="auto"/>
              <w:szCs w:val="22"/>
              <w:lang w:eastAsia="en-AU"/>
            </w:rPr>
          </w:pPr>
          <w:hyperlink w:anchor="_Toc149228525" w:history="1">
            <w:r w:rsidR="00653D33" w:rsidRPr="00404EDC">
              <w:rPr>
                <w:rStyle w:val="Hyperlink"/>
              </w:rPr>
              <w:t>Tier 1: Departmental Assessment Pathway</w:t>
            </w:r>
            <w:r w:rsidR="00653D33">
              <w:rPr>
                <w:webHidden/>
              </w:rPr>
              <w:tab/>
            </w:r>
            <w:r w:rsidR="00653D33">
              <w:rPr>
                <w:webHidden/>
              </w:rPr>
              <w:fldChar w:fldCharType="begin"/>
            </w:r>
            <w:r w:rsidR="00653D33">
              <w:rPr>
                <w:webHidden/>
              </w:rPr>
              <w:instrText xml:space="preserve"> PAGEREF _Toc149228525 \h </w:instrText>
            </w:r>
            <w:r w:rsidR="00653D33">
              <w:rPr>
                <w:webHidden/>
              </w:rPr>
            </w:r>
            <w:r w:rsidR="00653D33">
              <w:rPr>
                <w:webHidden/>
              </w:rPr>
              <w:fldChar w:fldCharType="separate"/>
            </w:r>
            <w:r w:rsidR="00552628">
              <w:rPr>
                <w:webHidden/>
              </w:rPr>
              <w:t>24</w:t>
            </w:r>
            <w:r w:rsidR="00653D33">
              <w:rPr>
                <w:webHidden/>
              </w:rPr>
              <w:fldChar w:fldCharType="end"/>
            </w:r>
          </w:hyperlink>
        </w:p>
        <w:p w14:paraId="0F2FD9B4" w14:textId="4ADC91DB" w:rsidR="00653D33" w:rsidRDefault="00000000">
          <w:pPr>
            <w:pStyle w:val="TOC3"/>
            <w:rPr>
              <w:rFonts w:asciiTheme="minorHAnsi" w:eastAsiaTheme="minorEastAsia" w:hAnsiTheme="minorHAnsi" w:cstheme="minorBidi"/>
              <w:color w:val="auto"/>
              <w:szCs w:val="22"/>
              <w:lang w:eastAsia="en-AU"/>
            </w:rPr>
          </w:pPr>
          <w:hyperlink w:anchor="_Toc149228526" w:history="1">
            <w:r w:rsidR="00653D33" w:rsidRPr="00404EDC">
              <w:rPr>
                <w:rStyle w:val="Hyperlink"/>
              </w:rPr>
              <w:t>Spinal and Neurosurgical devices</w:t>
            </w:r>
            <w:r w:rsidR="00653D33">
              <w:rPr>
                <w:webHidden/>
              </w:rPr>
              <w:tab/>
            </w:r>
            <w:r w:rsidR="00653D33">
              <w:rPr>
                <w:webHidden/>
              </w:rPr>
              <w:fldChar w:fldCharType="begin"/>
            </w:r>
            <w:r w:rsidR="00653D33">
              <w:rPr>
                <w:webHidden/>
              </w:rPr>
              <w:instrText xml:space="preserve"> PAGEREF _Toc149228526 \h </w:instrText>
            </w:r>
            <w:r w:rsidR="00653D33">
              <w:rPr>
                <w:webHidden/>
              </w:rPr>
            </w:r>
            <w:r w:rsidR="00653D33">
              <w:rPr>
                <w:webHidden/>
              </w:rPr>
              <w:fldChar w:fldCharType="separate"/>
            </w:r>
            <w:r w:rsidR="00552628">
              <w:rPr>
                <w:webHidden/>
              </w:rPr>
              <w:t>24</w:t>
            </w:r>
            <w:r w:rsidR="00653D33">
              <w:rPr>
                <w:webHidden/>
              </w:rPr>
              <w:fldChar w:fldCharType="end"/>
            </w:r>
          </w:hyperlink>
        </w:p>
        <w:p w14:paraId="39BF79C6" w14:textId="11277D85" w:rsidR="00653D33" w:rsidRDefault="00000000">
          <w:pPr>
            <w:pStyle w:val="TOC3"/>
            <w:rPr>
              <w:rFonts w:asciiTheme="minorHAnsi" w:eastAsiaTheme="minorEastAsia" w:hAnsiTheme="minorHAnsi" w:cstheme="minorBidi"/>
              <w:color w:val="auto"/>
              <w:szCs w:val="22"/>
              <w:lang w:eastAsia="en-AU"/>
            </w:rPr>
          </w:pPr>
          <w:hyperlink w:anchor="_Toc149228527" w:history="1">
            <w:r w:rsidR="00653D33" w:rsidRPr="00404EDC">
              <w:rPr>
                <w:rStyle w:val="Hyperlink"/>
              </w:rPr>
              <w:t>Cardiac, Cardiothoracic and Vascular devices</w:t>
            </w:r>
            <w:r w:rsidR="00653D33">
              <w:rPr>
                <w:webHidden/>
              </w:rPr>
              <w:tab/>
            </w:r>
            <w:r w:rsidR="00653D33">
              <w:rPr>
                <w:webHidden/>
              </w:rPr>
              <w:fldChar w:fldCharType="begin"/>
            </w:r>
            <w:r w:rsidR="00653D33">
              <w:rPr>
                <w:webHidden/>
              </w:rPr>
              <w:instrText xml:space="preserve"> PAGEREF _Toc149228527 \h </w:instrText>
            </w:r>
            <w:r w:rsidR="00653D33">
              <w:rPr>
                <w:webHidden/>
              </w:rPr>
            </w:r>
            <w:r w:rsidR="00653D33">
              <w:rPr>
                <w:webHidden/>
              </w:rPr>
              <w:fldChar w:fldCharType="separate"/>
            </w:r>
            <w:r w:rsidR="00552628">
              <w:rPr>
                <w:webHidden/>
              </w:rPr>
              <w:t>25</w:t>
            </w:r>
            <w:r w:rsidR="00653D33">
              <w:rPr>
                <w:webHidden/>
              </w:rPr>
              <w:fldChar w:fldCharType="end"/>
            </w:r>
          </w:hyperlink>
        </w:p>
        <w:p w14:paraId="01AF814B" w14:textId="325806D9" w:rsidR="00653D33" w:rsidRDefault="00000000">
          <w:pPr>
            <w:pStyle w:val="TOC3"/>
            <w:rPr>
              <w:rFonts w:asciiTheme="minorHAnsi" w:eastAsiaTheme="minorEastAsia" w:hAnsiTheme="minorHAnsi" w:cstheme="minorBidi"/>
              <w:color w:val="auto"/>
              <w:szCs w:val="22"/>
              <w:lang w:eastAsia="en-AU"/>
            </w:rPr>
          </w:pPr>
          <w:hyperlink w:anchor="_Toc149228528" w:history="1">
            <w:r w:rsidR="00653D33" w:rsidRPr="00404EDC">
              <w:rPr>
                <w:rStyle w:val="Hyperlink"/>
              </w:rPr>
              <w:t>Knee and hip devices</w:t>
            </w:r>
            <w:r w:rsidR="00653D33">
              <w:rPr>
                <w:webHidden/>
              </w:rPr>
              <w:tab/>
            </w:r>
            <w:r w:rsidR="00653D33">
              <w:rPr>
                <w:webHidden/>
              </w:rPr>
              <w:fldChar w:fldCharType="begin"/>
            </w:r>
            <w:r w:rsidR="00653D33">
              <w:rPr>
                <w:webHidden/>
              </w:rPr>
              <w:instrText xml:space="preserve"> PAGEREF _Toc149228528 \h </w:instrText>
            </w:r>
            <w:r w:rsidR="00653D33">
              <w:rPr>
                <w:webHidden/>
              </w:rPr>
            </w:r>
            <w:r w:rsidR="00653D33">
              <w:rPr>
                <w:webHidden/>
              </w:rPr>
              <w:fldChar w:fldCharType="separate"/>
            </w:r>
            <w:r w:rsidR="00552628">
              <w:rPr>
                <w:webHidden/>
              </w:rPr>
              <w:t>25</w:t>
            </w:r>
            <w:r w:rsidR="00653D33">
              <w:rPr>
                <w:webHidden/>
              </w:rPr>
              <w:fldChar w:fldCharType="end"/>
            </w:r>
          </w:hyperlink>
        </w:p>
        <w:p w14:paraId="44FFBDFD" w14:textId="31B39018" w:rsidR="00653D33" w:rsidRDefault="00000000">
          <w:pPr>
            <w:pStyle w:val="TOC3"/>
            <w:rPr>
              <w:rFonts w:asciiTheme="minorHAnsi" w:eastAsiaTheme="minorEastAsia" w:hAnsiTheme="minorHAnsi" w:cstheme="minorBidi"/>
              <w:color w:val="auto"/>
              <w:szCs w:val="22"/>
              <w:lang w:eastAsia="en-AU"/>
            </w:rPr>
          </w:pPr>
          <w:hyperlink w:anchor="_Toc149228529" w:history="1">
            <w:r w:rsidR="00653D33" w:rsidRPr="00404EDC">
              <w:rPr>
                <w:rStyle w:val="Hyperlink"/>
              </w:rPr>
              <w:t>Specialist Orthopaedic devices</w:t>
            </w:r>
            <w:r w:rsidR="00653D33">
              <w:rPr>
                <w:webHidden/>
              </w:rPr>
              <w:tab/>
            </w:r>
            <w:r w:rsidR="00653D33">
              <w:rPr>
                <w:webHidden/>
              </w:rPr>
              <w:fldChar w:fldCharType="begin"/>
            </w:r>
            <w:r w:rsidR="00653D33">
              <w:rPr>
                <w:webHidden/>
              </w:rPr>
              <w:instrText xml:space="preserve"> PAGEREF _Toc149228529 \h </w:instrText>
            </w:r>
            <w:r w:rsidR="00653D33">
              <w:rPr>
                <w:webHidden/>
              </w:rPr>
            </w:r>
            <w:r w:rsidR="00653D33">
              <w:rPr>
                <w:webHidden/>
              </w:rPr>
              <w:fldChar w:fldCharType="separate"/>
            </w:r>
            <w:r w:rsidR="00552628">
              <w:rPr>
                <w:webHidden/>
              </w:rPr>
              <w:t>25</w:t>
            </w:r>
            <w:r w:rsidR="00653D33">
              <w:rPr>
                <w:webHidden/>
              </w:rPr>
              <w:fldChar w:fldCharType="end"/>
            </w:r>
          </w:hyperlink>
        </w:p>
        <w:p w14:paraId="22285F0B" w14:textId="63B36EE7" w:rsidR="00653D33" w:rsidRDefault="00000000">
          <w:pPr>
            <w:pStyle w:val="TOC3"/>
            <w:rPr>
              <w:rFonts w:asciiTheme="minorHAnsi" w:eastAsiaTheme="minorEastAsia" w:hAnsiTheme="minorHAnsi" w:cstheme="minorBidi"/>
              <w:color w:val="auto"/>
              <w:szCs w:val="22"/>
              <w:lang w:eastAsia="en-AU"/>
            </w:rPr>
          </w:pPr>
          <w:hyperlink w:anchor="_Toc149228530" w:history="1">
            <w:r w:rsidR="00653D33" w:rsidRPr="00404EDC">
              <w:rPr>
                <w:rStyle w:val="Hyperlink"/>
              </w:rPr>
              <w:t>Ear, Nose, Throat, General Miscellaneous, Plastic and Reconstructive and Urogenital devices</w:t>
            </w:r>
            <w:r w:rsidR="00653D33">
              <w:rPr>
                <w:webHidden/>
              </w:rPr>
              <w:tab/>
            </w:r>
            <w:r w:rsidR="00653D33">
              <w:rPr>
                <w:webHidden/>
              </w:rPr>
              <w:fldChar w:fldCharType="begin"/>
            </w:r>
            <w:r w:rsidR="00653D33">
              <w:rPr>
                <w:webHidden/>
              </w:rPr>
              <w:instrText xml:space="preserve"> PAGEREF _Toc149228530 \h </w:instrText>
            </w:r>
            <w:r w:rsidR="00653D33">
              <w:rPr>
                <w:webHidden/>
              </w:rPr>
            </w:r>
            <w:r w:rsidR="00653D33">
              <w:rPr>
                <w:webHidden/>
              </w:rPr>
              <w:fldChar w:fldCharType="separate"/>
            </w:r>
            <w:r w:rsidR="00552628">
              <w:rPr>
                <w:webHidden/>
              </w:rPr>
              <w:t>26</w:t>
            </w:r>
            <w:r w:rsidR="00653D33">
              <w:rPr>
                <w:webHidden/>
              </w:rPr>
              <w:fldChar w:fldCharType="end"/>
            </w:r>
          </w:hyperlink>
        </w:p>
        <w:p w14:paraId="01D2E218" w14:textId="5A93ACDA" w:rsidR="00653D33" w:rsidRDefault="00000000">
          <w:pPr>
            <w:pStyle w:val="TOC3"/>
            <w:rPr>
              <w:rFonts w:asciiTheme="minorHAnsi" w:eastAsiaTheme="minorEastAsia" w:hAnsiTheme="minorHAnsi" w:cstheme="minorBidi"/>
              <w:color w:val="auto"/>
              <w:szCs w:val="22"/>
              <w:lang w:eastAsia="en-AU"/>
            </w:rPr>
          </w:pPr>
          <w:hyperlink w:anchor="_Toc149228531" w:history="1">
            <w:r w:rsidR="00653D33" w:rsidRPr="00404EDC">
              <w:rPr>
                <w:rStyle w:val="Hyperlink"/>
              </w:rPr>
              <w:t>Tier 2: Clinical/Focused HTA Assessment Pathway</w:t>
            </w:r>
            <w:r w:rsidR="00653D33">
              <w:rPr>
                <w:webHidden/>
              </w:rPr>
              <w:tab/>
            </w:r>
            <w:r w:rsidR="00653D33">
              <w:rPr>
                <w:webHidden/>
              </w:rPr>
              <w:fldChar w:fldCharType="begin"/>
            </w:r>
            <w:r w:rsidR="00653D33">
              <w:rPr>
                <w:webHidden/>
              </w:rPr>
              <w:instrText xml:space="preserve"> PAGEREF _Toc149228531 \h </w:instrText>
            </w:r>
            <w:r w:rsidR="00653D33">
              <w:rPr>
                <w:webHidden/>
              </w:rPr>
            </w:r>
            <w:r w:rsidR="00653D33">
              <w:rPr>
                <w:webHidden/>
              </w:rPr>
              <w:fldChar w:fldCharType="separate"/>
            </w:r>
            <w:r w:rsidR="00552628">
              <w:rPr>
                <w:webHidden/>
              </w:rPr>
              <w:t>27</w:t>
            </w:r>
            <w:r w:rsidR="00653D33">
              <w:rPr>
                <w:webHidden/>
              </w:rPr>
              <w:fldChar w:fldCharType="end"/>
            </w:r>
          </w:hyperlink>
        </w:p>
        <w:p w14:paraId="123875EF" w14:textId="36DE69F0" w:rsidR="00653D33" w:rsidRDefault="00000000">
          <w:pPr>
            <w:pStyle w:val="TOC3"/>
            <w:rPr>
              <w:rFonts w:asciiTheme="minorHAnsi" w:eastAsiaTheme="minorEastAsia" w:hAnsiTheme="minorHAnsi" w:cstheme="minorBidi"/>
              <w:color w:val="auto"/>
              <w:szCs w:val="22"/>
              <w:lang w:eastAsia="en-AU"/>
            </w:rPr>
          </w:pPr>
          <w:hyperlink w:anchor="_Toc149228532" w:history="1">
            <w:r w:rsidR="00653D33" w:rsidRPr="00404EDC">
              <w:rPr>
                <w:rStyle w:val="Hyperlink"/>
              </w:rPr>
              <w:t>Clinical evidence requirements for devices assessed under Tier 2a or Tier 2b Pathways</w:t>
            </w:r>
            <w:r w:rsidR="00653D33">
              <w:rPr>
                <w:webHidden/>
              </w:rPr>
              <w:tab/>
            </w:r>
            <w:r w:rsidR="00653D33">
              <w:rPr>
                <w:webHidden/>
              </w:rPr>
              <w:fldChar w:fldCharType="begin"/>
            </w:r>
            <w:r w:rsidR="00653D33">
              <w:rPr>
                <w:webHidden/>
              </w:rPr>
              <w:instrText xml:space="preserve"> PAGEREF _Toc149228532 \h </w:instrText>
            </w:r>
            <w:r w:rsidR="00653D33">
              <w:rPr>
                <w:webHidden/>
              </w:rPr>
            </w:r>
            <w:r w:rsidR="00653D33">
              <w:rPr>
                <w:webHidden/>
              </w:rPr>
              <w:fldChar w:fldCharType="separate"/>
            </w:r>
            <w:r w:rsidR="00552628">
              <w:rPr>
                <w:webHidden/>
              </w:rPr>
              <w:t>29</w:t>
            </w:r>
            <w:r w:rsidR="00653D33">
              <w:rPr>
                <w:webHidden/>
              </w:rPr>
              <w:fldChar w:fldCharType="end"/>
            </w:r>
          </w:hyperlink>
        </w:p>
        <w:p w14:paraId="1B1102AF" w14:textId="5A5CB78F" w:rsidR="00653D33" w:rsidRDefault="00000000">
          <w:pPr>
            <w:pStyle w:val="TOC3"/>
            <w:rPr>
              <w:rFonts w:asciiTheme="minorHAnsi" w:eastAsiaTheme="minorEastAsia" w:hAnsiTheme="minorHAnsi" w:cstheme="minorBidi"/>
              <w:color w:val="auto"/>
              <w:szCs w:val="22"/>
              <w:lang w:eastAsia="en-AU"/>
            </w:rPr>
          </w:pPr>
          <w:hyperlink w:anchor="_Toc149228533" w:history="1">
            <w:r w:rsidR="00653D33" w:rsidRPr="00404EDC">
              <w:rPr>
                <w:rStyle w:val="Hyperlink"/>
              </w:rPr>
              <w:t>Specific requirements</w:t>
            </w:r>
            <w:r w:rsidR="00653D33">
              <w:rPr>
                <w:webHidden/>
              </w:rPr>
              <w:tab/>
            </w:r>
            <w:r w:rsidR="00653D33">
              <w:rPr>
                <w:webHidden/>
              </w:rPr>
              <w:fldChar w:fldCharType="begin"/>
            </w:r>
            <w:r w:rsidR="00653D33">
              <w:rPr>
                <w:webHidden/>
              </w:rPr>
              <w:instrText xml:space="preserve"> PAGEREF _Toc149228533 \h </w:instrText>
            </w:r>
            <w:r w:rsidR="00653D33">
              <w:rPr>
                <w:webHidden/>
              </w:rPr>
            </w:r>
            <w:r w:rsidR="00653D33">
              <w:rPr>
                <w:webHidden/>
              </w:rPr>
              <w:fldChar w:fldCharType="separate"/>
            </w:r>
            <w:r w:rsidR="00552628">
              <w:rPr>
                <w:webHidden/>
              </w:rPr>
              <w:t>30</w:t>
            </w:r>
            <w:r w:rsidR="00653D33">
              <w:rPr>
                <w:webHidden/>
              </w:rPr>
              <w:fldChar w:fldCharType="end"/>
            </w:r>
          </w:hyperlink>
        </w:p>
        <w:p w14:paraId="76A0A82C" w14:textId="7CC1C908" w:rsidR="00653D33" w:rsidRDefault="00000000">
          <w:pPr>
            <w:pStyle w:val="TOC3"/>
            <w:rPr>
              <w:rFonts w:asciiTheme="minorHAnsi" w:eastAsiaTheme="minorEastAsia" w:hAnsiTheme="minorHAnsi" w:cstheme="minorBidi"/>
              <w:color w:val="auto"/>
              <w:szCs w:val="22"/>
              <w:lang w:eastAsia="en-AU"/>
            </w:rPr>
          </w:pPr>
          <w:hyperlink w:anchor="_Toc149228534" w:history="1">
            <w:r w:rsidR="00653D33" w:rsidRPr="00404EDC">
              <w:rPr>
                <w:rStyle w:val="Hyperlink"/>
              </w:rPr>
              <w:t>Spinal and Neurosurgical devices (SNECAG)</w:t>
            </w:r>
            <w:r w:rsidR="00653D33">
              <w:rPr>
                <w:webHidden/>
              </w:rPr>
              <w:tab/>
            </w:r>
            <w:r w:rsidR="00653D33">
              <w:rPr>
                <w:webHidden/>
              </w:rPr>
              <w:fldChar w:fldCharType="begin"/>
            </w:r>
            <w:r w:rsidR="00653D33">
              <w:rPr>
                <w:webHidden/>
              </w:rPr>
              <w:instrText xml:space="preserve"> PAGEREF _Toc149228534 \h </w:instrText>
            </w:r>
            <w:r w:rsidR="00653D33">
              <w:rPr>
                <w:webHidden/>
              </w:rPr>
            </w:r>
            <w:r w:rsidR="00653D33">
              <w:rPr>
                <w:webHidden/>
              </w:rPr>
              <w:fldChar w:fldCharType="separate"/>
            </w:r>
            <w:r w:rsidR="00552628">
              <w:rPr>
                <w:webHidden/>
              </w:rPr>
              <w:t>30</w:t>
            </w:r>
            <w:r w:rsidR="00653D33">
              <w:rPr>
                <w:webHidden/>
              </w:rPr>
              <w:fldChar w:fldCharType="end"/>
            </w:r>
          </w:hyperlink>
        </w:p>
        <w:p w14:paraId="0C608D75" w14:textId="093A4632" w:rsidR="00653D33" w:rsidRDefault="00000000">
          <w:pPr>
            <w:pStyle w:val="TOC3"/>
            <w:rPr>
              <w:rFonts w:asciiTheme="minorHAnsi" w:eastAsiaTheme="minorEastAsia" w:hAnsiTheme="minorHAnsi" w:cstheme="minorBidi"/>
              <w:color w:val="auto"/>
              <w:szCs w:val="22"/>
              <w:lang w:eastAsia="en-AU"/>
            </w:rPr>
          </w:pPr>
          <w:hyperlink w:anchor="_Toc149228535" w:history="1">
            <w:r w:rsidR="00653D33" w:rsidRPr="00404EDC">
              <w:rPr>
                <w:rStyle w:val="Hyperlink"/>
              </w:rPr>
              <w:t>Cardiac, Cardiothoracic and Vascular devices (CECAG)</w:t>
            </w:r>
            <w:r w:rsidR="00653D33">
              <w:rPr>
                <w:webHidden/>
              </w:rPr>
              <w:tab/>
            </w:r>
            <w:r w:rsidR="00653D33">
              <w:rPr>
                <w:webHidden/>
              </w:rPr>
              <w:fldChar w:fldCharType="begin"/>
            </w:r>
            <w:r w:rsidR="00653D33">
              <w:rPr>
                <w:webHidden/>
              </w:rPr>
              <w:instrText xml:space="preserve"> PAGEREF _Toc149228535 \h </w:instrText>
            </w:r>
            <w:r w:rsidR="00653D33">
              <w:rPr>
                <w:webHidden/>
              </w:rPr>
            </w:r>
            <w:r w:rsidR="00653D33">
              <w:rPr>
                <w:webHidden/>
              </w:rPr>
              <w:fldChar w:fldCharType="separate"/>
            </w:r>
            <w:r w:rsidR="00552628">
              <w:rPr>
                <w:webHidden/>
              </w:rPr>
              <w:t>30</w:t>
            </w:r>
            <w:r w:rsidR="00653D33">
              <w:rPr>
                <w:webHidden/>
              </w:rPr>
              <w:fldChar w:fldCharType="end"/>
            </w:r>
          </w:hyperlink>
        </w:p>
        <w:p w14:paraId="6F1F8383" w14:textId="6FE5401A" w:rsidR="00653D33" w:rsidRDefault="00000000">
          <w:pPr>
            <w:pStyle w:val="TOC3"/>
            <w:rPr>
              <w:rFonts w:asciiTheme="minorHAnsi" w:eastAsiaTheme="minorEastAsia" w:hAnsiTheme="minorHAnsi" w:cstheme="minorBidi"/>
              <w:color w:val="auto"/>
              <w:szCs w:val="22"/>
              <w:lang w:eastAsia="en-AU"/>
            </w:rPr>
          </w:pPr>
          <w:hyperlink w:anchor="_Toc149228536" w:history="1">
            <w:r w:rsidR="00653D33" w:rsidRPr="00404EDC">
              <w:rPr>
                <w:rStyle w:val="Hyperlink"/>
                <w:i/>
                <w:iCs/>
              </w:rPr>
              <w:t>Joint replacement devices (knee, hip, shoulder, elbow wrist, ankle)</w:t>
            </w:r>
            <w:r w:rsidR="00653D33">
              <w:rPr>
                <w:webHidden/>
              </w:rPr>
              <w:tab/>
            </w:r>
            <w:r w:rsidR="00653D33">
              <w:rPr>
                <w:webHidden/>
              </w:rPr>
              <w:fldChar w:fldCharType="begin"/>
            </w:r>
            <w:r w:rsidR="00653D33">
              <w:rPr>
                <w:webHidden/>
              </w:rPr>
              <w:instrText xml:space="preserve"> PAGEREF _Toc149228536 \h </w:instrText>
            </w:r>
            <w:r w:rsidR="00653D33">
              <w:rPr>
                <w:webHidden/>
              </w:rPr>
            </w:r>
            <w:r w:rsidR="00653D33">
              <w:rPr>
                <w:webHidden/>
              </w:rPr>
              <w:fldChar w:fldCharType="separate"/>
            </w:r>
            <w:r w:rsidR="00552628">
              <w:rPr>
                <w:webHidden/>
              </w:rPr>
              <w:t>31</w:t>
            </w:r>
            <w:r w:rsidR="00653D33">
              <w:rPr>
                <w:webHidden/>
              </w:rPr>
              <w:fldChar w:fldCharType="end"/>
            </w:r>
          </w:hyperlink>
        </w:p>
        <w:p w14:paraId="270539C5" w14:textId="490B3694" w:rsidR="00653D33" w:rsidRDefault="00000000">
          <w:pPr>
            <w:pStyle w:val="TOC3"/>
            <w:rPr>
              <w:rFonts w:asciiTheme="minorHAnsi" w:eastAsiaTheme="minorEastAsia" w:hAnsiTheme="minorHAnsi" w:cstheme="minorBidi"/>
              <w:color w:val="auto"/>
              <w:szCs w:val="22"/>
              <w:lang w:eastAsia="en-AU"/>
            </w:rPr>
          </w:pPr>
          <w:hyperlink w:anchor="_Toc149228537" w:history="1">
            <w:r w:rsidR="00653D33" w:rsidRPr="00404EDC">
              <w:rPr>
                <w:rStyle w:val="Hyperlink"/>
              </w:rPr>
              <w:t>Knee and Hip devices (HKECAG)</w:t>
            </w:r>
            <w:r w:rsidR="00653D33">
              <w:rPr>
                <w:webHidden/>
              </w:rPr>
              <w:tab/>
            </w:r>
            <w:r w:rsidR="00653D33">
              <w:rPr>
                <w:webHidden/>
              </w:rPr>
              <w:fldChar w:fldCharType="begin"/>
            </w:r>
            <w:r w:rsidR="00653D33">
              <w:rPr>
                <w:webHidden/>
              </w:rPr>
              <w:instrText xml:space="preserve"> PAGEREF _Toc149228537 \h </w:instrText>
            </w:r>
            <w:r w:rsidR="00653D33">
              <w:rPr>
                <w:webHidden/>
              </w:rPr>
            </w:r>
            <w:r w:rsidR="00653D33">
              <w:rPr>
                <w:webHidden/>
              </w:rPr>
              <w:fldChar w:fldCharType="separate"/>
            </w:r>
            <w:r w:rsidR="00552628">
              <w:rPr>
                <w:webHidden/>
              </w:rPr>
              <w:t>32</w:t>
            </w:r>
            <w:r w:rsidR="00653D33">
              <w:rPr>
                <w:webHidden/>
              </w:rPr>
              <w:fldChar w:fldCharType="end"/>
            </w:r>
          </w:hyperlink>
        </w:p>
        <w:p w14:paraId="0E85F3BD" w14:textId="13B5A6F1" w:rsidR="00653D33" w:rsidRDefault="00000000">
          <w:pPr>
            <w:pStyle w:val="TOC3"/>
            <w:rPr>
              <w:rFonts w:asciiTheme="minorHAnsi" w:eastAsiaTheme="minorEastAsia" w:hAnsiTheme="minorHAnsi" w:cstheme="minorBidi"/>
              <w:color w:val="auto"/>
              <w:szCs w:val="22"/>
              <w:lang w:eastAsia="en-AU"/>
            </w:rPr>
          </w:pPr>
          <w:hyperlink w:anchor="_Toc149228538" w:history="1">
            <w:r w:rsidR="00653D33" w:rsidRPr="00404EDC">
              <w:rPr>
                <w:rStyle w:val="Hyperlink"/>
              </w:rPr>
              <w:t>Specialist Orthopaedic devices (SOECAG)</w:t>
            </w:r>
            <w:r w:rsidR="00653D33">
              <w:rPr>
                <w:webHidden/>
              </w:rPr>
              <w:tab/>
            </w:r>
            <w:r w:rsidR="00653D33">
              <w:rPr>
                <w:webHidden/>
              </w:rPr>
              <w:fldChar w:fldCharType="begin"/>
            </w:r>
            <w:r w:rsidR="00653D33">
              <w:rPr>
                <w:webHidden/>
              </w:rPr>
              <w:instrText xml:space="preserve"> PAGEREF _Toc149228538 \h </w:instrText>
            </w:r>
            <w:r w:rsidR="00653D33">
              <w:rPr>
                <w:webHidden/>
              </w:rPr>
            </w:r>
            <w:r w:rsidR="00653D33">
              <w:rPr>
                <w:webHidden/>
              </w:rPr>
              <w:fldChar w:fldCharType="separate"/>
            </w:r>
            <w:r w:rsidR="00552628">
              <w:rPr>
                <w:webHidden/>
              </w:rPr>
              <w:t>32</w:t>
            </w:r>
            <w:r w:rsidR="00653D33">
              <w:rPr>
                <w:webHidden/>
              </w:rPr>
              <w:fldChar w:fldCharType="end"/>
            </w:r>
          </w:hyperlink>
        </w:p>
        <w:p w14:paraId="43E463D7" w14:textId="2B7B7004" w:rsidR="00653D33" w:rsidRDefault="00000000">
          <w:pPr>
            <w:pStyle w:val="TOC3"/>
            <w:rPr>
              <w:rFonts w:asciiTheme="minorHAnsi" w:eastAsiaTheme="minorEastAsia" w:hAnsiTheme="minorHAnsi" w:cstheme="minorBidi"/>
              <w:color w:val="auto"/>
              <w:szCs w:val="22"/>
              <w:lang w:eastAsia="en-AU"/>
            </w:rPr>
          </w:pPr>
          <w:hyperlink w:anchor="_Toc149228539" w:history="1">
            <w:r w:rsidR="00653D33" w:rsidRPr="00404EDC">
              <w:rPr>
                <w:rStyle w:val="Hyperlink"/>
              </w:rPr>
              <w:t>Ear, Nose, Throat, General Miscellaneous, Plastic and Reconstructive and Urogenital devices (GSECAG)</w:t>
            </w:r>
            <w:r w:rsidR="00653D33">
              <w:rPr>
                <w:webHidden/>
              </w:rPr>
              <w:tab/>
            </w:r>
            <w:r w:rsidR="00653D33">
              <w:rPr>
                <w:webHidden/>
              </w:rPr>
              <w:fldChar w:fldCharType="begin"/>
            </w:r>
            <w:r w:rsidR="00653D33">
              <w:rPr>
                <w:webHidden/>
              </w:rPr>
              <w:instrText xml:space="preserve"> PAGEREF _Toc149228539 \h </w:instrText>
            </w:r>
            <w:r w:rsidR="00653D33">
              <w:rPr>
                <w:webHidden/>
              </w:rPr>
            </w:r>
            <w:r w:rsidR="00653D33">
              <w:rPr>
                <w:webHidden/>
              </w:rPr>
              <w:fldChar w:fldCharType="separate"/>
            </w:r>
            <w:r w:rsidR="00552628">
              <w:rPr>
                <w:webHidden/>
              </w:rPr>
              <w:t>32</w:t>
            </w:r>
            <w:r w:rsidR="00653D33">
              <w:rPr>
                <w:webHidden/>
              </w:rPr>
              <w:fldChar w:fldCharType="end"/>
            </w:r>
          </w:hyperlink>
        </w:p>
        <w:p w14:paraId="2BD70234" w14:textId="41EFF9B4" w:rsidR="00653D33" w:rsidRDefault="00000000">
          <w:pPr>
            <w:pStyle w:val="TOC3"/>
            <w:rPr>
              <w:rFonts w:asciiTheme="minorHAnsi" w:eastAsiaTheme="minorEastAsia" w:hAnsiTheme="minorHAnsi" w:cstheme="minorBidi"/>
              <w:color w:val="auto"/>
              <w:szCs w:val="22"/>
              <w:lang w:eastAsia="en-AU"/>
            </w:rPr>
          </w:pPr>
          <w:hyperlink w:anchor="_Toc149228540" w:history="1">
            <w:r w:rsidR="00653D33" w:rsidRPr="00404EDC">
              <w:rPr>
                <w:rStyle w:val="Hyperlink"/>
              </w:rPr>
              <w:t>Ophthalmic devices (OECAG)</w:t>
            </w:r>
            <w:r w:rsidR="00653D33">
              <w:rPr>
                <w:webHidden/>
              </w:rPr>
              <w:tab/>
            </w:r>
            <w:r w:rsidR="00653D33">
              <w:rPr>
                <w:webHidden/>
              </w:rPr>
              <w:fldChar w:fldCharType="begin"/>
            </w:r>
            <w:r w:rsidR="00653D33">
              <w:rPr>
                <w:webHidden/>
              </w:rPr>
              <w:instrText xml:space="preserve"> PAGEREF _Toc149228540 \h </w:instrText>
            </w:r>
            <w:r w:rsidR="00653D33">
              <w:rPr>
                <w:webHidden/>
              </w:rPr>
            </w:r>
            <w:r w:rsidR="00653D33">
              <w:rPr>
                <w:webHidden/>
              </w:rPr>
              <w:fldChar w:fldCharType="separate"/>
            </w:r>
            <w:r w:rsidR="00552628">
              <w:rPr>
                <w:webHidden/>
              </w:rPr>
              <w:t>33</w:t>
            </w:r>
            <w:r w:rsidR="00653D33">
              <w:rPr>
                <w:webHidden/>
              </w:rPr>
              <w:fldChar w:fldCharType="end"/>
            </w:r>
          </w:hyperlink>
        </w:p>
        <w:p w14:paraId="727C4939" w14:textId="1B8E950B" w:rsidR="00653D33" w:rsidRDefault="00000000">
          <w:pPr>
            <w:pStyle w:val="TOC3"/>
            <w:rPr>
              <w:rFonts w:asciiTheme="minorHAnsi" w:eastAsiaTheme="minorEastAsia" w:hAnsiTheme="minorHAnsi" w:cstheme="minorBidi"/>
              <w:color w:val="auto"/>
              <w:szCs w:val="22"/>
              <w:lang w:eastAsia="en-AU"/>
            </w:rPr>
          </w:pPr>
          <w:hyperlink w:anchor="_Toc149228541" w:history="1">
            <w:r w:rsidR="00653D33" w:rsidRPr="00404EDC">
              <w:rPr>
                <w:rStyle w:val="Hyperlink"/>
              </w:rPr>
              <w:t>Further information for Tier 2b applications</w:t>
            </w:r>
            <w:r w:rsidR="00653D33">
              <w:rPr>
                <w:webHidden/>
              </w:rPr>
              <w:tab/>
            </w:r>
            <w:r w:rsidR="00653D33">
              <w:rPr>
                <w:webHidden/>
              </w:rPr>
              <w:fldChar w:fldCharType="begin"/>
            </w:r>
            <w:r w:rsidR="00653D33">
              <w:rPr>
                <w:webHidden/>
              </w:rPr>
              <w:instrText xml:space="preserve"> PAGEREF _Toc149228541 \h </w:instrText>
            </w:r>
            <w:r w:rsidR="00653D33">
              <w:rPr>
                <w:webHidden/>
              </w:rPr>
            </w:r>
            <w:r w:rsidR="00653D33">
              <w:rPr>
                <w:webHidden/>
              </w:rPr>
              <w:fldChar w:fldCharType="separate"/>
            </w:r>
            <w:r w:rsidR="00552628">
              <w:rPr>
                <w:webHidden/>
              </w:rPr>
              <w:t>33</w:t>
            </w:r>
            <w:r w:rsidR="00653D33">
              <w:rPr>
                <w:webHidden/>
              </w:rPr>
              <w:fldChar w:fldCharType="end"/>
            </w:r>
          </w:hyperlink>
        </w:p>
        <w:p w14:paraId="251202B9" w14:textId="2664B8C1" w:rsidR="00653D33" w:rsidRDefault="00000000">
          <w:pPr>
            <w:pStyle w:val="TOC3"/>
            <w:rPr>
              <w:rFonts w:asciiTheme="minorHAnsi" w:eastAsiaTheme="minorEastAsia" w:hAnsiTheme="minorHAnsi" w:cstheme="minorBidi"/>
              <w:color w:val="auto"/>
              <w:szCs w:val="22"/>
              <w:lang w:eastAsia="en-AU"/>
            </w:rPr>
          </w:pPr>
          <w:hyperlink w:anchor="_Toc149228542" w:history="1">
            <w:r w:rsidR="00653D33" w:rsidRPr="00404EDC">
              <w:rPr>
                <w:rStyle w:val="Hyperlink"/>
              </w:rPr>
              <w:t>Tier 3: Full HTA Pathway MSAC and MDHTAC</w:t>
            </w:r>
            <w:r w:rsidR="00653D33">
              <w:rPr>
                <w:webHidden/>
              </w:rPr>
              <w:tab/>
            </w:r>
            <w:r w:rsidR="00653D33">
              <w:rPr>
                <w:webHidden/>
              </w:rPr>
              <w:fldChar w:fldCharType="begin"/>
            </w:r>
            <w:r w:rsidR="00653D33">
              <w:rPr>
                <w:webHidden/>
              </w:rPr>
              <w:instrText xml:space="preserve"> PAGEREF _Toc149228542 \h </w:instrText>
            </w:r>
            <w:r w:rsidR="00653D33">
              <w:rPr>
                <w:webHidden/>
              </w:rPr>
            </w:r>
            <w:r w:rsidR="00653D33">
              <w:rPr>
                <w:webHidden/>
              </w:rPr>
              <w:fldChar w:fldCharType="separate"/>
            </w:r>
            <w:r w:rsidR="00552628">
              <w:rPr>
                <w:webHidden/>
              </w:rPr>
              <w:t>35</w:t>
            </w:r>
            <w:r w:rsidR="00653D33">
              <w:rPr>
                <w:webHidden/>
              </w:rPr>
              <w:fldChar w:fldCharType="end"/>
            </w:r>
          </w:hyperlink>
        </w:p>
        <w:p w14:paraId="3EFF4627" w14:textId="73E1DE52" w:rsidR="00653D33" w:rsidRDefault="00000000">
          <w:pPr>
            <w:pStyle w:val="TOC1"/>
            <w:rPr>
              <w:rFonts w:asciiTheme="minorHAnsi" w:eastAsiaTheme="minorEastAsia" w:hAnsiTheme="minorHAnsi" w:cstheme="minorBidi"/>
              <w:noProof/>
              <w:color w:val="auto"/>
              <w:szCs w:val="22"/>
              <w:lang w:eastAsia="en-AU"/>
            </w:rPr>
          </w:pPr>
          <w:hyperlink w:anchor="_Toc149228543" w:history="1">
            <w:r w:rsidR="00653D33" w:rsidRPr="00404EDC">
              <w:rPr>
                <w:rStyle w:val="Hyperlink"/>
                <w:noProof/>
              </w:rPr>
              <w:t>Chapter 6: Information and evidence to be provided in the applications</w:t>
            </w:r>
            <w:r w:rsidR="00653D33">
              <w:rPr>
                <w:noProof/>
                <w:webHidden/>
              </w:rPr>
              <w:tab/>
            </w:r>
            <w:r w:rsidR="00653D33">
              <w:rPr>
                <w:noProof/>
                <w:webHidden/>
              </w:rPr>
              <w:fldChar w:fldCharType="begin"/>
            </w:r>
            <w:r w:rsidR="00653D33">
              <w:rPr>
                <w:noProof/>
                <w:webHidden/>
              </w:rPr>
              <w:instrText xml:space="preserve"> PAGEREF _Toc149228543 \h </w:instrText>
            </w:r>
            <w:r w:rsidR="00653D33">
              <w:rPr>
                <w:noProof/>
                <w:webHidden/>
              </w:rPr>
            </w:r>
            <w:r w:rsidR="00653D33">
              <w:rPr>
                <w:noProof/>
                <w:webHidden/>
              </w:rPr>
              <w:fldChar w:fldCharType="separate"/>
            </w:r>
            <w:r w:rsidR="00552628">
              <w:rPr>
                <w:noProof/>
                <w:webHidden/>
              </w:rPr>
              <w:t>37</w:t>
            </w:r>
            <w:r w:rsidR="00653D33">
              <w:rPr>
                <w:noProof/>
                <w:webHidden/>
              </w:rPr>
              <w:fldChar w:fldCharType="end"/>
            </w:r>
          </w:hyperlink>
        </w:p>
        <w:p w14:paraId="623322ED" w14:textId="1230EF1A" w:rsidR="00653D33" w:rsidRDefault="00000000">
          <w:pPr>
            <w:pStyle w:val="TOC2"/>
            <w:rPr>
              <w:rFonts w:asciiTheme="minorHAnsi" w:eastAsiaTheme="minorEastAsia" w:hAnsiTheme="minorHAnsi" w:cstheme="minorBidi"/>
              <w:noProof/>
              <w:color w:val="auto"/>
              <w:szCs w:val="22"/>
              <w:lang w:eastAsia="en-AU"/>
            </w:rPr>
          </w:pPr>
          <w:hyperlink w:anchor="_Toc149228544" w:history="1">
            <w:r w:rsidR="00653D33" w:rsidRPr="00404EDC">
              <w:rPr>
                <w:rStyle w:val="Hyperlink"/>
                <w:noProof/>
              </w:rPr>
              <w:t>Information required in the application</w:t>
            </w:r>
            <w:r w:rsidR="00653D33">
              <w:rPr>
                <w:noProof/>
                <w:webHidden/>
              </w:rPr>
              <w:tab/>
            </w:r>
            <w:r w:rsidR="00653D33">
              <w:rPr>
                <w:noProof/>
                <w:webHidden/>
              </w:rPr>
              <w:fldChar w:fldCharType="begin"/>
            </w:r>
            <w:r w:rsidR="00653D33">
              <w:rPr>
                <w:noProof/>
                <w:webHidden/>
              </w:rPr>
              <w:instrText xml:space="preserve"> PAGEREF _Toc149228544 \h </w:instrText>
            </w:r>
            <w:r w:rsidR="00653D33">
              <w:rPr>
                <w:noProof/>
                <w:webHidden/>
              </w:rPr>
            </w:r>
            <w:r w:rsidR="00653D33">
              <w:rPr>
                <w:noProof/>
                <w:webHidden/>
              </w:rPr>
              <w:fldChar w:fldCharType="separate"/>
            </w:r>
            <w:r w:rsidR="00552628">
              <w:rPr>
                <w:noProof/>
                <w:webHidden/>
              </w:rPr>
              <w:t>37</w:t>
            </w:r>
            <w:r w:rsidR="00653D33">
              <w:rPr>
                <w:noProof/>
                <w:webHidden/>
              </w:rPr>
              <w:fldChar w:fldCharType="end"/>
            </w:r>
          </w:hyperlink>
        </w:p>
        <w:p w14:paraId="5ECFD95A" w14:textId="2138A7D0" w:rsidR="00653D33" w:rsidRDefault="00000000">
          <w:pPr>
            <w:pStyle w:val="TOC2"/>
            <w:rPr>
              <w:rFonts w:asciiTheme="minorHAnsi" w:eastAsiaTheme="minorEastAsia" w:hAnsiTheme="minorHAnsi" w:cstheme="minorBidi"/>
              <w:noProof/>
              <w:color w:val="auto"/>
              <w:szCs w:val="22"/>
              <w:lang w:eastAsia="en-AU"/>
            </w:rPr>
          </w:pPr>
          <w:hyperlink w:anchor="_Toc149228545" w:history="1">
            <w:r w:rsidR="00653D33" w:rsidRPr="00404EDC">
              <w:rPr>
                <w:rStyle w:val="Hyperlink"/>
                <w:noProof/>
              </w:rPr>
              <w:t>Application</w:t>
            </w:r>
            <w:r w:rsidR="00653D33">
              <w:rPr>
                <w:noProof/>
                <w:webHidden/>
              </w:rPr>
              <w:tab/>
            </w:r>
            <w:r w:rsidR="00653D33">
              <w:rPr>
                <w:noProof/>
                <w:webHidden/>
              </w:rPr>
              <w:fldChar w:fldCharType="begin"/>
            </w:r>
            <w:r w:rsidR="00653D33">
              <w:rPr>
                <w:noProof/>
                <w:webHidden/>
              </w:rPr>
              <w:instrText xml:space="preserve"> PAGEREF _Toc149228545 \h </w:instrText>
            </w:r>
            <w:r w:rsidR="00653D33">
              <w:rPr>
                <w:noProof/>
                <w:webHidden/>
              </w:rPr>
            </w:r>
            <w:r w:rsidR="00653D33">
              <w:rPr>
                <w:noProof/>
                <w:webHidden/>
              </w:rPr>
              <w:fldChar w:fldCharType="separate"/>
            </w:r>
            <w:r w:rsidR="00552628">
              <w:rPr>
                <w:noProof/>
                <w:webHidden/>
              </w:rPr>
              <w:t>38</w:t>
            </w:r>
            <w:r w:rsidR="00653D33">
              <w:rPr>
                <w:noProof/>
                <w:webHidden/>
              </w:rPr>
              <w:fldChar w:fldCharType="end"/>
            </w:r>
          </w:hyperlink>
        </w:p>
        <w:p w14:paraId="66D24A2E" w14:textId="01CF916D" w:rsidR="00653D33" w:rsidRDefault="00000000">
          <w:pPr>
            <w:pStyle w:val="TOC2"/>
            <w:rPr>
              <w:rFonts w:asciiTheme="minorHAnsi" w:eastAsiaTheme="minorEastAsia" w:hAnsiTheme="minorHAnsi" w:cstheme="minorBidi"/>
              <w:noProof/>
              <w:color w:val="auto"/>
              <w:szCs w:val="22"/>
              <w:lang w:eastAsia="en-AU"/>
            </w:rPr>
          </w:pPr>
          <w:hyperlink w:anchor="_Toc149228546" w:history="1">
            <w:r w:rsidR="00653D33" w:rsidRPr="00404EDC">
              <w:rPr>
                <w:rStyle w:val="Hyperlink"/>
                <w:noProof/>
              </w:rPr>
              <w:t>Sponsor’s contact details</w:t>
            </w:r>
            <w:r w:rsidR="00653D33">
              <w:rPr>
                <w:noProof/>
                <w:webHidden/>
              </w:rPr>
              <w:tab/>
            </w:r>
            <w:r w:rsidR="00653D33">
              <w:rPr>
                <w:noProof/>
                <w:webHidden/>
              </w:rPr>
              <w:fldChar w:fldCharType="begin"/>
            </w:r>
            <w:r w:rsidR="00653D33">
              <w:rPr>
                <w:noProof/>
                <w:webHidden/>
              </w:rPr>
              <w:instrText xml:space="preserve"> PAGEREF _Toc149228546 \h </w:instrText>
            </w:r>
            <w:r w:rsidR="00653D33">
              <w:rPr>
                <w:noProof/>
                <w:webHidden/>
              </w:rPr>
            </w:r>
            <w:r w:rsidR="00653D33">
              <w:rPr>
                <w:noProof/>
                <w:webHidden/>
              </w:rPr>
              <w:fldChar w:fldCharType="separate"/>
            </w:r>
            <w:r w:rsidR="00552628">
              <w:rPr>
                <w:noProof/>
                <w:webHidden/>
              </w:rPr>
              <w:t>38</w:t>
            </w:r>
            <w:r w:rsidR="00653D33">
              <w:rPr>
                <w:noProof/>
                <w:webHidden/>
              </w:rPr>
              <w:fldChar w:fldCharType="end"/>
            </w:r>
          </w:hyperlink>
        </w:p>
        <w:p w14:paraId="2C74A38C" w14:textId="1C11D2ED" w:rsidR="00653D33" w:rsidRDefault="00000000">
          <w:pPr>
            <w:pStyle w:val="TOC2"/>
            <w:rPr>
              <w:rFonts w:asciiTheme="minorHAnsi" w:eastAsiaTheme="minorEastAsia" w:hAnsiTheme="minorHAnsi" w:cstheme="minorBidi"/>
              <w:noProof/>
              <w:color w:val="auto"/>
              <w:szCs w:val="22"/>
              <w:lang w:eastAsia="en-AU"/>
            </w:rPr>
          </w:pPr>
          <w:hyperlink w:anchor="_Toc149228547" w:history="1">
            <w:r w:rsidR="00653D33" w:rsidRPr="00404EDC">
              <w:rPr>
                <w:rStyle w:val="Hyperlink"/>
                <w:noProof/>
              </w:rPr>
              <w:t>Product details</w:t>
            </w:r>
            <w:r w:rsidR="00653D33">
              <w:rPr>
                <w:noProof/>
                <w:webHidden/>
              </w:rPr>
              <w:tab/>
            </w:r>
            <w:r w:rsidR="00653D33">
              <w:rPr>
                <w:noProof/>
                <w:webHidden/>
              </w:rPr>
              <w:fldChar w:fldCharType="begin"/>
            </w:r>
            <w:r w:rsidR="00653D33">
              <w:rPr>
                <w:noProof/>
                <w:webHidden/>
              </w:rPr>
              <w:instrText xml:space="preserve"> PAGEREF _Toc149228547 \h </w:instrText>
            </w:r>
            <w:r w:rsidR="00653D33">
              <w:rPr>
                <w:noProof/>
                <w:webHidden/>
              </w:rPr>
            </w:r>
            <w:r w:rsidR="00653D33">
              <w:rPr>
                <w:noProof/>
                <w:webHidden/>
              </w:rPr>
              <w:fldChar w:fldCharType="separate"/>
            </w:r>
            <w:r w:rsidR="00552628">
              <w:rPr>
                <w:noProof/>
                <w:webHidden/>
              </w:rPr>
              <w:t>38</w:t>
            </w:r>
            <w:r w:rsidR="00653D33">
              <w:rPr>
                <w:noProof/>
                <w:webHidden/>
              </w:rPr>
              <w:fldChar w:fldCharType="end"/>
            </w:r>
          </w:hyperlink>
        </w:p>
        <w:p w14:paraId="11B30DBA" w14:textId="04E40A0D" w:rsidR="00653D33" w:rsidRDefault="00000000">
          <w:pPr>
            <w:pStyle w:val="TOC2"/>
            <w:rPr>
              <w:rFonts w:asciiTheme="minorHAnsi" w:eastAsiaTheme="minorEastAsia" w:hAnsiTheme="minorHAnsi" w:cstheme="minorBidi"/>
              <w:noProof/>
              <w:color w:val="auto"/>
              <w:szCs w:val="22"/>
              <w:lang w:eastAsia="en-AU"/>
            </w:rPr>
          </w:pPr>
          <w:hyperlink w:anchor="_Toc149228548" w:history="1">
            <w:r w:rsidR="00653D33" w:rsidRPr="00404EDC">
              <w:rPr>
                <w:rStyle w:val="Hyperlink"/>
                <w:noProof/>
              </w:rPr>
              <w:t>Regulatory information</w:t>
            </w:r>
            <w:r w:rsidR="00653D33">
              <w:rPr>
                <w:noProof/>
                <w:webHidden/>
              </w:rPr>
              <w:tab/>
            </w:r>
            <w:r w:rsidR="00653D33">
              <w:rPr>
                <w:noProof/>
                <w:webHidden/>
              </w:rPr>
              <w:fldChar w:fldCharType="begin"/>
            </w:r>
            <w:r w:rsidR="00653D33">
              <w:rPr>
                <w:noProof/>
                <w:webHidden/>
              </w:rPr>
              <w:instrText xml:space="preserve"> PAGEREF _Toc149228548 \h </w:instrText>
            </w:r>
            <w:r w:rsidR="00653D33">
              <w:rPr>
                <w:noProof/>
                <w:webHidden/>
              </w:rPr>
            </w:r>
            <w:r w:rsidR="00653D33">
              <w:rPr>
                <w:noProof/>
                <w:webHidden/>
              </w:rPr>
              <w:fldChar w:fldCharType="separate"/>
            </w:r>
            <w:r w:rsidR="00552628">
              <w:rPr>
                <w:noProof/>
                <w:webHidden/>
              </w:rPr>
              <w:t>39</w:t>
            </w:r>
            <w:r w:rsidR="00653D33">
              <w:rPr>
                <w:noProof/>
                <w:webHidden/>
              </w:rPr>
              <w:fldChar w:fldCharType="end"/>
            </w:r>
          </w:hyperlink>
        </w:p>
        <w:p w14:paraId="1D224036" w14:textId="44789E33" w:rsidR="00653D33" w:rsidRDefault="00000000">
          <w:pPr>
            <w:pStyle w:val="TOC2"/>
            <w:rPr>
              <w:rFonts w:asciiTheme="minorHAnsi" w:eastAsiaTheme="minorEastAsia" w:hAnsiTheme="minorHAnsi" w:cstheme="minorBidi"/>
              <w:noProof/>
              <w:color w:val="auto"/>
              <w:szCs w:val="22"/>
              <w:lang w:eastAsia="en-AU"/>
            </w:rPr>
          </w:pPr>
          <w:hyperlink w:anchor="_Toc149228549" w:history="1">
            <w:r w:rsidR="00653D33" w:rsidRPr="00404EDC">
              <w:rPr>
                <w:rStyle w:val="Hyperlink"/>
                <w:noProof/>
              </w:rPr>
              <w:t>MBS items and use of device for hospital treatment</w:t>
            </w:r>
            <w:r w:rsidR="00653D33">
              <w:rPr>
                <w:noProof/>
                <w:webHidden/>
              </w:rPr>
              <w:tab/>
            </w:r>
            <w:r w:rsidR="00653D33">
              <w:rPr>
                <w:noProof/>
                <w:webHidden/>
              </w:rPr>
              <w:fldChar w:fldCharType="begin"/>
            </w:r>
            <w:r w:rsidR="00653D33">
              <w:rPr>
                <w:noProof/>
                <w:webHidden/>
              </w:rPr>
              <w:instrText xml:space="preserve"> PAGEREF _Toc149228549 \h </w:instrText>
            </w:r>
            <w:r w:rsidR="00653D33">
              <w:rPr>
                <w:noProof/>
                <w:webHidden/>
              </w:rPr>
            </w:r>
            <w:r w:rsidR="00653D33">
              <w:rPr>
                <w:noProof/>
                <w:webHidden/>
              </w:rPr>
              <w:fldChar w:fldCharType="separate"/>
            </w:r>
            <w:r w:rsidR="00552628">
              <w:rPr>
                <w:noProof/>
                <w:webHidden/>
              </w:rPr>
              <w:t>39</w:t>
            </w:r>
            <w:r w:rsidR="00653D33">
              <w:rPr>
                <w:noProof/>
                <w:webHidden/>
              </w:rPr>
              <w:fldChar w:fldCharType="end"/>
            </w:r>
          </w:hyperlink>
        </w:p>
        <w:p w14:paraId="46060E77" w14:textId="2D897C99" w:rsidR="00653D33" w:rsidRDefault="00000000">
          <w:pPr>
            <w:pStyle w:val="TOC2"/>
            <w:rPr>
              <w:rFonts w:asciiTheme="minorHAnsi" w:eastAsiaTheme="minorEastAsia" w:hAnsiTheme="minorHAnsi" w:cstheme="minorBidi"/>
              <w:noProof/>
              <w:color w:val="auto"/>
              <w:szCs w:val="22"/>
              <w:lang w:eastAsia="en-AU"/>
            </w:rPr>
          </w:pPr>
          <w:hyperlink w:anchor="_Toc149228550" w:history="1">
            <w:r w:rsidR="00653D33" w:rsidRPr="00404EDC">
              <w:rPr>
                <w:rStyle w:val="Hyperlink"/>
                <w:noProof/>
              </w:rPr>
              <w:t>Catalogue numbers</w:t>
            </w:r>
            <w:r w:rsidR="00653D33">
              <w:rPr>
                <w:noProof/>
                <w:webHidden/>
              </w:rPr>
              <w:tab/>
            </w:r>
            <w:r w:rsidR="00653D33">
              <w:rPr>
                <w:noProof/>
                <w:webHidden/>
              </w:rPr>
              <w:fldChar w:fldCharType="begin"/>
            </w:r>
            <w:r w:rsidR="00653D33">
              <w:rPr>
                <w:noProof/>
                <w:webHidden/>
              </w:rPr>
              <w:instrText xml:space="preserve"> PAGEREF _Toc149228550 \h </w:instrText>
            </w:r>
            <w:r w:rsidR="00653D33">
              <w:rPr>
                <w:noProof/>
                <w:webHidden/>
              </w:rPr>
            </w:r>
            <w:r w:rsidR="00653D33">
              <w:rPr>
                <w:noProof/>
                <w:webHidden/>
              </w:rPr>
              <w:fldChar w:fldCharType="separate"/>
            </w:r>
            <w:r w:rsidR="00552628">
              <w:rPr>
                <w:noProof/>
                <w:webHidden/>
              </w:rPr>
              <w:t>39</w:t>
            </w:r>
            <w:r w:rsidR="00653D33">
              <w:rPr>
                <w:noProof/>
                <w:webHidden/>
              </w:rPr>
              <w:fldChar w:fldCharType="end"/>
            </w:r>
          </w:hyperlink>
        </w:p>
        <w:p w14:paraId="7165C391" w14:textId="0A084039" w:rsidR="00653D33" w:rsidRDefault="00000000">
          <w:pPr>
            <w:pStyle w:val="TOC2"/>
            <w:rPr>
              <w:rFonts w:asciiTheme="minorHAnsi" w:eastAsiaTheme="minorEastAsia" w:hAnsiTheme="minorHAnsi" w:cstheme="minorBidi"/>
              <w:noProof/>
              <w:color w:val="auto"/>
              <w:szCs w:val="22"/>
              <w:lang w:eastAsia="en-AU"/>
            </w:rPr>
          </w:pPr>
          <w:hyperlink w:anchor="_Toc149228551" w:history="1">
            <w:r w:rsidR="00653D33" w:rsidRPr="00404EDC">
              <w:rPr>
                <w:rStyle w:val="Hyperlink"/>
                <w:noProof/>
              </w:rPr>
              <w:t>Grouping</w:t>
            </w:r>
            <w:r w:rsidR="00653D33">
              <w:rPr>
                <w:noProof/>
                <w:webHidden/>
              </w:rPr>
              <w:tab/>
            </w:r>
            <w:r w:rsidR="00653D33">
              <w:rPr>
                <w:noProof/>
                <w:webHidden/>
              </w:rPr>
              <w:fldChar w:fldCharType="begin"/>
            </w:r>
            <w:r w:rsidR="00653D33">
              <w:rPr>
                <w:noProof/>
                <w:webHidden/>
              </w:rPr>
              <w:instrText xml:space="preserve"> PAGEREF _Toc149228551 \h </w:instrText>
            </w:r>
            <w:r w:rsidR="00653D33">
              <w:rPr>
                <w:noProof/>
                <w:webHidden/>
              </w:rPr>
            </w:r>
            <w:r w:rsidR="00653D33">
              <w:rPr>
                <w:noProof/>
                <w:webHidden/>
              </w:rPr>
              <w:fldChar w:fldCharType="separate"/>
            </w:r>
            <w:r w:rsidR="00552628">
              <w:rPr>
                <w:noProof/>
                <w:webHidden/>
              </w:rPr>
              <w:t>39</w:t>
            </w:r>
            <w:r w:rsidR="00653D33">
              <w:rPr>
                <w:noProof/>
                <w:webHidden/>
              </w:rPr>
              <w:fldChar w:fldCharType="end"/>
            </w:r>
          </w:hyperlink>
        </w:p>
        <w:p w14:paraId="680C97CC" w14:textId="51C7D697" w:rsidR="00653D33" w:rsidRDefault="00000000">
          <w:pPr>
            <w:pStyle w:val="TOC2"/>
            <w:rPr>
              <w:rFonts w:asciiTheme="minorHAnsi" w:eastAsiaTheme="minorEastAsia" w:hAnsiTheme="minorHAnsi" w:cstheme="minorBidi"/>
              <w:noProof/>
              <w:color w:val="auto"/>
              <w:szCs w:val="22"/>
              <w:lang w:eastAsia="en-AU"/>
            </w:rPr>
          </w:pPr>
          <w:hyperlink w:anchor="_Toc149228552" w:history="1">
            <w:r w:rsidR="00653D33" w:rsidRPr="00404EDC">
              <w:rPr>
                <w:rStyle w:val="Hyperlink"/>
                <w:noProof/>
              </w:rPr>
              <w:t>Comparator details</w:t>
            </w:r>
            <w:r w:rsidR="00653D33">
              <w:rPr>
                <w:noProof/>
                <w:webHidden/>
              </w:rPr>
              <w:tab/>
            </w:r>
            <w:r w:rsidR="00653D33">
              <w:rPr>
                <w:noProof/>
                <w:webHidden/>
              </w:rPr>
              <w:fldChar w:fldCharType="begin"/>
            </w:r>
            <w:r w:rsidR="00653D33">
              <w:rPr>
                <w:noProof/>
                <w:webHidden/>
              </w:rPr>
              <w:instrText xml:space="preserve"> PAGEREF _Toc149228552 \h </w:instrText>
            </w:r>
            <w:r w:rsidR="00653D33">
              <w:rPr>
                <w:noProof/>
                <w:webHidden/>
              </w:rPr>
            </w:r>
            <w:r w:rsidR="00653D33">
              <w:rPr>
                <w:noProof/>
                <w:webHidden/>
              </w:rPr>
              <w:fldChar w:fldCharType="separate"/>
            </w:r>
            <w:r w:rsidR="00552628">
              <w:rPr>
                <w:noProof/>
                <w:webHidden/>
              </w:rPr>
              <w:t>40</w:t>
            </w:r>
            <w:r w:rsidR="00653D33">
              <w:rPr>
                <w:noProof/>
                <w:webHidden/>
              </w:rPr>
              <w:fldChar w:fldCharType="end"/>
            </w:r>
          </w:hyperlink>
        </w:p>
        <w:p w14:paraId="46284C58" w14:textId="236ADD95" w:rsidR="00653D33" w:rsidRDefault="00000000">
          <w:pPr>
            <w:pStyle w:val="TOC2"/>
            <w:rPr>
              <w:rFonts w:asciiTheme="minorHAnsi" w:eastAsiaTheme="minorEastAsia" w:hAnsiTheme="minorHAnsi" w:cstheme="minorBidi"/>
              <w:noProof/>
              <w:color w:val="auto"/>
              <w:szCs w:val="22"/>
              <w:lang w:eastAsia="en-AU"/>
            </w:rPr>
          </w:pPr>
          <w:hyperlink w:anchor="_Toc149228553" w:history="1">
            <w:r w:rsidR="00653D33" w:rsidRPr="00404EDC">
              <w:rPr>
                <w:rStyle w:val="Hyperlink"/>
                <w:noProof/>
              </w:rPr>
              <w:t>Rationale for new groupings (if applicable)</w:t>
            </w:r>
            <w:r w:rsidR="00653D33">
              <w:rPr>
                <w:noProof/>
                <w:webHidden/>
              </w:rPr>
              <w:tab/>
            </w:r>
            <w:r w:rsidR="00653D33">
              <w:rPr>
                <w:noProof/>
                <w:webHidden/>
              </w:rPr>
              <w:fldChar w:fldCharType="begin"/>
            </w:r>
            <w:r w:rsidR="00653D33">
              <w:rPr>
                <w:noProof/>
                <w:webHidden/>
              </w:rPr>
              <w:instrText xml:space="preserve"> PAGEREF _Toc149228553 \h </w:instrText>
            </w:r>
            <w:r w:rsidR="00653D33">
              <w:rPr>
                <w:noProof/>
                <w:webHidden/>
              </w:rPr>
            </w:r>
            <w:r w:rsidR="00653D33">
              <w:rPr>
                <w:noProof/>
                <w:webHidden/>
              </w:rPr>
              <w:fldChar w:fldCharType="separate"/>
            </w:r>
            <w:r w:rsidR="00552628">
              <w:rPr>
                <w:noProof/>
                <w:webHidden/>
              </w:rPr>
              <w:t>41</w:t>
            </w:r>
            <w:r w:rsidR="00653D33">
              <w:rPr>
                <w:noProof/>
                <w:webHidden/>
              </w:rPr>
              <w:fldChar w:fldCharType="end"/>
            </w:r>
          </w:hyperlink>
        </w:p>
        <w:p w14:paraId="1305A0A4" w14:textId="41039B77" w:rsidR="00653D33" w:rsidRDefault="00000000">
          <w:pPr>
            <w:pStyle w:val="TOC2"/>
            <w:rPr>
              <w:rFonts w:asciiTheme="minorHAnsi" w:eastAsiaTheme="minorEastAsia" w:hAnsiTheme="minorHAnsi" w:cstheme="minorBidi"/>
              <w:noProof/>
              <w:color w:val="auto"/>
              <w:szCs w:val="22"/>
              <w:lang w:eastAsia="en-AU"/>
            </w:rPr>
          </w:pPr>
          <w:hyperlink w:anchor="_Toc149228554" w:history="1">
            <w:r w:rsidR="00653D33" w:rsidRPr="00404EDC">
              <w:rPr>
                <w:rStyle w:val="Hyperlink"/>
                <w:noProof/>
              </w:rPr>
              <w:t>Estimated utilisation</w:t>
            </w:r>
            <w:r w:rsidR="00653D33">
              <w:rPr>
                <w:noProof/>
                <w:webHidden/>
              </w:rPr>
              <w:tab/>
            </w:r>
            <w:r w:rsidR="00653D33">
              <w:rPr>
                <w:noProof/>
                <w:webHidden/>
              </w:rPr>
              <w:fldChar w:fldCharType="begin"/>
            </w:r>
            <w:r w:rsidR="00653D33">
              <w:rPr>
                <w:noProof/>
                <w:webHidden/>
              </w:rPr>
              <w:instrText xml:space="preserve"> PAGEREF _Toc149228554 \h </w:instrText>
            </w:r>
            <w:r w:rsidR="00653D33">
              <w:rPr>
                <w:noProof/>
                <w:webHidden/>
              </w:rPr>
            </w:r>
            <w:r w:rsidR="00653D33">
              <w:rPr>
                <w:noProof/>
                <w:webHidden/>
              </w:rPr>
              <w:fldChar w:fldCharType="separate"/>
            </w:r>
            <w:r w:rsidR="00552628">
              <w:rPr>
                <w:noProof/>
                <w:webHidden/>
              </w:rPr>
              <w:t>41</w:t>
            </w:r>
            <w:r w:rsidR="00653D33">
              <w:rPr>
                <w:noProof/>
                <w:webHidden/>
              </w:rPr>
              <w:fldChar w:fldCharType="end"/>
            </w:r>
          </w:hyperlink>
        </w:p>
        <w:p w14:paraId="59F070CB" w14:textId="5AE92770" w:rsidR="00653D33" w:rsidRDefault="00000000">
          <w:pPr>
            <w:pStyle w:val="TOC2"/>
            <w:rPr>
              <w:rFonts w:asciiTheme="minorHAnsi" w:eastAsiaTheme="minorEastAsia" w:hAnsiTheme="minorHAnsi" w:cstheme="minorBidi"/>
              <w:noProof/>
              <w:color w:val="auto"/>
              <w:szCs w:val="22"/>
              <w:lang w:eastAsia="en-AU"/>
            </w:rPr>
          </w:pPr>
          <w:hyperlink w:anchor="_Toc149228555" w:history="1">
            <w:r w:rsidR="00653D33" w:rsidRPr="00404EDC">
              <w:rPr>
                <w:rStyle w:val="Hyperlink"/>
                <w:noProof/>
              </w:rPr>
              <w:t>Documents required to be provided</w:t>
            </w:r>
            <w:r w:rsidR="00653D33">
              <w:rPr>
                <w:noProof/>
                <w:webHidden/>
              </w:rPr>
              <w:tab/>
            </w:r>
            <w:r w:rsidR="00653D33">
              <w:rPr>
                <w:noProof/>
                <w:webHidden/>
              </w:rPr>
              <w:fldChar w:fldCharType="begin"/>
            </w:r>
            <w:r w:rsidR="00653D33">
              <w:rPr>
                <w:noProof/>
                <w:webHidden/>
              </w:rPr>
              <w:instrText xml:space="preserve"> PAGEREF _Toc149228555 \h </w:instrText>
            </w:r>
            <w:r w:rsidR="00653D33">
              <w:rPr>
                <w:noProof/>
                <w:webHidden/>
              </w:rPr>
            </w:r>
            <w:r w:rsidR="00653D33">
              <w:rPr>
                <w:noProof/>
                <w:webHidden/>
              </w:rPr>
              <w:fldChar w:fldCharType="separate"/>
            </w:r>
            <w:r w:rsidR="00552628">
              <w:rPr>
                <w:noProof/>
                <w:webHidden/>
              </w:rPr>
              <w:t>42</w:t>
            </w:r>
            <w:r w:rsidR="00653D33">
              <w:rPr>
                <w:noProof/>
                <w:webHidden/>
              </w:rPr>
              <w:fldChar w:fldCharType="end"/>
            </w:r>
          </w:hyperlink>
        </w:p>
        <w:p w14:paraId="782404F1" w14:textId="78527420" w:rsidR="00653D33" w:rsidRDefault="00000000">
          <w:pPr>
            <w:pStyle w:val="TOC2"/>
            <w:rPr>
              <w:rFonts w:asciiTheme="minorHAnsi" w:eastAsiaTheme="minorEastAsia" w:hAnsiTheme="minorHAnsi" w:cstheme="minorBidi"/>
              <w:noProof/>
              <w:color w:val="auto"/>
              <w:szCs w:val="22"/>
              <w:lang w:eastAsia="en-AU"/>
            </w:rPr>
          </w:pPr>
          <w:hyperlink w:anchor="_Toc149228556" w:history="1">
            <w:r w:rsidR="00653D33" w:rsidRPr="00404EDC">
              <w:rPr>
                <w:rStyle w:val="Hyperlink"/>
                <w:noProof/>
              </w:rPr>
              <w:t>Lodging an application</w:t>
            </w:r>
            <w:r w:rsidR="00653D33">
              <w:rPr>
                <w:noProof/>
                <w:webHidden/>
              </w:rPr>
              <w:tab/>
            </w:r>
            <w:r w:rsidR="00653D33">
              <w:rPr>
                <w:noProof/>
                <w:webHidden/>
              </w:rPr>
              <w:fldChar w:fldCharType="begin"/>
            </w:r>
            <w:r w:rsidR="00653D33">
              <w:rPr>
                <w:noProof/>
                <w:webHidden/>
              </w:rPr>
              <w:instrText xml:space="preserve"> PAGEREF _Toc149228556 \h </w:instrText>
            </w:r>
            <w:r w:rsidR="00653D33">
              <w:rPr>
                <w:noProof/>
                <w:webHidden/>
              </w:rPr>
            </w:r>
            <w:r w:rsidR="00653D33">
              <w:rPr>
                <w:noProof/>
                <w:webHidden/>
              </w:rPr>
              <w:fldChar w:fldCharType="separate"/>
            </w:r>
            <w:r w:rsidR="00552628">
              <w:rPr>
                <w:noProof/>
                <w:webHidden/>
              </w:rPr>
              <w:t>43</w:t>
            </w:r>
            <w:r w:rsidR="00653D33">
              <w:rPr>
                <w:noProof/>
                <w:webHidden/>
              </w:rPr>
              <w:fldChar w:fldCharType="end"/>
            </w:r>
          </w:hyperlink>
        </w:p>
        <w:p w14:paraId="18DE92A8" w14:textId="759452E3" w:rsidR="00653D33" w:rsidRDefault="00000000">
          <w:pPr>
            <w:pStyle w:val="TOC1"/>
            <w:rPr>
              <w:rFonts w:asciiTheme="minorHAnsi" w:eastAsiaTheme="minorEastAsia" w:hAnsiTheme="minorHAnsi" w:cstheme="minorBidi"/>
              <w:noProof/>
              <w:color w:val="auto"/>
              <w:szCs w:val="22"/>
              <w:lang w:eastAsia="en-AU"/>
            </w:rPr>
          </w:pPr>
          <w:hyperlink w:anchor="_Toc149228557" w:history="1">
            <w:r w:rsidR="00653D33" w:rsidRPr="00404EDC">
              <w:rPr>
                <w:rStyle w:val="Hyperlink"/>
                <w:noProof/>
              </w:rPr>
              <w:t>Glossary</w:t>
            </w:r>
            <w:r w:rsidR="00653D33">
              <w:rPr>
                <w:noProof/>
                <w:webHidden/>
              </w:rPr>
              <w:tab/>
            </w:r>
            <w:r w:rsidR="00653D33">
              <w:rPr>
                <w:noProof/>
                <w:webHidden/>
              </w:rPr>
              <w:fldChar w:fldCharType="begin"/>
            </w:r>
            <w:r w:rsidR="00653D33">
              <w:rPr>
                <w:noProof/>
                <w:webHidden/>
              </w:rPr>
              <w:instrText xml:space="preserve"> PAGEREF _Toc149228557 \h </w:instrText>
            </w:r>
            <w:r w:rsidR="00653D33">
              <w:rPr>
                <w:noProof/>
                <w:webHidden/>
              </w:rPr>
            </w:r>
            <w:r w:rsidR="00653D33">
              <w:rPr>
                <w:noProof/>
                <w:webHidden/>
              </w:rPr>
              <w:fldChar w:fldCharType="separate"/>
            </w:r>
            <w:r w:rsidR="00552628">
              <w:rPr>
                <w:noProof/>
                <w:webHidden/>
              </w:rPr>
              <w:t>44</w:t>
            </w:r>
            <w:r w:rsidR="00653D33">
              <w:rPr>
                <w:noProof/>
                <w:webHidden/>
              </w:rPr>
              <w:fldChar w:fldCharType="end"/>
            </w:r>
          </w:hyperlink>
        </w:p>
        <w:p w14:paraId="09593093" w14:textId="6061EA42" w:rsidR="006A63BD" w:rsidRDefault="006A63BD" w:rsidP="002D094F">
          <w:pPr>
            <w:pStyle w:val="TOC1"/>
          </w:pPr>
          <w:r>
            <w:rPr>
              <w:noProof/>
            </w:rPr>
            <w:fldChar w:fldCharType="end"/>
          </w:r>
        </w:p>
      </w:sdtContent>
    </w:sdt>
    <w:p w14:paraId="291EF5CF" w14:textId="77777777" w:rsidR="00CF14A6" w:rsidRDefault="00CF14A6" w:rsidP="00346C4A"/>
    <w:p w14:paraId="69FA2430" w14:textId="6C3C81D8" w:rsidR="00A75BB0" w:rsidRDefault="00A75BB0">
      <w:pPr>
        <w:spacing w:before="0" w:after="0" w:line="240" w:lineRule="auto"/>
      </w:pPr>
      <w:r>
        <w:br w:type="page"/>
      </w:r>
    </w:p>
    <w:p w14:paraId="3D88C4EF" w14:textId="77777777" w:rsidR="00A75BB0" w:rsidRDefault="00A75BB0" w:rsidP="00A75BB0">
      <w:pPr>
        <w:pStyle w:val="Heading1"/>
      </w:pPr>
      <w:bookmarkStart w:id="29" w:name="_Toc131107274"/>
      <w:bookmarkStart w:id="30" w:name="_Toc132805914"/>
      <w:bookmarkStart w:id="31" w:name="_Toc133660783"/>
      <w:bookmarkStart w:id="32" w:name="_Toc135832396"/>
      <w:bookmarkStart w:id="33" w:name="_Toc135832445"/>
      <w:bookmarkStart w:id="34" w:name="_Toc136516664"/>
      <w:bookmarkStart w:id="35" w:name="_Toc136613114"/>
      <w:bookmarkStart w:id="36" w:name="_Toc149228483"/>
      <w:r>
        <w:lastRenderedPageBreak/>
        <w:t>Abbreviations and Acronyms</w:t>
      </w:r>
      <w:bookmarkEnd w:id="29"/>
      <w:bookmarkEnd w:id="30"/>
      <w:bookmarkEnd w:id="31"/>
      <w:bookmarkEnd w:id="32"/>
      <w:bookmarkEnd w:id="33"/>
      <w:bookmarkEnd w:id="34"/>
      <w:bookmarkEnd w:id="35"/>
      <w:bookmarkEnd w:id="36"/>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07"/>
        <w:gridCol w:w="5940"/>
      </w:tblGrid>
      <w:tr w:rsidR="00E93CF8" w:rsidRPr="00B41528" w14:paraId="223AFED5" w14:textId="77777777" w:rsidTr="006710EA">
        <w:tc>
          <w:tcPr>
            <w:tcW w:w="2707" w:type="dxa"/>
            <w:shd w:val="clear" w:color="auto" w:fill="auto"/>
          </w:tcPr>
          <w:p w14:paraId="35DC7F41"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ARTG</w:t>
            </w:r>
          </w:p>
        </w:tc>
        <w:tc>
          <w:tcPr>
            <w:tcW w:w="5940" w:type="dxa"/>
            <w:shd w:val="clear" w:color="auto" w:fill="auto"/>
          </w:tcPr>
          <w:p w14:paraId="670ABE7F"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Australian Register of Therapeutic Goods</w:t>
            </w:r>
          </w:p>
        </w:tc>
      </w:tr>
      <w:tr w:rsidR="00E93CF8" w:rsidRPr="00B41528" w14:paraId="40A9BEC5" w14:textId="77777777" w:rsidTr="006710EA">
        <w:tc>
          <w:tcPr>
            <w:tcW w:w="2707" w:type="dxa"/>
            <w:shd w:val="clear" w:color="auto" w:fill="auto"/>
          </w:tcPr>
          <w:p w14:paraId="17A1DF59"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ECAG</w:t>
            </w:r>
          </w:p>
        </w:tc>
        <w:tc>
          <w:tcPr>
            <w:tcW w:w="5940" w:type="dxa"/>
            <w:shd w:val="clear" w:color="auto" w:fill="auto"/>
          </w:tcPr>
          <w:p w14:paraId="380205EA"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Expert Clinical Advisory Group</w:t>
            </w:r>
          </w:p>
        </w:tc>
      </w:tr>
      <w:tr w:rsidR="00FC6EB0" w:rsidRPr="00B41528" w14:paraId="6928BAFC" w14:textId="77777777" w:rsidTr="006710EA">
        <w:trPr>
          <w:trHeight w:val="493"/>
        </w:trPr>
        <w:tc>
          <w:tcPr>
            <w:tcW w:w="2707" w:type="dxa"/>
            <w:shd w:val="clear" w:color="auto" w:fill="auto"/>
          </w:tcPr>
          <w:p w14:paraId="0F8ADA4B" w14:textId="2DD22EE9" w:rsidR="00FC6EB0" w:rsidRPr="00B41528" w:rsidRDefault="00FC6EB0" w:rsidP="006710EA">
            <w:pPr>
              <w:pStyle w:val="051Tabletext228pt"/>
              <w:spacing w:after="200"/>
              <w:rPr>
                <w:rFonts w:ascii="Arial" w:hAnsi="Arial" w:cs="Arial"/>
                <w:b/>
                <w:bCs/>
                <w:sz w:val="22"/>
              </w:rPr>
            </w:pPr>
            <w:r w:rsidRPr="00B41528">
              <w:rPr>
                <w:rFonts w:ascii="Arial" w:hAnsi="Arial" w:cs="Arial"/>
                <w:b/>
                <w:bCs/>
                <w:sz w:val="22"/>
              </w:rPr>
              <w:t>HPP</w:t>
            </w:r>
          </w:p>
        </w:tc>
        <w:tc>
          <w:tcPr>
            <w:tcW w:w="5940" w:type="dxa"/>
            <w:shd w:val="clear" w:color="auto" w:fill="auto"/>
          </w:tcPr>
          <w:p w14:paraId="0D7F5691" w14:textId="2250EFDD" w:rsidR="00FC6EB0" w:rsidRPr="00B41528" w:rsidRDefault="00FC6EB0" w:rsidP="006710EA">
            <w:pPr>
              <w:pStyle w:val="051Tabletext228pt"/>
              <w:spacing w:after="200"/>
              <w:rPr>
                <w:rFonts w:ascii="Arial" w:hAnsi="Arial" w:cs="Arial"/>
                <w:b/>
                <w:bCs/>
                <w:sz w:val="22"/>
              </w:rPr>
            </w:pPr>
            <w:r w:rsidRPr="00B41528">
              <w:rPr>
                <w:rFonts w:ascii="Arial" w:hAnsi="Arial" w:cs="Arial"/>
                <w:sz w:val="22"/>
              </w:rPr>
              <w:t>Health Products Portal</w:t>
            </w:r>
          </w:p>
        </w:tc>
      </w:tr>
      <w:tr w:rsidR="00E93CF8" w:rsidRPr="00B41528" w14:paraId="44DB58BD" w14:textId="77777777" w:rsidTr="006710EA">
        <w:tc>
          <w:tcPr>
            <w:tcW w:w="2707" w:type="dxa"/>
            <w:shd w:val="clear" w:color="auto" w:fill="auto"/>
          </w:tcPr>
          <w:p w14:paraId="6D26FC98"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HTA</w:t>
            </w:r>
          </w:p>
        </w:tc>
        <w:tc>
          <w:tcPr>
            <w:tcW w:w="5940" w:type="dxa"/>
            <w:shd w:val="clear" w:color="auto" w:fill="auto"/>
          </w:tcPr>
          <w:p w14:paraId="0BB549C2"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Health Technology Assessment</w:t>
            </w:r>
          </w:p>
        </w:tc>
      </w:tr>
      <w:tr w:rsidR="00E93CF8" w:rsidRPr="00B41528" w14:paraId="16F9F7AD" w14:textId="77777777" w:rsidTr="006710EA">
        <w:tc>
          <w:tcPr>
            <w:tcW w:w="2707" w:type="dxa"/>
            <w:shd w:val="clear" w:color="auto" w:fill="auto"/>
          </w:tcPr>
          <w:p w14:paraId="2DE82C85" w14:textId="77777777" w:rsidR="00E93CF8" w:rsidRPr="00B41528" w:rsidRDefault="64C46A7F" w:rsidP="006710EA">
            <w:pPr>
              <w:pStyle w:val="051Tabletext228pt"/>
              <w:spacing w:after="200"/>
              <w:rPr>
                <w:rFonts w:ascii="Arial" w:hAnsi="Arial" w:cs="Arial"/>
                <w:b/>
                <w:bCs/>
                <w:sz w:val="22"/>
              </w:rPr>
            </w:pPr>
            <w:r w:rsidRPr="1A4A11C9">
              <w:rPr>
                <w:rFonts w:ascii="Arial" w:hAnsi="Arial" w:cs="Arial"/>
                <w:b/>
                <w:bCs/>
                <w:sz w:val="22"/>
              </w:rPr>
              <w:t>MBS</w:t>
            </w:r>
          </w:p>
        </w:tc>
        <w:tc>
          <w:tcPr>
            <w:tcW w:w="5940" w:type="dxa"/>
            <w:shd w:val="clear" w:color="auto" w:fill="auto"/>
          </w:tcPr>
          <w:p w14:paraId="3F00A656"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Medicare Benefits Schedule</w:t>
            </w:r>
          </w:p>
        </w:tc>
      </w:tr>
      <w:tr w:rsidR="00E93CF8" w:rsidRPr="00B41528" w14:paraId="69D1B67E" w14:textId="77777777" w:rsidTr="006710EA">
        <w:tc>
          <w:tcPr>
            <w:tcW w:w="2707" w:type="dxa"/>
            <w:shd w:val="clear" w:color="auto" w:fill="auto"/>
          </w:tcPr>
          <w:p w14:paraId="0E9F77CD"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MDHTAC</w:t>
            </w:r>
          </w:p>
        </w:tc>
        <w:tc>
          <w:tcPr>
            <w:tcW w:w="5940" w:type="dxa"/>
            <w:shd w:val="clear" w:color="auto" w:fill="auto"/>
          </w:tcPr>
          <w:p w14:paraId="16C39FAF"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Medical Devices and Human Tissue Advisory Committee</w:t>
            </w:r>
          </w:p>
        </w:tc>
      </w:tr>
      <w:tr w:rsidR="00E93CF8" w:rsidRPr="00B41528" w14:paraId="4BB8BDB2" w14:textId="77777777" w:rsidTr="006710EA">
        <w:tc>
          <w:tcPr>
            <w:tcW w:w="2707" w:type="dxa"/>
            <w:shd w:val="clear" w:color="auto" w:fill="auto"/>
          </w:tcPr>
          <w:p w14:paraId="5E2FA736"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MSAC</w:t>
            </w:r>
          </w:p>
        </w:tc>
        <w:tc>
          <w:tcPr>
            <w:tcW w:w="5940" w:type="dxa"/>
            <w:shd w:val="clear" w:color="auto" w:fill="auto"/>
          </w:tcPr>
          <w:p w14:paraId="652EB3E8"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Medical Services Advisory Committee</w:t>
            </w:r>
          </w:p>
        </w:tc>
      </w:tr>
      <w:tr w:rsidR="00E93CF8" w:rsidRPr="00B41528" w14:paraId="581C6FB6" w14:textId="77777777" w:rsidTr="006710EA">
        <w:tc>
          <w:tcPr>
            <w:tcW w:w="2707" w:type="dxa"/>
            <w:shd w:val="clear" w:color="auto" w:fill="auto"/>
          </w:tcPr>
          <w:p w14:paraId="09523D85"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PBAC</w:t>
            </w:r>
          </w:p>
        </w:tc>
        <w:tc>
          <w:tcPr>
            <w:tcW w:w="5940" w:type="dxa"/>
            <w:shd w:val="clear" w:color="auto" w:fill="auto"/>
          </w:tcPr>
          <w:p w14:paraId="330EC15A"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Pharmaceutical Benefits Advisory Committee</w:t>
            </w:r>
          </w:p>
        </w:tc>
      </w:tr>
      <w:tr w:rsidR="00E93CF8" w:rsidRPr="00B41528" w14:paraId="46B58AEF" w14:textId="77777777" w:rsidTr="006710EA">
        <w:tc>
          <w:tcPr>
            <w:tcW w:w="2707" w:type="dxa"/>
            <w:shd w:val="clear" w:color="auto" w:fill="auto"/>
          </w:tcPr>
          <w:p w14:paraId="55F68709"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PBS</w:t>
            </w:r>
          </w:p>
        </w:tc>
        <w:tc>
          <w:tcPr>
            <w:tcW w:w="5940" w:type="dxa"/>
            <w:shd w:val="clear" w:color="auto" w:fill="auto"/>
          </w:tcPr>
          <w:p w14:paraId="6DA75004"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Pharmaceutical Benefits Schedule</w:t>
            </w:r>
          </w:p>
        </w:tc>
      </w:tr>
      <w:tr w:rsidR="1A4A11C9" w14:paraId="04F7B9DC" w14:textId="77777777" w:rsidTr="006710EA">
        <w:trPr>
          <w:trHeight w:val="300"/>
        </w:trPr>
        <w:tc>
          <w:tcPr>
            <w:tcW w:w="2707" w:type="dxa"/>
            <w:shd w:val="clear" w:color="auto" w:fill="auto"/>
          </w:tcPr>
          <w:p w14:paraId="2AF49BE5" w14:textId="2F4D4ADC" w:rsidR="43096750" w:rsidRDefault="43096750" w:rsidP="006710EA">
            <w:pPr>
              <w:pStyle w:val="051Tabletext228pt"/>
              <w:rPr>
                <w:rFonts w:ascii="Arial" w:hAnsi="Arial" w:cs="Arial"/>
                <w:b/>
                <w:bCs/>
                <w:sz w:val="22"/>
              </w:rPr>
            </w:pPr>
            <w:r w:rsidRPr="1A4A11C9">
              <w:rPr>
                <w:rFonts w:ascii="Arial" w:hAnsi="Arial" w:cs="Arial"/>
                <w:b/>
                <w:bCs/>
                <w:sz w:val="22"/>
              </w:rPr>
              <w:t>PL</w:t>
            </w:r>
          </w:p>
        </w:tc>
        <w:tc>
          <w:tcPr>
            <w:tcW w:w="5940" w:type="dxa"/>
            <w:shd w:val="clear" w:color="auto" w:fill="auto"/>
          </w:tcPr>
          <w:p w14:paraId="6D9E2AEB" w14:textId="04DB0654" w:rsidR="43096750" w:rsidRDefault="43096750" w:rsidP="006710EA">
            <w:pPr>
              <w:pStyle w:val="051Tabletext228pt"/>
              <w:rPr>
                <w:rFonts w:ascii="Arial" w:hAnsi="Arial" w:cs="Arial"/>
                <w:sz w:val="22"/>
              </w:rPr>
            </w:pPr>
            <w:r w:rsidRPr="1A4A11C9">
              <w:rPr>
                <w:rFonts w:ascii="Arial" w:hAnsi="Arial" w:cs="Arial"/>
                <w:sz w:val="22"/>
              </w:rPr>
              <w:t>Prescribed List</w:t>
            </w:r>
            <w:r w:rsidR="667B8B10" w:rsidRPr="1A4A11C9">
              <w:rPr>
                <w:rFonts w:ascii="Arial" w:hAnsi="Arial" w:cs="Arial"/>
                <w:sz w:val="22"/>
              </w:rPr>
              <w:t xml:space="preserve"> of Medical Devices and Human Tissue Products</w:t>
            </w:r>
          </w:p>
        </w:tc>
      </w:tr>
      <w:tr w:rsidR="00E93CF8" w:rsidRPr="00B41528" w14:paraId="7FCAC2A2" w14:textId="77777777" w:rsidTr="006710EA">
        <w:tc>
          <w:tcPr>
            <w:tcW w:w="2707" w:type="dxa"/>
            <w:shd w:val="clear" w:color="auto" w:fill="auto"/>
          </w:tcPr>
          <w:p w14:paraId="3D9FD8CD"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PHI</w:t>
            </w:r>
          </w:p>
        </w:tc>
        <w:tc>
          <w:tcPr>
            <w:tcW w:w="5940" w:type="dxa"/>
            <w:shd w:val="clear" w:color="auto" w:fill="auto"/>
          </w:tcPr>
          <w:p w14:paraId="384D127B"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Private Health Insurance</w:t>
            </w:r>
          </w:p>
        </w:tc>
      </w:tr>
      <w:tr w:rsidR="1A4A11C9" w14:paraId="3BF36FA0" w14:textId="77777777" w:rsidTr="006710EA">
        <w:trPr>
          <w:trHeight w:val="300"/>
        </w:trPr>
        <w:tc>
          <w:tcPr>
            <w:tcW w:w="2707" w:type="dxa"/>
            <w:shd w:val="clear" w:color="auto" w:fill="auto"/>
          </w:tcPr>
          <w:p w14:paraId="71D4EB2C" w14:textId="4F71AE79" w:rsidR="7035EB97" w:rsidRDefault="7035EB97" w:rsidP="006710EA">
            <w:pPr>
              <w:pStyle w:val="051Tabletext228pt"/>
              <w:rPr>
                <w:rFonts w:ascii="Arial" w:hAnsi="Arial" w:cs="Arial"/>
                <w:b/>
                <w:bCs/>
                <w:sz w:val="22"/>
              </w:rPr>
            </w:pPr>
            <w:r w:rsidRPr="1A4A11C9">
              <w:rPr>
                <w:rFonts w:ascii="Arial" w:hAnsi="Arial" w:cs="Arial"/>
                <w:b/>
                <w:bCs/>
                <w:sz w:val="22"/>
              </w:rPr>
              <w:t xml:space="preserve">The </w:t>
            </w:r>
            <w:r w:rsidR="537655DC" w:rsidRPr="1A4A11C9">
              <w:rPr>
                <w:rFonts w:ascii="Arial" w:hAnsi="Arial" w:cs="Arial"/>
                <w:b/>
                <w:bCs/>
                <w:sz w:val="22"/>
              </w:rPr>
              <w:t>Rules</w:t>
            </w:r>
          </w:p>
        </w:tc>
        <w:tc>
          <w:tcPr>
            <w:tcW w:w="5940" w:type="dxa"/>
            <w:shd w:val="clear" w:color="auto" w:fill="auto"/>
          </w:tcPr>
          <w:p w14:paraId="44C4E259" w14:textId="4A0EB08B" w:rsidR="28456E89" w:rsidRDefault="28456E89" w:rsidP="006710EA">
            <w:pPr>
              <w:pStyle w:val="051Tabletext228pt"/>
              <w:rPr>
                <w:rFonts w:ascii="Arial" w:hAnsi="Arial" w:cs="Arial"/>
                <w:sz w:val="22"/>
              </w:rPr>
            </w:pPr>
            <w:r w:rsidRPr="1A4A11C9">
              <w:rPr>
                <w:rFonts w:ascii="Arial" w:hAnsi="Arial" w:cs="Arial"/>
                <w:sz w:val="22"/>
              </w:rPr>
              <w:t>Private Health Insurance (Medical Devices and Human Tissue Products) Rules</w:t>
            </w:r>
          </w:p>
        </w:tc>
      </w:tr>
      <w:tr w:rsidR="00E93CF8" w:rsidRPr="00B41528" w14:paraId="395F0553" w14:textId="77777777" w:rsidTr="006710EA">
        <w:tc>
          <w:tcPr>
            <w:tcW w:w="2707" w:type="dxa"/>
            <w:shd w:val="clear" w:color="auto" w:fill="auto"/>
          </w:tcPr>
          <w:p w14:paraId="12B891A7" w14:textId="77777777" w:rsidR="00E93CF8" w:rsidRPr="00B41528" w:rsidRDefault="00E93CF8" w:rsidP="006710EA">
            <w:pPr>
              <w:pStyle w:val="051Tabletext228pt"/>
              <w:spacing w:after="200"/>
              <w:rPr>
                <w:rFonts w:ascii="Arial" w:hAnsi="Arial" w:cs="Arial"/>
                <w:b/>
                <w:bCs/>
                <w:sz w:val="22"/>
              </w:rPr>
            </w:pPr>
            <w:r w:rsidRPr="00B41528">
              <w:rPr>
                <w:rFonts w:ascii="Arial" w:hAnsi="Arial" w:cs="Arial"/>
                <w:b/>
                <w:bCs/>
                <w:sz w:val="22"/>
              </w:rPr>
              <w:t>TGA</w:t>
            </w:r>
          </w:p>
        </w:tc>
        <w:tc>
          <w:tcPr>
            <w:tcW w:w="5940" w:type="dxa"/>
            <w:shd w:val="clear" w:color="auto" w:fill="auto"/>
          </w:tcPr>
          <w:p w14:paraId="4DB87B4D" w14:textId="77777777" w:rsidR="00E93CF8" w:rsidRPr="00B41528" w:rsidRDefault="00E93CF8" w:rsidP="006710EA">
            <w:pPr>
              <w:pStyle w:val="051Tabletext228pt"/>
              <w:spacing w:after="200"/>
              <w:rPr>
                <w:rFonts w:ascii="Arial" w:hAnsi="Arial" w:cs="Arial"/>
                <w:sz w:val="22"/>
              </w:rPr>
            </w:pPr>
            <w:r w:rsidRPr="00B41528">
              <w:rPr>
                <w:rFonts w:ascii="Arial" w:hAnsi="Arial" w:cs="Arial"/>
                <w:sz w:val="22"/>
              </w:rPr>
              <w:t>Therapeutic Goods Administration</w:t>
            </w:r>
          </w:p>
        </w:tc>
      </w:tr>
    </w:tbl>
    <w:p w14:paraId="7F5B4A40" w14:textId="77777777" w:rsidR="00A75BB0" w:rsidRDefault="00A75BB0" w:rsidP="00346C4A"/>
    <w:p w14:paraId="10D45F15" w14:textId="762833E2" w:rsidR="00A75BB0" w:rsidRPr="004D1339" w:rsidRDefault="00A75BB0" w:rsidP="00346C4A">
      <w:pPr>
        <w:sectPr w:rsidR="00A75BB0" w:rsidRPr="004D1339" w:rsidSect="00CF14A6">
          <w:headerReference w:type="even" r:id="rId13"/>
          <w:headerReference w:type="default" r:id="rId14"/>
          <w:footerReference w:type="even" r:id="rId15"/>
          <w:footerReference w:type="default" r:id="rId16"/>
          <w:headerReference w:type="first" r:id="rId17"/>
          <w:footerReference w:type="first" r:id="rId18"/>
          <w:pgSz w:w="11906" w:h="16838"/>
          <w:pgMar w:top="1701" w:right="1418" w:bottom="1418" w:left="1418" w:header="709" w:footer="709" w:gutter="0"/>
          <w:pgNumType w:fmt="lowerRoman"/>
          <w:cols w:space="708"/>
          <w:docGrid w:linePitch="360"/>
        </w:sectPr>
      </w:pPr>
    </w:p>
    <w:p w14:paraId="5E359A51" w14:textId="08F60A1D" w:rsidR="00476DB9" w:rsidRPr="00476DB9" w:rsidRDefault="00476DB9" w:rsidP="00476DB9">
      <w:pPr>
        <w:pStyle w:val="Heading1"/>
        <w:jc w:val="center"/>
      </w:pPr>
      <w:bookmarkStart w:id="37" w:name="_Toc149228484"/>
      <w:r>
        <w:lastRenderedPageBreak/>
        <w:t>PART 1:</w:t>
      </w:r>
      <w:r>
        <w:br/>
        <w:t>OPERATIONAL INSTRUCTIONS</w:t>
      </w:r>
      <w:bookmarkEnd w:id="37"/>
    </w:p>
    <w:p w14:paraId="68E505BE" w14:textId="50D9234B" w:rsidR="00CF14A6" w:rsidRPr="004D1339" w:rsidRDefault="00CF14A6" w:rsidP="00CF14A6">
      <w:pPr>
        <w:pStyle w:val="Heading1"/>
      </w:pPr>
      <w:bookmarkStart w:id="38" w:name="_Toc149228485"/>
      <w:r w:rsidRPr="004D1339">
        <w:t>Chapter 1</w:t>
      </w:r>
      <w:r w:rsidR="00B774E8">
        <w:t>: About this Guide</w:t>
      </w:r>
      <w:bookmarkEnd w:id="38"/>
    </w:p>
    <w:p w14:paraId="790BD7EE" w14:textId="7F6C2B78" w:rsidR="00B774E8" w:rsidRDefault="3A3F3966" w:rsidP="00B774E8">
      <w:pPr>
        <w:pStyle w:val="Heading2"/>
      </w:pPr>
      <w:bookmarkStart w:id="39" w:name="_Toc149228486"/>
      <w:r>
        <w:t xml:space="preserve">What is the </w:t>
      </w:r>
      <w:bookmarkStart w:id="40" w:name="_Hlk132275894"/>
      <w:r>
        <w:t xml:space="preserve">Prescribed List of Medical Devices and Human Tissue Products </w:t>
      </w:r>
      <w:bookmarkEnd w:id="40"/>
      <w:r w:rsidR="005A342A">
        <w:t xml:space="preserve">Guide </w:t>
      </w:r>
      <w:r>
        <w:t>(</w:t>
      </w:r>
      <w:r w:rsidR="0D12B9D0">
        <w:t>t</w:t>
      </w:r>
      <w:r>
        <w:t>he Guide)?</w:t>
      </w:r>
      <w:bookmarkEnd w:id="39"/>
    </w:p>
    <w:p w14:paraId="48B7CCFB" w14:textId="4DA21BD2" w:rsidR="00B774E8" w:rsidRDefault="00B774E8" w:rsidP="00B774E8">
      <w:r>
        <w:t xml:space="preserve">The </w:t>
      </w:r>
      <w:r w:rsidRPr="00B774E8">
        <w:rPr>
          <w:i/>
          <w:iCs/>
        </w:rPr>
        <w:t>Prescribed List of Medical Devices and Human Tissue Products</w:t>
      </w:r>
      <w:r w:rsidRPr="00B94C43">
        <w:rPr>
          <w:i/>
          <w:iCs/>
        </w:rPr>
        <w:t xml:space="preserve"> </w:t>
      </w:r>
      <w:r w:rsidR="005A342A" w:rsidRPr="00B94C43">
        <w:rPr>
          <w:i/>
          <w:iCs/>
        </w:rPr>
        <w:t>Guide</w:t>
      </w:r>
      <w:r w:rsidR="005A342A">
        <w:t xml:space="preserve"> </w:t>
      </w:r>
      <w:r w:rsidRPr="006A7D38">
        <w:t>(</w:t>
      </w:r>
      <w:r>
        <w:t xml:space="preserve">the Guide) will assist applicants to prepare an application to list an eligible medical device or human tissue product on the Prescribed List of Medical Devices and Human Tissue Products (the PL), or to amend an existing PL billing code. </w:t>
      </w:r>
    </w:p>
    <w:p w14:paraId="23682391" w14:textId="3FA9F19D" w:rsidR="00205A93" w:rsidRPr="00BF67DB" w:rsidRDefault="00B774E8" w:rsidP="00B774E8">
      <w:pPr>
        <w:rPr>
          <w:strike/>
        </w:rPr>
      </w:pPr>
      <w:r>
        <w:t xml:space="preserve">The information in this document is provided as a guide only. </w:t>
      </w:r>
    </w:p>
    <w:p w14:paraId="65922669" w14:textId="3EB5D03B" w:rsidR="00B774E8" w:rsidRDefault="00B774E8" w:rsidP="00B774E8">
      <w:pPr>
        <w:pStyle w:val="Heading2"/>
      </w:pPr>
      <w:bookmarkStart w:id="41" w:name="_Toc149228487"/>
      <w:r>
        <w:t>Who is the intended user of the Guide?</w:t>
      </w:r>
      <w:bookmarkEnd w:id="41"/>
    </w:p>
    <w:p w14:paraId="17B83EC7" w14:textId="61ACAFD0" w:rsidR="00B774E8" w:rsidRDefault="00B774E8" w:rsidP="00B774E8">
      <w:r>
        <w:t xml:space="preserve">Sponsors of eligible medical devices or human tissue products can make applications to list </w:t>
      </w:r>
      <w:r w:rsidR="00BE38DE">
        <w:t>the product</w:t>
      </w:r>
      <w:r w:rsidR="00060072">
        <w:t xml:space="preserve"> on the PL </w:t>
      </w:r>
      <w:r>
        <w:t xml:space="preserve">or amend </w:t>
      </w:r>
      <w:r w:rsidR="00060072">
        <w:t>the existing PL billing code</w:t>
      </w:r>
      <w:r>
        <w:t>. Sponsors may engage public health and health economic experts to assist their organisation to prepare an application.</w:t>
      </w:r>
    </w:p>
    <w:p w14:paraId="5F047505" w14:textId="35D35F47" w:rsidR="00B774E8" w:rsidRDefault="00B774E8" w:rsidP="00B774E8">
      <w:r>
        <w:t>This Guide will assist these people in their task. The Guide is also intended as a reference point for both industry and government, by outlining the required information and presentation of the information that meets government requirements.</w:t>
      </w:r>
    </w:p>
    <w:p w14:paraId="1FFAFC89" w14:textId="75AE3BBA" w:rsidR="00B774E8" w:rsidRDefault="00B774E8" w:rsidP="00B774E8">
      <w:pPr>
        <w:pStyle w:val="Heading2"/>
      </w:pPr>
      <w:bookmarkStart w:id="42" w:name="_Toc149228488"/>
      <w:r>
        <w:t xml:space="preserve">Additional information </w:t>
      </w:r>
      <w:r w:rsidR="00AD1C54">
        <w:t>and resources that support this Guide</w:t>
      </w:r>
      <w:bookmarkEnd w:id="42"/>
    </w:p>
    <w:p w14:paraId="40820175" w14:textId="3F7B81E4" w:rsidR="00B774E8" w:rsidRDefault="00BE38DE" w:rsidP="00B774E8">
      <w:r>
        <w:t>This Guide is available as an online resource on the Department</w:t>
      </w:r>
      <w:r w:rsidR="49E0F662">
        <w:t xml:space="preserve"> of Health and Aged Care</w:t>
      </w:r>
      <w:r>
        <w:t xml:space="preserve"> </w:t>
      </w:r>
      <w:r w:rsidR="7E753140">
        <w:t xml:space="preserve">(the department) </w:t>
      </w:r>
      <w:r>
        <w:t xml:space="preserve">website. </w:t>
      </w:r>
      <w:r w:rsidR="00FF3553">
        <w:t xml:space="preserve">The Guide is </w:t>
      </w:r>
      <w:r w:rsidR="00DB4FEB">
        <w:t xml:space="preserve">expected to be read together with the information provided in the Health Products Portal (HPP) and other information sources available on the </w:t>
      </w:r>
      <w:r w:rsidR="251A8C62">
        <w:t>d</w:t>
      </w:r>
      <w:r w:rsidR="00DB4FEB">
        <w:t xml:space="preserve">epartment’s </w:t>
      </w:r>
      <w:r w:rsidR="00B774E8">
        <w:t>website</w:t>
      </w:r>
      <w:r w:rsidR="00DB4FEB">
        <w:t xml:space="preserve">, </w:t>
      </w:r>
      <w:r w:rsidR="00B774E8">
        <w:t>includ</w:t>
      </w:r>
      <w:r w:rsidR="00DB4FEB">
        <w:t>ing</w:t>
      </w:r>
      <w:r w:rsidR="00B774E8">
        <w:t>:</w:t>
      </w:r>
    </w:p>
    <w:p w14:paraId="79BC571B" w14:textId="7BF6FEEB" w:rsidR="00094BEA" w:rsidRDefault="00000000" w:rsidP="001C3F88">
      <w:pPr>
        <w:pStyle w:val="ListBullet"/>
        <w:ind w:left="340" w:hanging="340"/>
      </w:pPr>
      <w:hyperlink r:id="rId19" w:history="1">
        <w:r w:rsidR="00094BEA" w:rsidRPr="007A0C02">
          <w:rPr>
            <w:rStyle w:val="Hyperlink"/>
          </w:rPr>
          <w:t>Overview of the Prescribed List</w:t>
        </w:r>
      </w:hyperlink>
    </w:p>
    <w:p w14:paraId="4B629FC3" w14:textId="2835FA6E" w:rsidR="00094BEA" w:rsidRDefault="00D83819" w:rsidP="001C3F88">
      <w:pPr>
        <w:pStyle w:val="ListBullet"/>
        <w:ind w:left="340" w:hanging="340"/>
      </w:pPr>
      <w:r w:rsidRPr="00D83819">
        <w:t>Cost recovery fees</w:t>
      </w:r>
      <w:r w:rsidR="00094BEA">
        <w:t xml:space="preserve"> and charges for the Prescribed List</w:t>
      </w:r>
    </w:p>
    <w:p w14:paraId="2B9B1F6F" w14:textId="1CEA141C" w:rsidR="00094BEA" w:rsidRDefault="00000000" w:rsidP="001C3F88">
      <w:pPr>
        <w:pStyle w:val="ListBullet"/>
        <w:ind w:left="340" w:hanging="340"/>
      </w:pPr>
      <w:hyperlink r:id="rId20" w:history="1">
        <w:r w:rsidR="00094BEA" w:rsidRPr="007A0C02">
          <w:rPr>
            <w:rStyle w:val="Hyperlink"/>
          </w:rPr>
          <w:t>Expert Clinical Advisory Groups</w:t>
        </w:r>
      </w:hyperlink>
      <w:r w:rsidR="00094BEA">
        <w:t xml:space="preserve"> (ECAGs) membership and </w:t>
      </w:r>
      <w:hyperlink r:id="rId21" w:history="1">
        <w:r w:rsidR="00094BEA" w:rsidRPr="007A0C02">
          <w:rPr>
            <w:rStyle w:val="Hyperlink"/>
          </w:rPr>
          <w:t>Terms of Reference</w:t>
        </w:r>
      </w:hyperlink>
    </w:p>
    <w:p w14:paraId="665B3607" w14:textId="2E6788EE" w:rsidR="00094BEA" w:rsidRDefault="00094BEA" w:rsidP="001C3F88">
      <w:pPr>
        <w:pStyle w:val="ListBullet"/>
        <w:ind w:left="340" w:hanging="340"/>
      </w:pPr>
      <w:r>
        <w:t xml:space="preserve">Medical Devices and Human Tissue Advisory Committee (MDHTAC) </w:t>
      </w:r>
      <w:r w:rsidRPr="00094BEA">
        <w:t>membership and Terms of Reference</w:t>
      </w:r>
    </w:p>
    <w:p w14:paraId="567ECC61" w14:textId="751EA10F" w:rsidR="00B774E8" w:rsidRDefault="3A3F3966" w:rsidP="001C3F88">
      <w:pPr>
        <w:pStyle w:val="ListBullet"/>
        <w:ind w:left="340" w:hanging="340"/>
      </w:pPr>
      <w:r>
        <w:t xml:space="preserve">PL application </w:t>
      </w:r>
      <w:r w:rsidR="1555E9DC">
        <w:t xml:space="preserve">forms and </w:t>
      </w:r>
      <w:r w:rsidR="00C87E71">
        <w:t>i</w:t>
      </w:r>
      <w:r w:rsidR="1555E9DC">
        <w:t xml:space="preserve">nformation on the assessment </w:t>
      </w:r>
      <w:r>
        <w:t>process</w:t>
      </w:r>
      <w:r w:rsidR="1555E9DC">
        <w:t xml:space="preserve"> provided in the </w:t>
      </w:r>
      <w:r>
        <w:t>HPP</w:t>
      </w:r>
    </w:p>
    <w:p w14:paraId="3315ABCB" w14:textId="299D27FB" w:rsidR="00E7289D" w:rsidRDefault="00000000" w:rsidP="001C3F88">
      <w:pPr>
        <w:pStyle w:val="ListBullet"/>
        <w:ind w:left="340" w:hanging="340"/>
      </w:pPr>
      <w:hyperlink r:id="rId22" w:history="1">
        <w:r w:rsidR="00E7289D" w:rsidRPr="00E7289D">
          <w:rPr>
            <w:rStyle w:val="Hyperlink"/>
          </w:rPr>
          <w:t>Prescribed List Grouping Schemes (under review)</w:t>
        </w:r>
      </w:hyperlink>
    </w:p>
    <w:p w14:paraId="59738E23" w14:textId="5F12245A" w:rsidR="00B774E8" w:rsidRDefault="00094BEA" w:rsidP="001C3F88">
      <w:pPr>
        <w:pStyle w:val="ListBullet"/>
        <w:ind w:left="340" w:hanging="340"/>
      </w:pPr>
      <w:r>
        <w:t xml:space="preserve">Deadlines </w:t>
      </w:r>
      <w:r w:rsidR="00B774E8">
        <w:t>for submitting PL applications</w:t>
      </w:r>
    </w:p>
    <w:p w14:paraId="42E6A06E" w14:textId="365CCA8E" w:rsidR="00094BEA" w:rsidRDefault="00000000" w:rsidP="001C3F88">
      <w:pPr>
        <w:pStyle w:val="ListBullet"/>
        <w:ind w:left="340" w:hanging="340"/>
      </w:pPr>
      <w:hyperlink r:id="rId23" w:history="1">
        <w:r w:rsidR="00094BEA" w:rsidRPr="007A0C02">
          <w:rPr>
            <w:rStyle w:val="Hyperlink"/>
          </w:rPr>
          <w:t>Prescribed List reforms</w:t>
        </w:r>
      </w:hyperlink>
    </w:p>
    <w:p w14:paraId="4A7DD2B7" w14:textId="28F53BDD" w:rsidR="00B774E8" w:rsidRDefault="00094BEA" w:rsidP="001C3F88">
      <w:pPr>
        <w:pStyle w:val="ListBullet"/>
        <w:ind w:left="340" w:hanging="340"/>
      </w:pPr>
      <w:r>
        <w:t xml:space="preserve">Prescribed </w:t>
      </w:r>
      <w:r w:rsidR="00BD1FAC">
        <w:t xml:space="preserve">list </w:t>
      </w:r>
      <w:r w:rsidR="00B774E8">
        <w:t xml:space="preserve">compliance </w:t>
      </w:r>
      <w:r w:rsidR="00E7600B">
        <w:t>framework</w:t>
      </w:r>
      <w:r>
        <w:t xml:space="preserve"> and </w:t>
      </w:r>
      <w:hyperlink r:id="rId24" w:history="1">
        <w:r w:rsidRPr="007A0C02">
          <w:rPr>
            <w:rStyle w:val="Hyperlink"/>
          </w:rPr>
          <w:t>post-listing reviews</w:t>
        </w:r>
      </w:hyperlink>
    </w:p>
    <w:p w14:paraId="5DFFC511" w14:textId="10DC61EE" w:rsidR="00B774E8" w:rsidRPr="001864C2" w:rsidRDefault="00094BEA" w:rsidP="001C3F88">
      <w:pPr>
        <w:pStyle w:val="ListBullet"/>
        <w:ind w:left="340" w:hanging="340"/>
      </w:pPr>
      <w:r>
        <w:t>L</w:t>
      </w:r>
      <w:r w:rsidR="3A3F3966">
        <w:t>egislation relevant to medical devices and human tissue products</w:t>
      </w:r>
    </w:p>
    <w:p w14:paraId="01EF8B98" w14:textId="71A5989C" w:rsidR="00B774E8" w:rsidRPr="001864C2" w:rsidRDefault="00000000" w:rsidP="001C3F88">
      <w:pPr>
        <w:pStyle w:val="ListBullet"/>
        <w:ind w:left="340" w:hanging="340"/>
      </w:pPr>
      <w:hyperlink r:id="rId25" w:history="1">
        <w:r w:rsidR="18FF1A45" w:rsidRPr="00780DC6">
          <w:rPr>
            <w:rStyle w:val="Hyperlink"/>
          </w:rPr>
          <w:t>Medical Services Advisory Committee</w:t>
        </w:r>
      </w:hyperlink>
      <w:r w:rsidR="00094BEA" w:rsidRPr="00C90393">
        <w:rPr>
          <w:rStyle w:val="Hyperlink"/>
          <w:color w:val="auto"/>
        </w:rPr>
        <w:t xml:space="preserve">, </w:t>
      </w:r>
      <w:hyperlink r:id="rId26" w:history="1">
        <w:r w:rsidR="00094BEA" w:rsidRPr="00032C15">
          <w:rPr>
            <w:rStyle w:val="Hyperlink"/>
          </w:rPr>
          <w:t>MBS Online</w:t>
        </w:r>
      </w:hyperlink>
      <w:r w:rsidR="00094BEA" w:rsidRPr="00C90393">
        <w:rPr>
          <w:rStyle w:val="Hyperlink"/>
          <w:color w:val="auto"/>
        </w:rPr>
        <w:t xml:space="preserve">, </w:t>
      </w:r>
      <w:r w:rsidR="00032C15">
        <w:rPr>
          <w:rStyle w:val="Hyperlink"/>
        </w:rPr>
        <w:t xml:space="preserve">and </w:t>
      </w:r>
      <w:hyperlink r:id="rId27" w:history="1">
        <w:r w:rsidR="00032C15" w:rsidRPr="00094BEA">
          <w:rPr>
            <w:rStyle w:val="Hyperlink"/>
          </w:rPr>
          <w:t>Australian Register of Therapeutic Goods (ARTG)</w:t>
        </w:r>
      </w:hyperlink>
    </w:p>
    <w:p w14:paraId="2493665C" w14:textId="76B2B768" w:rsidR="00B774E8" w:rsidRDefault="3A3F3966" w:rsidP="00B774E8">
      <w:r>
        <w:t xml:space="preserve">Instructions on how to use the Health Products Portal are available via </w:t>
      </w:r>
      <w:r w:rsidR="428104A2">
        <w:t xml:space="preserve">the </w:t>
      </w:r>
      <w:hyperlink r:id="rId28" w:history="1">
        <w:r w:rsidRPr="00780DC6">
          <w:rPr>
            <w:rStyle w:val="Hyperlink"/>
          </w:rPr>
          <w:t>HPP website</w:t>
        </w:r>
      </w:hyperlink>
      <w:r w:rsidR="00032C15">
        <w:rPr>
          <w:rStyle w:val="Hyperlink"/>
        </w:rPr>
        <w:t>.</w:t>
      </w:r>
    </w:p>
    <w:p w14:paraId="4E0FBA21" w14:textId="60178E3C" w:rsidR="00CB38CE" w:rsidRDefault="00CB38CE" w:rsidP="00CB38CE">
      <w:pPr>
        <w:pStyle w:val="Heading2"/>
      </w:pPr>
      <w:bookmarkStart w:id="43" w:name="_Toc149228489"/>
      <w:r>
        <w:t xml:space="preserve">How is this Guide </w:t>
      </w:r>
      <w:r w:rsidR="00A57D06">
        <w:t>s</w:t>
      </w:r>
      <w:r>
        <w:t>tructured</w:t>
      </w:r>
      <w:bookmarkEnd w:id="43"/>
    </w:p>
    <w:p w14:paraId="40ACE87B" w14:textId="028E0130" w:rsidR="00CB38CE" w:rsidRDefault="00CB38CE" w:rsidP="00CB38CE">
      <w:r>
        <w:t>The Guide is divided into three parts:</w:t>
      </w:r>
    </w:p>
    <w:p w14:paraId="3564C7C7" w14:textId="721F3C6A" w:rsidR="00CB38CE" w:rsidRDefault="11639C07" w:rsidP="00CB38CE">
      <w:pPr>
        <w:pStyle w:val="ListBullet"/>
        <w:ind w:left="340" w:hanging="340"/>
      </w:pPr>
      <w:r>
        <w:t>Part 1 provides operational instructions about the PL and listing arrangements</w:t>
      </w:r>
    </w:p>
    <w:p w14:paraId="4F3DFBD1" w14:textId="4F138261" w:rsidR="00CB38CE" w:rsidRDefault="11639C07" w:rsidP="00CB38CE">
      <w:pPr>
        <w:pStyle w:val="ListBullet"/>
        <w:ind w:left="340" w:hanging="340"/>
      </w:pPr>
      <w:r>
        <w:t>Part 2 provides technical guidance about PL assessment pathways and applications</w:t>
      </w:r>
    </w:p>
    <w:p w14:paraId="3A7DAE3D" w14:textId="61A8C16D" w:rsidR="00CB38CE" w:rsidRDefault="11639C07" w:rsidP="00CB38CE">
      <w:pPr>
        <w:pStyle w:val="ListBullet"/>
        <w:ind w:left="340" w:hanging="340"/>
      </w:pPr>
      <w:r>
        <w:t xml:space="preserve">Part 3 provides the appendices and glossary of terms relevant to the PL application process. </w:t>
      </w:r>
    </w:p>
    <w:p w14:paraId="748A4B3D" w14:textId="4CDBC785" w:rsidR="00076772" w:rsidRDefault="00076772" w:rsidP="00076772">
      <w:pPr>
        <w:pStyle w:val="Heading2"/>
      </w:pPr>
      <w:bookmarkStart w:id="44" w:name="_Toc149228490"/>
      <w:r>
        <w:t>Updates to the Guide</w:t>
      </w:r>
      <w:bookmarkEnd w:id="44"/>
    </w:p>
    <w:p w14:paraId="5431C7AA" w14:textId="78DC9EDE" w:rsidR="00AD1C54" w:rsidRPr="001864C2" w:rsidRDefault="00AD1C54" w:rsidP="00AD1C54">
      <w:r>
        <w:t xml:space="preserve">The Guide is available as an online resource at the Prescribed List of Medical Devices and Human Tissue Products </w:t>
      </w:r>
      <w:r w:rsidR="00BF67DB">
        <w:t xml:space="preserve">page of the </w:t>
      </w:r>
      <w:r w:rsidR="135DF624">
        <w:t>d</w:t>
      </w:r>
      <w:r w:rsidR="00BF67DB">
        <w:t>epartment</w:t>
      </w:r>
      <w:r w:rsidR="155D506D">
        <w:t>’s</w:t>
      </w:r>
      <w:r w:rsidR="00BF67DB">
        <w:t xml:space="preserve"> website</w:t>
      </w:r>
      <w:r>
        <w:t>. Users of the Guide should ensure that they are referring to the latest version. Information on updates to the Guide will be published in Private Health Insurance (PHI) Circulars.</w:t>
      </w:r>
    </w:p>
    <w:p w14:paraId="703C9287" w14:textId="7A43EFA2" w:rsidR="00076772" w:rsidRDefault="00076772" w:rsidP="00076772">
      <w:r>
        <w:t xml:space="preserve">The </w:t>
      </w:r>
      <w:r w:rsidR="707734E3">
        <w:t>d</w:t>
      </w:r>
      <w:r>
        <w:t xml:space="preserve">epartment will update the Guide as required, to ensure its currency. A summary of each change will be recorded at the front of the electronic version published on the website. Stakeholders will continue to be advised about any changes via </w:t>
      </w:r>
      <w:r w:rsidR="7027FC89">
        <w:t>PHI</w:t>
      </w:r>
      <w:r>
        <w:t xml:space="preserve"> Circulars.</w:t>
      </w:r>
    </w:p>
    <w:p w14:paraId="71544CCD" w14:textId="046E7B24" w:rsidR="00076772" w:rsidRDefault="00076772" w:rsidP="00076772">
      <w:pPr>
        <w:pStyle w:val="Heading2"/>
      </w:pPr>
      <w:bookmarkStart w:id="45" w:name="_Toc149228491"/>
      <w:r>
        <w:t>How to provide feedback on the Guide</w:t>
      </w:r>
      <w:bookmarkEnd w:id="45"/>
    </w:p>
    <w:p w14:paraId="27B95957" w14:textId="75B9F62D" w:rsidR="00915127" w:rsidRDefault="00076772" w:rsidP="00076772">
      <w:r>
        <w:t xml:space="preserve">Feedback on this Guide is welcome and should be forwarded to the </w:t>
      </w:r>
      <w:r w:rsidR="0807F64A">
        <w:t>d</w:t>
      </w:r>
      <w:r>
        <w:t xml:space="preserve">epartment via </w:t>
      </w:r>
      <w:hyperlink r:id="rId29">
        <w:r w:rsidR="00AD1C54" w:rsidRPr="6502A063">
          <w:rPr>
            <w:rStyle w:val="Hyperlink"/>
          </w:rPr>
          <w:t>prosthesesreform@health.gov.au</w:t>
        </w:r>
      </w:hyperlink>
      <w:r>
        <w:t>. Feedback will be collated and considered for future revisions to the Guide.</w:t>
      </w:r>
    </w:p>
    <w:p w14:paraId="463D9A43" w14:textId="672ABB81" w:rsidR="00076772" w:rsidRPr="004D1339" w:rsidRDefault="00076772" w:rsidP="00076772">
      <w:pPr>
        <w:pStyle w:val="Heading1"/>
      </w:pPr>
      <w:bookmarkStart w:id="46" w:name="_Toc149228492"/>
      <w:r w:rsidRPr="004D1339">
        <w:t xml:space="preserve">Chapter </w:t>
      </w:r>
      <w:r>
        <w:t>2: Overview</w:t>
      </w:r>
      <w:bookmarkEnd w:id="46"/>
    </w:p>
    <w:p w14:paraId="10AAFF8B" w14:textId="42EA3457" w:rsidR="00076772" w:rsidRPr="00137150" w:rsidRDefault="00076772" w:rsidP="00076772">
      <w:pPr>
        <w:pStyle w:val="Heading2"/>
        <w:rPr>
          <w:sz w:val="28"/>
        </w:rPr>
      </w:pPr>
      <w:bookmarkStart w:id="47" w:name="_Toc149228493"/>
      <w:r w:rsidRPr="00137150">
        <w:rPr>
          <w:sz w:val="28"/>
        </w:rPr>
        <w:t>What is the Prescribed List?</w:t>
      </w:r>
      <w:bookmarkEnd w:id="47"/>
    </w:p>
    <w:p w14:paraId="448CE29F" w14:textId="26FE6A79" w:rsidR="00076772" w:rsidRDefault="00076772" w:rsidP="00076772">
      <w:r>
        <w:t>The Prescribed List</w:t>
      </w:r>
      <w:r w:rsidR="00AD1C54" w:rsidRPr="00AD1C54">
        <w:rPr>
          <w:i/>
          <w:iCs/>
        </w:rPr>
        <w:t xml:space="preserve"> </w:t>
      </w:r>
      <w:r w:rsidR="00AD1C54" w:rsidRPr="006A7D38">
        <w:t>of Medical Devices and Human Tissue Products</w:t>
      </w:r>
      <w:r>
        <w:t xml:space="preserve"> </w:t>
      </w:r>
      <w:r w:rsidR="00AD1C54">
        <w:t xml:space="preserve">(the PL) </w:t>
      </w:r>
      <w:r>
        <w:t>was formerly known as the Prostheses List.</w:t>
      </w:r>
    </w:p>
    <w:p w14:paraId="0B2F5077" w14:textId="404821F3" w:rsidR="00A14F29" w:rsidRDefault="54795DF7" w:rsidP="00076772">
      <w:r>
        <w:t>The amendments to the</w:t>
      </w:r>
      <w:r w:rsidR="5D83986C">
        <w:t xml:space="preserve"> </w:t>
      </w:r>
      <w:hyperlink r:id="rId30" w:history="1">
        <w:r w:rsidR="5D83986C" w:rsidRPr="00780DC6">
          <w:rPr>
            <w:rStyle w:val="Hyperlink"/>
            <w:i/>
            <w:iCs/>
          </w:rPr>
          <w:t>Private Health Insurance Act 2007</w:t>
        </w:r>
      </w:hyperlink>
      <w:r w:rsidRPr="1A4A11C9">
        <w:rPr>
          <w:i/>
          <w:iCs/>
        </w:rPr>
        <w:t xml:space="preserve"> </w:t>
      </w:r>
      <w:r w:rsidR="1900A76B">
        <w:t>(</w:t>
      </w:r>
      <w:r>
        <w:t>PHI Act</w:t>
      </w:r>
      <w:r w:rsidR="0D231516">
        <w:t>)</w:t>
      </w:r>
      <w:r w:rsidR="00D34C5E">
        <w:t>, effective 1 July 2023,</w:t>
      </w:r>
      <w:r>
        <w:t xml:space="preserve"> provide</w:t>
      </w:r>
      <w:r w:rsidR="7469A284">
        <w:t>d</w:t>
      </w:r>
      <w:r>
        <w:t xml:space="preserve"> authority for the Private Health Insurance (Prostheses) Rules to be re-named to the </w:t>
      </w:r>
      <w:r w:rsidR="00D83819" w:rsidRPr="00D83819">
        <w:rPr>
          <w:i/>
          <w:iCs/>
        </w:rPr>
        <w:t>Private Health Insurance (Medical Devices and Human Tissue Products) Rules</w:t>
      </w:r>
      <w:r w:rsidR="00C44A50">
        <w:rPr>
          <w:i/>
          <w:iCs/>
        </w:rPr>
        <w:t xml:space="preserve"> </w:t>
      </w:r>
      <w:r>
        <w:t>(the Rules). The Schedule to the renamed Rules is known as the Prescribed List of Medical Devices and Human Tissue Products, the ‘PL’ for short.</w:t>
      </w:r>
      <w:r w:rsidR="00D83819">
        <w:t xml:space="preserve"> </w:t>
      </w:r>
    </w:p>
    <w:p w14:paraId="6BDEC041" w14:textId="09DE337B" w:rsidR="00076772" w:rsidRDefault="00A14F29" w:rsidP="00076772">
      <w:r>
        <w:t xml:space="preserve">Please note that the Rules are amended from time to time. </w:t>
      </w:r>
      <w:r w:rsidR="00D83819">
        <w:t>For the existing version</w:t>
      </w:r>
      <w:r>
        <w:t xml:space="preserve">, </w:t>
      </w:r>
      <w:r w:rsidR="00D83819">
        <w:t xml:space="preserve">please search the Federal Register of Legislation. The Department also publishes the Prescribed List on its website. </w:t>
      </w:r>
    </w:p>
    <w:p w14:paraId="44174F2D" w14:textId="5C93A01B" w:rsidR="000D427E" w:rsidRPr="00137150" w:rsidRDefault="000D427E" w:rsidP="0082348A">
      <w:pPr>
        <w:pStyle w:val="Heading4"/>
        <w:rPr>
          <w:i w:val="0"/>
          <w:iCs/>
        </w:rPr>
      </w:pPr>
      <w:r w:rsidRPr="00137150">
        <w:rPr>
          <w:i w:val="0"/>
          <w:iCs/>
        </w:rPr>
        <w:lastRenderedPageBreak/>
        <w:t>Prescribed List eligible products</w:t>
      </w:r>
    </w:p>
    <w:p w14:paraId="45735457" w14:textId="3A4ED4D8" w:rsidR="000D427E" w:rsidRPr="000D427E" w:rsidRDefault="000D427E" w:rsidP="00137150">
      <w:r w:rsidRPr="000D427E">
        <w:t xml:space="preserve">For </w:t>
      </w:r>
      <w:r>
        <w:t>a product</w:t>
      </w:r>
      <w:r w:rsidRPr="000D427E">
        <w:t xml:space="preserve"> to be eligible for listing on the PL, it must be </w:t>
      </w:r>
      <w:r>
        <w:t xml:space="preserve">either medical device or human tissue product, must be provided or used for a patient </w:t>
      </w:r>
      <w:r w:rsidRPr="000D427E">
        <w:t xml:space="preserve">as part of hospital or hospital substitute treatment, and </w:t>
      </w:r>
      <w:r>
        <w:t xml:space="preserve">there must be </w:t>
      </w:r>
      <w:r w:rsidRPr="000D427E">
        <w:t xml:space="preserve">a Medicare benefit payable </w:t>
      </w:r>
      <w:r>
        <w:t xml:space="preserve">[i.e. there must be a valid </w:t>
      </w:r>
      <w:r w:rsidRPr="000D427E">
        <w:t>Medicare Benefits Schedule (MBS)</w:t>
      </w:r>
      <w:r>
        <w:t xml:space="preserve"> item] </w:t>
      </w:r>
      <w:r w:rsidRPr="000D427E">
        <w:t xml:space="preserve">in respect of the professional service associated with the </w:t>
      </w:r>
      <w:r>
        <w:t>use of the</w:t>
      </w:r>
      <w:r w:rsidRPr="000D427E">
        <w:t xml:space="preserve"> medical device or human tissue product</w:t>
      </w:r>
      <w:r>
        <w:t>.</w:t>
      </w:r>
      <w:r w:rsidRPr="000D427E">
        <w:t xml:space="preserve"> The device or human tissue product also must satisfy the criteria for listing on one of the four Parts of the PL: Part</w:t>
      </w:r>
      <w:r>
        <w:t> </w:t>
      </w:r>
      <w:r w:rsidRPr="000D427E">
        <w:t>A, Part</w:t>
      </w:r>
      <w:r w:rsidR="005302A9">
        <w:t> </w:t>
      </w:r>
      <w:r w:rsidRPr="000D427E">
        <w:t xml:space="preserve">B, Part C </w:t>
      </w:r>
      <w:r w:rsidR="000624A6">
        <w:t>or</w:t>
      </w:r>
      <w:r w:rsidRPr="000D427E">
        <w:t xml:space="preserve"> Part D.</w:t>
      </w:r>
    </w:p>
    <w:p w14:paraId="4C487EE1" w14:textId="34AF4C85" w:rsidR="00E2613B" w:rsidRPr="00137150" w:rsidRDefault="5B803B4D" w:rsidP="0082348A">
      <w:pPr>
        <w:pStyle w:val="Heading4"/>
        <w:rPr>
          <w:i w:val="0"/>
          <w:iCs/>
        </w:rPr>
      </w:pPr>
      <w:r w:rsidRPr="00137150">
        <w:rPr>
          <w:i w:val="0"/>
          <w:iCs/>
        </w:rPr>
        <w:t>Purpose of the P</w:t>
      </w:r>
      <w:r w:rsidR="003761F2" w:rsidRPr="00137150">
        <w:rPr>
          <w:i w:val="0"/>
          <w:iCs/>
        </w:rPr>
        <w:t xml:space="preserve">rescribed </w:t>
      </w:r>
      <w:r w:rsidRPr="00137150">
        <w:rPr>
          <w:i w:val="0"/>
          <w:iCs/>
        </w:rPr>
        <w:t>L</w:t>
      </w:r>
      <w:r w:rsidR="003761F2" w:rsidRPr="00137150">
        <w:rPr>
          <w:i w:val="0"/>
          <w:iCs/>
        </w:rPr>
        <w:t>ist</w:t>
      </w:r>
    </w:p>
    <w:p w14:paraId="7A31C742" w14:textId="36AFD1E3" w:rsidR="00076772" w:rsidRDefault="00076772" w:rsidP="00076772">
      <w:r>
        <w:t xml:space="preserve">The purpose of the PL is to ensure that privately insured Australians, who have </w:t>
      </w:r>
      <w:r w:rsidR="00395C04">
        <w:t>a</w:t>
      </w:r>
      <w:r w:rsidR="00DE6214">
        <w:t>ppropriate</w:t>
      </w:r>
      <w:r>
        <w:t xml:space="preserve"> health insurance to cover the treatment, have access to clinically effective products that meet their health care needs.</w:t>
      </w:r>
    </w:p>
    <w:p w14:paraId="1213B487" w14:textId="1D640A13" w:rsidR="000624A6" w:rsidRDefault="000624A6" w:rsidP="00076772">
      <w:r>
        <w:t xml:space="preserve">It is achieved by </w:t>
      </w:r>
      <w:r w:rsidRPr="00BE7A95">
        <w:t>provid</w:t>
      </w:r>
      <w:r>
        <w:t>ing</w:t>
      </w:r>
      <w:r w:rsidRPr="00BE7A95">
        <w:t xml:space="preserve"> </w:t>
      </w:r>
      <w:r w:rsidRPr="000D427E">
        <w:t xml:space="preserve">a list of medical devices and human tissue products </w:t>
      </w:r>
      <w:r w:rsidRPr="00BE7A95">
        <w:t>for which</w:t>
      </w:r>
      <w:r w:rsidRPr="000D427E">
        <w:t xml:space="preserve"> private health insurers are required to pay minimum benefits when these medical devices and human tissue products are provided to </w:t>
      </w:r>
      <w:r>
        <w:t xml:space="preserve">or used for </w:t>
      </w:r>
      <w:r w:rsidRPr="000D427E">
        <w:t xml:space="preserve">a person with appropriate private health insurance cover. </w:t>
      </w:r>
    </w:p>
    <w:p w14:paraId="28EBBA30" w14:textId="69A9ABAF" w:rsidR="00076772" w:rsidRDefault="00076772" w:rsidP="00076772">
      <w:r>
        <w:t>The arrangements for including products on the PL help to ensure that benefits paid by insurers are relative to clinical effectiveness</w:t>
      </w:r>
      <w:r w:rsidR="005A0E55">
        <w:t xml:space="preserve"> and comparable to prices paid in other sectors</w:t>
      </w:r>
      <w:r>
        <w:t>.</w:t>
      </w:r>
    </w:p>
    <w:p w14:paraId="00E39A32" w14:textId="77777777" w:rsidR="00AD1C54" w:rsidRPr="00137150" w:rsidRDefault="00AD1C54" w:rsidP="006A7D38">
      <w:pPr>
        <w:pStyle w:val="Heading4"/>
        <w:rPr>
          <w:i w:val="0"/>
          <w:iCs/>
        </w:rPr>
      </w:pPr>
      <w:r w:rsidRPr="00137150">
        <w:rPr>
          <w:i w:val="0"/>
          <w:iCs/>
        </w:rPr>
        <w:t>What is the relevant legislation?</w:t>
      </w:r>
    </w:p>
    <w:p w14:paraId="369F237E" w14:textId="77777777" w:rsidR="00AD1C54" w:rsidRDefault="00AD1C54" w:rsidP="00AD1C54">
      <w:r>
        <w:t>The legislative framework for the PL encompasses a range of primary legislation, secondary legislation and policy and guidance material, as outlined in the diagram below.</w:t>
      </w:r>
    </w:p>
    <w:p w14:paraId="12215C83" w14:textId="353AED29" w:rsidR="00AD1C54" w:rsidRDefault="00AD1C54" w:rsidP="00AD1C54">
      <w:pPr>
        <w:pStyle w:val="FigureTitle"/>
      </w:pPr>
      <w:r w:rsidRPr="001864C2">
        <w:t>Figure 1: Legislative</w:t>
      </w:r>
      <w:r>
        <w:t xml:space="preserve"> framework for the PL</w:t>
      </w:r>
    </w:p>
    <w:p w14:paraId="466C399C" w14:textId="77777777" w:rsidR="00AD1C54" w:rsidRDefault="00AD1C54" w:rsidP="00AD1C54">
      <w:r w:rsidRPr="00410D23">
        <w:rPr>
          <w:rFonts w:asciiTheme="minorHAnsi" w:hAnsiTheme="minorHAnsi"/>
          <w:noProof/>
          <w:lang w:eastAsia="en-AU"/>
        </w:rPr>
        <w:drawing>
          <wp:inline distT="0" distB="0" distL="0" distR="0" wp14:anchorId="5500F497" wp14:editId="4C6968D0">
            <wp:extent cx="5787390" cy="2720340"/>
            <wp:effectExtent l="95250" t="0" r="0" b="22860"/>
            <wp:docPr id="1" name="Diagram 1" descr="Legislative framework for the PL"/>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14:paraId="3003D405" w14:textId="169DDA5F" w:rsidR="00AD1C54" w:rsidRDefault="48171E8F" w:rsidP="00AD1C54">
      <w:r>
        <w:t>T</w:t>
      </w:r>
      <w:r w:rsidR="00AD1C54">
        <w:t>here may also be other legislation relevant to products listed on the PL, including state and territory legislation</w:t>
      </w:r>
      <w:r w:rsidR="0040681B">
        <w:t xml:space="preserve"> (</w:t>
      </w:r>
      <w:r w:rsidR="000F7CC6">
        <w:t>e.g.,</w:t>
      </w:r>
      <w:r w:rsidR="0040681B">
        <w:t xml:space="preserve"> </w:t>
      </w:r>
      <w:r w:rsidR="00DE6214">
        <w:t>H</w:t>
      </w:r>
      <w:r w:rsidR="0040681B">
        <w:t>uman tissue products are governed by state or territory law)</w:t>
      </w:r>
      <w:r w:rsidR="00AD1C54">
        <w:t xml:space="preserve">, consumer law, therapeutic goods legislation, etc. </w:t>
      </w:r>
    </w:p>
    <w:p w14:paraId="1223CD0C" w14:textId="5C5F6807" w:rsidR="00AD1C54" w:rsidRDefault="00AD1C54" w:rsidP="00AD1C54">
      <w:r>
        <w:t xml:space="preserve">Users of this Guide are responsible for familiarising themselves with the relevant legislation. </w:t>
      </w:r>
    </w:p>
    <w:p w14:paraId="027DFA6A" w14:textId="77777777" w:rsidR="00AD1C54" w:rsidRPr="00137150" w:rsidRDefault="00AD1C54" w:rsidP="00AD1C54">
      <w:pPr>
        <w:pStyle w:val="IntroPara"/>
        <w:rPr>
          <w:rFonts w:cs="Arial"/>
          <w:b/>
          <w:bCs/>
          <w:i/>
          <w:color w:val="000000" w:themeColor="text1"/>
          <w:sz w:val="22"/>
          <w:szCs w:val="22"/>
        </w:rPr>
      </w:pPr>
      <w:r w:rsidRPr="00137150">
        <w:rPr>
          <w:rFonts w:cs="Arial"/>
          <w:b/>
          <w:bCs/>
          <w:i/>
          <w:color w:val="000000" w:themeColor="text1"/>
          <w:sz w:val="22"/>
          <w:szCs w:val="22"/>
        </w:rPr>
        <w:lastRenderedPageBreak/>
        <w:t>The Private Health Insurance Act (2007)</w:t>
      </w:r>
    </w:p>
    <w:p w14:paraId="35FC58B3" w14:textId="6D71FEBB" w:rsidR="00AD1C54" w:rsidRDefault="7469A284" w:rsidP="00AD1C54">
      <w:r>
        <w:t xml:space="preserve">The PHI Act provides for the Rules to specify </w:t>
      </w:r>
      <w:r w:rsidR="5AE3F672">
        <w:t xml:space="preserve">minimum </w:t>
      </w:r>
      <w:r>
        <w:t>benefits that must be paid for products listed in the Rules. These benefits are specified for each product in a schedule to the Rules (the PL).</w:t>
      </w:r>
    </w:p>
    <w:p w14:paraId="2CE39A9B" w14:textId="0A3A9576" w:rsidR="00AD1C54" w:rsidRDefault="00AD1C54" w:rsidP="00AD1C54">
      <w:r>
        <w:t xml:space="preserve">The PHI Act also provides for the Rules to include listing criteria that must be satisfied </w:t>
      </w:r>
      <w:r w:rsidR="00404E6F">
        <w:t xml:space="preserve">by the product </w:t>
      </w:r>
      <w:r>
        <w:t>for an application</w:t>
      </w:r>
      <w:r w:rsidR="00BF67DB">
        <w:t xml:space="preserve"> to</w:t>
      </w:r>
      <w:r>
        <w:t xml:space="preserve"> be granted.</w:t>
      </w:r>
    </w:p>
    <w:p w14:paraId="32AEF30B" w14:textId="77777777" w:rsidR="00AD1C54" w:rsidRDefault="00AD1C54" w:rsidP="00AD1C54">
      <w:r>
        <w:t>The PHI Act includes definitions for ‘medical device’ and ‘human tissue product’.</w:t>
      </w:r>
    </w:p>
    <w:p w14:paraId="7CAEB274" w14:textId="56FB7436" w:rsidR="00AD1C54" w:rsidRDefault="00AD1C54" w:rsidP="00AD1C54">
      <w:r>
        <w:t xml:space="preserve">The definitions in the PHI Act and the listing criteria in the Rules operate together to define the kinds of products that are eligible for inclusion in the PL, and for which </w:t>
      </w:r>
      <w:r w:rsidR="00B144AE">
        <w:t xml:space="preserve">minimum </w:t>
      </w:r>
      <w:r>
        <w:t>benefits must be paid.</w:t>
      </w:r>
    </w:p>
    <w:p w14:paraId="0BBEECB2" w14:textId="3559E506" w:rsidR="00C02B53" w:rsidRPr="00C02B53" w:rsidRDefault="04B46108" w:rsidP="00C02B53">
      <w:r>
        <w:t>Where the Minister</w:t>
      </w:r>
      <w:r w:rsidR="2946876F">
        <w:t xml:space="preserve"> for Health and Aged Care (the Minister)</w:t>
      </w:r>
      <w:r>
        <w:t xml:space="preserve"> decides to grant an application, </w:t>
      </w:r>
      <w:r w:rsidR="7EDE04DF">
        <w:t xml:space="preserve">the Minister must make the Rules as soon as practicable to add the </w:t>
      </w:r>
      <w:r>
        <w:t>product</w:t>
      </w:r>
      <w:r w:rsidR="7EDE04DF">
        <w:t xml:space="preserve"> </w:t>
      </w:r>
      <w:r w:rsidR="333EDA79">
        <w:t>to the Rules</w:t>
      </w:r>
      <w:r>
        <w:t xml:space="preserve"> (see</w:t>
      </w:r>
      <w:r w:rsidR="61B95580">
        <w:t xml:space="preserve">, </w:t>
      </w:r>
      <w:hyperlink w:anchor="_Ministerial_decisions_on" w:history="1">
        <w:r w:rsidRPr="00780DC6">
          <w:rPr>
            <w:rStyle w:val="Hyperlink"/>
          </w:rPr>
          <w:t>Ministerial decisions on applications</w:t>
        </w:r>
      </w:hyperlink>
      <w:r>
        <w:t>).</w:t>
      </w:r>
    </w:p>
    <w:p w14:paraId="33D7831A" w14:textId="518022DF" w:rsidR="00C02B53" w:rsidRDefault="00C02B53" w:rsidP="00C02B53">
      <w:r>
        <w:t xml:space="preserve">The Minister </w:t>
      </w:r>
      <w:r w:rsidR="00557390">
        <w:t>re-</w:t>
      </w:r>
      <w:r>
        <w:t>makes the Rules at least 3 times a year. The Rules are then registered on the Federal Register of Legislation and are tabled in both Houses of Parliament. Following tabling</w:t>
      </w:r>
      <w:r w:rsidR="00557390">
        <w:t>,</w:t>
      </w:r>
      <w:r>
        <w:t xml:space="preserve"> either House of Parliament may disallow the instrument within 15 sitting days.</w:t>
      </w:r>
    </w:p>
    <w:p w14:paraId="461074D6" w14:textId="75C990D1" w:rsidR="00E2613B" w:rsidRPr="00137150" w:rsidRDefault="00E2613B" w:rsidP="006A7D38">
      <w:pPr>
        <w:pStyle w:val="Heading2"/>
        <w:rPr>
          <w:sz w:val="28"/>
        </w:rPr>
      </w:pPr>
      <w:bookmarkStart w:id="48" w:name="_Toc149228494"/>
      <w:r w:rsidRPr="00137150">
        <w:rPr>
          <w:sz w:val="28"/>
        </w:rPr>
        <w:t>Structure of the P</w:t>
      </w:r>
      <w:r w:rsidR="003761F2" w:rsidRPr="00137150">
        <w:rPr>
          <w:sz w:val="28"/>
        </w:rPr>
        <w:t xml:space="preserve">rescribed </w:t>
      </w:r>
      <w:r w:rsidRPr="00137150">
        <w:rPr>
          <w:sz w:val="28"/>
        </w:rPr>
        <w:t>L</w:t>
      </w:r>
      <w:r w:rsidR="003761F2" w:rsidRPr="00137150">
        <w:rPr>
          <w:sz w:val="28"/>
        </w:rPr>
        <w:t>ist</w:t>
      </w:r>
      <w:bookmarkEnd w:id="48"/>
    </w:p>
    <w:p w14:paraId="61A76EBF" w14:textId="40639BCC" w:rsidR="00E2613B" w:rsidRDefault="00E2613B" w:rsidP="00E2613B">
      <w:r>
        <w:t xml:space="preserve">The PL has </w:t>
      </w:r>
      <w:r w:rsidR="00256F78">
        <w:t xml:space="preserve">four </w:t>
      </w:r>
      <w:r>
        <w:t>parts:</w:t>
      </w:r>
    </w:p>
    <w:p w14:paraId="6F5071B2" w14:textId="767FA832" w:rsidR="00E2613B" w:rsidRDefault="5B803B4D" w:rsidP="00E2613B">
      <w:pPr>
        <w:pStyle w:val="ListBullet"/>
        <w:ind w:left="340" w:hanging="340"/>
      </w:pPr>
      <w:r>
        <w:t xml:space="preserve">Part A </w:t>
      </w:r>
      <w:r w:rsidR="2073A42A">
        <w:t xml:space="preserve">– </w:t>
      </w:r>
      <w:r w:rsidR="1CF50D03">
        <w:t>consists of medical devices used for specific therapy (not general use) that must be either surgically implantable devices, or be essential and specifically designed as an integral single-use aid for implanting a device, or be critical to the continuing function of the surgically implanted device</w:t>
      </w:r>
    </w:p>
    <w:p w14:paraId="131C1150" w14:textId="36A511EB" w:rsidR="00256F78" w:rsidRDefault="5B803B4D" w:rsidP="007B1544">
      <w:pPr>
        <w:pStyle w:val="ListBullet"/>
        <w:ind w:left="340" w:hanging="340"/>
      </w:pPr>
      <w:r>
        <w:t xml:space="preserve">Part B </w:t>
      </w:r>
      <w:r w:rsidR="0C6CDC60">
        <w:t>–</w:t>
      </w:r>
      <w:r>
        <w:t xml:space="preserve"> </w:t>
      </w:r>
      <w:r w:rsidR="0C6CDC60">
        <w:t xml:space="preserve">consists of </w:t>
      </w:r>
      <w:r>
        <w:t xml:space="preserve">human tissue products (includes </w:t>
      </w:r>
      <w:r w:rsidRPr="00D66EEE">
        <w:rPr>
          <w:i/>
          <w:iCs/>
        </w:rPr>
        <w:t xml:space="preserve">products that are substantially derived from human tissue where the tissue has been subject to processing or treatments, and whose supply </w:t>
      </w:r>
      <w:r w:rsidR="00DF21BC" w:rsidRPr="00D66EEE">
        <w:rPr>
          <w:i/>
          <w:iCs/>
        </w:rPr>
        <w:t>[</w:t>
      </w:r>
      <w:r w:rsidRPr="00D66EEE">
        <w:rPr>
          <w:i/>
          <w:iCs/>
        </w:rPr>
        <w:t>however described, including trade, sell, give or gift</w:t>
      </w:r>
      <w:r>
        <w:t>] is governed by state or territory law)</w:t>
      </w:r>
    </w:p>
    <w:p w14:paraId="737359E0" w14:textId="4A2C83CA" w:rsidR="00E2613B" w:rsidRDefault="5B803B4D" w:rsidP="00E2613B">
      <w:pPr>
        <w:pStyle w:val="ListBullet"/>
        <w:ind w:left="340" w:hanging="340"/>
      </w:pPr>
      <w:r>
        <w:t xml:space="preserve">Part C </w:t>
      </w:r>
      <w:r w:rsidR="3518223B">
        <w:t xml:space="preserve">– </w:t>
      </w:r>
      <w:r w:rsidR="62AAED9B">
        <w:t xml:space="preserve">covers the specified </w:t>
      </w:r>
      <w:r>
        <w:t xml:space="preserve">groups of medical devices </w:t>
      </w:r>
      <w:r w:rsidR="62AAED9B">
        <w:t xml:space="preserve">stated in the Rules </w:t>
      </w:r>
      <w:r>
        <w:t>that do not meet the listing criteria for Part A, but which the Minister considers suitable for benefit payments by private health insurers</w:t>
      </w:r>
    </w:p>
    <w:p w14:paraId="54AAE04F" w14:textId="4D86C5D7" w:rsidR="007B1544" w:rsidRDefault="62AAED9B" w:rsidP="007B1544">
      <w:pPr>
        <w:pStyle w:val="ListBullet"/>
        <w:ind w:left="340" w:hanging="340"/>
      </w:pPr>
      <w:r>
        <w:t>Part D – covers the general use items</w:t>
      </w:r>
      <w:r w:rsidR="5A0CB704">
        <w:t>.</w:t>
      </w:r>
      <w:r w:rsidR="00D60ED4">
        <w:t xml:space="preserve"> These items are planned for removal on 1</w:t>
      </w:r>
      <w:r w:rsidR="00D72924">
        <w:t> </w:t>
      </w:r>
      <w:r w:rsidR="00D60ED4">
        <w:t>July</w:t>
      </w:r>
      <w:r w:rsidR="00D72924">
        <w:t> </w:t>
      </w:r>
      <w:r w:rsidR="00D60ED4">
        <w:t>2024.</w:t>
      </w:r>
    </w:p>
    <w:p w14:paraId="72B2D98C" w14:textId="04EA4A52" w:rsidR="00256F78" w:rsidRDefault="00256F78" w:rsidP="003026D9">
      <w:r>
        <w:t>Some information in this Guide is applicable for all Parts, while other information is specific to one or some Parts. The Guide will specify which information relates to which Part.</w:t>
      </w:r>
    </w:p>
    <w:p w14:paraId="675637E9" w14:textId="17D64664" w:rsidR="001460FA" w:rsidRPr="00137150" w:rsidRDefault="001460FA" w:rsidP="0082348A">
      <w:pPr>
        <w:pStyle w:val="Heading4"/>
        <w:rPr>
          <w:rFonts w:cs="Arial"/>
          <w:i w:val="0"/>
          <w:iCs/>
          <w:color w:val="358189"/>
        </w:rPr>
      </w:pPr>
      <w:r w:rsidRPr="00137150">
        <w:rPr>
          <w:rFonts w:cs="Arial"/>
          <w:i w:val="0"/>
          <w:iCs/>
          <w:color w:val="358189"/>
        </w:rPr>
        <w:t>Medical device</w:t>
      </w:r>
      <w:r w:rsidR="007C277A" w:rsidRPr="00137150">
        <w:rPr>
          <w:rFonts w:cs="Arial"/>
          <w:i w:val="0"/>
          <w:iCs/>
          <w:color w:val="358189"/>
        </w:rPr>
        <w:t>s</w:t>
      </w:r>
      <w:r w:rsidRPr="00137150">
        <w:rPr>
          <w:rFonts w:cs="Arial"/>
          <w:i w:val="0"/>
          <w:iCs/>
          <w:color w:val="358189"/>
        </w:rPr>
        <w:t xml:space="preserve"> </w:t>
      </w:r>
      <w:r w:rsidR="00256F78" w:rsidRPr="00137150">
        <w:rPr>
          <w:rFonts w:cs="Arial"/>
          <w:i w:val="0"/>
          <w:iCs/>
          <w:color w:val="358189"/>
        </w:rPr>
        <w:t xml:space="preserve">and human tissue products </w:t>
      </w:r>
      <w:r w:rsidR="007C277A" w:rsidRPr="00137150">
        <w:rPr>
          <w:rFonts w:cs="Arial"/>
          <w:i w:val="0"/>
          <w:iCs/>
          <w:color w:val="358189"/>
        </w:rPr>
        <w:t xml:space="preserve">grouping </w:t>
      </w:r>
      <w:bookmarkStart w:id="49" w:name="_Hlk147350889"/>
      <w:r w:rsidR="007C277A" w:rsidRPr="00137150">
        <w:rPr>
          <w:rFonts w:cs="Arial"/>
          <w:i w:val="0"/>
          <w:iCs/>
          <w:color w:val="358189"/>
        </w:rPr>
        <w:t>scheme</w:t>
      </w:r>
      <w:bookmarkEnd w:id="49"/>
    </w:p>
    <w:p w14:paraId="57691A19" w14:textId="0B60D485" w:rsidR="00993FFA" w:rsidRDefault="4A2FC478" w:rsidP="00993FFA">
      <w:r>
        <w:t xml:space="preserve">There are currently 13 categories of medical devices </w:t>
      </w:r>
      <w:r w:rsidR="007C277A">
        <w:t>listed</w:t>
      </w:r>
      <w:r w:rsidR="00F25A30">
        <w:t xml:space="preserve"> </w:t>
      </w:r>
      <w:r w:rsidR="00FC7FDF">
        <w:t>on</w:t>
      </w:r>
      <w:r w:rsidR="00F25A30">
        <w:t xml:space="preserve"> </w:t>
      </w:r>
      <w:r>
        <w:t>Part A</w:t>
      </w:r>
      <w:r w:rsidR="007C277A">
        <w:t xml:space="preserve">, 4 categories </w:t>
      </w:r>
      <w:r w:rsidR="00870FA4">
        <w:t xml:space="preserve">of human tissue products </w:t>
      </w:r>
      <w:r w:rsidR="007C277A">
        <w:t xml:space="preserve">on Part B, </w:t>
      </w:r>
      <w:r w:rsidR="008114CA">
        <w:t>4</w:t>
      </w:r>
      <w:r>
        <w:t xml:space="preserve"> </w:t>
      </w:r>
      <w:r w:rsidR="007C277A">
        <w:t xml:space="preserve">categories </w:t>
      </w:r>
      <w:r w:rsidR="00870FA4">
        <w:t xml:space="preserve">of medical devices </w:t>
      </w:r>
      <w:r>
        <w:t>in Part C</w:t>
      </w:r>
      <w:r w:rsidR="00DC101E">
        <w:t xml:space="preserve">, </w:t>
      </w:r>
      <w:r w:rsidR="2BA53DF8">
        <w:t xml:space="preserve">and </w:t>
      </w:r>
      <w:r w:rsidR="3B5A92C2">
        <w:t>3</w:t>
      </w:r>
      <w:r w:rsidR="2BA53DF8">
        <w:t xml:space="preserve"> in Part D.</w:t>
      </w:r>
      <w:r w:rsidR="00507FAC">
        <w:t xml:space="preserve"> </w:t>
      </w:r>
    </w:p>
    <w:p w14:paraId="3B15723F" w14:textId="7C4D73EC" w:rsidR="007C277A" w:rsidRDefault="007C277A" w:rsidP="00993FFA">
      <w:r>
        <w:t xml:space="preserve">The categories </w:t>
      </w:r>
      <w:r w:rsidR="00870FA4">
        <w:t>have s</w:t>
      </w:r>
      <w:r w:rsidRPr="007C277A">
        <w:t>ub</w:t>
      </w:r>
      <w:r w:rsidR="00870FA4">
        <w:t>-c</w:t>
      </w:r>
      <w:r w:rsidRPr="007C277A">
        <w:t>ategor</w:t>
      </w:r>
      <w:r w:rsidR="00870FA4">
        <w:t>ies, g</w:t>
      </w:r>
      <w:r w:rsidRPr="007C277A">
        <w:t>roup</w:t>
      </w:r>
      <w:r w:rsidR="00870FA4">
        <w:t>s, and s</w:t>
      </w:r>
      <w:r w:rsidRPr="007C277A">
        <w:t>ub</w:t>
      </w:r>
      <w:r w:rsidR="00870FA4">
        <w:t>-g</w:t>
      </w:r>
      <w:r w:rsidRPr="007C277A">
        <w:t>roup</w:t>
      </w:r>
      <w:r w:rsidR="00870FA4">
        <w:t xml:space="preserve">s, that </w:t>
      </w:r>
      <w:r w:rsidR="00870FA4" w:rsidRPr="00870FA4">
        <w:t>are identified numerically</w:t>
      </w:r>
      <w:r w:rsidR="00870FA4">
        <w:t xml:space="preserve">, and </w:t>
      </w:r>
      <w:r w:rsidR="00870FA4" w:rsidRPr="00870FA4">
        <w:t xml:space="preserve">alphabetical </w:t>
      </w:r>
      <w:r w:rsidR="00870FA4">
        <w:t>s</w:t>
      </w:r>
      <w:r w:rsidRPr="007C277A">
        <w:t>uffix</w:t>
      </w:r>
      <w:r w:rsidR="00870FA4">
        <w:t xml:space="preserve">es, where applicable. This </w:t>
      </w:r>
      <w:r w:rsidR="00870FA4" w:rsidRPr="00870FA4">
        <w:t>scheme</w:t>
      </w:r>
      <w:r w:rsidR="00870FA4">
        <w:t xml:space="preserve"> determines the benefits payable for </w:t>
      </w:r>
      <w:r w:rsidR="00870FA4">
        <w:lastRenderedPageBreak/>
        <w:t xml:space="preserve">the devices or human tissue products. </w:t>
      </w:r>
      <w:r w:rsidR="00870FA4" w:rsidRPr="00870FA4">
        <w:t>For simplicity,</w:t>
      </w:r>
      <w:r w:rsidR="00870FA4">
        <w:t xml:space="preserve"> the final benefit point </w:t>
      </w:r>
      <w:r w:rsidR="008512B8">
        <w:t xml:space="preserve">(e.g. sub-group, if there is no suffix, or sub-group and suffix, if there is a suffix) </w:t>
      </w:r>
      <w:r w:rsidR="00870FA4">
        <w:t>often referred to as grouping.</w:t>
      </w:r>
    </w:p>
    <w:p w14:paraId="40DA83A4" w14:textId="2E30DF57" w:rsidR="00870FA4" w:rsidRDefault="00870FA4" w:rsidP="00993FFA">
      <w:r>
        <w:t xml:space="preserve">Medical devices and human tissue </w:t>
      </w:r>
      <w:r w:rsidR="00993FFA">
        <w:t xml:space="preserve">products are grouped according to similar </w:t>
      </w:r>
      <w:r w:rsidR="00DB5397">
        <w:t>characteristics</w:t>
      </w:r>
      <w:r w:rsidR="0050671B">
        <w:t xml:space="preserve">, functionality and </w:t>
      </w:r>
      <w:r w:rsidR="00993FFA">
        <w:t xml:space="preserve">clinical </w:t>
      </w:r>
      <w:r w:rsidR="00322DA0">
        <w:t>features</w:t>
      </w:r>
      <w:r w:rsidR="00993FFA">
        <w:t xml:space="preserve">. </w:t>
      </w:r>
    </w:p>
    <w:p w14:paraId="1C008969" w14:textId="2CB82A48" w:rsidR="001460FA" w:rsidRPr="003F36A2" w:rsidRDefault="001460FA" w:rsidP="004E5BC5">
      <w:pPr>
        <w:pStyle w:val="Boxtype"/>
        <w:shd w:val="clear" w:color="auto" w:fill="D9D9D9" w:themeFill="background1" w:themeFillShade="D9"/>
      </w:pPr>
      <w:r w:rsidRPr="00051F0D">
        <w:rPr>
          <w:b/>
          <w:bCs/>
        </w:rPr>
        <w:t xml:space="preserve">The current grouping structures for </w:t>
      </w:r>
      <w:r w:rsidR="00826CF9" w:rsidRPr="00051F0D">
        <w:rPr>
          <w:b/>
          <w:bCs/>
        </w:rPr>
        <w:t xml:space="preserve">Part A and </w:t>
      </w:r>
      <w:r w:rsidRPr="00051F0D">
        <w:rPr>
          <w:b/>
          <w:bCs/>
        </w:rPr>
        <w:t>Part B products are under review.</w:t>
      </w:r>
    </w:p>
    <w:p w14:paraId="227617CA" w14:textId="125CF2FE" w:rsidR="00826CF9" w:rsidRPr="00137150" w:rsidRDefault="7A1954A6" w:rsidP="006A7D38">
      <w:pPr>
        <w:pStyle w:val="Heading2"/>
        <w:rPr>
          <w:sz w:val="28"/>
        </w:rPr>
      </w:pPr>
      <w:bookmarkStart w:id="50" w:name="_Billing_codes_and"/>
      <w:bookmarkStart w:id="51" w:name="_Toc149228495"/>
      <w:bookmarkEnd w:id="50"/>
      <w:r w:rsidRPr="00137150">
        <w:rPr>
          <w:sz w:val="28"/>
        </w:rPr>
        <w:t xml:space="preserve">Billing </w:t>
      </w:r>
      <w:r w:rsidR="5F63DB00" w:rsidRPr="00137150">
        <w:rPr>
          <w:sz w:val="28"/>
        </w:rPr>
        <w:t>c</w:t>
      </w:r>
      <w:r w:rsidRPr="00137150">
        <w:rPr>
          <w:sz w:val="28"/>
        </w:rPr>
        <w:t>odes and</w:t>
      </w:r>
      <w:r w:rsidR="7DC0273C" w:rsidRPr="00137150">
        <w:rPr>
          <w:sz w:val="28"/>
        </w:rPr>
        <w:t xml:space="preserve"> </w:t>
      </w:r>
      <w:r w:rsidR="0C02A890" w:rsidRPr="00137150">
        <w:rPr>
          <w:sz w:val="28"/>
        </w:rPr>
        <w:t>c</w:t>
      </w:r>
      <w:r w:rsidR="59345E36" w:rsidRPr="00137150">
        <w:rPr>
          <w:sz w:val="28"/>
        </w:rPr>
        <w:t>atalogue numbers</w:t>
      </w:r>
      <w:bookmarkEnd w:id="51"/>
    </w:p>
    <w:p w14:paraId="5E55EAC6" w14:textId="3C5212E0" w:rsidR="00826CF9" w:rsidRDefault="00A620CF" w:rsidP="00826CF9">
      <w:r>
        <w:t>The billing code is a unique identification code allocated to a listed product for the purposes of facilitating hospital claims and invoicing, and payment of benefits by insurers.</w:t>
      </w:r>
      <w:r w:rsidR="00925ACC">
        <w:t xml:space="preserve"> </w:t>
      </w:r>
      <w:r w:rsidR="00B07DCC">
        <w:t>Each b</w:t>
      </w:r>
      <w:r w:rsidR="1938900D">
        <w:t>illing code</w:t>
      </w:r>
      <w:r w:rsidR="00B07DCC">
        <w:t xml:space="preserve"> is </w:t>
      </w:r>
      <w:r w:rsidR="1938900D">
        <w:t xml:space="preserve">listed </w:t>
      </w:r>
      <w:r w:rsidR="00B07DCC">
        <w:t>in a particular</w:t>
      </w:r>
      <w:r w:rsidR="1938900D">
        <w:t xml:space="preserve"> </w:t>
      </w:r>
      <w:r w:rsidR="008512B8">
        <w:t>grouping (</w:t>
      </w:r>
      <w:r w:rsidR="1938900D">
        <w:t>group, sub</w:t>
      </w:r>
      <w:r w:rsidR="00B07DCC">
        <w:t>-</w:t>
      </w:r>
      <w:r w:rsidR="1938900D">
        <w:t xml:space="preserve">group </w:t>
      </w:r>
      <w:r w:rsidR="00476160">
        <w:t>and</w:t>
      </w:r>
      <w:r w:rsidR="1938900D">
        <w:t xml:space="preserve"> suffix</w:t>
      </w:r>
      <w:r w:rsidR="00B07DCC">
        <w:t>,</w:t>
      </w:r>
      <w:r w:rsidR="1938900D">
        <w:t xml:space="preserve"> </w:t>
      </w:r>
      <w:r w:rsidR="008512B8">
        <w:t>as applicable)</w:t>
      </w:r>
      <w:r w:rsidR="00B07DCC">
        <w:t xml:space="preserve"> with a specific </w:t>
      </w:r>
      <w:r w:rsidR="008512B8">
        <w:t>individual benefit amount assigned</w:t>
      </w:r>
      <w:r w:rsidR="00B07DCC">
        <w:t xml:space="preserve"> to the grouping, that is </w:t>
      </w:r>
      <w:r w:rsidR="00B07DCC" w:rsidRPr="00B07DCC">
        <w:t>the minimum benefit</w:t>
      </w:r>
      <w:r w:rsidR="00B07DCC">
        <w:t>, p</w:t>
      </w:r>
      <w:r w:rsidR="7DC0273C">
        <w:t>rivate health insurers are required to pay.</w:t>
      </w:r>
    </w:p>
    <w:p w14:paraId="2469BA2D" w14:textId="49C5F69A" w:rsidR="000B060F" w:rsidRDefault="2EFDF6CB" w:rsidP="000B060F">
      <w:bookmarkStart w:id="52" w:name="_Hlk135735322"/>
      <w:r>
        <w:t xml:space="preserve">The billing code </w:t>
      </w:r>
      <w:r w:rsidR="7EDE04DF">
        <w:t>may only be listed in one</w:t>
      </w:r>
      <w:r>
        <w:t xml:space="preserve"> </w:t>
      </w:r>
      <w:r w:rsidR="00F36D06">
        <w:t xml:space="preserve">place on the </w:t>
      </w:r>
      <w:r>
        <w:t>PL and may cover:</w:t>
      </w:r>
    </w:p>
    <w:p w14:paraId="07180C4B" w14:textId="48A60268" w:rsidR="000B060F" w:rsidRDefault="2EFDF6CB" w:rsidP="000B060F">
      <w:pPr>
        <w:pStyle w:val="ListBullet"/>
        <w:ind w:left="340" w:hanging="340"/>
      </w:pPr>
      <w:r>
        <w:t>a single product with no variations in any characteristics identified by one catalogue/product number (</w:t>
      </w:r>
      <w:r w:rsidR="0022160D">
        <w:t>e.g.,</w:t>
      </w:r>
      <w:r>
        <w:t xml:space="preserve"> one model of the pacemaker; or one specified product listed on Part B)</w:t>
      </w:r>
      <w:r w:rsidR="00A14F29">
        <w:t>, or</w:t>
      </w:r>
    </w:p>
    <w:p w14:paraId="409C58B6" w14:textId="50ABC250" w:rsidR="000B060F" w:rsidRDefault="2EFDF6CB" w:rsidP="000B060F">
      <w:pPr>
        <w:pStyle w:val="ListBullet"/>
        <w:ind w:left="340" w:hanging="340"/>
      </w:pPr>
      <w:r>
        <w:t xml:space="preserve">a product with variations in some characteristics identified by multiple catalogue/product </w:t>
      </w:r>
      <w:r w:rsidR="005C23CC">
        <w:t>numbers if</w:t>
      </w:r>
      <w:r>
        <w:t xml:space="preserve"> these products:</w:t>
      </w:r>
    </w:p>
    <w:p w14:paraId="49041230" w14:textId="684A4BBB" w:rsidR="000B060F" w:rsidRDefault="000B060F" w:rsidP="004E5BC5">
      <w:pPr>
        <w:pStyle w:val="ListNumber2"/>
        <w:numPr>
          <w:ilvl w:val="0"/>
          <w:numId w:val="65"/>
        </w:numPr>
      </w:pPr>
      <w:r>
        <w:t>are marketed</w:t>
      </w:r>
      <w:r w:rsidR="005C23CC">
        <w:t xml:space="preserve"> </w:t>
      </w:r>
      <w:r>
        <w:t>under the same product name or belong to the same product family</w:t>
      </w:r>
    </w:p>
    <w:p w14:paraId="3C3A8DA2" w14:textId="32CBDDC8" w:rsidR="000B060F" w:rsidRDefault="000B060F" w:rsidP="004E5BC5">
      <w:pPr>
        <w:pStyle w:val="ListNumber2"/>
        <w:numPr>
          <w:ilvl w:val="0"/>
          <w:numId w:val="65"/>
        </w:numPr>
      </w:pPr>
      <w:r>
        <w:t>have sufficiently similar design, characteristics, functionality and/or intended purpose (e.g</w:t>
      </w:r>
      <w:r w:rsidR="00CD5A7A">
        <w:t>.,</w:t>
      </w:r>
      <w:r>
        <w:t xml:space="preserve"> orthopaedic plates used in the same body part, manufactured by the same manufacturer</w:t>
      </w:r>
      <w:r w:rsidR="00B94C43">
        <w:rPr>
          <w:rStyle w:val="FootnoteReference"/>
        </w:rPr>
        <w:footnoteReference w:id="2"/>
      </w:r>
      <w:r>
        <w:t>, with the same design/shape and purpose, but supplied in different lengths and widths)</w:t>
      </w:r>
      <w:r w:rsidR="00A14F29">
        <w:t>, or</w:t>
      </w:r>
    </w:p>
    <w:p w14:paraId="2D5863A8" w14:textId="6FF04332" w:rsidR="000B060F" w:rsidRDefault="2EFDF6CB" w:rsidP="000B060F">
      <w:pPr>
        <w:pStyle w:val="ListBullet"/>
        <w:ind w:left="340" w:hanging="340"/>
      </w:pPr>
      <w:r>
        <w:t xml:space="preserve">a kit, pack, tray, </w:t>
      </w:r>
      <w:r w:rsidR="0026482E">
        <w:t xml:space="preserve">system, </w:t>
      </w:r>
      <w:r>
        <w:t xml:space="preserve">etc consisting of two or more medical devices, or a </w:t>
      </w:r>
      <w:r w:rsidR="00B07DCC">
        <w:t xml:space="preserve">medical </w:t>
      </w:r>
      <w:r>
        <w:t xml:space="preserve">device and other products, that are </w:t>
      </w:r>
      <w:r w:rsidR="00E769C4">
        <w:t xml:space="preserve">designed and </w:t>
      </w:r>
      <w:r>
        <w:t>intended to be used together:</w:t>
      </w:r>
    </w:p>
    <w:p w14:paraId="32F3FBC6" w14:textId="6CCD183B" w:rsidR="000B060F" w:rsidRDefault="000B060F" w:rsidP="004E5BC5">
      <w:pPr>
        <w:pStyle w:val="ListNumber2"/>
        <w:numPr>
          <w:ilvl w:val="0"/>
          <w:numId w:val="66"/>
        </w:numPr>
      </w:pPr>
      <w:r>
        <w:t>identified by a single catalogue/product number; or</w:t>
      </w:r>
    </w:p>
    <w:p w14:paraId="550EA94E" w14:textId="5CFD7082" w:rsidR="000B060F" w:rsidRDefault="000B060F" w:rsidP="004E5BC5">
      <w:pPr>
        <w:pStyle w:val="ListNumber2"/>
        <w:numPr>
          <w:ilvl w:val="0"/>
          <w:numId w:val="66"/>
        </w:numPr>
      </w:pPr>
      <w:r>
        <w:t>each component of the kit</w:t>
      </w:r>
      <w:r w:rsidR="0026482E">
        <w:t xml:space="preserve">, pack, system, etc </w:t>
      </w:r>
      <w:r>
        <w:t>is identified by one catalogue number and there are no variations in any characteristics of any of the individual components or composition of the kit</w:t>
      </w:r>
      <w:r w:rsidR="0026482E">
        <w:t>, pack, or system</w:t>
      </w:r>
      <w:r w:rsidR="0026482E" w:rsidRPr="0026482E">
        <w:t xml:space="preserve"> </w:t>
      </w:r>
      <w:r w:rsidR="0026482E">
        <w:t>(f</w:t>
      </w:r>
      <w:r w:rsidR="0026482E" w:rsidRPr="0026482E">
        <w:t xml:space="preserve">or </w:t>
      </w:r>
      <w:r w:rsidR="0026482E">
        <w:t xml:space="preserve">example, </w:t>
      </w:r>
      <w:r w:rsidR="008D6BBB">
        <w:t xml:space="preserve">an </w:t>
      </w:r>
      <w:r w:rsidR="0026482E" w:rsidRPr="0026482E">
        <w:t xml:space="preserve">artificial heart valve with </w:t>
      </w:r>
      <w:r w:rsidR="008D6BBB">
        <w:t>a</w:t>
      </w:r>
      <w:r w:rsidR="0026482E" w:rsidRPr="0026482E">
        <w:t xml:space="preserve"> delivery </w:t>
      </w:r>
      <w:r w:rsidR="0026482E">
        <w:t>c</w:t>
      </w:r>
      <w:r w:rsidR="0026482E" w:rsidRPr="0026482E">
        <w:t>atheter</w:t>
      </w:r>
      <w:r w:rsidR="0026482E">
        <w:t xml:space="preserve"> and </w:t>
      </w:r>
      <w:r w:rsidR="008D6BBB">
        <w:t xml:space="preserve">a </w:t>
      </w:r>
      <w:r w:rsidR="0026482E">
        <w:t>s</w:t>
      </w:r>
      <w:r w:rsidR="0026482E" w:rsidRPr="0026482E">
        <w:t>teerable sleeve)</w:t>
      </w:r>
      <w:r w:rsidR="00A14F29">
        <w:t>, or</w:t>
      </w:r>
    </w:p>
    <w:p w14:paraId="2E81EF07" w14:textId="2DB3982C" w:rsidR="000B060F" w:rsidRDefault="2EFDF6CB" w:rsidP="000B060F">
      <w:pPr>
        <w:pStyle w:val="ListBullet"/>
        <w:ind w:left="340" w:hanging="340"/>
      </w:pPr>
      <w:r>
        <w:t xml:space="preserve">a kit, pack, tray, etc consisting of two or more medical devices, or a </w:t>
      </w:r>
      <w:r w:rsidR="00B07DCC">
        <w:t xml:space="preserve">medical </w:t>
      </w:r>
      <w:r>
        <w:t xml:space="preserve">device and other products, that are </w:t>
      </w:r>
      <w:r w:rsidR="0026482E" w:rsidRPr="0026482E">
        <w:t>designed and intended to be used together</w:t>
      </w:r>
      <w:r>
        <w:t xml:space="preserve">, and one or more components have variations in some of the characteristics but all components are marketed under the same product name or belong to the same product family </w:t>
      </w:r>
      <w:r w:rsidR="00B07DCC">
        <w:t xml:space="preserve">and have sufficiently similar designs and characteristics </w:t>
      </w:r>
      <w:r>
        <w:t xml:space="preserve">(e.g. spinal cages of different sizes </w:t>
      </w:r>
      <w:r>
        <w:lastRenderedPageBreak/>
        <w:t>together with the plates of different sizes and screws of different sizes</w:t>
      </w:r>
      <w:r w:rsidR="00A14F29">
        <w:t>,</w:t>
      </w:r>
      <w:r w:rsidR="00B07DCC">
        <w:t xml:space="preserve"> </w:t>
      </w:r>
      <w:r w:rsidR="00A14F29">
        <w:t xml:space="preserve">where a cage and a plate and a number of screws are </w:t>
      </w:r>
      <w:r w:rsidR="00B07DCC">
        <w:t xml:space="preserve">designed to be used </w:t>
      </w:r>
      <w:r w:rsidR="00A14F29">
        <w:t xml:space="preserve">and claimed </w:t>
      </w:r>
      <w:r w:rsidR="00B07DCC">
        <w:t>together</w:t>
      </w:r>
      <w:r w:rsidR="00A14F29">
        <w:t xml:space="preserve"> as a unit</w:t>
      </w:r>
      <w:r>
        <w:t>).</w:t>
      </w:r>
    </w:p>
    <w:p w14:paraId="49BBA347" w14:textId="58229AE7" w:rsidR="000B060F" w:rsidRDefault="000B060F" w:rsidP="000B060F">
      <w:r>
        <w:t>For products to be eligible for listing under the same PL billing code, evidence that the products are sufficiently similar and belong to the same product range/product family and manufactured by the same manufacturer is required.</w:t>
      </w:r>
    </w:p>
    <w:p w14:paraId="3E73BC6D" w14:textId="2A6973B7" w:rsidR="000B060F" w:rsidRDefault="000B060F" w:rsidP="000B060F">
      <w:r>
        <w:t xml:space="preserve">A billing code cannot belong to more than one sponsor and the sponsor stated for the billing code must be the same as the sponsor stated on the </w:t>
      </w:r>
      <w:r w:rsidR="00D10A31">
        <w:t>Australian Register of Therapeutic Goods (</w:t>
      </w:r>
      <w:r>
        <w:t>ARTG</w:t>
      </w:r>
      <w:r w:rsidR="00D10A31">
        <w:t>)</w:t>
      </w:r>
      <w:r>
        <w:t xml:space="preserve"> entry relevant to the product.</w:t>
      </w:r>
    </w:p>
    <w:p w14:paraId="79106F12" w14:textId="77777777" w:rsidR="000B060F" w:rsidRDefault="000B060F" w:rsidP="000B060F">
      <w:r>
        <w:t>If a billing code has been deleted, the same billing code will not be reused in the future.</w:t>
      </w:r>
    </w:p>
    <w:p w14:paraId="0681FEB4" w14:textId="2F3DAD89" w:rsidR="000B060F" w:rsidRDefault="000B060F" w:rsidP="000B060F">
      <w:r>
        <w:t>New billing codes are created following successful new applications</w:t>
      </w:r>
      <w:r w:rsidR="002C53FE">
        <w:t xml:space="preserve">, </w:t>
      </w:r>
      <w:r>
        <w:t>expansion</w:t>
      </w:r>
      <w:r w:rsidR="00E41078">
        <w:t xml:space="preserve">, </w:t>
      </w:r>
      <w:r w:rsidR="00E02B05">
        <w:t xml:space="preserve">compression, or sponsors’ </w:t>
      </w:r>
      <w:r w:rsidR="00E41078">
        <w:t>transfer</w:t>
      </w:r>
      <w:r>
        <w:t xml:space="preserve"> applications.</w:t>
      </w:r>
    </w:p>
    <w:p w14:paraId="0D5A65EA" w14:textId="571E6271" w:rsidR="0082348A" w:rsidRPr="00B10A34" w:rsidRDefault="0082348A" w:rsidP="0082348A">
      <w:pPr>
        <w:pStyle w:val="Heading2"/>
        <w:rPr>
          <w:sz w:val="28"/>
        </w:rPr>
      </w:pPr>
      <w:bookmarkStart w:id="53" w:name="_Toc149228496"/>
      <w:bookmarkEnd w:id="52"/>
      <w:r w:rsidRPr="009360C4">
        <w:rPr>
          <w:sz w:val="28"/>
        </w:rPr>
        <w:t>Health technology assessment in Australia</w:t>
      </w:r>
      <w:bookmarkEnd w:id="53"/>
    </w:p>
    <w:p w14:paraId="60046AC4" w14:textId="4CAE75AB" w:rsidR="0082348A" w:rsidRPr="00B10A34" w:rsidRDefault="0082348A" w:rsidP="0082348A">
      <w:r w:rsidRPr="00B10A34">
        <w:t>Efficient and effective health technology assessment (HTA) processes are crucial to supporting sustainable management of funded health technologies. Consistent application of evidence across Australian Government HTA processes is an important element in ensuring not only stakeholder confidence by creating certainty in how decisions regarding the funding of health technologies are made and reviewed over time, but also ensuring decisions represent value-for-money.</w:t>
      </w:r>
    </w:p>
    <w:p w14:paraId="2480DA37" w14:textId="5BE50CA4" w:rsidR="0082348A" w:rsidRPr="00B10A34" w:rsidRDefault="0082348A" w:rsidP="0082348A">
      <w:r w:rsidRPr="00B10A34">
        <w:t xml:space="preserve">There are several bodies in Australia that contribute to the regulation and reimbursement of health technologies in Australia, including: the Therapeutic Goods Administration (TGA); the Medical Services Advisory Committee (MSAC); the Pharmaceutical Benefits Advisory Committee (PBAC); and the Medical Devices and Human Tissue Advisory Committee (MDHTAC) which have </w:t>
      </w:r>
      <w:r w:rsidR="00272B62" w:rsidRPr="00B10A34">
        <w:t xml:space="preserve">some level of </w:t>
      </w:r>
      <w:r w:rsidRPr="00B10A34">
        <w:t xml:space="preserve">inter-dependent relationships. Each entity has discrete functions and responds to different policy needs. </w:t>
      </w:r>
    </w:p>
    <w:p w14:paraId="386036AB" w14:textId="546A75DC" w:rsidR="0082348A" w:rsidRPr="00B10A34" w:rsidRDefault="00B10A34" w:rsidP="00CD3CBE">
      <w:r>
        <w:t xml:space="preserve">For further information on the HTA assessment </w:t>
      </w:r>
      <w:r w:rsidR="00631BEA">
        <w:t xml:space="preserve">see </w:t>
      </w:r>
      <w:hyperlink w:anchor="_Role_of_health" w:history="1">
        <w:r w:rsidR="006E4F55" w:rsidRPr="006E4F55">
          <w:rPr>
            <w:rStyle w:val="Hyperlink"/>
          </w:rPr>
          <w:t>Role of health technology assessment groups</w:t>
        </w:r>
      </w:hyperlink>
      <w:r w:rsidR="0082348A" w:rsidRPr="006E4F55">
        <w:t>.</w:t>
      </w:r>
    </w:p>
    <w:p w14:paraId="1EB2D81D" w14:textId="0BA6EF79" w:rsidR="002C73CA" w:rsidRDefault="00AB1CD9" w:rsidP="002C73CA">
      <w:pPr>
        <w:pStyle w:val="Heading2"/>
      </w:pPr>
      <w:bookmarkStart w:id="54" w:name="_Toc149228497"/>
      <w:r>
        <w:t>A</w:t>
      </w:r>
      <w:r w:rsidR="002C73CA">
        <w:t>pplication</w:t>
      </w:r>
      <w:r>
        <w:t xml:space="preserve"> </w:t>
      </w:r>
      <w:r w:rsidR="00576398">
        <w:t xml:space="preserve">requirements and assessment </w:t>
      </w:r>
      <w:r w:rsidR="00E02B05">
        <w:t>pathways</w:t>
      </w:r>
      <w:bookmarkEnd w:id="54"/>
      <w:r w:rsidR="00E02B05">
        <w:t xml:space="preserve"> </w:t>
      </w:r>
    </w:p>
    <w:p w14:paraId="07A82FAB" w14:textId="66FF60FB" w:rsidR="00C03ABB" w:rsidRDefault="006471A6" w:rsidP="00C03ABB">
      <w:r>
        <w:t>A</w:t>
      </w:r>
      <w:r w:rsidR="00C03ABB">
        <w:t xml:space="preserve">ll </w:t>
      </w:r>
      <w:r>
        <w:t xml:space="preserve">PL </w:t>
      </w:r>
      <w:r w:rsidR="00C03ABB">
        <w:t>applications must provide sufficient information to demonstrate that</w:t>
      </w:r>
      <w:r w:rsidR="001A0A4E">
        <w:t xml:space="preserve"> the below is correct</w:t>
      </w:r>
      <w:r w:rsidR="00C03ABB">
        <w:t>:</w:t>
      </w:r>
    </w:p>
    <w:p w14:paraId="5A395ECE" w14:textId="19DFD03D" w:rsidR="00C03ABB" w:rsidRDefault="00C03ABB" w:rsidP="00EB43B2">
      <w:pPr>
        <w:pStyle w:val="ListParagraph"/>
        <w:numPr>
          <w:ilvl w:val="0"/>
          <w:numId w:val="9"/>
        </w:numPr>
        <w:spacing w:before="60" w:after="60"/>
        <w:ind w:left="425" w:hanging="425"/>
        <w:contextualSpacing w:val="0"/>
      </w:pPr>
      <w:r>
        <w:t xml:space="preserve">the product meets the definition of ‘medical devices’ or ‘human tissue products’ as outlined in the PHI Act (from 1 July 2023, refer 72-11 – Meaning of medical device and 72-12 – Meaning of human tissue product). </w:t>
      </w:r>
    </w:p>
    <w:p w14:paraId="3A4486A8" w14:textId="5A98B170" w:rsidR="000624A6" w:rsidRDefault="001A0A4E" w:rsidP="00EB43B2">
      <w:pPr>
        <w:pStyle w:val="ListParagraph"/>
        <w:numPr>
          <w:ilvl w:val="0"/>
          <w:numId w:val="9"/>
        </w:numPr>
        <w:spacing w:before="60" w:after="60"/>
        <w:ind w:left="425" w:hanging="425"/>
        <w:contextualSpacing w:val="0"/>
      </w:pPr>
      <w:r>
        <w:t xml:space="preserve">there is at least 1 existing MBS item appropriately describing the Medicare service relevant to use of the device or </w:t>
      </w:r>
      <w:r w:rsidRPr="001A0A4E">
        <w:t xml:space="preserve">human tissue product </w:t>
      </w:r>
      <w:r>
        <w:t>for treatment provided in hospital or hospital substitute</w:t>
      </w:r>
      <w:r w:rsidR="0068332F">
        <w:t xml:space="preserve"> </w:t>
      </w:r>
      <w:r w:rsidR="006E4F55">
        <w:t>[</w:t>
      </w:r>
      <w:hyperlink w:anchor="_MBS_items_and" w:history="1">
        <w:r w:rsidR="006E4F55" w:rsidRPr="006E4F55">
          <w:rPr>
            <w:rStyle w:val="Hyperlink"/>
          </w:rPr>
          <w:t>MBS items and use of device for hospital treatment</w:t>
        </w:r>
      </w:hyperlink>
      <w:r w:rsidR="006E4F55">
        <w:t>]</w:t>
      </w:r>
    </w:p>
    <w:p w14:paraId="14E05577" w14:textId="5AEBF79E" w:rsidR="001A0A4E" w:rsidRDefault="001A0A4E" w:rsidP="001A0A4E">
      <w:pPr>
        <w:pStyle w:val="ListParagraph"/>
        <w:numPr>
          <w:ilvl w:val="0"/>
          <w:numId w:val="9"/>
        </w:numPr>
        <w:spacing w:before="60" w:after="60"/>
        <w:ind w:left="425" w:hanging="425"/>
        <w:contextualSpacing w:val="0"/>
      </w:pPr>
      <w:r>
        <w:t xml:space="preserve">the </w:t>
      </w:r>
      <w:r w:rsidRPr="001A0A4E">
        <w:t xml:space="preserve">device or human tissue product </w:t>
      </w:r>
      <w:r>
        <w:t>is always used in hospital or hospital substitute treatment</w:t>
      </w:r>
      <w:r w:rsidR="00157A97">
        <w:t>,</w:t>
      </w:r>
      <w:r>
        <w:t xml:space="preserve"> or can be used </w:t>
      </w:r>
      <w:r w:rsidR="00157A97">
        <w:t xml:space="preserve">in both hospital treatment and </w:t>
      </w:r>
      <w:r>
        <w:t>outside the hospital</w:t>
      </w:r>
      <w:r w:rsidR="0068332F">
        <w:t xml:space="preserve"> </w:t>
      </w:r>
    </w:p>
    <w:p w14:paraId="4E0E02CE" w14:textId="1AA9603E" w:rsidR="000C4960" w:rsidRPr="008A7A82" w:rsidRDefault="000C4960" w:rsidP="000C4960">
      <w:pPr>
        <w:pStyle w:val="ListParagraph"/>
        <w:numPr>
          <w:ilvl w:val="0"/>
          <w:numId w:val="9"/>
        </w:numPr>
        <w:tabs>
          <w:tab w:val="left" w:pos="1327"/>
        </w:tabs>
        <w:spacing w:before="60" w:after="60"/>
        <w:ind w:left="425" w:hanging="425"/>
        <w:contextualSpacing w:val="0"/>
      </w:pPr>
      <w:r w:rsidRPr="008A7A82">
        <w:t xml:space="preserve">the grouping stated in the new application or for the billing code </w:t>
      </w:r>
      <w:r w:rsidR="00576398" w:rsidRPr="008A7A82">
        <w:t>[</w:t>
      </w:r>
      <w:r w:rsidRPr="008A7A82">
        <w:t>in amendment</w:t>
      </w:r>
      <w:r w:rsidR="00576398" w:rsidRPr="008A7A82">
        <w:t>, compression, expansion</w:t>
      </w:r>
      <w:r w:rsidRPr="008A7A82">
        <w:t xml:space="preserve"> application</w:t>
      </w:r>
      <w:r w:rsidR="00576398" w:rsidRPr="008A7A82">
        <w:t>]</w:t>
      </w:r>
      <w:r w:rsidRPr="008A7A82">
        <w:t xml:space="preserve"> is correct for all devices identified by catalogue numbers in the application or listed for the billing code</w:t>
      </w:r>
    </w:p>
    <w:p w14:paraId="6EDDFDD7" w14:textId="557388DF" w:rsidR="00576398" w:rsidRPr="00576398" w:rsidRDefault="00576398" w:rsidP="000C4960">
      <w:pPr>
        <w:pStyle w:val="ListParagraph"/>
        <w:numPr>
          <w:ilvl w:val="0"/>
          <w:numId w:val="9"/>
        </w:numPr>
        <w:tabs>
          <w:tab w:val="left" w:pos="1327"/>
        </w:tabs>
        <w:spacing w:before="60" w:after="60"/>
        <w:ind w:left="425" w:hanging="425"/>
        <w:contextualSpacing w:val="0"/>
      </w:pPr>
      <w:r>
        <w:lastRenderedPageBreak/>
        <w:t xml:space="preserve">the comparator stated in the application is </w:t>
      </w:r>
      <w:r w:rsidR="0068332F">
        <w:t>correct, has similar functionalities, characteristics,</w:t>
      </w:r>
      <w:r>
        <w:t xml:space="preserve"> and is used for the same or sufficiently similar indications and purposes</w:t>
      </w:r>
    </w:p>
    <w:p w14:paraId="79DB7359" w14:textId="62C98C6F" w:rsidR="000C4960" w:rsidRPr="000C4960" w:rsidRDefault="000C4960" w:rsidP="00576398">
      <w:pPr>
        <w:pStyle w:val="ListParagraph"/>
        <w:numPr>
          <w:ilvl w:val="0"/>
          <w:numId w:val="9"/>
        </w:numPr>
        <w:tabs>
          <w:tab w:val="left" w:pos="1327"/>
        </w:tabs>
        <w:spacing w:before="60" w:after="60"/>
        <w:ind w:left="425" w:hanging="425"/>
        <w:contextualSpacing w:val="0"/>
      </w:pPr>
      <w:r w:rsidRPr="00576398">
        <w:t xml:space="preserve">the product name, description and size are clear and consistent with the </w:t>
      </w:r>
      <w:r w:rsidRPr="000C4960">
        <w:t>devices or human tissue products in the application/billing code</w:t>
      </w:r>
      <w:r w:rsidR="001E62F8">
        <w:t xml:space="preserve"> and with the grouping</w:t>
      </w:r>
    </w:p>
    <w:p w14:paraId="65F6DAB4" w14:textId="052A16A1" w:rsidR="00C03ABB" w:rsidRDefault="05F6AD02" w:rsidP="00EB43B2">
      <w:pPr>
        <w:pStyle w:val="ListParagraph"/>
        <w:numPr>
          <w:ilvl w:val="0"/>
          <w:numId w:val="9"/>
        </w:numPr>
        <w:spacing w:before="60" w:after="60"/>
        <w:ind w:left="425" w:hanging="425"/>
        <w:contextualSpacing w:val="0"/>
        <w:rPr>
          <w:i/>
          <w:iCs/>
        </w:rPr>
      </w:pPr>
      <w:r>
        <w:t xml:space="preserve">the </w:t>
      </w:r>
      <w:r w:rsidR="001A0A4E" w:rsidRPr="001A0A4E">
        <w:t xml:space="preserve">device or human tissue product </w:t>
      </w:r>
      <w:r>
        <w:t>meet</w:t>
      </w:r>
      <w:r w:rsidR="00576398">
        <w:t>s</w:t>
      </w:r>
      <w:r>
        <w:t xml:space="preserve"> </w:t>
      </w:r>
      <w:r w:rsidR="00576398">
        <w:t xml:space="preserve">all required </w:t>
      </w:r>
      <w:hyperlink r:id="rId36">
        <w:r w:rsidRPr="1E79D693">
          <w:rPr>
            <w:rStyle w:val="Hyperlink"/>
          </w:rPr>
          <w:t>listing criteria</w:t>
        </w:r>
      </w:hyperlink>
      <w:r>
        <w:t xml:space="preserve"> which are set up in the Rules</w:t>
      </w:r>
      <w:r w:rsidR="000C4960">
        <w:t>.</w:t>
      </w:r>
    </w:p>
    <w:p w14:paraId="7082AADC" w14:textId="77777777" w:rsidR="00870FA4" w:rsidRDefault="006471A6" w:rsidP="006471A6">
      <w:pPr>
        <w:tabs>
          <w:tab w:val="left" w:pos="1327"/>
        </w:tabs>
      </w:pPr>
      <w:r>
        <w:t xml:space="preserve">There are </w:t>
      </w:r>
      <w:hyperlink w:anchor="_Assessment_of_Part">
        <w:r w:rsidRPr="46F11227">
          <w:rPr>
            <w:rStyle w:val="Hyperlink"/>
          </w:rPr>
          <w:t>three listing pathways</w:t>
        </w:r>
      </w:hyperlink>
      <w:r>
        <w:t xml:space="preserve"> (Tiers 1-3) for the assessment of new, amendment, expansion and compression PL applications, with the evidence requirements tailored for each pathway. These arrangements currently apply to Part A and </w:t>
      </w:r>
      <w:r w:rsidR="00870FA4">
        <w:t xml:space="preserve">Part </w:t>
      </w:r>
      <w:r>
        <w:t>C applications. Processes for Part B applications are still being finalised.</w:t>
      </w:r>
      <w:r w:rsidR="1796F061">
        <w:t xml:space="preserve"> </w:t>
      </w:r>
    </w:p>
    <w:p w14:paraId="10D32E8C" w14:textId="695B8907" w:rsidR="006471A6" w:rsidRPr="006471A6" w:rsidRDefault="00062C37" w:rsidP="006471A6">
      <w:pPr>
        <w:tabs>
          <w:tab w:val="left" w:pos="1327"/>
        </w:tabs>
      </w:pPr>
      <w:r>
        <w:t>See</w:t>
      </w:r>
      <w:r w:rsidR="0301DA81">
        <w:t xml:space="preserve"> </w:t>
      </w:r>
      <w:hyperlink w:anchor="_PART_2:_TECHNICAL" w:history="1">
        <w:r w:rsidR="0301DA81" w:rsidRPr="00062C37">
          <w:rPr>
            <w:rStyle w:val="Hyperlink"/>
          </w:rPr>
          <w:t xml:space="preserve">Part </w:t>
        </w:r>
        <w:r w:rsidR="68357CFE" w:rsidRPr="00062C37">
          <w:rPr>
            <w:rStyle w:val="Hyperlink"/>
          </w:rPr>
          <w:t>2</w:t>
        </w:r>
      </w:hyperlink>
      <w:r w:rsidR="68357CFE">
        <w:t xml:space="preserve"> for</w:t>
      </w:r>
      <w:r w:rsidR="0301DA81">
        <w:t xml:space="preserve"> further information on the application </w:t>
      </w:r>
      <w:r w:rsidR="00E02B05">
        <w:t xml:space="preserve">assessment </w:t>
      </w:r>
      <w:r w:rsidR="0301DA81">
        <w:t>and evidence requirements.</w:t>
      </w:r>
    </w:p>
    <w:p w14:paraId="324D80B0" w14:textId="5B4903E9" w:rsidR="006D0D28" w:rsidRDefault="006D0D28" w:rsidP="006D0D28">
      <w:pPr>
        <w:pStyle w:val="Heading4"/>
      </w:pPr>
      <w:r>
        <w:t>Role of the sponsor</w:t>
      </w:r>
    </w:p>
    <w:p w14:paraId="624EBAC0" w14:textId="5560DBEF" w:rsidR="006D0D28" w:rsidRDefault="41236CE8" w:rsidP="006D0D28">
      <w:r>
        <w:t xml:space="preserve">Sponsors are responsible for applying for listing of their </w:t>
      </w:r>
      <w:r w:rsidR="00B10A34">
        <w:t xml:space="preserve">medical devices and human tissue </w:t>
      </w:r>
      <w:r>
        <w:t>product</w:t>
      </w:r>
      <w:r w:rsidR="00B10A34">
        <w:t>s</w:t>
      </w:r>
      <w:r>
        <w:t xml:space="preserve"> on the PL </w:t>
      </w:r>
      <w:r w:rsidR="1549D0D0">
        <w:t>or amending the existing billing code</w:t>
      </w:r>
      <w:r w:rsidR="00B10A34">
        <w:t>s</w:t>
      </w:r>
      <w:r w:rsidR="1549D0D0">
        <w:t xml:space="preserve"> </w:t>
      </w:r>
      <w:r>
        <w:t xml:space="preserve">using the HPP and providing all information required to inform the assessment and </w:t>
      </w:r>
      <w:r w:rsidR="34B8BF46">
        <w:t>decision-making</w:t>
      </w:r>
      <w:r>
        <w:t xml:space="preserve"> process. This includes selecting the appropriate assessment pathway (</w:t>
      </w:r>
      <w:r w:rsidR="0086490F">
        <w:t>see</w:t>
      </w:r>
      <w:r w:rsidR="005800B1">
        <w:t>,</w:t>
      </w:r>
      <w:r>
        <w:t xml:space="preserve"> </w:t>
      </w:r>
      <w:hyperlink w:anchor="_PART_2:_TECHNICAL" w:history="1">
        <w:r w:rsidR="25E015CC" w:rsidRPr="0086490F">
          <w:rPr>
            <w:rStyle w:val="Hyperlink"/>
          </w:rPr>
          <w:t>Part 2</w:t>
        </w:r>
      </w:hyperlink>
      <w:r>
        <w:t>)</w:t>
      </w:r>
      <w:r w:rsidR="1549D0D0">
        <w:t xml:space="preserve"> and</w:t>
      </w:r>
      <w:r>
        <w:t xml:space="preserve"> completing the appropriate </w:t>
      </w:r>
      <w:r w:rsidR="00B10A34">
        <w:t xml:space="preserve">HPP </w:t>
      </w:r>
      <w:r>
        <w:t>application form.</w:t>
      </w:r>
    </w:p>
    <w:p w14:paraId="015F374A" w14:textId="77A4B68B" w:rsidR="006D0D28" w:rsidRDefault="006D0D28" w:rsidP="006D0D28">
      <w:r>
        <w:t xml:space="preserve">Sponsors </w:t>
      </w:r>
      <w:r w:rsidR="00E769A1">
        <w:t xml:space="preserve">also </w:t>
      </w:r>
      <w:r>
        <w:t>have a responsibility to ensure the information provided is complete</w:t>
      </w:r>
      <w:r w:rsidR="0086490F">
        <w:t xml:space="preserve"> a</w:t>
      </w:r>
      <w:r>
        <w:t>nd correct. Failure to do so will result in the application being rejected or a delay in the assessment process.</w:t>
      </w:r>
    </w:p>
    <w:p w14:paraId="3CD8B5B3" w14:textId="3A2AE782" w:rsidR="006D0D28" w:rsidRDefault="006D0D28" w:rsidP="006D0D28">
      <w:r>
        <w:t xml:space="preserve">Sponsors should endeavour to submit a complete application </w:t>
      </w:r>
      <w:r w:rsidR="00A40897">
        <w:t>that allow</w:t>
      </w:r>
      <w:r w:rsidR="00EB7C8B">
        <w:t>s</w:t>
      </w:r>
      <w:r w:rsidR="00A40897">
        <w:t xml:space="preserve"> and inform</w:t>
      </w:r>
      <w:r w:rsidR="00EB7C8B">
        <w:t>s</w:t>
      </w:r>
      <w:r w:rsidR="00A40897">
        <w:t xml:space="preserve"> proper assessment </w:t>
      </w:r>
      <w:r>
        <w:t xml:space="preserve">at </w:t>
      </w:r>
      <w:r w:rsidR="00EB7C8B">
        <w:t xml:space="preserve">the </w:t>
      </w:r>
      <w:r>
        <w:t>time of lodgement and should not assume that the</w:t>
      </w:r>
      <w:r w:rsidR="00A40897">
        <w:t>y will always have additional opportunities to provide the required</w:t>
      </w:r>
      <w:r>
        <w:t xml:space="preserve"> </w:t>
      </w:r>
      <w:r w:rsidRPr="0094580F">
        <w:t>information.</w:t>
      </w:r>
    </w:p>
    <w:p w14:paraId="60BF671F" w14:textId="77777777" w:rsidR="006D0D28" w:rsidRDefault="006D0D28" w:rsidP="006D0D28">
      <w:pPr>
        <w:pStyle w:val="Heading4"/>
      </w:pPr>
      <w:r>
        <w:t xml:space="preserve">Role of the responsible Minister </w:t>
      </w:r>
    </w:p>
    <w:p w14:paraId="0CF78624" w14:textId="2B29A5A5" w:rsidR="00FB1D14" w:rsidRDefault="006D0D28" w:rsidP="006D0D28">
      <w:r>
        <w:t>The Minister</w:t>
      </w:r>
      <w:r w:rsidDel="00DF273C">
        <w:t xml:space="preserve"> </w:t>
      </w:r>
      <w:r>
        <w:t xml:space="preserve">is responsible for administration </w:t>
      </w:r>
      <w:r w:rsidR="00EE4AD0">
        <w:t>of</w:t>
      </w:r>
      <w:r>
        <w:t xml:space="preserve"> the PHI Act. The Minister makes decisions on whether to list a medical device or </w:t>
      </w:r>
      <w:r w:rsidR="00E769A1">
        <w:t xml:space="preserve">human tissue </w:t>
      </w:r>
      <w:r>
        <w:t xml:space="preserve">product </w:t>
      </w:r>
      <w:r w:rsidR="00A40897">
        <w:t xml:space="preserve">on the PL or amend the existing billing code </w:t>
      </w:r>
      <w:r>
        <w:t xml:space="preserve">and </w:t>
      </w:r>
      <w:r w:rsidR="00A40897">
        <w:t xml:space="preserve">whether </w:t>
      </w:r>
      <w:r>
        <w:t xml:space="preserve">the conditions </w:t>
      </w:r>
      <w:r w:rsidR="00A40897">
        <w:t>are to be placed on the billing code</w:t>
      </w:r>
      <w:r>
        <w:t xml:space="preserve">. The Minister is also responsible for giving effect to these decisions by making or updating the Rules or other legislative instruments. </w:t>
      </w:r>
    </w:p>
    <w:p w14:paraId="29E4066D" w14:textId="69F8E85F" w:rsidR="006D0D28" w:rsidRDefault="006D0D28" w:rsidP="006D0D28">
      <w:r>
        <w:t xml:space="preserve">Under section 333-1 of the PHI Act, the Minister </w:t>
      </w:r>
      <w:r w:rsidR="0077565D">
        <w:t xml:space="preserve">may </w:t>
      </w:r>
      <w:r>
        <w:t>delegate responsibility to people occupying certain positions within the department (the Minister’s Delegates).</w:t>
      </w:r>
    </w:p>
    <w:p w14:paraId="7CFAE7F5" w14:textId="67F516FF" w:rsidR="006D0D28" w:rsidRDefault="006D0D28" w:rsidP="006D0D28">
      <w:pPr>
        <w:pStyle w:val="Heading4"/>
      </w:pPr>
      <w:r>
        <w:t>Role of the Medical Devices and Human Tissue Advisory Committee</w:t>
      </w:r>
      <w:r w:rsidR="00851013">
        <w:t xml:space="preserve"> (MDHTAC)</w:t>
      </w:r>
    </w:p>
    <w:p w14:paraId="40A18AC1" w14:textId="3D608F0F" w:rsidR="006D0D28" w:rsidRPr="0094580F" w:rsidRDefault="006D0D28" w:rsidP="006D0D28">
      <w:r>
        <w:t xml:space="preserve">The MDHTAC is a Ministerially appointed committee </w:t>
      </w:r>
      <w:r w:rsidR="00E769A1">
        <w:t>with</w:t>
      </w:r>
      <w:r w:rsidR="00FB1D14">
        <w:t xml:space="preserve"> the</w:t>
      </w:r>
      <w:r>
        <w:t xml:space="preserve"> Chair, </w:t>
      </w:r>
      <w:r w:rsidR="00FB1D14">
        <w:t xml:space="preserve">and </w:t>
      </w:r>
      <w:r w:rsidR="00E769A1">
        <w:t xml:space="preserve">membership </w:t>
      </w:r>
      <w:r w:rsidR="00FB1D14">
        <w:t xml:space="preserve">consisting of </w:t>
      </w:r>
      <w:r>
        <w:t xml:space="preserve">six Chairs of </w:t>
      </w:r>
      <w:r w:rsidRPr="0094580F">
        <w:t xml:space="preserve">the Expert Clinical Advisory Groups (ECAGs), up to two </w:t>
      </w:r>
      <w:r w:rsidR="00FB1D14">
        <w:t>independent</w:t>
      </w:r>
      <w:r w:rsidR="00FB1D14" w:rsidRPr="0094580F">
        <w:t xml:space="preserve"> </w:t>
      </w:r>
      <w:r w:rsidR="00FB1D14">
        <w:t xml:space="preserve">members with expertise in the medical technology and/or </w:t>
      </w:r>
      <w:r w:rsidRPr="0094580F">
        <w:t xml:space="preserve">HTA who are not members of </w:t>
      </w:r>
      <w:r w:rsidR="00FB1D14">
        <w:t xml:space="preserve">any of the </w:t>
      </w:r>
      <w:r w:rsidRPr="0094580F">
        <w:t>ECAGs</w:t>
      </w:r>
      <w:r w:rsidR="00FB1D14">
        <w:t>, and a</w:t>
      </w:r>
      <w:r w:rsidR="00FB1D14" w:rsidRPr="00FB1D14">
        <w:t xml:space="preserve"> consumer member</w:t>
      </w:r>
      <w:r w:rsidRPr="0094580F">
        <w:t>.</w:t>
      </w:r>
      <w:r w:rsidR="00094358" w:rsidRPr="0094580F">
        <w:t xml:space="preserve"> The ECAG Chairs provide a connection between the MDHTAC and the respective ECAG, with each Chair </w:t>
      </w:r>
      <w:r w:rsidR="00A92FA4">
        <w:t>leading the</w:t>
      </w:r>
      <w:r w:rsidR="00094358" w:rsidRPr="0094580F">
        <w:t xml:space="preserve"> discussion</w:t>
      </w:r>
      <w:r w:rsidR="00A92FA4">
        <w:t xml:space="preserve"> on the matters related to their ECAG</w:t>
      </w:r>
      <w:r w:rsidR="00094358" w:rsidRPr="0094580F">
        <w:t>.</w:t>
      </w:r>
    </w:p>
    <w:p w14:paraId="1054E58F" w14:textId="4089F122" w:rsidR="006D0D28" w:rsidRPr="0094580F" w:rsidRDefault="006D0D28" w:rsidP="006D0D28">
      <w:r>
        <w:lastRenderedPageBreak/>
        <w:t xml:space="preserve">The MDHTAC’s membership and Terms of Reference can be found on the </w:t>
      </w:r>
      <w:r w:rsidR="6999324D">
        <w:t>d</w:t>
      </w:r>
      <w:r>
        <w:t>epartment’s website.</w:t>
      </w:r>
    </w:p>
    <w:p w14:paraId="23F75174" w14:textId="0148F4DA" w:rsidR="006D0D28" w:rsidRDefault="006D0D28" w:rsidP="00E73E8D">
      <w:r>
        <w:t xml:space="preserve">The primary role of the MDHTAC is to make recommendations to the Minister </w:t>
      </w:r>
      <w:r w:rsidR="75BB41A0">
        <w:t xml:space="preserve">and advise the department </w:t>
      </w:r>
      <w:r>
        <w:t xml:space="preserve">about </w:t>
      </w:r>
      <w:r w:rsidR="2D697B3E">
        <w:t xml:space="preserve">the </w:t>
      </w:r>
      <w:r w:rsidR="00427BF2">
        <w:t xml:space="preserve">suitability </w:t>
      </w:r>
      <w:r>
        <w:t>of products</w:t>
      </w:r>
      <w:r w:rsidR="00427BF2">
        <w:t xml:space="preserve"> for listing on the PL</w:t>
      </w:r>
      <w:r>
        <w:t xml:space="preserve">, and their </w:t>
      </w:r>
      <w:r w:rsidR="00427BF2">
        <w:t xml:space="preserve">associated </w:t>
      </w:r>
      <w:r>
        <w:t>benefits</w:t>
      </w:r>
      <w:r w:rsidR="0060251C">
        <w:t>,</w:t>
      </w:r>
      <w:r w:rsidR="00427BF2">
        <w:t xml:space="preserve"> or on amending the details of the existing billing codes (for the products already listed on the PL), or on any other </w:t>
      </w:r>
      <w:r w:rsidR="2BC05C95">
        <w:t xml:space="preserve">post-listing </w:t>
      </w:r>
      <w:r w:rsidR="00427BF2">
        <w:t>activities as required</w:t>
      </w:r>
      <w:r>
        <w:t xml:space="preserve">. The MDHTAC’s recommendations and advice are based on </w:t>
      </w:r>
      <w:r w:rsidR="63FEAB62">
        <w:t xml:space="preserve">an </w:t>
      </w:r>
      <w:r>
        <w:t xml:space="preserve">assessment of comparative clinical effectiveness and cost-effectiveness of </w:t>
      </w:r>
      <w:r w:rsidR="78E77045">
        <w:t xml:space="preserve">products </w:t>
      </w:r>
      <w:r>
        <w:t>using the best available evidence</w:t>
      </w:r>
      <w:r w:rsidR="620EB9D6">
        <w:t xml:space="preserve"> compared with other similar products already listed on the PL or alternative treatments</w:t>
      </w:r>
      <w:r>
        <w:t>.</w:t>
      </w:r>
      <w:r w:rsidR="00EC1CAC">
        <w:t xml:space="preserve"> </w:t>
      </w:r>
      <w:r w:rsidR="00A45796">
        <w:t xml:space="preserve">Although </w:t>
      </w:r>
      <w:r w:rsidR="00D4473D">
        <w:t xml:space="preserve">it is </w:t>
      </w:r>
      <w:r w:rsidR="00A45796">
        <w:t>the</w:t>
      </w:r>
      <w:r w:rsidR="00EC1CAC">
        <w:t xml:space="preserve"> TGA</w:t>
      </w:r>
      <w:r w:rsidR="00D4473D">
        <w:t xml:space="preserve">’s role to </w:t>
      </w:r>
      <w:r w:rsidR="0098269D">
        <w:t>oversee</w:t>
      </w:r>
      <w:r w:rsidR="00EC1CAC">
        <w:t xml:space="preserve"> safety, safety </w:t>
      </w:r>
      <w:r w:rsidR="00A45796">
        <w:t xml:space="preserve">will be considered </w:t>
      </w:r>
      <w:r w:rsidR="00EC1CAC">
        <w:t>as part of the effectiveness of the product.</w:t>
      </w:r>
      <w:r w:rsidR="00E721E3">
        <w:t xml:space="preserve"> </w:t>
      </w:r>
      <w:r w:rsidR="001006A0">
        <w:t>The M</w:t>
      </w:r>
      <w:r w:rsidR="00BF3666">
        <w:t xml:space="preserve">DHTAC may </w:t>
      </w:r>
      <w:r w:rsidR="00B03B2B">
        <w:t xml:space="preserve">request further information regarding certain applications or </w:t>
      </w:r>
      <w:r w:rsidR="005800B1">
        <w:t>issues and</w:t>
      </w:r>
      <w:r w:rsidR="00972899">
        <w:t xml:space="preserve"> may </w:t>
      </w:r>
      <w:r w:rsidR="00BF3666">
        <w:t>refer certain matters to MSAC</w:t>
      </w:r>
      <w:r w:rsidR="00B03B2B">
        <w:t xml:space="preserve"> based on the need for </w:t>
      </w:r>
      <w:r w:rsidR="00972899">
        <w:t>HTA advice.</w:t>
      </w:r>
    </w:p>
    <w:p w14:paraId="0480557A" w14:textId="7CFF6782" w:rsidR="005621E2" w:rsidRDefault="005621E2" w:rsidP="005621E2">
      <w:r>
        <w:t>When making recommendations, MDHTAC consider eligibility of medical device or product for listing on the PL, criteria for listing, the correctness of the grouping for all medical devices or human tissue products in the application, comparative clinical effectiveness, comparative cost-effectiveness (where sponsors apply to list the device in a new grouping or due to other factors), predicted use and financial implications for the PL, and other related matters.</w:t>
      </w:r>
    </w:p>
    <w:p w14:paraId="63D32922" w14:textId="2C73FE6B" w:rsidR="00DF5AEC" w:rsidRDefault="00DF5AEC" w:rsidP="00DF5AEC">
      <w:r>
        <w:t xml:space="preserve">The MDHTAC meets </w:t>
      </w:r>
      <w:r w:rsidR="007D7282">
        <w:t>three</w:t>
      </w:r>
      <w:r w:rsidR="000B10B0">
        <w:t xml:space="preserve"> (3)</w:t>
      </w:r>
      <w:r>
        <w:t xml:space="preserve"> times per year to consider PL applications, and to discuss other matters relating to listing arrangements. The MDHTAC takes a consensus approach to making recommendations about listing medical devices on the PL. Where a recommendation or decision cannot be reached by consensus, it is determined by a majority vote of members.</w:t>
      </w:r>
      <w:r w:rsidR="557B175F">
        <w:t xml:space="preserve"> In the event of a tied vote, the Chair will cast the deciding vote.</w:t>
      </w:r>
      <w:r>
        <w:t xml:space="preserve"> The MDHTAC may also discuss and resolve matters out-of-session.</w:t>
      </w:r>
    </w:p>
    <w:p w14:paraId="6E169EB4" w14:textId="72CDE088" w:rsidR="0093057F" w:rsidRDefault="00DF5AEC" w:rsidP="00DF5AEC">
      <w:r>
        <w:t xml:space="preserve">The MDHTAC deliberations and recommendations are recorded in </w:t>
      </w:r>
      <w:r w:rsidR="00BC6D1E">
        <w:t>Minutes</w:t>
      </w:r>
      <w:r>
        <w:t>,</w:t>
      </w:r>
      <w:r w:rsidR="0011022E">
        <w:t xml:space="preserve"> </w:t>
      </w:r>
      <w:r w:rsidR="0086490F">
        <w:t>however the</w:t>
      </w:r>
      <w:r w:rsidR="7E0C483E">
        <w:t>y</w:t>
      </w:r>
      <w:r w:rsidR="0086490F">
        <w:t xml:space="preserve"> a</w:t>
      </w:r>
      <w:r>
        <w:t xml:space="preserve">re not published as </w:t>
      </w:r>
      <w:r w:rsidR="00BC6D1E">
        <w:t>the</w:t>
      </w:r>
      <w:r>
        <w:t xml:space="preserve"> information considered by the MDHTAC and its</w:t>
      </w:r>
      <w:r w:rsidR="003E349F">
        <w:t xml:space="preserve"> </w:t>
      </w:r>
      <w:r>
        <w:t>subcommittees is commercial-in-confidence</w:t>
      </w:r>
      <w:r w:rsidR="0086490F">
        <w:t>. A</w:t>
      </w:r>
      <w:r>
        <w:t xml:space="preserve">ll members </w:t>
      </w:r>
      <w:r w:rsidR="0086490F">
        <w:t xml:space="preserve">are required to </w:t>
      </w:r>
      <w:r>
        <w:t xml:space="preserve">sign a deed of confidentiality and to disclose any conflicts of interest. </w:t>
      </w:r>
    </w:p>
    <w:p w14:paraId="6EDA9CFE" w14:textId="2CDFB95E" w:rsidR="005E72D5" w:rsidRDefault="005E72D5" w:rsidP="005E72D5">
      <w:pPr>
        <w:pStyle w:val="Heading4"/>
      </w:pPr>
      <w:r>
        <w:t>Role of the Expert Clinical Advisory Groups (ECAGs)</w:t>
      </w:r>
    </w:p>
    <w:p w14:paraId="53C5B804" w14:textId="77777777" w:rsidR="005E72D5" w:rsidRDefault="005E72D5" w:rsidP="005E72D5">
      <w:r>
        <w:t>The ECAGs are sub-committees of the MDHTAC, with membership that is reflective of a broad cross-section of contemporary clinical practice in Australia.</w:t>
      </w:r>
    </w:p>
    <w:p w14:paraId="3614D60E" w14:textId="346DBA5D" w:rsidR="00BB23DA" w:rsidRDefault="00BB23DA" w:rsidP="00BB23DA">
      <w:r>
        <w:t>There are currently</w:t>
      </w:r>
      <w:r w:rsidR="000B10B0">
        <w:t xml:space="preserve"> </w:t>
      </w:r>
      <w:r w:rsidR="0011022E">
        <w:t>six</w:t>
      </w:r>
      <w:r>
        <w:t xml:space="preserve"> </w:t>
      </w:r>
      <w:r w:rsidR="000B10B0">
        <w:t xml:space="preserve">(6) </w:t>
      </w:r>
      <w:r>
        <w:t>ECAGs:</w:t>
      </w:r>
    </w:p>
    <w:p w14:paraId="5864AEFA" w14:textId="708B33CC" w:rsidR="00BB23DA" w:rsidRDefault="7FFA3699" w:rsidP="00BB23DA">
      <w:pPr>
        <w:pStyle w:val="ListBullet"/>
        <w:ind w:left="340" w:hanging="340"/>
      </w:pPr>
      <w:r>
        <w:t>Specialist Orthopaedic ECAG (</w:t>
      </w:r>
      <w:r w:rsidR="000B10B0">
        <w:t>including</w:t>
      </w:r>
      <w:r>
        <w:t xml:space="preserve"> shoulder, ankle, foot, upper limb and skeletal reconstruction)</w:t>
      </w:r>
      <w:r w:rsidR="007A1602">
        <w:t xml:space="preserve"> (SOECAG)</w:t>
      </w:r>
    </w:p>
    <w:p w14:paraId="29998922" w14:textId="5B7328E5" w:rsidR="00BB23DA" w:rsidRDefault="7FFA3699" w:rsidP="00BB23DA">
      <w:pPr>
        <w:pStyle w:val="ListBullet"/>
        <w:ind w:left="340" w:hanging="340"/>
      </w:pPr>
      <w:r>
        <w:t>Hip and Knee ECAG</w:t>
      </w:r>
      <w:r w:rsidR="007A1602">
        <w:t xml:space="preserve"> (HKECAG)</w:t>
      </w:r>
    </w:p>
    <w:p w14:paraId="022EAECD" w14:textId="2172E04E" w:rsidR="00BB23DA" w:rsidRDefault="7FFA3699" w:rsidP="00BB23DA">
      <w:pPr>
        <w:pStyle w:val="ListBullet"/>
        <w:ind w:left="340" w:hanging="340"/>
      </w:pPr>
      <w:r>
        <w:t>Ophthalmic ECAG</w:t>
      </w:r>
      <w:r w:rsidR="007A1602">
        <w:t xml:space="preserve"> (OECAG)</w:t>
      </w:r>
    </w:p>
    <w:p w14:paraId="53F4B2F5" w14:textId="50ACA7F8" w:rsidR="00BB23DA" w:rsidRDefault="7FFA3699" w:rsidP="00BB23DA">
      <w:pPr>
        <w:pStyle w:val="ListBullet"/>
        <w:ind w:left="340" w:hanging="340"/>
      </w:pPr>
      <w:r>
        <w:t>Spinal and Neurosurgical ECAG</w:t>
      </w:r>
      <w:r w:rsidR="007A1602">
        <w:t xml:space="preserve"> (SNECAG)</w:t>
      </w:r>
    </w:p>
    <w:p w14:paraId="6D823B98" w14:textId="5F33E6F1" w:rsidR="00BB23DA" w:rsidRDefault="7FFA3699" w:rsidP="00BB23DA">
      <w:pPr>
        <w:pStyle w:val="ListBullet"/>
        <w:ind w:left="340" w:hanging="340"/>
      </w:pPr>
      <w:r>
        <w:t>Cardiovascular ECAG (</w:t>
      </w:r>
      <w:r w:rsidR="000B10B0">
        <w:t>including</w:t>
      </w:r>
      <w:r>
        <w:t xml:space="preserve"> cardiac, cardiothoracic and vascular)</w:t>
      </w:r>
      <w:r w:rsidR="007A1602">
        <w:t xml:space="preserve"> (CVECAG)</w:t>
      </w:r>
    </w:p>
    <w:p w14:paraId="383517DA" w14:textId="5F2BC487" w:rsidR="00BB23DA" w:rsidRDefault="7FFA3699" w:rsidP="00BB23DA">
      <w:pPr>
        <w:pStyle w:val="ListBullet"/>
        <w:ind w:left="340" w:hanging="340"/>
      </w:pPr>
      <w:r>
        <w:t>General Surgery ECAG (</w:t>
      </w:r>
      <w:r w:rsidR="000B10B0">
        <w:t>including</w:t>
      </w:r>
      <w:r>
        <w:t xml:space="preserve"> ear, nose and throat, plastic and reconstructive surgery, urogenital and all other general surgery devices</w:t>
      </w:r>
      <w:r w:rsidR="007A1602">
        <w:t>) (GSECAG)</w:t>
      </w:r>
    </w:p>
    <w:p w14:paraId="79439B20" w14:textId="2487337B" w:rsidR="00BB23DA" w:rsidRDefault="00BB23DA" w:rsidP="005E72D5">
      <w:r>
        <w:t xml:space="preserve">The membership and Terms of Reference for the ECAGs can be found on the </w:t>
      </w:r>
      <w:r w:rsidR="5E1AE19C">
        <w:t>d</w:t>
      </w:r>
      <w:r>
        <w:t>epartment’s website</w:t>
      </w:r>
      <w:r w:rsidR="00E03402">
        <w:t>.</w:t>
      </w:r>
    </w:p>
    <w:p w14:paraId="63315DB9" w14:textId="23354A66" w:rsidR="005E72D5" w:rsidRDefault="005E72D5" w:rsidP="005E72D5">
      <w:r>
        <w:lastRenderedPageBreak/>
        <w:t xml:space="preserve">The primary role of the ECAGs is to assess the clinical functions and comparative clinical effectiveness of medical devices </w:t>
      </w:r>
      <w:r w:rsidR="009276BC">
        <w:t xml:space="preserve">(and in some cases human tissue products) </w:t>
      </w:r>
      <w:r>
        <w:t>being considered for listing or listed on the PL in the applications submitted through Tier 2 and Tier</w:t>
      </w:r>
      <w:r w:rsidR="004E163E">
        <w:t> </w:t>
      </w:r>
      <w:r>
        <w:t xml:space="preserve">3 </w:t>
      </w:r>
      <w:r w:rsidR="00A85758">
        <w:t>P</w:t>
      </w:r>
      <w:r>
        <w:t>athways.</w:t>
      </w:r>
    </w:p>
    <w:p w14:paraId="1E429209" w14:textId="29439DD6" w:rsidR="005E72D5" w:rsidRDefault="005E72D5" w:rsidP="005E72D5">
      <w:r>
        <w:t>The ECAG</w:t>
      </w:r>
      <w:r w:rsidR="00A97C07">
        <w:t>s</w:t>
      </w:r>
      <w:r>
        <w:t xml:space="preserve"> </w:t>
      </w:r>
      <w:r w:rsidR="00BB23DA">
        <w:t>also consider</w:t>
      </w:r>
      <w:r>
        <w:t xml:space="preserve"> the comparator</w:t>
      </w:r>
      <w:r w:rsidR="00A97C07">
        <w:t>s</w:t>
      </w:r>
      <w:r>
        <w:t xml:space="preserve"> (either listed on the PL or alternative treatment), </w:t>
      </w:r>
      <w:r w:rsidR="00A97C07">
        <w:t xml:space="preserve">and </w:t>
      </w:r>
      <w:r w:rsidR="00BB23DA">
        <w:t xml:space="preserve">appropriateness of the </w:t>
      </w:r>
      <w:r w:rsidR="007822C9">
        <w:t xml:space="preserve">proposed </w:t>
      </w:r>
      <w:r>
        <w:t>grouping</w:t>
      </w:r>
      <w:r w:rsidR="00A97C07">
        <w:t>s, and advise on the correct grouping (where required)</w:t>
      </w:r>
      <w:r w:rsidR="00BB23DA">
        <w:t xml:space="preserve"> and other matters as applicable</w:t>
      </w:r>
      <w:r>
        <w:t>.</w:t>
      </w:r>
    </w:p>
    <w:p w14:paraId="5C7EDF05" w14:textId="33A82E8D" w:rsidR="005E72D5" w:rsidRDefault="005E72D5" w:rsidP="005E72D5">
      <w:r>
        <w:t xml:space="preserve">The ECAGs’ deliberations and recommendations </w:t>
      </w:r>
      <w:r w:rsidR="00BB23DA">
        <w:t xml:space="preserve">including statements of reasons </w:t>
      </w:r>
      <w:r>
        <w:t xml:space="preserve">are recorded in the </w:t>
      </w:r>
      <w:r w:rsidR="00A97C07">
        <w:t xml:space="preserve">ECAGs meetings Minutes </w:t>
      </w:r>
      <w:r>
        <w:t xml:space="preserve">that inform the advice to the MDHTAC. </w:t>
      </w:r>
      <w:r w:rsidR="006C79E3">
        <w:t xml:space="preserve">These </w:t>
      </w:r>
      <w:r w:rsidR="00A97C07">
        <w:t xml:space="preserve">Minutes </w:t>
      </w:r>
      <w:r w:rsidR="006C79E3">
        <w:t xml:space="preserve">are not published as </w:t>
      </w:r>
      <w:r w:rsidR="00CA3398">
        <w:t>the</w:t>
      </w:r>
      <w:r w:rsidR="006C79E3">
        <w:t xml:space="preserve"> information considered by the ECAGs is commercial-in-confidence.</w:t>
      </w:r>
    </w:p>
    <w:p w14:paraId="72FE05E3" w14:textId="045BAAE3" w:rsidR="005E72D5" w:rsidRDefault="00BB23DA" w:rsidP="005E72D5">
      <w:r>
        <w:t xml:space="preserve">ECAG members </w:t>
      </w:r>
      <w:r w:rsidR="005E72D5">
        <w:t xml:space="preserve">are required to advise the </w:t>
      </w:r>
      <w:r w:rsidR="19203BB4">
        <w:t>d</w:t>
      </w:r>
      <w:r w:rsidR="005E72D5">
        <w:t>epartment of any potential conflicts of interest that may arise</w:t>
      </w:r>
      <w:r>
        <w:t xml:space="preserve"> and if</w:t>
      </w:r>
      <w:r w:rsidR="005E72D5">
        <w:t xml:space="preserve"> conflict</w:t>
      </w:r>
      <w:r>
        <w:t>s</w:t>
      </w:r>
      <w:r w:rsidR="005E72D5">
        <w:t xml:space="preserve"> of interest</w:t>
      </w:r>
      <w:r>
        <w:t xml:space="preserve"> are declared, the respective members</w:t>
      </w:r>
      <w:r w:rsidR="005E72D5">
        <w:t xml:space="preserve"> are excluded from assessment</w:t>
      </w:r>
      <w:r w:rsidR="004A4B19">
        <w:t xml:space="preserve"> and discussion </w:t>
      </w:r>
      <w:r w:rsidR="005E72D5">
        <w:t>of the respective applications.</w:t>
      </w:r>
    </w:p>
    <w:p w14:paraId="2D81A4AE" w14:textId="42B8D7C6" w:rsidR="00DF5AEC" w:rsidRDefault="00DF5AEC" w:rsidP="00DF5AEC">
      <w:pPr>
        <w:pStyle w:val="Heading4"/>
      </w:pPr>
      <w:r>
        <w:t xml:space="preserve">Role of the </w:t>
      </w:r>
      <w:r w:rsidR="008D1DB7">
        <w:t>d</w:t>
      </w:r>
      <w:r>
        <w:t>epartment</w:t>
      </w:r>
    </w:p>
    <w:p w14:paraId="619769D2" w14:textId="001D6F00" w:rsidR="00DF5AEC" w:rsidRDefault="00DF5AEC" w:rsidP="00DF5AEC">
      <w:r>
        <w:t xml:space="preserve">The arrangements for the PL are administered by the </w:t>
      </w:r>
      <w:r w:rsidR="5FE0B900">
        <w:t>d</w:t>
      </w:r>
      <w:r>
        <w:t xml:space="preserve">epartment. The relevant functions of the </w:t>
      </w:r>
      <w:r w:rsidR="421D6DF8">
        <w:t>d</w:t>
      </w:r>
      <w:r>
        <w:t>epartment include:</w:t>
      </w:r>
    </w:p>
    <w:p w14:paraId="08C3897D" w14:textId="1FA63F54" w:rsidR="00DF5AEC" w:rsidRDefault="65B07FA8" w:rsidP="00DF5AEC">
      <w:pPr>
        <w:pStyle w:val="ListBullet"/>
        <w:ind w:left="340" w:hanging="340"/>
      </w:pPr>
      <w:r>
        <w:t>undertaking departmental assessments and providing advice to sponsors (</w:t>
      </w:r>
      <w:r w:rsidR="2DB5C90B">
        <w:t>a</w:t>
      </w:r>
      <w:r w:rsidR="5FCF3A1B">
        <w:t xml:space="preserve">ll </w:t>
      </w:r>
      <w:r>
        <w:t>Tier</w:t>
      </w:r>
      <w:r w:rsidR="5FCF3A1B">
        <w:t>s</w:t>
      </w:r>
      <w:r>
        <w:t>)</w:t>
      </w:r>
    </w:p>
    <w:p w14:paraId="507E3EF9" w14:textId="446C98D1" w:rsidR="00DF5AEC" w:rsidRDefault="5FCF3A1B" w:rsidP="00DF5AEC">
      <w:pPr>
        <w:pStyle w:val="ListBullet"/>
        <w:ind w:left="340" w:hanging="340"/>
      </w:pPr>
      <w:r>
        <w:t xml:space="preserve">working </w:t>
      </w:r>
      <w:r w:rsidR="65B07FA8">
        <w:t>with ECAGs on the clinical assessments for Tier 2 and Tier 3</w:t>
      </w:r>
    </w:p>
    <w:p w14:paraId="1642CA00" w14:textId="2EB635BC" w:rsidR="00DF5AEC" w:rsidRDefault="65B07FA8" w:rsidP="00DF5AEC">
      <w:pPr>
        <w:pStyle w:val="ListBullet"/>
        <w:ind w:left="340" w:hanging="340"/>
      </w:pPr>
      <w:r>
        <w:t xml:space="preserve">commissioning </w:t>
      </w:r>
      <w:r w:rsidR="32A2268D">
        <w:t>HTA</w:t>
      </w:r>
      <w:r>
        <w:t xml:space="preserve"> for Tier 2 when required</w:t>
      </w:r>
      <w:r w:rsidR="0083597E">
        <w:t xml:space="preserve"> and working with MSAC on </w:t>
      </w:r>
      <w:r w:rsidR="00F05202">
        <w:t>Tier 3 applications</w:t>
      </w:r>
    </w:p>
    <w:p w14:paraId="1B4C18ED" w14:textId="03938FC5" w:rsidR="00DF5AEC" w:rsidRDefault="5FCF3A1B" w:rsidP="00DF5AEC">
      <w:pPr>
        <w:pStyle w:val="ListBullet"/>
        <w:ind w:left="340" w:hanging="340"/>
      </w:pPr>
      <w:r>
        <w:t xml:space="preserve">working with and </w:t>
      </w:r>
      <w:r w:rsidR="65B07FA8">
        <w:t xml:space="preserve">providing support to the MDHTAC </w:t>
      </w:r>
      <w:r w:rsidR="00F05202">
        <w:t>in making</w:t>
      </w:r>
      <w:r w:rsidR="00F05202" w:rsidRPr="00F05202">
        <w:t xml:space="preserve"> recommendations</w:t>
      </w:r>
    </w:p>
    <w:p w14:paraId="73D4A53A" w14:textId="26C19CCA" w:rsidR="0083597E" w:rsidRDefault="0083597E" w:rsidP="00F05202">
      <w:pPr>
        <w:pStyle w:val="ListBullet"/>
        <w:ind w:left="340" w:hanging="340"/>
      </w:pPr>
      <w:r>
        <w:t xml:space="preserve">providing recommendations and making decisions on </w:t>
      </w:r>
      <w:r w:rsidRPr="00FC167A">
        <w:t xml:space="preserve">listing </w:t>
      </w:r>
      <w:r w:rsidR="00F05202">
        <w:t xml:space="preserve">the products, or amending the existing billing codes, and setting up </w:t>
      </w:r>
      <w:r>
        <w:t>benefit</w:t>
      </w:r>
      <w:r w:rsidR="00F05202">
        <w:t>s as required</w:t>
      </w:r>
    </w:p>
    <w:p w14:paraId="5164F50B" w14:textId="77777777" w:rsidR="00DF5AEC" w:rsidRDefault="65B07FA8" w:rsidP="00DF5AEC">
      <w:pPr>
        <w:pStyle w:val="ListBullet"/>
        <w:ind w:left="340" w:hanging="340"/>
      </w:pPr>
      <w:r>
        <w:t>making the legislative instruments (the Rules) and maintaining the PL</w:t>
      </w:r>
    </w:p>
    <w:p w14:paraId="291982A3" w14:textId="0D145BE9" w:rsidR="00DF5AEC" w:rsidRDefault="65B07FA8" w:rsidP="00DF5AEC">
      <w:pPr>
        <w:pStyle w:val="ListBullet"/>
        <w:ind w:left="340" w:hanging="340"/>
      </w:pPr>
      <w:r>
        <w:t>maintaining the HPP (enabling access for sponsors, external assessors and departmental staff)</w:t>
      </w:r>
    </w:p>
    <w:p w14:paraId="6116AB05" w14:textId="2F4E8702" w:rsidR="00690DB6" w:rsidRDefault="5FCF3A1B" w:rsidP="00DF5AEC">
      <w:pPr>
        <w:pStyle w:val="ListBullet"/>
        <w:ind w:left="340" w:hanging="340"/>
      </w:pPr>
      <w:r>
        <w:t>administering PL cost-recovery arrangements</w:t>
      </w:r>
    </w:p>
    <w:p w14:paraId="52B5604F" w14:textId="75AAC47D" w:rsidR="00DF5AEC" w:rsidRDefault="65B07FA8" w:rsidP="00DF5AEC">
      <w:pPr>
        <w:pStyle w:val="ListBullet"/>
        <w:ind w:left="340" w:hanging="340"/>
      </w:pPr>
      <w:r>
        <w:t>developing and implementing policy on private health insurance funding of medical devices</w:t>
      </w:r>
      <w:r w:rsidR="5FCF3A1B">
        <w:t xml:space="preserve"> and products</w:t>
      </w:r>
    </w:p>
    <w:p w14:paraId="133CA047" w14:textId="77777777" w:rsidR="00DF5AEC" w:rsidRDefault="65B07FA8" w:rsidP="00DF5AEC">
      <w:pPr>
        <w:pStyle w:val="ListBullet"/>
        <w:ind w:left="340" w:hanging="340"/>
      </w:pPr>
      <w:r>
        <w:t>updating guidance material and relevant legislation as required</w:t>
      </w:r>
    </w:p>
    <w:p w14:paraId="25D0C844" w14:textId="77777777" w:rsidR="00DF5AEC" w:rsidRDefault="65B07FA8" w:rsidP="00DF5AEC">
      <w:pPr>
        <w:pStyle w:val="ListBullet"/>
        <w:ind w:left="340" w:hanging="340"/>
      </w:pPr>
      <w:r>
        <w:t>providing advice to and facilitating discussions with sponsors and other stakeholders about the PL arrangements</w:t>
      </w:r>
    </w:p>
    <w:p w14:paraId="559FA8E0" w14:textId="20086E31" w:rsidR="00DF5AEC" w:rsidRDefault="65B07FA8" w:rsidP="00DF5AEC">
      <w:pPr>
        <w:pStyle w:val="ListBullet"/>
        <w:ind w:left="340" w:hanging="340"/>
      </w:pPr>
      <w:r>
        <w:t>commissioning, coordinating and/or undertaking post-listing reviews when required</w:t>
      </w:r>
    </w:p>
    <w:p w14:paraId="691E80D9" w14:textId="77777777" w:rsidR="00DF5AEC" w:rsidRDefault="65B07FA8" w:rsidP="00DF5AEC">
      <w:pPr>
        <w:pStyle w:val="ListBullet"/>
        <w:ind w:left="340" w:hanging="340"/>
      </w:pPr>
      <w:r>
        <w:t>maintaining and providing advice on the compliance, assurance and enforcement principles and provisions to support the effective administration of the PL compliance capability.</w:t>
      </w:r>
    </w:p>
    <w:p w14:paraId="5241FF1D" w14:textId="11B63C7B" w:rsidR="00DF5AEC" w:rsidRDefault="008D3DCA" w:rsidP="00DF5AEC">
      <w:r>
        <w:t xml:space="preserve">If sponsors have any questions (after they considered the Guide) regarding </w:t>
      </w:r>
      <w:r w:rsidRPr="008D3DCA">
        <w:t>the application process</w:t>
      </w:r>
      <w:r>
        <w:t>, they may contact the</w:t>
      </w:r>
      <w:r w:rsidR="00DF5AEC">
        <w:t xml:space="preserve"> </w:t>
      </w:r>
      <w:r w:rsidR="4B7C263F">
        <w:t>d</w:t>
      </w:r>
      <w:r w:rsidR="00DF5AEC">
        <w:t xml:space="preserve">epartment at </w:t>
      </w:r>
      <w:hyperlink r:id="rId37" w:history="1">
        <w:r w:rsidR="00DE6214" w:rsidRPr="008A39E4">
          <w:rPr>
            <w:rStyle w:val="Hyperlink"/>
          </w:rPr>
          <w:t>prostheses@health.gov.au</w:t>
        </w:r>
      </w:hyperlink>
      <w:r w:rsidR="00DF5AEC">
        <w:t>.</w:t>
      </w:r>
      <w:r w:rsidRPr="008D3DCA">
        <w:t xml:space="preserve"> </w:t>
      </w:r>
      <w:r w:rsidR="00240042">
        <w:t xml:space="preserve">When sponsors submitted their applications, they may contact the department via HPP. </w:t>
      </w:r>
      <w:r>
        <w:t xml:space="preserve">The </w:t>
      </w:r>
      <w:r w:rsidR="00295CFB">
        <w:t>d</w:t>
      </w:r>
      <w:r>
        <w:t xml:space="preserve">epartment is </w:t>
      </w:r>
      <w:r>
        <w:lastRenderedPageBreak/>
        <w:t xml:space="preserve">also </w:t>
      </w:r>
      <w:r w:rsidRPr="008D3DCA">
        <w:t xml:space="preserve">the primary contact for any queries </w:t>
      </w:r>
      <w:r>
        <w:t>regarding any other matters concerning Prescribed List.</w:t>
      </w:r>
    </w:p>
    <w:p w14:paraId="33E8929E" w14:textId="34CDD7B7" w:rsidR="005F77D8" w:rsidRPr="005F77D8" w:rsidRDefault="00DF5AEC" w:rsidP="005F77D8">
      <w:r>
        <w:t xml:space="preserve">All </w:t>
      </w:r>
      <w:r w:rsidR="0061780E" w:rsidRPr="00FC167A">
        <w:t>sponsor-specific information</w:t>
      </w:r>
      <w:r w:rsidR="00444926">
        <w:t xml:space="preserve"> lodged via the HPP </w:t>
      </w:r>
      <w:r w:rsidR="008D3DCA">
        <w:t>or provided during any meetings or discussions is</w:t>
      </w:r>
      <w:r w:rsidR="0061780E" w:rsidRPr="00FC167A">
        <w:t xml:space="preserve"> treated as Commercial-in-Confidence and </w:t>
      </w:r>
      <w:r w:rsidR="000C5646">
        <w:t>managed</w:t>
      </w:r>
      <w:r w:rsidR="0061780E" w:rsidRPr="00FC167A">
        <w:t xml:space="preserve"> </w:t>
      </w:r>
      <w:r w:rsidR="008D3DCA">
        <w:t>accordingly</w:t>
      </w:r>
      <w:r w:rsidR="007D6F3D">
        <w:t>.</w:t>
      </w:r>
      <w:r w:rsidR="00DB7224">
        <w:t xml:space="preserve"> </w:t>
      </w:r>
      <w:r>
        <w:t>Sponsors or stakeholders should not directly contact ECAG or MDHTAC members</w:t>
      </w:r>
      <w:r w:rsidR="00E42EB4">
        <w:t>.</w:t>
      </w:r>
      <w:r w:rsidR="006635D4">
        <w:t xml:space="preserve"> </w:t>
      </w:r>
      <w:r>
        <w:t xml:space="preserve">Members of the committees will not engage with stakeholders who are seeking information on </w:t>
      </w:r>
      <w:r w:rsidR="008D3DCA">
        <w:t xml:space="preserve">the rationale for the </w:t>
      </w:r>
      <w:r>
        <w:t>committee recommendations.</w:t>
      </w:r>
      <w:r w:rsidR="00962626">
        <w:t xml:space="preserve"> </w:t>
      </w:r>
    </w:p>
    <w:p w14:paraId="2C1CB456" w14:textId="77777777" w:rsidR="007F2E06" w:rsidRDefault="007F2E06" w:rsidP="007F2E06">
      <w:pPr>
        <w:pStyle w:val="Heading4"/>
      </w:pPr>
      <w:bookmarkStart w:id="55" w:name="_Role_of_health"/>
      <w:bookmarkEnd w:id="55"/>
      <w:r>
        <w:t>Role of health technology assessment groups (HTA groups)</w:t>
      </w:r>
    </w:p>
    <w:p w14:paraId="643F04D5" w14:textId="738E8FBB" w:rsidR="007F2E06" w:rsidRDefault="55B8375B" w:rsidP="007F2E06">
      <w:r>
        <w:t xml:space="preserve">A </w:t>
      </w:r>
      <w:r w:rsidR="007F2E06">
        <w:t>HTA group</w:t>
      </w:r>
      <w:r w:rsidR="1A0E3CCD">
        <w:t xml:space="preserve"> may be engaged </w:t>
      </w:r>
      <w:r w:rsidR="007F2E06">
        <w:t xml:space="preserve">when clinical effectiveness and/or cost-effectiveness assessment of the </w:t>
      </w:r>
      <w:r w:rsidR="000B2FCE">
        <w:t>products</w:t>
      </w:r>
      <w:r w:rsidR="007F2E06">
        <w:t xml:space="preserve"> is required.</w:t>
      </w:r>
    </w:p>
    <w:p w14:paraId="60A9450E" w14:textId="77A8C310" w:rsidR="007F2E06" w:rsidRDefault="007F2E06" w:rsidP="007F2E06">
      <w:r>
        <w:t xml:space="preserve">This may occur when sponsors apply for new groupings and benefits for their products claiming improved/different characteristics compared with the existing </w:t>
      </w:r>
      <w:r w:rsidR="35E88A0E">
        <w:t xml:space="preserve">products </w:t>
      </w:r>
      <w:r>
        <w:t>listed on the PL. The assessment reports will be provided to the MDHTAC together with other assessments for the product</w:t>
      </w:r>
      <w:r w:rsidR="736D228F">
        <w:t>s</w:t>
      </w:r>
      <w:r>
        <w:t>.</w:t>
      </w:r>
    </w:p>
    <w:p w14:paraId="2A9E09B0" w14:textId="0A0D7869" w:rsidR="00357E9D" w:rsidRDefault="00357E9D" w:rsidP="00357E9D">
      <w:pPr>
        <w:pStyle w:val="Heading4"/>
      </w:pPr>
      <w:r>
        <w:t>Role of the Medical Services Advisory Committee</w:t>
      </w:r>
      <w:r w:rsidR="00596BF7">
        <w:t xml:space="preserve"> (MSAC)</w:t>
      </w:r>
    </w:p>
    <w:p w14:paraId="031B501A" w14:textId="7D6DE873" w:rsidR="00357E9D" w:rsidRDefault="00000000" w:rsidP="00357E9D">
      <w:hyperlink r:id="rId38" w:history="1">
        <w:r w:rsidR="00357E9D" w:rsidRPr="00ED59B5">
          <w:rPr>
            <w:rStyle w:val="Hyperlink"/>
          </w:rPr>
          <w:t>MSAC</w:t>
        </w:r>
      </w:hyperlink>
      <w:r w:rsidR="00357E9D">
        <w:t xml:space="preserve"> provides advice to government on whether a medical service or health technology or program should be publicly funded under the MBS or other programs.</w:t>
      </w:r>
      <w:r w:rsidR="007822C9">
        <w:t xml:space="preserve"> Where a full HTA is required (for applications</w:t>
      </w:r>
      <w:r w:rsidR="00E73E8D">
        <w:t xml:space="preserve"> assessed under the </w:t>
      </w:r>
      <w:r w:rsidR="007822C9">
        <w:t xml:space="preserve">Tier 3 </w:t>
      </w:r>
      <w:r w:rsidR="005F7694">
        <w:t>P</w:t>
      </w:r>
      <w:r w:rsidR="00E73E8D">
        <w:t xml:space="preserve">athway), an application must also be made to MSAC. MSAC oversees the HTA process and provides advice to the MDHTAC and </w:t>
      </w:r>
      <w:r w:rsidR="00295CFB">
        <w:t>d</w:t>
      </w:r>
      <w:r w:rsidR="00CA3398">
        <w:t>epartment</w:t>
      </w:r>
      <w:r w:rsidR="0029031E">
        <w:t xml:space="preserve"> </w:t>
      </w:r>
      <w:r w:rsidR="00E73E8D">
        <w:t xml:space="preserve">that informs assessment of the PL application. </w:t>
      </w:r>
    </w:p>
    <w:p w14:paraId="24B25D90" w14:textId="321AB78C" w:rsidR="009A0C73" w:rsidRDefault="009A0C73" w:rsidP="009A0C73">
      <w:pPr>
        <w:pStyle w:val="Heading4"/>
      </w:pPr>
      <w:r>
        <w:t>Recommendations by the Medical Devices and Human Tissue Advisory Committee</w:t>
      </w:r>
    </w:p>
    <w:p w14:paraId="4E6AD0DF" w14:textId="1206ED6F" w:rsidR="00CA66D1" w:rsidRDefault="00CA66D1" w:rsidP="009A0C73">
      <w:pPr>
        <w:pStyle w:val="BodyText"/>
      </w:pPr>
      <w:r>
        <w:t>The MDHTAC considers the applications and make recommendations.</w:t>
      </w:r>
    </w:p>
    <w:p w14:paraId="099EBF5C" w14:textId="77777777" w:rsidR="00D72924" w:rsidRDefault="009D470C" w:rsidP="009A0C73">
      <w:pPr>
        <w:pStyle w:val="BodyText"/>
      </w:pPr>
      <w:r>
        <w:t>Recommendations</w:t>
      </w:r>
      <w:r w:rsidR="009606CB">
        <w:t xml:space="preserve"> for </w:t>
      </w:r>
      <w:r w:rsidR="009A0C73">
        <w:t xml:space="preserve">the </w:t>
      </w:r>
      <w:r w:rsidR="009606CB">
        <w:t xml:space="preserve">new </w:t>
      </w:r>
      <w:r w:rsidR="009A0C73">
        <w:t xml:space="preserve">application may </w:t>
      </w:r>
      <w:r w:rsidR="009606CB">
        <w:t xml:space="preserve">include </w:t>
      </w:r>
      <w:r w:rsidR="009A0C73">
        <w:t xml:space="preserve">that the </w:t>
      </w:r>
      <w:r w:rsidR="009606CB">
        <w:t xml:space="preserve">device </w:t>
      </w:r>
      <w:r w:rsidR="009A0C73">
        <w:t>is suitable</w:t>
      </w:r>
      <w:r w:rsidR="009606CB">
        <w:t xml:space="preserve"> for listing on PL</w:t>
      </w:r>
      <w:r w:rsidR="009A0C73">
        <w:t xml:space="preserve">, suitable </w:t>
      </w:r>
      <w:r w:rsidR="009606CB">
        <w:t xml:space="preserve">but not in the sponsor proposed grouping and/or </w:t>
      </w:r>
      <w:r w:rsidR="009A0C73">
        <w:t>subject to some changes in the application, or not suitable</w:t>
      </w:r>
      <w:r w:rsidR="009606CB">
        <w:t xml:space="preserve"> for listing</w:t>
      </w:r>
      <w:r w:rsidR="009A0C73">
        <w:t xml:space="preserve">. </w:t>
      </w:r>
    </w:p>
    <w:p w14:paraId="39F4E44E" w14:textId="283594EF" w:rsidR="00FB1DC0" w:rsidRDefault="00D72924" w:rsidP="009A0C73">
      <w:pPr>
        <w:pStyle w:val="BodyText"/>
      </w:pPr>
      <w:r>
        <w:t xml:space="preserve">MDHTAC usually does not consider applications for </w:t>
      </w:r>
      <w:r w:rsidR="00FB1DC0">
        <w:t>human tissue items</w:t>
      </w:r>
      <w:r>
        <w:t xml:space="preserve"> [although recommendations by the </w:t>
      </w:r>
      <w:r w:rsidR="00295CFB">
        <w:t>d</w:t>
      </w:r>
      <w:r>
        <w:t xml:space="preserve">epartment are either </w:t>
      </w:r>
      <w:r w:rsidR="00FB1DC0">
        <w:t>suitable or not suitable for listing on the PL</w:t>
      </w:r>
      <w:r>
        <w:t>]</w:t>
      </w:r>
      <w:r w:rsidR="00FB1DC0">
        <w:t>.</w:t>
      </w:r>
    </w:p>
    <w:p w14:paraId="5B987241" w14:textId="6790EA12" w:rsidR="009606CB" w:rsidRDefault="009606CB" w:rsidP="009A0C73">
      <w:pPr>
        <w:pStyle w:val="BodyText"/>
      </w:pPr>
      <w:r>
        <w:t>For the amendment, compression and expansion applications, the recommendations may be that the application is accepted, accepted subject to some changes to the billing code and/or application</w:t>
      </w:r>
      <w:r w:rsidR="0068024E">
        <w:t>, or application is</w:t>
      </w:r>
      <w:r>
        <w:t xml:space="preserve"> </w:t>
      </w:r>
      <w:r w:rsidR="0068024E">
        <w:t>not accepted</w:t>
      </w:r>
      <w:r>
        <w:t>.</w:t>
      </w:r>
    </w:p>
    <w:p w14:paraId="74C69350" w14:textId="1F944296" w:rsidR="009A0C73" w:rsidRDefault="009A0C73" w:rsidP="009A0C73">
      <w:pPr>
        <w:pStyle w:val="BodyText"/>
      </w:pPr>
      <w:r>
        <w:t xml:space="preserve">If the </w:t>
      </w:r>
      <w:r w:rsidR="0068024E">
        <w:t xml:space="preserve">medical device or human tissue </w:t>
      </w:r>
      <w:r w:rsidR="00327C7D">
        <w:t xml:space="preserve">product </w:t>
      </w:r>
      <w:r>
        <w:t xml:space="preserve">is not yet included in the ARTG, a provisional recommendation </w:t>
      </w:r>
      <w:r w:rsidR="00D72924">
        <w:t xml:space="preserve">may be made that it is suitable for listing, </w:t>
      </w:r>
      <w:r w:rsidR="00327C7D">
        <w:t xml:space="preserve">subject to inclusion of the </w:t>
      </w:r>
      <w:r w:rsidR="0068024E">
        <w:t xml:space="preserve">device or human tissue </w:t>
      </w:r>
      <w:r w:rsidR="00327C7D">
        <w:t>product</w:t>
      </w:r>
      <w:r>
        <w:t xml:space="preserve"> in the ARTG.</w:t>
      </w:r>
      <w:r w:rsidR="00327C7D">
        <w:t xml:space="preserve"> For further information </w:t>
      </w:r>
      <w:r w:rsidR="00ED59B5">
        <w:t>see</w:t>
      </w:r>
      <w:r w:rsidR="0064278D">
        <w:t>,</w:t>
      </w:r>
      <w:r w:rsidR="00327C7D">
        <w:t xml:space="preserve"> </w:t>
      </w:r>
      <w:hyperlink w:anchor="_Parallel_process" w:history="1">
        <w:r w:rsidR="00FB1DC0" w:rsidRPr="00ED59B5">
          <w:rPr>
            <w:rStyle w:val="Hyperlink"/>
          </w:rPr>
          <w:t xml:space="preserve">Parallel </w:t>
        </w:r>
        <w:r w:rsidR="00356B04" w:rsidRPr="00ED59B5">
          <w:rPr>
            <w:rStyle w:val="Hyperlink"/>
          </w:rPr>
          <w:t>P</w:t>
        </w:r>
        <w:r w:rsidR="00FB1DC0" w:rsidRPr="00ED59B5">
          <w:rPr>
            <w:rStyle w:val="Hyperlink"/>
          </w:rPr>
          <w:t>rocess</w:t>
        </w:r>
      </w:hyperlink>
      <w:r w:rsidR="00327C7D">
        <w:t>.</w:t>
      </w:r>
    </w:p>
    <w:p w14:paraId="5BE514A6" w14:textId="16FA2288" w:rsidR="00FB1DC0" w:rsidRPr="00002E16" w:rsidRDefault="00FB1DC0" w:rsidP="009A0C73">
      <w:pPr>
        <w:pStyle w:val="BodyText"/>
      </w:pPr>
      <w:r>
        <w:t xml:space="preserve">MDHTAC may also recommend </w:t>
      </w:r>
      <w:r w:rsidR="00CA66D1">
        <w:t>placing</w:t>
      </w:r>
      <w:r>
        <w:t xml:space="preserve"> a condition on the billing code restricting </w:t>
      </w:r>
      <w:r w:rsidR="00B94C43">
        <w:t xml:space="preserve">the circumstances when </w:t>
      </w:r>
      <w:r>
        <w:t>the insurers</w:t>
      </w:r>
      <w:r w:rsidR="00B94C43">
        <w:t xml:space="preserve"> have an</w:t>
      </w:r>
      <w:r>
        <w:t xml:space="preserve"> obligation to pay the benefit </w:t>
      </w:r>
      <w:r w:rsidR="00B94C43">
        <w:t xml:space="preserve">for the billing code </w:t>
      </w:r>
      <w:r w:rsidR="00B750C9">
        <w:t>(</w:t>
      </w:r>
      <w:r w:rsidR="005800B1">
        <w:t>e.g.,</w:t>
      </w:r>
      <w:r w:rsidR="00B750C9">
        <w:t xml:space="preserve"> </w:t>
      </w:r>
      <w:r w:rsidR="002C1D78">
        <w:t xml:space="preserve">limiting payment to the use of </w:t>
      </w:r>
      <w:r w:rsidR="00B750C9">
        <w:t>the</w:t>
      </w:r>
      <w:r w:rsidR="002C1D78">
        <w:t xml:space="preserve"> medical device in the procedures described by</w:t>
      </w:r>
      <w:r w:rsidR="00B750C9">
        <w:t xml:space="preserve"> specified MBS items).</w:t>
      </w:r>
    </w:p>
    <w:p w14:paraId="510BAA14" w14:textId="298EF590" w:rsidR="009A0C73" w:rsidRDefault="009A0C73" w:rsidP="009A0C73">
      <w:pPr>
        <w:pStyle w:val="Heading4"/>
      </w:pPr>
      <w:bookmarkStart w:id="56" w:name="_Ministerial_decisions_on"/>
      <w:bookmarkEnd w:id="56"/>
      <w:r>
        <w:lastRenderedPageBreak/>
        <w:t>Ministerial decisions on applications</w:t>
      </w:r>
    </w:p>
    <w:p w14:paraId="4788AD3D" w14:textId="647EEB24" w:rsidR="009A0C73" w:rsidRDefault="009A0C73" w:rsidP="009A0C73">
      <w:r>
        <w:t>MDHTAC recommendation</w:t>
      </w:r>
      <w:r w:rsidR="00B750C9">
        <w:t>s</w:t>
      </w:r>
      <w:r>
        <w:t xml:space="preserve"> will be </w:t>
      </w:r>
      <w:r w:rsidR="00B750C9">
        <w:t xml:space="preserve">provided </w:t>
      </w:r>
      <w:r>
        <w:t>to the Minister who may decide whether to grant or not to grant the application</w:t>
      </w:r>
      <w:r w:rsidR="00B750C9">
        <w:t xml:space="preserve"> or amend the billing code</w:t>
      </w:r>
      <w:r>
        <w:t>.</w:t>
      </w:r>
    </w:p>
    <w:p w14:paraId="04CDBC4F" w14:textId="199F046F" w:rsidR="00B750C9" w:rsidRDefault="00B750C9" w:rsidP="00B750C9">
      <w:r>
        <w:t xml:space="preserve">Where the Minister decides to grant or accept an application, the Minister </w:t>
      </w:r>
      <w:r w:rsidR="00CA66D1">
        <w:t>will</w:t>
      </w:r>
      <w:r>
        <w:t xml:space="preserve"> make the Rules as soon as practicable to add the product in the Rules or amend the details of the billing code.</w:t>
      </w:r>
    </w:p>
    <w:p w14:paraId="53ED7E17" w14:textId="77777777" w:rsidR="00D35576" w:rsidRPr="00B057B3" w:rsidRDefault="00D35576" w:rsidP="00D35576">
      <w:pPr>
        <w:pStyle w:val="Heading2"/>
        <w:rPr>
          <w:szCs w:val="36"/>
        </w:rPr>
      </w:pPr>
      <w:bookmarkStart w:id="57" w:name="_Toc149228498"/>
      <w:r w:rsidRPr="00B057B3">
        <w:rPr>
          <w:szCs w:val="36"/>
        </w:rPr>
        <w:t>Post-listing reviews</w:t>
      </w:r>
      <w:bookmarkEnd w:id="57"/>
    </w:p>
    <w:p w14:paraId="590B174A" w14:textId="5381D72B" w:rsidR="00D35576" w:rsidRDefault="00D35576" w:rsidP="00D35576">
      <w:r>
        <w:t xml:space="preserve">Post-listing review of </w:t>
      </w:r>
      <w:r w:rsidR="00FE37DB">
        <w:t xml:space="preserve">listed medical devices or human tissue </w:t>
      </w:r>
      <w:r>
        <w:t>product</w:t>
      </w:r>
      <w:r w:rsidR="00FE37DB">
        <w:t>s</w:t>
      </w:r>
      <w:r>
        <w:t xml:space="preserve"> will be undertaken where specific concerns have been </w:t>
      </w:r>
      <w:r w:rsidR="0012101C">
        <w:t>identified</w:t>
      </w:r>
      <w:r w:rsidR="00C72194">
        <w:t xml:space="preserve">. </w:t>
      </w:r>
      <w:r>
        <w:t xml:space="preserve">These will occur in </w:t>
      </w:r>
      <w:r w:rsidRPr="00D21111">
        <w:t xml:space="preserve">accordance with the </w:t>
      </w:r>
      <w:hyperlink r:id="rId39" w:history="1">
        <w:r w:rsidRPr="00EA72F6">
          <w:rPr>
            <w:rStyle w:val="Hyperlink"/>
          </w:rPr>
          <w:t>Post-listing Review Framework</w:t>
        </w:r>
      </w:hyperlink>
      <w:r w:rsidRPr="00EA72F6">
        <w:t>.</w:t>
      </w:r>
    </w:p>
    <w:p w14:paraId="3F06E98A" w14:textId="44C3D3AC" w:rsidR="0034558E" w:rsidRDefault="00D35576" w:rsidP="00D35576">
      <w:r>
        <w:t xml:space="preserve">The </w:t>
      </w:r>
      <w:r w:rsidR="4C6F210B">
        <w:t>d</w:t>
      </w:r>
      <w:r>
        <w:t xml:space="preserve">epartment is responsible for commencing, conducting and implementing the findings of post-listing reviews. The sponsors also play a crucial role in providing </w:t>
      </w:r>
      <w:r w:rsidR="00FE37DB">
        <w:t xml:space="preserve">the required </w:t>
      </w:r>
      <w:r>
        <w:t>information and data to enable the</w:t>
      </w:r>
      <w:r w:rsidR="00FE37DB">
        <w:t xml:space="preserve"> review</w:t>
      </w:r>
      <w:r w:rsidR="00942C33">
        <w:t>.</w:t>
      </w:r>
      <w:r w:rsidR="0034558E">
        <w:t xml:space="preserve"> </w:t>
      </w:r>
    </w:p>
    <w:p w14:paraId="37FE644F" w14:textId="0CDDAB68" w:rsidR="00D35576" w:rsidRPr="00D35576" w:rsidRDefault="00A34F07" w:rsidP="006B08A9">
      <w:r>
        <w:t>Post-listing r</w:t>
      </w:r>
      <w:r w:rsidR="00D35576" w:rsidRPr="00D35576">
        <w:t xml:space="preserve">eviews may </w:t>
      </w:r>
      <w:r w:rsidR="00FE37DB">
        <w:t>be</w:t>
      </w:r>
      <w:r w:rsidR="00D35576" w:rsidRPr="00D35576">
        <w:t xml:space="preserve"> targeted (</w:t>
      </w:r>
      <w:r w:rsidR="00FE37DB">
        <w:t xml:space="preserve">for example, using </w:t>
      </w:r>
      <w:r w:rsidR="00D35576" w:rsidRPr="00D35576">
        <w:t>focussed HTA</w:t>
      </w:r>
      <w:r w:rsidR="00FE37DB">
        <w:t>)</w:t>
      </w:r>
      <w:r w:rsidR="009A39A4">
        <w:t xml:space="preserve"> addressing</w:t>
      </w:r>
      <w:r w:rsidR="00674504">
        <w:t xml:space="preserve"> </w:t>
      </w:r>
      <w:r w:rsidR="00D35576" w:rsidRPr="00D35576">
        <w:t xml:space="preserve">specific issues, </w:t>
      </w:r>
      <w:r w:rsidR="005C1FF4">
        <w:t>or analysing</w:t>
      </w:r>
      <w:r w:rsidR="00D35576" w:rsidRPr="00D35576">
        <w:t xml:space="preserve"> utilisation data, </w:t>
      </w:r>
      <w:r w:rsidR="00085C6B">
        <w:t>or</w:t>
      </w:r>
      <w:r w:rsidR="00D35576" w:rsidRPr="00D35576">
        <w:t xml:space="preserve"> complex post</w:t>
      </w:r>
      <w:r w:rsidR="005C1FF4">
        <w:t>-listing</w:t>
      </w:r>
      <w:r w:rsidR="005C1FF4" w:rsidRPr="00D35576">
        <w:t xml:space="preserve"> </w:t>
      </w:r>
      <w:r w:rsidR="00D35576" w:rsidRPr="00D35576">
        <w:t>reviews</w:t>
      </w:r>
      <w:r w:rsidR="00FE37DB">
        <w:t xml:space="preserve"> (including </w:t>
      </w:r>
      <w:r w:rsidR="00D35576" w:rsidRPr="00D35576">
        <w:t>incorporating full HTA</w:t>
      </w:r>
      <w:r w:rsidR="00FE37DB">
        <w:t>)</w:t>
      </w:r>
      <w:r w:rsidR="00D35576" w:rsidRPr="00D35576">
        <w:t>. Larger reviews may incorporate reports from independent</w:t>
      </w:r>
      <w:r w:rsidR="004A7E6A">
        <w:t xml:space="preserve"> </w:t>
      </w:r>
      <w:r w:rsidR="00D35576" w:rsidRPr="00D35576">
        <w:t xml:space="preserve">external consultants. Reviews may involve a single </w:t>
      </w:r>
      <w:r w:rsidR="005C1FF4">
        <w:t xml:space="preserve">billing code for the device or human tissue </w:t>
      </w:r>
      <w:r w:rsidR="00D35576" w:rsidRPr="00D35576">
        <w:t xml:space="preserve">product, </w:t>
      </w:r>
      <w:r w:rsidR="005C1FF4">
        <w:t xml:space="preserve">or </w:t>
      </w:r>
      <w:r w:rsidR="00D35576" w:rsidRPr="00D35576">
        <w:t xml:space="preserve">a </w:t>
      </w:r>
      <w:r w:rsidR="005C1FF4">
        <w:t>group</w:t>
      </w:r>
      <w:r w:rsidR="005C1FF4" w:rsidRPr="00D35576">
        <w:t xml:space="preserve"> </w:t>
      </w:r>
      <w:r w:rsidR="005C1FF4">
        <w:t>billing codes</w:t>
      </w:r>
      <w:r w:rsidR="00D35576" w:rsidRPr="00D35576">
        <w:t xml:space="preserve">, or multiple </w:t>
      </w:r>
      <w:r w:rsidR="005C1FF4">
        <w:t>groups or sub-groups</w:t>
      </w:r>
      <w:r w:rsidR="005C1FF4" w:rsidRPr="00D35576">
        <w:t xml:space="preserve"> </w:t>
      </w:r>
      <w:r w:rsidR="00D35576" w:rsidRPr="00D35576">
        <w:t xml:space="preserve">of </w:t>
      </w:r>
      <w:r w:rsidR="005C1FF4">
        <w:t>billing codes</w:t>
      </w:r>
      <w:r w:rsidR="00D35576" w:rsidRPr="00D35576">
        <w:t>.</w:t>
      </w:r>
    </w:p>
    <w:p w14:paraId="355AEA8A" w14:textId="6E4908D9" w:rsidR="00D35576" w:rsidRDefault="00D35576" w:rsidP="00D35576">
      <w:r w:rsidRPr="00D35576">
        <w:t>A range of actions arising from a review can include, but are not limited to</w:t>
      </w:r>
      <w:r w:rsidR="006B08A9">
        <w:t>,</w:t>
      </w:r>
      <w:r w:rsidRPr="00D35576">
        <w:t xml:space="preserve"> deleting the billing code from PL, correcting the listing details of the billing code, changing the benefit for the billing code, </w:t>
      </w:r>
      <w:r w:rsidR="000A3A5F">
        <w:t>and</w:t>
      </w:r>
      <w:r w:rsidR="005C1FF4">
        <w:t>/or</w:t>
      </w:r>
      <w:r w:rsidR="000A3A5F">
        <w:t xml:space="preserve"> </w:t>
      </w:r>
      <w:r w:rsidRPr="00D35576">
        <w:t>placing the condition on the billing code.</w:t>
      </w:r>
    </w:p>
    <w:p w14:paraId="3A38FC12" w14:textId="2B224E94" w:rsidR="000A1DBD" w:rsidRPr="00D35576" w:rsidRDefault="006D37F1" w:rsidP="00D35576">
      <w:r>
        <w:t xml:space="preserve">Once a review is commenced, affected </w:t>
      </w:r>
      <w:r w:rsidR="000A1DBD">
        <w:t>sponsor</w:t>
      </w:r>
      <w:r w:rsidR="00D65527">
        <w:t>s will be</w:t>
      </w:r>
      <w:r w:rsidR="000A1DBD">
        <w:t xml:space="preserve"> notified</w:t>
      </w:r>
      <w:r w:rsidR="00E30253">
        <w:t xml:space="preserve"> by the </w:t>
      </w:r>
      <w:r w:rsidR="0085244E">
        <w:t>d</w:t>
      </w:r>
      <w:r w:rsidR="00E30253">
        <w:t>epartment. During the review process, sponsors</w:t>
      </w:r>
      <w:r w:rsidR="000A1DBD" w:rsidRPr="0034558E">
        <w:t xml:space="preserve"> </w:t>
      </w:r>
      <w:r w:rsidR="00E30253">
        <w:t xml:space="preserve">will </w:t>
      </w:r>
      <w:r w:rsidR="000A1DBD" w:rsidRPr="0034558E">
        <w:t xml:space="preserve">be contacted </w:t>
      </w:r>
      <w:r w:rsidR="005C1FF4">
        <w:t xml:space="preserve">and requested </w:t>
      </w:r>
      <w:r w:rsidR="000A1DBD" w:rsidRPr="0034558E">
        <w:t xml:space="preserve">to provide information and evidence </w:t>
      </w:r>
      <w:r w:rsidR="005C1FF4">
        <w:t xml:space="preserve">as required </w:t>
      </w:r>
      <w:r w:rsidR="000A1DBD" w:rsidRPr="0034558E">
        <w:t xml:space="preserve">to </w:t>
      </w:r>
      <w:r w:rsidR="005C1FF4">
        <w:t>inform</w:t>
      </w:r>
      <w:r w:rsidR="002B7A0B">
        <w:t xml:space="preserve"> </w:t>
      </w:r>
      <w:r w:rsidR="005C1FF4">
        <w:t>the</w:t>
      </w:r>
      <w:r w:rsidR="000A1DBD" w:rsidRPr="0034558E">
        <w:t xml:space="preserve"> review. </w:t>
      </w:r>
      <w:r w:rsidR="00252602">
        <w:t xml:space="preserve">If </w:t>
      </w:r>
      <w:r w:rsidR="00B93F3D">
        <w:t>a consultant report is commissioned, s</w:t>
      </w:r>
      <w:r w:rsidR="000A1DBD" w:rsidRPr="0034558E">
        <w:t xml:space="preserve">ponsors will </w:t>
      </w:r>
      <w:r w:rsidR="00557BE9">
        <w:t>be asked to</w:t>
      </w:r>
      <w:r w:rsidR="000A1DBD" w:rsidRPr="0034558E">
        <w:t xml:space="preserve"> </w:t>
      </w:r>
      <w:r w:rsidR="00557BE9">
        <w:t xml:space="preserve">review and provide feedback on the </w:t>
      </w:r>
      <w:r w:rsidR="000A1DBD" w:rsidRPr="0034558E">
        <w:t>draft report.</w:t>
      </w:r>
      <w:r w:rsidR="00543ACC" w:rsidRPr="00543ACC">
        <w:t xml:space="preserve"> </w:t>
      </w:r>
      <w:r w:rsidR="00543ACC" w:rsidRPr="0034558E">
        <w:t xml:space="preserve">A post-listing review process </w:t>
      </w:r>
      <w:r w:rsidR="00FD7A2F">
        <w:t xml:space="preserve">may </w:t>
      </w:r>
      <w:r w:rsidR="00543ACC" w:rsidRPr="0034558E">
        <w:t xml:space="preserve">take </w:t>
      </w:r>
      <w:r w:rsidR="00AA2050">
        <w:t xml:space="preserve">3 to </w:t>
      </w:r>
      <w:r w:rsidR="00FD7A2F">
        <w:t>12</w:t>
      </w:r>
      <w:r w:rsidR="00543ACC" w:rsidRPr="0034558E">
        <w:t xml:space="preserve"> months</w:t>
      </w:r>
      <w:r w:rsidR="00757D02">
        <w:t>, or longer,</w:t>
      </w:r>
      <w:r w:rsidR="00FD7A2F">
        <w:t xml:space="preserve"> depending on complexity</w:t>
      </w:r>
      <w:r w:rsidR="00757D02">
        <w:t>.</w:t>
      </w:r>
    </w:p>
    <w:p w14:paraId="2AFAE564" w14:textId="580D6167" w:rsidR="00144712" w:rsidRDefault="00144712" w:rsidP="00144712">
      <w:pPr>
        <w:pStyle w:val="Heading2"/>
      </w:pPr>
      <w:bookmarkStart w:id="58" w:name="_Toc149228499"/>
      <w:r>
        <w:t>Removal of a product from the Prescribed List</w:t>
      </w:r>
      <w:bookmarkEnd w:id="58"/>
    </w:p>
    <w:p w14:paraId="688D561D" w14:textId="38F0F01D" w:rsidR="00144712" w:rsidRDefault="002359CC" w:rsidP="00144712">
      <w:r>
        <w:t>T</w:t>
      </w:r>
      <w:r w:rsidR="00144712">
        <w:t xml:space="preserve">he </w:t>
      </w:r>
      <w:r w:rsidR="0085244E">
        <w:t>d</w:t>
      </w:r>
      <w:r w:rsidR="009E3B5F">
        <w:t xml:space="preserve">epartment may </w:t>
      </w:r>
      <w:r w:rsidR="00144712">
        <w:t xml:space="preserve">consider if a </w:t>
      </w:r>
      <w:r w:rsidR="00DD7A42">
        <w:t xml:space="preserve">device or human tissue </w:t>
      </w:r>
      <w:r w:rsidR="00144712">
        <w:t xml:space="preserve">product should be removed from the PL, </w:t>
      </w:r>
      <w:r w:rsidR="00EA6B63">
        <w:t xml:space="preserve">and </w:t>
      </w:r>
      <w:r w:rsidR="00C32F26">
        <w:t xml:space="preserve">MDHTAC </w:t>
      </w:r>
      <w:r>
        <w:t xml:space="preserve">may provide advice in relation to this. </w:t>
      </w:r>
      <w:r w:rsidR="005C1FF4">
        <w:t>The reasons for such decisions may vary but may include</w:t>
      </w:r>
      <w:r w:rsidR="00DD7A42">
        <w:t>,</w:t>
      </w:r>
      <w:r w:rsidR="005C1FF4">
        <w:t xml:space="preserve"> f</w:t>
      </w:r>
      <w:r w:rsidR="00144712">
        <w:t xml:space="preserve">or example, if the device </w:t>
      </w:r>
      <w:r w:rsidR="00DD7A42">
        <w:t xml:space="preserve">does </w:t>
      </w:r>
      <w:r w:rsidR="00144712">
        <w:t>no</w:t>
      </w:r>
      <w:r w:rsidR="00DD7A42">
        <w:t>t</w:t>
      </w:r>
      <w:r w:rsidR="00144712">
        <w:t xml:space="preserve"> </w:t>
      </w:r>
      <w:r w:rsidR="00DD7A42">
        <w:t xml:space="preserve">satisfy </w:t>
      </w:r>
      <w:r w:rsidR="00144712">
        <w:t xml:space="preserve">the criteria for listing, or where there </w:t>
      </w:r>
      <w:r w:rsidR="006B08A9">
        <w:t>is</w:t>
      </w:r>
      <w:r w:rsidR="00144712">
        <w:t xml:space="preserve"> cancellation or suspension of the ARTG entry by the TGA</w:t>
      </w:r>
      <w:r w:rsidR="00DD7A42">
        <w:t xml:space="preserve"> for the device, </w:t>
      </w:r>
      <w:r w:rsidR="00144712">
        <w:t xml:space="preserve">or </w:t>
      </w:r>
      <w:r w:rsidR="00DD7A42">
        <w:t>the billing code is listed in an incorrect group</w:t>
      </w:r>
      <w:r w:rsidR="00144712">
        <w:t>.</w:t>
      </w:r>
    </w:p>
    <w:p w14:paraId="112D92D8" w14:textId="22E0DD09" w:rsidR="00144712" w:rsidRDefault="00144712" w:rsidP="00144712">
      <w:r>
        <w:t xml:space="preserve">If </w:t>
      </w:r>
      <w:r w:rsidR="00DD7A42">
        <w:t xml:space="preserve">such </w:t>
      </w:r>
      <w:r>
        <w:t>action</w:t>
      </w:r>
      <w:r w:rsidR="007209BF">
        <w:t xml:space="preserve"> is being considered</w:t>
      </w:r>
      <w:r w:rsidR="000D209F">
        <w:t>,</w:t>
      </w:r>
      <w:r>
        <w:t xml:space="preserve"> the </w:t>
      </w:r>
      <w:r w:rsidR="0D4D3A16">
        <w:t>d</w:t>
      </w:r>
      <w:r>
        <w:t>epartment will write to sponsor</w:t>
      </w:r>
      <w:r w:rsidR="00DD7A42">
        <w:t>s</w:t>
      </w:r>
      <w:r>
        <w:t xml:space="preserve"> informing them of the consideration and offering them the opportunity for comment. If the sponsor provides further information or evidence to support continued listing, the matter may be referred to an ECAG </w:t>
      </w:r>
      <w:r w:rsidR="00515293">
        <w:t xml:space="preserve">and/or MDHTAC </w:t>
      </w:r>
      <w:r>
        <w:t xml:space="preserve">for </w:t>
      </w:r>
      <w:r w:rsidR="00515293">
        <w:t xml:space="preserve">further </w:t>
      </w:r>
      <w:r>
        <w:t>advice.</w:t>
      </w:r>
    </w:p>
    <w:p w14:paraId="1C67290F" w14:textId="0050425D" w:rsidR="00144712" w:rsidRDefault="00291E03" w:rsidP="00144712">
      <w:r>
        <w:t xml:space="preserve">If the </w:t>
      </w:r>
      <w:r w:rsidR="009223F0">
        <w:t>d</w:t>
      </w:r>
      <w:r>
        <w:t xml:space="preserve">epartment </w:t>
      </w:r>
      <w:r w:rsidR="00144712">
        <w:t>recommend</w:t>
      </w:r>
      <w:r w:rsidR="00C80E2E">
        <w:t xml:space="preserve">s </w:t>
      </w:r>
      <w:r w:rsidR="00144712">
        <w:t>remov</w:t>
      </w:r>
      <w:r w:rsidR="00C80E2E">
        <w:t>ing</w:t>
      </w:r>
      <w:r w:rsidR="00144712">
        <w:t xml:space="preserve"> the </w:t>
      </w:r>
      <w:r w:rsidR="00515293">
        <w:t>billing code</w:t>
      </w:r>
      <w:r w:rsidR="00731AD7">
        <w:t xml:space="preserve">, </w:t>
      </w:r>
      <w:r w:rsidR="00144712">
        <w:t xml:space="preserve">the matter will be referred </w:t>
      </w:r>
      <w:r w:rsidR="00731AD7">
        <w:t>for the decision</w:t>
      </w:r>
      <w:r w:rsidR="00515293">
        <w:t xml:space="preserve"> the next time the Rules are made</w:t>
      </w:r>
      <w:r w:rsidR="00144712">
        <w:t>.</w:t>
      </w:r>
    </w:p>
    <w:p w14:paraId="3C9EEDF4" w14:textId="719E0F74" w:rsidR="00144712" w:rsidRPr="004E5BC5" w:rsidRDefault="00144712" w:rsidP="009637CC">
      <w:pPr>
        <w:pStyle w:val="Heading4"/>
        <w:rPr>
          <w:sz w:val="24"/>
          <w:szCs w:val="24"/>
        </w:rPr>
      </w:pPr>
      <w:r w:rsidRPr="004E5BC5">
        <w:rPr>
          <w:sz w:val="24"/>
          <w:szCs w:val="24"/>
        </w:rPr>
        <w:lastRenderedPageBreak/>
        <w:t>Removed from ARTG</w:t>
      </w:r>
    </w:p>
    <w:p w14:paraId="7BF3B6D7" w14:textId="54F21C63" w:rsidR="00144712" w:rsidRDefault="00144712" w:rsidP="00144712">
      <w:r>
        <w:t xml:space="preserve">Sponsors </w:t>
      </w:r>
      <w:r w:rsidR="005302A9">
        <w:t xml:space="preserve">are required to </w:t>
      </w:r>
      <w:r>
        <w:t xml:space="preserve">inform the </w:t>
      </w:r>
      <w:r w:rsidR="13E0E728">
        <w:t>d</w:t>
      </w:r>
      <w:r>
        <w:t xml:space="preserve">epartment </w:t>
      </w:r>
      <w:r w:rsidR="006B5F3A">
        <w:t xml:space="preserve">as soon as practicable </w:t>
      </w:r>
      <w:r>
        <w:t xml:space="preserve">if their </w:t>
      </w:r>
      <w:r w:rsidR="00731AD7">
        <w:t xml:space="preserve">device or human tissue </w:t>
      </w:r>
      <w:r w:rsidR="00515293">
        <w:t>product</w:t>
      </w:r>
      <w:r>
        <w:t xml:space="preserve"> is cancelled or suspended from the ARTG</w:t>
      </w:r>
      <w:r w:rsidR="00731AD7">
        <w:t xml:space="preserve"> and </w:t>
      </w:r>
      <w:r>
        <w:t xml:space="preserve">submit a </w:t>
      </w:r>
      <w:hyperlink w:anchor="_Deletion_applications" w:history="1">
        <w:r w:rsidRPr="004117D5">
          <w:rPr>
            <w:rStyle w:val="Hyperlink"/>
          </w:rPr>
          <w:t>deletion application</w:t>
        </w:r>
      </w:hyperlink>
      <w:r w:rsidR="00731AD7">
        <w:t xml:space="preserve"> for removal of the respective billing code from the PL</w:t>
      </w:r>
      <w:r>
        <w:t>.</w:t>
      </w:r>
      <w:r w:rsidR="005302A9">
        <w:t xml:space="preserve"> If no deletion application is received, the recommendation will be provided to the Minister to delete billing code from the PL.</w:t>
      </w:r>
    </w:p>
    <w:p w14:paraId="69DA0221" w14:textId="2E6210D4" w:rsidR="007F0E0C" w:rsidRDefault="007F0E0C" w:rsidP="007F0E0C">
      <w:pPr>
        <w:pStyle w:val="Heading2"/>
      </w:pPr>
      <w:bookmarkStart w:id="59" w:name="_Toc149228500"/>
      <w:r>
        <w:t xml:space="preserve">Compliance and </w:t>
      </w:r>
      <w:r w:rsidR="000038C1">
        <w:t>a</w:t>
      </w:r>
      <w:r>
        <w:t>ssurance</w:t>
      </w:r>
      <w:bookmarkEnd w:id="59"/>
    </w:p>
    <w:p w14:paraId="6B909004" w14:textId="507DB623" w:rsidR="007F0E0C" w:rsidRPr="004C3039" w:rsidRDefault="00925695" w:rsidP="007F0E0C">
      <w:r>
        <w:t>The</w:t>
      </w:r>
      <w:r w:rsidR="007F0E0C">
        <w:t xml:space="preserve"> compliance and assurance function was established to maintain the integrity of the PL. Under this function, the </w:t>
      </w:r>
      <w:r w:rsidR="4352550A">
        <w:t>d</w:t>
      </w:r>
      <w:r w:rsidR="007F0E0C">
        <w:t xml:space="preserve">epartment will continue to monitor the </w:t>
      </w:r>
      <w:r w:rsidR="00F61E55">
        <w:t xml:space="preserve">actions </w:t>
      </w:r>
      <w:r w:rsidR="007F0E0C">
        <w:t xml:space="preserve">of PL stakeholders (hospitals and day clinics, clinicians, sponsors of medical devices and </w:t>
      </w:r>
      <w:r w:rsidR="003C2814">
        <w:t>human tissue products</w:t>
      </w:r>
      <w:r w:rsidR="007F0E0C">
        <w:t xml:space="preserve">, and private health insurers) and the operations of the PL for compliance </w:t>
      </w:r>
      <w:r w:rsidR="00B12DAD">
        <w:t>with</w:t>
      </w:r>
      <w:r w:rsidR="001326CD">
        <w:t xml:space="preserve"> </w:t>
      </w:r>
      <w:r w:rsidR="007F0E0C">
        <w:t xml:space="preserve">the requirements </w:t>
      </w:r>
      <w:r w:rsidR="004A58BB">
        <w:t xml:space="preserve">of the PL, as </w:t>
      </w:r>
      <w:r w:rsidR="007F0E0C">
        <w:t xml:space="preserve">outlined in </w:t>
      </w:r>
      <w:r w:rsidR="00E675D4">
        <w:t>legislation and policy documents</w:t>
      </w:r>
      <w:r w:rsidR="007F0E0C">
        <w:t>.</w:t>
      </w:r>
    </w:p>
    <w:p w14:paraId="23F1D61A" w14:textId="042014DF" w:rsidR="007F0E0C" w:rsidRPr="004C3039" w:rsidRDefault="007F0E0C" w:rsidP="007F0E0C">
      <w:r>
        <w:t xml:space="preserve">Where the </w:t>
      </w:r>
      <w:r w:rsidR="0632973A">
        <w:t>d</w:t>
      </w:r>
      <w:r>
        <w:t>epartment identifies inappropriate behaviour related to a PL listing, it may make a referral to the relevant regulator, such as the Australian Prudential Regulation Authority (APRA)</w:t>
      </w:r>
      <w:r w:rsidR="00BC6664">
        <w:t>,</w:t>
      </w:r>
      <w:r>
        <w:t xml:space="preserve"> the Australian Competition and Consumer Commission (ACCC)</w:t>
      </w:r>
      <w:r w:rsidR="00023137">
        <w:t xml:space="preserve"> or the TGA</w:t>
      </w:r>
      <w:r>
        <w:t>.</w:t>
      </w:r>
    </w:p>
    <w:p w14:paraId="0FAF659C" w14:textId="2B06B525" w:rsidR="007F0E0C" w:rsidRPr="004C3039" w:rsidRDefault="007F0E0C" w:rsidP="007F0E0C">
      <w:r>
        <w:t xml:space="preserve">The </w:t>
      </w:r>
      <w:r w:rsidR="0BD2B30F">
        <w:t>d</w:t>
      </w:r>
      <w:r>
        <w:t xml:space="preserve">epartment is committed to preventing the occurrence of fraud and other inappropriate practices that pose risks to the </w:t>
      </w:r>
      <w:r w:rsidR="003C2814">
        <w:t xml:space="preserve">administration of the </w:t>
      </w:r>
      <w:r>
        <w:t xml:space="preserve">PL. </w:t>
      </w:r>
      <w:r w:rsidR="003C2814">
        <w:t xml:space="preserve">Any </w:t>
      </w:r>
      <w:r>
        <w:t xml:space="preserve">concerns relating to </w:t>
      </w:r>
      <w:r w:rsidR="003C2814">
        <w:t>the PL related issues can be sent to</w:t>
      </w:r>
      <w:r>
        <w:t xml:space="preserve"> </w:t>
      </w:r>
      <w:hyperlink r:id="rId40">
        <w:r w:rsidRPr="69B50E6D">
          <w:rPr>
            <w:rStyle w:val="Hyperlink"/>
          </w:rPr>
          <w:t>prosthesescompliance@health.gov.au</w:t>
        </w:r>
      </w:hyperlink>
      <w:r>
        <w:t>.</w:t>
      </w:r>
    </w:p>
    <w:p w14:paraId="4A8C726B" w14:textId="138C5789" w:rsidR="007F0E0C" w:rsidRDefault="007F0E0C" w:rsidP="007F0E0C">
      <w:r>
        <w:t xml:space="preserve">Information on compliance and assurance activities, including the PL Compliance Strategy, can be found on the </w:t>
      </w:r>
      <w:hyperlink r:id="rId41" w:history="1">
        <w:r w:rsidR="479FABC8" w:rsidRPr="008277AC">
          <w:rPr>
            <w:rStyle w:val="Hyperlink"/>
          </w:rPr>
          <w:t>d</w:t>
        </w:r>
        <w:r w:rsidRPr="008277AC">
          <w:rPr>
            <w:rStyle w:val="Hyperlink"/>
          </w:rPr>
          <w:t>epartment’s website</w:t>
        </w:r>
      </w:hyperlink>
      <w:r>
        <w:t>.</w:t>
      </w:r>
    </w:p>
    <w:p w14:paraId="5B244CA8" w14:textId="429C40A6" w:rsidR="007F0E0C" w:rsidRPr="00B057B3" w:rsidRDefault="007F0E0C" w:rsidP="007F0E0C">
      <w:pPr>
        <w:pStyle w:val="Heading2"/>
        <w:rPr>
          <w:szCs w:val="36"/>
        </w:rPr>
      </w:pPr>
      <w:bookmarkStart w:id="60" w:name="_Parallel_process"/>
      <w:bookmarkStart w:id="61" w:name="_Parallel_assessment_process"/>
      <w:bookmarkStart w:id="62" w:name="_Toc149228501"/>
      <w:bookmarkEnd w:id="60"/>
      <w:bookmarkEnd w:id="61"/>
      <w:r w:rsidRPr="00B057B3">
        <w:rPr>
          <w:szCs w:val="36"/>
        </w:rPr>
        <w:t xml:space="preserve">Parallel </w:t>
      </w:r>
      <w:r w:rsidR="00FD3C79" w:rsidRPr="00B057B3">
        <w:rPr>
          <w:szCs w:val="36"/>
        </w:rPr>
        <w:t>assessment</w:t>
      </w:r>
      <w:r w:rsidR="00B057B3">
        <w:rPr>
          <w:szCs w:val="36"/>
        </w:rPr>
        <w:t xml:space="preserve"> </w:t>
      </w:r>
      <w:r w:rsidR="00B057B3" w:rsidRPr="00B057B3">
        <w:rPr>
          <w:szCs w:val="36"/>
        </w:rPr>
        <w:t>for</w:t>
      </w:r>
      <w:r w:rsidR="00D112C4" w:rsidRPr="00B057B3">
        <w:rPr>
          <w:szCs w:val="36"/>
        </w:rPr>
        <w:t xml:space="preserve"> PL and TGA applications</w:t>
      </w:r>
      <w:bookmarkEnd w:id="62"/>
    </w:p>
    <w:p w14:paraId="01C32CC2" w14:textId="3AABFAF1" w:rsidR="00A04DA7" w:rsidRDefault="007F0E0C" w:rsidP="007F0E0C">
      <w:r>
        <w:t xml:space="preserve">For </w:t>
      </w:r>
      <w:r w:rsidR="00731AD7">
        <w:t xml:space="preserve">medical devices and human tissue </w:t>
      </w:r>
      <w:r w:rsidR="00327C7D">
        <w:t xml:space="preserve">products </w:t>
      </w:r>
      <w:r>
        <w:t xml:space="preserve">to be </w:t>
      </w:r>
      <w:r w:rsidR="00327C7D">
        <w:t xml:space="preserve">legally </w:t>
      </w:r>
      <w:r>
        <w:t xml:space="preserve">supplied in Australia, they must have </w:t>
      </w:r>
      <w:r w:rsidR="00327C7D">
        <w:t>a valid</w:t>
      </w:r>
      <w:r>
        <w:t xml:space="preserve"> ARTG </w:t>
      </w:r>
      <w:r w:rsidR="00327C7D">
        <w:t>entry</w:t>
      </w:r>
      <w:r>
        <w:t xml:space="preserve"> (information about </w:t>
      </w:r>
      <w:r w:rsidR="00327C7D">
        <w:t xml:space="preserve">inclusion </w:t>
      </w:r>
      <w:r w:rsidR="00B057B3">
        <w:t xml:space="preserve">in </w:t>
      </w:r>
      <w:r>
        <w:t xml:space="preserve">the ARTG can be found on the </w:t>
      </w:r>
      <w:hyperlink r:id="rId42" w:history="1">
        <w:r w:rsidR="00D34BCF" w:rsidRPr="008277AC">
          <w:rPr>
            <w:rStyle w:val="Hyperlink"/>
          </w:rPr>
          <w:t>TGA</w:t>
        </w:r>
        <w:r w:rsidRPr="008277AC">
          <w:rPr>
            <w:rStyle w:val="Hyperlink"/>
          </w:rPr>
          <w:t xml:space="preserve"> website</w:t>
        </w:r>
      </w:hyperlink>
      <w:r w:rsidR="00E82069">
        <w:rPr>
          <w:rStyle w:val="Hyperlink"/>
        </w:rPr>
        <w:t>)</w:t>
      </w:r>
      <w:r w:rsidR="00185093">
        <w:t xml:space="preserve">. </w:t>
      </w:r>
      <w:r w:rsidR="005C3A1D">
        <w:t>Consequently</w:t>
      </w:r>
      <w:r w:rsidR="00327C7D">
        <w:t xml:space="preserve">, </w:t>
      </w:r>
      <w:r w:rsidR="00D34BCF">
        <w:t>one of the criteria for</w:t>
      </w:r>
      <w:r w:rsidR="00731AD7">
        <w:t xml:space="preserve"> medical devices </w:t>
      </w:r>
      <w:r w:rsidR="00A04DA7">
        <w:t>and human tissue</w:t>
      </w:r>
      <w:r w:rsidR="00D34BCF">
        <w:t xml:space="preserve"> product</w:t>
      </w:r>
      <w:r w:rsidR="00AC6BB3">
        <w:t>s</w:t>
      </w:r>
      <w:r w:rsidR="00D34BCF">
        <w:t xml:space="preserve"> to be eligible for listing on the PL is current </w:t>
      </w:r>
      <w:r w:rsidR="00AC6BB3">
        <w:t xml:space="preserve">inclusion </w:t>
      </w:r>
      <w:r w:rsidR="00B057B3">
        <w:t xml:space="preserve">in </w:t>
      </w:r>
      <w:r w:rsidR="00AC6BB3">
        <w:t xml:space="preserve">the </w:t>
      </w:r>
      <w:r w:rsidR="00D34BCF">
        <w:t>ARTG</w:t>
      </w:r>
      <w:r w:rsidR="00AC6BB3">
        <w:t>.</w:t>
      </w:r>
      <w:r w:rsidR="00D34BCF">
        <w:t xml:space="preserve"> </w:t>
      </w:r>
      <w:bookmarkStart w:id="63" w:name="_Hlk135053920"/>
    </w:p>
    <w:p w14:paraId="7FE7BBFB" w14:textId="4EC43787" w:rsidR="007F0E0C" w:rsidRDefault="008277AC" w:rsidP="007F0E0C">
      <w:r>
        <w:t>U</w:t>
      </w:r>
      <w:r w:rsidR="007F0E0C">
        <w:t xml:space="preserve">nder the parallel assessment process, sponsors </w:t>
      </w:r>
      <w:r w:rsidR="00B057B3">
        <w:t xml:space="preserve">may </w:t>
      </w:r>
      <w:r w:rsidR="007F0E0C">
        <w:t xml:space="preserve">submit a new application </w:t>
      </w:r>
      <w:r w:rsidR="00B057B3">
        <w:t xml:space="preserve">for listing a device or human tissue product on the PL, </w:t>
      </w:r>
      <w:r w:rsidR="007F0E0C">
        <w:t xml:space="preserve">before they receive an ARTG </w:t>
      </w:r>
      <w:r w:rsidR="0022553A">
        <w:t>entry</w:t>
      </w:r>
      <w:r w:rsidR="00185093">
        <w:t xml:space="preserve"> </w:t>
      </w:r>
      <w:r w:rsidR="00A04DA7">
        <w:t xml:space="preserve">for </w:t>
      </w:r>
      <w:r w:rsidR="00E71651">
        <w:t xml:space="preserve">the same </w:t>
      </w:r>
      <w:r w:rsidR="00A04DA7" w:rsidRPr="00A04DA7">
        <w:t>medical device</w:t>
      </w:r>
      <w:r w:rsidR="00A04DA7">
        <w:t xml:space="preserve"> or </w:t>
      </w:r>
      <w:r w:rsidR="00A04DA7" w:rsidRPr="00A04DA7">
        <w:t>human tissue product</w:t>
      </w:r>
      <w:r w:rsidR="00E71651">
        <w:t>,</w:t>
      </w:r>
      <w:r w:rsidR="00A04DA7" w:rsidRPr="00A04DA7">
        <w:t xml:space="preserve"> </w:t>
      </w:r>
      <w:r w:rsidR="009276AF">
        <w:t xml:space="preserve">but </w:t>
      </w:r>
      <w:r w:rsidR="00A04DA7">
        <w:t xml:space="preserve">they </w:t>
      </w:r>
      <w:r w:rsidR="007F0E0C">
        <w:t xml:space="preserve">must provide appropriate evidence of a valid effective application submitted to the TGA </w:t>
      </w:r>
      <w:r w:rsidR="00F82DFF">
        <w:t>(</w:t>
      </w:r>
      <w:r w:rsidR="007F0E0C">
        <w:t>for the meaning of an effective application, refer the TGA legislation</w:t>
      </w:r>
      <w:r w:rsidR="00F82DFF">
        <w:t>)</w:t>
      </w:r>
      <w:r w:rsidR="007F0E0C">
        <w:t xml:space="preserve"> as part of the information provided with the PL application. </w:t>
      </w:r>
      <w:r w:rsidR="00356B04">
        <w:t>The application submitted to the TGA must state the same sponsor as stated in the PL application.</w:t>
      </w:r>
    </w:p>
    <w:bookmarkEnd w:id="63"/>
    <w:p w14:paraId="78238DBB" w14:textId="6929D56E" w:rsidR="007F0E0C" w:rsidRDefault="009276AF" w:rsidP="007F0E0C">
      <w:r>
        <w:t>The</w:t>
      </w:r>
      <w:r w:rsidR="007F0E0C">
        <w:t xml:space="preserve"> TGA applications </w:t>
      </w:r>
      <w:r>
        <w:t xml:space="preserve">acceptable </w:t>
      </w:r>
      <w:r w:rsidR="00E71651">
        <w:t xml:space="preserve">for the </w:t>
      </w:r>
      <w:r>
        <w:t>p</w:t>
      </w:r>
      <w:r w:rsidRPr="009276AF">
        <w:t>arallel process</w:t>
      </w:r>
      <w:r>
        <w:t xml:space="preserve"> </w:t>
      </w:r>
      <w:r w:rsidR="007F0E0C">
        <w:t>are:</w:t>
      </w:r>
    </w:p>
    <w:p w14:paraId="07014163" w14:textId="2F1D418D" w:rsidR="007F0E0C" w:rsidRDefault="00A04DA7" w:rsidP="007F0E0C">
      <w:pPr>
        <w:pStyle w:val="ListBullet"/>
        <w:ind w:left="340" w:hanging="340"/>
      </w:pPr>
      <w:r>
        <w:t xml:space="preserve">application for inclusion of a kind of </w:t>
      </w:r>
      <w:r w:rsidR="2DBD5825">
        <w:t>m</w:t>
      </w:r>
      <w:r w:rsidR="5FEA6570">
        <w:t xml:space="preserve">edical device </w:t>
      </w:r>
      <w:r w:rsidR="573E4524">
        <w:t xml:space="preserve">or </w:t>
      </w:r>
      <w:r>
        <w:t xml:space="preserve">human tissue </w:t>
      </w:r>
      <w:r w:rsidR="573E4524">
        <w:t xml:space="preserve">product </w:t>
      </w:r>
      <w:r>
        <w:t xml:space="preserve">in the </w:t>
      </w:r>
      <w:r w:rsidR="573E4524">
        <w:t>ARTG</w:t>
      </w:r>
      <w:r>
        <w:t>, or</w:t>
      </w:r>
    </w:p>
    <w:p w14:paraId="42079907" w14:textId="4C838A21" w:rsidR="005F5DE6" w:rsidRDefault="573E4524" w:rsidP="007F0E0C">
      <w:pPr>
        <w:pStyle w:val="ListBullet"/>
        <w:ind w:left="340" w:hanging="340"/>
      </w:pPr>
      <w:r>
        <w:t xml:space="preserve">medical device </w:t>
      </w:r>
      <w:r w:rsidR="5FEA6570">
        <w:t>conformity assessment application</w:t>
      </w:r>
      <w:r w:rsidR="00E71651">
        <w:t>.</w:t>
      </w:r>
    </w:p>
    <w:p w14:paraId="77CC3EF1" w14:textId="4C78E24D" w:rsidR="007F0E0C" w:rsidRDefault="007F0E0C" w:rsidP="007F0E0C">
      <w:r>
        <w:t xml:space="preserve">The application must be </w:t>
      </w:r>
      <w:r w:rsidR="00FB1DC0">
        <w:t>submitted</w:t>
      </w:r>
      <w:r w:rsidR="009A45E4">
        <w:t xml:space="preserve">, </w:t>
      </w:r>
      <w:r w:rsidR="00FB1DC0">
        <w:t>paid and accepted for the assessment by the TGA before it can be used in the PL application submitted under</w:t>
      </w:r>
      <w:r>
        <w:t xml:space="preserve"> the parallel assessment process.</w:t>
      </w:r>
    </w:p>
    <w:p w14:paraId="134AAAEB" w14:textId="79D896B2" w:rsidR="007F0E0C" w:rsidRDefault="00FB1DC0" w:rsidP="009276AF">
      <w:r w:rsidRPr="004E5BC5">
        <w:rPr>
          <w:i/>
          <w:iCs/>
        </w:rPr>
        <w:lastRenderedPageBreak/>
        <w:t>The following applications are not acceptable</w:t>
      </w:r>
      <w:r w:rsidR="007F0E0C">
        <w:t>: manufacturer’s evidence applications</w:t>
      </w:r>
      <w:r>
        <w:t xml:space="preserve">, </w:t>
      </w:r>
      <w:r w:rsidR="007F0E0C">
        <w:t>device change request applications</w:t>
      </w:r>
      <w:r>
        <w:t>, or variation applications.</w:t>
      </w:r>
    </w:p>
    <w:p w14:paraId="3483E638" w14:textId="02E2ABC3" w:rsidR="007F0E0C" w:rsidRDefault="007F0E0C" w:rsidP="007F0E0C">
      <w:r>
        <w:t>PL applications submitted under the parallel assessment process will be assessed</w:t>
      </w:r>
      <w:r w:rsidR="00193045">
        <w:t xml:space="preserve"> (as required according to the Tier stated in the application)</w:t>
      </w:r>
      <w:r>
        <w:t xml:space="preserve">, but no decision will be made regarding listing the device </w:t>
      </w:r>
      <w:r w:rsidR="009276AF">
        <w:t xml:space="preserve">or </w:t>
      </w:r>
      <w:r w:rsidR="00A04DA7">
        <w:t xml:space="preserve">human tissue </w:t>
      </w:r>
      <w:r w:rsidR="009276AF">
        <w:t xml:space="preserve">product </w:t>
      </w:r>
      <w:r>
        <w:t xml:space="preserve">on the PL until a valid ARTG </w:t>
      </w:r>
      <w:r w:rsidR="009276AF">
        <w:t xml:space="preserve">entry </w:t>
      </w:r>
      <w:r>
        <w:t>is issued by the TGA.</w:t>
      </w:r>
    </w:p>
    <w:p w14:paraId="4323C3DE" w14:textId="69A10735" w:rsidR="007F0E0C" w:rsidRDefault="007F0E0C" w:rsidP="007F0E0C">
      <w:r>
        <w:t>If at any time during the assessment, it becomes apparent that the application with the TGA is no longer valid (withdrawn, rejected or lapsed), the PL application will also be considered</w:t>
      </w:r>
      <w:r w:rsidR="00717A2E">
        <w:t xml:space="preserve"> </w:t>
      </w:r>
      <w:r>
        <w:t>invalid</w:t>
      </w:r>
      <w:r w:rsidR="00717A2E">
        <w:t>.</w:t>
      </w:r>
    </w:p>
    <w:p w14:paraId="0F4DF3CB" w14:textId="6A9A973B" w:rsidR="00A04DA7" w:rsidRDefault="007F0E0C" w:rsidP="007F0E0C">
      <w:r>
        <w:t>PL applications</w:t>
      </w:r>
      <w:r w:rsidR="00A04DA7">
        <w:t xml:space="preserve"> received with a valid TGA application [but</w:t>
      </w:r>
      <w:r>
        <w:t xml:space="preserve"> without a valid ARTG entry</w:t>
      </w:r>
      <w:r w:rsidR="00A04DA7">
        <w:t>]</w:t>
      </w:r>
      <w:r>
        <w:t xml:space="preserve"> will be deferred for a maximum of 18 months </w:t>
      </w:r>
      <w:r w:rsidR="003B4BBC">
        <w:t xml:space="preserve">from </w:t>
      </w:r>
      <w:r>
        <w:t xml:space="preserve">the date the application was submitted. After </w:t>
      </w:r>
      <w:r w:rsidR="00E71651">
        <w:t>18 </w:t>
      </w:r>
      <w:r>
        <w:t xml:space="preserve">months, the application will be </w:t>
      </w:r>
      <w:r w:rsidR="0037424E">
        <w:t xml:space="preserve">considered as </w:t>
      </w:r>
      <w:r>
        <w:t xml:space="preserve">non-compliant and </w:t>
      </w:r>
      <w:r w:rsidR="0037424E">
        <w:t>may be recommended as not acceptable</w:t>
      </w:r>
      <w:r>
        <w:t xml:space="preserve">. </w:t>
      </w:r>
    </w:p>
    <w:p w14:paraId="6B97BB52" w14:textId="212FB151" w:rsidR="007F0E0C" w:rsidRDefault="00A04DA7" w:rsidP="007F0E0C">
      <w:r>
        <w:t xml:space="preserve">If the application is rejected, the </w:t>
      </w:r>
      <w:r w:rsidR="007F0E0C">
        <w:t>sponsor will need to submit a new application and pay related fees.</w:t>
      </w:r>
    </w:p>
    <w:p w14:paraId="6D61016C" w14:textId="048DEA83" w:rsidR="00594FEE" w:rsidRPr="004D1339" w:rsidRDefault="00594FEE" w:rsidP="00594FEE">
      <w:pPr>
        <w:pStyle w:val="Heading1"/>
      </w:pPr>
      <w:bookmarkStart w:id="64" w:name="_Chapter_3:_Criteria"/>
      <w:bookmarkStart w:id="65" w:name="_Toc149228502"/>
      <w:bookmarkEnd w:id="64"/>
      <w:r w:rsidRPr="004D1339">
        <w:t xml:space="preserve">Chapter </w:t>
      </w:r>
      <w:r>
        <w:t xml:space="preserve">3: Criteria for </w:t>
      </w:r>
      <w:r w:rsidR="008C5002">
        <w:t>l</w:t>
      </w:r>
      <w:r>
        <w:t xml:space="preserve">isting </w:t>
      </w:r>
      <w:r w:rsidR="008C5002">
        <w:t>p</w:t>
      </w:r>
      <w:r>
        <w:t>roducts on the Prescribed List</w:t>
      </w:r>
      <w:bookmarkEnd w:id="65"/>
    </w:p>
    <w:p w14:paraId="615CFBA6" w14:textId="67FB129A" w:rsidR="00CE3C47" w:rsidRDefault="003A6512" w:rsidP="002C65BC">
      <w:r>
        <w:t xml:space="preserve">The </w:t>
      </w:r>
      <w:r w:rsidR="0094073A">
        <w:t xml:space="preserve">Rules </w:t>
      </w:r>
      <w:r w:rsidR="00801334" w:rsidRPr="00801334">
        <w:t xml:space="preserve">set out the </w:t>
      </w:r>
      <w:r w:rsidR="00A26C43" w:rsidRPr="00801334">
        <w:t xml:space="preserve">criteria </w:t>
      </w:r>
      <w:r w:rsidR="00A26C43">
        <w:t xml:space="preserve">for </w:t>
      </w:r>
      <w:r w:rsidR="00801334" w:rsidRPr="00801334">
        <w:t xml:space="preserve">listing that products must </w:t>
      </w:r>
      <w:r w:rsidR="00801334">
        <w:t>satisfy</w:t>
      </w:r>
      <w:r w:rsidR="00801334" w:rsidRPr="00801334">
        <w:t xml:space="preserve"> to be considered for listing on the</w:t>
      </w:r>
      <w:r w:rsidR="00801334">
        <w:t xml:space="preserve"> PL</w:t>
      </w:r>
      <w:r w:rsidR="00A26C43">
        <w:t xml:space="preserve"> and remain to be listed on the PL</w:t>
      </w:r>
      <w:r w:rsidR="002A0B94">
        <w:t xml:space="preserve">. </w:t>
      </w:r>
    </w:p>
    <w:p w14:paraId="6EBED66F" w14:textId="63B6440F" w:rsidR="00594FEE" w:rsidRDefault="003315CD" w:rsidP="005E45F2">
      <w:pPr>
        <w:pStyle w:val="Heading2"/>
      </w:pPr>
      <w:bookmarkStart w:id="66" w:name="_Toc149228503"/>
      <w:r>
        <w:t>General listing criteria</w:t>
      </w:r>
      <w:bookmarkEnd w:id="66"/>
    </w:p>
    <w:p w14:paraId="479B9363" w14:textId="5411A6BF" w:rsidR="003315CD" w:rsidRDefault="000D77B1" w:rsidP="003315CD">
      <w:r>
        <w:t>Medical devices and human tissue products will</w:t>
      </w:r>
      <w:r w:rsidR="00657916">
        <w:t xml:space="preserve"> not be listed </w:t>
      </w:r>
      <w:r>
        <w:t>on</w:t>
      </w:r>
      <w:r w:rsidR="00657916">
        <w:t xml:space="preserve"> the </w:t>
      </w:r>
      <w:r w:rsidR="00EA3265">
        <w:t>PL</w:t>
      </w:r>
      <w:r w:rsidR="00657916">
        <w:t xml:space="preserve"> unless </w:t>
      </w:r>
      <w:r>
        <w:t>they are</w:t>
      </w:r>
      <w:r w:rsidR="00657916">
        <w:t xml:space="preserve"> included in the ARTG. This ensures that the </w:t>
      </w:r>
      <w:r w:rsidR="000B0F78">
        <w:t>d</w:t>
      </w:r>
      <w:r w:rsidR="00657916">
        <w:t xml:space="preserve">epartment can independently verify that the </w:t>
      </w:r>
      <w:r>
        <w:t xml:space="preserve">device or </w:t>
      </w:r>
      <w:r w:rsidRPr="000D77B1">
        <w:t xml:space="preserve">human tissue </w:t>
      </w:r>
      <w:r w:rsidR="00657916">
        <w:t>product may be legally supplied in Australia.</w:t>
      </w:r>
    </w:p>
    <w:p w14:paraId="2CA677BD" w14:textId="5D27AD63" w:rsidR="00657916" w:rsidRDefault="00657916" w:rsidP="00657916">
      <w:pPr>
        <w:pStyle w:val="Heading2"/>
      </w:pPr>
      <w:bookmarkStart w:id="67" w:name="_Toc149228504"/>
      <w:r>
        <w:t>Listing criteria for medical devices to be listed in Part A</w:t>
      </w:r>
      <w:bookmarkEnd w:id="67"/>
    </w:p>
    <w:p w14:paraId="1230D738" w14:textId="747562A3" w:rsidR="00657916" w:rsidRDefault="000D77B1" w:rsidP="00657916">
      <w:r>
        <w:t>The Rules specify that a</w:t>
      </w:r>
      <w:r w:rsidR="00657916">
        <w:t xml:space="preserve"> medical device must not be listed in Part A of the </w:t>
      </w:r>
      <w:r w:rsidR="005820C1">
        <w:t>PL</w:t>
      </w:r>
      <w:r w:rsidR="00657916">
        <w:t xml:space="preserve"> unless the </w:t>
      </w:r>
      <w:r w:rsidR="002A19AF">
        <w:t xml:space="preserve">prescribed </w:t>
      </w:r>
      <w:r w:rsidR="00657916">
        <w:t xml:space="preserve">criteria </w:t>
      </w:r>
      <w:r w:rsidR="002A19AF">
        <w:t xml:space="preserve">for listing </w:t>
      </w:r>
      <w:r w:rsidR="00657916">
        <w:t>are satisfied</w:t>
      </w:r>
      <w:r w:rsidR="002A19AF">
        <w:t>.</w:t>
      </w:r>
    </w:p>
    <w:p w14:paraId="2D1734B5" w14:textId="77777777" w:rsidR="00193045" w:rsidRDefault="00193045" w:rsidP="00EE5FEA">
      <w:pPr>
        <w:pStyle w:val="subsection"/>
        <w:shd w:val="clear" w:color="auto" w:fill="D9D9D9" w:themeFill="background1" w:themeFillShade="D9"/>
        <w:spacing w:before="0" w:beforeAutospacing="0" w:after="60" w:afterAutospacing="0"/>
        <w:ind w:left="1134" w:hanging="1134"/>
        <w:rPr>
          <w:rFonts w:ascii="Arial" w:hAnsi="Arial"/>
          <w:color w:val="000000" w:themeColor="text1"/>
          <w:sz w:val="22"/>
          <w:lang w:eastAsia="en-US"/>
        </w:rPr>
      </w:pPr>
      <w:r>
        <w:rPr>
          <w:rFonts w:ascii="Arial" w:hAnsi="Arial"/>
          <w:color w:val="000000" w:themeColor="text1"/>
          <w:sz w:val="22"/>
          <w:lang w:eastAsia="en-US"/>
        </w:rPr>
        <w:t>The below is an extract from the Rules.</w:t>
      </w:r>
    </w:p>
    <w:p w14:paraId="3626C0B3" w14:textId="153BAAE1" w:rsidR="00891E25" w:rsidRPr="00891E25" w:rsidRDefault="00891E25" w:rsidP="00EE5FEA">
      <w:pPr>
        <w:pStyle w:val="subsection"/>
        <w:shd w:val="clear" w:color="auto" w:fill="D9D9D9" w:themeFill="background1" w:themeFillShade="D9"/>
        <w:spacing w:before="0" w:beforeAutospacing="0" w:after="60" w:afterAutospacing="0"/>
        <w:ind w:left="1134" w:hanging="1134"/>
        <w:rPr>
          <w:rFonts w:ascii="Arial" w:hAnsi="Arial"/>
          <w:color w:val="000000" w:themeColor="text1"/>
          <w:sz w:val="22"/>
          <w:lang w:eastAsia="en-US"/>
        </w:rPr>
      </w:pPr>
      <w:r w:rsidRPr="00891E25">
        <w:rPr>
          <w:rFonts w:ascii="Arial" w:hAnsi="Arial"/>
          <w:color w:val="000000" w:themeColor="text1"/>
          <w:sz w:val="22"/>
          <w:lang w:eastAsia="en-US"/>
        </w:rPr>
        <w:t>The medical device:</w:t>
      </w:r>
    </w:p>
    <w:p w14:paraId="07BB6CB8" w14:textId="5655F642" w:rsidR="00891E25" w:rsidRPr="00891E25" w:rsidRDefault="00891E25" w:rsidP="00EE5FEA">
      <w:pPr>
        <w:pStyle w:val="paragraph"/>
        <w:shd w:val="clear" w:color="auto" w:fill="D9D9D9" w:themeFill="background1" w:themeFillShade="D9"/>
        <w:spacing w:before="0" w:beforeAutospacing="0" w:after="60" w:afterAutospacing="0"/>
        <w:ind w:left="567" w:hanging="425"/>
        <w:rPr>
          <w:rFonts w:ascii="Arial" w:hAnsi="Arial"/>
          <w:color w:val="000000" w:themeColor="text1"/>
          <w:sz w:val="22"/>
          <w:lang w:eastAsia="en-US"/>
        </w:rPr>
      </w:pPr>
      <w:r w:rsidRPr="00891E25">
        <w:rPr>
          <w:rFonts w:ascii="Arial" w:hAnsi="Arial"/>
          <w:color w:val="000000" w:themeColor="text1"/>
          <w:sz w:val="22"/>
          <w:lang w:eastAsia="en-US"/>
        </w:rPr>
        <w:t>(a)  must be an implantable medical device, or an active implantable medical device, that is designed to:</w:t>
      </w:r>
    </w:p>
    <w:p w14:paraId="3C469294" w14:textId="37D8EBAC" w:rsidR="00891E25" w:rsidRPr="00891E25" w:rsidRDefault="000D77B1" w:rsidP="00EE5FEA">
      <w:pPr>
        <w:pStyle w:val="paragraphsub"/>
        <w:shd w:val="clear" w:color="auto" w:fill="D9D9D9" w:themeFill="background1" w:themeFillShade="D9"/>
        <w:tabs>
          <w:tab w:val="left" w:pos="1418"/>
        </w:tabs>
        <w:spacing w:before="0" w:beforeAutospacing="0" w:after="60" w:afterAutospacing="0"/>
        <w:ind w:left="1571" w:hanging="1004"/>
        <w:rPr>
          <w:rFonts w:ascii="Arial" w:hAnsi="Arial"/>
          <w:color w:val="000000" w:themeColor="text1"/>
          <w:sz w:val="22"/>
          <w:lang w:eastAsia="en-US"/>
        </w:rPr>
      </w:pPr>
      <w:r w:rsidRPr="00891E25" w:rsidDel="000D77B1">
        <w:rPr>
          <w:rFonts w:ascii="Arial" w:hAnsi="Arial"/>
          <w:color w:val="000000" w:themeColor="text1"/>
          <w:sz w:val="22"/>
          <w:lang w:eastAsia="en-US"/>
        </w:rPr>
        <w:t xml:space="preserve"> </w:t>
      </w:r>
      <w:r w:rsidR="00891E25" w:rsidRPr="00891E25">
        <w:rPr>
          <w:rFonts w:ascii="Arial" w:hAnsi="Arial"/>
          <w:color w:val="000000" w:themeColor="text1"/>
          <w:sz w:val="22"/>
          <w:lang w:eastAsia="en-US"/>
        </w:rPr>
        <w:t>(i)  replace an anatomical body part or</w:t>
      </w:r>
    </w:p>
    <w:p w14:paraId="7A721965" w14:textId="17D5F6DC" w:rsidR="00891E25" w:rsidRPr="00891E25" w:rsidRDefault="000D77B1" w:rsidP="00EE5FEA">
      <w:pPr>
        <w:pStyle w:val="paragraphsub"/>
        <w:shd w:val="clear" w:color="auto" w:fill="D9D9D9" w:themeFill="background1" w:themeFillShade="D9"/>
        <w:tabs>
          <w:tab w:val="left" w:pos="1418"/>
        </w:tabs>
        <w:spacing w:before="0" w:beforeAutospacing="0" w:after="60" w:afterAutospacing="0"/>
        <w:ind w:left="1571" w:hanging="1004"/>
        <w:rPr>
          <w:rFonts w:ascii="Arial" w:hAnsi="Arial"/>
          <w:color w:val="000000" w:themeColor="text1"/>
          <w:sz w:val="22"/>
          <w:lang w:eastAsia="en-US"/>
        </w:rPr>
      </w:pPr>
      <w:r w:rsidRPr="00891E25" w:rsidDel="000D77B1">
        <w:rPr>
          <w:rFonts w:ascii="Arial" w:hAnsi="Arial"/>
          <w:color w:val="000000" w:themeColor="text1"/>
          <w:sz w:val="22"/>
          <w:lang w:eastAsia="en-US"/>
        </w:rPr>
        <w:t xml:space="preserve"> </w:t>
      </w:r>
      <w:r w:rsidR="00891E25" w:rsidRPr="00891E25">
        <w:rPr>
          <w:rFonts w:ascii="Arial" w:hAnsi="Arial"/>
          <w:color w:val="000000" w:themeColor="text1"/>
          <w:sz w:val="22"/>
          <w:lang w:eastAsia="en-US"/>
        </w:rPr>
        <w:t>(ii)  combat a pathological process or</w:t>
      </w:r>
    </w:p>
    <w:p w14:paraId="06452B89" w14:textId="066C1371" w:rsidR="00891E25" w:rsidRPr="00891E25" w:rsidRDefault="00891E25" w:rsidP="00EE5FEA">
      <w:pPr>
        <w:pStyle w:val="paragraphsub"/>
        <w:shd w:val="clear" w:color="auto" w:fill="D9D9D9" w:themeFill="background1" w:themeFillShade="D9"/>
        <w:tabs>
          <w:tab w:val="left" w:pos="1418"/>
        </w:tabs>
        <w:spacing w:before="0" w:beforeAutospacing="0" w:after="60" w:afterAutospacing="0"/>
        <w:ind w:left="1571" w:hanging="1004"/>
        <w:rPr>
          <w:rFonts w:ascii="Arial" w:hAnsi="Arial"/>
          <w:color w:val="000000" w:themeColor="text1"/>
          <w:sz w:val="22"/>
          <w:lang w:eastAsia="en-US"/>
        </w:rPr>
      </w:pPr>
      <w:r w:rsidRPr="00891E25">
        <w:rPr>
          <w:rFonts w:ascii="Arial" w:hAnsi="Arial"/>
          <w:color w:val="000000" w:themeColor="text1"/>
          <w:sz w:val="22"/>
          <w:lang w:eastAsia="en-US"/>
        </w:rPr>
        <w:t xml:space="preserve"> (iii)  modulate a physiological process or</w:t>
      </w:r>
    </w:p>
    <w:p w14:paraId="26A3D35B" w14:textId="3AD5234F" w:rsidR="00891E25" w:rsidRPr="00891E25" w:rsidRDefault="00891E25" w:rsidP="00EE5FEA">
      <w:pPr>
        <w:pStyle w:val="paragraph"/>
        <w:shd w:val="clear" w:color="auto" w:fill="D9D9D9" w:themeFill="background1" w:themeFillShade="D9"/>
        <w:spacing w:before="0" w:beforeAutospacing="0" w:after="60" w:afterAutospacing="0"/>
        <w:ind w:left="567" w:hanging="425"/>
        <w:rPr>
          <w:rFonts w:ascii="Arial" w:hAnsi="Arial"/>
          <w:color w:val="000000" w:themeColor="text1"/>
          <w:sz w:val="22"/>
          <w:lang w:eastAsia="en-US"/>
        </w:rPr>
      </w:pPr>
      <w:r w:rsidRPr="00891E25">
        <w:rPr>
          <w:rFonts w:ascii="Arial" w:hAnsi="Arial"/>
          <w:color w:val="000000" w:themeColor="text1"/>
          <w:sz w:val="22"/>
          <w:lang w:eastAsia="en-US"/>
        </w:rPr>
        <w:t>(b)  must:</w:t>
      </w:r>
    </w:p>
    <w:p w14:paraId="75F00074" w14:textId="5D8DA94F" w:rsidR="00891E25" w:rsidRPr="00891E25" w:rsidRDefault="000D77B1" w:rsidP="00EE5FEA">
      <w:pPr>
        <w:pStyle w:val="paragraphsub"/>
        <w:shd w:val="clear" w:color="auto" w:fill="D9D9D9" w:themeFill="background1" w:themeFillShade="D9"/>
        <w:spacing w:before="0" w:beforeAutospacing="0" w:after="60" w:afterAutospacing="0"/>
        <w:ind w:left="1701" w:hanging="1134"/>
        <w:rPr>
          <w:rFonts w:ascii="Arial" w:hAnsi="Arial"/>
          <w:color w:val="000000" w:themeColor="text1"/>
          <w:sz w:val="22"/>
          <w:szCs w:val="22"/>
          <w:lang w:eastAsia="en-US"/>
        </w:rPr>
      </w:pPr>
      <w:r w:rsidRPr="69B50E6D" w:rsidDel="000D77B1">
        <w:rPr>
          <w:rFonts w:ascii="Arial" w:hAnsi="Arial"/>
          <w:color w:val="000000" w:themeColor="text1"/>
          <w:sz w:val="22"/>
          <w:szCs w:val="22"/>
          <w:lang w:eastAsia="en-US"/>
        </w:rPr>
        <w:t xml:space="preserve"> </w:t>
      </w:r>
      <w:r w:rsidR="00891E25" w:rsidRPr="69B50E6D">
        <w:rPr>
          <w:rFonts w:ascii="Arial" w:hAnsi="Arial"/>
          <w:color w:val="000000" w:themeColor="text1"/>
          <w:sz w:val="22"/>
          <w:szCs w:val="22"/>
          <w:lang w:eastAsia="en-US"/>
        </w:rPr>
        <w:t>(i)  be specifically designed as an integral single</w:t>
      </w:r>
      <w:r w:rsidR="1B272A2D" w:rsidRPr="69B50E6D">
        <w:rPr>
          <w:rFonts w:ascii="Arial" w:hAnsi="Arial"/>
          <w:color w:val="000000" w:themeColor="text1"/>
          <w:sz w:val="22"/>
          <w:szCs w:val="22"/>
          <w:lang w:eastAsia="en-US"/>
        </w:rPr>
        <w:t xml:space="preserve"> </w:t>
      </w:r>
      <w:r w:rsidR="00891E25" w:rsidRPr="69B50E6D">
        <w:rPr>
          <w:rFonts w:ascii="Arial" w:hAnsi="Arial"/>
          <w:color w:val="000000" w:themeColor="text1"/>
          <w:sz w:val="22"/>
          <w:szCs w:val="22"/>
          <w:lang w:eastAsia="en-US"/>
        </w:rPr>
        <w:t>use aid and be essential for implanting a device mentioned in paragraph (a) and</w:t>
      </w:r>
    </w:p>
    <w:p w14:paraId="134E5D67" w14:textId="3E43A04A" w:rsidR="00891E25" w:rsidRPr="00891E25" w:rsidRDefault="00891E25" w:rsidP="00EE5FEA">
      <w:pPr>
        <w:pStyle w:val="paragraphsub"/>
        <w:shd w:val="clear" w:color="auto" w:fill="D9D9D9" w:themeFill="background1" w:themeFillShade="D9"/>
        <w:spacing w:before="0" w:beforeAutospacing="0" w:after="60" w:afterAutospacing="0"/>
        <w:ind w:left="1701" w:hanging="1134"/>
        <w:rPr>
          <w:rFonts w:ascii="Arial" w:hAnsi="Arial"/>
          <w:color w:val="000000" w:themeColor="text1"/>
          <w:sz w:val="22"/>
          <w:lang w:eastAsia="en-US"/>
        </w:rPr>
      </w:pPr>
      <w:r w:rsidRPr="00891E25">
        <w:rPr>
          <w:rFonts w:ascii="Arial" w:hAnsi="Arial"/>
          <w:color w:val="000000" w:themeColor="text1"/>
          <w:sz w:val="22"/>
          <w:lang w:eastAsia="en-US"/>
        </w:rPr>
        <w:lastRenderedPageBreak/>
        <w:t xml:space="preserve"> (ii)  be designed for use for the patient in whom the device mentioned in paragraph (a) is intended to be implanted or</w:t>
      </w:r>
    </w:p>
    <w:p w14:paraId="4061E440" w14:textId="1DB865AB" w:rsidR="00891E25" w:rsidRPr="00891E25" w:rsidRDefault="00891E25" w:rsidP="00EE5FEA">
      <w:pPr>
        <w:pStyle w:val="paragraph"/>
        <w:shd w:val="clear" w:color="auto" w:fill="D9D9D9" w:themeFill="background1" w:themeFillShade="D9"/>
        <w:spacing w:before="0" w:beforeAutospacing="0" w:after="60" w:afterAutospacing="0"/>
        <w:ind w:left="993" w:hanging="851"/>
        <w:rPr>
          <w:rFonts w:ascii="Arial" w:hAnsi="Arial"/>
          <w:color w:val="000000" w:themeColor="text1"/>
          <w:sz w:val="22"/>
          <w:lang w:eastAsia="en-US"/>
        </w:rPr>
      </w:pPr>
      <w:r w:rsidRPr="00891E25">
        <w:rPr>
          <w:rFonts w:ascii="Arial" w:hAnsi="Arial"/>
          <w:color w:val="000000" w:themeColor="text1"/>
          <w:sz w:val="22"/>
          <w:lang w:eastAsia="en-US"/>
        </w:rPr>
        <w:t>(c)  must be:</w:t>
      </w:r>
    </w:p>
    <w:p w14:paraId="067E4F0F" w14:textId="47674963" w:rsidR="00891E25" w:rsidRPr="00891E25" w:rsidRDefault="000D77B1" w:rsidP="00EE5FEA">
      <w:pPr>
        <w:pStyle w:val="paragraphsub"/>
        <w:shd w:val="clear" w:color="auto" w:fill="D9D9D9" w:themeFill="background1" w:themeFillShade="D9"/>
        <w:spacing w:before="0" w:beforeAutospacing="0" w:after="60" w:afterAutospacing="0"/>
        <w:ind w:left="1701" w:hanging="1134"/>
        <w:rPr>
          <w:rFonts w:ascii="Arial" w:hAnsi="Arial"/>
          <w:color w:val="000000" w:themeColor="text1"/>
          <w:sz w:val="22"/>
          <w:lang w:eastAsia="en-US"/>
        </w:rPr>
      </w:pPr>
      <w:r w:rsidRPr="00891E25" w:rsidDel="000D77B1">
        <w:rPr>
          <w:rFonts w:ascii="Arial" w:hAnsi="Arial"/>
          <w:color w:val="000000" w:themeColor="text1"/>
          <w:sz w:val="22"/>
          <w:lang w:eastAsia="en-US"/>
        </w:rPr>
        <w:t xml:space="preserve"> </w:t>
      </w:r>
      <w:r w:rsidR="00891E25" w:rsidRPr="00891E25">
        <w:rPr>
          <w:rFonts w:ascii="Arial" w:hAnsi="Arial"/>
          <w:color w:val="000000" w:themeColor="text1"/>
          <w:sz w:val="22"/>
          <w:lang w:eastAsia="en-US"/>
        </w:rPr>
        <w:t>(i)  critical to the continued functioning of an implanted device mentioned in paragraph (a) and</w:t>
      </w:r>
    </w:p>
    <w:p w14:paraId="36ABA3D4" w14:textId="60774357" w:rsidR="00891E25" w:rsidRPr="00891E25" w:rsidRDefault="00891E25" w:rsidP="00EE5FEA">
      <w:pPr>
        <w:pStyle w:val="paragraphsub"/>
        <w:shd w:val="clear" w:color="auto" w:fill="D9D9D9" w:themeFill="background1" w:themeFillShade="D9"/>
        <w:spacing w:before="0" w:beforeAutospacing="0" w:after="60" w:afterAutospacing="0"/>
        <w:ind w:left="1701" w:hanging="1134"/>
        <w:rPr>
          <w:rFonts w:ascii="Arial" w:hAnsi="Arial"/>
          <w:color w:val="000000" w:themeColor="text1"/>
          <w:sz w:val="22"/>
          <w:lang w:eastAsia="en-US"/>
        </w:rPr>
      </w:pPr>
      <w:r w:rsidRPr="00891E25">
        <w:rPr>
          <w:rFonts w:ascii="Arial" w:hAnsi="Arial"/>
          <w:color w:val="000000" w:themeColor="text1"/>
          <w:sz w:val="22"/>
          <w:lang w:eastAsia="en-US"/>
        </w:rPr>
        <w:t xml:space="preserve"> (ii)  only suitable for use by the patient in whom the device mentioned in paragraph (a) is implanted.</w:t>
      </w:r>
    </w:p>
    <w:p w14:paraId="4A665D16" w14:textId="457E40CC" w:rsidR="002A19AF" w:rsidRDefault="002A19AF" w:rsidP="00943979">
      <w:r>
        <w:t xml:space="preserve">The meaning of </w:t>
      </w:r>
      <w:r w:rsidRPr="002A19AF">
        <w:t xml:space="preserve">‘implantable medical device’ and ‘active implantable medical device’ </w:t>
      </w:r>
      <w:r>
        <w:t xml:space="preserve">is the same as provided </w:t>
      </w:r>
      <w:r w:rsidRPr="002A19AF">
        <w:t>in the Therapeutic Goods (Medical Devices) Regulations 2002.</w:t>
      </w:r>
    </w:p>
    <w:p w14:paraId="4D21A614" w14:textId="148849C1" w:rsidR="00657916" w:rsidRDefault="002F4A9F" w:rsidP="004E5BC5">
      <w:pPr>
        <w:shd w:val="clear" w:color="auto" w:fill="D9D9D9" w:themeFill="background1" w:themeFillShade="D9"/>
      </w:pPr>
      <w:r>
        <w:t xml:space="preserve">Single-use </w:t>
      </w:r>
      <w:r w:rsidR="00263CA0" w:rsidRPr="00263CA0">
        <w:t>device means a device that is intended to be used on one individual during a single procedure</w:t>
      </w:r>
      <w:r w:rsidR="006F6C41">
        <w:t xml:space="preserve"> and </w:t>
      </w:r>
      <w:r>
        <w:t>once used, the device cannot be used again and may only be discarded, and the expression ‘integral’ has its common meaning.</w:t>
      </w:r>
    </w:p>
    <w:p w14:paraId="3AE07534" w14:textId="3E8E4764" w:rsidR="002F4A9F" w:rsidRDefault="002F4A9F" w:rsidP="00657916">
      <w:r>
        <w:t>These criteria effectively mean that there is a</w:t>
      </w:r>
      <w:r w:rsidR="0035295C">
        <w:t>n implantable</w:t>
      </w:r>
      <w:r>
        <w:t xml:space="preserve"> device in (a) </w:t>
      </w:r>
      <w:r w:rsidR="0019011C">
        <w:t xml:space="preserve">[listed or to be listed on the PL] </w:t>
      </w:r>
      <w:r>
        <w:t>with which the device</w:t>
      </w:r>
      <w:r w:rsidR="0019011C">
        <w:t>s</w:t>
      </w:r>
      <w:r>
        <w:t xml:space="preserve"> in (b) or (c) </w:t>
      </w:r>
      <w:r w:rsidR="0019011C">
        <w:t xml:space="preserve">are </w:t>
      </w:r>
      <w:r>
        <w:t>designed to be used with.</w:t>
      </w:r>
      <w:r w:rsidR="0019011C">
        <w:t xml:space="preserve"> </w:t>
      </w:r>
      <w:r>
        <w:t xml:space="preserve">Non-implantable devices do not meet the </w:t>
      </w:r>
      <w:r w:rsidR="006A30A6">
        <w:t xml:space="preserve">Part A </w:t>
      </w:r>
      <w:r>
        <w:t>criteria for listing if such connection in the design does not exist.</w:t>
      </w:r>
    </w:p>
    <w:p w14:paraId="68943837" w14:textId="2794C081" w:rsidR="002F4A9F" w:rsidRPr="0097442B" w:rsidRDefault="002F4A9F" w:rsidP="00943BC6">
      <w:pPr>
        <w:pStyle w:val="paragraph"/>
        <w:shd w:val="clear" w:color="auto" w:fill="D9D9D9" w:themeFill="background1" w:themeFillShade="D9"/>
        <w:spacing w:beforeLines="60" w:before="144" w:beforeAutospacing="0" w:after="60" w:afterAutospacing="0"/>
        <w:rPr>
          <w:rFonts w:ascii="Arial" w:hAnsi="Arial"/>
          <w:color w:val="000000" w:themeColor="text1"/>
          <w:sz w:val="22"/>
          <w:lang w:eastAsia="en-US"/>
        </w:rPr>
      </w:pPr>
      <w:r w:rsidRPr="0097442B">
        <w:rPr>
          <w:rFonts w:ascii="Arial" w:hAnsi="Arial"/>
          <w:color w:val="000000" w:themeColor="text1"/>
          <w:sz w:val="22"/>
          <w:lang w:eastAsia="en-US"/>
        </w:rPr>
        <w:t>A medical device for listing in Part A must not be designed to be solely used for diagnosis, prediction or prognosis.</w:t>
      </w:r>
    </w:p>
    <w:p w14:paraId="1D3160B8" w14:textId="77777777" w:rsidR="0097442B" w:rsidRPr="0097442B" w:rsidRDefault="00E87342" w:rsidP="00943BC6">
      <w:pPr>
        <w:pStyle w:val="paragraph"/>
        <w:shd w:val="clear" w:color="auto" w:fill="D9D9D9" w:themeFill="background1" w:themeFillShade="D9"/>
        <w:spacing w:beforeLines="60" w:before="144" w:beforeAutospacing="0" w:after="60" w:afterAutospacing="0"/>
        <w:rPr>
          <w:rFonts w:ascii="Arial" w:hAnsi="Arial"/>
          <w:sz w:val="22"/>
          <w:lang w:eastAsia="en-US"/>
        </w:rPr>
      </w:pPr>
      <w:r w:rsidRPr="0097442B">
        <w:rPr>
          <w:rFonts w:ascii="Arial" w:hAnsi="Arial"/>
          <w:sz w:val="22"/>
          <w:lang w:eastAsia="en-US"/>
        </w:rPr>
        <w:t xml:space="preserve">A medical device must be for a specific treatment and indication. </w:t>
      </w:r>
    </w:p>
    <w:p w14:paraId="4D027B43" w14:textId="1B90CDBC" w:rsidR="002F4A9F" w:rsidRDefault="00E87342" w:rsidP="00657916">
      <w:r>
        <w:t>This means that the medical device is specifically designed to deliver the main treatment or be part of the main treatment rather than be designed to be supplementary to the main treatments or provide general support during a variety of different procedures.</w:t>
      </w:r>
    </w:p>
    <w:p w14:paraId="301BB8CF" w14:textId="735593D4" w:rsidR="00E87342" w:rsidRPr="0097442B" w:rsidRDefault="00E87342" w:rsidP="00943BC6">
      <w:pPr>
        <w:pStyle w:val="paragraph"/>
        <w:shd w:val="clear" w:color="auto" w:fill="D9D9D9" w:themeFill="background1" w:themeFillShade="D9"/>
        <w:spacing w:beforeLines="60" w:before="144" w:beforeAutospacing="0" w:after="60" w:afterAutospacing="0"/>
        <w:rPr>
          <w:rFonts w:ascii="Arial" w:hAnsi="Arial"/>
          <w:color w:val="000000" w:themeColor="text1"/>
          <w:sz w:val="22"/>
          <w:lang w:eastAsia="en-US"/>
        </w:rPr>
      </w:pPr>
      <w:bookmarkStart w:id="68" w:name="_Hlk148887672"/>
      <w:r w:rsidRPr="0097442B">
        <w:rPr>
          <w:rFonts w:ascii="Arial" w:hAnsi="Arial"/>
          <w:color w:val="000000" w:themeColor="text1"/>
          <w:sz w:val="22"/>
          <w:lang w:eastAsia="en-US"/>
        </w:rPr>
        <w:t xml:space="preserve">A medical device must be assessed to be no less clinically effective than the alternative devices listed </w:t>
      </w:r>
      <w:r w:rsidR="00702B78">
        <w:rPr>
          <w:rFonts w:ascii="Arial" w:hAnsi="Arial"/>
          <w:color w:val="000000" w:themeColor="text1"/>
          <w:sz w:val="22"/>
          <w:lang w:eastAsia="en-US"/>
        </w:rPr>
        <w:t>o</w:t>
      </w:r>
      <w:r w:rsidR="00702B78" w:rsidRPr="0097442B">
        <w:rPr>
          <w:rFonts w:ascii="Arial" w:hAnsi="Arial"/>
          <w:color w:val="000000" w:themeColor="text1"/>
          <w:sz w:val="22"/>
          <w:lang w:eastAsia="en-US"/>
        </w:rPr>
        <w:t xml:space="preserve">n </w:t>
      </w:r>
      <w:r w:rsidRPr="0097442B">
        <w:rPr>
          <w:rFonts w:ascii="Arial" w:hAnsi="Arial"/>
          <w:color w:val="000000" w:themeColor="text1"/>
          <w:sz w:val="22"/>
          <w:lang w:eastAsia="en-US"/>
        </w:rPr>
        <w:t xml:space="preserve">the </w:t>
      </w:r>
      <w:r w:rsidR="001B593F" w:rsidRPr="0097442B">
        <w:rPr>
          <w:rFonts w:ascii="Arial" w:hAnsi="Arial"/>
          <w:color w:val="000000" w:themeColor="text1"/>
          <w:sz w:val="22"/>
          <w:lang w:eastAsia="en-US"/>
        </w:rPr>
        <w:t>PL</w:t>
      </w:r>
      <w:r w:rsidRPr="0097442B">
        <w:rPr>
          <w:rFonts w:ascii="Arial" w:hAnsi="Arial"/>
          <w:color w:val="000000" w:themeColor="text1"/>
          <w:sz w:val="22"/>
          <w:lang w:eastAsia="en-US"/>
        </w:rPr>
        <w:t xml:space="preserve"> or the alternative treatments </w:t>
      </w:r>
      <w:r w:rsidR="001E62F8">
        <w:rPr>
          <w:rFonts w:ascii="Arial" w:hAnsi="Arial"/>
          <w:color w:val="000000" w:themeColor="text1"/>
          <w:sz w:val="22"/>
          <w:lang w:eastAsia="en-US"/>
        </w:rPr>
        <w:t>[</w:t>
      </w:r>
      <w:r w:rsidR="001E62F8" w:rsidRPr="004E5BC5">
        <w:rPr>
          <w:rFonts w:ascii="Arial" w:hAnsi="Arial"/>
          <w:b/>
          <w:bCs/>
          <w:i/>
          <w:iCs/>
          <w:color w:val="000000" w:themeColor="text1"/>
          <w:sz w:val="22"/>
          <w:lang w:eastAsia="en-US"/>
        </w:rPr>
        <w:t>the comparators</w:t>
      </w:r>
      <w:r w:rsidR="001E62F8">
        <w:rPr>
          <w:rFonts w:ascii="Arial" w:hAnsi="Arial"/>
          <w:color w:val="000000" w:themeColor="text1"/>
          <w:sz w:val="22"/>
          <w:lang w:eastAsia="en-US"/>
        </w:rPr>
        <w:t xml:space="preserve">] </w:t>
      </w:r>
      <w:r w:rsidRPr="0097442B">
        <w:rPr>
          <w:rFonts w:ascii="Arial" w:hAnsi="Arial"/>
          <w:color w:val="000000" w:themeColor="text1"/>
          <w:sz w:val="22"/>
          <w:lang w:eastAsia="en-US"/>
        </w:rPr>
        <w:t>and the benefit amount for the medical device must be proportionate to the clinical effectiveness of the device.</w:t>
      </w:r>
    </w:p>
    <w:p w14:paraId="653B8A1D" w14:textId="4CE0C173" w:rsidR="007F58F5" w:rsidRDefault="00EA4876" w:rsidP="00657916">
      <w:bookmarkStart w:id="69" w:name="_Hlk148887607"/>
      <w:r>
        <w:t>For the</w:t>
      </w:r>
      <w:r w:rsidR="00702B78">
        <w:t xml:space="preserve"> devices that are </w:t>
      </w:r>
      <w:r w:rsidR="006B1647">
        <w:t xml:space="preserve">sufficiently </w:t>
      </w:r>
      <w:r w:rsidR="00702B78">
        <w:t xml:space="preserve">similar to other </w:t>
      </w:r>
      <w:r w:rsidR="001E62F8">
        <w:t xml:space="preserve">comparator </w:t>
      </w:r>
      <w:r w:rsidR="00702B78">
        <w:t>devices already listed on the</w:t>
      </w:r>
      <w:r w:rsidR="001E62F8">
        <w:t> </w:t>
      </w:r>
      <w:r w:rsidR="00702B78">
        <w:t>PL</w:t>
      </w:r>
      <w:r>
        <w:t xml:space="preserve">, </w:t>
      </w:r>
      <w:r w:rsidR="00702B78">
        <w:t>s</w:t>
      </w:r>
      <w:r w:rsidR="0097442B">
        <w:t>ponsors</w:t>
      </w:r>
      <w:r w:rsidR="006B1647">
        <w:t xml:space="preserve"> are required to demonstrate similarity in respect to the designs, materials, characteristics, etc of their device with the existing devices and provide </w:t>
      </w:r>
      <w:r w:rsidR="0097442B">
        <w:t xml:space="preserve">sufficient evidence </w:t>
      </w:r>
      <w:r w:rsidR="007F58F5">
        <w:t>to demonstrate t</w:t>
      </w:r>
      <w:r w:rsidR="0097442B">
        <w:t xml:space="preserve">hat their device is no less clinically effective than </w:t>
      </w:r>
      <w:r w:rsidR="007F58F5">
        <w:t>the comparators</w:t>
      </w:r>
      <w:r w:rsidR="006B1647">
        <w:t>. If application is successful, the b</w:t>
      </w:r>
      <w:r w:rsidR="007F58F5">
        <w:t>illing code</w:t>
      </w:r>
      <w:r w:rsidR="006B1647">
        <w:t xml:space="preserve"> </w:t>
      </w:r>
      <w:r w:rsidR="007F58F5">
        <w:t xml:space="preserve">will be </w:t>
      </w:r>
      <w:r w:rsidR="00702B78">
        <w:t xml:space="preserve">listed in one of the existing grouping </w:t>
      </w:r>
      <w:r w:rsidR="006B1647">
        <w:t>with</w:t>
      </w:r>
      <w:r w:rsidR="007F58F5">
        <w:t xml:space="preserve"> the</w:t>
      </w:r>
      <w:r w:rsidR="007F58F5" w:rsidRPr="007F58F5">
        <w:t xml:space="preserve"> benefit </w:t>
      </w:r>
      <w:r w:rsidR="007F58F5">
        <w:t xml:space="preserve">set up for </w:t>
      </w:r>
      <w:r w:rsidR="006B1647">
        <w:t>that</w:t>
      </w:r>
      <w:r w:rsidR="007F58F5">
        <w:t xml:space="preserve"> grouping.</w:t>
      </w:r>
    </w:p>
    <w:p w14:paraId="4B30D324" w14:textId="78F8F2C8" w:rsidR="00FC4BDC" w:rsidRDefault="00554154" w:rsidP="005E1615">
      <w:r w:rsidRPr="00963D14">
        <w:t>However,</w:t>
      </w:r>
      <w:r w:rsidR="006B1647" w:rsidRPr="00963D14">
        <w:t xml:space="preserve"> </w:t>
      </w:r>
      <w:r w:rsidR="00EA4876" w:rsidRPr="00963D14">
        <w:t xml:space="preserve">for </w:t>
      </w:r>
      <w:r w:rsidR="006B1647" w:rsidRPr="00963D14">
        <w:t>the device</w:t>
      </w:r>
      <w:r w:rsidR="00EA4876" w:rsidRPr="00963D14">
        <w:t xml:space="preserve">s for which there are no similar </w:t>
      </w:r>
      <w:r w:rsidR="006B1647" w:rsidRPr="00963D14">
        <w:t>device</w:t>
      </w:r>
      <w:r w:rsidR="00EA4876" w:rsidRPr="00963D14">
        <w:t>s</w:t>
      </w:r>
      <w:r w:rsidR="006B1647" w:rsidRPr="00963D14">
        <w:t xml:space="preserve"> listed on the PL, </w:t>
      </w:r>
      <w:r w:rsidR="00EA4876" w:rsidRPr="00963D14">
        <w:t xml:space="preserve">sponsors are required to provide </w:t>
      </w:r>
      <w:r w:rsidR="00963D14" w:rsidRPr="00963D14">
        <w:t xml:space="preserve">comparison </w:t>
      </w:r>
      <w:r w:rsidR="00EA4876" w:rsidRPr="00963D14">
        <w:t xml:space="preserve">with the available </w:t>
      </w:r>
      <w:r w:rsidR="00E87342" w:rsidRPr="00963D14">
        <w:t>treatments</w:t>
      </w:r>
      <w:r w:rsidR="00EA4876" w:rsidRPr="00963D14">
        <w:t xml:space="preserve"> that are considered to be </w:t>
      </w:r>
      <w:r w:rsidR="00E87342">
        <w:t xml:space="preserve">the current standard of care for the </w:t>
      </w:r>
      <w:r w:rsidR="00963D14">
        <w:t xml:space="preserve">same </w:t>
      </w:r>
      <w:r w:rsidR="00E87342">
        <w:t>condition or indication.</w:t>
      </w:r>
      <w:r w:rsidR="007F58F5">
        <w:t xml:space="preserve"> The assessment</w:t>
      </w:r>
      <w:r w:rsidR="005E1615">
        <w:t>s</w:t>
      </w:r>
      <w:r w:rsidR="007F58F5">
        <w:t xml:space="preserve"> of </w:t>
      </w:r>
      <w:r w:rsidR="005E1615" w:rsidRPr="005E1615">
        <w:t xml:space="preserve">comparative clinical effectiveness </w:t>
      </w:r>
      <w:r w:rsidR="007F58F5">
        <w:t xml:space="preserve">and cost-effectiveness </w:t>
      </w:r>
      <w:r w:rsidR="005E1615">
        <w:t>are required to establish eligibility of the device for listing on the PL and set up an appropriate benefit</w:t>
      </w:r>
      <w:r w:rsidR="00FC4BDC">
        <w:t>.</w:t>
      </w:r>
    </w:p>
    <w:p w14:paraId="7B7BB65A" w14:textId="41B75C1C" w:rsidR="00C93893" w:rsidRDefault="00C93893" w:rsidP="00C93893">
      <w:pPr>
        <w:pStyle w:val="Heading2"/>
      </w:pPr>
      <w:bookmarkStart w:id="70" w:name="_Toc149228505"/>
      <w:bookmarkEnd w:id="68"/>
      <w:bookmarkEnd w:id="69"/>
      <w:r>
        <w:t xml:space="preserve">Listing criteria for human tissue products to be listed </w:t>
      </w:r>
      <w:r w:rsidR="00BD58CD">
        <w:t>i</w:t>
      </w:r>
      <w:r>
        <w:t>n Part B</w:t>
      </w:r>
      <w:bookmarkEnd w:id="70"/>
    </w:p>
    <w:p w14:paraId="79CC8DD0" w14:textId="3F0A762F" w:rsidR="00C93893" w:rsidRDefault="00C93893" w:rsidP="00C93893">
      <w:r>
        <w:t xml:space="preserve">Only human tissue products may be listed in Part B of the </w:t>
      </w:r>
      <w:r w:rsidR="00467004">
        <w:t>PL</w:t>
      </w:r>
      <w:r w:rsidR="00AA1564">
        <w:t xml:space="preserve"> (</w:t>
      </w:r>
      <w:r w:rsidR="0048552E">
        <w:t xml:space="preserve">as defined </w:t>
      </w:r>
      <w:r w:rsidR="00AA1564">
        <w:t xml:space="preserve">in </w:t>
      </w:r>
      <w:r w:rsidR="0048552E">
        <w:t xml:space="preserve">section 72-12 of the </w:t>
      </w:r>
      <w:r w:rsidR="0048552E">
        <w:rPr>
          <w:i/>
          <w:iCs/>
        </w:rPr>
        <w:t>Private Health Insurance Act 2007</w:t>
      </w:r>
      <w:r w:rsidR="0048552E">
        <w:t>)</w:t>
      </w:r>
      <w:r w:rsidR="00314DB3">
        <w:t xml:space="preserve"> </w:t>
      </w:r>
      <w:r w:rsidR="00DF24E8">
        <w:t>as per s14 of the Rules</w:t>
      </w:r>
      <w:r w:rsidR="00314DB3">
        <w:t>.</w:t>
      </w:r>
    </w:p>
    <w:p w14:paraId="3FD9D1C5" w14:textId="343EEC0A" w:rsidR="00BD58CD" w:rsidRDefault="00BD58CD" w:rsidP="00BD58CD">
      <w:pPr>
        <w:pStyle w:val="Heading2"/>
      </w:pPr>
      <w:bookmarkStart w:id="71" w:name="_Toc149228506"/>
      <w:r>
        <w:lastRenderedPageBreak/>
        <w:t>Listing criteria for medical devices to be listed in Part C</w:t>
      </w:r>
      <w:bookmarkEnd w:id="71"/>
    </w:p>
    <w:p w14:paraId="7F235E33" w14:textId="0DDF5D03" w:rsidR="00335F69" w:rsidRPr="00422B91" w:rsidRDefault="00D830DB" w:rsidP="003A4FCA">
      <w:r w:rsidRPr="00D830DB">
        <w:t xml:space="preserve">Part C lists medical devices from specified groups explicitly </w:t>
      </w:r>
      <w:r w:rsidR="00024540">
        <w:t xml:space="preserve">stated </w:t>
      </w:r>
      <w:r w:rsidR="00915482" w:rsidRPr="00915482">
        <w:t xml:space="preserve">in </w:t>
      </w:r>
      <w:r w:rsidR="00915482">
        <w:t>section</w:t>
      </w:r>
      <w:r w:rsidR="00915482" w:rsidRPr="00915482">
        <w:t xml:space="preserve"> 15 of the MDHTP Rules</w:t>
      </w:r>
      <w:r w:rsidR="0092097E">
        <w:t>. These groups are</w:t>
      </w:r>
      <w:r w:rsidR="003A4FCA">
        <w:t xml:space="preserve"> stated below. </w:t>
      </w:r>
    </w:p>
    <w:p w14:paraId="0AE1BD79" w14:textId="2B027191"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(a)  an insulin infusion pump</w:t>
      </w:r>
    </w:p>
    <w:p w14:paraId="112E70A6" w14:textId="17CB9CDF"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(b)  an electronic device and software designed to control an insulin infusion pump</w:t>
      </w:r>
    </w:p>
    <w:p w14:paraId="3DA451CB" w14:textId="794DDEA4"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(c)  an implantable cardiac event recorder</w:t>
      </w:r>
    </w:p>
    <w:p w14:paraId="63E2A924" w14:textId="3B632C4B"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(d)  a cardiac home/remote monitoring system</w:t>
      </w:r>
    </w:p>
    <w:p w14:paraId="097FC676" w14:textId="66A716AE"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(e)  an irrigated cardiac ablation catheter</w:t>
      </w:r>
    </w:p>
    <w:p w14:paraId="05ED646D" w14:textId="331DFE75"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(f)  a mapping catheter for catheter cardiac ablation</w:t>
      </w:r>
    </w:p>
    <w:p w14:paraId="7F326EFA" w14:textId="20B7A1E7"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(g)  a patch for cardiac ablation</w:t>
      </w:r>
    </w:p>
    <w:p w14:paraId="4CD874AA" w14:textId="3FCAD4C3"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(h)  a monopolar device for surgical cardiac ablation</w:t>
      </w:r>
    </w:p>
    <w:p w14:paraId="270083BD" w14:textId="63511F5E"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(i)  a bipolar device for surgical cardiac ablation</w:t>
      </w:r>
    </w:p>
    <w:p w14:paraId="59CAA54D" w14:textId="3A2D53E2" w:rsidR="00335F69" w:rsidRPr="00422B91" w:rsidRDefault="00335F69"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Pr>
          <w:rFonts w:ascii="Arial" w:hAnsi="Arial"/>
          <w:color w:val="000000" w:themeColor="text1"/>
          <w:sz w:val="22"/>
          <w:lang w:eastAsia="en-US"/>
        </w:rPr>
        <w:t xml:space="preserve"> (j)  a system for surgical cardiac ablation</w:t>
      </w:r>
    </w:p>
    <w:p w14:paraId="4E346B4A" w14:textId="77F7CCCE"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(k)  a probe for surgical cardiac ablation</w:t>
      </w:r>
    </w:p>
    <w:p w14:paraId="4C04DA70" w14:textId="7878F484"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szCs w:val="22"/>
          <w:lang w:eastAsia="en-US"/>
        </w:rPr>
      </w:pPr>
      <w:r w:rsidRPr="69B50E6D" w:rsidDel="003A4FCA">
        <w:rPr>
          <w:rFonts w:ascii="Arial" w:hAnsi="Arial"/>
          <w:color w:val="000000" w:themeColor="text1"/>
          <w:sz w:val="22"/>
          <w:szCs w:val="22"/>
          <w:lang w:eastAsia="en-US"/>
        </w:rPr>
        <w:t xml:space="preserve"> </w:t>
      </w:r>
      <w:r w:rsidR="00335F69" w:rsidRPr="69B50E6D">
        <w:rPr>
          <w:rFonts w:ascii="Arial" w:hAnsi="Arial"/>
          <w:color w:val="000000" w:themeColor="text1"/>
          <w:sz w:val="22"/>
          <w:szCs w:val="22"/>
          <w:lang w:eastAsia="en-US"/>
        </w:rPr>
        <w:t xml:space="preserve">(l)  a </w:t>
      </w:r>
      <w:r w:rsidR="675147AB" w:rsidRPr="69B50E6D">
        <w:rPr>
          <w:rFonts w:ascii="Arial" w:hAnsi="Arial"/>
          <w:color w:val="000000" w:themeColor="text1"/>
          <w:sz w:val="22"/>
          <w:szCs w:val="22"/>
          <w:lang w:eastAsia="en-US"/>
        </w:rPr>
        <w:t>Non irrigated</w:t>
      </w:r>
      <w:r w:rsidR="00335F69" w:rsidRPr="69B50E6D">
        <w:rPr>
          <w:rFonts w:ascii="Arial" w:hAnsi="Arial"/>
          <w:color w:val="000000" w:themeColor="text1"/>
          <w:sz w:val="22"/>
          <w:szCs w:val="22"/>
          <w:lang w:eastAsia="en-US"/>
        </w:rPr>
        <w:t xml:space="preserve"> cardiac ablation catheter</w:t>
      </w:r>
    </w:p>
    <w:p w14:paraId="713CCB62" w14:textId="53496B8E" w:rsidR="00335F69" w:rsidRPr="00422B91" w:rsidRDefault="003A4FCA"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(m)  an intracardiac electrophysiology catheter</w:t>
      </w:r>
    </w:p>
    <w:p w14:paraId="4453607E" w14:textId="42B00D50" w:rsidR="00335F69" w:rsidRPr="00422B91" w:rsidRDefault="00335F69" w:rsidP="00BB1381">
      <w:pPr>
        <w:pStyle w:val="paragraph"/>
        <w:shd w:val="clear" w:color="auto" w:fill="D9D9D9" w:themeFill="background1" w:themeFillShade="D9"/>
        <w:spacing w:before="60" w:beforeAutospacing="0" w:after="60" w:afterAutospacing="0"/>
        <w:ind w:left="567" w:hanging="283"/>
        <w:rPr>
          <w:rFonts w:ascii="Arial" w:hAnsi="Arial"/>
          <w:color w:val="000000" w:themeColor="text1"/>
          <w:sz w:val="22"/>
          <w:lang w:eastAsia="en-US"/>
        </w:rPr>
      </w:pPr>
      <w:r w:rsidRPr="00422B91">
        <w:rPr>
          <w:rFonts w:ascii="Arial" w:hAnsi="Arial"/>
          <w:color w:val="000000" w:themeColor="text1"/>
          <w:sz w:val="22"/>
          <w:lang w:eastAsia="en-US"/>
        </w:rPr>
        <w:t xml:space="preserve"> (n)  a vascular drug eluting balloon catheter</w:t>
      </w:r>
    </w:p>
    <w:p w14:paraId="7F5301F6" w14:textId="77777777" w:rsidR="0035295C" w:rsidRDefault="003A4FCA" w:rsidP="00BB1381">
      <w:pPr>
        <w:pStyle w:val="paragraph"/>
        <w:shd w:val="clear" w:color="auto" w:fill="D9D9D9" w:themeFill="background1" w:themeFillShade="D9"/>
        <w:spacing w:before="40" w:beforeAutospacing="0" w:after="0" w:afterAutospacing="0"/>
        <w:ind w:left="567" w:hanging="283"/>
        <w:rPr>
          <w:rFonts w:ascii="Arial" w:hAnsi="Arial"/>
          <w:color w:val="000000" w:themeColor="text1"/>
          <w:sz w:val="22"/>
          <w:lang w:eastAsia="en-US"/>
        </w:rPr>
      </w:pPr>
      <w:r w:rsidRPr="00422B91" w:rsidDel="003A4FCA">
        <w:rPr>
          <w:rFonts w:ascii="Arial" w:hAnsi="Arial"/>
          <w:color w:val="000000" w:themeColor="text1"/>
          <w:sz w:val="22"/>
          <w:lang w:eastAsia="en-US"/>
        </w:rPr>
        <w:t xml:space="preserve"> </w:t>
      </w:r>
      <w:r w:rsidR="00335F69" w:rsidRPr="00422B91">
        <w:rPr>
          <w:rFonts w:ascii="Arial" w:hAnsi="Arial"/>
          <w:color w:val="000000" w:themeColor="text1"/>
          <w:sz w:val="22"/>
          <w:lang w:eastAsia="en-US"/>
        </w:rPr>
        <w:t>(o)  a coronary drug eluting balloon catheter</w:t>
      </w:r>
    </w:p>
    <w:p w14:paraId="4DA99F35" w14:textId="6214F922" w:rsidR="00335F69" w:rsidRPr="00422B91" w:rsidRDefault="00335F69" w:rsidP="00BB1381">
      <w:pPr>
        <w:pStyle w:val="paragraph"/>
        <w:shd w:val="clear" w:color="auto" w:fill="D9D9D9" w:themeFill="background1" w:themeFillShade="D9"/>
        <w:spacing w:before="40" w:beforeAutospacing="0" w:after="0" w:afterAutospacing="0"/>
        <w:ind w:left="567" w:hanging="283"/>
        <w:rPr>
          <w:rFonts w:ascii="Arial" w:hAnsi="Arial"/>
          <w:color w:val="000000" w:themeColor="text1"/>
          <w:sz w:val="22"/>
          <w:lang w:eastAsia="en-US"/>
        </w:rPr>
      </w:pPr>
      <w:r w:rsidRPr="00422B91">
        <w:rPr>
          <w:rFonts w:ascii="Arial" w:hAnsi="Arial"/>
          <w:color w:val="000000" w:themeColor="text1"/>
          <w:sz w:val="22"/>
          <w:lang w:eastAsia="en-US"/>
        </w:rPr>
        <w:t>.</w:t>
      </w:r>
      <w:r w:rsidR="0035295C" w:rsidRPr="0035295C">
        <w:rPr>
          <w:rFonts w:ascii="Arial" w:hAnsi="Arial"/>
          <w:color w:val="000000" w:themeColor="text1"/>
          <w:sz w:val="22"/>
          <w:lang w:eastAsia="en-US"/>
        </w:rPr>
        <w:t>(p)</w:t>
      </w:r>
      <w:r w:rsidR="0035295C" w:rsidRPr="0035295C">
        <w:rPr>
          <w:rFonts w:ascii="Arial" w:hAnsi="Arial"/>
          <w:color w:val="000000" w:themeColor="text1"/>
          <w:sz w:val="22"/>
          <w:lang w:eastAsia="en-US"/>
        </w:rPr>
        <w:tab/>
        <w:t>a radiofrequency delivery device for transurethral water vapour ablation (TUWA).</w:t>
      </w:r>
    </w:p>
    <w:p w14:paraId="7F4DA17F" w14:textId="51709609" w:rsidR="00335F69" w:rsidRDefault="00335F69" w:rsidP="00D830DB">
      <w:pPr>
        <w:pStyle w:val="notetext"/>
        <w:shd w:val="clear" w:color="auto" w:fill="FFFFFF"/>
        <w:spacing w:before="122" w:beforeAutospacing="0" w:after="120" w:afterAutospacing="0"/>
        <w:rPr>
          <w:rFonts w:ascii="Arial" w:hAnsi="Arial"/>
          <w:color w:val="000000" w:themeColor="text1"/>
          <w:sz w:val="18"/>
          <w:szCs w:val="18"/>
          <w:lang w:eastAsia="en-US"/>
        </w:rPr>
      </w:pPr>
      <w:r w:rsidRPr="004E5BC5">
        <w:rPr>
          <w:rFonts w:ascii="Arial" w:hAnsi="Arial"/>
          <w:i/>
          <w:iCs/>
          <w:color w:val="000000" w:themeColor="text1"/>
          <w:sz w:val="18"/>
          <w:szCs w:val="18"/>
          <w:lang w:eastAsia="en-US"/>
        </w:rPr>
        <w:t>Note</w:t>
      </w:r>
      <w:r w:rsidRPr="004E5BC5">
        <w:rPr>
          <w:rFonts w:ascii="Arial" w:hAnsi="Arial"/>
          <w:color w:val="000000" w:themeColor="text1"/>
          <w:sz w:val="18"/>
          <w:szCs w:val="18"/>
          <w:lang w:eastAsia="en-US"/>
        </w:rPr>
        <w:t>:  </w:t>
      </w:r>
      <w:r w:rsidR="0086715B" w:rsidRPr="004E5BC5">
        <w:rPr>
          <w:rFonts w:ascii="Arial" w:hAnsi="Arial"/>
          <w:color w:val="000000" w:themeColor="text1"/>
          <w:sz w:val="18"/>
          <w:szCs w:val="18"/>
          <w:lang w:eastAsia="en-US"/>
        </w:rPr>
        <w:t xml:space="preserve">The </w:t>
      </w:r>
      <w:r w:rsidR="0086715B" w:rsidRPr="004E5BC5">
        <w:rPr>
          <w:rFonts w:ascii="Arial" w:hAnsi="Arial"/>
          <w:i/>
          <w:color w:val="000000" w:themeColor="text1"/>
          <w:sz w:val="18"/>
          <w:szCs w:val="18"/>
          <w:lang w:eastAsia="en-US"/>
        </w:rPr>
        <w:t>Private Health Insurance (Medical Devices and Human Tissue Products) Rules</w:t>
      </w:r>
      <w:r w:rsidRPr="004E5BC5">
        <w:rPr>
          <w:rFonts w:ascii="Arial" w:hAnsi="Arial"/>
          <w:color w:val="000000" w:themeColor="text1"/>
          <w:sz w:val="18"/>
          <w:szCs w:val="18"/>
          <w:lang w:eastAsia="en-US"/>
        </w:rPr>
        <w:t xml:space="preserve"> may be varied from time to time to add additional devices </w:t>
      </w:r>
      <w:r w:rsidR="00CC3452" w:rsidRPr="004E5BC5">
        <w:rPr>
          <w:rFonts w:ascii="Arial" w:hAnsi="Arial"/>
          <w:color w:val="000000" w:themeColor="text1"/>
          <w:sz w:val="18"/>
          <w:szCs w:val="18"/>
          <w:lang w:eastAsia="en-US"/>
        </w:rPr>
        <w:t>to or</w:t>
      </w:r>
      <w:r w:rsidRPr="004E5BC5">
        <w:rPr>
          <w:rFonts w:ascii="Arial" w:hAnsi="Arial"/>
          <w:color w:val="000000" w:themeColor="text1"/>
          <w:sz w:val="18"/>
          <w:szCs w:val="18"/>
          <w:lang w:eastAsia="en-US"/>
        </w:rPr>
        <w:t xml:space="preserve"> remove devices from</w:t>
      </w:r>
      <w:r w:rsidR="00F4512D" w:rsidRPr="004E5BC5">
        <w:rPr>
          <w:rFonts w:ascii="Arial" w:hAnsi="Arial"/>
          <w:color w:val="000000" w:themeColor="text1"/>
          <w:sz w:val="18"/>
          <w:szCs w:val="18"/>
          <w:lang w:eastAsia="en-US"/>
        </w:rPr>
        <w:t xml:space="preserve"> the list above.</w:t>
      </w:r>
      <w:r w:rsidR="003A4FCA" w:rsidRPr="004E5BC5">
        <w:rPr>
          <w:rFonts w:ascii="Arial" w:hAnsi="Arial"/>
          <w:color w:val="000000" w:themeColor="text1"/>
          <w:sz w:val="18"/>
          <w:szCs w:val="18"/>
          <w:lang w:eastAsia="en-US"/>
        </w:rPr>
        <w:t xml:space="preserve"> </w:t>
      </w:r>
      <w:r w:rsidR="003A4FCA" w:rsidRPr="004E5BC5">
        <w:rPr>
          <w:rFonts w:ascii="Arial" w:hAnsi="Arial"/>
          <w:color w:val="000000" w:themeColor="text1"/>
          <w:sz w:val="18"/>
          <w:szCs w:val="18"/>
          <w:u w:val="single"/>
          <w:lang w:eastAsia="en-US"/>
        </w:rPr>
        <w:t xml:space="preserve">Always refer </w:t>
      </w:r>
      <w:r w:rsidR="00915482" w:rsidRPr="004E5BC5">
        <w:rPr>
          <w:rFonts w:ascii="Arial" w:hAnsi="Arial"/>
          <w:color w:val="000000" w:themeColor="text1"/>
          <w:sz w:val="18"/>
          <w:szCs w:val="18"/>
          <w:u w:val="single"/>
          <w:lang w:eastAsia="en-US"/>
        </w:rPr>
        <w:t xml:space="preserve">to </w:t>
      </w:r>
      <w:r w:rsidR="003A4FCA" w:rsidRPr="004E5BC5">
        <w:rPr>
          <w:rFonts w:ascii="Arial" w:hAnsi="Arial"/>
          <w:color w:val="000000" w:themeColor="text1"/>
          <w:sz w:val="18"/>
          <w:szCs w:val="18"/>
          <w:u w:val="single"/>
          <w:lang w:eastAsia="en-US"/>
        </w:rPr>
        <w:t xml:space="preserve">the </w:t>
      </w:r>
      <w:r w:rsidR="00915482" w:rsidRPr="004E5BC5">
        <w:rPr>
          <w:rFonts w:ascii="Arial" w:hAnsi="Arial"/>
          <w:color w:val="000000" w:themeColor="text1"/>
          <w:sz w:val="18"/>
          <w:szCs w:val="18"/>
          <w:u w:val="single"/>
          <w:lang w:eastAsia="en-US"/>
        </w:rPr>
        <w:t xml:space="preserve">MDHTAC </w:t>
      </w:r>
      <w:r w:rsidR="003A4FCA" w:rsidRPr="004E5BC5">
        <w:rPr>
          <w:rFonts w:ascii="Arial" w:hAnsi="Arial"/>
          <w:color w:val="000000" w:themeColor="text1"/>
          <w:sz w:val="18"/>
          <w:szCs w:val="18"/>
          <w:u w:val="single"/>
          <w:lang w:eastAsia="en-US"/>
        </w:rPr>
        <w:t xml:space="preserve">Rules for the current </w:t>
      </w:r>
      <w:r w:rsidR="00915482" w:rsidRPr="004E5BC5">
        <w:rPr>
          <w:rFonts w:ascii="Arial" w:hAnsi="Arial"/>
          <w:color w:val="000000" w:themeColor="text1"/>
          <w:sz w:val="18"/>
          <w:szCs w:val="18"/>
          <w:u w:val="single"/>
          <w:lang w:eastAsia="en-US"/>
        </w:rPr>
        <w:t xml:space="preserve">Part C </w:t>
      </w:r>
      <w:r w:rsidR="003A4FCA" w:rsidRPr="004E5BC5">
        <w:rPr>
          <w:rFonts w:ascii="Arial" w:hAnsi="Arial"/>
          <w:color w:val="000000" w:themeColor="text1"/>
          <w:sz w:val="18"/>
          <w:szCs w:val="18"/>
          <w:u w:val="single"/>
          <w:lang w:eastAsia="en-US"/>
        </w:rPr>
        <w:t>criteria</w:t>
      </w:r>
      <w:r w:rsidR="003A4FCA" w:rsidRPr="004E5BC5">
        <w:rPr>
          <w:rFonts w:ascii="Arial" w:hAnsi="Arial"/>
          <w:color w:val="000000" w:themeColor="text1"/>
          <w:sz w:val="18"/>
          <w:szCs w:val="18"/>
          <w:lang w:eastAsia="en-US"/>
        </w:rPr>
        <w:t>.</w:t>
      </w:r>
    </w:p>
    <w:p w14:paraId="7CA73A20" w14:textId="5C101D42" w:rsidR="0092097E" w:rsidRDefault="0092097E"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Pr>
          <w:rFonts w:ascii="Arial" w:hAnsi="Arial"/>
          <w:color w:val="000000" w:themeColor="text1"/>
          <w:sz w:val="22"/>
          <w:szCs w:val="22"/>
          <w:lang w:eastAsia="en-US"/>
        </w:rPr>
        <w:t xml:space="preserve">Part C is considered for the devices </w:t>
      </w:r>
      <w:r w:rsidRPr="0074064A">
        <w:rPr>
          <w:rFonts w:ascii="Arial" w:hAnsi="Arial"/>
          <w:color w:val="000000" w:themeColor="text1"/>
          <w:sz w:val="22"/>
          <w:szCs w:val="22"/>
          <w:lang w:eastAsia="en-US"/>
        </w:rPr>
        <w:t>that do not meet the criteria for listing in Part A</w:t>
      </w:r>
      <w:r>
        <w:rPr>
          <w:rFonts w:ascii="Arial" w:hAnsi="Arial"/>
          <w:color w:val="000000" w:themeColor="text1"/>
          <w:sz w:val="22"/>
          <w:szCs w:val="22"/>
          <w:lang w:eastAsia="en-US"/>
        </w:rPr>
        <w:t xml:space="preserve">, </w:t>
      </w:r>
      <w:r w:rsidR="007705F7">
        <w:rPr>
          <w:rFonts w:ascii="Arial" w:hAnsi="Arial"/>
          <w:color w:val="000000" w:themeColor="text1"/>
          <w:sz w:val="22"/>
          <w:szCs w:val="22"/>
          <w:lang w:eastAsia="en-US"/>
        </w:rPr>
        <w:br/>
        <w:t>i.e.,</w:t>
      </w:r>
      <w:r>
        <w:rPr>
          <w:rFonts w:ascii="Arial" w:hAnsi="Arial"/>
          <w:color w:val="000000" w:themeColor="text1"/>
          <w:sz w:val="22"/>
          <w:szCs w:val="22"/>
          <w:lang w:eastAsia="en-US"/>
        </w:rPr>
        <w:t xml:space="preserve"> t</w:t>
      </w:r>
      <w:r w:rsidRPr="0092097E">
        <w:rPr>
          <w:rFonts w:ascii="Arial" w:hAnsi="Arial"/>
          <w:color w:val="000000" w:themeColor="text1"/>
          <w:sz w:val="22"/>
          <w:szCs w:val="22"/>
          <w:lang w:eastAsia="en-US"/>
        </w:rPr>
        <w:t xml:space="preserve">hese devices are not implantable </w:t>
      </w:r>
      <w:r>
        <w:rPr>
          <w:rFonts w:ascii="Arial" w:hAnsi="Arial"/>
          <w:color w:val="000000" w:themeColor="text1"/>
          <w:sz w:val="22"/>
          <w:szCs w:val="22"/>
          <w:lang w:eastAsia="en-US"/>
        </w:rPr>
        <w:t xml:space="preserve">devices </w:t>
      </w:r>
      <w:r w:rsidRPr="0092097E">
        <w:rPr>
          <w:rFonts w:ascii="Arial" w:hAnsi="Arial"/>
          <w:color w:val="000000" w:themeColor="text1"/>
          <w:sz w:val="22"/>
          <w:szCs w:val="22"/>
          <w:lang w:eastAsia="en-US"/>
        </w:rPr>
        <w:t>or devices intended to be used in associated with a</w:t>
      </w:r>
      <w:r>
        <w:rPr>
          <w:rFonts w:ascii="Arial" w:hAnsi="Arial"/>
          <w:color w:val="000000" w:themeColor="text1"/>
          <w:sz w:val="22"/>
          <w:szCs w:val="22"/>
          <w:lang w:eastAsia="en-US"/>
        </w:rPr>
        <w:t>n implantable device.</w:t>
      </w:r>
      <w:r w:rsidR="006E31EA">
        <w:rPr>
          <w:rFonts w:ascii="Arial" w:hAnsi="Arial"/>
          <w:color w:val="000000" w:themeColor="text1"/>
          <w:sz w:val="22"/>
          <w:szCs w:val="22"/>
          <w:lang w:eastAsia="en-US"/>
        </w:rPr>
        <w:t xml:space="preserve"> </w:t>
      </w:r>
    </w:p>
    <w:p w14:paraId="08E9E6E3" w14:textId="77777777" w:rsidR="002D102D" w:rsidRPr="0035295C" w:rsidRDefault="002D102D" w:rsidP="004E5BC5">
      <w:pPr>
        <w:pStyle w:val="paragraph"/>
        <w:widowControl w:val="0"/>
        <w:shd w:val="clear" w:color="auto" w:fill="D9D9D9" w:themeFill="background1" w:themeFillShade="D9"/>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A medical device must be assessed to be no less clinically effective than the alternative devices listed on the PL or the alternative treatments and the benefit amount for the medical device must be proportionate to the clinical effectiveness of the device.</w:t>
      </w:r>
    </w:p>
    <w:p w14:paraId="7D94C603" w14:textId="43965F79" w:rsidR="00875BCC" w:rsidRPr="0035295C" w:rsidRDefault="00875BCC"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 xml:space="preserve">The process for addition of a new group to the Part C criteria for listing is usually triggered when the department receives a PL application. The respective Expert Clinical Advisory Group (ECAG) will be tasked to assess the device to establish its clinical effectiveness </w:t>
      </w:r>
      <w:r w:rsidR="00867277" w:rsidRPr="0035295C">
        <w:rPr>
          <w:rFonts w:ascii="Arial" w:hAnsi="Arial"/>
          <w:color w:val="000000" w:themeColor="text1"/>
          <w:sz w:val="22"/>
          <w:szCs w:val="22"/>
          <w:lang w:eastAsia="en-US"/>
        </w:rPr>
        <w:t>but also consider the</w:t>
      </w:r>
      <w:r w:rsidRPr="0035295C">
        <w:rPr>
          <w:rFonts w:ascii="Arial" w:hAnsi="Arial"/>
          <w:color w:val="000000" w:themeColor="text1"/>
          <w:sz w:val="22"/>
          <w:szCs w:val="22"/>
          <w:lang w:eastAsia="en-US"/>
        </w:rPr>
        <w:t xml:space="preserve"> clinical need</w:t>
      </w:r>
      <w:r w:rsidR="00867277" w:rsidRPr="0035295C">
        <w:rPr>
          <w:rFonts w:ascii="Arial" w:hAnsi="Arial"/>
          <w:color w:val="000000" w:themeColor="text1"/>
          <w:sz w:val="22"/>
          <w:szCs w:val="22"/>
          <w:lang w:eastAsia="en-US"/>
        </w:rPr>
        <w:t xml:space="preserve"> and reasons for addition of this type of device on Part C</w:t>
      </w:r>
      <w:r w:rsidRPr="0035295C">
        <w:rPr>
          <w:rFonts w:ascii="Arial" w:hAnsi="Arial"/>
          <w:color w:val="000000" w:themeColor="text1"/>
          <w:sz w:val="22"/>
          <w:szCs w:val="22"/>
          <w:lang w:eastAsia="en-US"/>
        </w:rPr>
        <w:t>. ECAGs assess the appropriate clinical data and published evidence directly related to the devices</w:t>
      </w:r>
      <w:r w:rsidR="00D830DB">
        <w:rPr>
          <w:rFonts w:ascii="Arial" w:hAnsi="Arial"/>
          <w:color w:val="000000" w:themeColor="text1"/>
          <w:sz w:val="22"/>
          <w:szCs w:val="22"/>
          <w:lang w:eastAsia="en-US"/>
        </w:rPr>
        <w:t>, data for a different device and</w:t>
      </w:r>
      <w:r w:rsidR="00867277" w:rsidRPr="0035295C">
        <w:rPr>
          <w:rFonts w:ascii="Arial" w:hAnsi="Arial"/>
          <w:color w:val="000000" w:themeColor="text1"/>
          <w:sz w:val="22"/>
          <w:szCs w:val="22"/>
          <w:lang w:eastAsia="en-US"/>
        </w:rPr>
        <w:t xml:space="preserve"> </w:t>
      </w:r>
      <w:r w:rsidR="00D830DB" w:rsidRPr="0035295C">
        <w:rPr>
          <w:rFonts w:ascii="Arial" w:hAnsi="Arial"/>
          <w:color w:val="000000" w:themeColor="text1"/>
          <w:sz w:val="22"/>
          <w:szCs w:val="22"/>
          <w:lang w:eastAsia="en-US"/>
        </w:rPr>
        <w:t xml:space="preserve">testimonials from clinicians are not taken as sufficient evidence of clinical effectiveness </w:t>
      </w:r>
      <w:r w:rsidR="006467C8">
        <w:rPr>
          <w:rFonts w:ascii="Arial" w:hAnsi="Arial"/>
          <w:color w:val="000000" w:themeColor="text1"/>
          <w:sz w:val="22"/>
          <w:szCs w:val="22"/>
          <w:lang w:eastAsia="en-US"/>
        </w:rPr>
        <w:t>(</w:t>
      </w:r>
      <w:r w:rsidR="00867277" w:rsidRPr="0035295C">
        <w:rPr>
          <w:rFonts w:ascii="Arial" w:hAnsi="Arial"/>
          <w:color w:val="000000" w:themeColor="text1"/>
          <w:sz w:val="22"/>
          <w:szCs w:val="22"/>
          <w:lang w:eastAsia="en-US"/>
        </w:rPr>
        <w:t>for the clinical evidence requirements for different device categories</w:t>
      </w:r>
      <w:r w:rsidR="006467C8">
        <w:rPr>
          <w:rFonts w:ascii="Arial" w:hAnsi="Arial"/>
          <w:color w:val="000000" w:themeColor="text1"/>
          <w:sz w:val="22"/>
          <w:szCs w:val="22"/>
          <w:lang w:eastAsia="en-US"/>
        </w:rPr>
        <w:t xml:space="preserve"> see, </w:t>
      </w:r>
      <w:hyperlink w:anchor="_Tier_3:_Full" w:history="1">
        <w:r w:rsidR="007A1602" w:rsidRPr="00BC3213">
          <w:rPr>
            <w:rStyle w:val="Hyperlink"/>
            <w:rFonts w:ascii="Arial" w:hAnsi="Arial"/>
            <w:sz w:val="22"/>
            <w:szCs w:val="22"/>
            <w:lang w:eastAsia="en-US"/>
          </w:rPr>
          <w:t>ECAG clinical requirements</w:t>
        </w:r>
      </w:hyperlink>
      <w:r w:rsidR="006467C8">
        <w:rPr>
          <w:rFonts w:ascii="Arial" w:hAnsi="Arial"/>
          <w:color w:val="000000" w:themeColor="text1"/>
          <w:sz w:val="22"/>
          <w:szCs w:val="22"/>
          <w:lang w:eastAsia="en-US"/>
        </w:rPr>
        <w:t>)</w:t>
      </w:r>
      <w:r w:rsidRPr="00BC3213">
        <w:rPr>
          <w:rFonts w:ascii="Arial" w:hAnsi="Arial"/>
          <w:color w:val="000000" w:themeColor="text1"/>
          <w:sz w:val="22"/>
          <w:szCs w:val="22"/>
          <w:lang w:eastAsia="en-US"/>
        </w:rPr>
        <w:t>.</w:t>
      </w:r>
    </w:p>
    <w:p w14:paraId="4F7D6C15" w14:textId="74632F81" w:rsidR="00875BCC" w:rsidRDefault="00875BCC"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 xml:space="preserve">Following assessment by the ECAG, MDHTAC will consider </w:t>
      </w:r>
      <w:r w:rsidR="00867277" w:rsidRPr="0035295C">
        <w:rPr>
          <w:rFonts w:ascii="Arial" w:hAnsi="Arial"/>
          <w:color w:val="000000" w:themeColor="text1"/>
          <w:sz w:val="22"/>
          <w:szCs w:val="22"/>
          <w:lang w:eastAsia="en-US"/>
        </w:rPr>
        <w:t>ECAG’s advice</w:t>
      </w:r>
      <w:r w:rsidR="00A436DE" w:rsidRPr="0035295C">
        <w:rPr>
          <w:rFonts w:ascii="Arial" w:hAnsi="Arial"/>
          <w:color w:val="000000" w:themeColor="text1"/>
          <w:sz w:val="22"/>
          <w:szCs w:val="22"/>
          <w:lang w:eastAsia="en-US"/>
        </w:rPr>
        <w:t xml:space="preserve">, </w:t>
      </w:r>
      <w:r w:rsidRPr="0035295C">
        <w:rPr>
          <w:rFonts w:ascii="Arial" w:hAnsi="Arial"/>
          <w:color w:val="000000" w:themeColor="text1"/>
          <w:sz w:val="22"/>
          <w:szCs w:val="22"/>
          <w:lang w:eastAsia="en-US"/>
        </w:rPr>
        <w:t>the clinical effectiveness</w:t>
      </w:r>
      <w:r w:rsidR="00867277" w:rsidRPr="0035295C">
        <w:rPr>
          <w:rFonts w:ascii="Arial" w:hAnsi="Arial"/>
          <w:color w:val="000000" w:themeColor="text1"/>
          <w:sz w:val="22"/>
          <w:szCs w:val="22"/>
          <w:lang w:eastAsia="en-US"/>
        </w:rPr>
        <w:t>,</w:t>
      </w:r>
      <w:r w:rsidRPr="0035295C">
        <w:rPr>
          <w:rFonts w:ascii="Arial" w:hAnsi="Arial"/>
          <w:color w:val="000000" w:themeColor="text1"/>
          <w:sz w:val="22"/>
          <w:szCs w:val="22"/>
          <w:lang w:eastAsia="en-US"/>
        </w:rPr>
        <w:t xml:space="preserve"> clinical need for the device</w:t>
      </w:r>
      <w:r w:rsidR="00867277" w:rsidRPr="0035295C">
        <w:rPr>
          <w:rFonts w:ascii="Arial" w:hAnsi="Arial"/>
          <w:color w:val="000000" w:themeColor="text1"/>
          <w:sz w:val="22"/>
          <w:szCs w:val="22"/>
          <w:lang w:eastAsia="en-US"/>
        </w:rPr>
        <w:t xml:space="preserve">, </w:t>
      </w:r>
      <w:r w:rsidR="0092097E">
        <w:rPr>
          <w:rFonts w:ascii="Arial" w:hAnsi="Arial"/>
          <w:color w:val="000000" w:themeColor="text1"/>
          <w:sz w:val="22"/>
          <w:szCs w:val="22"/>
          <w:lang w:eastAsia="en-US"/>
        </w:rPr>
        <w:t xml:space="preserve">benefits the device may provide (e.g. it </w:t>
      </w:r>
      <w:r w:rsidR="0092097E" w:rsidRPr="0092097E">
        <w:rPr>
          <w:rFonts w:ascii="Arial" w:hAnsi="Arial"/>
          <w:color w:val="000000" w:themeColor="text1"/>
          <w:sz w:val="22"/>
          <w:szCs w:val="22"/>
          <w:lang w:eastAsia="en-US"/>
        </w:rPr>
        <w:t xml:space="preserve">is less invasive than </w:t>
      </w:r>
      <w:r w:rsidR="0092097E">
        <w:rPr>
          <w:rFonts w:ascii="Arial" w:hAnsi="Arial"/>
          <w:color w:val="000000" w:themeColor="text1"/>
          <w:sz w:val="22"/>
          <w:szCs w:val="22"/>
          <w:lang w:eastAsia="en-US"/>
        </w:rPr>
        <w:t>an</w:t>
      </w:r>
      <w:r w:rsidR="0092097E" w:rsidRPr="0092097E">
        <w:rPr>
          <w:rFonts w:ascii="Arial" w:hAnsi="Arial"/>
          <w:color w:val="000000" w:themeColor="text1"/>
          <w:sz w:val="22"/>
          <w:szCs w:val="22"/>
          <w:lang w:eastAsia="en-US"/>
        </w:rPr>
        <w:t xml:space="preserve"> alternative device or treatment</w:t>
      </w:r>
      <w:r w:rsidR="0092097E">
        <w:rPr>
          <w:rFonts w:ascii="Arial" w:hAnsi="Arial"/>
          <w:color w:val="000000" w:themeColor="text1"/>
          <w:sz w:val="22"/>
          <w:szCs w:val="22"/>
          <w:lang w:eastAsia="en-US"/>
        </w:rPr>
        <w:t xml:space="preserve">, or </w:t>
      </w:r>
      <w:r w:rsidR="0092097E" w:rsidRPr="0092097E">
        <w:rPr>
          <w:rFonts w:ascii="Arial" w:hAnsi="Arial"/>
          <w:color w:val="000000" w:themeColor="text1"/>
          <w:sz w:val="22"/>
          <w:szCs w:val="22"/>
          <w:lang w:eastAsia="en-US"/>
        </w:rPr>
        <w:t>delivers better care to patients</w:t>
      </w:r>
      <w:r w:rsidR="0092097E">
        <w:rPr>
          <w:rFonts w:ascii="Arial" w:hAnsi="Arial"/>
          <w:color w:val="000000" w:themeColor="text1"/>
          <w:sz w:val="22"/>
          <w:szCs w:val="22"/>
          <w:lang w:eastAsia="en-US"/>
        </w:rPr>
        <w:t xml:space="preserve">, or it has </w:t>
      </w:r>
      <w:r w:rsidR="0092097E" w:rsidRPr="0092097E">
        <w:rPr>
          <w:rFonts w:ascii="Arial" w:hAnsi="Arial"/>
          <w:color w:val="000000" w:themeColor="text1"/>
          <w:sz w:val="22"/>
          <w:szCs w:val="22"/>
          <w:lang w:eastAsia="en-US"/>
        </w:rPr>
        <w:t>a significantly lower cost than the alternative device</w:t>
      </w:r>
      <w:r w:rsidR="0092097E">
        <w:rPr>
          <w:rFonts w:ascii="Arial" w:hAnsi="Arial"/>
          <w:color w:val="000000" w:themeColor="text1"/>
          <w:sz w:val="22"/>
          <w:szCs w:val="22"/>
          <w:lang w:eastAsia="en-US"/>
        </w:rPr>
        <w:t xml:space="preserve">, or </w:t>
      </w:r>
      <w:r w:rsidR="0092097E" w:rsidRPr="0092097E">
        <w:rPr>
          <w:rFonts w:ascii="Arial" w:hAnsi="Arial"/>
          <w:color w:val="000000" w:themeColor="text1"/>
          <w:sz w:val="22"/>
          <w:szCs w:val="22"/>
          <w:lang w:eastAsia="en-US"/>
        </w:rPr>
        <w:t>improves access or acceptability of treatment for a patient group</w:t>
      </w:r>
      <w:r w:rsidR="0092097E">
        <w:rPr>
          <w:rFonts w:ascii="Arial" w:hAnsi="Arial"/>
          <w:color w:val="000000" w:themeColor="text1"/>
          <w:sz w:val="22"/>
          <w:szCs w:val="22"/>
          <w:lang w:eastAsia="en-US"/>
        </w:rPr>
        <w:t xml:space="preserve">), </w:t>
      </w:r>
      <w:r w:rsidR="00867277" w:rsidRPr="0035295C">
        <w:rPr>
          <w:rFonts w:ascii="Arial" w:hAnsi="Arial"/>
          <w:color w:val="000000" w:themeColor="text1"/>
          <w:sz w:val="22"/>
          <w:szCs w:val="22"/>
          <w:lang w:eastAsia="en-US"/>
        </w:rPr>
        <w:t xml:space="preserve">other factors, </w:t>
      </w:r>
      <w:r w:rsidRPr="0035295C">
        <w:rPr>
          <w:rFonts w:ascii="Arial" w:hAnsi="Arial"/>
          <w:color w:val="000000" w:themeColor="text1"/>
          <w:sz w:val="22"/>
          <w:szCs w:val="22"/>
          <w:lang w:eastAsia="en-US"/>
        </w:rPr>
        <w:t>and will provide their view</w:t>
      </w:r>
      <w:r w:rsidR="00867277" w:rsidRPr="0035295C">
        <w:rPr>
          <w:rFonts w:ascii="Arial" w:hAnsi="Arial"/>
          <w:color w:val="000000" w:themeColor="text1"/>
          <w:sz w:val="22"/>
          <w:szCs w:val="22"/>
          <w:lang w:eastAsia="en-US"/>
        </w:rPr>
        <w:t xml:space="preserve"> [</w:t>
      </w:r>
      <w:r w:rsidRPr="0035295C">
        <w:rPr>
          <w:rFonts w:ascii="Arial" w:hAnsi="Arial"/>
          <w:color w:val="000000" w:themeColor="text1"/>
          <w:sz w:val="22"/>
          <w:szCs w:val="22"/>
          <w:lang w:eastAsia="en-US"/>
        </w:rPr>
        <w:t>support or not support</w:t>
      </w:r>
      <w:r w:rsidR="00867277" w:rsidRPr="0035295C">
        <w:rPr>
          <w:rFonts w:ascii="Arial" w:hAnsi="Arial"/>
          <w:color w:val="000000" w:themeColor="text1"/>
          <w:sz w:val="22"/>
          <w:szCs w:val="22"/>
          <w:lang w:eastAsia="en-US"/>
        </w:rPr>
        <w:t>]</w:t>
      </w:r>
      <w:r w:rsidRPr="0035295C">
        <w:rPr>
          <w:rFonts w:ascii="Arial" w:hAnsi="Arial"/>
          <w:color w:val="000000" w:themeColor="text1"/>
          <w:sz w:val="22"/>
          <w:szCs w:val="22"/>
          <w:lang w:eastAsia="en-US"/>
        </w:rPr>
        <w:t xml:space="preserve"> </w:t>
      </w:r>
      <w:r w:rsidR="00867277" w:rsidRPr="0035295C">
        <w:rPr>
          <w:rFonts w:ascii="Arial" w:hAnsi="Arial"/>
          <w:color w:val="000000" w:themeColor="text1"/>
          <w:sz w:val="22"/>
          <w:szCs w:val="22"/>
          <w:lang w:eastAsia="en-US"/>
        </w:rPr>
        <w:t>on whether to</w:t>
      </w:r>
      <w:r w:rsidRPr="0035295C">
        <w:rPr>
          <w:rFonts w:ascii="Arial" w:hAnsi="Arial"/>
          <w:color w:val="000000" w:themeColor="text1"/>
          <w:sz w:val="22"/>
          <w:szCs w:val="22"/>
          <w:lang w:eastAsia="en-US"/>
        </w:rPr>
        <w:t xml:space="preserve"> seek the Minister’s decision regarding amending Part</w:t>
      </w:r>
      <w:r w:rsidR="00867277" w:rsidRPr="0035295C">
        <w:rPr>
          <w:rFonts w:ascii="Arial" w:hAnsi="Arial"/>
          <w:color w:val="000000" w:themeColor="text1"/>
          <w:sz w:val="22"/>
          <w:szCs w:val="22"/>
          <w:lang w:eastAsia="en-US"/>
        </w:rPr>
        <w:t> </w:t>
      </w:r>
      <w:r w:rsidRPr="0035295C">
        <w:rPr>
          <w:rFonts w:ascii="Arial" w:hAnsi="Arial"/>
          <w:color w:val="000000" w:themeColor="text1"/>
          <w:sz w:val="22"/>
          <w:szCs w:val="22"/>
          <w:lang w:eastAsia="en-US"/>
        </w:rPr>
        <w:t>C criteria for listing.</w:t>
      </w:r>
      <w:r w:rsidR="0092097E">
        <w:rPr>
          <w:rFonts w:ascii="Arial" w:hAnsi="Arial"/>
          <w:color w:val="000000" w:themeColor="text1"/>
          <w:sz w:val="22"/>
          <w:szCs w:val="22"/>
          <w:lang w:eastAsia="en-US"/>
        </w:rPr>
        <w:t xml:space="preserve"> </w:t>
      </w:r>
    </w:p>
    <w:p w14:paraId="242D40E7" w14:textId="5C06E017" w:rsidR="006E31EA" w:rsidRDefault="006467C8"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Pr>
          <w:rFonts w:ascii="Arial" w:hAnsi="Arial"/>
          <w:color w:val="000000" w:themeColor="text1"/>
          <w:sz w:val="22"/>
          <w:szCs w:val="22"/>
          <w:lang w:eastAsia="en-US"/>
        </w:rPr>
        <w:t>Overall,</w:t>
      </w:r>
      <w:r w:rsidR="006E31EA">
        <w:rPr>
          <w:rFonts w:ascii="Arial" w:hAnsi="Arial"/>
          <w:color w:val="000000" w:themeColor="text1"/>
          <w:sz w:val="22"/>
          <w:szCs w:val="22"/>
          <w:lang w:eastAsia="en-US"/>
        </w:rPr>
        <w:t xml:space="preserve"> it is expected that MDHTAC will look at the proposed devices on an </w:t>
      </w:r>
      <w:r w:rsidR="006E31EA" w:rsidRPr="006E31EA">
        <w:rPr>
          <w:rFonts w:ascii="Arial" w:hAnsi="Arial"/>
          <w:color w:val="000000" w:themeColor="text1"/>
          <w:sz w:val="22"/>
          <w:szCs w:val="22"/>
          <w:lang w:eastAsia="en-US"/>
        </w:rPr>
        <w:t xml:space="preserve">exceptional </w:t>
      </w:r>
      <w:r w:rsidR="006E31EA">
        <w:rPr>
          <w:rFonts w:ascii="Arial" w:hAnsi="Arial"/>
          <w:color w:val="000000" w:themeColor="text1"/>
          <w:sz w:val="22"/>
          <w:szCs w:val="22"/>
          <w:lang w:eastAsia="en-US"/>
        </w:rPr>
        <w:lastRenderedPageBreak/>
        <w:t>basis</w:t>
      </w:r>
      <w:r w:rsidR="006E31EA" w:rsidRPr="006E31EA">
        <w:rPr>
          <w:rFonts w:ascii="Arial" w:hAnsi="Arial"/>
          <w:color w:val="000000" w:themeColor="text1"/>
          <w:sz w:val="22"/>
          <w:szCs w:val="22"/>
          <w:lang w:eastAsia="en-US"/>
        </w:rPr>
        <w:t xml:space="preserve"> </w:t>
      </w:r>
      <w:r w:rsidR="006E31EA">
        <w:rPr>
          <w:rFonts w:ascii="Arial" w:hAnsi="Arial"/>
          <w:color w:val="000000" w:themeColor="text1"/>
          <w:sz w:val="22"/>
          <w:szCs w:val="22"/>
          <w:lang w:eastAsia="en-US"/>
        </w:rPr>
        <w:t>when considering addition of any new specified group on the criteria for listing.</w:t>
      </w:r>
    </w:p>
    <w:p w14:paraId="19A8395F" w14:textId="3F48D9BE" w:rsidR="00875BCC" w:rsidRPr="0035295C" w:rsidRDefault="00875BCC"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 xml:space="preserve">If MDHTAC provided its support for seeking the Minister’s decision regarding changing Part C criteria, the </w:t>
      </w:r>
      <w:r w:rsidR="00295CFB">
        <w:rPr>
          <w:rFonts w:ascii="Arial" w:hAnsi="Arial"/>
          <w:color w:val="000000" w:themeColor="text1"/>
          <w:sz w:val="22"/>
          <w:szCs w:val="22"/>
          <w:lang w:eastAsia="en-US"/>
        </w:rPr>
        <w:t>d</w:t>
      </w:r>
      <w:r w:rsidRPr="0035295C">
        <w:rPr>
          <w:rFonts w:ascii="Arial" w:hAnsi="Arial"/>
          <w:color w:val="000000" w:themeColor="text1"/>
          <w:sz w:val="22"/>
          <w:szCs w:val="22"/>
          <w:lang w:eastAsia="en-US"/>
        </w:rPr>
        <w:t xml:space="preserve">epartment will follow-up the established protocol for approaching the Minister and providing the required information to inform the Minister’s decision. </w:t>
      </w:r>
    </w:p>
    <w:p w14:paraId="65ADBFE2" w14:textId="12EA3439" w:rsidR="00875BCC" w:rsidRPr="0035295C" w:rsidRDefault="00875BCC" w:rsidP="004E5BC5">
      <w:pPr>
        <w:pStyle w:val="notetext"/>
        <w:widowControl w:val="0"/>
        <w:shd w:val="clear" w:color="auto" w:fill="FFFFFF"/>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 xml:space="preserve">The Minister may have regard to the MDHTAC advice, although the Minister </w:t>
      </w:r>
      <w:r w:rsidR="00566353" w:rsidRPr="0035295C">
        <w:rPr>
          <w:rFonts w:ascii="Arial" w:hAnsi="Arial"/>
          <w:color w:val="000000" w:themeColor="text1"/>
          <w:sz w:val="22"/>
          <w:szCs w:val="22"/>
          <w:lang w:eastAsia="en-US"/>
        </w:rPr>
        <w:t>may also</w:t>
      </w:r>
      <w:r w:rsidRPr="0035295C">
        <w:rPr>
          <w:rFonts w:ascii="Arial" w:hAnsi="Arial"/>
          <w:color w:val="000000" w:themeColor="text1"/>
          <w:sz w:val="22"/>
          <w:szCs w:val="22"/>
          <w:lang w:eastAsia="en-US"/>
        </w:rPr>
        <w:t xml:space="preserve"> consider other matters, including whether the requested change to Part C is consistent with the PL intent and the PL reforms aiming at clarifying the scope of the PL and improving the sustainability of the private health insurance.</w:t>
      </w:r>
    </w:p>
    <w:p w14:paraId="7DFD754C" w14:textId="295AC86B" w:rsidR="003D4EF6" w:rsidRPr="0035295C" w:rsidRDefault="003D4EF6" w:rsidP="004E5BC5">
      <w:pPr>
        <w:pStyle w:val="notetext"/>
        <w:widowControl w:val="0"/>
        <w:shd w:val="clear" w:color="auto" w:fill="D9D9D9" w:themeFill="background1" w:themeFillShade="D9"/>
        <w:spacing w:before="0" w:beforeAutospacing="0" w:after="120" w:afterAutospacing="0"/>
        <w:rPr>
          <w:rFonts w:ascii="Arial" w:hAnsi="Arial"/>
          <w:color w:val="000000" w:themeColor="text1"/>
          <w:sz w:val="22"/>
          <w:szCs w:val="22"/>
          <w:lang w:eastAsia="en-US"/>
        </w:rPr>
      </w:pPr>
      <w:r w:rsidRPr="0035295C">
        <w:rPr>
          <w:rFonts w:ascii="Arial" w:hAnsi="Arial"/>
          <w:color w:val="000000" w:themeColor="text1"/>
          <w:sz w:val="22"/>
          <w:szCs w:val="22"/>
          <w:lang w:eastAsia="en-US"/>
        </w:rPr>
        <w:t xml:space="preserve">If the Minister approves change to the Part C criteria for listing by including an additional type/group of devices, the </w:t>
      </w:r>
      <w:r w:rsidR="00A652F3">
        <w:rPr>
          <w:rFonts w:ascii="Arial" w:hAnsi="Arial"/>
          <w:color w:val="000000" w:themeColor="text1"/>
          <w:sz w:val="22"/>
          <w:szCs w:val="22"/>
          <w:lang w:eastAsia="en-US"/>
        </w:rPr>
        <w:t>d</w:t>
      </w:r>
      <w:r w:rsidRPr="0035295C">
        <w:rPr>
          <w:rFonts w:ascii="Arial" w:hAnsi="Arial"/>
          <w:color w:val="000000" w:themeColor="text1"/>
          <w:sz w:val="22"/>
          <w:szCs w:val="22"/>
          <w:lang w:eastAsia="en-US"/>
        </w:rPr>
        <w:t>epartment will advise the sponsor and will publish the PHI Circular advising stakeholders about this decision.</w:t>
      </w:r>
    </w:p>
    <w:p w14:paraId="5141252C" w14:textId="7919B266" w:rsidR="003D4EF6" w:rsidRDefault="003D4EF6" w:rsidP="004E5BC5">
      <w:pPr>
        <w:pStyle w:val="notetext"/>
        <w:widowControl w:val="0"/>
        <w:shd w:val="clear" w:color="auto" w:fill="FFFFFF"/>
        <w:spacing w:before="0" w:beforeAutospacing="0" w:after="120" w:afterAutospacing="0"/>
        <w:rPr>
          <w:rFonts w:ascii="Arial" w:hAnsi="Arial"/>
          <w:color w:val="000000" w:themeColor="text1"/>
          <w:sz w:val="22"/>
          <w:lang w:eastAsia="en-US"/>
        </w:rPr>
      </w:pPr>
      <w:r>
        <w:rPr>
          <w:rFonts w:ascii="Arial" w:hAnsi="Arial"/>
          <w:color w:val="000000" w:themeColor="text1"/>
          <w:sz w:val="22"/>
          <w:lang w:eastAsia="en-US"/>
        </w:rPr>
        <w:t xml:space="preserve">The next step will be proceeding with setting the benefit for the new group. For this process </w:t>
      </w:r>
      <w:r w:rsidR="007705F7">
        <w:rPr>
          <w:rFonts w:ascii="Arial" w:hAnsi="Arial"/>
          <w:color w:val="000000" w:themeColor="text1"/>
          <w:sz w:val="22"/>
          <w:lang w:eastAsia="en-US"/>
        </w:rPr>
        <w:t>see</w:t>
      </w:r>
      <w:r>
        <w:rPr>
          <w:rFonts w:ascii="Arial" w:hAnsi="Arial"/>
          <w:color w:val="000000" w:themeColor="text1"/>
          <w:sz w:val="22"/>
          <w:lang w:eastAsia="en-US"/>
        </w:rPr>
        <w:t xml:space="preserve"> sections on </w:t>
      </w:r>
      <w:hyperlink w:anchor="_Further_information_for" w:history="1">
        <w:r w:rsidRPr="00A652F3">
          <w:rPr>
            <w:rStyle w:val="Hyperlink"/>
            <w:rFonts w:ascii="Arial" w:hAnsi="Arial"/>
            <w:sz w:val="22"/>
            <w:lang w:eastAsia="en-US"/>
          </w:rPr>
          <w:t>Tier 2b</w:t>
        </w:r>
      </w:hyperlink>
      <w:r>
        <w:rPr>
          <w:rFonts w:ascii="Arial" w:hAnsi="Arial"/>
          <w:color w:val="000000" w:themeColor="text1"/>
          <w:sz w:val="22"/>
          <w:lang w:eastAsia="en-US"/>
        </w:rPr>
        <w:t xml:space="preserve"> and </w:t>
      </w:r>
      <w:hyperlink w:anchor="_Tier_3:_Full_1" w:history="1">
        <w:r w:rsidRPr="00A652F3">
          <w:rPr>
            <w:rStyle w:val="Hyperlink"/>
            <w:rFonts w:ascii="Arial" w:hAnsi="Arial"/>
            <w:sz w:val="22"/>
            <w:lang w:eastAsia="en-US"/>
          </w:rPr>
          <w:t>Tier 3</w:t>
        </w:r>
      </w:hyperlink>
      <w:r>
        <w:rPr>
          <w:rFonts w:ascii="Arial" w:hAnsi="Arial"/>
          <w:color w:val="000000" w:themeColor="text1"/>
          <w:sz w:val="22"/>
          <w:lang w:eastAsia="en-US"/>
        </w:rPr>
        <w:t xml:space="preserve"> assessments</w:t>
      </w:r>
      <w:r w:rsidR="00A652F3">
        <w:t>.</w:t>
      </w:r>
    </w:p>
    <w:p w14:paraId="6E28EB02" w14:textId="47A6C87D" w:rsidR="003F2EB5" w:rsidRPr="004D1339" w:rsidRDefault="003F2EB5" w:rsidP="003F2EB5">
      <w:pPr>
        <w:pStyle w:val="Heading1"/>
      </w:pPr>
      <w:bookmarkStart w:id="72" w:name="_Toc149228507"/>
      <w:r w:rsidRPr="004D1339">
        <w:t xml:space="preserve">Chapter </w:t>
      </w:r>
      <w:r>
        <w:t xml:space="preserve">4: Cost </w:t>
      </w:r>
      <w:r w:rsidR="005961A1">
        <w:t>r</w:t>
      </w:r>
      <w:r>
        <w:t>ecovery</w:t>
      </w:r>
      <w:bookmarkEnd w:id="72"/>
    </w:p>
    <w:p w14:paraId="32CCA33D" w14:textId="6D670D25" w:rsidR="003F2EB5" w:rsidRDefault="003F2EB5" w:rsidP="003F2EB5">
      <w:pPr>
        <w:pStyle w:val="Heading2"/>
      </w:pPr>
      <w:bookmarkStart w:id="73" w:name="_Toc149228508"/>
      <w:r>
        <w:t xml:space="preserve">Cost </w:t>
      </w:r>
      <w:r w:rsidR="005961A1">
        <w:t>r</w:t>
      </w:r>
      <w:r>
        <w:t xml:space="preserve">ecovery </w:t>
      </w:r>
      <w:r w:rsidR="005961A1">
        <w:t>a</w:t>
      </w:r>
      <w:r>
        <w:t xml:space="preserve">ssociated with </w:t>
      </w:r>
      <w:r w:rsidR="005961A1">
        <w:t>a</w:t>
      </w:r>
      <w:r>
        <w:t>pplications</w:t>
      </w:r>
      <w:r w:rsidR="005961A1">
        <w:t xml:space="preserve"> relating to medical devices</w:t>
      </w:r>
      <w:bookmarkEnd w:id="73"/>
    </w:p>
    <w:p w14:paraId="6F9F2A35" w14:textId="4487CE7C" w:rsidR="003F2EB5" w:rsidRDefault="003F2EB5" w:rsidP="003F2EB5">
      <w:r>
        <w:t xml:space="preserve">Sponsors who are seeking to list a </w:t>
      </w:r>
      <w:r w:rsidR="005961A1">
        <w:t>medical device</w:t>
      </w:r>
      <w:r>
        <w:t xml:space="preserve"> on the PL will be required to pay cost recovery fees when they request services from the </w:t>
      </w:r>
      <w:r w:rsidR="11B6B5CF">
        <w:t>d</w:t>
      </w:r>
      <w:r>
        <w:t xml:space="preserve">epartment, including when they submit an application in the HPP. </w:t>
      </w:r>
      <w:r w:rsidR="005961A1" w:rsidRPr="005961A1">
        <w:t xml:space="preserve">Cost recovery fees are not applicable to listing applications or variation applications relating to products in Part B of the PL. </w:t>
      </w:r>
      <w:r>
        <w:t xml:space="preserve">Information on key dates and fees payable </w:t>
      </w:r>
      <w:r w:rsidR="00223C40">
        <w:t xml:space="preserve">for each </w:t>
      </w:r>
      <w:hyperlink w:anchor="_Tier_1:_Departmental" w:history="1">
        <w:r w:rsidR="00223C40" w:rsidRPr="00721B9B">
          <w:rPr>
            <w:rStyle w:val="Hyperlink"/>
          </w:rPr>
          <w:t>Tier</w:t>
        </w:r>
      </w:hyperlink>
      <w:r w:rsidR="000E46FF">
        <w:rPr>
          <w:rStyle w:val="Hyperlink"/>
        </w:rPr>
        <w:t>s</w:t>
      </w:r>
      <w:r w:rsidR="00223C40">
        <w:t xml:space="preserve"> of application </w:t>
      </w:r>
      <w:r>
        <w:t xml:space="preserve">will be available on the </w:t>
      </w:r>
      <w:r w:rsidR="0050799B">
        <w:t>department</w:t>
      </w:r>
      <w:r w:rsidR="005961A1">
        <w:t>’</w:t>
      </w:r>
      <w:r w:rsidR="0050799B">
        <w:t xml:space="preserve">s </w:t>
      </w:r>
      <w:r>
        <w:t>website.</w:t>
      </w:r>
    </w:p>
    <w:p w14:paraId="4823254B" w14:textId="63A07150" w:rsidR="003F2EB5" w:rsidRDefault="003F2EB5" w:rsidP="003F2EB5">
      <w:r>
        <w:t xml:space="preserve">All cost recovery fees are aligned with the </w:t>
      </w:r>
      <w:hyperlink r:id="rId43" w:history="1">
        <w:r w:rsidRPr="00DD32C5">
          <w:rPr>
            <w:rStyle w:val="Hyperlink"/>
          </w:rPr>
          <w:t>Australian Government Charging Framework</w:t>
        </w:r>
      </w:hyperlink>
      <w:r>
        <w:t xml:space="preserve"> and e </w:t>
      </w:r>
      <w:hyperlink r:id="rId44" w:anchor=":~:text=The%20cost%20recovery%20policy%20promotes,and%20non%2Dcorporate%20Commonwealth%20entities." w:history="1">
        <w:r w:rsidRPr="005471AE">
          <w:rPr>
            <w:rStyle w:val="Hyperlink"/>
          </w:rPr>
          <w:t>Cost Recovery Guidelines</w:t>
        </w:r>
      </w:hyperlink>
      <w:r>
        <w:t xml:space="preserve">. All details relating to the services that are included in cost recovery fees and the financial </w:t>
      </w:r>
      <w:r w:rsidR="009B3688">
        <w:t xml:space="preserve">and non-financial </w:t>
      </w:r>
      <w:r>
        <w:t xml:space="preserve">performance of the cost recovery arrangements are available through the </w:t>
      </w:r>
      <w:hyperlink r:id="rId45" w:history="1">
        <w:r w:rsidRPr="0050799B">
          <w:rPr>
            <w:rStyle w:val="Hyperlink"/>
          </w:rPr>
          <w:t>Cost Recovery Implementation Statement</w:t>
        </w:r>
      </w:hyperlink>
      <w:r>
        <w:t xml:space="preserve"> (CRIS). The CRIS is updated and published on the </w:t>
      </w:r>
      <w:r w:rsidR="006119BA">
        <w:t xml:space="preserve">department’s </w:t>
      </w:r>
      <w:r>
        <w:t xml:space="preserve">website at a minimum of once annually. The CRIS is updated when there are changes to the cost recovery arrangements, including new fee amounts. </w:t>
      </w:r>
    </w:p>
    <w:p w14:paraId="075A99C6" w14:textId="078DF6C5" w:rsidR="003F2EB5" w:rsidRDefault="003F2EB5" w:rsidP="003F2EB5">
      <w:r>
        <w:t>For the purposes of cost recovery, fees are payable for all listing applications and all variation applications</w:t>
      </w:r>
      <w:r w:rsidR="005961A1">
        <w:t xml:space="preserve"> relating to medical devices on the PL</w:t>
      </w:r>
      <w:r>
        <w:t>. This categorisation includes the following application types:</w:t>
      </w:r>
    </w:p>
    <w:p w14:paraId="39C9E725" w14:textId="27AA1AD1" w:rsidR="003F2EB5" w:rsidRDefault="00917112" w:rsidP="003F2EB5">
      <w:pPr>
        <w:pStyle w:val="ListBullet"/>
        <w:ind w:left="340" w:hanging="340"/>
      </w:pPr>
      <w:r>
        <w:t xml:space="preserve">new listing application – for </w:t>
      </w:r>
      <w:r w:rsidR="6B7E10CE">
        <w:t>list</w:t>
      </w:r>
      <w:r>
        <w:t>ing</w:t>
      </w:r>
      <w:r w:rsidR="6B7E10CE">
        <w:t xml:space="preserve"> a medical device on the PL</w:t>
      </w:r>
    </w:p>
    <w:p w14:paraId="7E636DA0" w14:textId="23541655" w:rsidR="00917112" w:rsidRDefault="00917112" w:rsidP="003F2EB5">
      <w:pPr>
        <w:pStyle w:val="ListBullet"/>
        <w:ind w:left="340" w:hanging="340"/>
      </w:pPr>
      <w:r>
        <w:t>variation applications:</w:t>
      </w:r>
    </w:p>
    <w:p w14:paraId="6BE97459" w14:textId="15DD4245" w:rsidR="00917112" w:rsidRDefault="00917112" w:rsidP="00CD3CBE">
      <w:pPr>
        <w:pStyle w:val="ListBullet"/>
        <w:numPr>
          <w:ilvl w:val="0"/>
          <w:numId w:val="64"/>
        </w:numPr>
        <w:ind w:left="567" w:hanging="141"/>
      </w:pPr>
      <w:r>
        <w:t>amendment application for changing details of billing code</w:t>
      </w:r>
    </w:p>
    <w:p w14:paraId="11B54259" w14:textId="22F4CF86" w:rsidR="003F2EB5" w:rsidRDefault="6B7E10CE" w:rsidP="00CD3CBE">
      <w:pPr>
        <w:pStyle w:val="ListBullet"/>
        <w:numPr>
          <w:ilvl w:val="0"/>
          <w:numId w:val="64"/>
        </w:numPr>
        <w:ind w:left="567" w:hanging="141"/>
      </w:pPr>
      <w:r>
        <w:t>expan</w:t>
      </w:r>
      <w:r w:rsidR="00917112">
        <w:t xml:space="preserve">sion application for expanding </w:t>
      </w:r>
      <w:r>
        <w:t xml:space="preserve">billing code </w:t>
      </w:r>
    </w:p>
    <w:p w14:paraId="71BF03E1" w14:textId="47DAF113" w:rsidR="003F2EB5" w:rsidRDefault="6B7E10CE" w:rsidP="00CD3CBE">
      <w:pPr>
        <w:pStyle w:val="ListBullet"/>
        <w:numPr>
          <w:ilvl w:val="0"/>
          <w:numId w:val="64"/>
        </w:numPr>
        <w:ind w:left="567" w:hanging="141"/>
      </w:pPr>
      <w:r>
        <w:t>compress</w:t>
      </w:r>
      <w:r w:rsidR="00917112">
        <w:t xml:space="preserve">ion application for compressing two or more </w:t>
      </w:r>
      <w:r>
        <w:t xml:space="preserve">billing codes </w:t>
      </w:r>
    </w:p>
    <w:p w14:paraId="7B55C75D" w14:textId="77777777" w:rsidR="003F2EB5" w:rsidRDefault="003F2EB5" w:rsidP="003F2EB5">
      <w:r>
        <w:t>There will be no fee payable for the following applications:</w:t>
      </w:r>
    </w:p>
    <w:p w14:paraId="24CE36B8" w14:textId="2A5C3973" w:rsidR="003F2EB5" w:rsidRDefault="00AE4B88" w:rsidP="003F2EB5">
      <w:pPr>
        <w:pStyle w:val="ListBullet"/>
        <w:ind w:left="340" w:hanging="340"/>
      </w:pPr>
      <w:r>
        <w:t xml:space="preserve">application for </w:t>
      </w:r>
      <w:r w:rsidR="6B7E10CE">
        <w:t>sponsors</w:t>
      </w:r>
      <w:r w:rsidR="00917112">
        <w:t>’</w:t>
      </w:r>
      <w:r w:rsidR="6B7E10CE">
        <w:t xml:space="preserve"> transfer of a current billing code </w:t>
      </w:r>
    </w:p>
    <w:p w14:paraId="1615F51B" w14:textId="4B83A9F4" w:rsidR="003F2EB5" w:rsidRDefault="6B7E10CE" w:rsidP="003F2EB5">
      <w:pPr>
        <w:pStyle w:val="ListBullet"/>
        <w:ind w:left="340" w:hanging="340"/>
      </w:pPr>
      <w:r>
        <w:t>de</w:t>
      </w:r>
      <w:r w:rsidR="00223C40">
        <w:t>l</w:t>
      </w:r>
      <w:r w:rsidR="009D1B21">
        <w:t>et</w:t>
      </w:r>
      <w:r w:rsidR="00AE4B88">
        <w:t xml:space="preserve">ion application for deleting </w:t>
      </w:r>
      <w:r>
        <w:t>billing code</w:t>
      </w:r>
      <w:r w:rsidR="00AE4B88">
        <w:t>.</w:t>
      </w:r>
    </w:p>
    <w:p w14:paraId="476002C4" w14:textId="77777777" w:rsidR="003F2EB5" w:rsidRDefault="003F2EB5" w:rsidP="003F2EB5">
      <w:pPr>
        <w:pStyle w:val="Heading2"/>
      </w:pPr>
      <w:bookmarkStart w:id="74" w:name="_Toc149228509"/>
      <w:r>
        <w:lastRenderedPageBreak/>
        <w:t>Fee categories</w:t>
      </w:r>
      <w:bookmarkEnd w:id="74"/>
    </w:p>
    <w:p w14:paraId="05667D90" w14:textId="62F9432B" w:rsidR="00193045" w:rsidRDefault="003F2EB5" w:rsidP="003F2EB5">
      <w:r>
        <w:t xml:space="preserve">The new fee categories for the PL have been constructed to align directly with the new application </w:t>
      </w:r>
      <w:r w:rsidR="005C569A" w:rsidRPr="003E75CB">
        <w:t>Tiers</w:t>
      </w:r>
      <w:r>
        <w:t xml:space="preserve">. The fee categories are defined in legislation and are reflective of the specific work associated with each </w:t>
      </w:r>
      <w:r w:rsidR="005D58B1">
        <w:t xml:space="preserve">application </w:t>
      </w:r>
      <w:r w:rsidR="004D363F">
        <w:t>T</w:t>
      </w:r>
      <w:r>
        <w:t xml:space="preserve">ier. </w:t>
      </w:r>
      <w:r w:rsidR="00193045" w:rsidRPr="00193045">
        <w:t xml:space="preserve">For the existing </w:t>
      </w:r>
      <w:r w:rsidR="00193045">
        <w:t>Rules with the fees</w:t>
      </w:r>
      <w:r w:rsidR="00193045" w:rsidRPr="00193045">
        <w:t>, please search the Federal Register of Legislation.</w:t>
      </w:r>
    </w:p>
    <w:p w14:paraId="4956EE9F" w14:textId="62522BC8" w:rsidR="003F2EB5" w:rsidRDefault="003F2EB5" w:rsidP="003F2EB5">
      <w:r>
        <w:t>These fees include the following:</w:t>
      </w:r>
    </w:p>
    <w:p w14:paraId="270D264D" w14:textId="7E1C0D1A" w:rsidR="003F2EB5" w:rsidRDefault="6B7E10CE" w:rsidP="003F2EB5">
      <w:pPr>
        <w:pStyle w:val="ListBullet"/>
        <w:ind w:left="340" w:hanging="340"/>
      </w:pPr>
      <w:r>
        <w:t>standard Application Fee (</w:t>
      </w:r>
      <w:r w:rsidR="007327F8">
        <w:t xml:space="preserve">applicable </w:t>
      </w:r>
      <w:r>
        <w:t>to all applications regardless of Tier)</w:t>
      </w:r>
    </w:p>
    <w:p w14:paraId="3E8317F6" w14:textId="151BC837" w:rsidR="003F2EB5" w:rsidRDefault="6B7E10CE" w:rsidP="003F2EB5">
      <w:pPr>
        <w:pStyle w:val="ListBullet"/>
        <w:ind w:left="340" w:hanging="340"/>
      </w:pPr>
      <w:r>
        <w:t>clinical Assessment Fee (appl</w:t>
      </w:r>
      <w:r w:rsidR="007327F8">
        <w:t>icable</w:t>
      </w:r>
      <w:r>
        <w:t xml:space="preserve"> to all applications classified as Tier 2a</w:t>
      </w:r>
      <w:r w:rsidR="00917112">
        <w:t xml:space="preserve">, </w:t>
      </w:r>
      <w:r>
        <w:t>Tier 2b</w:t>
      </w:r>
      <w:r w:rsidR="00917112">
        <w:t>, Tier 3</w:t>
      </w:r>
      <w:r>
        <w:t>)</w:t>
      </w:r>
    </w:p>
    <w:p w14:paraId="463B16DA" w14:textId="25327192" w:rsidR="003F2EB5" w:rsidRDefault="6B7E10CE" w:rsidP="00851013">
      <w:pPr>
        <w:pStyle w:val="ListBullet"/>
        <w:ind w:left="340" w:hanging="340"/>
      </w:pPr>
      <w:r>
        <w:t>standard Economic Assessment Fee (appli</w:t>
      </w:r>
      <w:r w:rsidR="007327F8">
        <w:t>cable</w:t>
      </w:r>
      <w:r>
        <w:t xml:space="preserve"> to Tier 2b applications)</w:t>
      </w:r>
    </w:p>
    <w:p w14:paraId="63E884E8" w14:textId="19783E07" w:rsidR="003F2EB5" w:rsidRDefault="6B7E10CE" w:rsidP="00851013">
      <w:pPr>
        <w:pStyle w:val="ListBullet"/>
        <w:ind w:left="340" w:hanging="340"/>
      </w:pPr>
      <w:r>
        <w:t>complex Economic Assessment Fee (appli</w:t>
      </w:r>
      <w:r w:rsidR="007327F8">
        <w:t>cable</w:t>
      </w:r>
      <w:r>
        <w:t xml:space="preserve"> to Tier 2b applications)</w:t>
      </w:r>
    </w:p>
    <w:p w14:paraId="25B86B35" w14:textId="3A448A0F" w:rsidR="003F2EB5" w:rsidRDefault="6B7E10CE" w:rsidP="00851013">
      <w:pPr>
        <w:pStyle w:val="ListBullet"/>
        <w:ind w:left="340" w:hanging="340"/>
      </w:pPr>
      <w:r>
        <w:t>other Economic Assessment Fee (appli</w:t>
      </w:r>
      <w:r w:rsidR="007327F8">
        <w:t>cable</w:t>
      </w:r>
      <w:r>
        <w:t xml:space="preserve"> to Tier 2b applications)</w:t>
      </w:r>
    </w:p>
    <w:p w14:paraId="2EF5A7D9" w14:textId="18D9B4FB" w:rsidR="003F2EB5" w:rsidRDefault="6B7E10CE" w:rsidP="00851013">
      <w:pPr>
        <w:pStyle w:val="ListBullet"/>
        <w:ind w:left="340" w:hanging="340"/>
      </w:pPr>
      <w:r>
        <w:t>full HTA Assessment Fee (appli</w:t>
      </w:r>
      <w:r w:rsidR="005C569A">
        <w:t>cable</w:t>
      </w:r>
      <w:r>
        <w:t xml:space="preserve"> to all Tier 3 applications)</w:t>
      </w:r>
      <w:r w:rsidR="003F2EB5" w:rsidRPr="003E75CB">
        <w:rPr>
          <w:rStyle w:val="ListParagraphChar"/>
          <w:vertAlign w:val="superscript"/>
        </w:rPr>
        <w:footnoteReference w:id="3"/>
      </w:r>
    </w:p>
    <w:p w14:paraId="235B9FD7" w14:textId="77777777" w:rsidR="003F13E6" w:rsidRDefault="003F13E6" w:rsidP="00D55B0E">
      <w:r>
        <w:t xml:space="preserve">A complex Economic Assessment Fee is applicable if the application requires economic assessment from an external HTA Group to establish cost-effectiveness for a single device to which multiple clinical purposes are attributed. The application may also incur a complex Economic Assessment Fee if the application involves related devices. </w:t>
      </w:r>
    </w:p>
    <w:p w14:paraId="0D0FB8ED" w14:textId="77777777" w:rsidR="003F13E6" w:rsidRDefault="003F13E6" w:rsidP="00D55B0E">
      <w:r>
        <w:t>The other Economic Assessment Fee is applicable if the application requires the preparation of ‘fit-for-purpose’ cost-effectiveness advice from an external HTA Group that extends beyond a critique of the information supplied by the applicant.</w:t>
      </w:r>
    </w:p>
    <w:p w14:paraId="2F3609F5" w14:textId="77777777" w:rsidR="003F13E6" w:rsidRDefault="003F13E6" w:rsidP="00D55B0E">
      <w:r>
        <w:t>The costs attributed to the other Economic Assessment Fee include the development of a commentary (or appraisal) of the economic claims, performed by the external HTA group, and, for the evaluation performed by ECAG and MDHTAC. All fees also include the costs associated with any administrative work completed by departmental staff. The difference in the economic fees is a direct reflection of the level of work effort involved in undertaking the various assessments and preparing all necessary documentation.</w:t>
      </w:r>
    </w:p>
    <w:p w14:paraId="2134F046" w14:textId="60C742D2" w:rsidR="003F2EB5" w:rsidRDefault="003F2EB5" w:rsidP="003F2EB5">
      <w:r>
        <w:t xml:space="preserve">Further information on the specific tasks and activities that contribute to each of the above listed fees is available in the </w:t>
      </w:r>
      <w:hyperlink r:id="rId46" w:history="1">
        <w:r w:rsidRPr="00223C40">
          <w:rPr>
            <w:rStyle w:val="Hyperlink"/>
          </w:rPr>
          <w:t>CRIS</w:t>
        </w:r>
      </w:hyperlink>
      <w:r>
        <w:t>.</w:t>
      </w:r>
    </w:p>
    <w:p w14:paraId="06F26900" w14:textId="77777777" w:rsidR="003F2EB5" w:rsidRDefault="003F2EB5" w:rsidP="003F2EB5">
      <w:pPr>
        <w:pStyle w:val="Heading2"/>
      </w:pPr>
      <w:bookmarkStart w:id="75" w:name="_Toc149228510"/>
      <w:r>
        <w:t>Payment of fees</w:t>
      </w:r>
      <w:bookmarkEnd w:id="75"/>
    </w:p>
    <w:p w14:paraId="1CB2E7FD" w14:textId="3AB27E69" w:rsidR="003F2EB5" w:rsidRDefault="003F2EB5" w:rsidP="003F2EB5">
      <w:r>
        <w:t xml:space="preserve">The standard application fee </w:t>
      </w:r>
      <w:r w:rsidR="00B615D6">
        <w:t>is due a</w:t>
      </w:r>
      <w:r w:rsidR="002C4DF2">
        <w:t>n</w:t>
      </w:r>
      <w:r w:rsidR="00B615D6">
        <w:t>d payable at the time</w:t>
      </w:r>
      <w:r w:rsidR="007C48E2">
        <w:t xml:space="preserve"> an </w:t>
      </w:r>
      <w:r>
        <w:t>application is submitted through the HPP. This fee is non-refundable.</w:t>
      </w:r>
    </w:p>
    <w:p w14:paraId="167A9739" w14:textId="0BEFF011" w:rsidR="003F2EB5" w:rsidRPr="00367CA6" w:rsidRDefault="003F2EB5" w:rsidP="003F2EB5">
      <w:r>
        <w:t xml:space="preserve">For all other fees, the fee must be paid within 28 days of an invoice being issued by the department. It is important to note that assessment </w:t>
      </w:r>
      <w:r w:rsidR="007C48E2">
        <w:t xml:space="preserve">of an application </w:t>
      </w:r>
      <w:r>
        <w:t xml:space="preserve">may not occur, and decisions associated with an assessment may not be provided until </w:t>
      </w:r>
      <w:r w:rsidR="007C48E2">
        <w:t xml:space="preserve">all </w:t>
      </w:r>
      <w:r>
        <w:t>outstanding fees are paid.</w:t>
      </w:r>
    </w:p>
    <w:p w14:paraId="78083607" w14:textId="77777777" w:rsidR="003F2EB5" w:rsidRDefault="003F2EB5" w:rsidP="003F2EB5">
      <w:pPr>
        <w:pStyle w:val="Heading2"/>
      </w:pPr>
      <w:bookmarkStart w:id="76" w:name="_Withdrawal_of_applications"/>
      <w:bookmarkStart w:id="77" w:name="_Toc149228511"/>
      <w:bookmarkEnd w:id="76"/>
      <w:r>
        <w:lastRenderedPageBreak/>
        <w:t>Withdrawal of applications and refunds</w:t>
      </w:r>
      <w:bookmarkEnd w:id="77"/>
    </w:p>
    <w:p w14:paraId="6E0D9FF4" w14:textId="73359993" w:rsidR="003F2EB5" w:rsidRDefault="003F2EB5" w:rsidP="003F2EB5">
      <w:r>
        <w:t>Sponsors are permitted to withdraw their application at any stage of the application process. However, it should be noted that all cost-recovery fees are non-refundable except in the instances that an applicant has overpaid or, in the instances that exceptional circumstances apply that render a refund required.</w:t>
      </w:r>
      <w:r w:rsidR="00404F0D">
        <w:t xml:space="preserve"> Exceptional circumstances include instances of overpayment as a result of fee waiver deemed eligible post payment of cost recovery fees or </w:t>
      </w:r>
      <w:r w:rsidR="00404F0D" w:rsidRPr="00E0410F">
        <w:t>overp</w:t>
      </w:r>
      <w:r w:rsidR="00404F0D">
        <w:t>ayment</w:t>
      </w:r>
      <w:r w:rsidR="00404F0D" w:rsidRPr="00E0410F">
        <w:t xml:space="preserve"> as a result of </w:t>
      </w:r>
      <w:r w:rsidR="00404F0D">
        <w:t xml:space="preserve">a request to review certain decisions related to cost recovery fees. See </w:t>
      </w:r>
      <w:hyperlink w:anchor="_Reviewable_decisions" w:history="1">
        <w:r w:rsidR="00404F0D" w:rsidRPr="00953865">
          <w:rPr>
            <w:rStyle w:val="Hyperlink"/>
          </w:rPr>
          <w:t>Review</w:t>
        </w:r>
        <w:r w:rsidR="00404F0D">
          <w:rPr>
            <w:rStyle w:val="Hyperlink"/>
          </w:rPr>
          <w:t>able</w:t>
        </w:r>
        <w:r w:rsidR="00404F0D" w:rsidRPr="00953865">
          <w:rPr>
            <w:rStyle w:val="Hyperlink"/>
          </w:rPr>
          <w:t xml:space="preserve"> decisions</w:t>
        </w:r>
      </w:hyperlink>
      <w:r w:rsidR="00404F0D">
        <w:t xml:space="preserve"> section for more information.</w:t>
      </w:r>
    </w:p>
    <w:p w14:paraId="1BBE45C2" w14:textId="3E719453" w:rsidR="003F2EB5" w:rsidRDefault="003F2EB5" w:rsidP="003F2EB5">
      <w:r>
        <w:t xml:space="preserve">If an application is withdrawn, or if an application has </w:t>
      </w:r>
      <w:r w:rsidR="00917112">
        <w:t>been rejected (not granted or not approved)</w:t>
      </w:r>
      <w:r>
        <w:t xml:space="preserve">, the </w:t>
      </w:r>
      <w:r w:rsidR="00917112">
        <w:t>sponsor may decide to re-submit an application</w:t>
      </w:r>
      <w:r>
        <w:t xml:space="preserve">. The </w:t>
      </w:r>
      <w:r w:rsidR="00917112">
        <w:t xml:space="preserve">sponsor will be required to pay the application and assessment fees for such </w:t>
      </w:r>
      <w:r w:rsidR="00AE4B88">
        <w:t xml:space="preserve">re-submission </w:t>
      </w:r>
      <w:r w:rsidR="00917112">
        <w:t>application</w:t>
      </w:r>
      <w:r>
        <w:t>.</w:t>
      </w:r>
    </w:p>
    <w:p w14:paraId="6D86EF87" w14:textId="4E8A13C4" w:rsidR="003F2EB5" w:rsidRDefault="003F2EB5" w:rsidP="003F2EB5">
      <w:pPr>
        <w:pStyle w:val="Heading2"/>
      </w:pPr>
      <w:bookmarkStart w:id="78" w:name="_Toc149228512"/>
      <w:r>
        <w:t>Fee waivers</w:t>
      </w:r>
      <w:bookmarkEnd w:id="78"/>
      <w:r>
        <w:t xml:space="preserve"> </w:t>
      </w:r>
    </w:p>
    <w:p w14:paraId="12FEA5FD" w14:textId="2BF68920" w:rsidR="00C03749" w:rsidRDefault="00C03749" w:rsidP="00C03749">
      <w:r w:rsidRPr="005A1D2F">
        <w:t>A fee waiver may be granted for applications seeking listing of ‘related medical devices’ in instances where an abridged clinical assessment or economic assessment can be conducted.</w:t>
      </w:r>
    </w:p>
    <w:p w14:paraId="4E328EAF" w14:textId="7701CA65" w:rsidR="00C03749" w:rsidRDefault="00C03749" w:rsidP="001F0684">
      <w:r w:rsidRPr="00397F2E">
        <w:t xml:space="preserve">Medical devices </w:t>
      </w:r>
      <w:r w:rsidR="007A1602">
        <w:t xml:space="preserve">in the applications </w:t>
      </w:r>
      <w:r w:rsidRPr="00397F2E">
        <w:t xml:space="preserve">are related </w:t>
      </w:r>
      <w:r w:rsidR="007A1602">
        <w:t xml:space="preserve">if they </w:t>
      </w:r>
      <w:r w:rsidRPr="00397F2E">
        <w:t xml:space="preserve">are designed to be </w:t>
      </w:r>
      <w:r w:rsidR="007A1602">
        <w:t>used</w:t>
      </w:r>
      <w:r w:rsidR="007A1602" w:rsidRPr="00397F2E">
        <w:t xml:space="preserve"> </w:t>
      </w:r>
      <w:r w:rsidRPr="00397F2E">
        <w:t xml:space="preserve">together </w:t>
      </w:r>
      <w:r w:rsidR="007A1602">
        <w:t xml:space="preserve">(e.g. </w:t>
      </w:r>
      <w:r w:rsidR="007A1602" w:rsidRPr="00397F2E">
        <w:t xml:space="preserve">the main </w:t>
      </w:r>
      <w:r w:rsidR="00917112">
        <w:t>device</w:t>
      </w:r>
      <w:r w:rsidR="007A1602" w:rsidRPr="00397F2E">
        <w:t xml:space="preserve"> and accessor</w:t>
      </w:r>
      <w:r w:rsidR="00917112">
        <w:t xml:space="preserve">ies) </w:t>
      </w:r>
      <w:r w:rsidRPr="00397F2E">
        <w:t>for an expected clinical outcome</w:t>
      </w:r>
      <w:r w:rsidR="007A1602">
        <w:t xml:space="preserve"> and the information to be assessed (including product material and clinical data) is common for </w:t>
      </w:r>
      <w:r w:rsidR="00917112">
        <w:t>all</w:t>
      </w:r>
      <w:r w:rsidR="007A1602">
        <w:t xml:space="preserve"> devices</w:t>
      </w:r>
      <w:r w:rsidRPr="00397F2E">
        <w:t>.</w:t>
      </w:r>
      <w:r>
        <w:t xml:space="preserve"> Sponsors </w:t>
      </w:r>
      <w:r w:rsidR="007A1602">
        <w:t>may</w:t>
      </w:r>
      <w:r>
        <w:t xml:space="preserve"> request a waiver when submitting an application in the HPP and provide reasons for the request together with supporting documents. </w:t>
      </w:r>
    </w:p>
    <w:p w14:paraId="2C356088" w14:textId="77777777" w:rsidR="00C03749" w:rsidRDefault="00C03749" w:rsidP="001F0684">
      <w:r w:rsidRPr="00A8619A">
        <w:t>The number of waivers granted is a decision at the discretion of the</w:t>
      </w:r>
      <w:r>
        <w:t xml:space="preserve"> Minister’s</w:t>
      </w:r>
      <w:r w:rsidRPr="00A8619A">
        <w:t xml:space="preserve"> Delegate.</w:t>
      </w:r>
    </w:p>
    <w:p w14:paraId="495D231A" w14:textId="77777777" w:rsidR="00C85BED" w:rsidRDefault="00C85BED" w:rsidP="00FF54D0">
      <w:pPr>
        <w:pStyle w:val="Heading2"/>
      </w:pPr>
      <w:bookmarkStart w:id="79" w:name="_Toc149228513"/>
      <w:r>
        <w:t>Fee exemptions</w:t>
      </w:r>
      <w:bookmarkEnd w:id="79"/>
    </w:p>
    <w:p w14:paraId="2F3E9E39" w14:textId="21AAD47A" w:rsidR="00677D1F" w:rsidRDefault="00C85BED" w:rsidP="00C85BED">
      <w:r>
        <w:t xml:space="preserve">An exemption </w:t>
      </w:r>
      <w:r w:rsidR="00F82BEB">
        <w:t xml:space="preserve">may </w:t>
      </w:r>
      <w:r>
        <w:t xml:space="preserve">be granted for applications under </w:t>
      </w:r>
      <w:hyperlink w:anchor="_Tier_3:_Full" w:history="1">
        <w:r w:rsidRPr="006F423C">
          <w:rPr>
            <w:rStyle w:val="Hyperlink"/>
          </w:rPr>
          <w:t>Tier 3: Full HTA (MSAC) Pathway</w:t>
        </w:r>
      </w:hyperlink>
      <w:r>
        <w:t xml:space="preserve"> where an application have undergone a clinical assessment and/or and economic evaluation prior to being identified as requiring a Full HTA (MSAC) Pathway assessment. In this circumstance, for cost recovery purposes, the Full HTA (MSAC) Pathway assessment fee may be exempted on the basis that the </w:t>
      </w:r>
      <w:r w:rsidR="00F82BEB">
        <w:t>assessment can be reduced</w:t>
      </w:r>
      <w:r>
        <w:t>. Note this provision only relates to the services provided for the assessment of the medical device. Any services provided by the department in relation to the MSAC application are not included in the calculation of these fee amounts, and fee exemptions granted for PL fees would not apply to MSAC services.</w:t>
      </w:r>
    </w:p>
    <w:p w14:paraId="4C8C77AD" w14:textId="77777777" w:rsidR="003F2EB5" w:rsidRDefault="003F2EB5" w:rsidP="003F2EB5">
      <w:pPr>
        <w:pStyle w:val="Heading2"/>
      </w:pPr>
      <w:bookmarkStart w:id="80" w:name="_Toc149228514"/>
      <w:r>
        <w:t>Reviewable decisions</w:t>
      </w:r>
      <w:bookmarkEnd w:id="80"/>
    </w:p>
    <w:p w14:paraId="63AFA05F" w14:textId="7059DBA4" w:rsidR="005961A1" w:rsidRPr="00C138ED" w:rsidRDefault="008F4735" w:rsidP="005961A1">
      <w:bookmarkStart w:id="81" w:name="_Cost_recovery_levy"/>
      <w:bookmarkEnd w:id="81"/>
      <w:r>
        <w:t>I</w:t>
      </w:r>
      <w:r w:rsidR="005961A1" w:rsidRPr="000E537E">
        <w:t>f a sponsor believes that a decision made in relation to the need for cli</w:t>
      </w:r>
      <w:r w:rsidR="005961A1" w:rsidRPr="00480930">
        <w:t>nical</w:t>
      </w:r>
      <w:r w:rsidR="00971B50">
        <w:t xml:space="preserve"> assessment</w:t>
      </w:r>
      <w:r w:rsidR="005961A1" w:rsidRPr="00480930">
        <w:t xml:space="preserve">, economic </w:t>
      </w:r>
      <w:r w:rsidR="00971B50">
        <w:t xml:space="preserve">assessment </w:t>
      </w:r>
      <w:r w:rsidR="005961A1" w:rsidRPr="000E537E">
        <w:t xml:space="preserve">or </w:t>
      </w:r>
      <w:r w:rsidR="00971B50">
        <w:t>F</w:t>
      </w:r>
      <w:r w:rsidR="005961A1" w:rsidRPr="000E537E">
        <w:t xml:space="preserve">ull </w:t>
      </w:r>
      <w:r w:rsidR="00306989">
        <w:t>HTA</w:t>
      </w:r>
      <w:r w:rsidR="005961A1" w:rsidRPr="000E537E">
        <w:t xml:space="preserve">, to the issuing of refund, or to the granting of fee waivers is incorrect, they are able to request a review of that decision. Review requests must be made in writing to the department within 10 days of issue of </w:t>
      </w:r>
      <w:r w:rsidR="005142B1">
        <w:t>reviewable</w:t>
      </w:r>
      <w:r w:rsidR="005142B1" w:rsidRPr="000E537E">
        <w:t xml:space="preserve"> </w:t>
      </w:r>
      <w:r w:rsidR="005961A1" w:rsidRPr="000E537E">
        <w:t>decision</w:t>
      </w:r>
      <w:r w:rsidR="005142B1">
        <w:t>s</w:t>
      </w:r>
      <w:r w:rsidR="005961A1" w:rsidRPr="000E537E">
        <w:t>.</w:t>
      </w:r>
    </w:p>
    <w:p w14:paraId="51A004C8" w14:textId="77777777" w:rsidR="003F2EB5" w:rsidRDefault="003F2EB5" w:rsidP="003F2EB5">
      <w:pPr>
        <w:pStyle w:val="Heading2"/>
      </w:pPr>
      <w:bookmarkStart w:id="82" w:name="_Toc149228515"/>
      <w:r>
        <w:lastRenderedPageBreak/>
        <w:t>Cost recovery levy</w:t>
      </w:r>
      <w:bookmarkEnd w:id="82"/>
    </w:p>
    <w:p w14:paraId="02E43FC1" w14:textId="34F15178" w:rsidR="003F2EB5" w:rsidRDefault="003F2EB5" w:rsidP="003F2EB5">
      <w:r>
        <w:t xml:space="preserve">A cost recovery levy is payable once annually for each billing code the sponsor has listed on the PL. The levy will commence from 1 July 2024. Details relating to the cost recovery levy will be available on the </w:t>
      </w:r>
      <w:r w:rsidR="00223C40">
        <w:t>department</w:t>
      </w:r>
      <w:r w:rsidR="00306989">
        <w:t>’</w:t>
      </w:r>
      <w:r w:rsidR="00223C40">
        <w:t>s</w:t>
      </w:r>
      <w:r>
        <w:t xml:space="preserve"> website and through the </w:t>
      </w:r>
      <w:hyperlink r:id="rId47">
        <w:r w:rsidRPr="3BFB7E48">
          <w:rPr>
            <w:rStyle w:val="Hyperlink"/>
          </w:rPr>
          <w:t>CRIS</w:t>
        </w:r>
      </w:hyperlink>
      <w:r>
        <w:t>.</w:t>
      </w:r>
    </w:p>
    <w:p w14:paraId="721B6F6E" w14:textId="1E33A540" w:rsidR="00E93CF8" w:rsidRDefault="00E93CF8">
      <w:pPr>
        <w:spacing w:before="0" w:after="0" w:line="240" w:lineRule="auto"/>
      </w:pPr>
      <w:r>
        <w:br w:type="page"/>
      </w:r>
    </w:p>
    <w:p w14:paraId="67EA1458" w14:textId="77777777" w:rsidR="00FD2F62" w:rsidRDefault="00FD2F62" w:rsidP="00E93CF8">
      <w:pPr>
        <w:pStyle w:val="Heading1"/>
        <w:jc w:val="center"/>
        <w:sectPr w:rsidR="00FD2F62" w:rsidSect="00B65FDB">
          <w:headerReference w:type="even" r:id="rId48"/>
          <w:headerReference w:type="default" r:id="rId49"/>
          <w:footerReference w:type="even" r:id="rId50"/>
          <w:footerReference w:type="default" r:id="rId51"/>
          <w:headerReference w:type="first" r:id="rId52"/>
          <w:footerReference w:type="first" r:id="rId53"/>
          <w:pgSz w:w="11906" w:h="16838"/>
          <w:pgMar w:top="1701" w:right="1418" w:bottom="1418" w:left="1418" w:header="709" w:footer="709" w:gutter="0"/>
          <w:pgNumType w:start="1"/>
          <w:cols w:space="708"/>
          <w:docGrid w:linePitch="360"/>
        </w:sectPr>
      </w:pPr>
    </w:p>
    <w:p w14:paraId="1760B406" w14:textId="48A942E7" w:rsidR="00B65FDB" w:rsidRDefault="00E93CF8" w:rsidP="00E93CF8">
      <w:pPr>
        <w:pStyle w:val="Heading1"/>
        <w:jc w:val="center"/>
      </w:pPr>
      <w:bookmarkStart w:id="83" w:name="_PART_2:_TECHNICAL"/>
      <w:bookmarkStart w:id="84" w:name="_Toc149228516"/>
      <w:bookmarkEnd w:id="83"/>
      <w:r>
        <w:lastRenderedPageBreak/>
        <w:t>PART 2:</w:t>
      </w:r>
      <w:r>
        <w:br/>
      </w:r>
      <w:r w:rsidR="00CD3CBE">
        <w:t>INFORMATION TO BE PROVIDED IN THE APPLICATION</w:t>
      </w:r>
      <w:bookmarkEnd w:id="84"/>
    </w:p>
    <w:p w14:paraId="6B0DD1B6" w14:textId="562DDB3F" w:rsidR="00B65FDB" w:rsidRPr="00B65FDB" w:rsidRDefault="00B65FDB" w:rsidP="009B57AF">
      <w:pPr>
        <w:pStyle w:val="Heading1"/>
      </w:pPr>
      <w:bookmarkStart w:id="85" w:name="_Toc135832463"/>
      <w:bookmarkStart w:id="86" w:name="_Toc149228517"/>
      <w:bookmarkStart w:id="87" w:name="_Hlk136867072"/>
      <w:r w:rsidRPr="00B65FDB">
        <w:t xml:space="preserve">Chapter </w:t>
      </w:r>
      <w:r>
        <w:t>5</w:t>
      </w:r>
      <w:r w:rsidRPr="00B65FDB">
        <w:t>: Making an application</w:t>
      </w:r>
      <w:bookmarkEnd w:id="85"/>
      <w:bookmarkEnd w:id="86"/>
    </w:p>
    <w:p w14:paraId="1C6CAE39" w14:textId="6E9708F4" w:rsidR="00C35CF3" w:rsidDel="00312C9B" w:rsidRDefault="00C35CF3" w:rsidP="00C35CF3">
      <w:pPr>
        <w:pStyle w:val="Heading2"/>
      </w:pPr>
      <w:bookmarkStart w:id="88" w:name="_Toc149228518"/>
      <w:bookmarkEnd w:id="87"/>
      <w:r w:rsidDel="00312C9B">
        <w:t>Health Products Portal</w:t>
      </w:r>
      <w:bookmarkEnd w:id="88"/>
    </w:p>
    <w:p w14:paraId="287AB09C" w14:textId="0CFE20C4" w:rsidR="00C35CF3" w:rsidRPr="00B65FDB" w:rsidDel="00312C9B" w:rsidRDefault="00C35CF3" w:rsidP="00C35CF3">
      <w:r w:rsidRPr="004E5BC5">
        <w:t xml:space="preserve">All PL applications are required to be submitted via </w:t>
      </w:r>
      <w:r w:rsidR="001B48F0" w:rsidRPr="004E5BC5">
        <w:t xml:space="preserve">the </w:t>
      </w:r>
      <w:hyperlink r:id="rId54" w:history="1">
        <w:r w:rsidRPr="004E5BC5">
          <w:rPr>
            <w:rStyle w:val="Hyperlink"/>
          </w:rPr>
          <w:t>HPP</w:t>
        </w:r>
      </w:hyperlink>
      <w:r w:rsidRPr="004E5BC5">
        <w:t>.</w:t>
      </w:r>
    </w:p>
    <w:p w14:paraId="5EB11D33" w14:textId="3AA268B8" w:rsidR="0074109F" w:rsidRPr="00B65FDB" w:rsidDel="00312C9B" w:rsidRDefault="0074109F" w:rsidP="0074109F">
      <w:r w:rsidRPr="00B65FDB" w:rsidDel="00312C9B">
        <w:t xml:space="preserve">To access the HPP, sponsors </w:t>
      </w:r>
      <w:r w:rsidR="005302A9">
        <w:t>are required to</w:t>
      </w:r>
      <w:r w:rsidR="005302A9" w:rsidRPr="00B65FDB" w:rsidDel="00312C9B">
        <w:t xml:space="preserve"> </w:t>
      </w:r>
      <w:r w:rsidRPr="00B65FDB" w:rsidDel="00312C9B">
        <w:t>have a myGovID (an Australian Government recognised identity) linked to an organisation via Relationship Authorisation Manager (RAM).</w:t>
      </w:r>
    </w:p>
    <w:p w14:paraId="32E6C19A" w14:textId="57C2D91F" w:rsidR="000B1F9B" w:rsidRDefault="002C4328" w:rsidP="000B1F9B">
      <w:r>
        <w:t>Knowledge base articles are</w:t>
      </w:r>
      <w:r w:rsidR="00C35CF3" w:rsidRPr="00B65FDB" w:rsidDel="00312C9B">
        <w:t xml:space="preserve"> provided in the HPP</w:t>
      </w:r>
      <w:r w:rsidR="00575E70">
        <w:t xml:space="preserve"> alongside the application</w:t>
      </w:r>
      <w:r w:rsidR="00C35CF3" w:rsidRPr="00B65FDB" w:rsidDel="00312C9B">
        <w:t xml:space="preserve"> to assist sponsors </w:t>
      </w:r>
      <w:r w:rsidR="003B47AD">
        <w:t xml:space="preserve">to complete each page of the application. </w:t>
      </w:r>
      <w:r w:rsidR="0060493D">
        <w:t>HPP</w:t>
      </w:r>
      <w:r w:rsidR="003B47AD">
        <w:t xml:space="preserve"> guidance </w:t>
      </w:r>
      <w:r w:rsidR="002A290C">
        <w:t xml:space="preserve">will link back to this </w:t>
      </w:r>
      <w:r w:rsidR="0060493D">
        <w:t>G</w:t>
      </w:r>
      <w:r w:rsidR="002A290C">
        <w:t>uide where relevant.</w:t>
      </w:r>
    </w:p>
    <w:p w14:paraId="530889F7" w14:textId="27B42346" w:rsidR="00C35CF3" w:rsidRPr="00B65FDB" w:rsidDel="00312C9B" w:rsidRDefault="000B1F9B" w:rsidP="7BF39C09">
      <w:r>
        <w:t xml:space="preserve">For further information on the HPP, please visit the </w:t>
      </w:r>
      <w:r w:rsidRPr="009839A6">
        <w:t>website</w:t>
      </w:r>
      <w:r w:rsidR="00193682" w:rsidRPr="009839A6">
        <w:t xml:space="preserve"> [</w:t>
      </w:r>
      <w:hyperlink r:id="rId55" w:history="1">
        <w:r w:rsidR="009839A6" w:rsidRPr="009839A6">
          <w:rPr>
            <w:rStyle w:val="Hyperlink"/>
          </w:rPr>
          <w:t>Health Products Portal</w:t>
        </w:r>
      </w:hyperlink>
      <w:r w:rsidR="00193682" w:rsidRPr="009839A6">
        <w:t>]</w:t>
      </w:r>
      <w:r w:rsidRPr="009839A6">
        <w:t>.</w:t>
      </w:r>
    </w:p>
    <w:p w14:paraId="225D4C60" w14:textId="1EC3208B" w:rsidR="001243B7" w:rsidRPr="00C669BB" w:rsidRDefault="002A290C" w:rsidP="00E51E1A">
      <w:pPr>
        <w:pStyle w:val="Heading2"/>
      </w:pPr>
      <w:bookmarkStart w:id="89" w:name="_Toc149228519"/>
      <w:bookmarkStart w:id="90" w:name="_Toc135832465"/>
      <w:r>
        <w:t>Application cut-off dates</w:t>
      </w:r>
      <w:bookmarkEnd w:id="89"/>
    </w:p>
    <w:p w14:paraId="7047D62A" w14:textId="3B37E9B8" w:rsidR="001243B7" w:rsidRDefault="001243B7" w:rsidP="001243B7">
      <w:r>
        <w:t xml:space="preserve">The </w:t>
      </w:r>
      <w:r w:rsidR="00193682">
        <w:t xml:space="preserve">Rules are made 3 times per year updating the </w:t>
      </w:r>
      <w:r>
        <w:t xml:space="preserve">PL </w:t>
      </w:r>
      <w:r w:rsidR="00193682">
        <w:t xml:space="preserve">on 1 </w:t>
      </w:r>
      <w:r>
        <w:t xml:space="preserve">March, </w:t>
      </w:r>
      <w:r w:rsidR="00193682">
        <w:t xml:space="preserve">1 </w:t>
      </w:r>
      <w:r>
        <w:t xml:space="preserve">July and </w:t>
      </w:r>
      <w:r w:rsidR="00193682">
        <w:t xml:space="preserve">1 </w:t>
      </w:r>
      <w:r>
        <w:t>November</w:t>
      </w:r>
      <w:r w:rsidRPr="003B0B92">
        <w:t>.</w:t>
      </w:r>
      <w:r>
        <w:t xml:space="preserve"> </w:t>
      </w:r>
      <w:r w:rsidR="00193682">
        <w:t>The deadlines for submitting a</w:t>
      </w:r>
      <w:r>
        <w:t>pplication</w:t>
      </w:r>
      <w:r w:rsidR="00193682">
        <w:t>s</w:t>
      </w:r>
      <w:r>
        <w:t xml:space="preserve"> are </w:t>
      </w:r>
      <w:r w:rsidR="00193682">
        <w:t xml:space="preserve">provided </w:t>
      </w:r>
      <w:r>
        <w:t>below:</w:t>
      </w:r>
    </w:p>
    <w:tbl>
      <w:tblPr>
        <w:tblStyle w:val="TableGrid"/>
        <w:tblW w:w="0" w:type="auto"/>
        <w:tblLook w:val="04A0" w:firstRow="1" w:lastRow="0" w:firstColumn="1" w:lastColumn="0" w:noHBand="0" w:noVBand="1"/>
        <w:tblCaption w:val="Prostheses List Cycle"/>
        <w:tblDescription w:val="A table outlining the application submission close dates for the three prostheses listing cycles each year."/>
      </w:tblPr>
      <w:tblGrid>
        <w:gridCol w:w="4508"/>
        <w:gridCol w:w="4508"/>
      </w:tblGrid>
      <w:tr w:rsidR="001243B7" w:rsidRPr="00A954D3" w14:paraId="6B95C847" w14:textId="77777777" w:rsidTr="002D6DCD">
        <w:trPr>
          <w:tblHeader/>
        </w:trPr>
        <w:tc>
          <w:tcPr>
            <w:tcW w:w="4508" w:type="dxa"/>
          </w:tcPr>
          <w:p w14:paraId="0EEFFA8D" w14:textId="77777777" w:rsidR="001243B7" w:rsidRPr="00A00415" w:rsidRDefault="001243B7" w:rsidP="002D6DCD">
            <w:pPr>
              <w:rPr>
                <w:b/>
                <w:bCs/>
              </w:rPr>
            </w:pPr>
            <w:r w:rsidRPr="00A00415">
              <w:rPr>
                <w:b/>
                <w:bCs/>
              </w:rPr>
              <w:t>Submission closes</w:t>
            </w:r>
          </w:p>
        </w:tc>
        <w:tc>
          <w:tcPr>
            <w:tcW w:w="4508" w:type="dxa"/>
          </w:tcPr>
          <w:p w14:paraId="276BBF47" w14:textId="77777777" w:rsidR="001243B7" w:rsidRPr="00A00415" w:rsidRDefault="001243B7" w:rsidP="002D6DCD">
            <w:pPr>
              <w:rPr>
                <w:b/>
                <w:bCs/>
              </w:rPr>
            </w:pPr>
            <w:r w:rsidRPr="00A00415">
              <w:rPr>
                <w:b/>
                <w:bCs/>
              </w:rPr>
              <w:t>PL update</w:t>
            </w:r>
          </w:p>
        </w:tc>
      </w:tr>
      <w:tr w:rsidR="001243B7" w14:paraId="15403CD0" w14:textId="77777777" w:rsidTr="002D6DCD">
        <w:tc>
          <w:tcPr>
            <w:tcW w:w="4508" w:type="dxa"/>
          </w:tcPr>
          <w:p w14:paraId="6C31428D" w14:textId="77777777" w:rsidR="001243B7" w:rsidRDefault="001243B7" w:rsidP="002D6DCD">
            <w:r>
              <w:t>Midnight</w:t>
            </w:r>
            <w:r w:rsidRPr="00825EDD">
              <w:rPr>
                <w:rStyle w:val="FootnoteReference"/>
              </w:rPr>
              <w:footnoteReference w:id="4"/>
            </w:r>
            <w:r>
              <w:t xml:space="preserve"> of the 2</w:t>
            </w:r>
            <w:r w:rsidRPr="004E5BC5">
              <w:t>nd</w:t>
            </w:r>
            <w:r>
              <w:t xml:space="preserve"> Sunday in January</w:t>
            </w:r>
          </w:p>
        </w:tc>
        <w:tc>
          <w:tcPr>
            <w:tcW w:w="4508" w:type="dxa"/>
          </w:tcPr>
          <w:p w14:paraId="38D317AE" w14:textId="77777777" w:rsidR="001243B7" w:rsidRDefault="001243B7" w:rsidP="002D6DCD">
            <w:r>
              <w:t>July</w:t>
            </w:r>
          </w:p>
        </w:tc>
      </w:tr>
      <w:tr w:rsidR="001243B7" w14:paraId="08B8CD71" w14:textId="77777777" w:rsidTr="002D6DCD">
        <w:tc>
          <w:tcPr>
            <w:tcW w:w="4508" w:type="dxa"/>
          </w:tcPr>
          <w:p w14:paraId="5C69BFCB" w14:textId="77777777" w:rsidR="001243B7" w:rsidRDefault="001243B7" w:rsidP="002D6DCD">
            <w:r>
              <w:t>Midnight of the 2</w:t>
            </w:r>
            <w:r w:rsidRPr="004E5BC5">
              <w:t>nd</w:t>
            </w:r>
            <w:r>
              <w:t xml:space="preserve"> Sunday in May</w:t>
            </w:r>
          </w:p>
        </w:tc>
        <w:tc>
          <w:tcPr>
            <w:tcW w:w="4508" w:type="dxa"/>
          </w:tcPr>
          <w:p w14:paraId="5FEFAC7B" w14:textId="77777777" w:rsidR="001243B7" w:rsidRDefault="001243B7" w:rsidP="002D6DCD">
            <w:r>
              <w:t>November</w:t>
            </w:r>
          </w:p>
        </w:tc>
      </w:tr>
      <w:tr w:rsidR="001243B7" w14:paraId="263D0A59" w14:textId="77777777" w:rsidTr="002D6DCD">
        <w:tc>
          <w:tcPr>
            <w:tcW w:w="4508" w:type="dxa"/>
          </w:tcPr>
          <w:p w14:paraId="34AE2AF6" w14:textId="77777777" w:rsidR="001243B7" w:rsidRDefault="001243B7" w:rsidP="002D6DCD">
            <w:r>
              <w:t>Midnight of the 2</w:t>
            </w:r>
            <w:r w:rsidRPr="004E5BC5">
              <w:t>nd</w:t>
            </w:r>
            <w:r>
              <w:t xml:space="preserve"> Sunday in September</w:t>
            </w:r>
          </w:p>
        </w:tc>
        <w:tc>
          <w:tcPr>
            <w:tcW w:w="4508" w:type="dxa"/>
          </w:tcPr>
          <w:p w14:paraId="18B30114" w14:textId="77777777" w:rsidR="001243B7" w:rsidRDefault="001243B7" w:rsidP="002D6DCD">
            <w:r>
              <w:t>March (the following calendar year)</w:t>
            </w:r>
          </w:p>
        </w:tc>
      </w:tr>
    </w:tbl>
    <w:p w14:paraId="13E612EC" w14:textId="73689F0A" w:rsidR="00193045" w:rsidRDefault="00193045" w:rsidP="00193045">
      <w:pPr>
        <w:shd w:val="clear" w:color="auto" w:fill="BFBFBF" w:themeFill="background1" w:themeFillShade="BF"/>
      </w:pPr>
      <w:bookmarkStart w:id="91" w:name="_Toc149228520"/>
      <w:r>
        <w:t xml:space="preserve">The information on the due dates for the sponsors’ transfers and deletion applications, and providing ARTG entries in the deferred applications will be included at a later date. </w:t>
      </w:r>
    </w:p>
    <w:p w14:paraId="37A8D7EB" w14:textId="317C9828" w:rsidR="009E50A4" w:rsidRDefault="009E50A4" w:rsidP="00193045">
      <w:pPr>
        <w:pStyle w:val="Heading2"/>
        <w:keepNext w:val="0"/>
        <w:widowControl w:val="0"/>
      </w:pPr>
      <w:r>
        <w:t>Application</w:t>
      </w:r>
      <w:r w:rsidR="00A763FA">
        <w:t xml:space="preserve"> types</w:t>
      </w:r>
      <w:bookmarkEnd w:id="91"/>
    </w:p>
    <w:p w14:paraId="63702205" w14:textId="5DBB93AC" w:rsidR="009E50A4" w:rsidRDefault="009E50A4" w:rsidP="009E50A4">
      <w:r>
        <w:t xml:space="preserve">Applications </w:t>
      </w:r>
      <w:r w:rsidR="00263AEC">
        <w:t xml:space="preserve">may </w:t>
      </w:r>
      <w:r>
        <w:t xml:space="preserve">be made </w:t>
      </w:r>
      <w:r w:rsidR="00263AEC">
        <w:t>for listing medical devices on</w:t>
      </w:r>
      <w:r>
        <w:t xml:space="preserve"> Part A</w:t>
      </w:r>
      <w:r w:rsidR="00263AEC">
        <w:t xml:space="preserve"> or Part C, and human tissue products on Part </w:t>
      </w:r>
      <w:r>
        <w:t>B of the PL.</w:t>
      </w:r>
    </w:p>
    <w:p w14:paraId="04F4CF16" w14:textId="547F514F" w:rsidR="00A07D1A" w:rsidRDefault="00263AEC" w:rsidP="004E5BC5">
      <w:pPr>
        <w:shd w:val="clear" w:color="auto" w:fill="D9D9D9" w:themeFill="background1" w:themeFillShade="D9"/>
      </w:pPr>
      <w:r>
        <w:t>Presently no applications are</w:t>
      </w:r>
      <w:r w:rsidR="00A07D1A">
        <w:t xml:space="preserve"> considered for </w:t>
      </w:r>
      <w:r>
        <w:t xml:space="preserve">listing devices on </w:t>
      </w:r>
      <w:r w:rsidR="00A07D1A">
        <w:t xml:space="preserve">Part D </w:t>
      </w:r>
      <w:r>
        <w:t>due to</w:t>
      </w:r>
      <w:r w:rsidR="00A07D1A">
        <w:t xml:space="preserve"> the</w:t>
      </w:r>
      <w:r>
        <w:t xml:space="preserve"> scheduled</w:t>
      </w:r>
      <w:r w:rsidR="00A07D1A">
        <w:t xml:space="preserve"> </w:t>
      </w:r>
      <w:r w:rsidR="00A07D1A" w:rsidRPr="00A6701B">
        <w:t xml:space="preserve">removal of </w:t>
      </w:r>
      <w:r>
        <w:t>general use</w:t>
      </w:r>
      <w:r w:rsidRPr="00A6701B">
        <w:t xml:space="preserve"> </w:t>
      </w:r>
      <w:r w:rsidR="00A07D1A" w:rsidRPr="00A6701B">
        <w:t xml:space="preserve">items from </w:t>
      </w:r>
      <w:r>
        <w:t xml:space="preserve">the PL </w:t>
      </w:r>
      <w:r w:rsidR="00D92573">
        <w:t>i</w:t>
      </w:r>
      <w:r>
        <w:t>n</w:t>
      </w:r>
      <w:r w:rsidR="00A07D1A" w:rsidRPr="00A6701B">
        <w:t xml:space="preserve"> July 2024.</w:t>
      </w:r>
      <w:r w:rsidR="00380A64" w:rsidRPr="00A6701B">
        <w:t xml:space="preserve"> Further information on the general use items is available on the </w:t>
      </w:r>
      <w:hyperlink r:id="rId56" w:history="1">
        <w:r w:rsidR="06D83BAA" w:rsidRPr="00A6701B">
          <w:rPr>
            <w:rStyle w:val="Hyperlink"/>
          </w:rPr>
          <w:t>d</w:t>
        </w:r>
        <w:r w:rsidR="00380A64" w:rsidRPr="00A6701B">
          <w:rPr>
            <w:rStyle w:val="Hyperlink"/>
          </w:rPr>
          <w:t>epartment’s website</w:t>
        </w:r>
      </w:hyperlink>
      <w:r w:rsidR="00380A64" w:rsidRPr="00A6701B">
        <w:t>.</w:t>
      </w:r>
      <w:r w:rsidR="00380A64">
        <w:t xml:space="preserve"> </w:t>
      </w:r>
    </w:p>
    <w:p w14:paraId="2D0E971A" w14:textId="0B51788B" w:rsidR="005D53A5" w:rsidRPr="00B65FDB" w:rsidRDefault="00263AEC" w:rsidP="005D53A5">
      <w:r>
        <w:lastRenderedPageBreak/>
        <w:t xml:space="preserve">Sponsor my submit the following </w:t>
      </w:r>
      <w:r w:rsidR="005D53A5">
        <w:t>types</w:t>
      </w:r>
      <w:r w:rsidR="008B7974">
        <w:t xml:space="preserve"> </w:t>
      </w:r>
      <w:r>
        <w:t xml:space="preserve">of </w:t>
      </w:r>
      <w:r w:rsidR="748C4E75">
        <w:t>PL</w:t>
      </w:r>
      <w:r w:rsidR="008B7974">
        <w:t xml:space="preserve"> application in the HPP</w:t>
      </w:r>
      <w:r w:rsidR="005D53A5">
        <w:t>:</w:t>
      </w:r>
    </w:p>
    <w:p w14:paraId="1D8C8CF5" w14:textId="77777777" w:rsidR="00263AEC" w:rsidRDefault="00263AEC" w:rsidP="00263AEC">
      <w:pPr>
        <w:pStyle w:val="ListBullet"/>
        <w:ind w:left="340" w:hanging="340"/>
      </w:pPr>
      <w:r>
        <w:t>new listing application – for listing a medical device on the PL</w:t>
      </w:r>
    </w:p>
    <w:p w14:paraId="340865BA" w14:textId="77777777" w:rsidR="00263AEC" w:rsidRDefault="00263AEC" w:rsidP="00263AEC">
      <w:pPr>
        <w:pStyle w:val="ListBullet"/>
        <w:ind w:left="340" w:hanging="340"/>
      </w:pPr>
      <w:r>
        <w:t>variation applications:</w:t>
      </w:r>
    </w:p>
    <w:p w14:paraId="4133586D" w14:textId="77777777" w:rsidR="00263AEC" w:rsidRDefault="00263AEC" w:rsidP="00263AEC">
      <w:pPr>
        <w:pStyle w:val="ListBullet"/>
        <w:numPr>
          <w:ilvl w:val="0"/>
          <w:numId w:val="64"/>
        </w:numPr>
        <w:ind w:left="567" w:hanging="141"/>
      </w:pPr>
      <w:r>
        <w:t>amendment application for changing details of billing code</w:t>
      </w:r>
    </w:p>
    <w:p w14:paraId="69D42EDA" w14:textId="77777777" w:rsidR="00263AEC" w:rsidRDefault="00263AEC" w:rsidP="00263AEC">
      <w:pPr>
        <w:pStyle w:val="ListBullet"/>
        <w:numPr>
          <w:ilvl w:val="0"/>
          <w:numId w:val="64"/>
        </w:numPr>
        <w:ind w:left="567" w:hanging="141"/>
      </w:pPr>
      <w:r>
        <w:t xml:space="preserve">expansion application for expanding billing code </w:t>
      </w:r>
    </w:p>
    <w:p w14:paraId="0C16588F" w14:textId="77777777" w:rsidR="00263AEC" w:rsidRDefault="00263AEC" w:rsidP="00263AEC">
      <w:pPr>
        <w:pStyle w:val="ListBullet"/>
        <w:numPr>
          <w:ilvl w:val="0"/>
          <w:numId w:val="64"/>
        </w:numPr>
        <w:ind w:left="567" w:hanging="141"/>
      </w:pPr>
      <w:r>
        <w:t xml:space="preserve">compression application for compressing two or more billing codes </w:t>
      </w:r>
    </w:p>
    <w:p w14:paraId="2DF484DD" w14:textId="77777777" w:rsidR="00263AEC" w:rsidRDefault="00263AEC" w:rsidP="00263AEC">
      <w:pPr>
        <w:pStyle w:val="ListBullet"/>
        <w:ind w:left="340" w:hanging="340"/>
      </w:pPr>
      <w:r>
        <w:t xml:space="preserve">application for sponsors’ transfer of a current billing code </w:t>
      </w:r>
    </w:p>
    <w:p w14:paraId="1899DAAB" w14:textId="77777777" w:rsidR="00263AEC" w:rsidRDefault="00263AEC" w:rsidP="00263AEC">
      <w:pPr>
        <w:pStyle w:val="ListBullet"/>
        <w:ind w:left="340" w:hanging="340"/>
      </w:pPr>
      <w:r>
        <w:t>deletion application for deleting billing code.</w:t>
      </w:r>
    </w:p>
    <w:p w14:paraId="6569AA80" w14:textId="52E6A9FC" w:rsidR="00732729" w:rsidRPr="004E5BC5" w:rsidRDefault="00732729" w:rsidP="00EF7D17">
      <w:pPr>
        <w:rPr>
          <w:rFonts w:cs="Arial"/>
          <w:b/>
          <w:bCs/>
          <w:iCs/>
          <w:color w:val="358189"/>
          <w:sz w:val="28"/>
          <w:szCs w:val="28"/>
        </w:rPr>
      </w:pPr>
      <w:r w:rsidRPr="004E5BC5">
        <w:rPr>
          <w:rFonts w:cs="Arial"/>
          <w:b/>
          <w:bCs/>
          <w:iCs/>
          <w:color w:val="358189"/>
          <w:sz w:val="28"/>
          <w:szCs w:val="28"/>
        </w:rPr>
        <w:t>New applications</w:t>
      </w:r>
    </w:p>
    <w:p w14:paraId="44D443DA" w14:textId="7295FBC0" w:rsidR="00742F0D" w:rsidRPr="0071019F" w:rsidRDefault="009E1614" w:rsidP="00EF7D17">
      <w:r>
        <w:t xml:space="preserve">Sponsors may apply for listing medical devices or human tissue products on the PL using </w:t>
      </w:r>
      <w:r w:rsidRPr="00732729">
        <w:t>n</w:t>
      </w:r>
      <w:r w:rsidR="00EF7D17" w:rsidRPr="004E5BC5">
        <w:t>ew applications</w:t>
      </w:r>
      <w:r w:rsidR="00EF7D17" w:rsidRPr="00B65FDB">
        <w:t xml:space="preserve">. </w:t>
      </w:r>
      <w:r w:rsidR="00742F0D">
        <w:t xml:space="preserve">Usually new applications are used for first time listing of a device or human tissue product on the PL, but this application also may be used if a sponsor needs to apply for re-instating a device or product on PL or obtain a new separate billing code for a different </w:t>
      </w:r>
      <w:r w:rsidR="00742F0D" w:rsidRPr="0071019F">
        <w:t xml:space="preserve">sponsor. </w:t>
      </w:r>
    </w:p>
    <w:p w14:paraId="7ABC69AC" w14:textId="36068656" w:rsidR="00742F0D" w:rsidRPr="0071019F" w:rsidRDefault="00BF4758" w:rsidP="004E5BC5">
      <w:pPr>
        <w:shd w:val="clear" w:color="auto" w:fill="D9D9D9" w:themeFill="background1" w:themeFillShade="D9"/>
      </w:pPr>
      <w:r w:rsidRPr="004E5BC5">
        <w:t xml:space="preserve">For any new </w:t>
      </w:r>
      <w:r w:rsidR="0010325B" w:rsidRPr="00865D27">
        <w:t>application</w:t>
      </w:r>
      <w:r w:rsidRPr="004E5BC5">
        <w:t>s</w:t>
      </w:r>
      <w:r w:rsidR="0010325B" w:rsidRPr="00865D27">
        <w:t xml:space="preserve"> contain</w:t>
      </w:r>
      <w:r w:rsidRPr="004E5BC5">
        <w:t>ing</w:t>
      </w:r>
      <w:r w:rsidR="0010325B" w:rsidRPr="00865D27">
        <w:t xml:space="preserve"> more than </w:t>
      </w:r>
      <w:r w:rsidRPr="004E5BC5">
        <w:t>one</w:t>
      </w:r>
      <w:r w:rsidR="0010325B" w:rsidRPr="00865D27">
        <w:t xml:space="preserve"> catalogue number</w:t>
      </w:r>
      <w:r w:rsidR="00742F0D" w:rsidRPr="00865D27">
        <w:t>, sponsors are required to ensure that all catalogue numbers stated in the application are for sufficiently s</w:t>
      </w:r>
      <w:r w:rsidR="0071019F" w:rsidRPr="00865D27">
        <w:t xml:space="preserve">imilar devices with minor changes in design characteristics to be </w:t>
      </w:r>
      <w:r w:rsidR="0071019F" w:rsidRPr="002D1D1D">
        <w:t>eligible for listing under the same billing code and grouping is correct for all devices in the application</w:t>
      </w:r>
      <w:r w:rsidR="008D6BBB" w:rsidRPr="002D1D1D">
        <w:t xml:space="preserve"> [</w:t>
      </w:r>
      <w:hyperlink w:anchor="_Billing_codes_and" w:history="1">
        <w:r w:rsidR="008D6BBB" w:rsidRPr="002D1D1D">
          <w:rPr>
            <w:rStyle w:val="Hyperlink"/>
          </w:rPr>
          <w:t>Billing codes and catalogue numbers</w:t>
        </w:r>
      </w:hyperlink>
      <w:r w:rsidR="008D6BBB" w:rsidRPr="002D1D1D">
        <w:t>]</w:t>
      </w:r>
      <w:r w:rsidR="002D1D1D">
        <w:t>.</w:t>
      </w:r>
    </w:p>
    <w:p w14:paraId="48479192" w14:textId="5A116CB2" w:rsidR="00EF7D17" w:rsidRPr="00B65FDB" w:rsidRDefault="0071019F" w:rsidP="00EF7D17">
      <w:r>
        <w:t>When</w:t>
      </w:r>
      <w:r w:rsidR="00EF7D17" w:rsidRPr="0071019F">
        <w:t xml:space="preserve"> new application</w:t>
      </w:r>
      <w:r>
        <w:t>s are</w:t>
      </w:r>
      <w:r w:rsidR="00EF7D17" w:rsidRPr="0071019F">
        <w:t xml:space="preserve"> successful</w:t>
      </w:r>
      <w:r w:rsidR="009E1614" w:rsidRPr="0071019F">
        <w:t xml:space="preserve"> and granted</w:t>
      </w:r>
      <w:r w:rsidR="00EF7D17" w:rsidRPr="0071019F">
        <w:t xml:space="preserve">, </w:t>
      </w:r>
      <w:r w:rsidR="009E1614" w:rsidRPr="0071019F">
        <w:t>new billing code</w:t>
      </w:r>
      <w:r>
        <w:t>s are listed on the Prescribed List for</w:t>
      </w:r>
      <w:r w:rsidR="009E1614" w:rsidRPr="0071019F">
        <w:t xml:space="preserve"> </w:t>
      </w:r>
      <w:r w:rsidR="00EF7D17" w:rsidRPr="0071019F">
        <w:t>the sponsor</w:t>
      </w:r>
      <w:r>
        <w:t>,</w:t>
      </w:r>
      <w:r w:rsidR="00EF7D17" w:rsidRPr="0071019F">
        <w:t xml:space="preserve"> covering the </w:t>
      </w:r>
      <w:r>
        <w:t xml:space="preserve">respective </w:t>
      </w:r>
      <w:r w:rsidR="009E1614" w:rsidRPr="0071019F">
        <w:t>medical device</w:t>
      </w:r>
      <w:r>
        <w:t>s</w:t>
      </w:r>
      <w:r w:rsidR="009E1614" w:rsidRPr="0071019F">
        <w:t xml:space="preserve"> or human tissue product</w:t>
      </w:r>
      <w:r>
        <w:t>s, next time then the MDHTP Rules are made</w:t>
      </w:r>
      <w:r w:rsidR="00EF7D17" w:rsidRPr="0071019F">
        <w:t>.</w:t>
      </w:r>
      <w:r w:rsidR="00742F0D">
        <w:t xml:space="preserve"> </w:t>
      </w:r>
    </w:p>
    <w:p w14:paraId="1E50B72E" w14:textId="49112008" w:rsidR="00732729" w:rsidRPr="004E5BC5" w:rsidRDefault="00732729" w:rsidP="00EF7D17">
      <w:pPr>
        <w:rPr>
          <w:rFonts w:cs="Arial"/>
          <w:b/>
          <w:bCs/>
          <w:iCs/>
          <w:color w:val="358189"/>
          <w:sz w:val="28"/>
          <w:szCs w:val="28"/>
        </w:rPr>
      </w:pPr>
      <w:r w:rsidRPr="004E5BC5">
        <w:rPr>
          <w:rFonts w:cs="Arial"/>
          <w:b/>
          <w:bCs/>
          <w:iCs/>
          <w:color w:val="358189"/>
          <w:sz w:val="28"/>
          <w:szCs w:val="28"/>
        </w:rPr>
        <w:t>Variation applications</w:t>
      </w:r>
    </w:p>
    <w:p w14:paraId="37A1E2C7" w14:textId="5962926A" w:rsidR="00BF4758" w:rsidRDefault="009E1614" w:rsidP="00EF7D17">
      <w:r w:rsidRPr="004E5BC5">
        <w:t>Sponsors may use</w:t>
      </w:r>
      <w:r w:rsidRPr="008D6BBB">
        <w:rPr>
          <w:i/>
          <w:iCs/>
        </w:rPr>
        <w:t xml:space="preserve"> </w:t>
      </w:r>
      <w:r w:rsidRPr="004E5BC5">
        <w:rPr>
          <w:rFonts w:cs="Arial"/>
          <w:b/>
          <w:bCs/>
          <w:i/>
          <w:iCs/>
          <w:color w:val="358189"/>
          <w:sz w:val="24"/>
        </w:rPr>
        <w:t>a</w:t>
      </w:r>
      <w:r w:rsidR="00EF7D17" w:rsidRPr="004E5BC5">
        <w:rPr>
          <w:rFonts w:cs="Arial"/>
          <w:b/>
          <w:bCs/>
          <w:i/>
          <w:iCs/>
          <w:color w:val="358189"/>
          <w:sz w:val="24"/>
        </w:rPr>
        <w:t>mendment application</w:t>
      </w:r>
      <w:r w:rsidR="00EF7D17" w:rsidRPr="008D6BBB">
        <w:t xml:space="preserve"> </w:t>
      </w:r>
      <w:r w:rsidRPr="008D6BBB">
        <w:t>to</w:t>
      </w:r>
      <w:r w:rsidR="00EF7D17" w:rsidRPr="008D6BBB">
        <w:t xml:space="preserve"> apply</w:t>
      </w:r>
      <w:r w:rsidRPr="008D6BBB">
        <w:t xml:space="preserve"> for</w:t>
      </w:r>
      <w:r w:rsidR="00EF7D17" w:rsidRPr="008D6BBB">
        <w:t xml:space="preserve"> </w:t>
      </w:r>
      <w:r w:rsidRPr="008D6BBB">
        <w:t xml:space="preserve">changing </w:t>
      </w:r>
      <w:r w:rsidR="00EF7D17" w:rsidRPr="008D6BBB">
        <w:t xml:space="preserve">the details of the existing billing code. This may include deletion or addition of catalogue numbers recorded for the billing code, </w:t>
      </w:r>
      <w:r w:rsidR="00BF4758" w:rsidRPr="004E5BC5">
        <w:t>amending</w:t>
      </w:r>
      <w:r w:rsidR="00EF7D17" w:rsidRPr="008D6BBB">
        <w:t xml:space="preserve"> product name, description or size, addition or replacement of ARTG entries</w:t>
      </w:r>
      <w:r w:rsidRPr="008D6BBB">
        <w:t xml:space="preserve">, </w:t>
      </w:r>
      <w:r w:rsidR="00EF7D17" w:rsidRPr="008D6BBB">
        <w:t>chang</w:t>
      </w:r>
      <w:r w:rsidRPr="008D6BBB">
        <w:t>ing</w:t>
      </w:r>
      <w:r w:rsidR="00EF7D17" w:rsidRPr="008D6BBB">
        <w:t xml:space="preserve"> the grouping the billing code is listed in.</w:t>
      </w:r>
      <w:r w:rsidR="00EF7D17">
        <w:t xml:space="preserve"> </w:t>
      </w:r>
    </w:p>
    <w:p w14:paraId="3DA67768" w14:textId="631ABA8F" w:rsidR="00865D27" w:rsidRDefault="00BF4758" w:rsidP="004E5BC5">
      <w:pPr>
        <w:shd w:val="clear" w:color="auto" w:fill="D9D9D9" w:themeFill="background1" w:themeFillShade="D9"/>
      </w:pPr>
      <w:r>
        <w:t>Where sponsor</w:t>
      </w:r>
      <w:r w:rsidR="00E769C4">
        <w:t>s</w:t>
      </w:r>
      <w:r>
        <w:t xml:space="preserve"> appl</w:t>
      </w:r>
      <w:r w:rsidR="00E769C4">
        <w:t>y</w:t>
      </w:r>
      <w:r>
        <w:t xml:space="preserve"> to </w:t>
      </w:r>
      <w:r w:rsidR="00865D27" w:rsidRPr="00865D27">
        <w:t>amend</w:t>
      </w:r>
      <w:r w:rsidR="00865D27">
        <w:t xml:space="preserve"> the</w:t>
      </w:r>
      <w:r w:rsidR="00865D27" w:rsidRPr="00865D27">
        <w:t xml:space="preserve"> product name, description or size</w:t>
      </w:r>
      <w:r w:rsidR="00865D27">
        <w:t xml:space="preserve"> in order to clarify or correct information currently recorded for the billing code, the application may fit the parameters for Tier 1 assessment pathway.</w:t>
      </w:r>
    </w:p>
    <w:p w14:paraId="15631068" w14:textId="0829EAD8" w:rsidR="00865D27" w:rsidRDefault="00865D27" w:rsidP="004E5BC5">
      <w:pPr>
        <w:shd w:val="clear" w:color="auto" w:fill="D9D9D9" w:themeFill="background1" w:themeFillShade="D9"/>
      </w:pPr>
      <w:r>
        <w:t xml:space="preserve">But when </w:t>
      </w:r>
      <w:r w:rsidRPr="00865D27">
        <w:t>sponsor</w:t>
      </w:r>
      <w:r w:rsidR="00E769C4">
        <w:t>s</w:t>
      </w:r>
      <w:r w:rsidRPr="00865D27">
        <w:t xml:space="preserve"> appl</w:t>
      </w:r>
      <w:r w:rsidR="00E769C4">
        <w:t>y</w:t>
      </w:r>
      <w:r w:rsidRPr="00865D27">
        <w:t xml:space="preserve"> to </w:t>
      </w:r>
      <w:r w:rsidR="00BF4758">
        <w:t>cha</w:t>
      </w:r>
      <w:r>
        <w:t>n</w:t>
      </w:r>
      <w:r w:rsidR="00BF4758">
        <w:t xml:space="preserve">ge </w:t>
      </w:r>
      <w:r>
        <w:t>the</w:t>
      </w:r>
      <w:r w:rsidR="00BF4758" w:rsidRPr="00BF4758">
        <w:t xml:space="preserve"> grouping</w:t>
      </w:r>
      <w:r w:rsidR="00E769C4">
        <w:t>,</w:t>
      </w:r>
      <w:r w:rsidR="00BF4758" w:rsidRPr="00BF4758">
        <w:t xml:space="preserve"> </w:t>
      </w:r>
      <w:r>
        <w:t xml:space="preserve">the billing code is listed in, </w:t>
      </w:r>
      <w:r w:rsidR="00BF4758" w:rsidRPr="00BF4758">
        <w:t xml:space="preserve">the application </w:t>
      </w:r>
      <w:r>
        <w:t xml:space="preserve">is required to be submitted under Tier </w:t>
      </w:r>
      <w:r w:rsidR="00E769C4">
        <w:t xml:space="preserve">2 </w:t>
      </w:r>
      <w:r>
        <w:t>or Tier 3 pathway.</w:t>
      </w:r>
    </w:p>
    <w:p w14:paraId="7CA85D29" w14:textId="26258B0B" w:rsidR="00EF7D17" w:rsidRPr="00B65FDB" w:rsidRDefault="00865D27" w:rsidP="004E5BC5">
      <w:pPr>
        <w:shd w:val="clear" w:color="auto" w:fill="D9D9D9" w:themeFill="background1" w:themeFillShade="D9"/>
      </w:pPr>
      <w:r>
        <w:t xml:space="preserve">When sponsors apply to add catalogue numbers to the billing codes, sponsors are required to provide </w:t>
      </w:r>
      <w:r w:rsidRPr="002D1D1D">
        <w:t xml:space="preserve">evidence that the devices in the application and devices already listed for the billing code are sufficiently similar </w:t>
      </w:r>
      <w:r w:rsidR="00E769C4" w:rsidRPr="002D1D1D">
        <w:t xml:space="preserve">in design and other characteristics </w:t>
      </w:r>
      <w:r w:rsidRPr="002D1D1D">
        <w:t>to be eligible for listing together</w:t>
      </w:r>
      <w:r w:rsidR="00E769C4" w:rsidRPr="002D1D1D">
        <w:t xml:space="preserve"> </w:t>
      </w:r>
      <w:r w:rsidR="008D6BBB" w:rsidRPr="002D1D1D">
        <w:t>[</w:t>
      </w:r>
      <w:hyperlink w:anchor="_Billing_codes_and" w:history="1">
        <w:r w:rsidR="008D6BBB" w:rsidRPr="002D1D1D">
          <w:rPr>
            <w:rStyle w:val="Hyperlink"/>
          </w:rPr>
          <w:t>Billing codes and catalogue numbers</w:t>
        </w:r>
      </w:hyperlink>
      <w:r w:rsidR="008D6BBB" w:rsidRPr="002D1D1D">
        <w:t>]</w:t>
      </w:r>
      <w:r w:rsidR="00BF4758" w:rsidRPr="002D1D1D">
        <w:t>.</w:t>
      </w:r>
      <w:r w:rsidR="00BF4758" w:rsidRPr="00BF4758">
        <w:t xml:space="preserve"> </w:t>
      </w:r>
    </w:p>
    <w:p w14:paraId="495E5D32" w14:textId="30121121" w:rsidR="00E37ACB" w:rsidRPr="004E5BC5" w:rsidRDefault="00CB199B">
      <w:pPr>
        <w:widowControl w:val="0"/>
        <w:spacing w:line="240" w:lineRule="auto"/>
      </w:pPr>
      <w:r>
        <w:t>A</w:t>
      </w:r>
      <w:r w:rsidRPr="00CB199B">
        <w:t>mendment application</w:t>
      </w:r>
      <w:r>
        <w:t>s do not delete or create any existing billing codes.</w:t>
      </w:r>
    </w:p>
    <w:p w14:paraId="0758F1EF" w14:textId="70F458CB" w:rsidR="00EF7D17" w:rsidRDefault="00EF7D17">
      <w:pPr>
        <w:widowControl w:val="0"/>
        <w:spacing w:line="240" w:lineRule="auto"/>
      </w:pPr>
      <w:r w:rsidRPr="004E5BC5">
        <w:rPr>
          <w:rFonts w:cs="Arial"/>
          <w:b/>
          <w:bCs/>
          <w:i/>
          <w:iCs/>
          <w:color w:val="358189"/>
          <w:sz w:val="24"/>
        </w:rPr>
        <w:t>Expansion and compression applications</w:t>
      </w:r>
      <w:r w:rsidRPr="00B65FDB">
        <w:t xml:space="preserve"> are used for expanding the billing code covering multiple </w:t>
      </w:r>
      <w:r w:rsidR="008D6BBB">
        <w:t>devices</w:t>
      </w:r>
      <w:r w:rsidR="008D6BBB" w:rsidRPr="00B65FDB">
        <w:t xml:space="preserve"> </w:t>
      </w:r>
      <w:r w:rsidRPr="00B65FDB">
        <w:t xml:space="preserve">into </w:t>
      </w:r>
      <w:r w:rsidR="008D6BBB">
        <w:t>two or more</w:t>
      </w:r>
      <w:r w:rsidRPr="00B65FDB">
        <w:t xml:space="preserve"> new billing codes or compressing multiple existing billing codes into a single billing code respectively. This may occur when the single billing code covers different ranges of </w:t>
      </w:r>
      <w:r w:rsidR="008D6BBB">
        <w:t>devices</w:t>
      </w:r>
      <w:r w:rsidRPr="00B65FDB">
        <w:t xml:space="preserve"> that are not expected to be listed together (expansion application), or very similar </w:t>
      </w:r>
      <w:r w:rsidR="008D6BBB">
        <w:t>devices</w:t>
      </w:r>
      <w:r w:rsidR="008D6BBB" w:rsidRPr="00B65FDB">
        <w:t xml:space="preserve"> </w:t>
      </w:r>
      <w:r w:rsidR="009E1614">
        <w:t xml:space="preserve">that </w:t>
      </w:r>
      <w:r w:rsidRPr="00B65FDB">
        <w:t>are not expected to be split (compression applications).</w:t>
      </w:r>
    </w:p>
    <w:p w14:paraId="78F6BCF4" w14:textId="4BD7784D" w:rsidR="008D6BBB" w:rsidRDefault="00A8779D">
      <w:pPr>
        <w:widowControl w:val="0"/>
        <w:spacing w:line="240" w:lineRule="auto"/>
      </w:pPr>
      <w:r>
        <w:lastRenderedPageBreak/>
        <w:t xml:space="preserve">It is not </w:t>
      </w:r>
      <w:r w:rsidR="00E37ACB">
        <w:t xml:space="preserve">usually </w:t>
      </w:r>
      <w:r>
        <w:t>expected that sponsors use e</w:t>
      </w:r>
      <w:r w:rsidRPr="00A8779D">
        <w:t xml:space="preserve">xpansion </w:t>
      </w:r>
      <w:r>
        <w:t>or</w:t>
      </w:r>
      <w:r w:rsidRPr="00A8779D">
        <w:t xml:space="preserve"> compression applications </w:t>
      </w:r>
      <w:r>
        <w:t xml:space="preserve">for changing the groupings for billing codes. </w:t>
      </w:r>
      <w:r w:rsidR="004E739B">
        <w:t>However,</w:t>
      </w:r>
      <w:r>
        <w:t xml:space="preserve"> there may be exceptions. For example, when </w:t>
      </w:r>
      <w:r w:rsidR="008D6BBB">
        <w:t xml:space="preserve">it has been discovered that </w:t>
      </w:r>
      <w:r>
        <w:t>subgroup or suffix are incorrect for the devices with some catalogue numbers</w:t>
      </w:r>
      <w:r w:rsidRPr="00A8779D">
        <w:t xml:space="preserve"> </w:t>
      </w:r>
      <w:r>
        <w:t xml:space="preserve">recorded for the billing code, </w:t>
      </w:r>
      <w:r w:rsidR="00E37ACB">
        <w:t>in such instances,</w:t>
      </w:r>
      <w:r>
        <w:t xml:space="preserve"> sponsors may apply to split the devices in order to list them </w:t>
      </w:r>
      <w:r w:rsidR="00E37ACB">
        <w:t xml:space="preserve">in correct groupings </w:t>
      </w:r>
      <w:r>
        <w:t>under different billing codes.</w:t>
      </w:r>
      <w:r w:rsidR="008D6BBB">
        <w:t xml:space="preserve"> </w:t>
      </w:r>
    </w:p>
    <w:p w14:paraId="67E4C3F3" w14:textId="0ABD5ABC" w:rsidR="00E37ACB" w:rsidRDefault="00E37ACB" w:rsidP="004E5BC5">
      <w:pPr>
        <w:widowControl w:val="0"/>
        <w:spacing w:line="240" w:lineRule="auto"/>
      </w:pPr>
      <w:r w:rsidRPr="00E37ACB">
        <w:t xml:space="preserve">Successful </w:t>
      </w:r>
      <w:r>
        <w:t>e</w:t>
      </w:r>
      <w:r w:rsidRPr="00E37ACB">
        <w:t xml:space="preserve">xpansion and compression applications result in </w:t>
      </w:r>
      <w:r>
        <w:t>deletion of</w:t>
      </w:r>
      <w:r w:rsidRPr="00E37ACB">
        <w:t xml:space="preserve"> the </w:t>
      </w:r>
      <w:r>
        <w:t>existing</w:t>
      </w:r>
      <w:r w:rsidRPr="00E37ACB">
        <w:t xml:space="preserve"> billing code</w:t>
      </w:r>
      <w:r>
        <w:t xml:space="preserve">s </w:t>
      </w:r>
      <w:r w:rsidRPr="00E37ACB">
        <w:t>and creation of new billing codes.</w:t>
      </w:r>
    </w:p>
    <w:p w14:paraId="3D08A705" w14:textId="45114A48" w:rsidR="04B7ACE0" w:rsidRDefault="009E1614" w:rsidP="009E1614">
      <w:pPr>
        <w:widowControl w:val="0"/>
        <w:spacing w:line="240" w:lineRule="auto"/>
      </w:pPr>
      <w:r w:rsidRPr="004E5BC5">
        <w:rPr>
          <w:b/>
          <w:bCs/>
        </w:rPr>
        <w:t>For Part B applications</w:t>
      </w:r>
      <w:r>
        <w:t xml:space="preserve">, sponsors </w:t>
      </w:r>
      <w:r w:rsidR="00403F29">
        <w:t>do</w:t>
      </w:r>
      <w:r>
        <w:t xml:space="preserve"> </w:t>
      </w:r>
      <w:r w:rsidR="00403F29">
        <w:t>not usually</w:t>
      </w:r>
      <w:r w:rsidR="00403F29" w:rsidRPr="00403F29">
        <w:t xml:space="preserve"> </w:t>
      </w:r>
      <w:r w:rsidR="00403F29">
        <w:t xml:space="preserve">apply for </w:t>
      </w:r>
      <w:r w:rsidR="00403F29" w:rsidRPr="00403F29">
        <w:t>expand</w:t>
      </w:r>
      <w:r w:rsidR="00403F29">
        <w:t xml:space="preserve">ing or </w:t>
      </w:r>
      <w:r w:rsidR="00403F29" w:rsidRPr="00403F29">
        <w:t>compress</w:t>
      </w:r>
      <w:r w:rsidR="00403F29">
        <w:t>ing billing codes. Sponsor however are a</w:t>
      </w:r>
      <w:r>
        <w:t>ble to</w:t>
      </w:r>
      <w:r w:rsidRPr="009E1614">
        <w:t xml:space="preserve"> </w:t>
      </w:r>
      <w:r>
        <w:t>use v</w:t>
      </w:r>
      <w:r w:rsidRPr="009E1614">
        <w:t>ariation application</w:t>
      </w:r>
      <w:r>
        <w:t xml:space="preserve"> for changing </w:t>
      </w:r>
      <w:r w:rsidRPr="004E5BC5">
        <w:rPr>
          <w:b/>
          <w:bCs/>
          <w:i/>
          <w:iCs/>
        </w:rPr>
        <w:t>b</w:t>
      </w:r>
      <w:r w:rsidR="04B7ACE0" w:rsidRPr="004E5BC5">
        <w:rPr>
          <w:b/>
          <w:bCs/>
          <w:i/>
          <w:iCs/>
        </w:rPr>
        <w:t>enefit</w:t>
      </w:r>
      <w:r w:rsidRPr="004E5BC5">
        <w:rPr>
          <w:b/>
          <w:bCs/>
          <w:i/>
          <w:iCs/>
        </w:rPr>
        <w:t>s</w:t>
      </w:r>
      <w:r w:rsidR="04B7ACE0" w:rsidRPr="004E5BC5">
        <w:rPr>
          <w:b/>
          <w:bCs/>
          <w:i/>
          <w:iCs/>
        </w:rPr>
        <w:t xml:space="preserve"> </w:t>
      </w:r>
      <w:r w:rsidRPr="004E5BC5">
        <w:rPr>
          <w:b/>
          <w:bCs/>
          <w:i/>
          <w:iCs/>
        </w:rPr>
        <w:t>for</w:t>
      </w:r>
      <w:r w:rsidR="00D66D15" w:rsidRPr="004E5BC5">
        <w:rPr>
          <w:b/>
          <w:bCs/>
          <w:i/>
          <w:iCs/>
        </w:rPr>
        <w:t xml:space="preserve"> multiple Part B </w:t>
      </w:r>
      <w:r w:rsidRPr="004E5BC5">
        <w:rPr>
          <w:b/>
          <w:bCs/>
          <w:i/>
          <w:iCs/>
        </w:rPr>
        <w:t>billing codes</w:t>
      </w:r>
      <w:r w:rsidR="00A81A9A">
        <w:t xml:space="preserve">, </w:t>
      </w:r>
      <w:r>
        <w:t>instead of</w:t>
      </w:r>
      <w:r w:rsidR="00A81A9A">
        <w:t xml:space="preserve"> </w:t>
      </w:r>
      <w:r>
        <w:t xml:space="preserve">lodging </w:t>
      </w:r>
      <w:r w:rsidR="00A81A9A">
        <w:t>multiple applications.</w:t>
      </w:r>
    </w:p>
    <w:p w14:paraId="4F33459F" w14:textId="4F3B2395" w:rsidR="00F026B7" w:rsidRDefault="00F026B7" w:rsidP="004E5BC5">
      <w:pPr>
        <w:widowControl w:val="0"/>
        <w:spacing w:line="240" w:lineRule="auto"/>
      </w:pPr>
      <w:r>
        <w:t xml:space="preserve">Sponsors </w:t>
      </w:r>
      <w:r w:rsidR="00403F29">
        <w:t xml:space="preserve">of any applications </w:t>
      </w:r>
      <w:r>
        <w:t xml:space="preserve">may choose to </w:t>
      </w:r>
      <w:r w:rsidRPr="004E5BC5">
        <w:rPr>
          <w:b/>
          <w:bCs/>
          <w:i/>
          <w:iCs/>
        </w:rPr>
        <w:t>re-apply</w:t>
      </w:r>
      <w:r>
        <w:t xml:space="preserve"> if there is a negative decision regarding their application.</w:t>
      </w:r>
      <w:r w:rsidR="00403F29">
        <w:t xml:space="preserve"> In such </w:t>
      </w:r>
      <w:r w:rsidR="00E37ACB">
        <w:t>instances</w:t>
      </w:r>
      <w:r w:rsidR="00403F29">
        <w:t>, s</w:t>
      </w:r>
      <w:r>
        <w:t xml:space="preserve">ponsors </w:t>
      </w:r>
      <w:r w:rsidR="00E37ACB">
        <w:t xml:space="preserve">will </w:t>
      </w:r>
      <w:r>
        <w:t>need to address the concerns raised during the assessment and recommendation when they resubmit their application and provide all required information.</w:t>
      </w:r>
      <w:r w:rsidR="00403F29">
        <w:t xml:space="preserve"> </w:t>
      </w:r>
      <w:r>
        <w:t xml:space="preserve">HPP </w:t>
      </w:r>
      <w:r w:rsidR="00E37ACB">
        <w:t xml:space="preserve">functionality </w:t>
      </w:r>
      <w:r>
        <w:t xml:space="preserve">will allow </w:t>
      </w:r>
      <w:r w:rsidR="00403F29">
        <w:t xml:space="preserve">information from the previous application </w:t>
      </w:r>
      <w:r>
        <w:t>to be pre-filled</w:t>
      </w:r>
      <w:r w:rsidR="00403F29" w:rsidRPr="00403F29">
        <w:t xml:space="preserve"> </w:t>
      </w:r>
      <w:r w:rsidR="00403F29">
        <w:t xml:space="preserve">in </w:t>
      </w:r>
      <w:r w:rsidR="00403F29" w:rsidRPr="00861CD6">
        <w:t>the resubmission application</w:t>
      </w:r>
      <w:r w:rsidRPr="00861CD6">
        <w:t>.</w:t>
      </w:r>
      <w:r w:rsidR="00403F29" w:rsidRPr="00861CD6">
        <w:t xml:space="preserve"> Sponsors will be required to pay the fees for such applications [</w:t>
      </w:r>
      <w:hyperlink w:anchor="_Withdrawal_of_applications" w:history="1">
        <w:r w:rsidR="00403F29" w:rsidRPr="00861CD6">
          <w:rPr>
            <w:rStyle w:val="Hyperlink"/>
          </w:rPr>
          <w:t>Withdrawal of applications and refunds</w:t>
        </w:r>
      </w:hyperlink>
      <w:r w:rsidR="00403F29" w:rsidRPr="00861CD6">
        <w:t>].</w:t>
      </w:r>
    </w:p>
    <w:p w14:paraId="42F9ACBE" w14:textId="7BCF1CF5" w:rsidR="009E1614" w:rsidRDefault="009E1614" w:rsidP="00E769C4">
      <w:r>
        <w:t xml:space="preserve">The information and evidence required may </w:t>
      </w:r>
      <w:r w:rsidRPr="005437C4">
        <w:t>vary depending on the PL Part and type of application</w:t>
      </w:r>
      <w:r w:rsidR="00E769C4" w:rsidRPr="005437C4">
        <w:t xml:space="preserve">. For assessment of applications </w:t>
      </w:r>
      <w:r w:rsidR="00337CFD">
        <w:t>see,</w:t>
      </w:r>
      <w:r w:rsidR="00E769C4" w:rsidRPr="005437C4">
        <w:t xml:space="preserve"> </w:t>
      </w:r>
      <w:hyperlink w:anchor="_Assessment_of_Part_1" w:history="1">
        <w:r w:rsidR="00E769C4" w:rsidRPr="005437C4">
          <w:rPr>
            <w:rStyle w:val="Hyperlink"/>
          </w:rPr>
          <w:t>Assessment of Part B</w:t>
        </w:r>
      </w:hyperlink>
      <w:r w:rsidR="00E769C4" w:rsidRPr="005437C4">
        <w:t xml:space="preserve"> and </w:t>
      </w:r>
      <w:hyperlink w:anchor="_Assessment_of_Part" w:history="1">
        <w:r w:rsidR="00E769C4" w:rsidRPr="005437C4">
          <w:rPr>
            <w:rStyle w:val="Hyperlink"/>
          </w:rPr>
          <w:t>Assessment of Part A and Part C</w:t>
        </w:r>
      </w:hyperlink>
      <w:r w:rsidR="00E769C4" w:rsidRPr="005437C4">
        <w:t>.</w:t>
      </w:r>
    </w:p>
    <w:p w14:paraId="0ECC30D3" w14:textId="676C306A" w:rsidR="00732729" w:rsidRPr="004E5BC5" w:rsidRDefault="00732729">
      <w:pPr>
        <w:pStyle w:val="Heading3"/>
        <w:keepNext w:val="0"/>
        <w:widowControl w:val="0"/>
        <w:rPr>
          <w:iCs/>
          <w:sz w:val="28"/>
          <w:szCs w:val="28"/>
        </w:rPr>
      </w:pPr>
      <w:bookmarkStart w:id="92" w:name="_Deletion_applications"/>
      <w:bookmarkStart w:id="93" w:name="_Toc149228521"/>
      <w:bookmarkEnd w:id="92"/>
      <w:r w:rsidRPr="004E5BC5">
        <w:rPr>
          <w:iCs/>
          <w:sz w:val="28"/>
          <w:szCs w:val="28"/>
        </w:rPr>
        <w:t>Deletion applications</w:t>
      </w:r>
      <w:bookmarkEnd w:id="93"/>
    </w:p>
    <w:p w14:paraId="63913EB2" w14:textId="31E5F462" w:rsidR="00E8469D" w:rsidRPr="00D66EEE" w:rsidRDefault="00F026B7" w:rsidP="004E5BC5">
      <w:pPr>
        <w:pStyle w:val="Heading3"/>
        <w:keepNext w:val="0"/>
        <w:widowControl w:val="0"/>
        <w:rPr>
          <w:rFonts w:cs="Times New Roman"/>
          <w:b w:val="0"/>
          <w:bCs w:val="0"/>
          <w:color w:val="000000" w:themeColor="text1"/>
          <w:sz w:val="22"/>
          <w:szCs w:val="24"/>
        </w:rPr>
      </w:pPr>
      <w:bookmarkStart w:id="94" w:name="_Toc149228522"/>
      <w:r w:rsidRPr="004E5BC5">
        <w:rPr>
          <w:rFonts w:cs="Times New Roman"/>
          <w:b w:val="0"/>
          <w:bCs w:val="0"/>
          <w:color w:val="000000" w:themeColor="text1"/>
          <w:sz w:val="22"/>
          <w:szCs w:val="24"/>
        </w:rPr>
        <w:t>Sponsor may submit d</w:t>
      </w:r>
      <w:r w:rsidR="00216A0F" w:rsidRPr="004E5BC5">
        <w:rPr>
          <w:rFonts w:cs="Times New Roman"/>
          <w:b w:val="0"/>
          <w:bCs w:val="0"/>
          <w:color w:val="000000" w:themeColor="text1"/>
          <w:sz w:val="22"/>
          <w:szCs w:val="24"/>
        </w:rPr>
        <w:t>el</w:t>
      </w:r>
      <w:r w:rsidR="001D1E1E" w:rsidRPr="004E5BC5">
        <w:rPr>
          <w:rFonts w:cs="Times New Roman"/>
          <w:b w:val="0"/>
          <w:bCs w:val="0"/>
          <w:color w:val="000000" w:themeColor="text1"/>
          <w:sz w:val="22"/>
          <w:szCs w:val="24"/>
        </w:rPr>
        <w:t>et</w:t>
      </w:r>
      <w:r w:rsidRPr="004E5BC5">
        <w:rPr>
          <w:rFonts w:cs="Times New Roman"/>
          <w:b w:val="0"/>
          <w:bCs w:val="0"/>
          <w:color w:val="000000" w:themeColor="text1"/>
          <w:sz w:val="22"/>
          <w:szCs w:val="24"/>
        </w:rPr>
        <w:t>ion</w:t>
      </w:r>
      <w:r w:rsidR="00216A0F" w:rsidRPr="004E5BC5">
        <w:rPr>
          <w:rFonts w:cs="Times New Roman"/>
          <w:b w:val="0"/>
          <w:bCs w:val="0"/>
          <w:color w:val="000000" w:themeColor="text1"/>
          <w:sz w:val="22"/>
          <w:szCs w:val="24"/>
        </w:rPr>
        <w:t xml:space="preserve"> application</w:t>
      </w:r>
      <w:r w:rsidRPr="004E5BC5">
        <w:rPr>
          <w:rFonts w:cs="Times New Roman"/>
          <w:b w:val="0"/>
          <w:bCs w:val="0"/>
          <w:color w:val="000000" w:themeColor="text1"/>
          <w:sz w:val="22"/>
          <w:szCs w:val="24"/>
        </w:rPr>
        <w:t xml:space="preserve"> to </w:t>
      </w:r>
      <w:r>
        <w:rPr>
          <w:rFonts w:cs="Times New Roman"/>
          <w:b w:val="0"/>
          <w:bCs w:val="0"/>
          <w:color w:val="000000" w:themeColor="text1"/>
          <w:sz w:val="22"/>
          <w:szCs w:val="24"/>
        </w:rPr>
        <w:t>delete the existing billing code from the PL.</w:t>
      </w:r>
      <w:bookmarkEnd w:id="94"/>
    </w:p>
    <w:p w14:paraId="2DC464E2" w14:textId="32641E5A" w:rsidR="00732729" w:rsidRPr="004E5BC5" w:rsidRDefault="00732729" w:rsidP="00F026B7">
      <w:pPr>
        <w:widowControl w:val="0"/>
        <w:rPr>
          <w:rFonts w:cs="Arial"/>
          <w:b/>
          <w:bCs/>
          <w:iCs/>
          <w:color w:val="358189"/>
          <w:sz w:val="28"/>
          <w:szCs w:val="28"/>
        </w:rPr>
      </w:pPr>
      <w:r w:rsidRPr="004E5BC5">
        <w:rPr>
          <w:rFonts w:cs="Arial"/>
          <w:b/>
          <w:bCs/>
          <w:iCs/>
          <w:color w:val="358189"/>
          <w:sz w:val="28"/>
          <w:szCs w:val="28"/>
        </w:rPr>
        <w:t>Sponsors’ transfer application</w:t>
      </w:r>
      <w:r>
        <w:rPr>
          <w:rFonts w:cs="Arial"/>
          <w:b/>
          <w:bCs/>
          <w:iCs/>
          <w:color w:val="358189"/>
          <w:sz w:val="28"/>
          <w:szCs w:val="28"/>
        </w:rPr>
        <w:t>s</w:t>
      </w:r>
    </w:p>
    <w:p w14:paraId="5433A611" w14:textId="327137E8" w:rsidR="00F026B7" w:rsidRDefault="00F026B7" w:rsidP="00F026B7">
      <w:pPr>
        <w:widowControl w:val="0"/>
      </w:pPr>
      <w:r w:rsidRPr="00F026B7">
        <w:t>Sponsor</w:t>
      </w:r>
      <w:r w:rsidR="00CB199B">
        <w:t>s</w:t>
      </w:r>
      <w:r w:rsidRPr="00F026B7">
        <w:t xml:space="preserve"> may </w:t>
      </w:r>
      <w:r>
        <w:t>also apply to t</w:t>
      </w:r>
      <w:r w:rsidR="00E8469D">
        <w:t xml:space="preserve">ransfer </w:t>
      </w:r>
      <w:r>
        <w:t>the billing code</w:t>
      </w:r>
      <w:r w:rsidR="00CB199B">
        <w:t>s</w:t>
      </w:r>
      <w:r>
        <w:t xml:space="preserve"> to different sponsor</w:t>
      </w:r>
      <w:r w:rsidR="00CB199B">
        <w:t>s</w:t>
      </w:r>
      <w:r>
        <w:t xml:space="preserve"> by submitting </w:t>
      </w:r>
      <w:r w:rsidRPr="00732729">
        <w:t>sponsors’ transfer application</w:t>
      </w:r>
      <w:r w:rsidR="00CB199B">
        <w:t>s</w:t>
      </w:r>
      <w:r>
        <w:t>.</w:t>
      </w:r>
    </w:p>
    <w:p w14:paraId="7EA00F26" w14:textId="50F5BE9A" w:rsidR="00CB199B" w:rsidRDefault="00F026B7">
      <w:pPr>
        <w:widowControl w:val="0"/>
      </w:pPr>
      <w:r>
        <w:t>S</w:t>
      </w:r>
      <w:r w:rsidRPr="00F026B7">
        <w:t>ponsors’ transfer application</w:t>
      </w:r>
      <w:r w:rsidR="00CB199B">
        <w:t>s</w:t>
      </w:r>
      <w:r w:rsidRPr="00F026B7" w:rsidDel="00F026B7">
        <w:t xml:space="preserve"> </w:t>
      </w:r>
      <w:r w:rsidR="00E05561">
        <w:t>are</w:t>
      </w:r>
      <w:r w:rsidR="00AF29F2">
        <w:t xml:space="preserve"> used </w:t>
      </w:r>
      <w:r w:rsidR="00E8469D" w:rsidRPr="00B65FDB">
        <w:t xml:space="preserve">when the ownership of the </w:t>
      </w:r>
      <w:r>
        <w:t>medical device</w:t>
      </w:r>
      <w:r w:rsidR="00CB199B">
        <w:t>s</w:t>
      </w:r>
      <w:r>
        <w:t xml:space="preserve"> or human tissue </w:t>
      </w:r>
      <w:r w:rsidR="00E8469D" w:rsidRPr="00B65FDB">
        <w:t>product</w:t>
      </w:r>
      <w:r w:rsidR="00CB199B">
        <w:t>s</w:t>
      </w:r>
      <w:r w:rsidR="00E8469D" w:rsidRPr="00B65FDB">
        <w:t xml:space="preserve"> listed under </w:t>
      </w:r>
      <w:r w:rsidR="00216A0F">
        <w:t>one or more</w:t>
      </w:r>
      <w:r w:rsidR="00E8469D" w:rsidRPr="00B65FDB">
        <w:t xml:space="preserve"> billing code</w:t>
      </w:r>
      <w:r w:rsidR="00216A0F">
        <w:t>s</w:t>
      </w:r>
      <w:r w:rsidR="00E8469D" w:rsidRPr="00B65FDB">
        <w:t xml:space="preserve"> is transferred to another company </w:t>
      </w:r>
      <w:r w:rsidR="00337CFD">
        <w:br/>
      </w:r>
      <w:r w:rsidR="00E8469D" w:rsidRPr="00B65FDB">
        <w:t>(</w:t>
      </w:r>
      <w:r w:rsidR="00337CFD" w:rsidRPr="00B65FDB">
        <w:t>e.g.,</w:t>
      </w:r>
      <w:r w:rsidR="00E8469D" w:rsidRPr="00B65FDB">
        <w:t xml:space="preserve"> business was sold, acquired, merged, etc</w:t>
      </w:r>
      <w:r w:rsidR="00CB199B">
        <w:t>.</w:t>
      </w:r>
      <w:r w:rsidR="00E8469D" w:rsidRPr="00B65FDB">
        <w:t>)</w:t>
      </w:r>
      <w:r>
        <w:t>, or company name has changed</w:t>
      </w:r>
      <w:r w:rsidR="00E8469D" w:rsidRPr="00B65FDB">
        <w:t xml:space="preserve">. The receiving company is responsible for submitting this type of application, </w:t>
      </w:r>
      <w:r w:rsidR="001408C9">
        <w:t xml:space="preserve">but the transferring sponsor </w:t>
      </w:r>
      <w:r w:rsidR="005302A9">
        <w:t>is required to</w:t>
      </w:r>
      <w:r w:rsidR="005302A9" w:rsidRPr="00B65FDB">
        <w:t xml:space="preserve"> </w:t>
      </w:r>
      <w:r w:rsidR="00E8469D" w:rsidRPr="00B65FDB">
        <w:t>provide documentary evidence of the business transaction and agreement/authority to transfer the billing codes (</w:t>
      </w:r>
      <w:r w:rsidR="004B3A03" w:rsidRPr="00B65FDB">
        <w:t>e.g.,</w:t>
      </w:r>
      <w:r w:rsidR="00E8469D" w:rsidRPr="00B65FDB">
        <w:t xml:space="preserve"> letter or agreement of sale, etc).</w:t>
      </w:r>
      <w:r w:rsidR="00CB199B">
        <w:t xml:space="preserve"> </w:t>
      </w:r>
    </w:p>
    <w:p w14:paraId="18873D1D" w14:textId="3F70EFFF" w:rsidR="00E8469D" w:rsidRDefault="00CB199B" w:rsidP="004E5BC5">
      <w:pPr>
        <w:widowControl w:val="0"/>
      </w:pPr>
      <w:r>
        <w:t>The receiving sponsor also must provide evidence that ARTG entry has been amended with the name and details of the new sponsor. If the receiving sponsor does not have a valid ARTG entry in their name, the PL s</w:t>
      </w:r>
      <w:r w:rsidRPr="00CB199B">
        <w:t>ponsors’ transfer application</w:t>
      </w:r>
      <w:r>
        <w:t xml:space="preserve"> will not be accepted.</w:t>
      </w:r>
    </w:p>
    <w:p w14:paraId="4F8DCBE4" w14:textId="414BEA2A" w:rsidR="00866600" w:rsidRPr="009C2398" w:rsidRDefault="00866600" w:rsidP="00866600">
      <w:pPr>
        <w:pStyle w:val="Heading2"/>
      </w:pPr>
      <w:bookmarkStart w:id="95" w:name="_Assessment_of_Part_1"/>
      <w:bookmarkStart w:id="96" w:name="_Toc149228523"/>
      <w:bookmarkEnd w:id="90"/>
      <w:bookmarkEnd w:id="95"/>
      <w:r>
        <w:t>Assessment of Part B applications</w:t>
      </w:r>
      <w:bookmarkEnd w:id="96"/>
    </w:p>
    <w:p w14:paraId="2A6487BC" w14:textId="3C4E15BA" w:rsidR="00FF7E36" w:rsidRPr="004E5BC5" w:rsidRDefault="00FF7E36" w:rsidP="00FF7E36">
      <w:r>
        <w:t xml:space="preserve">Part B lists human tissue items, including donated human tissue such as bone, corneas and heart valves and products that are derived substantially from donated human tissue. There </w:t>
      </w:r>
      <w:r w:rsidRPr="004E5BC5">
        <w:t>are 4 categories in this Part: Ophthalmic; Orthopaedic; Cardio-thoracic; Dermatological.</w:t>
      </w:r>
    </w:p>
    <w:p w14:paraId="3F47EDAB" w14:textId="02684E44" w:rsidR="00FF7E36" w:rsidRPr="004E5BC5" w:rsidRDefault="00866600" w:rsidP="009C3819">
      <w:r w:rsidRPr="004E5BC5">
        <w:t xml:space="preserve">Part B applications </w:t>
      </w:r>
      <w:r w:rsidR="00CB5476" w:rsidRPr="004E5BC5">
        <w:t>are</w:t>
      </w:r>
      <w:r w:rsidRPr="004E5BC5">
        <w:t xml:space="preserve"> assessed by the </w:t>
      </w:r>
      <w:r w:rsidR="544D89B8" w:rsidRPr="004E5BC5">
        <w:t>d</w:t>
      </w:r>
      <w:r w:rsidRPr="004E5BC5">
        <w:t>epartment</w:t>
      </w:r>
      <w:r w:rsidR="004E5BC5" w:rsidRPr="004E5BC5">
        <w:t xml:space="preserve"> and are not presented to the MDHTAC</w:t>
      </w:r>
      <w:r w:rsidR="00CB5476" w:rsidRPr="004E5BC5">
        <w:t>.</w:t>
      </w:r>
      <w:r w:rsidR="00F95E80" w:rsidRPr="004E5BC5">
        <w:t xml:space="preserve"> The assessment </w:t>
      </w:r>
      <w:r w:rsidR="009C3819" w:rsidRPr="004E5BC5">
        <w:t xml:space="preserve">of applications </w:t>
      </w:r>
      <w:r w:rsidR="00F95E80" w:rsidRPr="004E5BC5">
        <w:t>is focusing on verifying correctness of the information provided in the application</w:t>
      </w:r>
      <w:r w:rsidR="009C3819" w:rsidRPr="004E5BC5">
        <w:t>, including product name, description, size, ARTG entry, MBS items, comparator, and category</w:t>
      </w:r>
      <w:r w:rsidR="00F95E80" w:rsidRPr="004E5BC5">
        <w:t xml:space="preserve">. </w:t>
      </w:r>
      <w:r w:rsidR="004E5BC5" w:rsidRPr="004E5BC5">
        <w:t>No application can be finalised until the human tissue product is included in the ARTG.</w:t>
      </w:r>
    </w:p>
    <w:p w14:paraId="568EABFF" w14:textId="28C8ED64" w:rsidR="009C3819" w:rsidRPr="004E5BC5" w:rsidRDefault="009C3819" w:rsidP="009C3819">
      <w:r w:rsidRPr="004E5BC5">
        <w:lastRenderedPageBreak/>
        <w:t xml:space="preserve">The assessment also verify that the information provided supports the benefit requested in the application. </w:t>
      </w:r>
    </w:p>
    <w:p w14:paraId="67EDAFCE" w14:textId="463D073B" w:rsidR="004E5BC5" w:rsidRPr="004E5BC5" w:rsidRDefault="004E5BC5" w:rsidP="004E5BC5">
      <w:r w:rsidRPr="004E5BC5">
        <w:t>State and Territories legislation prohibits trade of human tissue products for profit, so the benefits for Part B are intended to reflect the costs of manufacturing and supplying human tissue products to patients, including retrieval, testing, storage and transport costs.</w:t>
      </w:r>
    </w:p>
    <w:p w14:paraId="3B766D37" w14:textId="3C521C85" w:rsidR="00CB5476" w:rsidRPr="004E5BC5" w:rsidRDefault="004E5BC5" w:rsidP="009C3819">
      <w:r w:rsidRPr="004E5BC5">
        <w:t xml:space="preserve">Sponsors therefore must provide documentation to support the proposed benefits. </w:t>
      </w:r>
      <w:r w:rsidR="009C3819" w:rsidRPr="004E5BC5">
        <w:t xml:space="preserve">This information includes annual financial statement of the human tissue facility and an audited service cost calculation showing the costs attributed to </w:t>
      </w:r>
      <w:r w:rsidR="00CE6C9C" w:rsidRPr="004E5BC5">
        <w:t xml:space="preserve">manufacturing and </w:t>
      </w:r>
      <w:r w:rsidR="009C3819" w:rsidRPr="004E5BC5">
        <w:t xml:space="preserve">supplying the human tissue </w:t>
      </w:r>
      <w:r w:rsidR="00CE6C9C" w:rsidRPr="004E5BC5">
        <w:t xml:space="preserve">product </w:t>
      </w:r>
      <w:r w:rsidR="009C3819" w:rsidRPr="004E5BC5">
        <w:t xml:space="preserve">to the patient, </w:t>
      </w:r>
      <w:r w:rsidRPr="004E5BC5">
        <w:t xml:space="preserve">independently </w:t>
      </w:r>
      <w:r w:rsidR="009C3819" w:rsidRPr="004E5BC5">
        <w:t xml:space="preserve">certified by an accountant. </w:t>
      </w:r>
      <w:r w:rsidR="00CE6C9C" w:rsidRPr="004E5BC5">
        <w:t>T</w:t>
      </w:r>
      <w:r w:rsidR="009C3819" w:rsidRPr="004E5BC5">
        <w:t xml:space="preserve">his </w:t>
      </w:r>
      <w:r w:rsidR="00CE6C9C" w:rsidRPr="004E5BC5">
        <w:t>needs to</w:t>
      </w:r>
      <w:r w:rsidR="009C3819" w:rsidRPr="004E5BC5">
        <w:t xml:space="preserve"> include actual costs, not </w:t>
      </w:r>
      <w:r w:rsidR="00CE6C9C" w:rsidRPr="004E5BC5">
        <w:t xml:space="preserve">only </w:t>
      </w:r>
      <w:r w:rsidR="009C3819" w:rsidRPr="004E5BC5">
        <w:t>estimates.</w:t>
      </w:r>
      <w:r w:rsidR="00CE6C9C" w:rsidRPr="004E5BC5">
        <w:t xml:space="preserve"> </w:t>
      </w:r>
      <w:r w:rsidR="009C3819" w:rsidRPr="004E5BC5">
        <w:t xml:space="preserve">Information on the actual or projected utilisation of the human tissue </w:t>
      </w:r>
      <w:r w:rsidR="00CE6C9C" w:rsidRPr="004E5BC5">
        <w:t>product</w:t>
      </w:r>
      <w:r w:rsidR="009C3819" w:rsidRPr="004E5BC5">
        <w:t xml:space="preserve"> </w:t>
      </w:r>
      <w:r w:rsidR="00CE6C9C" w:rsidRPr="004E5BC5">
        <w:t xml:space="preserve">is also required to </w:t>
      </w:r>
      <w:r w:rsidR="009C3819" w:rsidRPr="004E5BC5">
        <w:t>be provided.</w:t>
      </w:r>
    </w:p>
    <w:p w14:paraId="30D9781C" w14:textId="58CF8772" w:rsidR="00866600" w:rsidRDefault="00CB5476" w:rsidP="0000206D">
      <w:pPr>
        <w:shd w:val="clear" w:color="auto" w:fill="D9D9D9" w:themeFill="background1" w:themeFillShade="D9"/>
      </w:pPr>
      <w:r w:rsidRPr="004E5BC5">
        <w:t>O</w:t>
      </w:r>
      <w:r w:rsidR="00866600" w:rsidRPr="004E5BC5">
        <w:t>ngoing discussions are occurring on the possibility of the three tier pathway arrangements</w:t>
      </w:r>
      <w:r w:rsidR="00866600" w:rsidRPr="003B0B27">
        <w:t xml:space="preserve"> for Part A and Part C, being extended for Part B applications</w:t>
      </w:r>
      <w:r>
        <w:t xml:space="preserve"> in future</w:t>
      </w:r>
      <w:r w:rsidR="00866600" w:rsidRPr="003B0B27">
        <w:t>.</w:t>
      </w:r>
    </w:p>
    <w:p w14:paraId="285270BB" w14:textId="45326824" w:rsidR="00312C9B" w:rsidRPr="008543C1" w:rsidRDefault="00312C9B" w:rsidP="7BF39C09">
      <w:pPr>
        <w:pStyle w:val="Heading2"/>
      </w:pPr>
      <w:bookmarkStart w:id="97" w:name="_Assessment_of_Part"/>
      <w:bookmarkStart w:id="98" w:name="_Toc149228524"/>
      <w:bookmarkEnd w:id="97"/>
      <w:r w:rsidRPr="008543C1">
        <w:t>Assessment of Part A and Part C applications</w:t>
      </w:r>
      <w:bookmarkEnd w:id="98"/>
    </w:p>
    <w:p w14:paraId="4B13A441" w14:textId="1872E660" w:rsidR="0029031E" w:rsidRDefault="007C7B07" w:rsidP="6502A063">
      <w:r>
        <w:t xml:space="preserve">There are three (3) </w:t>
      </w:r>
      <w:r w:rsidR="005756E1">
        <w:t>assessment pathways</w:t>
      </w:r>
      <w:r w:rsidR="00377887">
        <w:t xml:space="preserve">, covering new, amendment, compression and expansion </w:t>
      </w:r>
      <w:r w:rsidR="0000206D">
        <w:t>applications</w:t>
      </w:r>
      <w:r w:rsidR="00F23CE2">
        <w:t xml:space="preserve">, </w:t>
      </w:r>
      <w:r w:rsidR="00C35CF3">
        <w:t>with the evidence requirements tailored for each pathway.</w:t>
      </w:r>
      <w:r w:rsidR="00FD7538">
        <w:t xml:space="preserve"> </w:t>
      </w:r>
    </w:p>
    <w:p w14:paraId="253EA717" w14:textId="478E3915" w:rsidR="0029031E" w:rsidRPr="00481201" w:rsidRDefault="0029031E" w:rsidP="004E5BC5">
      <w:pPr>
        <w:shd w:val="clear" w:color="auto" w:fill="D9D9D9" w:themeFill="background1" w:themeFillShade="D9"/>
        <w:rPr>
          <w:b/>
          <w:bCs/>
          <w:specVanish/>
        </w:rPr>
      </w:pPr>
      <w:r>
        <w:t>Sponsors’ transfer and deletion applications are administrative applications and the Tiered assessment pathways do not apply to these types of applications.</w:t>
      </w:r>
    </w:p>
    <w:p w14:paraId="11BC805E" w14:textId="0CCFAF6C" w:rsidR="00FB3D66" w:rsidRDefault="0029031E" w:rsidP="6502A063">
      <w:r w:rsidRPr="0029031E">
        <w:t xml:space="preserve">Sponsor may </w:t>
      </w:r>
      <w:r>
        <w:t xml:space="preserve">choose any of the three </w:t>
      </w:r>
      <w:r w:rsidR="00FD7538" w:rsidRPr="0029031E">
        <w:t xml:space="preserve">pathways </w:t>
      </w:r>
      <w:r>
        <w:t xml:space="preserve">for </w:t>
      </w:r>
      <w:r w:rsidR="00FD7538" w:rsidRPr="0029031E">
        <w:t xml:space="preserve">Part A applications, </w:t>
      </w:r>
      <w:r>
        <w:t>but for</w:t>
      </w:r>
      <w:r w:rsidRPr="0029031E">
        <w:t xml:space="preserve"> Part C applications</w:t>
      </w:r>
      <w:r>
        <w:t>,</w:t>
      </w:r>
      <w:r w:rsidRPr="0029031E">
        <w:t xml:space="preserve"> </w:t>
      </w:r>
      <w:r w:rsidR="00FD7538" w:rsidRPr="0029031E">
        <w:t xml:space="preserve">Tier 2 and 3 </w:t>
      </w:r>
      <w:r>
        <w:t>are recommended</w:t>
      </w:r>
      <w:r w:rsidR="00FD7538" w:rsidRPr="0029031E">
        <w:t>.</w:t>
      </w:r>
    </w:p>
    <w:p w14:paraId="025FD54D" w14:textId="37E2CA54" w:rsidR="00C35CF3" w:rsidRDefault="00C35CF3" w:rsidP="008A7A82">
      <w:pPr>
        <w:widowControl w:val="0"/>
        <w:spacing w:line="240" w:lineRule="auto"/>
      </w:pPr>
      <w:r w:rsidRPr="00B65FDB">
        <w:t xml:space="preserve">The three-tiered assessment pathways aim to tailor the assessments to different types of devices and the information </w:t>
      </w:r>
      <w:r w:rsidR="0000206D">
        <w:t>provided</w:t>
      </w:r>
      <w:r w:rsidR="003A7388">
        <w:t>.</w:t>
      </w:r>
    </w:p>
    <w:p w14:paraId="36AA788E" w14:textId="717D4ED8" w:rsidR="003D5547" w:rsidRDefault="00C35CF3" w:rsidP="008A7A82">
      <w:pPr>
        <w:pStyle w:val="ListParagraph"/>
        <w:widowControl w:val="0"/>
        <w:numPr>
          <w:ilvl w:val="0"/>
          <w:numId w:val="55"/>
        </w:numPr>
        <w:spacing w:line="240" w:lineRule="auto"/>
        <w:ind w:left="357" w:hanging="357"/>
        <w:contextualSpacing w:val="0"/>
      </w:pPr>
      <w:r w:rsidRPr="00B65FDB">
        <w:t>Tier 1: Departmental Assessment Pathway</w:t>
      </w:r>
    </w:p>
    <w:p w14:paraId="31BDCDAE" w14:textId="1BF869AC" w:rsidR="003D5547" w:rsidRDefault="00C35CF3" w:rsidP="008A7A82">
      <w:pPr>
        <w:pStyle w:val="ListParagraph"/>
        <w:widowControl w:val="0"/>
        <w:numPr>
          <w:ilvl w:val="0"/>
          <w:numId w:val="55"/>
        </w:numPr>
        <w:spacing w:line="240" w:lineRule="auto"/>
        <w:ind w:left="357" w:hanging="357"/>
        <w:contextualSpacing w:val="0"/>
      </w:pPr>
      <w:r w:rsidRPr="00B65FDB">
        <w:t>Tier 2: Clinical/Focused HTA Assessment Pathway</w:t>
      </w:r>
    </w:p>
    <w:p w14:paraId="08AD61BF" w14:textId="63FA594B" w:rsidR="00C35CF3" w:rsidRDefault="00C35CF3" w:rsidP="008A7A82">
      <w:pPr>
        <w:pStyle w:val="ListParagraph"/>
        <w:widowControl w:val="0"/>
        <w:numPr>
          <w:ilvl w:val="0"/>
          <w:numId w:val="55"/>
        </w:numPr>
        <w:spacing w:line="240" w:lineRule="auto"/>
        <w:ind w:left="357" w:hanging="357"/>
        <w:contextualSpacing w:val="0"/>
      </w:pPr>
      <w:r w:rsidRPr="00B65FDB">
        <w:t xml:space="preserve">Tier 3: Full HTA Pathway </w:t>
      </w:r>
      <w:r>
        <w:t>–MSAC assessment</w:t>
      </w:r>
    </w:p>
    <w:p w14:paraId="27618726" w14:textId="0337A944" w:rsidR="00C35CF3" w:rsidRPr="0000206D" w:rsidRDefault="00C35CF3" w:rsidP="008A7A82">
      <w:pPr>
        <w:pStyle w:val="ListParagraph"/>
        <w:widowControl w:val="0"/>
        <w:numPr>
          <w:ilvl w:val="0"/>
          <w:numId w:val="56"/>
        </w:numPr>
        <w:pBdr>
          <w:top w:val="single" w:sz="6" w:space="6" w:color="358189"/>
          <w:left w:val="single" w:sz="6" w:space="10" w:color="358189"/>
          <w:bottom w:val="single" w:sz="6" w:space="10" w:color="358189"/>
          <w:right w:val="single" w:sz="6" w:space="10" w:color="358189"/>
        </w:pBdr>
        <w:shd w:val="clear" w:color="auto" w:fill="D9D9D9" w:themeFill="background1" w:themeFillShade="D9"/>
        <w:spacing w:before="0" w:line="240" w:lineRule="auto"/>
        <w:ind w:left="142" w:right="227" w:firstLine="0"/>
        <w:contextualSpacing w:val="0"/>
        <w:rPr>
          <w:rFonts w:cs="Arial"/>
          <w:lang w:val="en"/>
        </w:rPr>
      </w:pPr>
      <w:r w:rsidRPr="0000206D">
        <w:rPr>
          <w:rFonts w:cs="Arial"/>
          <w:lang w:val="en"/>
        </w:rPr>
        <w:t>It is the responsibility of sponsors to select the appropriate pathway at the time of submitting an application in the HPP, and to provide clear, complete and relevant information to enable an assessment.</w:t>
      </w:r>
      <w:r w:rsidR="0000206D" w:rsidRPr="0000206D">
        <w:rPr>
          <w:rFonts w:cs="Arial"/>
          <w:lang w:val="en"/>
        </w:rPr>
        <w:br/>
      </w:r>
      <w:r w:rsidRPr="0000206D">
        <w:rPr>
          <w:rFonts w:cs="Arial"/>
          <w:lang w:val="en"/>
        </w:rPr>
        <w:t>In determining pathway appropriate for the</w:t>
      </w:r>
      <w:r w:rsidR="0000206D">
        <w:rPr>
          <w:rFonts w:cs="Arial"/>
          <w:lang w:val="en"/>
        </w:rPr>
        <w:t xml:space="preserve"> device and </w:t>
      </w:r>
      <w:r w:rsidRPr="0000206D">
        <w:rPr>
          <w:rFonts w:cs="Arial"/>
          <w:lang w:val="en"/>
        </w:rPr>
        <w:t xml:space="preserve">application, sponsors are encouraged to review the information requirements </w:t>
      </w:r>
      <w:r w:rsidR="00D067D6" w:rsidRPr="0000206D">
        <w:rPr>
          <w:rFonts w:cs="Arial"/>
          <w:lang w:val="en"/>
        </w:rPr>
        <w:t>for each pathway</w:t>
      </w:r>
      <w:r w:rsidR="0000206D" w:rsidRPr="0000206D">
        <w:rPr>
          <w:rFonts w:cs="Arial"/>
          <w:lang w:val="en"/>
        </w:rPr>
        <w:t xml:space="preserve"> provided in the Guide</w:t>
      </w:r>
      <w:r w:rsidR="00D067D6" w:rsidRPr="0000206D">
        <w:rPr>
          <w:rFonts w:cs="Arial"/>
          <w:lang w:val="en"/>
        </w:rPr>
        <w:t>. Where</w:t>
      </w:r>
      <w:r w:rsidR="000B2EC5">
        <w:rPr>
          <w:rFonts w:cs="Arial"/>
          <w:lang w:val="en"/>
        </w:rPr>
        <w:t>,</w:t>
      </w:r>
      <w:r w:rsidR="00D067D6" w:rsidRPr="0000206D">
        <w:rPr>
          <w:rFonts w:cs="Arial"/>
          <w:lang w:val="en"/>
        </w:rPr>
        <w:t xml:space="preserve"> </w:t>
      </w:r>
      <w:r w:rsidR="000B2EC5">
        <w:rPr>
          <w:rFonts w:cs="Arial"/>
          <w:lang w:val="en"/>
        </w:rPr>
        <w:t xml:space="preserve">after consideration of the Guide, </w:t>
      </w:r>
      <w:r w:rsidR="00D067D6" w:rsidRPr="0000206D">
        <w:rPr>
          <w:rFonts w:cs="Arial"/>
          <w:lang w:val="en"/>
        </w:rPr>
        <w:t xml:space="preserve">the appropriate pathway is </w:t>
      </w:r>
      <w:r w:rsidR="0000206D" w:rsidRPr="0000206D">
        <w:rPr>
          <w:rFonts w:cs="Arial"/>
          <w:lang w:val="en"/>
        </w:rPr>
        <w:t xml:space="preserve">still </w:t>
      </w:r>
      <w:r w:rsidR="00394CFA" w:rsidRPr="0000206D">
        <w:rPr>
          <w:rFonts w:cs="Arial"/>
          <w:lang w:val="en"/>
        </w:rPr>
        <w:t>unclear</w:t>
      </w:r>
      <w:r w:rsidR="00D067D6" w:rsidRPr="0000206D">
        <w:rPr>
          <w:rFonts w:cs="Arial"/>
          <w:lang w:val="en"/>
        </w:rPr>
        <w:t xml:space="preserve">, sponsors </w:t>
      </w:r>
      <w:r w:rsidR="0000206D" w:rsidRPr="0000206D">
        <w:rPr>
          <w:rFonts w:cs="Arial"/>
          <w:lang w:val="en"/>
        </w:rPr>
        <w:t>may</w:t>
      </w:r>
      <w:r w:rsidR="00D067D6" w:rsidRPr="0000206D">
        <w:rPr>
          <w:rFonts w:cs="Arial"/>
          <w:lang w:val="en"/>
        </w:rPr>
        <w:t xml:space="preserve"> contact the </w:t>
      </w:r>
      <w:r w:rsidR="4C8307F0" w:rsidRPr="0000206D">
        <w:rPr>
          <w:rFonts w:cs="Arial"/>
          <w:lang w:val="en"/>
        </w:rPr>
        <w:t>d</w:t>
      </w:r>
      <w:r w:rsidR="00D067D6" w:rsidRPr="0000206D">
        <w:rPr>
          <w:rFonts w:cs="Arial"/>
          <w:lang w:val="en"/>
        </w:rPr>
        <w:t xml:space="preserve">epartment </w:t>
      </w:r>
      <w:r w:rsidR="0000206D" w:rsidRPr="0000206D">
        <w:rPr>
          <w:rFonts w:cs="Arial"/>
          <w:lang w:val="en"/>
        </w:rPr>
        <w:t xml:space="preserve">seeking </w:t>
      </w:r>
      <w:r w:rsidR="00D067D6" w:rsidRPr="0000206D">
        <w:rPr>
          <w:rFonts w:cs="Arial"/>
          <w:lang w:val="en"/>
        </w:rPr>
        <w:t>further advice.</w:t>
      </w:r>
    </w:p>
    <w:p w14:paraId="53EE9B7E" w14:textId="30BB679C" w:rsidR="00D4405C" w:rsidRDefault="00AE286D" w:rsidP="003D5547">
      <w:r w:rsidRPr="6502A063">
        <w:rPr>
          <w:color w:val="auto"/>
        </w:rPr>
        <w:t xml:space="preserve">Figures 2 to 4 provide </w:t>
      </w:r>
      <w:r>
        <w:t>an overview of each assessment pathway from lodgement of the application through to the sponsor being informed of the Minister’s decision</w:t>
      </w:r>
      <w:r w:rsidR="0011338F">
        <w:t xml:space="preserve"> regarding application</w:t>
      </w:r>
      <w:r>
        <w:t xml:space="preserve">. The chosen </w:t>
      </w:r>
      <w:r w:rsidR="00C06E92">
        <w:t xml:space="preserve">Tier 1 </w:t>
      </w:r>
      <w:r>
        <w:t xml:space="preserve">pathway to list a medical device on the PL is not expected to impact on the time required for completion of the application. </w:t>
      </w:r>
    </w:p>
    <w:p w14:paraId="253654DA" w14:textId="7B785F58" w:rsidR="00AE286D" w:rsidRPr="004E5BC5" w:rsidRDefault="00AE286D" w:rsidP="004E5BC5">
      <w:pPr>
        <w:shd w:val="clear" w:color="auto" w:fill="D9D9D9" w:themeFill="background1" w:themeFillShade="D9"/>
        <w:rPr>
          <w:rFonts w:cs="Arial"/>
          <w:color w:val="358189"/>
          <w:sz w:val="28"/>
          <w:szCs w:val="28"/>
        </w:rPr>
      </w:pPr>
      <w:r w:rsidRPr="004E5BC5">
        <w:t>The most important factor for an application being assessed in a timely manner is for the application to be complete, with all required information provided and the correct pathway selected upon submission.</w:t>
      </w:r>
    </w:p>
    <w:p w14:paraId="2CE8991C" w14:textId="77777777" w:rsidR="00A56567" w:rsidRDefault="00A56567">
      <w:pPr>
        <w:spacing w:before="0" w:after="0" w:line="240" w:lineRule="auto"/>
        <w:rPr>
          <w:rFonts w:cs="Arial"/>
          <w:b/>
          <w:bCs/>
          <w:color w:val="358189"/>
          <w:sz w:val="32"/>
          <w:szCs w:val="26"/>
        </w:rPr>
      </w:pPr>
      <w:bookmarkStart w:id="99" w:name="_Tier_1:_Departmental"/>
      <w:bookmarkStart w:id="100" w:name="_Hlk136946343"/>
      <w:bookmarkEnd w:id="99"/>
      <w:r>
        <w:br w:type="page"/>
      </w:r>
    </w:p>
    <w:p w14:paraId="47F530C7" w14:textId="63E6EB95" w:rsidR="00D067D6" w:rsidRPr="008543C1" w:rsidRDefault="00D067D6" w:rsidP="7BF39C09">
      <w:pPr>
        <w:pStyle w:val="Heading3"/>
        <w:spacing w:before="0" w:after="0"/>
        <w:rPr>
          <w:color w:val="358189" w:themeColor="accent2"/>
          <w:sz w:val="28"/>
          <w:szCs w:val="28"/>
        </w:rPr>
      </w:pPr>
      <w:bookmarkStart w:id="101" w:name="_Toc149228525"/>
      <w:r w:rsidRPr="008543C1">
        <w:lastRenderedPageBreak/>
        <w:t xml:space="preserve">Tier 1: Departmental </w:t>
      </w:r>
      <w:r w:rsidR="00015DFB">
        <w:t>A</w:t>
      </w:r>
      <w:r w:rsidRPr="008543C1">
        <w:t xml:space="preserve">ssessment </w:t>
      </w:r>
      <w:r w:rsidR="00015DFB">
        <w:t>P</w:t>
      </w:r>
      <w:r w:rsidRPr="008543C1">
        <w:t>athway</w:t>
      </w:r>
      <w:bookmarkEnd w:id="101"/>
    </w:p>
    <w:p w14:paraId="245D16AA" w14:textId="2C46003C" w:rsidR="00D067D6" w:rsidRPr="00C349B7" w:rsidRDefault="00D067D6" w:rsidP="00D067D6">
      <w:pPr>
        <w:rPr>
          <w:szCs w:val="22"/>
        </w:rPr>
      </w:pPr>
      <w:r w:rsidRPr="00C349B7">
        <w:rPr>
          <w:szCs w:val="22"/>
        </w:rPr>
        <w:t xml:space="preserve">Applications submitted under the Tier 1 </w:t>
      </w:r>
      <w:r w:rsidR="00604C5A" w:rsidRPr="00C349B7">
        <w:rPr>
          <w:szCs w:val="22"/>
        </w:rPr>
        <w:t>P</w:t>
      </w:r>
      <w:r w:rsidRPr="00C349B7">
        <w:rPr>
          <w:szCs w:val="22"/>
        </w:rPr>
        <w:t xml:space="preserve">athway are assessed only by the </w:t>
      </w:r>
      <w:r w:rsidR="0B27ED22" w:rsidRPr="00C349B7">
        <w:rPr>
          <w:szCs w:val="22"/>
        </w:rPr>
        <w:t>d</w:t>
      </w:r>
      <w:r w:rsidRPr="00C349B7">
        <w:rPr>
          <w:szCs w:val="22"/>
        </w:rPr>
        <w:t>epartment</w:t>
      </w:r>
      <w:r w:rsidR="00F05202" w:rsidRPr="00C349B7">
        <w:rPr>
          <w:szCs w:val="22"/>
        </w:rPr>
        <w:t xml:space="preserve"> and are not expected to be presented to MDHTAC for consideration</w:t>
      </w:r>
      <w:r w:rsidRPr="00C349B7">
        <w:rPr>
          <w:szCs w:val="22"/>
        </w:rPr>
        <w:t>.</w:t>
      </w:r>
    </w:p>
    <w:p w14:paraId="36A52123" w14:textId="2B4BB929" w:rsidR="000B2EC5" w:rsidRPr="000503DC" w:rsidRDefault="000B2EC5" w:rsidP="000B2EC5">
      <w:pPr>
        <w:widowControl w:val="0"/>
        <w:spacing w:before="0" w:line="240" w:lineRule="auto"/>
        <w:rPr>
          <w:rFonts w:cstheme="minorHAnsi"/>
          <w:szCs w:val="22"/>
        </w:rPr>
      </w:pPr>
      <w:r w:rsidRPr="00C349B7">
        <w:rPr>
          <w:rFonts w:cstheme="minorHAnsi"/>
          <w:szCs w:val="22"/>
        </w:rPr>
        <w:t xml:space="preserve">The baseline requirements for Tier 1 </w:t>
      </w:r>
      <w:r w:rsidR="005B1419">
        <w:rPr>
          <w:rFonts w:cstheme="minorHAnsi"/>
          <w:szCs w:val="22"/>
        </w:rPr>
        <w:t>pathway</w:t>
      </w:r>
      <w:r w:rsidRPr="00C349B7">
        <w:rPr>
          <w:rFonts w:cstheme="minorHAnsi"/>
          <w:szCs w:val="22"/>
        </w:rPr>
        <w:t xml:space="preserve"> are that the medical devices </w:t>
      </w:r>
      <w:r w:rsidR="005B1419">
        <w:rPr>
          <w:rFonts w:cstheme="minorHAnsi"/>
          <w:szCs w:val="22"/>
        </w:rPr>
        <w:t xml:space="preserve">in the application </w:t>
      </w:r>
      <w:r w:rsidRPr="00C349B7">
        <w:rPr>
          <w:rFonts w:cstheme="minorHAnsi"/>
          <w:szCs w:val="22"/>
        </w:rPr>
        <w:t xml:space="preserve">are classified by the TGA as </w:t>
      </w:r>
      <w:r w:rsidRPr="00C349B7">
        <w:rPr>
          <w:rFonts w:cstheme="minorHAnsi"/>
          <w:b/>
          <w:bCs/>
          <w:szCs w:val="22"/>
        </w:rPr>
        <w:t>Class IIb or lower</w:t>
      </w:r>
      <w:r w:rsidRPr="00C349B7">
        <w:rPr>
          <w:rFonts w:cstheme="minorHAnsi"/>
          <w:szCs w:val="22"/>
        </w:rPr>
        <w:t xml:space="preserve">, </w:t>
      </w:r>
      <w:r w:rsidR="005B1419">
        <w:rPr>
          <w:rFonts w:cstheme="minorHAnsi"/>
          <w:szCs w:val="22"/>
        </w:rPr>
        <w:t xml:space="preserve">and </w:t>
      </w:r>
      <w:r w:rsidRPr="00C349B7">
        <w:rPr>
          <w:rFonts w:cstheme="minorHAnsi"/>
          <w:szCs w:val="22"/>
        </w:rPr>
        <w:t xml:space="preserve">they are </w:t>
      </w:r>
      <w:r w:rsidRPr="00C349B7">
        <w:rPr>
          <w:rFonts w:cstheme="minorHAnsi"/>
          <w:b/>
          <w:bCs/>
          <w:szCs w:val="22"/>
        </w:rPr>
        <w:t>well-established technology</w:t>
      </w:r>
      <w:r w:rsidRPr="00C349B7">
        <w:rPr>
          <w:rFonts w:cstheme="minorHAnsi"/>
          <w:szCs w:val="22"/>
        </w:rPr>
        <w:t xml:space="preserve"> (with </w:t>
      </w:r>
      <w:r w:rsidR="008831B4" w:rsidRPr="000503DC">
        <w:rPr>
          <w:rFonts w:cstheme="minorHAnsi"/>
          <w:szCs w:val="22"/>
        </w:rPr>
        <w:t xml:space="preserve">relatively simple, </w:t>
      </w:r>
      <w:r w:rsidRPr="000503DC">
        <w:rPr>
          <w:rFonts w:cstheme="minorHAnsi"/>
          <w:szCs w:val="22"/>
        </w:rPr>
        <w:t>well-understood and stable designs and limited variations</w:t>
      </w:r>
      <w:r w:rsidR="00EA2D5A" w:rsidRPr="000503DC">
        <w:rPr>
          <w:rFonts w:cstheme="minorHAnsi"/>
          <w:szCs w:val="22"/>
        </w:rPr>
        <w:t xml:space="preserve">, and </w:t>
      </w:r>
      <w:r w:rsidRPr="000503DC">
        <w:rPr>
          <w:rFonts w:cstheme="minorHAnsi"/>
          <w:szCs w:val="22"/>
        </w:rPr>
        <w:t xml:space="preserve">with proven records of satisfactory safety </w:t>
      </w:r>
      <w:r w:rsidRPr="004A512F">
        <w:rPr>
          <w:rFonts w:cstheme="minorHAnsi"/>
          <w:szCs w:val="22"/>
        </w:rPr>
        <w:t>and performance</w:t>
      </w:r>
      <w:r w:rsidR="008831B4" w:rsidRPr="004A512F">
        <w:rPr>
          <w:rFonts w:cstheme="minorHAnsi"/>
          <w:szCs w:val="22"/>
        </w:rPr>
        <w:t xml:space="preserve"> (see </w:t>
      </w:r>
      <w:hyperlink w:anchor="_Appendix_B" w:history="1">
        <w:r w:rsidR="008831B4" w:rsidRPr="004A512F">
          <w:rPr>
            <w:rStyle w:val="Hyperlink"/>
            <w:rFonts w:cstheme="minorHAnsi"/>
            <w:szCs w:val="22"/>
          </w:rPr>
          <w:t>Glossary</w:t>
        </w:r>
      </w:hyperlink>
      <w:r w:rsidR="00EA2D5A" w:rsidRPr="000503DC">
        <w:rPr>
          <w:rFonts w:cstheme="minorHAnsi"/>
          <w:szCs w:val="22"/>
        </w:rPr>
        <w:t>)</w:t>
      </w:r>
      <w:r w:rsidRPr="000503DC">
        <w:rPr>
          <w:rFonts w:cstheme="minorHAnsi"/>
          <w:szCs w:val="22"/>
        </w:rPr>
        <w:t xml:space="preserve">. </w:t>
      </w:r>
    </w:p>
    <w:p w14:paraId="21F6775F" w14:textId="0C78D73F" w:rsidR="00E76402" w:rsidRPr="000503DC" w:rsidRDefault="000B2EC5" w:rsidP="000B2EC5">
      <w:pPr>
        <w:widowControl w:val="0"/>
        <w:spacing w:before="0" w:line="240" w:lineRule="auto"/>
        <w:rPr>
          <w:rFonts w:cstheme="minorHAnsi"/>
          <w:szCs w:val="22"/>
        </w:rPr>
      </w:pPr>
      <w:bookmarkStart w:id="102" w:name="_Hlk148887823"/>
      <w:r w:rsidRPr="000503DC">
        <w:rPr>
          <w:rFonts w:cstheme="minorHAnsi"/>
          <w:szCs w:val="22"/>
        </w:rPr>
        <w:t>Sponsors may only apply for listing the device in one of the existing PL groupings</w:t>
      </w:r>
      <w:r w:rsidR="00E76402" w:rsidRPr="000503DC">
        <w:rPr>
          <w:rFonts w:cstheme="minorHAnsi"/>
          <w:szCs w:val="22"/>
        </w:rPr>
        <w:t xml:space="preserve"> and do not ask to change the groupings for the billing codes in the amendment applications</w:t>
      </w:r>
      <w:r w:rsidRPr="000503DC">
        <w:rPr>
          <w:rFonts w:cstheme="minorHAnsi"/>
          <w:szCs w:val="22"/>
        </w:rPr>
        <w:t xml:space="preserve">. </w:t>
      </w:r>
    </w:p>
    <w:p w14:paraId="77F50F55" w14:textId="67E3768C" w:rsidR="000B2EC5" w:rsidRPr="00C349B7" w:rsidRDefault="000B2EC5" w:rsidP="000B2EC5">
      <w:pPr>
        <w:widowControl w:val="0"/>
        <w:spacing w:before="0" w:line="240" w:lineRule="auto"/>
        <w:rPr>
          <w:rFonts w:cstheme="minorHAnsi"/>
          <w:szCs w:val="22"/>
        </w:rPr>
      </w:pPr>
      <w:r w:rsidRPr="000503DC">
        <w:rPr>
          <w:rFonts w:cstheme="minorHAnsi"/>
          <w:szCs w:val="22"/>
        </w:rPr>
        <w:t xml:space="preserve">It is expected that a medical device assessed under this pathway will be interchangeable with </w:t>
      </w:r>
      <w:r w:rsidR="001E62F8" w:rsidRPr="000503DC">
        <w:rPr>
          <w:rFonts w:cstheme="minorHAnsi"/>
          <w:szCs w:val="22"/>
        </w:rPr>
        <w:t xml:space="preserve">the comparator </w:t>
      </w:r>
      <w:r w:rsidRPr="000503DC">
        <w:rPr>
          <w:rFonts w:cstheme="minorHAnsi"/>
          <w:szCs w:val="22"/>
        </w:rPr>
        <w:t xml:space="preserve">devices </w:t>
      </w:r>
      <w:r w:rsidR="001E62F8" w:rsidRPr="000503DC">
        <w:rPr>
          <w:rFonts w:cstheme="minorHAnsi"/>
          <w:szCs w:val="22"/>
        </w:rPr>
        <w:t>listed</w:t>
      </w:r>
      <w:r w:rsidR="00D4405C" w:rsidRPr="000503DC">
        <w:rPr>
          <w:rFonts w:cstheme="minorHAnsi"/>
          <w:szCs w:val="22"/>
        </w:rPr>
        <w:t xml:space="preserve"> </w:t>
      </w:r>
      <w:r w:rsidRPr="000503DC">
        <w:rPr>
          <w:rFonts w:cstheme="minorHAnsi"/>
          <w:szCs w:val="22"/>
        </w:rPr>
        <w:t>in the same PL group</w:t>
      </w:r>
      <w:r w:rsidR="001E62F8" w:rsidRPr="000503DC">
        <w:rPr>
          <w:rFonts w:cstheme="minorHAnsi"/>
          <w:szCs w:val="22"/>
        </w:rPr>
        <w:t>ing</w:t>
      </w:r>
      <w:r w:rsidRPr="000503DC">
        <w:rPr>
          <w:rFonts w:cstheme="minorHAnsi"/>
          <w:szCs w:val="22"/>
        </w:rPr>
        <w:t xml:space="preserve"> (i.e. the devices will have very similar characteristics and are intended to be used in the established patient population with the same indications</w:t>
      </w:r>
      <w:r w:rsidR="00C349B7" w:rsidRPr="000503DC">
        <w:rPr>
          <w:rFonts w:cstheme="minorHAnsi"/>
          <w:szCs w:val="22"/>
        </w:rPr>
        <w:t xml:space="preserve">, and it is unlikely the device will cause any increase in the PL expenditure within the </w:t>
      </w:r>
      <w:r w:rsidR="00C349B7" w:rsidRPr="004A512F">
        <w:rPr>
          <w:rFonts w:cstheme="minorHAnsi"/>
          <w:szCs w:val="22"/>
        </w:rPr>
        <w:t xml:space="preserve">grouping, </w:t>
      </w:r>
      <w:r w:rsidR="00587885" w:rsidRPr="004A512F">
        <w:rPr>
          <w:rFonts w:cstheme="minorHAnsi"/>
          <w:szCs w:val="22"/>
        </w:rPr>
        <w:t>see</w:t>
      </w:r>
      <w:r w:rsidR="00D90C9E" w:rsidRPr="004A512F">
        <w:rPr>
          <w:rFonts w:cstheme="minorHAnsi"/>
          <w:szCs w:val="22"/>
        </w:rPr>
        <w:t xml:space="preserve"> </w:t>
      </w:r>
      <w:hyperlink w:anchor="_Glossary" w:history="1">
        <w:r w:rsidR="00D90C9E" w:rsidRPr="004A512F">
          <w:rPr>
            <w:rStyle w:val="Hyperlink"/>
            <w:rFonts w:cstheme="minorHAnsi"/>
            <w:szCs w:val="22"/>
          </w:rPr>
          <w:t>Glossary</w:t>
        </w:r>
      </w:hyperlink>
      <w:r w:rsidRPr="000503DC">
        <w:rPr>
          <w:rFonts w:cstheme="minorHAnsi"/>
          <w:szCs w:val="22"/>
        </w:rPr>
        <w:t xml:space="preserve">). Claims of interchangeability </w:t>
      </w:r>
      <w:r w:rsidR="00D4405C" w:rsidRPr="000503DC">
        <w:rPr>
          <w:rFonts w:cstheme="minorHAnsi"/>
          <w:szCs w:val="22"/>
        </w:rPr>
        <w:t xml:space="preserve">with the </w:t>
      </w:r>
      <w:r w:rsidRPr="000503DC">
        <w:rPr>
          <w:rFonts w:cstheme="minorHAnsi"/>
          <w:szCs w:val="22"/>
        </w:rPr>
        <w:t xml:space="preserve">comparator </w:t>
      </w:r>
      <w:r w:rsidR="00D4405C" w:rsidRPr="000503DC">
        <w:rPr>
          <w:rFonts w:cstheme="minorHAnsi"/>
          <w:szCs w:val="22"/>
        </w:rPr>
        <w:t xml:space="preserve">stated in the application </w:t>
      </w:r>
      <w:r w:rsidRPr="000503DC">
        <w:rPr>
          <w:rFonts w:cstheme="minorHAnsi"/>
          <w:szCs w:val="22"/>
        </w:rPr>
        <w:t>must be justified.</w:t>
      </w:r>
    </w:p>
    <w:bookmarkEnd w:id="102"/>
    <w:p w14:paraId="0F5A24FF" w14:textId="64483BBC" w:rsidR="000B2EC5" w:rsidRDefault="000B2EC5">
      <w:pPr>
        <w:widowControl w:val="0"/>
        <w:shd w:val="clear" w:color="auto" w:fill="D9D9D9" w:themeFill="background1" w:themeFillShade="D9"/>
        <w:spacing w:before="0" w:line="240" w:lineRule="auto"/>
        <w:rPr>
          <w:rFonts w:cstheme="minorHAnsi"/>
          <w:szCs w:val="22"/>
        </w:rPr>
      </w:pPr>
      <w:r w:rsidRPr="00C349B7">
        <w:rPr>
          <w:rFonts w:cstheme="minorHAnsi"/>
          <w:szCs w:val="22"/>
        </w:rPr>
        <w:t xml:space="preserve">Tier 1 </w:t>
      </w:r>
      <w:r w:rsidRPr="00C349B7">
        <w:rPr>
          <w:rFonts w:cstheme="minorHAnsi"/>
          <w:b/>
          <w:bCs/>
          <w:szCs w:val="22"/>
        </w:rPr>
        <w:t xml:space="preserve">is not </w:t>
      </w:r>
      <w:r w:rsidR="005A5061">
        <w:rPr>
          <w:rFonts w:cstheme="minorHAnsi"/>
          <w:b/>
          <w:bCs/>
          <w:szCs w:val="22"/>
        </w:rPr>
        <w:t>applicable</w:t>
      </w:r>
      <w:r w:rsidRPr="00C349B7">
        <w:rPr>
          <w:rFonts w:cstheme="minorHAnsi"/>
          <w:b/>
          <w:bCs/>
          <w:szCs w:val="22"/>
        </w:rPr>
        <w:t xml:space="preserve"> for PL applications for Class III</w:t>
      </w:r>
      <w:r w:rsidRPr="00C349B7">
        <w:rPr>
          <w:rFonts w:cstheme="minorHAnsi"/>
          <w:szCs w:val="22"/>
        </w:rPr>
        <w:t xml:space="preserve"> or </w:t>
      </w:r>
      <w:r w:rsidRPr="00C349B7">
        <w:rPr>
          <w:rFonts w:cstheme="minorHAnsi"/>
          <w:b/>
          <w:bCs/>
          <w:szCs w:val="22"/>
        </w:rPr>
        <w:t>Part C</w:t>
      </w:r>
      <w:r w:rsidRPr="00C349B7">
        <w:rPr>
          <w:rFonts w:cstheme="minorHAnsi"/>
          <w:szCs w:val="22"/>
        </w:rPr>
        <w:t xml:space="preserve"> applications.</w:t>
      </w:r>
      <w:r w:rsidR="005A5061">
        <w:rPr>
          <w:rFonts w:cstheme="minorHAnsi"/>
          <w:szCs w:val="22"/>
        </w:rPr>
        <w:t xml:space="preserve"> Tier 1 is also not applicable for any applications for the devices, comparators for which are currently listed on the PL with a condition.</w:t>
      </w:r>
    </w:p>
    <w:p w14:paraId="4CA9BDFF" w14:textId="42F6C873" w:rsidR="005A5061" w:rsidRPr="00C349B7" w:rsidRDefault="005A5061" w:rsidP="004E5BC5">
      <w:pPr>
        <w:widowControl w:val="0"/>
        <w:shd w:val="clear" w:color="auto" w:fill="D9D9D9" w:themeFill="background1" w:themeFillShade="D9"/>
        <w:spacing w:before="0" w:line="240" w:lineRule="auto"/>
        <w:rPr>
          <w:rFonts w:cstheme="minorHAnsi"/>
          <w:szCs w:val="22"/>
        </w:rPr>
      </w:pPr>
      <w:r w:rsidRPr="00AD0F6E">
        <w:rPr>
          <w:i/>
          <w:iCs/>
          <w:sz w:val="18"/>
          <w:szCs w:val="18"/>
        </w:rPr>
        <w:t xml:space="preserve">*Note. If sponsors decide to submit an application for </w:t>
      </w:r>
      <w:r>
        <w:rPr>
          <w:i/>
          <w:iCs/>
          <w:sz w:val="18"/>
          <w:szCs w:val="18"/>
        </w:rPr>
        <w:t xml:space="preserve">any of such </w:t>
      </w:r>
      <w:r w:rsidRPr="00AD0F6E">
        <w:rPr>
          <w:i/>
          <w:iCs/>
          <w:sz w:val="18"/>
          <w:szCs w:val="18"/>
        </w:rPr>
        <w:t>device</w:t>
      </w:r>
      <w:r>
        <w:rPr>
          <w:i/>
          <w:iCs/>
          <w:sz w:val="18"/>
          <w:szCs w:val="18"/>
        </w:rPr>
        <w:t>s</w:t>
      </w:r>
      <w:r w:rsidRPr="00AD0F6E">
        <w:rPr>
          <w:i/>
          <w:iCs/>
          <w:sz w:val="18"/>
          <w:szCs w:val="18"/>
        </w:rPr>
        <w:t xml:space="preserve"> under Tier 1 pathway, sponsors need to be aware it will likely be rejected, unless, the department agrees, the application may be assessed under Tier 1 pathway due to exceptional or compelling circumstances. Sponsors are required to provide sufficient justification to the department for this to be considered.</w:t>
      </w:r>
    </w:p>
    <w:p w14:paraId="1521D2DC" w14:textId="7A0191AB" w:rsidR="00C349B7" w:rsidRPr="00E76402" w:rsidRDefault="00C349B7" w:rsidP="00C349B7">
      <w:pPr>
        <w:widowControl w:val="0"/>
        <w:spacing w:before="0" w:line="240" w:lineRule="auto"/>
        <w:rPr>
          <w:rFonts w:cs="Arial"/>
          <w:szCs w:val="22"/>
        </w:rPr>
      </w:pPr>
      <w:r w:rsidRPr="00E76402">
        <w:rPr>
          <w:rFonts w:cs="Arial"/>
          <w:szCs w:val="22"/>
        </w:rPr>
        <w:t>The below are examples of the devices from the PL categories [according to the existing PL grouping structure] that are considered as eligible for Tier 1 assessment pathways (subject to the above limitations).</w:t>
      </w:r>
    </w:p>
    <w:p w14:paraId="4DA30D60" w14:textId="52CEFF1C" w:rsidR="00C349B7" w:rsidRPr="00E76402" w:rsidRDefault="00C349B7" w:rsidP="00C349B7">
      <w:pPr>
        <w:pStyle w:val="Heading3"/>
        <w:keepNext w:val="0"/>
        <w:widowControl w:val="0"/>
        <w:spacing w:before="0" w:after="120"/>
        <w:rPr>
          <w:sz w:val="22"/>
          <w:szCs w:val="22"/>
        </w:rPr>
      </w:pPr>
      <w:bookmarkStart w:id="103" w:name="_Toc149228526"/>
      <w:r w:rsidRPr="00E76402">
        <w:rPr>
          <w:sz w:val="22"/>
          <w:szCs w:val="22"/>
        </w:rPr>
        <w:t>Spinal and Neurosurgical devices</w:t>
      </w:r>
      <w:bookmarkEnd w:id="103"/>
      <w:r w:rsidRPr="00E76402">
        <w:rPr>
          <w:sz w:val="22"/>
          <w:szCs w:val="22"/>
        </w:rPr>
        <w:t xml:space="preserve"> </w:t>
      </w:r>
    </w:p>
    <w:p w14:paraId="0344F259" w14:textId="7B5B0CA7"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Spinal Standard Bone screws, for which there are the comparators with very similar design characteristics and specifications, including material</w:t>
      </w:r>
      <w:r w:rsidR="0011338F">
        <w:rPr>
          <w:rFonts w:cs="Arial"/>
          <w:color w:val="auto"/>
          <w:szCs w:val="22"/>
        </w:rPr>
        <w:t xml:space="preserve"> (t</w:t>
      </w:r>
      <w:r w:rsidR="0011338F" w:rsidRPr="0011338F">
        <w:rPr>
          <w:rFonts w:cs="Arial"/>
          <w:color w:val="auto"/>
          <w:szCs w:val="22"/>
        </w:rPr>
        <w:t xml:space="preserve">itanium </w:t>
      </w:r>
      <w:r w:rsidR="0011338F">
        <w:rPr>
          <w:rFonts w:cs="Arial"/>
          <w:color w:val="auto"/>
          <w:szCs w:val="22"/>
        </w:rPr>
        <w:t>or</w:t>
      </w:r>
      <w:r w:rsidR="0011338F" w:rsidRPr="0011338F">
        <w:rPr>
          <w:rFonts w:cs="Arial"/>
          <w:color w:val="auto"/>
          <w:szCs w:val="22"/>
        </w:rPr>
        <w:t xml:space="preserve"> stainless steel</w:t>
      </w:r>
      <w:r w:rsidR="0011338F">
        <w:rPr>
          <w:rFonts w:cs="Arial"/>
          <w:color w:val="auto"/>
          <w:szCs w:val="22"/>
        </w:rPr>
        <w:t>)</w:t>
      </w:r>
      <w:r w:rsidRPr="00437E99">
        <w:rPr>
          <w:rFonts w:cs="Arial"/>
          <w:color w:val="auto"/>
          <w:szCs w:val="22"/>
        </w:rPr>
        <w:t>, already listed on the PL, and where sponsors did not ask to list the devices with any suffixes (such as Dual Thread, Complex, etc) [Standard Bone screws are currently listed in group 13.01.03 – Standard]</w:t>
      </w:r>
    </w:p>
    <w:p w14:paraId="0711E4FA" w14:textId="13C38E13"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Spinal Screw accessories, such as set screws, caps, screw caps, cover plates, for which there are comparators with very similar design characteristics and specifications already listed on the PL [sub-groups 13.02.01 … 13.02.08 of group 13.02 - Accessories for bone screws and connector components]</w:t>
      </w:r>
    </w:p>
    <w:p w14:paraId="5489F77B" w14:textId="78E21862"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Spinal No Integral Fixation Cervical plates, for which there are comparators with very similar design characteristics and specifications already listed on the PL [sub-group 13.05.02.01 – Plate - No Integral Fixation – Cervical, without suffix or with suffix &gt;55mm]</w:t>
      </w:r>
    </w:p>
    <w:p w14:paraId="4BE7FE0B" w14:textId="70D19D2E"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Spinal Standard Rods, for which there are comparators with very similar design characteristics and specifications, including material</w:t>
      </w:r>
      <w:r w:rsidR="0011338F">
        <w:rPr>
          <w:rFonts w:cs="Arial"/>
          <w:color w:val="auto"/>
          <w:szCs w:val="22"/>
        </w:rPr>
        <w:t xml:space="preserve"> </w:t>
      </w:r>
      <w:r w:rsidR="0011338F" w:rsidRPr="0011338F">
        <w:rPr>
          <w:rFonts w:cs="Arial"/>
          <w:color w:val="auto"/>
          <w:szCs w:val="22"/>
        </w:rPr>
        <w:t>(titanium or stainless steel)</w:t>
      </w:r>
      <w:r w:rsidRPr="00437E99">
        <w:rPr>
          <w:rFonts w:cs="Arial"/>
          <w:color w:val="auto"/>
          <w:szCs w:val="22"/>
        </w:rPr>
        <w:t>, already listed on the PL, and where the sponsors did not ask to list the devices with any suffixes (such as Dual Diameter, etc) [group 13.06.01 – Rod – Standard]</w:t>
      </w:r>
    </w:p>
    <w:p w14:paraId="1E09CAC8" w14:textId="77777777"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Spinal No Integral Fixation and non-expandable Fusion Cages, for which there are the comparators with very similar design characteristics and specifications already listed on the PL, and where the sponsors did not ask to list the devices with any suffixes [group 13.10.02 - Fusion Cage - Interbody, No Integral Fixation]</w:t>
      </w:r>
    </w:p>
    <w:p w14:paraId="78B52BE0" w14:textId="77CDCF1B" w:rsidR="00C349B7" w:rsidRPr="00437E99" w:rsidRDefault="00C349B7" w:rsidP="00517955">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Neurosurgical Patient Programmers, rechargers, connectors and cables, that are designed to </w:t>
      </w:r>
      <w:r w:rsidRPr="00437E99">
        <w:rPr>
          <w:rFonts w:cs="Arial"/>
          <w:color w:val="auto"/>
          <w:szCs w:val="22"/>
        </w:rPr>
        <w:lastRenderedPageBreak/>
        <w:t>be used together with deep brain stimulation (DBS) implantable pulse generators or neurostimulation implantable pulse generators, and leads already listed on the PL [groups 04.04.0</w:t>
      </w:r>
      <w:r w:rsidR="0011338F">
        <w:rPr>
          <w:rFonts w:cs="Arial"/>
          <w:color w:val="auto"/>
          <w:szCs w:val="22"/>
        </w:rPr>
        <w:t>2</w:t>
      </w:r>
      <w:r w:rsidRPr="00437E99">
        <w:rPr>
          <w:rFonts w:cs="Arial"/>
          <w:color w:val="auto"/>
          <w:szCs w:val="22"/>
        </w:rPr>
        <w:t xml:space="preserve"> - DEEP BRAIN STIMULATION (DBS) - </w:t>
      </w:r>
      <w:r w:rsidR="0011338F" w:rsidRPr="0011338F">
        <w:rPr>
          <w:rFonts w:cs="Arial"/>
          <w:color w:val="auto"/>
          <w:szCs w:val="22"/>
        </w:rPr>
        <w:t>External Components</w:t>
      </w:r>
      <w:r w:rsidRPr="00437E99">
        <w:rPr>
          <w:rFonts w:cs="Arial"/>
          <w:color w:val="auto"/>
          <w:szCs w:val="22"/>
        </w:rPr>
        <w:t>, 04.04.05 – Accessories, 04.05.02 - NEUROSTIMULATION THERAPIES FOR PAIN MANAGEMENT - External Components, and 04.05.05 – Accessories]</w:t>
      </w:r>
    </w:p>
    <w:p w14:paraId="59612CAE" w14:textId="431C42FA" w:rsidR="00C349B7" w:rsidRPr="00E76402" w:rsidRDefault="00C349B7" w:rsidP="00C349B7">
      <w:pPr>
        <w:pStyle w:val="Heading3"/>
        <w:keepNext w:val="0"/>
        <w:widowControl w:val="0"/>
        <w:spacing w:before="0" w:after="120"/>
        <w:rPr>
          <w:sz w:val="22"/>
          <w:szCs w:val="22"/>
        </w:rPr>
      </w:pPr>
      <w:bookmarkStart w:id="104" w:name="_Toc149228527"/>
      <w:r w:rsidRPr="00E76402">
        <w:rPr>
          <w:sz w:val="22"/>
          <w:szCs w:val="22"/>
        </w:rPr>
        <w:t>Cardiac, Cardiothoracic and Vascular devices</w:t>
      </w:r>
      <w:bookmarkEnd w:id="104"/>
      <w:r w:rsidRPr="00E76402">
        <w:rPr>
          <w:sz w:val="22"/>
          <w:szCs w:val="22"/>
        </w:rPr>
        <w:t xml:space="preserve"> </w:t>
      </w:r>
    </w:p>
    <w:p w14:paraId="7FFBF63C" w14:textId="66FDCE4F"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Cardiac pacing lead adaptors, extenders and accessories that are designed to be used together with cardiac implantable electronic devices (CIEDs) [pacemakers and implantable cardioverter defibrillators] and </w:t>
      </w:r>
      <w:r w:rsidR="00B23EF6">
        <w:rPr>
          <w:rFonts w:cs="Arial"/>
          <w:color w:val="auto"/>
          <w:szCs w:val="22"/>
        </w:rPr>
        <w:t xml:space="preserve">with </w:t>
      </w:r>
      <w:r w:rsidRPr="00437E99">
        <w:rPr>
          <w:rFonts w:cs="Arial"/>
          <w:color w:val="auto"/>
          <w:szCs w:val="22"/>
        </w:rPr>
        <w:t>leads already listed on the PL [groups 08.11.01 - Pacemaker/Lead Accessories, 08.10.01 - Pacemaker/ICD Adaptors, 08.10.01 - Pacemaker/ICD Adaptors]</w:t>
      </w:r>
    </w:p>
    <w:p w14:paraId="002252A3"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Cardiac radiofrequency ablation reference patches [sub-group 08.18.01.02 - Radio frequency (RF) Ablation – Patch]</w:t>
      </w:r>
    </w:p>
    <w:p w14:paraId="3FC8EDFD"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Vascular peritoneal dialysis catheters [group 10.10.01 - Peritoneal Dialysis, Long Term Implantable Catheters]</w:t>
      </w:r>
    </w:p>
    <w:p w14:paraId="1A5ED449" w14:textId="5BF2CF41" w:rsidR="00C349B7" w:rsidRPr="00E76402" w:rsidRDefault="00C349B7" w:rsidP="00517955">
      <w:pPr>
        <w:widowControl w:val="0"/>
        <w:spacing w:before="0" w:line="240" w:lineRule="auto"/>
        <w:ind w:left="284"/>
        <w:rPr>
          <w:rFonts w:cs="Arial"/>
          <w:szCs w:val="22"/>
        </w:rPr>
      </w:pPr>
      <w:r w:rsidRPr="00E76402">
        <w:rPr>
          <w:rFonts w:cs="Arial"/>
          <w:szCs w:val="22"/>
        </w:rPr>
        <w:t>[</w:t>
      </w:r>
      <w:r w:rsidRPr="00517955">
        <w:rPr>
          <w:rFonts w:cs="Arial"/>
          <w:i/>
          <w:iCs/>
          <w:szCs w:val="22"/>
        </w:rPr>
        <w:t>The above devices are classified as Class IIb. Majority of other devices listed in cardiac, cardiothoracic or vascular categories are Class III (or AIMD transitioning to Class III), or are Class IIb devices with limited utilisation (</w:t>
      </w:r>
      <w:r w:rsidR="00AB3084" w:rsidRPr="00517955">
        <w:rPr>
          <w:rFonts w:cs="Arial"/>
          <w:i/>
          <w:iCs/>
          <w:szCs w:val="22"/>
        </w:rPr>
        <w:t>e.g.,</w:t>
      </w:r>
      <w:r w:rsidRPr="00517955">
        <w:rPr>
          <w:rFonts w:cs="Arial"/>
          <w:i/>
          <w:iCs/>
          <w:szCs w:val="22"/>
        </w:rPr>
        <w:t xml:space="preserve"> Pectus Bar)</w:t>
      </w:r>
      <w:r w:rsidR="00517955" w:rsidRPr="00517955">
        <w:rPr>
          <w:rFonts w:cs="Arial"/>
          <w:i/>
          <w:iCs/>
          <w:szCs w:val="22"/>
        </w:rPr>
        <w:t xml:space="preserve"> that require clinical assessment</w:t>
      </w:r>
      <w:r w:rsidRPr="00E76402">
        <w:rPr>
          <w:rFonts w:cs="Arial"/>
          <w:szCs w:val="22"/>
        </w:rPr>
        <w:t>].</w:t>
      </w:r>
    </w:p>
    <w:p w14:paraId="4302C06C" w14:textId="56290388" w:rsidR="00C349B7" w:rsidRPr="00E76402" w:rsidRDefault="00C349B7" w:rsidP="00C349B7">
      <w:pPr>
        <w:pStyle w:val="Heading3"/>
        <w:keepNext w:val="0"/>
        <w:widowControl w:val="0"/>
        <w:spacing w:before="0" w:after="120"/>
        <w:rPr>
          <w:sz w:val="22"/>
          <w:szCs w:val="22"/>
        </w:rPr>
      </w:pPr>
      <w:bookmarkStart w:id="105" w:name="_Toc149228528"/>
      <w:r w:rsidRPr="00E76402">
        <w:rPr>
          <w:sz w:val="22"/>
          <w:szCs w:val="22"/>
        </w:rPr>
        <w:t>Knee and hip devices</w:t>
      </w:r>
      <w:bookmarkEnd w:id="105"/>
      <w:r w:rsidRPr="00E76402">
        <w:rPr>
          <w:sz w:val="22"/>
          <w:szCs w:val="22"/>
        </w:rPr>
        <w:t xml:space="preserve"> </w:t>
      </w:r>
    </w:p>
    <w:p w14:paraId="28DD8F72" w14:textId="5A376DA6" w:rsidR="00C349B7" w:rsidRPr="00437E99" w:rsidRDefault="00C349B7" w:rsidP="005528AC">
      <w:pPr>
        <w:pStyle w:val="ListParagraph"/>
        <w:widowControl w:val="0"/>
        <w:numPr>
          <w:ilvl w:val="0"/>
          <w:numId w:val="43"/>
        </w:numPr>
        <w:spacing w:before="0" w:line="240" w:lineRule="auto"/>
        <w:ind w:left="284" w:hanging="284"/>
        <w:contextualSpacing w:val="0"/>
        <w:rPr>
          <w:rFonts w:cs="Arial"/>
          <w:color w:val="auto"/>
          <w:szCs w:val="22"/>
        </w:rPr>
      </w:pPr>
      <w:bookmarkStart w:id="106" w:name="_Hlk139296999"/>
      <w:r w:rsidRPr="00437E99">
        <w:rPr>
          <w:rFonts w:cs="Arial"/>
          <w:color w:val="auto"/>
          <w:szCs w:val="22"/>
        </w:rPr>
        <w:t xml:space="preserve">Hip and Knee Accessories and Ancillary devices </w:t>
      </w:r>
      <w:bookmarkEnd w:id="106"/>
      <w:r w:rsidRPr="00437E99">
        <w:rPr>
          <w:rFonts w:cs="Arial"/>
          <w:color w:val="auto"/>
          <w:szCs w:val="22"/>
        </w:rPr>
        <w:t>that are designed to be used together with the hip and knee main joint replacement devices already listed on the PL [sub-categories 11.04 – Accessories and 12.11 - Knee Accessories].</w:t>
      </w:r>
      <w:r w:rsidRPr="00437E99">
        <w:rPr>
          <w:rFonts w:cs="Arial"/>
          <w:color w:val="auto"/>
          <w:szCs w:val="22"/>
        </w:rPr>
        <w:br/>
        <w:t xml:space="preserve">Examples of the ancillary devices are: augments, axles and connectors for hinged knee joint replacements, bolts, end caps, offset couplers/adaptors, screws, offset stems, cement restrictors, centralisers, dome plugs, nuts, plugs, rings, etc. </w:t>
      </w:r>
      <w:r w:rsidR="00B23EF6">
        <w:rPr>
          <w:rFonts w:cs="Arial"/>
          <w:color w:val="auto"/>
          <w:szCs w:val="22"/>
        </w:rPr>
        <w:t>Sponsors are required to specify the devices which the accessories are designed to be used with.</w:t>
      </w:r>
      <w:r w:rsidR="005528AC" w:rsidRPr="005528AC">
        <w:rPr>
          <w:rFonts w:cs="Arial"/>
          <w:color w:val="auto"/>
          <w:szCs w:val="22"/>
        </w:rPr>
        <w:br/>
      </w:r>
      <w:r w:rsidRPr="00437E99">
        <w:rPr>
          <w:rFonts w:cs="Arial"/>
          <w:color w:val="auto"/>
          <w:szCs w:val="22"/>
        </w:rPr>
        <w:t>[</w:t>
      </w:r>
      <w:r w:rsidRPr="00437E99">
        <w:rPr>
          <w:rFonts w:cs="Arial"/>
          <w:i/>
          <w:iCs/>
          <w:color w:val="auto"/>
          <w:szCs w:val="22"/>
        </w:rPr>
        <w:t>The accessories and ancillary hip and knee devices are classified as Class IIb or lower. The main joint replacement devices such as those designed to replace the articulating surface of the joint, or provide primary fixation, or are an intrinsic element of the joint replacement (e.g. femoral stem, tibial baseplate, inserts, acetabular cups, etc.) are classified as Class III and are not eligible for Tier 1 pathway</w:t>
      </w:r>
      <w:r w:rsidRPr="00437E99">
        <w:rPr>
          <w:rFonts w:cs="Arial"/>
          <w:color w:val="auto"/>
          <w:szCs w:val="22"/>
        </w:rPr>
        <w:t>].</w:t>
      </w:r>
    </w:p>
    <w:p w14:paraId="56D4DDAE" w14:textId="79B55554" w:rsidR="00C349B7" w:rsidRPr="00E76402" w:rsidRDefault="00C349B7" w:rsidP="00C349B7">
      <w:pPr>
        <w:pStyle w:val="Heading3"/>
        <w:keepNext w:val="0"/>
        <w:widowControl w:val="0"/>
        <w:spacing w:before="0" w:after="120"/>
        <w:rPr>
          <w:sz w:val="22"/>
          <w:szCs w:val="22"/>
        </w:rPr>
      </w:pPr>
      <w:bookmarkStart w:id="107" w:name="_Toc149228529"/>
      <w:r w:rsidRPr="00E76402">
        <w:rPr>
          <w:sz w:val="22"/>
          <w:szCs w:val="22"/>
        </w:rPr>
        <w:t>Specialist Orthopaedic devices</w:t>
      </w:r>
      <w:bookmarkEnd w:id="107"/>
      <w:r w:rsidRPr="00E76402">
        <w:rPr>
          <w:sz w:val="22"/>
          <w:szCs w:val="22"/>
        </w:rPr>
        <w:t xml:space="preserve"> </w:t>
      </w:r>
    </w:p>
    <w:p w14:paraId="3F49512D" w14:textId="735C515D"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Standard plates, for which there are the comparators with very similar design characteristics and specifications already listed on the PL, and where the sponsors did not ask to list the devices with any suffixes (such as COM, VAL, LK) [sub-groups 06.03.03.01 … 06.03.03.09,</w:t>
      </w:r>
      <w:r w:rsidR="00070B82" w:rsidRPr="00437E99">
        <w:rPr>
          <w:rFonts w:cs="Arial"/>
          <w:color w:val="auto"/>
          <w:szCs w:val="22"/>
        </w:rPr>
        <w:t xml:space="preserve"> </w:t>
      </w:r>
      <w:r w:rsidRPr="00437E99">
        <w:rPr>
          <w:rFonts w:cs="Arial"/>
          <w:color w:val="auto"/>
          <w:szCs w:val="22"/>
        </w:rPr>
        <w:t xml:space="preserve">sub-groups are classified based on sizes (standard, small, mini), diameters of the screw holes, and the numbers of screw holes]. </w:t>
      </w:r>
    </w:p>
    <w:p w14:paraId="7ABBF393" w14:textId="47111EDB"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Standard screws for which there are the comparators with very similar design characteristics and specifications already listed on the PL, where the sponsors did not ask to list the devices with any suffixes (such as Breakoff, DT, CN, LK, etc), and where the device is not intended to be used as an accessory to a joint replacement device (e.g. it is not a screw that is one of the components of the Modular Glenoid System</w:t>
      </w:r>
      <w:r w:rsidR="00B23EF6">
        <w:rPr>
          <w:rFonts w:cs="Arial"/>
          <w:color w:val="auto"/>
          <w:szCs w:val="22"/>
        </w:rPr>
        <w:t>)</w:t>
      </w:r>
      <w:r w:rsidRPr="00437E99">
        <w:rPr>
          <w:rFonts w:cs="Arial"/>
          <w:color w:val="auto"/>
          <w:szCs w:val="22"/>
        </w:rPr>
        <w:t>, where other components have not yet been listed on the PL [sub-groups 06.03.04.01 … 06.03.04.04, sub-groups are classified based on sizes (standard, small, mini, micro), and diameters of the screws].</w:t>
      </w:r>
    </w:p>
    <w:p w14:paraId="177C5281"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Screw Washers, screw post or pegs, screw accessories, for which there are the comparators with very similar design characteristics and specifications already listed on the PL [sub-groups 06.03.04.06 … 06.03.04.10]</w:t>
      </w:r>
    </w:p>
    <w:p w14:paraId="1775DB55"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Orthopaedic staples for which there are the comparators with very similar design </w:t>
      </w:r>
      <w:r w:rsidRPr="00437E99">
        <w:rPr>
          <w:rFonts w:cs="Arial"/>
          <w:color w:val="auto"/>
          <w:szCs w:val="22"/>
        </w:rPr>
        <w:lastRenderedPageBreak/>
        <w:t>characteristics and specifications already listed on the PL, where the sponsors did not ask to list the devices with any suffixes (such as COMP, MI, MM, etc) [sub-group 06.03.06.01].</w:t>
      </w:r>
    </w:p>
    <w:p w14:paraId="1F6C15C3" w14:textId="08A2DEA9"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Soft Tissue Fixation Devices such as buttons for which there are the comparators with very similar design characteristics and specifications already listed on the PL  [sub-group 06.03.07.06]</w:t>
      </w:r>
      <w:r w:rsidR="00C06E92" w:rsidRPr="00C06E92">
        <w:rPr>
          <w:rFonts w:cs="Arial"/>
          <w:color w:val="auto"/>
          <w:szCs w:val="22"/>
        </w:rPr>
        <w:t xml:space="preserve"> </w:t>
      </w:r>
      <w:r w:rsidR="00C06E92" w:rsidRPr="00437E99">
        <w:rPr>
          <w:rFonts w:cs="Arial"/>
          <w:color w:val="auto"/>
          <w:szCs w:val="22"/>
        </w:rPr>
        <w:t>[but not the devices with tapes or sutures</w:t>
      </w:r>
      <w:r w:rsidR="00C06E92">
        <w:rPr>
          <w:rFonts w:cs="Arial"/>
          <w:color w:val="auto"/>
          <w:szCs w:val="22"/>
        </w:rPr>
        <w:t xml:space="preserve">, for example listed in </w:t>
      </w:r>
      <w:r w:rsidR="00C06E92" w:rsidRPr="00C06E92">
        <w:rPr>
          <w:rFonts w:cs="Arial"/>
          <w:color w:val="auto"/>
          <w:szCs w:val="22"/>
        </w:rPr>
        <w:t>06.03.07.05 - Button/thread/tape or Button/thread/button</w:t>
      </w:r>
      <w:r w:rsidR="00C06E92" w:rsidRPr="00437E99">
        <w:rPr>
          <w:rFonts w:cs="Arial"/>
          <w:color w:val="auto"/>
          <w:szCs w:val="22"/>
        </w:rPr>
        <w:t>]</w:t>
      </w:r>
    </w:p>
    <w:p w14:paraId="108B9111" w14:textId="51E3E9E1"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The accessories for elbow or shoulder devices such as cement restrictor, fixation screws that are designed to be used together with the main elbow or shoulder joint replacement devices already listed on the PL</w:t>
      </w:r>
      <w:r w:rsidR="0035027E">
        <w:rPr>
          <w:rFonts w:cs="Arial"/>
          <w:color w:val="auto"/>
          <w:szCs w:val="22"/>
        </w:rPr>
        <w:t xml:space="preserve"> and are not designed to replace an </w:t>
      </w:r>
      <w:r w:rsidR="001954FE" w:rsidRPr="001954FE">
        <w:rPr>
          <w:rFonts w:cs="Arial"/>
          <w:color w:val="auto"/>
          <w:szCs w:val="22"/>
        </w:rPr>
        <w:t xml:space="preserve">articulating </w:t>
      </w:r>
      <w:r w:rsidR="001954FE">
        <w:rPr>
          <w:rFonts w:cs="Arial"/>
          <w:color w:val="auto"/>
          <w:szCs w:val="22"/>
        </w:rPr>
        <w:t>surface</w:t>
      </w:r>
      <w:r w:rsidRPr="00437E99">
        <w:rPr>
          <w:rFonts w:cs="Arial"/>
          <w:color w:val="auto"/>
          <w:szCs w:val="22"/>
        </w:rPr>
        <w:t xml:space="preserve"> [sub-groups 06.02.03.07, 06.02.03.08, 06.02.03.10, or 06.02.06.06].</w:t>
      </w:r>
    </w:p>
    <w:p w14:paraId="5548E7A1" w14:textId="6E32D9A2" w:rsidR="00C349B7" w:rsidRPr="00437E99" w:rsidRDefault="00C349B7" w:rsidP="00437E99">
      <w:pPr>
        <w:widowControl w:val="0"/>
        <w:spacing w:before="0" w:line="240" w:lineRule="auto"/>
        <w:ind w:left="284"/>
        <w:rPr>
          <w:rFonts w:cs="Arial"/>
          <w:color w:val="auto"/>
          <w:szCs w:val="22"/>
        </w:rPr>
      </w:pPr>
      <w:r w:rsidRPr="00437E99">
        <w:rPr>
          <w:rFonts w:cs="Arial"/>
          <w:color w:val="auto"/>
          <w:szCs w:val="22"/>
        </w:rPr>
        <w:t>[</w:t>
      </w:r>
      <w:r w:rsidRPr="00437E99">
        <w:rPr>
          <w:rFonts w:cs="Arial"/>
          <w:i/>
          <w:iCs/>
          <w:color w:val="auto"/>
          <w:szCs w:val="22"/>
        </w:rPr>
        <w:t xml:space="preserve">the ankle, wrist, elbow or shoulder </w:t>
      </w:r>
      <w:r w:rsidR="001954FE">
        <w:rPr>
          <w:rFonts w:cs="Arial"/>
          <w:i/>
          <w:iCs/>
          <w:color w:val="auto"/>
          <w:szCs w:val="22"/>
        </w:rPr>
        <w:t xml:space="preserve">main </w:t>
      </w:r>
      <w:r w:rsidRPr="00437E99">
        <w:rPr>
          <w:rFonts w:cs="Arial"/>
          <w:i/>
          <w:iCs/>
          <w:color w:val="auto"/>
          <w:szCs w:val="22"/>
        </w:rPr>
        <w:t>joint replacement devices are not proposed to be eligible for Tier 1 pathway</w:t>
      </w:r>
      <w:r w:rsidRPr="00437E99">
        <w:rPr>
          <w:rFonts w:cs="Arial"/>
          <w:color w:val="auto"/>
          <w:szCs w:val="22"/>
        </w:rPr>
        <w:t>].</w:t>
      </w:r>
    </w:p>
    <w:p w14:paraId="68EAFD01" w14:textId="10750C2D" w:rsidR="00C349B7" w:rsidRPr="00E76402" w:rsidRDefault="00C349B7" w:rsidP="00C349B7">
      <w:pPr>
        <w:pStyle w:val="Heading3"/>
        <w:keepNext w:val="0"/>
        <w:widowControl w:val="0"/>
        <w:spacing w:before="0" w:after="120"/>
        <w:rPr>
          <w:sz w:val="22"/>
          <w:szCs w:val="22"/>
        </w:rPr>
      </w:pPr>
      <w:bookmarkStart w:id="108" w:name="_Toc149228530"/>
      <w:r w:rsidRPr="00E76402">
        <w:rPr>
          <w:sz w:val="22"/>
          <w:szCs w:val="22"/>
        </w:rPr>
        <w:t>Ear, Nose, Throat, General Miscellaneous, Plastic and Reconstructive and Urogenital devices</w:t>
      </w:r>
      <w:bookmarkEnd w:id="108"/>
      <w:r w:rsidRPr="00E76402">
        <w:rPr>
          <w:sz w:val="22"/>
          <w:szCs w:val="22"/>
        </w:rPr>
        <w:t xml:space="preserve"> </w:t>
      </w:r>
    </w:p>
    <w:p w14:paraId="19F8F053"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Craniomaxillofacial reconstruction and fixation plates, for which there are comparators with very similar design characteristics and specifications already listed on the PL, and where the sponsors did not ask to list the devices with any suffixes (such as Complex, Compression, Locking, etc.) [sub-groups 07.01.05.01 … 07.01.05.20 for Fracture or Reconstruction Plates, classified based on the thickness and numbers of screw holes]. </w:t>
      </w:r>
    </w:p>
    <w:p w14:paraId="7E285546"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Craniomaxillofacial reconstruction and fixation screws for which there are comparators with very similar design characteristics and specifications already listed on the PL, where the sponsors did not ask to list the devices with any suffixes (such as Compression, Locking, etc) [sub-groups 07.01.06.01 and 07.01.06.02 for the Craniomaxillofacial reconstruction &amp; fixation – Screws, classified based on the diameter]. </w:t>
      </w:r>
    </w:p>
    <w:p w14:paraId="6C5C5650"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Pins, washers, clamps, wedges, etc., for which there are comparators with very similar design characteristics and specifications already listed on the PL [group 07.01.07 - Ancillary Components, with sub-groups 07.01.07.01 … 07.01.07.09].</w:t>
      </w:r>
    </w:p>
    <w:p w14:paraId="2D682CE1" w14:textId="7777777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Dental implants, abutments - temporary or permanent, or cover screw/cap for which there are comparators with very similar design characteristics and specifications already listed on the PL [groups 07.03.01 - Dental implants – Abutment]</w:t>
      </w:r>
    </w:p>
    <w:p w14:paraId="108E8A49" w14:textId="62598A47"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 xml:space="preserve">External accessories for sacral neuromodulation devices for which there are comparators with very similar design characteristics and specifications, and the neuromodulation generator already listed on the PL [groups 05.07.02 – External components and 05.07.04 – Accessories, including </w:t>
      </w:r>
      <w:r w:rsidR="00B23EF6" w:rsidRPr="001B2F85">
        <w:rPr>
          <w:rFonts w:cs="Arial"/>
          <w:color w:val="auto"/>
          <w:szCs w:val="22"/>
        </w:rPr>
        <w:t>05.07.</w:t>
      </w:r>
      <w:r w:rsidR="00B23EF6">
        <w:rPr>
          <w:rFonts w:cs="Arial"/>
          <w:color w:val="auto"/>
          <w:szCs w:val="22"/>
        </w:rPr>
        <w:t>0</w:t>
      </w:r>
      <w:r w:rsidR="00B23EF6" w:rsidRPr="001B2F85">
        <w:rPr>
          <w:rFonts w:cs="Arial"/>
          <w:color w:val="auto"/>
          <w:szCs w:val="22"/>
        </w:rPr>
        <w:t>2.01</w:t>
      </w:r>
      <w:r w:rsidR="00B23EF6">
        <w:rPr>
          <w:rFonts w:cs="Arial"/>
          <w:color w:val="auto"/>
          <w:szCs w:val="22"/>
        </w:rPr>
        <w:t xml:space="preserve"> - </w:t>
      </w:r>
      <w:r w:rsidRPr="00437E99">
        <w:rPr>
          <w:rFonts w:cs="Arial"/>
          <w:color w:val="auto"/>
          <w:szCs w:val="22"/>
        </w:rPr>
        <w:t xml:space="preserve">patient programmer, </w:t>
      </w:r>
      <w:r w:rsidR="00B23EF6" w:rsidRPr="001B1043">
        <w:rPr>
          <w:rFonts w:cs="Arial"/>
          <w:color w:val="auto"/>
          <w:szCs w:val="22"/>
        </w:rPr>
        <w:t>05.07.02.03</w:t>
      </w:r>
      <w:r w:rsidR="00B23EF6">
        <w:rPr>
          <w:rFonts w:cs="Arial"/>
          <w:color w:val="auto"/>
          <w:szCs w:val="22"/>
        </w:rPr>
        <w:t xml:space="preserve"> - </w:t>
      </w:r>
      <w:r w:rsidRPr="00437E99">
        <w:rPr>
          <w:rFonts w:cs="Arial"/>
          <w:color w:val="auto"/>
          <w:szCs w:val="22"/>
        </w:rPr>
        <w:t xml:space="preserve">recharger, </w:t>
      </w:r>
      <w:r w:rsidR="00B23EF6" w:rsidRPr="00EB6D14">
        <w:rPr>
          <w:rFonts w:cs="Arial"/>
          <w:color w:val="auto"/>
          <w:szCs w:val="22"/>
        </w:rPr>
        <w:t>05.07.04.01</w:t>
      </w:r>
      <w:r w:rsidR="00B23EF6">
        <w:rPr>
          <w:rFonts w:cs="Arial"/>
          <w:color w:val="auto"/>
          <w:szCs w:val="22"/>
        </w:rPr>
        <w:t xml:space="preserve"> - </w:t>
      </w:r>
      <w:r w:rsidRPr="00437E99">
        <w:rPr>
          <w:rFonts w:cs="Arial"/>
          <w:color w:val="auto"/>
          <w:szCs w:val="22"/>
        </w:rPr>
        <w:t xml:space="preserve">implant/ revision kits, </w:t>
      </w:r>
      <w:r w:rsidR="00B23EF6" w:rsidRPr="006C05D1">
        <w:rPr>
          <w:rFonts w:cs="Arial"/>
          <w:color w:val="auto"/>
          <w:szCs w:val="22"/>
        </w:rPr>
        <w:t>05.07.04.02</w:t>
      </w:r>
      <w:r w:rsidR="00B23EF6">
        <w:rPr>
          <w:rFonts w:cs="Arial"/>
          <w:color w:val="auto"/>
          <w:szCs w:val="22"/>
        </w:rPr>
        <w:t xml:space="preserve"> - </w:t>
      </w:r>
      <w:r w:rsidRPr="00437E99">
        <w:rPr>
          <w:rFonts w:cs="Arial"/>
          <w:color w:val="auto"/>
          <w:szCs w:val="22"/>
        </w:rPr>
        <w:t xml:space="preserve">foramen needles, and </w:t>
      </w:r>
      <w:r w:rsidR="00B23EF6" w:rsidRPr="00784D8E">
        <w:rPr>
          <w:rFonts w:cs="Arial"/>
          <w:color w:val="auto"/>
          <w:szCs w:val="22"/>
        </w:rPr>
        <w:t>05.07.04.03</w:t>
      </w:r>
      <w:r w:rsidR="00B23EF6">
        <w:rPr>
          <w:rFonts w:cs="Arial"/>
          <w:color w:val="auto"/>
          <w:szCs w:val="22"/>
        </w:rPr>
        <w:t xml:space="preserve"> - </w:t>
      </w:r>
      <w:r w:rsidRPr="00437E99">
        <w:rPr>
          <w:rFonts w:cs="Arial"/>
          <w:color w:val="auto"/>
          <w:szCs w:val="22"/>
        </w:rPr>
        <w:t>connectors and cables].</w:t>
      </w:r>
    </w:p>
    <w:p w14:paraId="475BBE21" w14:textId="724682D0" w:rsidR="00C349B7" w:rsidRPr="00E76402" w:rsidRDefault="00C349B7" w:rsidP="00C349B7">
      <w:pPr>
        <w:widowControl w:val="0"/>
        <w:spacing w:before="0" w:line="240" w:lineRule="auto"/>
        <w:rPr>
          <w:rFonts w:cs="Arial"/>
          <w:b/>
          <w:bCs/>
          <w:color w:val="358189"/>
          <w:szCs w:val="22"/>
        </w:rPr>
      </w:pPr>
      <w:r w:rsidRPr="00E76402">
        <w:rPr>
          <w:rFonts w:cs="Arial"/>
          <w:b/>
          <w:bCs/>
          <w:color w:val="358189"/>
          <w:szCs w:val="22"/>
        </w:rPr>
        <w:t xml:space="preserve">Ophthalmic devices </w:t>
      </w:r>
    </w:p>
    <w:p w14:paraId="027CA0A5" w14:textId="68C6B0A3" w:rsidR="00C349B7" w:rsidRPr="00437E99" w:rsidRDefault="00C349B7" w:rsidP="00070B82">
      <w:pPr>
        <w:pStyle w:val="ListParagraph"/>
        <w:widowControl w:val="0"/>
        <w:numPr>
          <w:ilvl w:val="0"/>
          <w:numId w:val="43"/>
        </w:numPr>
        <w:spacing w:before="0" w:line="240" w:lineRule="auto"/>
        <w:ind w:left="284" w:hanging="284"/>
        <w:contextualSpacing w:val="0"/>
        <w:rPr>
          <w:rFonts w:cs="Arial"/>
          <w:color w:val="auto"/>
          <w:szCs w:val="22"/>
        </w:rPr>
      </w:pPr>
      <w:r w:rsidRPr="00437E99">
        <w:rPr>
          <w:rFonts w:cs="Arial"/>
          <w:color w:val="auto"/>
          <w:szCs w:val="22"/>
        </w:rPr>
        <w:t>There are no devices proposed to be assessed under Tier 1.</w:t>
      </w:r>
    </w:p>
    <w:p w14:paraId="5A544696" w14:textId="7BD24ECC" w:rsidR="00176220" w:rsidRPr="00AB3084" w:rsidRDefault="00EB49CC" w:rsidP="00437E99">
      <w:pPr>
        <w:ind w:left="284"/>
        <w:rPr>
          <w:rFonts w:cs="Arial"/>
          <w:sz w:val="20"/>
          <w:szCs w:val="20"/>
        </w:rPr>
      </w:pPr>
      <w:bookmarkStart w:id="109" w:name="_Hlk135132959"/>
      <w:r w:rsidRPr="00AB3084">
        <w:rPr>
          <w:rFonts w:cs="Arial"/>
          <w:sz w:val="20"/>
          <w:szCs w:val="20"/>
        </w:rPr>
        <w:t xml:space="preserve">* </w:t>
      </w:r>
      <w:r w:rsidR="00E76402" w:rsidRPr="00AB3084">
        <w:rPr>
          <w:rFonts w:cs="Arial"/>
          <w:sz w:val="20"/>
          <w:szCs w:val="20"/>
        </w:rPr>
        <w:t xml:space="preserve">Selecting of the above groups of devices for Tier 1 pathway </w:t>
      </w:r>
      <w:r w:rsidR="00B23EF6" w:rsidRPr="00AB3084">
        <w:rPr>
          <w:rFonts w:cs="Arial"/>
          <w:sz w:val="20"/>
          <w:szCs w:val="20"/>
        </w:rPr>
        <w:t xml:space="preserve">has been made based on </w:t>
      </w:r>
      <w:r w:rsidR="00E76402" w:rsidRPr="00AB3084">
        <w:rPr>
          <w:rFonts w:cs="Arial"/>
          <w:sz w:val="20"/>
          <w:szCs w:val="20"/>
        </w:rPr>
        <w:t xml:space="preserve">the </w:t>
      </w:r>
      <w:r w:rsidR="00295CFB" w:rsidRPr="00AB3084">
        <w:rPr>
          <w:rFonts w:cs="Arial"/>
          <w:sz w:val="20"/>
          <w:szCs w:val="20"/>
        </w:rPr>
        <w:t>d</w:t>
      </w:r>
      <w:r w:rsidR="00E76402" w:rsidRPr="00AB3084">
        <w:rPr>
          <w:rFonts w:cs="Arial"/>
          <w:sz w:val="20"/>
          <w:szCs w:val="20"/>
        </w:rPr>
        <w:t>epartment’s in-house capabilities, expertise, experience, knowledge and internal quantified staffing resources. T</w:t>
      </w:r>
      <w:r w:rsidR="00176220" w:rsidRPr="00AB3084">
        <w:rPr>
          <w:rFonts w:cs="Arial"/>
          <w:sz w:val="20"/>
          <w:szCs w:val="20"/>
        </w:rPr>
        <w:t>he</w:t>
      </w:r>
      <w:r w:rsidR="00E76402" w:rsidRPr="00AB3084">
        <w:rPr>
          <w:rFonts w:cs="Arial"/>
          <w:sz w:val="20"/>
          <w:szCs w:val="20"/>
        </w:rPr>
        <w:t xml:space="preserve"> list </w:t>
      </w:r>
      <w:r w:rsidR="00B23EF6" w:rsidRPr="00AB3084">
        <w:rPr>
          <w:rFonts w:cs="Arial"/>
          <w:sz w:val="20"/>
          <w:szCs w:val="20"/>
        </w:rPr>
        <w:t xml:space="preserve">will continue </w:t>
      </w:r>
      <w:r w:rsidR="00E76402" w:rsidRPr="00AB3084">
        <w:rPr>
          <w:rFonts w:cs="Arial"/>
          <w:sz w:val="20"/>
          <w:szCs w:val="20"/>
        </w:rPr>
        <w:t xml:space="preserve">to </w:t>
      </w:r>
      <w:r w:rsidR="00176220" w:rsidRPr="00AB3084">
        <w:rPr>
          <w:rFonts w:cs="Arial"/>
          <w:sz w:val="20"/>
          <w:szCs w:val="20"/>
        </w:rPr>
        <w:t xml:space="preserve">be reviewed </w:t>
      </w:r>
      <w:r w:rsidR="00E76402" w:rsidRPr="00AB3084">
        <w:rPr>
          <w:rFonts w:cs="Arial"/>
          <w:sz w:val="20"/>
          <w:szCs w:val="20"/>
        </w:rPr>
        <w:t xml:space="preserve">after the implementation of the Tiered assessment pathways </w:t>
      </w:r>
      <w:r w:rsidR="00B23EF6" w:rsidRPr="00AB3084">
        <w:rPr>
          <w:rFonts w:cs="Arial"/>
          <w:sz w:val="20"/>
          <w:szCs w:val="20"/>
        </w:rPr>
        <w:t>and may be varied in the future.</w:t>
      </w:r>
    </w:p>
    <w:bookmarkEnd w:id="109"/>
    <w:p w14:paraId="2CC9AACF" w14:textId="5755E1D5" w:rsidR="00D067D6" w:rsidRPr="005528AC" w:rsidRDefault="00D067D6" w:rsidP="00D067D6">
      <w:pPr>
        <w:rPr>
          <w:szCs w:val="22"/>
        </w:rPr>
      </w:pPr>
      <w:r w:rsidRPr="005528AC">
        <w:rPr>
          <w:szCs w:val="22"/>
        </w:rPr>
        <w:t xml:space="preserve">Sponsors applying via this pathway </w:t>
      </w:r>
      <w:r w:rsidR="007C7C5C" w:rsidRPr="005528AC">
        <w:rPr>
          <w:szCs w:val="22"/>
        </w:rPr>
        <w:t>are usually given</w:t>
      </w:r>
      <w:r w:rsidRPr="005528AC">
        <w:rPr>
          <w:szCs w:val="22"/>
        </w:rPr>
        <w:t xml:space="preserve"> </w:t>
      </w:r>
      <w:r w:rsidR="007C7C5C" w:rsidRPr="005528AC">
        <w:rPr>
          <w:szCs w:val="22"/>
        </w:rPr>
        <w:t xml:space="preserve">only </w:t>
      </w:r>
      <w:r w:rsidRPr="00A47985">
        <w:rPr>
          <w:b/>
          <w:bCs/>
          <w:szCs w:val="22"/>
        </w:rPr>
        <w:t>one</w:t>
      </w:r>
      <w:r w:rsidRPr="005528AC">
        <w:rPr>
          <w:szCs w:val="22"/>
        </w:rPr>
        <w:t xml:space="preserve"> opportunity to provide clarification or additional information within the timeframe specified by the </w:t>
      </w:r>
      <w:r w:rsidR="5E58CECB" w:rsidRPr="005528AC">
        <w:rPr>
          <w:szCs w:val="22"/>
        </w:rPr>
        <w:t>d</w:t>
      </w:r>
      <w:r w:rsidRPr="005528AC">
        <w:rPr>
          <w:szCs w:val="22"/>
        </w:rPr>
        <w:t xml:space="preserve">epartment that </w:t>
      </w:r>
      <w:r w:rsidR="00B23EF6">
        <w:rPr>
          <w:szCs w:val="22"/>
        </w:rPr>
        <w:t xml:space="preserve">usually </w:t>
      </w:r>
      <w:r w:rsidR="007C7C5C" w:rsidRPr="005528AC">
        <w:rPr>
          <w:szCs w:val="22"/>
        </w:rPr>
        <w:t>does not</w:t>
      </w:r>
      <w:r w:rsidRPr="005528AC">
        <w:rPr>
          <w:szCs w:val="22"/>
        </w:rPr>
        <w:t xml:space="preserve"> exceed 5 working days. </w:t>
      </w:r>
      <w:r w:rsidR="007C7C5C" w:rsidRPr="005528AC">
        <w:rPr>
          <w:szCs w:val="22"/>
        </w:rPr>
        <w:t>It is at the discretion of the department on whether to give the sponsor another opportunity to provide missing information</w:t>
      </w:r>
      <w:r w:rsidR="00070B82" w:rsidRPr="005528AC">
        <w:rPr>
          <w:szCs w:val="22"/>
        </w:rPr>
        <w:t xml:space="preserve"> or extend the time for the </w:t>
      </w:r>
      <w:r w:rsidR="00070B82" w:rsidRPr="005528AC">
        <w:rPr>
          <w:szCs w:val="22"/>
        </w:rPr>
        <w:lastRenderedPageBreak/>
        <w:t>response</w:t>
      </w:r>
      <w:r w:rsidR="007C7C5C" w:rsidRPr="005528AC">
        <w:rPr>
          <w:szCs w:val="22"/>
        </w:rPr>
        <w:t xml:space="preserve">. </w:t>
      </w:r>
      <w:r w:rsidRPr="005528AC">
        <w:rPr>
          <w:szCs w:val="22"/>
        </w:rPr>
        <w:t>Incomplete or inappropriate applications will be rejected.</w:t>
      </w:r>
      <w:r w:rsidR="00FA27D7" w:rsidRPr="005528AC">
        <w:rPr>
          <w:szCs w:val="22"/>
        </w:rPr>
        <w:t xml:space="preserve"> </w:t>
      </w:r>
      <w:r w:rsidR="00620D34" w:rsidRPr="005528AC">
        <w:rPr>
          <w:szCs w:val="22"/>
        </w:rPr>
        <w:t xml:space="preserve">Should an application be rejected </w:t>
      </w:r>
      <w:r w:rsidR="000E06D9" w:rsidRPr="005528AC">
        <w:rPr>
          <w:szCs w:val="22"/>
        </w:rPr>
        <w:t>from</w:t>
      </w:r>
      <w:r w:rsidR="00DD39CB" w:rsidRPr="005528AC">
        <w:rPr>
          <w:szCs w:val="22"/>
        </w:rPr>
        <w:t xml:space="preserve"> </w:t>
      </w:r>
      <w:r w:rsidR="001671D9" w:rsidRPr="005528AC">
        <w:rPr>
          <w:szCs w:val="22"/>
        </w:rPr>
        <w:t>Tier 1</w:t>
      </w:r>
      <w:r w:rsidR="000E06D9" w:rsidRPr="005528AC">
        <w:rPr>
          <w:szCs w:val="22"/>
        </w:rPr>
        <w:t xml:space="preserve"> for any reason</w:t>
      </w:r>
      <w:r w:rsidR="001671D9" w:rsidRPr="005528AC">
        <w:rPr>
          <w:szCs w:val="22"/>
        </w:rPr>
        <w:t xml:space="preserve">, </w:t>
      </w:r>
      <w:r w:rsidR="002436E6" w:rsidRPr="005528AC">
        <w:rPr>
          <w:szCs w:val="22"/>
        </w:rPr>
        <w:t xml:space="preserve">the </w:t>
      </w:r>
      <w:r w:rsidR="001671D9" w:rsidRPr="005528AC">
        <w:rPr>
          <w:szCs w:val="22"/>
        </w:rPr>
        <w:t xml:space="preserve">application </w:t>
      </w:r>
      <w:r w:rsidR="000E06D9" w:rsidRPr="005528AC">
        <w:rPr>
          <w:szCs w:val="22"/>
        </w:rPr>
        <w:t xml:space="preserve">will need to be </w:t>
      </w:r>
      <w:r w:rsidR="002436E6" w:rsidRPr="005528AC">
        <w:rPr>
          <w:szCs w:val="22"/>
        </w:rPr>
        <w:t xml:space="preserve">resubmitted </w:t>
      </w:r>
      <w:r w:rsidR="00116196" w:rsidRPr="005528AC">
        <w:rPr>
          <w:szCs w:val="22"/>
        </w:rPr>
        <w:t>under T</w:t>
      </w:r>
      <w:r w:rsidR="00620D34" w:rsidRPr="005528AC">
        <w:rPr>
          <w:szCs w:val="22"/>
        </w:rPr>
        <w:t>ier</w:t>
      </w:r>
      <w:r w:rsidR="007C7C5C" w:rsidRPr="005528AC">
        <w:rPr>
          <w:szCs w:val="22"/>
        </w:rPr>
        <w:t> </w:t>
      </w:r>
      <w:r w:rsidR="00620D34" w:rsidRPr="005528AC">
        <w:rPr>
          <w:szCs w:val="22"/>
        </w:rPr>
        <w:t>2</w:t>
      </w:r>
      <w:r w:rsidR="00ED5303" w:rsidRPr="005528AC">
        <w:rPr>
          <w:szCs w:val="22"/>
        </w:rPr>
        <w:t xml:space="preserve"> </w:t>
      </w:r>
      <w:r w:rsidR="001F2A2E" w:rsidRPr="005528AC">
        <w:rPr>
          <w:szCs w:val="22"/>
        </w:rPr>
        <w:t xml:space="preserve">or </w:t>
      </w:r>
      <w:r w:rsidR="007C7C5C" w:rsidRPr="005528AC">
        <w:rPr>
          <w:szCs w:val="22"/>
        </w:rPr>
        <w:t>Tier 3 (whatever is applicable) pathway</w:t>
      </w:r>
      <w:r w:rsidR="001F2A2E" w:rsidRPr="005528AC">
        <w:rPr>
          <w:szCs w:val="22"/>
        </w:rPr>
        <w:t xml:space="preserve">, </w:t>
      </w:r>
      <w:r w:rsidR="00ED5303" w:rsidRPr="005528AC">
        <w:rPr>
          <w:szCs w:val="22"/>
        </w:rPr>
        <w:t xml:space="preserve">and </w:t>
      </w:r>
      <w:r w:rsidR="00070B82" w:rsidRPr="005528AC">
        <w:rPr>
          <w:szCs w:val="22"/>
        </w:rPr>
        <w:t xml:space="preserve">it will be </w:t>
      </w:r>
      <w:r w:rsidR="00ED5303" w:rsidRPr="005528AC">
        <w:rPr>
          <w:szCs w:val="22"/>
        </w:rPr>
        <w:t xml:space="preserve">subject to </w:t>
      </w:r>
      <w:r w:rsidR="00D055D2" w:rsidRPr="005528AC">
        <w:rPr>
          <w:szCs w:val="22"/>
        </w:rPr>
        <w:t xml:space="preserve">further </w:t>
      </w:r>
      <w:r w:rsidR="00624B74" w:rsidRPr="005528AC">
        <w:rPr>
          <w:szCs w:val="22"/>
        </w:rPr>
        <w:t xml:space="preserve">application </w:t>
      </w:r>
      <w:r w:rsidR="00070B82" w:rsidRPr="005528AC">
        <w:rPr>
          <w:szCs w:val="22"/>
        </w:rPr>
        <w:t xml:space="preserve">and assessment </w:t>
      </w:r>
      <w:r w:rsidR="00624B74" w:rsidRPr="005528AC">
        <w:rPr>
          <w:szCs w:val="22"/>
        </w:rPr>
        <w:t>fee</w:t>
      </w:r>
      <w:r w:rsidR="00DA7A5F" w:rsidRPr="005528AC">
        <w:rPr>
          <w:szCs w:val="22"/>
        </w:rPr>
        <w:t>s.</w:t>
      </w:r>
    </w:p>
    <w:p w14:paraId="08641291" w14:textId="2D7937ED" w:rsidR="00D067D6" w:rsidRDefault="00D067D6" w:rsidP="00015DFB">
      <w:pPr>
        <w:spacing w:before="0" w:after="0" w:line="240" w:lineRule="auto"/>
        <w:rPr>
          <w:rFonts w:cs="Arial"/>
          <w:b/>
          <w:bCs/>
          <w:iCs/>
          <w:szCs w:val="22"/>
        </w:rPr>
      </w:pPr>
      <w:bookmarkStart w:id="110" w:name="_Demonstrating_interchangeability_wi"/>
      <w:bookmarkEnd w:id="100"/>
      <w:bookmarkEnd w:id="110"/>
      <w:r w:rsidRPr="00B65FDB">
        <w:rPr>
          <w:rFonts w:cs="Arial"/>
          <w:b/>
          <w:bCs/>
          <w:iCs/>
          <w:szCs w:val="22"/>
        </w:rPr>
        <w:t xml:space="preserve">Figure 2: Overview of the </w:t>
      </w:r>
      <w:r w:rsidR="00015DFB">
        <w:rPr>
          <w:rFonts w:cs="Arial"/>
          <w:b/>
          <w:bCs/>
          <w:iCs/>
          <w:szCs w:val="22"/>
        </w:rPr>
        <w:t>P</w:t>
      </w:r>
      <w:r w:rsidRPr="00B65FDB">
        <w:rPr>
          <w:rFonts w:cs="Arial"/>
          <w:b/>
          <w:bCs/>
          <w:iCs/>
          <w:szCs w:val="22"/>
        </w:rPr>
        <w:t xml:space="preserve">rocess for Tier 1: Departmental </w:t>
      </w:r>
      <w:r w:rsidR="00015DFB">
        <w:rPr>
          <w:rFonts w:cs="Arial"/>
          <w:b/>
          <w:bCs/>
          <w:iCs/>
          <w:szCs w:val="22"/>
        </w:rPr>
        <w:t>A</w:t>
      </w:r>
      <w:r w:rsidRPr="00B65FDB">
        <w:rPr>
          <w:rFonts w:cs="Arial"/>
          <w:b/>
          <w:bCs/>
          <w:iCs/>
          <w:szCs w:val="22"/>
        </w:rPr>
        <w:t xml:space="preserve">ssessment </w:t>
      </w:r>
      <w:r w:rsidR="00015DFB">
        <w:rPr>
          <w:rFonts w:cs="Arial"/>
          <w:b/>
          <w:bCs/>
          <w:iCs/>
          <w:szCs w:val="22"/>
        </w:rPr>
        <w:t>P</w:t>
      </w:r>
      <w:r w:rsidRPr="00B65FDB">
        <w:rPr>
          <w:rFonts w:cs="Arial"/>
          <w:b/>
          <w:bCs/>
          <w:iCs/>
          <w:szCs w:val="22"/>
        </w:rPr>
        <w:t>athway</w:t>
      </w:r>
    </w:p>
    <w:p w14:paraId="6A7E3369" w14:textId="74374020" w:rsidR="000B2D66" w:rsidRPr="00A56567" w:rsidRDefault="00A77EC6" w:rsidP="00A77EC6">
      <w:pPr>
        <w:jc w:val="center"/>
      </w:pPr>
      <w:r>
        <w:rPr>
          <w:noProof/>
        </w:rPr>
        <w:drawing>
          <wp:inline distT="0" distB="0" distL="0" distR="0" wp14:anchorId="06A40E3B" wp14:editId="49196BA9">
            <wp:extent cx="6153481" cy="5365630"/>
            <wp:effectExtent l="0" t="0" r="0" b="6985"/>
            <wp:docPr id="2" name="Picture 2" descr="Overview of the Process for Tier 1: Departmental Assessment Pathw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Overview of the Process for Tier 1: Departmental Assessment Pathway"/>
                    <pic:cNvPicPr/>
                  </pic:nvPicPr>
                  <pic:blipFill rotWithShape="1">
                    <a:blip r:embed="rId57"/>
                    <a:srcRect l="2469"/>
                    <a:stretch/>
                  </pic:blipFill>
                  <pic:spPr bwMode="auto">
                    <a:xfrm>
                      <a:off x="0" y="0"/>
                      <a:ext cx="6158556" cy="5370055"/>
                    </a:xfrm>
                    <a:prstGeom prst="rect">
                      <a:avLst/>
                    </a:prstGeom>
                    <a:ln>
                      <a:noFill/>
                    </a:ln>
                    <a:extLst>
                      <a:ext uri="{53640926-AAD7-44D8-BBD7-CCE9431645EC}">
                        <a14:shadowObscured xmlns:a14="http://schemas.microsoft.com/office/drawing/2010/main"/>
                      </a:ext>
                    </a:extLst>
                  </pic:spPr>
                </pic:pic>
              </a:graphicData>
            </a:graphic>
          </wp:inline>
        </w:drawing>
      </w:r>
    </w:p>
    <w:p w14:paraId="354014E7" w14:textId="624D6736" w:rsidR="00D067D6" w:rsidRPr="00015DFB" w:rsidRDefault="00D067D6" w:rsidP="00322538">
      <w:pPr>
        <w:pStyle w:val="Heading3"/>
      </w:pPr>
      <w:bookmarkStart w:id="111" w:name="_Tier_2:_Clinical/Focused"/>
      <w:bookmarkStart w:id="112" w:name="_Toc149228531"/>
      <w:bookmarkEnd w:id="111"/>
      <w:r w:rsidRPr="00015DFB">
        <w:t>Tier 2: Clinical/</w:t>
      </w:r>
      <w:r w:rsidR="00015DFB">
        <w:t>F</w:t>
      </w:r>
      <w:r w:rsidRPr="00015DFB">
        <w:t xml:space="preserve">ocused HTA </w:t>
      </w:r>
      <w:r w:rsidR="00015DFB">
        <w:t>A</w:t>
      </w:r>
      <w:r w:rsidRPr="00015DFB">
        <w:t xml:space="preserve">ssessment </w:t>
      </w:r>
      <w:r w:rsidR="00015DFB">
        <w:t>P</w:t>
      </w:r>
      <w:r w:rsidRPr="00015DFB">
        <w:t>athway</w:t>
      </w:r>
      <w:bookmarkEnd w:id="112"/>
    </w:p>
    <w:p w14:paraId="766EBEE7" w14:textId="73F14DAE" w:rsidR="00D067D6" w:rsidRDefault="00D067D6" w:rsidP="00D067D6">
      <w:r>
        <w:t xml:space="preserve">The Tier 2 </w:t>
      </w:r>
      <w:r w:rsidR="00015DFB">
        <w:t>C</w:t>
      </w:r>
      <w:r>
        <w:t>linical/</w:t>
      </w:r>
      <w:r w:rsidR="00015DFB">
        <w:t>F</w:t>
      </w:r>
      <w:r>
        <w:t xml:space="preserve">ocused HTA </w:t>
      </w:r>
      <w:r w:rsidR="00015DFB">
        <w:t>A</w:t>
      </w:r>
      <w:r>
        <w:t xml:space="preserve">ssessment </w:t>
      </w:r>
      <w:r w:rsidR="00015DFB">
        <w:t>P</w:t>
      </w:r>
      <w:r>
        <w:t xml:space="preserve">athway is for devices that are not suitable for assessment via the Tier 1 </w:t>
      </w:r>
      <w:r w:rsidR="009A1558">
        <w:t>P</w:t>
      </w:r>
      <w:r>
        <w:t>athway</w:t>
      </w:r>
      <w:r w:rsidR="00015DFB">
        <w:t xml:space="preserve"> and </w:t>
      </w:r>
      <w:r w:rsidR="00526208" w:rsidRPr="00526208">
        <w:t>require clinical assessment by the respective ECAG</w:t>
      </w:r>
      <w:r w:rsidR="00250217">
        <w:t>,</w:t>
      </w:r>
      <w:r w:rsidR="00422E55">
        <w:t xml:space="preserve"> and </w:t>
      </w:r>
      <w:r w:rsidR="00526208">
        <w:t>in some cases</w:t>
      </w:r>
      <w:r w:rsidR="00250217">
        <w:t xml:space="preserve"> HTA consultant.</w:t>
      </w:r>
    </w:p>
    <w:p w14:paraId="0FF63034" w14:textId="1EAD1E0E" w:rsidR="00526208" w:rsidRPr="002A0F18" w:rsidRDefault="00526208" w:rsidP="00526208">
      <w:pPr>
        <w:widowControl w:val="0"/>
        <w:spacing w:before="0" w:line="240" w:lineRule="auto"/>
        <w:rPr>
          <w:rFonts w:cstheme="minorHAnsi"/>
        </w:rPr>
      </w:pPr>
      <w:r w:rsidRPr="00437E99">
        <w:rPr>
          <w:rFonts w:cstheme="minorHAnsi"/>
        </w:rPr>
        <w:t xml:space="preserve">Specifically, </w:t>
      </w:r>
      <w:r w:rsidRPr="00437E99">
        <w:rPr>
          <w:rFonts w:cstheme="minorHAnsi"/>
          <w:shd w:val="clear" w:color="auto" w:fill="D9D9D9" w:themeFill="background1" w:themeFillShade="D9"/>
        </w:rPr>
        <w:t>the devices for which Tier 2 applications</w:t>
      </w:r>
      <w:r w:rsidRPr="00437E99">
        <w:rPr>
          <w:rFonts w:cstheme="minorHAnsi"/>
        </w:rPr>
        <w:t xml:space="preserve"> will be required include</w:t>
      </w:r>
      <w:r>
        <w:rPr>
          <w:rFonts w:cstheme="minorHAnsi"/>
        </w:rPr>
        <w:t xml:space="preserve"> </w:t>
      </w:r>
      <w:r w:rsidRPr="00D27297">
        <w:rPr>
          <w:rFonts w:cstheme="minorHAnsi"/>
        </w:rPr>
        <w:t xml:space="preserve">the devices classified by the TGA as Class III, or any Part C applications. Additionally, any Part A applications for the devices of any risk-classification, that are not well-established technology [e.g. devices of this type are reasonably new/do not have a long history, or have known issues with performance/safety problems, etc.], and/or have high variability in the designs and characteristics, and/or the devices for which sponsors claim any novel features, characteristics or functionality, or applications where sponsors apply for listing the devices in new groupings or </w:t>
      </w:r>
      <w:r w:rsidRPr="00D27297">
        <w:rPr>
          <w:rFonts w:cstheme="minorHAnsi"/>
        </w:rPr>
        <w:lastRenderedPageBreak/>
        <w:t xml:space="preserve">ask to change the groupings (in the amendment applications), or applications previously rejected under the Tier 1 pathway, including where the sponsors were unable to provide the required information in the form required by the </w:t>
      </w:r>
      <w:r w:rsidR="00295CFB">
        <w:rPr>
          <w:rFonts w:cstheme="minorHAnsi"/>
        </w:rPr>
        <w:t>d</w:t>
      </w:r>
      <w:r w:rsidRPr="00D27297">
        <w:rPr>
          <w:rFonts w:cstheme="minorHAnsi"/>
        </w:rPr>
        <w:t>epartment</w:t>
      </w:r>
      <w:r w:rsidRPr="002A0F18">
        <w:rPr>
          <w:rFonts w:cstheme="minorHAnsi"/>
        </w:rPr>
        <w:t>.</w:t>
      </w:r>
    </w:p>
    <w:p w14:paraId="72A3E90B" w14:textId="77777777" w:rsidR="00526208" w:rsidRPr="002A0F18" w:rsidRDefault="00526208" w:rsidP="00526208">
      <w:pPr>
        <w:widowControl w:val="0"/>
        <w:spacing w:before="0" w:line="240" w:lineRule="auto"/>
        <w:rPr>
          <w:rFonts w:cstheme="minorHAnsi"/>
        </w:rPr>
      </w:pPr>
      <w:r w:rsidRPr="002A0F18">
        <w:rPr>
          <w:rFonts w:cstheme="minorHAnsi"/>
        </w:rPr>
        <w:t>This pathway has two routes depending on the level of assessment required: Tier 2a – clinical assessment only and Tier 2b – clinical assessment plus economic assessment to establish cost effectiveness.</w:t>
      </w:r>
    </w:p>
    <w:p w14:paraId="23E4192B" w14:textId="6516F389" w:rsidR="00D067D6" w:rsidRPr="00B65FDB" w:rsidRDefault="00526208" w:rsidP="00D067D6">
      <w:r>
        <w:t>For Tier 2b, an</w:t>
      </w:r>
      <w:r w:rsidR="00D067D6">
        <w:t xml:space="preserve"> HTA may be undertaken by a HTA </w:t>
      </w:r>
      <w:r w:rsidR="00015DFB">
        <w:t>G</w:t>
      </w:r>
      <w:r w:rsidR="00D067D6">
        <w:t xml:space="preserve">roup engaged by the </w:t>
      </w:r>
      <w:r w:rsidR="30DABC15">
        <w:t>d</w:t>
      </w:r>
      <w:r w:rsidR="00D067D6">
        <w:t>epartment. This</w:t>
      </w:r>
      <w:r w:rsidR="00015DFB">
        <w:t xml:space="preserve"> </w:t>
      </w:r>
      <w:r w:rsidR="00D067D6">
        <w:t xml:space="preserve">will typically take the form of a focused commentary (appraisal) of the clinical and/or economic claims made in the application by the sponsor. </w:t>
      </w:r>
      <w:r w:rsidR="007641FC">
        <w:t xml:space="preserve">Sponsors will be </w:t>
      </w:r>
      <w:r w:rsidR="006F23FE">
        <w:t xml:space="preserve">able to provide feedback on </w:t>
      </w:r>
      <w:r w:rsidR="15A21CA2">
        <w:t xml:space="preserve">assessment reports </w:t>
      </w:r>
      <w:r w:rsidR="006F23FE">
        <w:t xml:space="preserve">before they are provided </w:t>
      </w:r>
      <w:r w:rsidR="15A21CA2">
        <w:t>to MDHTAC.</w:t>
      </w:r>
    </w:p>
    <w:p w14:paraId="07541D20" w14:textId="68F92ADF" w:rsidR="00D067D6" w:rsidRDefault="00D067D6" w:rsidP="00322538">
      <w:r w:rsidRPr="00B65FDB">
        <w:t xml:space="preserve">All applications assessed via the Tier 2 </w:t>
      </w:r>
      <w:r w:rsidR="006D5D67">
        <w:t>P</w:t>
      </w:r>
      <w:r w:rsidRPr="00B65FDB">
        <w:t>athway will be considered by the MDHTAC.</w:t>
      </w:r>
    </w:p>
    <w:p w14:paraId="168C7A3E" w14:textId="0D23B60E" w:rsidR="002E6660" w:rsidRDefault="002E6660">
      <w:pPr>
        <w:spacing w:before="0" w:after="0" w:line="240" w:lineRule="auto"/>
        <w:rPr>
          <w:rFonts w:cs="Arial"/>
          <w:b/>
        </w:rPr>
      </w:pPr>
    </w:p>
    <w:p w14:paraId="40EDFDB0" w14:textId="2791CA5E" w:rsidR="00D067D6" w:rsidRDefault="00D067D6" w:rsidP="00015DFB">
      <w:pPr>
        <w:spacing w:before="0" w:after="0" w:line="240" w:lineRule="auto"/>
        <w:rPr>
          <w:rFonts w:cs="Arial"/>
          <w:b/>
        </w:rPr>
      </w:pPr>
      <w:r w:rsidRPr="7C6DCF8A">
        <w:rPr>
          <w:rFonts w:cs="Arial"/>
          <w:b/>
        </w:rPr>
        <w:t xml:space="preserve">Figure 3: Overview of the </w:t>
      </w:r>
      <w:r w:rsidR="00015DFB" w:rsidRPr="7C6DCF8A">
        <w:rPr>
          <w:rFonts w:cs="Arial"/>
          <w:b/>
        </w:rPr>
        <w:t>P</w:t>
      </w:r>
      <w:r w:rsidRPr="7C6DCF8A">
        <w:rPr>
          <w:rFonts w:cs="Arial"/>
          <w:b/>
        </w:rPr>
        <w:t>rocess for Tier 2:</w:t>
      </w:r>
      <w:r w:rsidR="00015DFB" w:rsidRPr="7C6DCF8A">
        <w:rPr>
          <w:rFonts w:cs="Arial"/>
          <w:b/>
        </w:rPr>
        <w:t xml:space="preserve"> C</w:t>
      </w:r>
      <w:r w:rsidRPr="7C6DCF8A">
        <w:rPr>
          <w:rFonts w:cs="Arial"/>
          <w:b/>
        </w:rPr>
        <w:t>linical/</w:t>
      </w:r>
      <w:r w:rsidR="00015DFB" w:rsidRPr="7C6DCF8A">
        <w:rPr>
          <w:rFonts w:cs="Arial"/>
          <w:b/>
        </w:rPr>
        <w:t>F</w:t>
      </w:r>
      <w:r w:rsidRPr="7C6DCF8A">
        <w:rPr>
          <w:rFonts w:cs="Arial"/>
          <w:b/>
        </w:rPr>
        <w:t xml:space="preserve">ocussed HTA </w:t>
      </w:r>
      <w:r w:rsidR="00015DFB" w:rsidRPr="7C6DCF8A">
        <w:rPr>
          <w:rFonts w:cs="Arial"/>
          <w:b/>
        </w:rPr>
        <w:t>P</w:t>
      </w:r>
      <w:r w:rsidRPr="7C6DCF8A">
        <w:rPr>
          <w:rFonts w:cs="Arial"/>
          <w:b/>
        </w:rPr>
        <w:t>athways</w:t>
      </w:r>
    </w:p>
    <w:p w14:paraId="1F0D3119" w14:textId="77777777" w:rsidR="002E6660" w:rsidRDefault="002E6660" w:rsidP="00015DFB">
      <w:pPr>
        <w:spacing w:before="0" w:after="0" w:line="240" w:lineRule="auto"/>
        <w:rPr>
          <w:rFonts w:cs="Arial"/>
          <w:b/>
        </w:rPr>
      </w:pPr>
    </w:p>
    <w:p w14:paraId="484A3963" w14:textId="6353D5A0" w:rsidR="001C5261" w:rsidRDefault="002E6660" w:rsidP="00D66EEE">
      <w:pPr>
        <w:jc w:val="center"/>
        <w:rPr>
          <w:rFonts w:cs="Arial"/>
          <w:b/>
          <w:color w:val="358189"/>
          <w:sz w:val="32"/>
          <w:szCs w:val="32"/>
        </w:rPr>
      </w:pPr>
      <w:r>
        <w:rPr>
          <w:noProof/>
        </w:rPr>
        <w:drawing>
          <wp:inline distT="0" distB="0" distL="0" distR="0" wp14:anchorId="22373677" wp14:editId="58A794C1">
            <wp:extent cx="6484003" cy="4511615"/>
            <wp:effectExtent l="0" t="0" r="0" b="3810"/>
            <wp:docPr id="5" name="Picture 5" descr="Overview of the Process for Tier 2: Clinical/Focussed HTA Pathw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Overview of the Process for Tier 2: Clinical/Focussed HTA Pathways"/>
                    <pic:cNvPicPr/>
                  </pic:nvPicPr>
                  <pic:blipFill rotWithShape="1">
                    <a:blip r:embed="rId58"/>
                    <a:srcRect l="3445" b="1142"/>
                    <a:stretch/>
                  </pic:blipFill>
                  <pic:spPr bwMode="auto">
                    <a:xfrm>
                      <a:off x="0" y="0"/>
                      <a:ext cx="6499896" cy="4522673"/>
                    </a:xfrm>
                    <a:prstGeom prst="rect">
                      <a:avLst/>
                    </a:prstGeom>
                    <a:ln>
                      <a:noFill/>
                    </a:ln>
                    <a:extLst>
                      <a:ext uri="{53640926-AAD7-44D8-BBD7-CCE9431645EC}">
                        <a14:shadowObscured xmlns:a14="http://schemas.microsoft.com/office/drawing/2010/main"/>
                      </a:ext>
                    </a:extLst>
                  </pic:spPr>
                </pic:pic>
              </a:graphicData>
            </a:graphic>
          </wp:inline>
        </w:drawing>
      </w:r>
      <w:r w:rsidR="001C5261">
        <w:br w:type="page"/>
      </w:r>
    </w:p>
    <w:p w14:paraId="0C8A8C95" w14:textId="6C016343" w:rsidR="00250217" w:rsidRPr="00437E99" w:rsidRDefault="00526208" w:rsidP="008A7A82">
      <w:pPr>
        <w:pStyle w:val="Heading3"/>
        <w:spacing w:before="0" w:after="120"/>
        <w:rPr>
          <w:b w:val="0"/>
          <w:bCs w:val="0"/>
        </w:rPr>
      </w:pPr>
      <w:bookmarkStart w:id="113" w:name="_Tier_3:_Full"/>
      <w:bookmarkStart w:id="114" w:name="_Clinical_evidence_requirements"/>
      <w:bookmarkStart w:id="115" w:name="_Toc149228532"/>
      <w:bookmarkEnd w:id="113"/>
      <w:bookmarkEnd w:id="114"/>
      <w:r>
        <w:lastRenderedPageBreak/>
        <w:t>C</w:t>
      </w:r>
      <w:r w:rsidRPr="00526208">
        <w:t xml:space="preserve">linical </w:t>
      </w:r>
      <w:r w:rsidR="00FC3ECD">
        <w:t>evidence</w:t>
      </w:r>
      <w:r w:rsidRPr="00526208">
        <w:t xml:space="preserve"> </w:t>
      </w:r>
      <w:r w:rsidR="00FC3ECD">
        <w:t>r</w:t>
      </w:r>
      <w:r w:rsidRPr="00526208">
        <w:t>equirements</w:t>
      </w:r>
      <w:r w:rsidR="00250217" w:rsidRPr="00437E99">
        <w:t xml:space="preserve"> for devices assessed under Tier 2a </w:t>
      </w:r>
      <w:r>
        <w:t xml:space="preserve">or Tier 2b </w:t>
      </w:r>
      <w:r w:rsidR="0042097D">
        <w:t>P</w:t>
      </w:r>
      <w:r w:rsidR="00250217" w:rsidRPr="00437E99">
        <w:t>athway</w:t>
      </w:r>
      <w:r w:rsidR="00FC3ECD">
        <w:t>s</w:t>
      </w:r>
      <w:bookmarkEnd w:id="115"/>
    </w:p>
    <w:p w14:paraId="3A3FD704" w14:textId="7BA12ED1" w:rsidR="00250217" w:rsidRPr="006D7CC9" w:rsidRDefault="00250217" w:rsidP="00250217">
      <w:pPr>
        <w:widowControl w:val="0"/>
        <w:shd w:val="clear" w:color="auto" w:fill="D9D9D9" w:themeFill="background1" w:themeFillShade="D9"/>
        <w:spacing w:before="0" w:line="240" w:lineRule="auto"/>
        <w:rPr>
          <w:rFonts w:cs="Arial"/>
        </w:rPr>
      </w:pPr>
      <w:r w:rsidRPr="006D7CC9">
        <w:rPr>
          <w:rFonts w:cs="Arial"/>
        </w:rPr>
        <w:t>The expectations in respect to the clinical data depend on the device in the application, its history or the history of the comparative devices, the request in the application (</w:t>
      </w:r>
      <w:r w:rsidR="00E04135" w:rsidRPr="006D7CC9">
        <w:rPr>
          <w:rFonts w:cs="Arial"/>
        </w:rPr>
        <w:t>e.g.</w:t>
      </w:r>
      <w:r w:rsidRPr="006D7CC9">
        <w:rPr>
          <w:rFonts w:cs="Arial"/>
        </w:rPr>
        <w:t xml:space="preserve"> the sponsor applied to list the device in a new grouping), the novelty, variability and other factors. </w:t>
      </w:r>
      <w:r w:rsidR="00526208" w:rsidRPr="006D7CC9">
        <w:rPr>
          <w:rFonts w:cs="Arial"/>
          <w:shd w:val="clear" w:color="auto" w:fill="D9D9D9" w:themeFill="background1" w:themeFillShade="D9"/>
        </w:rPr>
        <w:t>Each application is assessed individually based on the information provided.</w:t>
      </w:r>
      <w:r w:rsidR="00526208" w:rsidRPr="006D7CC9">
        <w:rPr>
          <w:rFonts w:cs="Arial"/>
        </w:rPr>
        <w:t xml:space="preserve"> </w:t>
      </w:r>
      <w:r w:rsidRPr="006D7CC9">
        <w:rPr>
          <w:rFonts w:cs="Arial"/>
        </w:rPr>
        <w:t xml:space="preserve">The below information is only a </w:t>
      </w:r>
      <w:r w:rsidR="00E04135" w:rsidRPr="006D7CC9">
        <w:rPr>
          <w:rFonts w:cs="Arial"/>
        </w:rPr>
        <w:t>guidance,</w:t>
      </w:r>
      <w:r w:rsidRPr="006D7CC9">
        <w:rPr>
          <w:rFonts w:cs="Arial"/>
        </w:rPr>
        <w:t xml:space="preserve"> and the sponsors are required to apply judgement and common sense when they submit their application and provide the relevant information.</w:t>
      </w:r>
    </w:p>
    <w:p w14:paraId="367732F1" w14:textId="50F35F13" w:rsidR="00250217" w:rsidRPr="006D7CC9" w:rsidRDefault="00250217" w:rsidP="006D7CC9">
      <w:pPr>
        <w:widowControl w:val="0"/>
        <w:shd w:val="clear" w:color="auto" w:fill="D9D9D9" w:themeFill="background1" w:themeFillShade="D9"/>
        <w:spacing w:before="0" w:line="240" w:lineRule="auto"/>
        <w:rPr>
          <w:rFonts w:cs="Arial"/>
        </w:rPr>
      </w:pPr>
      <w:r w:rsidRPr="006D7CC9">
        <w:rPr>
          <w:rFonts w:cs="Arial"/>
        </w:rPr>
        <w:t xml:space="preserve">The data such as the number of implanted devices and follow-up time is considered in context of the quality, independency, and source of collection of the data provided (including comprehensiveness of the registry where the data has come from, information in the peer-reviewed publications published in the reputable journals with the independent data and with authors </w:t>
      </w:r>
      <w:r w:rsidR="00526208" w:rsidRPr="006D7CC9">
        <w:rPr>
          <w:rFonts w:cs="Arial"/>
        </w:rPr>
        <w:t>declaring</w:t>
      </w:r>
      <w:r w:rsidRPr="006D7CC9">
        <w:rPr>
          <w:rFonts w:cs="Arial"/>
        </w:rPr>
        <w:t xml:space="preserve"> conflicts of interest. </w:t>
      </w:r>
      <w:r w:rsidRPr="006D7CC9">
        <w:rPr>
          <w:rFonts w:cs="Arial"/>
        </w:rPr>
        <w:br/>
        <w:t xml:space="preserve">The clinical data </w:t>
      </w:r>
      <w:r w:rsidR="002837AC" w:rsidRPr="006D7CC9">
        <w:rPr>
          <w:rFonts w:cs="Arial"/>
        </w:rPr>
        <w:t>needs to</w:t>
      </w:r>
      <w:r w:rsidRPr="006D7CC9">
        <w:rPr>
          <w:rFonts w:cs="Arial"/>
        </w:rPr>
        <w:t xml:space="preserve"> be </w:t>
      </w:r>
      <w:r w:rsidRPr="006D7CC9">
        <w:rPr>
          <w:rFonts w:cs="Arial"/>
          <w:u w:val="single"/>
        </w:rPr>
        <w:t>directly relevant to the subject device in the application</w:t>
      </w:r>
      <w:r w:rsidRPr="006D7CC9">
        <w:rPr>
          <w:rFonts w:cs="Arial"/>
        </w:rPr>
        <w:t>. The data on comparator devices does not replace direct clinical evidence for the subject device, except where there is evidence (</w:t>
      </w:r>
      <w:r w:rsidR="00E04135" w:rsidRPr="006D7CC9">
        <w:rPr>
          <w:rFonts w:cs="Arial"/>
        </w:rPr>
        <w:t>e.g.,</w:t>
      </w:r>
      <w:r w:rsidRPr="006D7CC9">
        <w:rPr>
          <w:rFonts w:cs="Arial"/>
        </w:rPr>
        <w:t xml:space="preserve"> the manufacturer’s design documentation) demonstrating the subject device and the comparator have identical design characteristics, material, and other specifications.</w:t>
      </w:r>
    </w:p>
    <w:p w14:paraId="2FC28F20" w14:textId="148D2A52" w:rsidR="00091CA3" w:rsidRDefault="00091CA3" w:rsidP="00250217">
      <w:pPr>
        <w:widowControl w:val="0"/>
        <w:spacing w:before="0" w:line="240" w:lineRule="auto"/>
        <w:rPr>
          <w:rFonts w:cstheme="minorHAnsi"/>
        </w:rPr>
      </w:pPr>
      <w:r w:rsidRPr="00091CA3">
        <w:rPr>
          <w:rFonts w:cstheme="minorHAnsi"/>
        </w:rPr>
        <w:t xml:space="preserve">The National Health and Medical Research Council (NHMRC) developed a framework to categorise </w:t>
      </w:r>
      <w:r w:rsidRPr="002D5BD1">
        <w:rPr>
          <w:rFonts w:cs="Arial"/>
          <w:b/>
          <w:bCs/>
          <w:color w:val="358189"/>
          <w:szCs w:val="22"/>
        </w:rPr>
        <w:t>the levels of evidence</w:t>
      </w:r>
      <w:r w:rsidRPr="00091CA3">
        <w:rPr>
          <w:rFonts w:cstheme="minorHAnsi"/>
        </w:rPr>
        <w:t xml:space="preserve"> represented by different types of clinical studies according to the type of clinical question. This is referred to as a hierarchy of evidence. For </w:t>
      </w:r>
      <w:r>
        <w:rPr>
          <w:rFonts w:cstheme="minorHAnsi"/>
        </w:rPr>
        <w:t xml:space="preserve">the Prescribed List </w:t>
      </w:r>
      <w:r w:rsidRPr="00091CA3">
        <w:rPr>
          <w:rFonts w:cstheme="minorHAnsi"/>
        </w:rPr>
        <w:t xml:space="preserve">applications, the relevant NHMRC hierarchy of evidence is for ‘intervention’ studies, as a criterion for listing on the </w:t>
      </w:r>
      <w:r>
        <w:rPr>
          <w:rFonts w:cstheme="minorHAnsi"/>
        </w:rPr>
        <w:t>Prescribed</w:t>
      </w:r>
      <w:r w:rsidRPr="00091CA3">
        <w:rPr>
          <w:rFonts w:cstheme="minorHAnsi"/>
        </w:rPr>
        <w:t xml:space="preserve"> List is that products </w:t>
      </w:r>
      <w:r>
        <w:rPr>
          <w:rFonts w:cstheme="minorHAnsi"/>
        </w:rPr>
        <w:t>are to be used for therapy</w:t>
      </w:r>
      <w:r w:rsidRPr="00091CA3">
        <w:rPr>
          <w:rFonts w:cstheme="minorHAnsi"/>
        </w:rPr>
        <w:t>.</w:t>
      </w:r>
    </w:p>
    <w:p w14:paraId="04274DB4" w14:textId="77777777" w:rsidR="00091CA3" w:rsidRPr="00091CA3" w:rsidRDefault="00091CA3" w:rsidP="00091CA3">
      <w:pPr>
        <w:widowControl w:val="0"/>
        <w:spacing w:before="0" w:line="240" w:lineRule="auto"/>
        <w:rPr>
          <w:rFonts w:cstheme="minorHAnsi"/>
        </w:rPr>
      </w:pPr>
      <w:r w:rsidRPr="00510CF0">
        <w:rPr>
          <w:rFonts w:cstheme="minorHAnsi"/>
          <w:b/>
          <w:bCs/>
        </w:rPr>
        <w:t>Levels of evidence are based on the extent to which the design of a clinical study is suited to answering a particular clinical question</w:t>
      </w:r>
      <w:r w:rsidRPr="00091CA3">
        <w:rPr>
          <w:rFonts w:cstheme="minorHAnsi"/>
        </w:rPr>
        <w:t>. Clinical studies can be broadly divided into two main types of studies: controlled clinical trials and observational studies. Controlled clinical trials represent higher levels of evidence because their design seeks to minimise the potential for different types of bias (such as patient selection, placebo effects, non-blinded outcomes assessment, and the number of patients lost to follow-up).</w:t>
      </w:r>
    </w:p>
    <w:p w14:paraId="657049E1" w14:textId="53198056" w:rsidR="00AA7A84" w:rsidRPr="00452F08" w:rsidRDefault="00091CA3" w:rsidP="002D5BD1">
      <w:pPr>
        <w:widowControl w:val="0"/>
        <w:shd w:val="clear" w:color="auto" w:fill="D9D9D9" w:themeFill="background1" w:themeFillShade="D9"/>
        <w:spacing w:before="0" w:line="240" w:lineRule="auto"/>
        <w:rPr>
          <w:rFonts w:cstheme="minorHAnsi"/>
        </w:rPr>
      </w:pPr>
      <w:r w:rsidRPr="00091CA3">
        <w:rPr>
          <w:rFonts w:cstheme="minorHAnsi"/>
        </w:rPr>
        <w:t xml:space="preserve">Although specific study designs are not mandated for different </w:t>
      </w:r>
      <w:r>
        <w:rPr>
          <w:rFonts w:cstheme="minorHAnsi"/>
        </w:rPr>
        <w:t>PL</w:t>
      </w:r>
      <w:r w:rsidRPr="00091CA3">
        <w:rPr>
          <w:rFonts w:cstheme="minorHAnsi"/>
        </w:rPr>
        <w:t xml:space="preserve"> applications, in general, </w:t>
      </w:r>
      <w:r w:rsidR="007E62F8" w:rsidRPr="007E62F8">
        <w:rPr>
          <w:rFonts w:cstheme="minorHAnsi"/>
        </w:rPr>
        <w:t xml:space="preserve">evidence requirements for devices with novel/new material, designs, and other new characteristics, is higher than </w:t>
      </w:r>
      <w:r w:rsidR="007E62F8" w:rsidRPr="00452F08">
        <w:rPr>
          <w:rFonts w:cstheme="minorHAnsi"/>
        </w:rPr>
        <w:t>for</w:t>
      </w:r>
      <w:r w:rsidR="007E62F8" w:rsidRPr="00452F08" w:rsidDel="007E62F8">
        <w:rPr>
          <w:rFonts w:cstheme="minorHAnsi"/>
        </w:rPr>
        <w:t xml:space="preserve"> </w:t>
      </w:r>
      <w:r w:rsidR="00AA7A84" w:rsidRPr="004A512F">
        <w:rPr>
          <w:rFonts w:cstheme="minorHAnsi"/>
        </w:rPr>
        <w:t>devices that are similar to the existing devices with less significant changes in characteristics</w:t>
      </w:r>
      <w:r w:rsidR="00AA7A84" w:rsidRPr="00452F08">
        <w:rPr>
          <w:rFonts w:cstheme="minorHAnsi"/>
        </w:rPr>
        <w:t>.</w:t>
      </w:r>
    </w:p>
    <w:p w14:paraId="479A1778" w14:textId="4A76A0D1" w:rsidR="00091CA3" w:rsidRDefault="007E3B40" w:rsidP="002D5BD1">
      <w:pPr>
        <w:widowControl w:val="0"/>
        <w:shd w:val="clear" w:color="auto" w:fill="D9D9D9" w:themeFill="background1" w:themeFillShade="D9"/>
        <w:spacing w:before="0" w:line="240" w:lineRule="auto"/>
        <w:rPr>
          <w:rFonts w:cstheme="minorHAnsi"/>
        </w:rPr>
      </w:pPr>
      <w:r w:rsidRPr="007E3B40">
        <w:rPr>
          <w:rFonts w:cstheme="minorHAnsi"/>
        </w:rPr>
        <w:t xml:space="preserve">Where a sponsor is seeking a new grouping with a higher benefit on the basis that a new </w:t>
      </w:r>
      <w:r>
        <w:rPr>
          <w:rFonts w:cstheme="minorHAnsi"/>
        </w:rPr>
        <w:t>device</w:t>
      </w:r>
      <w:r w:rsidRPr="007E3B40">
        <w:rPr>
          <w:rFonts w:cstheme="minorHAnsi"/>
        </w:rPr>
        <w:t xml:space="preserve"> delivers superior clinical outcomes, the application </w:t>
      </w:r>
      <w:r>
        <w:rPr>
          <w:rFonts w:cstheme="minorHAnsi"/>
        </w:rPr>
        <w:t>is expected to</w:t>
      </w:r>
      <w:r w:rsidRPr="007E3B40">
        <w:rPr>
          <w:rFonts w:cstheme="minorHAnsi"/>
        </w:rPr>
        <w:t xml:space="preserve"> provide clinical evidence comparing the difference in clinical outcomes between the </w:t>
      </w:r>
      <w:r>
        <w:rPr>
          <w:rFonts w:cstheme="minorHAnsi"/>
        </w:rPr>
        <w:t>subject device</w:t>
      </w:r>
      <w:r w:rsidRPr="007E3B40">
        <w:rPr>
          <w:rFonts w:cstheme="minorHAnsi"/>
        </w:rPr>
        <w:t xml:space="preserve"> and the comparators. The evidence should quantify the improvements.</w:t>
      </w:r>
    </w:p>
    <w:p w14:paraId="4BB3B2FB" w14:textId="3313FADD" w:rsidR="00091CA3" w:rsidRDefault="007E3B40" w:rsidP="00091CA3">
      <w:pPr>
        <w:widowControl w:val="0"/>
        <w:spacing w:before="0" w:line="240" w:lineRule="auto"/>
        <w:rPr>
          <w:rFonts w:cstheme="minorHAnsi"/>
        </w:rPr>
      </w:pPr>
      <w:r w:rsidRPr="007E3B40">
        <w:rPr>
          <w:rFonts w:cstheme="minorHAnsi"/>
        </w:rPr>
        <w:t xml:space="preserve">When considering the type of evidence to be </w:t>
      </w:r>
      <w:r>
        <w:rPr>
          <w:rFonts w:cstheme="minorHAnsi"/>
        </w:rPr>
        <w:t>provided</w:t>
      </w:r>
      <w:r w:rsidRPr="007E3B40">
        <w:rPr>
          <w:rFonts w:cstheme="minorHAnsi"/>
        </w:rPr>
        <w:t xml:space="preserve"> it is </w:t>
      </w:r>
      <w:r>
        <w:rPr>
          <w:rFonts w:cstheme="minorHAnsi"/>
        </w:rPr>
        <w:t xml:space="preserve">also </w:t>
      </w:r>
      <w:r w:rsidRPr="007E3B40">
        <w:rPr>
          <w:rFonts w:cstheme="minorHAnsi"/>
        </w:rPr>
        <w:t xml:space="preserve">important to consider the </w:t>
      </w:r>
      <w:r w:rsidRPr="002D5BD1">
        <w:rPr>
          <w:rFonts w:cs="Arial"/>
          <w:b/>
          <w:bCs/>
          <w:color w:val="358189"/>
          <w:szCs w:val="22"/>
        </w:rPr>
        <w:t>quality and applicability of the studies</w:t>
      </w:r>
      <w:r w:rsidRPr="007E3B40">
        <w:rPr>
          <w:rFonts w:cstheme="minorHAnsi"/>
        </w:rPr>
        <w:t>. This is referred to as ‘critical appraisal’. There are many validated methods for undertaking critical appraisal and sponsors should refer to the relevant chapters of the MSAC Guidelines for guidance on appropriate critical appraisal methods.</w:t>
      </w:r>
    </w:p>
    <w:p w14:paraId="28EC2419" w14:textId="3606FB9B" w:rsidR="007E3B40" w:rsidRDefault="007E3B40" w:rsidP="007E3B40">
      <w:pPr>
        <w:widowControl w:val="0"/>
        <w:spacing w:before="0" w:line="240" w:lineRule="auto"/>
        <w:rPr>
          <w:rFonts w:cstheme="minorHAnsi"/>
        </w:rPr>
      </w:pPr>
      <w:r w:rsidRPr="002D5BD1">
        <w:rPr>
          <w:rFonts w:cs="Arial"/>
          <w:b/>
          <w:bCs/>
          <w:color w:val="358189"/>
          <w:szCs w:val="22"/>
        </w:rPr>
        <w:t>The expected rate of use of a device</w:t>
      </w:r>
      <w:r w:rsidRPr="007E3B40">
        <w:rPr>
          <w:rFonts w:cstheme="minorHAnsi"/>
        </w:rPr>
        <w:t xml:space="preserve"> can also influence the volume of evidence able to be collected.</w:t>
      </w:r>
      <w:r>
        <w:rPr>
          <w:rFonts w:cstheme="minorHAnsi"/>
        </w:rPr>
        <w:t xml:space="preserve"> </w:t>
      </w:r>
      <w:r w:rsidRPr="007E3B40">
        <w:rPr>
          <w:rFonts w:cstheme="minorHAnsi"/>
        </w:rPr>
        <w:t xml:space="preserve">Lower rates of expected use should not be seen as a justification to collect no evidence, but assessments </w:t>
      </w:r>
      <w:r>
        <w:rPr>
          <w:rFonts w:cstheme="minorHAnsi"/>
        </w:rPr>
        <w:t>may</w:t>
      </w:r>
      <w:r w:rsidRPr="007E3B40">
        <w:rPr>
          <w:rFonts w:cstheme="minorHAnsi"/>
        </w:rPr>
        <w:t xml:space="preserve"> take expected rates of use into consideration when appraising the level and quality of available evidence.</w:t>
      </w:r>
    </w:p>
    <w:p w14:paraId="15EA2391" w14:textId="113C6FB8" w:rsidR="00250217" w:rsidRDefault="007E3B40" w:rsidP="00250217">
      <w:pPr>
        <w:widowControl w:val="0"/>
        <w:spacing w:before="0" w:line="240" w:lineRule="auto"/>
        <w:rPr>
          <w:rFonts w:cstheme="minorHAnsi"/>
        </w:rPr>
      </w:pPr>
      <w:r w:rsidRPr="007E3B40">
        <w:rPr>
          <w:rFonts w:cstheme="minorHAnsi"/>
        </w:rPr>
        <w:t xml:space="preserve">Sponsors should consider </w:t>
      </w:r>
      <w:r w:rsidRPr="002D5BD1">
        <w:rPr>
          <w:rFonts w:cs="Arial"/>
          <w:b/>
          <w:bCs/>
          <w:color w:val="358189"/>
          <w:szCs w:val="22"/>
        </w:rPr>
        <w:t xml:space="preserve">any conflicts of interest </w:t>
      </w:r>
      <w:r w:rsidRPr="007E3B40">
        <w:rPr>
          <w:rFonts w:cstheme="minorHAnsi"/>
        </w:rPr>
        <w:t xml:space="preserve">in the information they provide. </w:t>
      </w:r>
      <w:r w:rsidR="00250217">
        <w:rPr>
          <w:rFonts w:cstheme="minorHAnsi"/>
        </w:rPr>
        <w:t>It</w:t>
      </w:r>
      <w:r w:rsidR="00250217" w:rsidRPr="00AE16F1">
        <w:rPr>
          <w:rFonts w:cstheme="minorHAnsi"/>
        </w:rPr>
        <w:t xml:space="preserve"> is not uncommon that studies related to medical devices are funded by manufacturers, </w:t>
      </w:r>
      <w:r w:rsidR="00250217">
        <w:rPr>
          <w:rFonts w:cstheme="minorHAnsi"/>
        </w:rPr>
        <w:t>however</w:t>
      </w:r>
      <w:r w:rsidR="00250217" w:rsidRPr="00AE16F1">
        <w:rPr>
          <w:rFonts w:cstheme="minorHAnsi"/>
        </w:rPr>
        <w:t xml:space="preserve"> </w:t>
      </w:r>
      <w:r w:rsidR="00250217">
        <w:rPr>
          <w:rFonts w:cstheme="minorHAnsi"/>
        </w:rPr>
        <w:t>an indication</w:t>
      </w:r>
      <w:r w:rsidR="00250217" w:rsidRPr="00AE16F1">
        <w:rPr>
          <w:rFonts w:cstheme="minorHAnsi"/>
        </w:rPr>
        <w:t xml:space="preserve"> for acceptance of </w:t>
      </w:r>
      <w:r w:rsidR="00250217">
        <w:rPr>
          <w:rFonts w:cstheme="minorHAnsi"/>
        </w:rPr>
        <w:t xml:space="preserve">any </w:t>
      </w:r>
      <w:r w:rsidR="00250217" w:rsidRPr="00AE16F1">
        <w:rPr>
          <w:rFonts w:cstheme="minorHAnsi"/>
        </w:rPr>
        <w:t xml:space="preserve">data is that the study is conducted by an independent clinical </w:t>
      </w:r>
      <w:r w:rsidR="00250217" w:rsidRPr="00AE16F1">
        <w:rPr>
          <w:rFonts w:cstheme="minorHAnsi"/>
        </w:rPr>
        <w:lastRenderedPageBreak/>
        <w:t>research organisation [</w:t>
      </w:r>
      <w:r w:rsidR="00250217" w:rsidRPr="002D5BD1">
        <w:rPr>
          <w:rFonts w:cstheme="minorHAnsi"/>
          <w:b/>
          <w:bCs/>
        </w:rPr>
        <w:t>where the researchers do not receive any royalties or have any financial interests in either the device or the manufacturer,</w:t>
      </w:r>
      <w:r w:rsidR="00250217" w:rsidRPr="002D5BD1">
        <w:rPr>
          <w:b/>
          <w:bCs/>
        </w:rPr>
        <w:t xml:space="preserve"> </w:t>
      </w:r>
      <w:r w:rsidR="00250217" w:rsidRPr="002D5BD1">
        <w:rPr>
          <w:rFonts w:cstheme="minorHAnsi"/>
          <w:b/>
          <w:bCs/>
        </w:rPr>
        <w:t>and state clearly any conflicts of interest</w:t>
      </w:r>
      <w:r w:rsidR="00250217" w:rsidRPr="00AE16F1">
        <w:rPr>
          <w:rFonts w:cstheme="minorHAnsi"/>
        </w:rPr>
        <w:t xml:space="preserve">], the study design is appropriate for the type of device with the acceptable minimum follow-up, the data is recent and current, </w:t>
      </w:r>
      <w:r w:rsidR="00250217">
        <w:rPr>
          <w:rFonts w:cstheme="minorHAnsi"/>
        </w:rPr>
        <w:t xml:space="preserve">and </w:t>
      </w:r>
      <w:r w:rsidR="00250217" w:rsidRPr="00AE16F1">
        <w:rPr>
          <w:rFonts w:cstheme="minorHAnsi"/>
        </w:rPr>
        <w:t xml:space="preserve">the study is completed and the </w:t>
      </w:r>
      <w:r w:rsidR="00250217">
        <w:rPr>
          <w:rFonts w:cstheme="minorHAnsi"/>
        </w:rPr>
        <w:t xml:space="preserve">outcomes are analysed and </w:t>
      </w:r>
      <w:r w:rsidR="00250217" w:rsidRPr="00AE16F1">
        <w:rPr>
          <w:rFonts w:cstheme="minorHAnsi"/>
        </w:rPr>
        <w:t xml:space="preserve">published in a peer-reviewed </w:t>
      </w:r>
      <w:r w:rsidR="00250217">
        <w:rPr>
          <w:rFonts w:cstheme="minorHAnsi"/>
        </w:rPr>
        <w:t xml:space="preserve">article in the reputable </w:t>
      </w:r>
      <w:r w:rsidR="00250217" w:rsidRPr="00AE16F1">
        <w:rPr>
          <w:rFonts w:cstheme="minorHAnsi"/>
        </w:rPr>
        <w:t>journal</w:t>
      </w:r>
      <w:r w:rsidR="00250217">
        <w:rPr>
          <w:rFonts w:cstheme="minorHAnsi"/>
        </w:rPr>
        <w:t xml:space="preserve"> </w:t>
      </w:r>
      <w:r w:rsidR="00250217" w:rsidRPr="009F112E">
        <w:rPr>
          <w:rFonts w:cstheme="minorHAnsi"/>
        </w:rPr>
        <w:t>[</w:t>
      </w:r>
      <w:r w:rsidR="00250217">
        <w:rPr>
          <w:rFonts w:cstheme="minorHAnsi"/>
        </w:rPr>
        <w:t xml:space="preserve">the </w:t>
      </w:r>
      <w:r w:rsidR="00250217" w:rsidRPr="009F112E">
        <w:rPr>
          <w:rFonts w:cstheme="minorHAnsi"/>
        </w:rPr>
        <w:t xml:space="preserve">manufacturers’ summaries or clinical </w:t>
      </w:r>
      <w:r w:rsidR="00250217">
        <w:rPr>
          <w:rFonts w:cstheme="minorHAnsi"/>
        </w:rPr>
        <w:t xml:space="preserve">evaluation </w:t>
      </w:r>
      <w:r w:rsidR="00250217" w:rsidRPr="009F112E">
        <w:rPr>
          <w:rFonts w:cstheme="minorHAnsi"/>
        </w:rPr>
        <w:t>reports, and unpublished data are usually not acceptable]</w:t>
      </w:r>
      <w:r w:rsidR="00250217" w:rsidRPr="00AE16F1">
        <w:rPr>
          <w:rFonts w:cstheme="minorHAnsi"/>
        </w:rPr>
        <w:t xml:space="preserve">. </w:t>
      </w:r>
    </w:p>
    <w:p w14:paraId="52632740" w14:textId="46C677D2" w:rsidR="00250217" w:rsidRDefault="00250217" w:rsidP="00250217">
      <w:pPr>
        <w:widowControl w:val="0"/>
        <w:spacing w:before="0" w:line="240" w:lineRule="auto"/>
        <w:rPr>
          <w:rFonts w:cstheme="minorHAnsi"/>
        </w:rPr>
      </w:pPr>
      <w:r>
        <w:rPr>
          <w:rFonts w:cstheme="minorHAnsi"/>
        </w:rPr>
        <w:t>T</w:t>
      </w:r>
      <w:r w:rsidRPr="00AE16F1">
        <w:rPr>
          <w:rFonts w:cstheme="minorHAnsi"/>
        </w:rPr>
        <w:t xml:space="preserve">he final conclusion </w:t>
      </w:r>
      <w:r>
        <w:rPr>
          <w:rFonts w:cstheme="minorHAnsi"/>
        </w:rPr>
        <w:t>regarding acceptance of any provided clinical data will always be made in context of the specific device.</w:t>
      </w:r>
    </w:p>
    <w:p w14:paraId="35E515D7" w14:textId="6D1ABE11" w:rsidR="00E06F85" w:rsidRPr="002A0F18" w:rsidRDefault="00250217" w:rsidP="00AA7A84">
      <w:pPr>
        <w:widowControl w:val="0"/>
        <w:spacing w:before="0" w:line="240" w:lineRule="auto"/>
        <w:rPr>
          <w:rFonts w:cstheme="minorHAnsi"/>
        </w:rPr>
      </w:pPr>
      <w:r>
        <w:rPr>
          <w:rFonts w:cstheme="minorHAnsi"/>
        </w:rPr>
        <w:t>S</w:t>
      </w:r>
      <w:r w:rsidRPr="00AA4ECB">
        <w:rPr>
          <w:rFonts w:cstheme="minorHAnsi"/>
        </w:rPr>
        <w:t xml:space="preserve">ponsors </w:t>
      </w:r>
      <w:r>
        <w:rPr>
          <w:rFonts w:cstheme="minorHAnsi"/>
        </w:rPr>
        <w:t xml:space="preserve">are required to </w:t>
      </w:r>
      <w:r w:rsidRPr="00AA4ECB">
        <w:rPr>
          <w:rFonts w:cstheme="minorHAnsi"/>
        </w:rPr>
        <w:t xml:space="preserve">provide </w:t>
      </w:r>
      <w:r>
        <w:rPr>
          <w:rFonts w:cstheme="minorHAnsi"/>
        </w:rPr>
        <w:t xml:space="preserve">an </w:t>
      </w:r>
      <w:r w:rsidRPr="002D5BD1">
        <w:rPr>
          <w:rFonts w:cstheme="minorHAnsi"/>
          <w:b/>
          <w:bCs/>
        </w:rPr>
        <w:t>executive summary</w:t>
      </w:r>
      <w:r w:rsidRPr="00695229">
        <w:rPr>
          <w:rFonts w:cstheme="minorHAnsi"/>
        </w:rPr>
        <w:t xml:space="preserve"> </w:t>
      </w:r>
      <w:r w:rsidR="00FD7923" w:rsidRPr="00FD7923">
        <w:rPr>
          <w:rFonts w:cstheme="minorHAnsi"/>
        </w:rPr>
        <w:t xml:space="preserve">(no more than 2 pages) </w:t>
      </w:r>
      <w:r>
        <w:rPr>
          <w:rFonts w:cstheme="minorHAnsi"/>
        </w:rPr>
        <w:t xml:space="preserve">with the </w:t>
      </w:r>
      <w:r w:rsidRPr="00AA4ECB">
        <w:rPr>
          <w:rFonts w:cstheme="minorHAnsi"/>
        </w:rPr>
        <w:t xml:space="preserve">rationale how the information </w:t>
      </w:r>
      <w:r>
        <w:rPr>
          <w:rFonts w:cstheme="minorHAnsi"/>
        </w:rPr>
        <w:t xml:space="preserve">and clinical data </w:t>
      </w:r>
      <w:r w:rsidRPr="00AA4ECB">
        <w:rPr>
          <w:rFonts w:cstheme="minorHAnsi"/>
        </w:rPr>
        <w:t>is relevant</w:t>
      </w:r>
      <w:r w:rsidR="00E06F85">
        <w:rPr>
          <w:rFonts w:cstheme="minorHAnsi"/>
        </w:rPr>
        <w:t>. A</w:t>
      </w:r>
      <w:r w:rsidRPr="00AA4ECB">
        <w:rPr>
          <w:rFonts w:cstheme="minorHAnsi"/>
        </w:rPr>
        <w:t>ll document</w:t>
      </w:r>
      <w:r>
        <w:rPr>
          <w:rFonts w:cstheme="minorHAnsi"/>
        </w:rPr>
        <w:t>s</w:t>
      </w:r>
      <w:r w:rsidRPr="00AA4ECB">
        <w:rPr>
          <w:rFonts w:cstheme="minorHAnsi"/>
        </w:rPr>
        <w:t xml:space="preserve"> </w:t>
      </w:r>
      <w:r w:rsidR="00E06F85" w:rsidRPr="00AA4ECB">
        <w:rPr>
          <w:rFonts w:cstheme="minorHAnsi"/>
        </w:rPr>
        <w:t xml:space="preserve">provided </w:t>
      </w:r>
      <w:r>
        <w:rPr>
          <w:rFonts w:cstheme="minorHAnsi"/>
        </w:rPr>
        <w:t xml:space="preserve">must be </w:t>
      </w:r>
      <w:r w:rsidRPr="00AA4ECB">
        <w:rPr>
          <w:rFonts w:cstheme="minorHAnsi"/>
        </w:rPr>
        <w:t xml:space="preserve">in </w:t>
      </w:r>
      <w:r w:rsidR="00AA7A84">
        <w:rPr>
          <w:rFonts w:cstheme="minorHAnsi"/>
        </w:rPr>
        <w:t>English.</w:t>
      </w:r>
    </w:p>
    <w:p w14:paraId="42E7186F" w14:textId="77777777" w:rsidR="00250217" w:rsidRPr="00437E99" w:rsidRDefault="00250217" w:rsidP="00250217">
      <w:pPr>
        <w:pStyle w:val="Heading3"/>
        <w:keepNext w:val="0"/>
        <w:widowControl w:val="0"/>
        <w:spacing w:before="0" w:after="120"/>
        <w:rPr>
          <w:sz w:val="28"/>
          <w:szCs w:val="28"/>
          <w:u w:val="single"/>
        </w:rPr>
      </w:pPr>
      <w:bookmarkStart w:id="116" w:name="_Toc149228533"/>
      <w:r w:rsidRPr="00437E99">
        <w:rPr>
          <w:sz w:val="28"/>
          <w:szCs w:val="28"/>
          <w:u w:val="single"/>
        </w:rPr>
        <w:t>Specific requirements</w:t>
      </w:r>
      <w:bookmarkEnd w:id="116"/>
    </w:p>
    <w:p w14:paraId="36A1330A" w14:textId="77777777" w:rsidR="00250217" w:rsidRDefault="00250217" w:rsidP="00250217">
      <w:pPr>
        <w:widowControl w:val="0"/>
        <w:spacing w:before="0" w:line="240" w:lineRule="auto"/>
        <w:rPr>
          <w:rFonts w:cstheme="minorHAnsi"/>
        </w:rPr>
      </w:pPr>
      <w:r>
        <w:rPr>
          <w:rFonts w:cstheme="minorHAnsi"/>
          <w:shd w:val="clear" w:color="auto" w:fill="D9D9D9" w:themeFill="background1" w:themeFillShade="D9"/>
        </w:rPr>
        <w:t>Examples</w:t>
      </w:r>
      <w:r w:rsidRPr="008B1767">
        <w:rPr>
          <w:rFonts w:cstheme="minorHAnsi"/>
          <w:shd w:val="clear" w:color="auto" w:fill="D9D9D9" w:themeFill="background1" w:themeFillShade="D9"/>
        </w:rPr>
        <w:t xml:space="preserve"> on the specific requirements for the clinical evidence for the devices from different categories are provided below</w:t>
      </w:r>
      <w:r>
        <w:rPr>
          <w:rFonts w:cstheme="minorHAnsi"/>
          <w:shd w:val="clear" w:color="auto" w:fill="D9D9D9" w:themeFill="background1" w:themeFillShade="D9"/>
        </w:rPr>
        <w:t>, subject that the quantitative data requirements meet the qualitative requirements as explained above</w:t>
      </w:r>
      <w:r w:rsidRPr="002A0F18">
        <w:rPr>
          <w:rFonts w:cstheme="minorHAnsi"/>
        </w:rPr>
        <w:t>.</w:t>
      </w:r>
    </w:p>
    <w:p w14:paraId="612FE2DE" w14:textId="77777777" w:rsidR="00250217" w:rsidRPr="00437E99" w:rsidRDefault="00250217" w:rsidP="00250217">
      <w:pPr>
        <w:pStyle w:val="Heading3"/>
        <w:keepNext w:val="0"/>
        <w:widowControl w:val="0"/>
        <w:spacing w:before="0" w:after="120"/>
        <w:rPr>
          <w:sz w:val="28"/>
          <w:szCs w:val="28"/>
        </w:rPr>
      </w:pPr>
      <w:bookmarkStart w:id="117" w:name="_Toc149228534"/>
      <w:r w:rsidRPr="00437E99">
        <w:rPr>
          <w:sz w:val="28"/>
          <w:szCs w:val="28"/>
        </w:rPr>
        <w:t>Spinal and Neurosurgical devices (SNECAG)</w:t>
      </w:r>
      <w:bookmarkEnd w:id="117"/>
    </w:p>
    <w:p w14:paraId="051F4F7F" w14:textId="77777777" w:rsidR="00250217" w:rsidRPr="00082221" w:rsidRDefault="00250217" w:rsidP="00250217">
      <w:pPr>
        <w:pStyle w:val="ListParagraph"/>
        <w:widowControl w:val="0"/>
        <w:numPr>
          <w:ilvl w:val="0"/>
          <w:numId w:val="57"/>
        </w:numPr>
        <w:spacing w:before="0" w:line="240" w:lineRule="auto"/>
        <w:contextualSpacing w:val="0"/>
        <w:rPr>
          <w:rFonts w:cs="Arial"/>
          <w:color w:val="auto"/>
        </w:rPr>
      </w:pPr>
      <w:r w:rsidRPr="004A512F">
        <w:rPr>
          <w:rFonts w:cs="Arial"/>
          <w:color w:val="auto"/>
        </w:rPr>
        <w:t>For expandable spinal fusion cages,</w:t>
      </w:r>
      <w:r w:rsidRPr="00082221">
        <w:rPr>
          <w:rFonts w:cs="Arial"/>
          <w:color w:val="auto"/>
        </w:rPr>
        <w:t xml:space="preserve"> the clinical data required to be provided is for minimum 40 devices implanted with at least 12 months follow-up. This requirement is due to the </w:t>
      </w:r>
      <w:r w:rsidRPr="00082221">
        <w:rPr>
          <w:rFonts w:cs="Arial"/>
          <w:bCs/>
          <w:color w:val="auto"/>
          <w:szCs w:val="22"/>
        </w:rPr>
        <w:t xml:space="preserve">dynamic nature of the implant. </w:t>
      </w:r>
    </w:p>
    <w:p w14:paraId="1D395D62" w14:textId="77777777" w:rsidR="00250217" w:rsidRPr="00082221" w:rsidRDefault="00250217" w:rsidP="00250217">
      <w:pPr>
        <w:pStyle w:val="ListParagraph"/>
        <w:widowControl w:val="0"/>
        <w:numPr>
          <w:ilvl w:val="0"/>
          <w:numId w:val="57"/>
        </w:numPr>
        <w:spacing w:before="0" w:line="240" w:lineRule="auto"/>
        <w:contextualSpacing w:val="0"/>
        <w:rPr>
          <w:rFonts w:cs="Arial"/>
          <w:color w:val="auto"/>
        </w:rPr>
      </w:pPr>
      <w:r w:rsidRPr="004A512F">
        <w:rPr>
          <w:rFonts w:cs="Arial"/>
          <w:color w:val="auto"/>
        </w:rPr>
        <w:t xml:space="preserve">For any spinal fusion devices made of material different from other devices listed on PL or with significant variation in the design, </w:t>
      </w:r>
      <w:r w:rsidRPr="00082221">
        <w:rPr>
          <w:rFonts w:cs="Arial"/>
          <w:color w:val="auto"/>
        </w:rPr>
        <w:t>the clinical data required to be provided is for minimum 40 devices implanted with at least 2 years follow-up.</w:t>
      </w:r>
    </w:p>
    <w:p w14:paraId="3CC02C74" w14:textId="78197055" w:rsidR="00250217" w:rsidRPr="00082221" w:rsidRDefault="00250217" w:rsidP="00250217">
      <w:pPr>
        <w:pStyle w:val="ListParagraph"/>
        <w:widowControl w:val="0"/>
        <w:numPr>
          <w:ilvl w:val="0"/>
          <w:numId w:val="57"/>
        </w:numPr>
        <w:spacing w:before="0" w:line="240" w:lineRule="auto"/>
        <w:contextualSpacing w:val="0"/>
        <w:rPr>
          <w:rFonts w:cs="Arial"/>
          <w:color w:val="auto"/>
        </w:rPr>
      </w:pPr>
      <w:r w:rsidRPr="004A512F">
        <w:rPr>
          <w:rFonts w:cs="Arial"/>
          <w:color w:val="auto"/>
        </w:rPr>
        <w:t>For non-fusion devices</w:t>
      </w:r>
      <w:r w:rsidRPr="00082221">
        <w:rPr>
          <w:rFonts w:cs="Arial"/>
          <w:color w:val="auto"/>
        </w:rPr>
        <w:t xml:space="preserve">, such as disc arthroplasty, vertebral tethering, non-rigid fixation implants etc., the data on minimum 40 subject devices implanted with at least 2 years follow-up is required. </w:t>
      </w:r>
    </w:p>
    <w:p w14:paraId="02F75BA1" w14:textId="5A058156" w:rsidR="00D415FC" w:rsidRPr="004A512F" w:rsidRDefault="00D415FC" w:rsidP="00D415FC">
      <w:pPr>
        <w:pStyle w:val="ListParagraph"/>
        <w:widowControl w:val="0"/>
        <w:numPr>
          <w:ilvl w:val="0"/>
          <w:numId w:val="57"/>
        </w:numPr>
        <w:spacing w:before="0" w:line="240" w:lineRule="auto"/>
        <w:contextualSpacing w:val="0"/>
        <w:rPr>
          <w:rFonts w:cs="Arial"/>
          <w:color w:val="auto"/>
        </w:rPr>
      </w:pPr>
      <w:r w:rsidRPr="004A512F">
        <w:rPr>
          <w:rFonts w:cs="Arial"/>
          <w:color w:val="auto"/>
        </w:rPr>
        <w:t xml:space="preserve">For the spinal devices designed to be used in pediatric patients, the minimum follow-up time is expected to be longer </w:t>
      </w:r>
      <w:r w:rsidR="0035027E" w:rsidRPr="004A512F">
        <w:rPr>
          <w:rFonts w:cs="Arial"/>
          <w:color w:val="auto"/>
        </w:rPr>
        <w:t xml:space="preserve">than 2 years (5 years for any new technology), </w:t>
      </w:r>
      <w:r w:rsidRPr="004A512F">
        <w:rPr>
          <w:rFonts w:cs="Arial"/>
          <w:color w:val="auto"/>
        </w:rPr>
        <w:t xml:space="preserve">and </w:t>
      </w:r>
      <w:r w:rsidR="0035027E" w:rsidRPr="004A512F">
        <w:rPr>
          <w:rFonts w:cs="Arial"/>
          <w:color w:val="auto"/>
        </w:rPr>
        <w:t xml:space="preserve">this </w:t>
      </w:r>
      <w:r w:rsidRPr="004A512F">
        <w:rPr>
          <w:rFonts w:cs="Arial"/>
          <w:color w:val="auto"/>
        </w:rPr>
        <w:t>depend</w:t>
      </w:r>
      <w:r w:rsidR="0035027E" w:rsidRPr="004A512F">
        <w:rPr>
          <w:rFonts w:cs="Arial"/>
          <w:color w:val="auto"/>
        </w:rPr>
        <w:t>s</w:t>
      </w:r>
      <w:r w:rsidRPr="004A512F">
        <w:rPr>
          <w:rFonts w:cs="Arial"/>
          <w:color w:val="auto"/>
        </w:rPr>
        <w:t xml:space="preserve"> on the device</w:t>
      </w:r>
      <w:r w:rsidR="00005D27" w:rsidRPr="004A512F">
        <w:rPr>
          <w:rFonts w:cs="Arial"/>
          <w:color w:val="auto"/>
        </w:rPr>
        <w:t xml:space="preserve"> and the intended patient cohort</w:t>
      </w:r>
      <w:r w:rsidRPr="004A512F">
        <w:rPr>
          <w:rFonts w:cs="Arial"/>
          <w:color w:val="auto"/>
        </w:rPr>
        <w:t>.</w:t>
      </w:r>
    </w:p>
    <w:p w14:paraId="7333CDDC" w14:textId="77777777" w:rsidR="0050542A" w:rsidRPr="004A512F" w:rsidRDefault="00250217" w:rsidP="0050542A">
      <w:pPr>
        <w:pStyle w:val="ListParagraph"/>
        <w:widowControl w:val="0"/>
        <w:numPr>
          <w:ilvl w:val="0"/>
          <w:numId w:val="57"/>
        </w:numPr>
        <w:spacing w:before="0" w:line="240" w:lineRule="auto"/>
        <w:contextualSpacing w:val="0"/>
        <w:rPr>
          <w:rFonts w:cs="Arial"/>
          <w:color w:val="auto"/>
        </w:rPr>
      </w:pPr>
      <w:r w:rsidRPr="004A512F">
        <w:rPr>
          <w:rFonts w:cs="Arial"/>
          <w:color w:val="auto"/>
        </w:rPr>
        <w:t xml:space="preserve">For any neurosurgical implantable pulse generators (IPG) and leads that are next generation of the existing technology, the outcome data required to be provided is </w:t>
      </w:r>
      <w:r w:rsidR="00005D27" w:rsidRPr="004A512F">
        <w:rPr>
          <w:rFonts w:cs="Arial"/>
          <w:color w:val="auto"/>
        </w:rPr>
        <w:t xml:space="preserve">from </w:t>
      </w:r>
      <w:r w:rsidR="00DF38BE" w:rsidRPr="004A512F">
        <w:rPr>
          <w:rFonts w:cs="Arial"/>
          <w:color w:val="auto"/>
        </w:rPr>
        <w:t>appropriately c</w:t>
      </w:r>
      <w:r w:rsidR="00005D27" w:rsidRPr="004A512F">
        <w:rPr>
          <w:rFonts w:cs="Arial"/>
          <w:color w:val="auto"/>
        </w:rPr>
        <w:t xml:space="preserve">ontrolled </w:t>
      </w:r>
      <w:r w:rsidR="00DF38BE" w:rsidRPr="004A512F">
        <w:rPr>
          <w:rFonts w:cs="Arial"/>
          <w:color w:val="auto"/>
        </w:rPr>
        <w:t>clinical trials</w:t>
      </w:r>
      <w:r w:rsidR="00005D27" w:rsidRPr="004A512F">
        <w:rPr>
          <w:rFonts w:cs="Arial"/>
          <w:color w:val="auto"/>
        </w:rPr>
        <w:t xml:space="preserve"> </w:t>
      </w:r>
      <w:r w:rsidR="00DF38BE" w:rsidRPr="004A512F">
        <w:rPr>
          <w:rFonts w:cs="Arial"/>
          <w:color w:val="auto"/>
        </w:rPr>
        <w:t xml:space="preserve">(comparing with other existing treatment methods) </w:t>
      </w:r>
      <w:r w:rsidRPr="004A512F">
        <w:rPr>
          <w:rFonts w:cs="Arial"/>
          <w:color w:val="auto"/>
        </w:rPr>
        <w:t xml:space="preserve">for minimum 20 subject devices implanted with at least 2 years follow-up. </w:t>
      </w:r>
    </w:p>
    <w:p w14:paraId="7D574900" w14:textId="42132308" w:rsidR="00250217" w:rsidRPr="001E62F8" w:rsidRDefault="00250217" w:rsidP="00250217">
      <w:pPr>
        <w:widowControl w:val="0"/>
        <w:shd w:val="clear" w:color="auto" w:fill="D9D9D9" w:themeFill="background1" w:themeFillShade="D9"/>
        <w:spacing w:before="0" w:line="240" w:lineRule="auto"/>
        <w:ind w:left="360"/>
        <w:rPr>
          <w:rFonts w:cs="Arial"/>
        </w:rPr>
      </w:pPr>
      <w:r w:rsidRPr="00082221">
        <w:rPr>
          <w:rFonts w:cs="Arial"/>
        </w:rPr>
        <w:t xml:space="preserve">The data </w:t>
      </w:r>
      <w:r w:rsidR="002837AC" w:rsidRPr="00082221">
        <w:rPr>
          <w:rFonts w:cs="Arial"/>
        </w:rPr>
        <w:t>is required to be</w:t>
      </w:r>
      <w:r w:rsidRPr="00082221">
        <w:rPr>
          <w:rFonts w:cs="Arial"/>
        </w:rPr>
        <w:t xml:space="preserve"> published in a peer-reviewed articles in reputable journals and inclusive of prospectively collated, objective clinical outcomes, intra and post-operative</w:t>
      </w:r>
      <w:r w:rsidRPr="001E62F8">
        <w:rPr>
          <w:rFonts w:cs="Arial"/>
        </w:rPr>
        <w:t xml:space="preserve"> complications, hospital readmission rates and re-operations. The manufacturer’s summaries are not acceptable in lieu of the actual publications. The data on the predicate devices may be provided to support the application [showing the satisfactory performance and comparison with the subject device] but </w:t>
      </w:r>
      <w:r w:rsidRPr="001E62F8">
        <w:rPr>
          <w:rFonts w:cs="Arial"/>
          <w:u w:val="single"/>
        </w:rPr>
        <w:t>it does not replace the need for the direct data for the subject device in the application</w:t>
      </w:r>
      <w:r w:rsidRPr="001E62F8">
        <w:rPr>
          <w:rFonts w:cs="Arial"/>
        </w:rPr>
        <w:t>.</w:t>
      </w:r>
    </w:p>
    <w:p w14:paraId="18988BE0" w14:textId="37ED4A11" w:rsidR="00250217" w:rsidRPr="00437E99" w:rsidRDefault="00250217" w:rsidP="00250217">
      <w:pPr>
        <w:pStyle w:val="Heading3"/>
        <w:keepNext w:val="0"/>
        <w:widowControl w:val="0"/>
        <w:spacing w:before="0" w:after="120"/>
        <w:rPr>
          <w:sz w:val="28"/>
          <w:szCs w:val="28"/>
        </w:rPr>
      </w:pPr>
      <w:bookmarkStart w:id="118" w:name="_Toc149228535"/>
      <w:r w:rsidRPr="00437E99">
        <w:rPr>
          <w:sz w:val="28"/>
          <w:szCs w:val="28"/>
        </w:rPr>
        <w:t>Cardiac, Cardiothoracic and Vascular devices (CECAG)</w:t>
      </w:r>
      <w:bookmarkEnd w:id="118"/>
    </w:p>
    <w:p w14:paraId="2F3AC20E" w14:textId="145D3FEE" w:rsidR="00250217" w:rsidRPr="00437E99" w:rsidRDefault="00250217" w:rsidP="00250217">
      <w:pPr>
        <w:pStyle w:val="ListParagraph"/>
        <w:widowControl w:val="0"/>
        <w:numPr>
          <w:ilvl w:val="0"/>
          <w:numId w:val="59"/>
        </w:numPr>
        <w:spacing w:before="0" w:line="240" w:lineRule="auto"/>
        <w:ind w:left="284" w:hanging="284"/>
        <w:contextualSpacing w:val="0"/>
        <w:rPr>
          <w:rFonts w:cs="Arial"/>
          <w:szCs w:val="22"/>
        </w:rPr>
      </w:pPr>
      <w:r w:rsidRPr="004A512F">
        <w:rPr>
          <w:rFonts w:cs="Arial"/>
          <w:szCs w:val="22"/>
        </w:rPr>
        <w:t>There is currently TAVI Guidelines</w:t>
      </w:r>
      <w:r w:rsidRPr="004301E1">
        <w:rPr>
          <w:rFonts w:cs="Arial"/>
          <w:szCs w:val="22"/>
        </w:rPr>
        <w:t>, published</w:t>
      </w:r>
      <w:r w:rsidRPr="00437E99">
        <w:rPr>
          <w:rFonts w:cs="Arial"/>
          <w:szCs w:val="22"/>
        </w:rPr>
        <w:t xml:space="preserve"> on the </w:t>
      </w:r>
      <w:r w:rsidR="00295CFB">
        <w:rPr>
          <w:rFonts w:cs="Arial"/>
          <w:szCs w:val="22"/>
        </w:rPr>
        <w:t>d</w:t>
      </w:r>
      <w:r w:rsidRPr="00437E99">
        <w:rPr>
          <w:rFonts w:cs="Arial"/>
          <w:szCs w:val="22"/>
        </w:rPr>
        <w:t xml:space="preserve">epartment’s </w:t>
      </w:r>
      <w:hyperlink r:id="rId59" w:history="1">
        <w:r w:rsidRPr="000503DC">
          <w:rPr>
            <w:rStyle w:val="Hyperlink"/>
            <w:rFonts w:cs="Arial"/>
            <w:szCs w:val="22"/>
          </w:rPr>
          <w:t>website</w:t>
        </w:r>
      </w:hyperlink>
      <w:r w:rsidRPr="00437E99">
        <w:rPr>
          <w:rFonts w:cs="Arial"/>
          <w:szCs w:val="22"/>
        </w:rPr>
        <w:t xml:space="preserve">. This was developed by the former TAVICAG in 2017, aiming to use it for assessing transcatheter aortic valve implants (TAVI). </w:t>
      </w:r>
      <w:r w:rsidR="004301E1">
        <w:rPr>
          <w:rFonts w:cs="Arial"/>
          <w:szCs w:val="22"/>
        </w:rPr>
        <w:br/>
      </w:r>
      <w:r w:rsidR="004301E1" w:rsidRPr="004A512F">
        <w:rPr>
          <w:rFonts w:cs="Arial"/>
          <w:i/>
          <w:iCs/>
          <w:szCs w:val="22"/>
        </w:rPr>
        <w:t>For noting</w:t>
      </w:r>
      <w:r w:rsidR="004301E1" w:rsidRPr="004A512F">
        <w:rPr>
          <w:rFonts w:cs="Arial"/>
          <w:szCs w:val="22"/>
        </w:rPr>
        <w:t xml:space="preserve">: </w:t>
      </w:r>
      <w:r w:rsidR="004301E1" w:rsidRPr="004A512F">
        <w:rPr>
          <w:rFonts w:cs="Arial"/>
          <w:szCs w:val="22"/>
        </w:rPr>
        <w:tab/>
      </w:r>
      <w:r w:rsidRPr="004A512F">
        <w:rPr>
          <w:rFonts w:cs="Arial"/>
          <w:szCs w:val="22"/>
        </w:rPr>
        <w:t xml:space="preserve">The guidelines are </w:t>
      </w:r>
      <w:r w:rsidR="00E06F85" w:rsidRPr="004A512F">
        <w:rPr>
          <w:rFonts w:cs="Arial"/>
          <w:szCs w:val="22"/>
        </w:rPr>
        <w:t xml:space="preserve">currently </w:t>
      </w:r>
      <w:r w:rsidRPr="004A512F">
        <w:rPr>
          <w:rFonts w:cs="Arial"/>
          <w:szCs w:val="22"/>
        </w:rPr>
        <w:t>under the review</w:t>
      </w:r>
      <w:r w:rsidR="00E06F85" w:rsidRPr="004A512F">
        <w:rPr>
          <w:rFonts w:cs="Arial"/>
          <w:szCs w:val="22"/>
        </w:rPr>
        <w:t xml:space="preserve"> </w:t>
      </w:r>
      <w:r w:rsidR="000503DC" w:rsidRPr="004A512F">
        <w:rPr>
          <w:rFonts w:cs="Arial"/>
          <w:szCs w:val="22"/>
        </w:rPr>
        <w:t xml:space="preserve">as part of the </w:t>
      </w:r>
      <w:r w:rsidR="004301E1" w:rsidRPr="004A512F">
        <w:rPr>
          <w:rFonts w:cs="Arial"/>
          <w:szCs w:val="22"/>
        </w:rPr>
        <w:t xml:space="preserve">guidance </w:t>
      </w:r>
      <w:r w:rsidR="000503DC" w:rsidRPr="004A512F">
        <w:rPr>
          <w:rFonts w:cs="Arial"/>
          <w:szCs w:val="22"/>
        </w:rPr>
        <w:t xml:space="preserve">work, </w:t>
      </w:r>
      <w:r w:rsidR="00E06F85" w:rsidRPr="004A512F">
        <w:rPr>
          <w:rFonts w:cs="Arial"/>
          <w:szCs w:val="22"/>
        </w:rPr>
        <w:t xml:space="preserve">and will be </w:t>
      </w:r>
      <w:r w:rsidR="004301E1" w:rsidRPr="004A512F">
        <w:rPr>
          <w:rFonts w:cs="Arial"/>
          <w:szCs w:val="22"/>
        </w:rPr>
        <w:t xml:space="preserve">consolidated </w:t>
      </w:r>
      <w:r w:rsidR="00E06F85" w:rsidRPr="004A512F">
        <w:rPr>
          <w:rFonts w:cs="Arial"/>
          <w:szCs w:val="22"/>
        </w:rPr>
        <w:t>into this Guide as soon as practicable</w:t>
      </w:r>
      <w:r w:rsidRPr="004301E1">
        <w:rPr>
          <w:rFonts w:cs="Arial"/>
          <w:szCs w:val="22"/>
        </w:rPr>
        <w:t>.</w:t>
      </w:r>
    </w:p>
    <w:p w14:paraId="7C3356F8" w14:textId="4CA96C95" w:rsidR="00250217" w:rsidRPr="00437E99" w:rsidRDefault="00250217" w:rsidP="00250217">
      <w:pPr>
        <w:pStyle w:val="ListParagraph"/>
        <w:widowControl w:val="0"/>
        <w:numPr>
          <w:ilvl w:val="0"/>
          <w:numId w:val="59"/>
        </w:numPr>
        <w:spacing w:before="0" w:line="240" w:lineRule="auto"/>
        <w:ind w:left="284" w:hanging="284"/>
        <w:contextualSpacing w:val="0"/>
        <w:rPr>
          <w:rFonts w:cs="Arial"/>
          <w:szCs w:val="22"/>
        </w:rPr>
      </w:pPr>
      <w:r w:rsidRPr="00437E99">
        <w:rPr>
          <w:rFonts w:cs="Arial"/>
          <w:szCs w:val="22"/>
        </w:rPr>
        <w:t xml:space="preserve">Requirements for the quantity, quality and level of evidence for the clinical data depend on </w:t>
      </w:r>
      <w:r w:rsidRPr="00437E99">
        <w:rPr>
          <w:rFonts w:cs="Arial"/>
          <w:szCs w:val="22"/>
        </w:rPr>
        <w:lastRenderedPageBreak/>
        <w:t>the significance of the changes between the subject device and the comparator.</w:t>
      </w:r>
    </w:p>
    <w:p w14:paraId="589C57A9" w14:textId="09CDCAA1" w:rsidR="00250217" w:rsidRPr="00437E99" w:rsidRDefault="00250217" w:rsidP="00250217">
      <w:pPr>
        <w:pStyle w:val="ListParagraph"/>
        <w:widowControl w:val="0"/>
        <w:numPr>
          <w:ilvl w:val="0"/>
          <w:numId w:val="59"/>
        </w:numPr>
        <w:spacing w:before="0" w:line="240" w:lineRule="auto"/>
        <w:ind w:left="284" w:hanging="284"/>
        <w:contextualSpacing w:val="0"/>
        <w:rPr>
          <w:rFonts w:cs="Arial"/>
          <w:szCs w:val="22"/>
        </w:rPr>
      </w:pPr>
      <w:r w:rsidRPr="00437E99">
        <w:rPr>
          <w:rFonts w:cs="Arial"/>
          <w:szCs w:val="22"/>
        </w:rPr>
        <w:t xml:space="preserve">For CIEDs, if the subject device in the application is an enhancement/variation of the existing </w:t>
      </w:r>
      <w:r w:rsidR="0092746F">
        <w:rPr>
          <w:rFonts w:cs="Arial"/>
          <w:szCs w:val="22"/>
        </w:rPr>
        <w:t>comparator</w:t>
      </w:r>
      <w:r w:rsidR="0092746F" w:rsidRPr="00437E99">
        <w:rPr>
          <w:rFonts w:cs="Arial"/>
          <w:szCs w:val="22"/>
        </w:rPr>
        <w:t xml:space="preserve"> </w:t>
      </w:r>
      <w:r w:rsidRPr="00437E99">
        <w:rPr>
          <w:rFonts w:cs="Arial"/>
          <w:szCs w:val="22"/>
        </w:rPr>
        <w:t>device</w:t>
      </w:r>
      <w:r w:rsidR="0092746F">
        <w:rPr>
          <w:rFonts w:cs="Arial"/>
          <w:szCs w:val="22"/>
        </w:rPr>
        <w:t xml:space="preserve"> </w:t>
      </w:r>
      <w:r w:rsidR="0092746F" w:rsidRPr="00437E99">
        <w:rPr>
          <w:rFonts w:cs="Arial"/>
          <w:szCs w:val="22"/>
        </w:rPr>
        <w:t>[when the comparator is manufactured by the same manufacturer]</w:t>
      </w:r>
      <w:r w:rsidRPr="00437E99">
        <w:rPr>
          <w:rFonts w:cs="Arial"/>
          <w:szCs w:val="22"/>
        </w:rPr>
        <w:t xml:space="preserve">, the information is required to outline the similarities and differences in the designs, characteristics, specifications, technology between the subject device and the </w:t>
      </w:r>
      <w:r w:rsidR="0092746F">
        <w:rPr>
          <w:rFonts w:cs="Arial"/>
          <w:szCs w:val="22"/>
        </w:rPr>
        <w:t>comparator</w:t>
      </w:r>
      <w:r w:rsidR="0092746F" w:rsidRPr="00437E99">
        <w:rPr>
          <w:rFonts w:cs="Arial"/>
          <w:szCs w:val="22"/>
        </w:rPr>
        <w:t xml:space="preserve"> </w:t>
      </w:r>
      <w:r w:rsidRPr="00437E99">
        <w:rPr>
          <w:rFonts w:cs="Arial"/>
          <w:szCs w:val="22"/>
        </w:rPr>
        <w:t>device, and the direct clinical data is required for the subject device demonstrating comparative clinical effectiveness for the new/enhanced characteristics of the subject device.</w:t>
      </w:r>
    </w:p>
    <w:p w14:paraId="730AC151" w14:textId="36E339F0" w:rsidR="00F1117A" w:rsidRPr="002F7547" w:rsidRDefault="00E06F85" w:rsidP="00250217">
      <w:pPr>
        <w:pStyle w:val="ListParagraph"/>
        <w:widowControl w:val="0"/>
        <w:numPr>
          <w:ilvl w:val="0"/>
          <w:numId w:val="59"/>
        </w:numPr>
        <w:spacing w:before="0" w:line="240" w:lineRule="auto"/>
        <w:ind w:left="284" w:hanging="284"/>
        <w:contextualSpacing w:val="0"/>
        <w:rPr>
          <w:rFonts w:cs="Arial"/>
          <w:szCs w:val="22"/>
        </w:rPr>
      </w:pPr>
      <w:r w:rsidRPr="004A512F">
        <w:rPr>
          <w:rFonts w:cs="Arial"/>
          <w:szCs w:val="22"/>
        </w:rPr>
        <w:t>T</w:t>
      </w:r>
      <w:r w:rsidR="00250217" w:rsidRPr="004A512F">
        <w:rPr>
          <w:rFonts w:cs="Arial"/>
          <w:szCs w:val="22"/>
        </w:rPr>
        <w:t xml:space="preserve">he requirements in respect to </w:t>
      </w:r>
      <w:r w:rsidR="0092746F" w:rsidRPr="004A512F">
        <w:rPr>
          <w:rFonts w:cs="Arial"/>
          <w:szCs w:val="22"/>
        </w:rPr>
        <w:t xml:space="preserve">different cardiac, cardiothoracic and vascular </w:t>
      </w:r>
      <w:r w:rsidR="00250217" w:rsidRPr="004A512F">
        <w:rPr>
          <w:rFonts w:cs="Arial"/>
          <w:szCs w:val="22"/>
        </w:rPr>
        <w:t>devices</w:t>
      </w:r>
      <w:r w:rsidR="0092746F" w:rsidRPr="002F7547">
        <w:rPr>
          <w:rFonts w:cs="Arial"/>
          <w:szCs w:val="22"/>
        </w:rPr>
        <w:t xml:space="preserve"> may vary in respect to the quantity (the minimum number of the devices implanted and the least follow-up), quality and level of evidence depending on the significance of the changes in the material, design, other characteristics of the subject device. </w:t>
      </w:r>
      <w:r w:rsidR="00F1117A" w:rsidRPr="002F7547">
        <w:rPr>
          <w:rFonts w:cs="Arial"/>
          <w:szCs w:val="22"/>
        </w:rPr>
        <w:br/>
        <w:t>Examples of the evidence requirements include (it is not applicable to novel/bespoke devices)</w:t>
      </w:r>
      <w:r w:rsidR="00250217" w:rsidRPr="002F7547">
        <w:rPr>
          <w:rFonts w:cs="Arial"/>
          <w:szCs w:val="22"/>
        </w:rPr>
        <w:t xml:space="preserve">: </w:t>
      </w:r>
    </w:p>
    <w:p w14:paraId="099EE028" w14:textId="17EE3304" w:rsidR="00F1117A" w:rsidRPr="002F7547" w:rsidRDefault="00F1117A" w:rsidP="00F1117A">
      <w:pPr>
        <w:pStyle w:val="ListParagraph"/>
        <w:widowControl w:val="0"/>
        <w:numPr>
          <w:ilvl w:val="0"/>
          <w:numId w:val="70"/>
        </w:numPr>
        <w:spacing w:before="0" w:line="240" w:lineRule="auto"/>
        <w:ind w:left="567" w:hanging="207"/>
        <w:contextualSpacing w:val="0"/>
      </w:pPr>
      <w:r w:rsidRPr="002F7547">
        <w:t xml:space="preserve">For cardiac </w:t>
      </w:r>
      <w:r w:rsidR="00250217" w:rsidRPr="002F7547">
        <w:t>stents</w:t>
      </w:r>
      <w:r w:rsidRPr="002F7547">
        <w:t>,</w:t>
      </w:r>
      <w:r w:rsidR="00250217" w:rsidRPr="002F7547">
        <w:t xml:space="preserve"> </w:t>
      </w:r>
      <w:r w:rsidRPr="002F7547">
        <w:t xml:space="preserve">the clinical data is required on </w:t>
      </w:r>
      <w:bookmarkStart w:id="119" w:name="_Hlk151397014"/>
      <w:r w:rsidRPr="002F7547">
        <w:t>minimum 200 devices with at least 12 months follow-up</w:t>
      </w:r>
      <w:bookmarkEnd w:id="119"/>
      <w:r w:rsidR="00250217" w:rsidRPr="002F7547">
        <w:t xml:space="preserve">, </w:t>
      </w:r>
      <w:r w:rsidRPr="002F7547">
        <w:t xml:space="preserve">and for </w:t>
      </w:r>
      <w:r w:rsidR="00250217" w:rsidRPr="002F7547">
        <w:t xml:space="preserve">vascular </w:t>
      </w:r>
      <w:r w:rsidRPr="002F7547">
        <w:t>stents - minimum 100 devices with at least 12 months follow-up</w:t>
      </w:r>
      <w:r w:rsidRPr="00F1117A">
        <w:t xml:space="preserve"> </w:t>
      </w:r>
      <w:r>
        <w:t>[with m</w:t>
      </w:r>
      <w:r w:rsidRPr="00F1117A">
        <w:t xml:space="preserve">easures </w:t>
      </w:r>
      <w:r>
        <w:t>discussed on the s</w:t>
      </w:r>
      <w:r w:rsidRPr="002F7547">
        <w:t>tent fracture rates/restenosis rates]</w:t>
      </w:r>
    </w:p>
    <w:p w14:paraId="4C7EB81E" w14:textId="2BC0695A" w:rsidR="002D33D5" w:rsidRPr="00082221" w:rsidRDefault="00F1117A" w:rsidP="00F1117A">
      <w:pPr>
        <w:pStyle w:val="ListParagraph"/>
        <w:widowControl w:val="0"/>
        <w:numPr>
          <w:ilvl w:val="0"/>
          <w:numId w:val="70"/>
        </w:numPr>
        <w:spacing w:before="0" w:line="240" w:lineRule="auto"/>
        <w:ind w:left="567" w:hanging="207"/>
        <w:contextualSpacing w:val="0"/>
        <w:rPr>
          <w:szCs w:val="22"/>
        </w:rPr>
      </w:pPr>
      <w:r w:rsidRPr="00082221">
        <w:rPr>
          <w:szCs w:val="22"/>
        </w:rPr>
        <w:t xml:space="preserve">For vascular </w:t>
      </w:r>
      <w:r w:rsidR="00250217" w:rsidRPr="00082221">
        <w:rPr>
          <w:szCs w:val="22"/>
        </w:rPr>
        <w:t>grafts</w:t>
      </w:r>
      <w:r w:rsidR="002D33D5" w:rsidRPr="00082221">
        <w:rPr>
          <w:szCs w:val="22"/>
        </w:rPr>
        <w:t xml:space="preserve"> the clinical data is expected on minimum 100 devices with at least 12 months follow-up [with measures on graft porosity rates) </w:t>
      </w:r>
      <w:r w:rsidR="00250217" w:rsidRPr="00082221">
        <w:rPr>
          <w:szCs w:val="22"/>
        </w:rPr>
        <w:t xml:space="preserve">and </w:t>
      </w:r>
      <w:r w:rsidR="002D33D5" w:rsidRPr="00082221">
        <w:rPr>
          <w:szCs w:val="22"/>
        </w:rPr>
        <w:t xml:space="preserve">for </w:t>
      </w:r>
      <w:r w:rsidR="00250217" w:rsidRPr="00082221">
        <w:rPr>
          <w:szCs w:val="22"/>
        </w:rPr>
        <w:t>stent grafts</w:t>
      </w:r>
      <w:r w:rsidR="002D33D5" w:rsidRPr="00082221">
        <w:rPr>
          <w:szCs w:val="22"/>
        </w:rPr>
        <w:t xml:space="preserve"> - minimum 150 devices with at least 18 months follow-up [with measures discussed on early and late proximal, distal leakage rates/distal migration rates]</w:t>
      </w:r>
    </w:p>
    <w:p w14:paraId="1DBF198A" w14:textId="6B4A2CBF" w:rsidR="002D33D5" w:rsidRPr="00082221" w:rsidRDefault="002D33D5" w:rsidP="00F1117A">
      <w:pPr>
        <w:pStyle w:val="ListParagraph"/>
        <w:widowControl w:val="0"/>
        <w:numPr>
          <w:ilvl w:val="0"/>
          <w:numId w:val="70"/>
        </w:numPr>
        <w:spacing w:before="0" w:line="240" w:lineRule="auto"/>
        <w:ind w:left="567" w:hanging="207"/>
        <w:contextualSpacing w:val="0"/>
        <w:rPr>
          <w:szCs w:val="22"/>
        </w:rPr>
      </w:pPr>
      <w:r w:rsidRPr="00082221">
        <w:rPr>
          <w:szCs w:val="22"/>
        </w:rPr>
        <w:t xml:space="preserve">For </w:t>
      </w:r>
      <w:r w:rsidR="00250217" w:rsidRPr="00082221">
        <w:rPr>
          <w:szCs w:val="22"/>
        </w:rPr>
        <w:t xml:space="preserve">left atrial appendage occlusion devices, </w:t>
      </w:r>
      <w:r w:rsidRPr="00082221">
        <w:rPr>
          <w:szCs w:val="22"/>
        </w:rPr>
        <w:t>the clinical data is expected on minimum 200 devices with at least 12 months follow-up</w:t>
      </w:r>
      <w:r w:rsidR="00082221" w:rsidRPr="00082221">
        <w:rPr>
          <w:szCs w:val="22"/>
        </w:rPr>
        <w:t xml:space="preserve"> </w:t>
      </w:r>
      <w:r w:rsidR="00082221" w:rsidRPr="00082221">
        <w:rPr>
          <w:szCs w:val="22"/>
        </w:rPr>
        <w:br/>
      </w:r>
      <w:r w:rsidR="00082221" w:rsidRPr="004A512F">
        <w:rPr>
          <w:sz w:val="20"/>
          <w:szCs w:val="20"/>
        </w:rPr>
        <w:t>[Procedural Death &lt;0.2%; Procedural Stroke &lt;0.2%; Pericardial Tamponade/effusion &lt;1.5%; Device Embolisation (&lt;0.2%)] [Post Procedural</w:t>
      </w:r>
      <w:r w:rsidR="00082221" w:rsidRPr="004A512F">
        <w:rPr>
          <w:sz w:val="20"/>
          <w:szCs w:val="20"/>
        </w:rPr>
        <w:tab/>
        <w:t>Pericardial Effusion (&lt;1%); Device Leak at ~ 45 days (&gt; 5mm &lt; 3%); Device Leak at ~ 45 days(&gt;3mm &lt;25%); Device related thrombosis at ~ 45 days ( &lt;5 %); Stroke rate Less than 1.5 per 100 years follow up]</w:t>
      </w:r>
    </w:p>
    <w:p w14:paraId="40FD9DD2" w14:textId="69800AFB" w:rsidR="002D33D5" w:rsidRPr="004A512F" w:rsidRDefault="002D33D5" w:rsidP="00F1117A">
      <w:pPr>
        <w:pStyle w:val="ListParagraph"/>
        <w:widowControl w:val="0"/>
        <w:numPr>
          <w:ilvl w:val="0"/>
          <w:numId w:val="70"/>
        </w:numPr>
        <w:spacing w:before="0" w:line="240" w:lineRule="auto"/>
        <w:ind w:left="567" w:hanging="207"/>
        <w:contextualSpacing w:val="0"/>
        <w:rPr>
          <w:szCs w:val="22"/>
        </w:rPr>
      </w:pPr>
      <w:r w:rsidRPr="004A512F">
        <w:rPr>
          <w:szCs w:val="22"/>
        </w:rPr>
        <w:t>For</w:t>
      </w:r>
      <w:r w:rsidR="00250217" w:rsidRPr="004A512F">
        <w:rPr>
          <w:szCs w:val="22"/>
        </w:rPr>
        <w:t xml:space="preserve"> mitral valve repair devices, </w:t>
      </w:r>
      <w:r w:rsidRPr="004A512F">
        <w:rPr>
          <w:szCs w:val="22"/>
        </w:rPr>
        <w:t>the clinical data is expected on minimum 200 devices with at least 12 months follow-up</w:t>
      </w:r>
    </w:p>
    <w:p w14:paraId="77275292" w14:textId="68411511" w:rsidR="002D33D5" w:rsidRPr="00082221" w:rsidRDefault="002D33D5" w:rsidP="00F1117A">
      <w:pPr>
        <w:pStyle w:val="ListParagraph"/>
        <w:widowControl w:val="0"/>
        <w:numPr>
          <w:ilvl w:val="0"/>
          <w:numId w:val="70"/>
        </w:numPr>
        <w:spacing w:before="0" w:line="240" w:lineRule="auto"/>
        <w:ind w:left="567" w:hanging="207"/>
        <w:contextualSpacing w:val="0"/>
        <w:rPr>
          <w:szCs w:val="22"/>
        </w:rPr>
      </w:pPr>
      <w:r w:rsidRPr="00082221">
        <w:rPr>
          <w:szCs w:val="22"/>
        </w:rPr>
        <w:t xml:space="preserve">For </w:t>
      </w:r>
      <w:r w:rsidR="00250217" w:rsidRPr="00082221">
        <w:rPr>
          <w:szCs w:val="22"/>
        </w:rPr>
        <w:t xml:space="preserve">embolic protection devices, </w:t>
      </w:r>
      <w:r w:rsidRPr="00082221">
        <w:rPr>
          <w:szCs w:val="22"/>
        </w:rPr>
        <w:t>the clinical data is expected on minimum 100 devices with at least 12 months follow-up [with measures on the device removal failure rate/embolism rate at time of insertion or removal]</w:t>
      </w:r>
    </w:p>
    <w:p w14:paraId="31E1C833" w14:textId="7D716649" w:rsidR="002D33D5" w:rsidRPr="002F7547" w:rsidRDefault="002D33D5" w:rsidP="00F1117A">
      <w:pPr>
        <w:pStyle w:val="ListParagraph"/>
        <w:widowControl w:val="0"/>
        <w:numPr>
          <w:ilvl w:val="0"/>
          <w:numId w:val="70"/>
        </w:numPr>
        <w:spacing w:before="0" w:line="240" w:lineRule="auto"/>
        <w:ind w:left="567" w:hanging="207"/>
        <w:contextualSpacing w:val="0"/>
      </w:pPr>
      <w:r w:rsidRPr="002F7547">
        <w:t xml:space="preserve">For </w:t>
      </w:r>
      <w:r w:rsidR="00250217" w:rsidRPr="002F7547">
        <w:t xml:space="preserve">ventricular assist devices, </w:t>
      </w:r>
      <w:r w:rsidRPr="002F7547">
        <w:t>the clinical data is expected on minimum 200 devices with at least 12 months follow-up</w:t>
      </w:r>
    </w:p>
    <w:p w14:paraId="570DBB49" w14:textId="23D20FB5" w:rsidR="002F7547" w:rsidRPr="002F7547" w:rsidRDefault="002D33D5" w:rsidP="00F1117A">
      <w:pPr>
        <w:pStyle w:val="ListParagraph"/>
        <w:widowControl w:val="0"/>
        <w:numPr>
          <w:ilvl w:val="0"/>
          <w:numId w:val="70"/>
        </w:numPr>
        <w:spacing w:before="0" w:line="240" w:lineRule="auto"/>
        <w:ind w:left="567" w:hanging="207"/>
        <w:contextualSpacing w:val="0"/>
      </w:pPr>
      <w:r w:rsidRPr="002F7547">
        <w:t xml:space="preserve">For </w:t>
      </w:r>
      <w:r w:rsidR="00250217" w:rsidRPr="002F7547">
        <w:t xml:space="preserve">cardiac defect </w:t>
      </w:r>
      <w:r w:rsidR="00E04135" w:rsidRPr="002F7547">
        <w:t>occludes</w:t>
      </w:r>
      <w:r w:rsidR="00250217" w:rsidRPr="002F7547">
        <w:t xml:space="preserve">, </w:t>
      </w:r>
      <w:r w:rsidR="002F7547" w:rsidRPr="002F7547">
        <w:t>the clinical data is expected on minimum 200 devices with at least 12 months follow-up</w:t>
      </w:r>
    </w:p>
    <w:p w14:paraId="01585F6E" w14:textId="15A2D634" w:rsidR="002F7547" w:rsidRPr="00EA2A5C" w:rsidRDefault="002F7547" w:rsidP="00F1117A">
      <w:pPr>
        <w:pStyle w:val="ListParagraph"/>
        <w:widowControl w:val="0"/>
        <w:numPr>
          <w:ilvl w:val="0"/>
          <w:numId w:val="70"/>
        </w:numPr>
        <w:spacing w:before="0" w:line="240" w:lineRule="auto"/>
        <w:ind w:left="567" w:hanging="207"/>
        <w:contextualSpacing w:val="0"/>
      </w:pPr>
      <w:r w:rsidRPr="002F7547">
        <w:t xml:space="preserve">For </w:t>
      </w:r>
      <w:r w:rsidR="00250217" w:rsidRPr="002F7547">
        <w:t>long term vascular access devices (implantable ports and haemodialysis catheters)</w:t>
      </w:r>
      <w:r w:rsidR="00E06F85" w:rsidRPr="002F7547">
        <w:t>,</w:t>
      </w:r>
      <w:r w:rsidRPr="002F7547">
        <w:t>the clinical data is expected on minimum 100 devices with at least 3 months follow-up</w:t>
      </w:r>
    </w:p>
    <w:p w14:paraId="0AE630F9" w14:textId="52C66ACE" w:rsidR="009D1810" w:rsidRPr="004A512F" w:rsidRDefault="00753126" w:rsidP="002F7547">
      <w:pPr>
        <w:pStyle w:val="ListParagraph"/>
        <w:widowControl w:val="0"/>
        <w:numPr>
          <w:ilvl w:val="0"/>
          <w:numId w:val="70"/>
        </w:numPr>
        <w:spacing w:before="0" w:line="240" w:lineRule="auto"/>
        <w:ind w:left="567" w:hanging="207"/>
        <w:contextualSpacing w:val="0"/>
      </w:pPr>
      <w:r w:rsidRPr="004A512F">
        <w:t>For Cardiothoracic Tissue Valves, the data on minimum 200 devices with at least 2 year follow up whenever there has been a change in the structure of any of the valve components or the preservation treatment of any tissue used</w:t>
      </w:r>
    </w:p>
    <w:p w14:paraId="2CFAED08" w14:textId="1E897FAF" w:rsidR="00E06F85" w:rsidRPr="00437E99" w:rsidRDefault="00E06F85" w:rsidP="00250217">
      <w:pPr>
        <w:pStyle w:val="Heading3"/>
        <w:keepNext w:val="0"/>
        <w:widowControl w:val="0"/>
        <w:spacing w:before="0" w:after="120"/>
        <w:rPr>
          <w:i/>
          <w:iCs/>
          <w:sz w:val="28"/>
          <w:szCs w:val="28"/>
          <w:u w:val="single"/>
        </w:rPr>
      </w:pPr>
      <w:bookmarkStart w:id="120" w:name="_Joint_replacement_devices"/>
      <w:bookmarkStart w:id="121" w:name="_Toc149228536"/>
      <w:bookmarkEnd w:id="120"/>
      <w:r w:rsidRPr="00437E99">
        <w:rPr>
          <w:i/>
          <w:iCs/>
          <w:sz w:val="28"/>
          <w:szCs w:val="28"/>
          <w:u w:val="single"/>
        </w:rPr>
        <w:t>Joint replacement devices (knee, hip, shoulder, elbow wrist, ankle)</w:t>
      </w:r>
      <w:bookmarkEnd w:id="121"/>
    </w:p>
    <w:p w14:paraId="060054CF" w14:textId="5B01B4DB" w:rsidR="00E06F85" w:rsidRDefault="00E06F85" w:rsidP="00E06F85">
      <w:r w:rsidRPr="00E06F85">
        <w:t xml:space="preserve">The </w:t>
      </w:r>
      <w:r>
        <w:t>below</w:t>
      </w:r>
      <w:r w:rsidRPr="00E06F85">
        <w:t xml:space="preserve"> are the baseline requirements, and if there are significant changes in the design / </w:t>
      </w:r>
      <w:r w:rsidRPr="00082221">
        <w:t xml:space="preserve">coating / material or the </w:t>
      </w:r>
      <w:r w:rsidRPr="004A512F">
        <w:t xml:space="preserve">device </w:t>
      </w:r>
      <w:r w:rsidR="0035027E" w:rsidRPr="004A512F">
        <w:t>is novel in some characteristics or is associated with a higher perceived risk, or in other relevant circumstances</w:t>
      </w:r>
      <w:r w:rsidRPr="004A512F">
        <w:t xml:space="preserve">, the sponsor may be </w:t>
      </w:r>
      <w:r w:rsidR="0035027E" w:rsidRPr="004A512F">
        <w:t>required to provide additional data or data with a longer duration of follow-up</w:t>
      </w:r>
      <w:r w:rsidRPr="004A512F">
        <w:t>.</w:t>
      </w:r>
      <w:r w:rsidRPr="00082221">
        <w:t xml:space="preserve"> The data from the registry/full registry reports are required, and </w:t>
      </w:r>
      <w:r w:rsidR="00E04135" w:rsidRPr="00082221">
        <w:t>manufacturers</w:t>
      </w:r>
      <w:r w:rsidRPr="00082221">
        <w:t xml:space="preserve"> or sponsor’s summaries or analysis are not acceptable.</w:t>
      </w:r>
    </w:p>
    <w:p w14:paraId="4CCD640F" w14:textId="4F1C2690" w:rsidR="00E06F85" w:rsidRDefault="00E06F85" w:rsidP="00E06F85">
      <w:r>
        <w:lastRenderedPageBreak/>
        <w:t xml:space="preserve">The number of implanted joint replacement devices intended for the primary or both primary and revision procedures is expected to be higher compared with the prostheses mostly used in revision or difficult/complicated/unusual surgery. </w:t>
      </w:r>
    </w:p>
    <w:p w14:paraId="7E847886" w14:textId="2CEA518C" w:rsidR="00E06F85" w:rsidRDefault="002837AC" w:rsidP="00E06F85">
      <w:r>
        <w:t xml:space="preserve">For noting, </w:t>
      </w:r>
      <w:r w:rsidR="00E06F85">
        <w:t xml:space="preserve">not all registry data is acceptable. The criteria </w:t>
      </w:r>
      <w:bookmarkStart w:id="122" w:name="_Hlk149067506"/>
      <w:r w:rsidR="00E06F85">
        <w:t xml:space="preserve">for the quality of the registry </w:t>
      </w:r>
      <w:bookmarkEnd w:id="122"/>
      <w:r w:rsidR="00E06F85">
        <w:t>include, but is not limited to, that the registry is a comprehensive national arthroplasty registry [versus regional or institutional registry] with no less than 90% coverage [number of hospitals contributing arthroplasty data compared to number of hospitals performing arthroplasty]; proven completeness [number of procedures recorded compared to number of procedures performed] and accuracy of the data [verified correctness of entered data]; with survivorship analysis, independency of data assessment, etc. Further, any acceptable reliable quality registry has its reports published no less than annually.</w:t>
      </w:r>
    </w:p>
    <w:p w14:paraId="62A1564E" w14:textId="3B10AE28" w:rsidR="00E06F85" w:rsidRPr="00E06F85" w:rsidRDefault="00E06F85" w:rsidP="00437E99">
      <w:r>
        <w:t>Finally, the data must not be combined/aggregated from multiple sources as it makes the results statistically not viable and provides an inaccurate representation of device survivorship.</w:t>
      </w:r>
    </w:p>
    <w:p w14:paraId="0D4998B1" w14:textId="617A3D97" w:rsidR="00250217" w:rsidRPr="00437E99" w:rsidRDefault="00250217" w:rsidP="00250217">
      <w:pPr>
        <w:pStyle w:val="Heading3"/>
        <w:keepNext w:val="0"/>
        <w:widowControl w:val="0"/>
        <w:spacing w:before="0" w:after="120"/>
        <w:rPr>
          <w:sz w:val="28"/>
          <w:szCs w:val="28"/>
        </w:rPr>
      </w:pPr>
      <w:bookmarkStart w:id="123" w:name="_Toc149228537"/>
      <w:r w:rsidRPr="00437E99">
        <w:rPr>
          <w:sz w:val="28"/>
          <w:szCs w:val="28"/>
        </w:rPr>
        <w:t>Knee and Hip devices (HKECAG)</w:t>
      </w:r>
      <w:bookmarkEnd w:id="123"/>
    </w:p>
    <w:p w14:paraId="5B7381F6" w14:textId="436F57D0" w:rsidR="00250217" w:rsidRPr="00082221" w:rsidRDefault="00250217" w:rsidP="00250217">
      <w:pPr>
        <w:pStyle w:val="ListParagraph"/>
        <w:numPr>
          <w:ilvl w:val="0"/>
          <w:numId w:val="57"/>
        </w:numPr>
        <w:spacing w:before="0" w:line="240" w:lineRule="auto"/>
        <w:contextualSpacing w:val="0"/>
        <w:rPr>
          <w:rFonts w:cs="Arial"/>
        </w:rPr>
      </w:pPr>
      <w:r w:rsidRPr="004A512F">
        <w:rPr>
          <w:rFonts w:cs="Arial"/>
        </w:rPr>
        <w:t>For hip and knee joint replacement devices used in primary or in both primary and revision procedures</w:t>
      </w:r>
      <w:r w:rsidRPr="00082221">
        <w:rPr>
          <w:rFonts w:cs="Arial"/>
        </w:rPr>
        <w:t xml:space="preserve">, the clinical data is required on </w:t>
      </w:r>
      <w:r w:rsidR="00F1117A" w:rsidRPr="00082221">
        <w:rPr>
          <w:rFonts w:cs="Arial"/>
        </w:rPr>
        <w:t xml:space="preserve">minimum </w:t>
      </w:r>
      <w:r w:rsidRPr="00082221">
        <w:rPr>
          <w:rFonts w:cs="Arial"/>
        </w:rPr>
        <w:t xml:space="preserve">250 procedures with </w:t>
      </w:r>
      <w:r w:rsidR="00F1117A" w:rsidRPr="00082221">
        <w:rPr>
          <w:rFonts w:cs="Arial"/>
        </w:rPr>
        <w:t>at least</w:t>
      </w:r>
      <w:r w:rsidRPr="00082221">
        <w:rPr>
          <w:rFonts w:cs="Arial"/>
        </w:rPr>
        <w:t xml:space="preserve"> 2 year adequate follow-up</w:t>
      </w:r>
    </w:p>
    <w:p w14:paraId="794DA087" w14:textId="2188AE7D" w:rsidR="00250217" w:rsidRPr="00082221" w:rsidRDefault="00250217" w:rsidP="00250217">
      <w:pPr>
        <w:pStyle w:val="ListParagraph"/>
        <w:numPr>
          <w:ilvl w:val="0"/>
          <w:numId w:val="57"/>
        </w:numPr>
        <w:spacing w:before="0" w:line="240" w:lineRule="auto"/>
        <w:contextualSpacing w:val="0"/>
        <w:rPr>
          <w:rFonts w:cs="Arial"/>
        </w:rPr>
      </w:pPr>
      <w:r w:rsidRPr="004A512F">
        <w:rPr>
          <w:rFonts w:cs="Arial"/>
        </w:rPr>
        <w:t xml:space="preserve">For hip and knee joint replacement devices, used in revision or special circumstances or unusual situation devices </w:t>
      </w:r>
      <w:r w:rsidRPr="00082221">
        <w:rPr>
          <w:rFonts w:cs="Arial"/>
        </w:rPr>
        <w:t xml:space="preserve">(e.g. constrained acetabular cup designed for use in high risk of </w:t>
      </w:r>
      <w:r w:rsidRPr="004A512F">
        <w:rPr>
          <w:rFonts w:cs="Arial"/>
        </w:rPr>
        <w:t xml:space="preserve">dislocation patients) procedures, the clinical data is expected on </w:t>
      </w:r>
      <w:r w:rsidR="00F1117A" w:rsidRPr="004A512F">
        <w:rPr>
          <w:rFonts w:cs="Arial"/>
        </w:rPr>
        <w:t xml:space="preserve">minimum </w:t>
      </w:r>
      <w:r w:rsidR="00DE4521" w:rsidRPr="004A512F">
        <w:rPr>
          <w:rFonts w:cs="Arial"/>
        </w:rPr>
        <w:t xml:space="preserve">50 </w:t>
      </w:r>
      <w:r w:rsidRPr="004A512F">
        <w:rPr>
          <w:rFonts w:cs="Arial"/>
        </w:rPr>
        <w:t>hip or knee joint</w:t>
      </w:r>
      <w:r w:rsidRPr="00082221">
        <w:rPr>
          <w:rFonts w:cs="Arial"/>
        </w:rPr>
        <w:t xml:space="preserve"> replacement devices implanted with at least 2 years follow-up</w:t>
      </w:r>
    </w:p>
    <w:p w14:paraId="3214619E" w14:textId="1DE3AE2A" w:rsidR="00250217" w:rsidRPr="00082221" w:rsidRDefault="00250217" w:rsidP="00250217">
      <w:pPr>
        <w:pStyle w:val="ListParagraph"/>
        <w:numPr>
          <w:ilvl w:val="0"/>
          <w:numId w:val="57"/>
        </w:numPr>
        <w:spacing w:before="0" w:line="240" w:lineRule="auto"/>
        <w:contextualSpacing w:val="0"/>
        <w:rPr>
          <w:rFonts w:cs="Arial"/>
        </w:rPr>
      </w:pPr>
      <w:r w:rsidRPr="004A512F">
        <w:rPr>
          <w:rFonts w:cs="Arial"/>
        </w:rPr>
        <w:t>For the tumour devices</w:t>
      </w:r>
      <w:r w:rsidRPr="00082221">
        <w:rPr>
          <w:rFonts w:cs="Arial"/>
        </w:rPr>
        <w:t>, minimum 20 devices implanted with at least 2 years follow-up may be accepted, although these devices may have variability in the data requirements depending on circumstances</w:t>
      </w:r>
      <w:r w:rsidR="002837AC" w:rsidRPr="00082221">
        <w:rPr>
          <w:rFonts w:cs="Arial"/>
        </w:rPr>
        <w:t>.</w:t>
      </w:r>
    </w:p>
    <w:p w14:paraId="5670A87F" w14:textId="77777777" w:rsidR="00250217" w:rsidRPr="00437E99" w:rsidRDefault="00250217" w:rsidP="00250217">
      <w:pPr>
        <w:pStyle w:val="Heading3"/>
        <w:keepNext w:val="0"/>
        <w:widowControl w:val="0"/>
        <w:spacing w:before="0" w:after="120"/>
        <w:rPr>
          <w:sz w:val="28"/>
          <w:szCs w:val="28"/>
        </w:rPr>
      </w:pPr>
      <w:bookmarkStart w:id="124" w:name="_Toc149228538"/>
      <w:r w:rsidRPr="00437E99">
        <w:rPr>
          <w:sz w:val="28"/>
          <w:szCs w:val="28"/>
        </w:rPr>
        <w:t>Specialist Orthopaedic devices (SOECAG)</w:t>
      </w:r>
      <w:bookmarkEnd w:id="124"/>
    </w:p>
    <w:p w14:paraId="3AFCE960" w14:textId="172A5859" w:rsidR="00250217" w:rsidRPr="00082221" w:rsidRDefault="00250217" w:rsidP="00250217">
      <w:pPr>
        <w:pStyle w:val="ListParagraph"/>
        <w:widowControl w:val="0"/>
        <w:numPr>
          <w:ilvl w:val="0"/>
          <w:numId w:val="58"/>
        </w:numPr>
        <w:spacing w:before="0" w:line="240" w:lineRule="auto"/>
        <w:ind w:left="426" w:hanging="426"/>
        <w:contextualSpacing w:val="0"/>
        <w:rPr>
          <w:rFonts w:cs="Arial"/>
          <w:szCs w:val="22"/>
        </w:rPr>
      </w:pPr>
      <w:r w:rsidRPr="004A512F">
        <w:rPr>
          <w:rFonts w:cs="Arial"/>
          <w:szCs w:val="22"/>
        </w:rPr>
        <w:t>For shoulder joint replacement devices</w:t>
      </w:r>
      <w:r w:rsidRPr="00082221">
        <w:rPr>
          <w:rFonts w:cs="Arial"/>
          <w:szCs w:val="22"/>
        </w:rPr>
        <w:t xml:space="preserve">, the clinical data is required on minimum 100 devices implanted with at least 2 years adequate follow-up. A year 2 cumulative percentage revision with confidence intervals </w:t>
      </w:r>
      <w:r w:rsidR="002837AC" w:rsidRPr="00082221">
        <w:rPr>
          <w:rFonts w:cs="Arial"/>
          <w:szCs w:val="22"/>
        </w:rPr>
        <w:t xml:space="preserve">is required to </w:t>
      </w:r>
      <w:r w:rsidRPr="00082221">
        <w:rPr>
          <w:rFonts w:cs="Arial"/>
          <w:szCs w:val="22"/>
        </w:rPr>
        <w:t xml:space="preserve">be included with any </w:t>
      </w:r>
      <w:r w:rsidR="002837AC" w:rsidRPr="00082221">
        <w:rPr>
          <w:rFonts w:cs="Arial"/>
          <w:szCs w:val="22"/>
        </w:rPr>
        <w:t>r</w:t>
      </w:r>
      <w:r w:rsidRPr="00082221">
        <w:rPr>
          <w:rFonts w:cs="Arial"/>
          <w:szCs w:val="22"/>
        </w:rPr>
        <w:t>egistry data submission.</w:t>
      </w:r>
      <w:r w:rsidR="00E06F85" w:rsidRPr="00082221">
        <w:rPr>
          <w:rFonts w:cs="Arial"/>
          <w:szCs w:val="22"/>
        </w:rPr>
        <w:t xml:space="preserve"> </w:t>
      </w:r>
      <w:r w:rsidR="002837AC" w:rsidRPr="00082221">
        <w:rPr>
          <w:rFonts w:cs="Arial"/>
          <w:szCs w:val="22"/>
        </w:rPr>
        <w:t>T</w:t>
      </w:r>
      <w:r w:rsidR="00E06F85" w:rsidRPr="00082221">
        <w:rPr>
          <w:rFonts w:cs="Arial"/>
          <w:szCs w:val="22"/>
        </w:rPr>
        <w:t>he shoulder joint replacement devices used in both anatomic and reverse shoulder replacements must have separate data for both procedures</w:t>
      </w:r>
      <w:r w:rsidR="002837AC" w:rsidRPr="00082221">
        <w:rPr>
          <w:rFonts w:cs="Arial"/>
          <w:szCs w:val="22"/>
        </w:rPr>
        <w:t>.</w:t>
      </w:r>
    </w:p>
    <w:p w14:paraId="1391EE88" w14:textId="0D1B6F45" w:rsidR="00250217" w:rsidRPr="00437E99" w:rsidRDefault="00250217" w:rsidP="00250217">
      <w:pPr>
        <w:pStyle w:val="ListParagraph"/>
        <w:widowControl w:val="0"/>
        <w:numPr>
          <w:ilvl w:val="0"/>
          <w:numId w:val="58"/>
        </w:numPr>
        <w:spacing w:before="0" w:line="240" w:lineRule="auto"/>
        <w:ind w:left="426" w:hanging="426"/>
        <w:contextualSpacing w:val="0"/>
        <w:rPr>
          <w:rFonts w:cs="Arial"/>
          <w:szCs w:val="22"/>
        </w:rPr>
      </w:pPr>
      <w:r w:rsidRPr="004A512F">
        <w:rPr>
          <w:rFonts w:cs="Arial"/>
          <w:szCs w:val="22"/>
        </w:rPr>
        <w:t>For ankle</w:t>
      </w:r>
      <w:r w:rsidR="005B0EF4" w:rsidRPr="004A512F">
        <w:rPr>
          <w:rFonts w:cs="Arial"/>
          <w:szCs w:val="22"/>
        </w:rPr>
        <w:t>,</w:t>
      </w:r>
      <w:r w:rsidRPr="004A512F">
        <w:rPr>
          <w:rFonts w:cs="Arial"/>
          <w:szCs w:val="22"/>
        </w:rPr>
        <w:t xml:space="preserve"> elbow</w:t>
      </w:r>
      <w:r w:rsidR="005B0EF4" w:rsidRPr="004A512F">
        <w:rPr>
          <w:rFonts w:cs="Arial"/>
          <w:szCs w:val="22"/>
        </w:rPr>
        <w:t xml:space="preserve">, wrist </w:t>
      </w:r>
      <w:r w:rsidR="00082221" w:rsidRPr="004A512F">
        <w:rPr>
          <w:rFonts w:cs="Arial"/>
          <w:szCs w:val="22"/>
        </w:rPr>
        <w:t>joint replacement devices</w:t>
      </w:r>
      <w:r w:rsidRPr="004A512F">
        <w:rPr>
          <w:rFonts w:cs="Arial"/>
          <w:szCs w:val="22"/>
        </w:rPr>
        <w:t>, the clinical data is required on minimum 25 devices implanted with at least 2 years adequate follow-up. A year 2 cumulative percentage revision</w:t>
      </w:r>
      <w:r w:rsidRPr="00082221">
        <w:rPr>
          <w:rFonts w:cs="Arial"/>
          <w:szCs w:val="22"/>
        </w:rPr>
        <w:t xml:space="preserve"> with confidence intervals </w:t>
      </w:r>
      <w:r w:rsidR="007A2B56" w:rsidRPr="00082221">
        <w:rPr>
          <w:rFonts w:cs="Arial"/>
          <w:szCs w:val="22"/>
        </w:rPr>
        <w:t>is required to be</w:t>
      </w:r>
      <w:r w:rsidRPr="00082221">
        <w:rPr>
          <w:rFonts w:cs="Arial"/>
          <w:szCs w:val="22"/>
        </w:rPr>
        <w:t xml:space="preserve"> included with any Registry</w:t>
      </w:r>
      <w:r w:rsidRPr="00437E99">
        <w:rPr>
          <w:rFonts w:cs="Arial"/>
          <w:szCs w:val="22"/>
        </w:rPr>
        <w:t xml:space="preserve"> data submission.</w:t>
      </w:r>
    </w:p>
    <w:p w14:paraId="2A40FCDE" w14:textId="3D7C5E1E" w:rsidR="00E06F85" w:rsidRPr="00082221" w:rsidRDefault="00250217" w:rsidP="006A2EF9">
      <w:pPr>
        <w:pStyle w:val="ListParagraph"/>
        <w:widowControl w:val="0"/>
        <w:numPr>
          <w:ilvl w:val="0"/>
          <w:numId w:val="58"/>
        </w:numPr>
        <w:spacing w:before="0" w:line="240" w:lineRule="auto"/>
        <w:ind w:left="426" w:hanging="426"/>
        <w:contextualSpacing w:val="0"/>
        <w:rPr>
          <w:rFonts w:cs="Arial"/>
          <w:szCs w:val="22"/>
        </w:rPr>
      </w:pPr>
      <w:r w:rsidRPr="004A512F">
        <w:rPr>
          <w:rFonts w:cs="Arial"/>
          <w:szCs w:val="22"/>
        </w:rPr>
        <w:t>For suture anchor devices</w:t>
      </w:r>
      <w:r w:rsidRPr="00082221">
        <w:rPr>
          <w:rFonts w:cs="Arial"/>
          <w:szCs w:val="22"/>
        </w:rPr>
        <w:t xml:space="preserve"> the device’s pull-out strength data inclusive of the methods used in the cyclic testing, ultimate load testing, insertion testing; statistical rationale for sample size; acceptance criteria and results is required.</w:t>
      </w:r>
    </w:p>
    <w:p w14:paraId="4AFA2491" w14:textId="08307B3E" w:rsidR="00250217" w:rsidRPr="00437E99" w:rsidRDefault="00250217" w:rsidP="00250217">
      <w:pPr>
        <w:pStyle w:val="Heading3"/>
        <w:keepNext w:val="0"/>
        <w:widowControl w:val="0"/>
        <w:spacing w:before="0" w:after="120"/>
        <w:rPr>
          <w:sz w:val="28"/>
          <w:szCs w:val="28"/>
        </w:rPr>
      </w:pPr>
      <w:bookmarkStart w:id="125" w:name="_Toc149228539"/>
      <w:r w:rsidRPr="00437E99">
        <w:rPr>
          <w:sz w:val="28"/>
          <w:szCs w:val="28"/>
        </w:rPr>
        <w:t>Ear, Nose, Throat, General Miscellaneous, Plastic and Reconstructive and Urogenital devices (GSECAG)</w:t>
      </w:r>
      <w:bookmarkEnd w:id="125"/>
    </w:p>
    <w:p w14:paraId="79599C86" w14:textId="77777777" w:rsidR="00250217" w:rsidRPr="00437E99" w:rsidRDefault="00250217" w:rsidP="006A2EF9">
      <w:pPr>
        <w:pStyle w:val="ListParagraph"/>
        <w:widowControl w:val="0"/>
        <w:numPr>
          <w:ilvl w:val="0"/>
          <w:numId w:val="58"/>
        </w:numPr>
        <w:spacing w:before="0" w:line="240" w:lineRule="auto"/>
        <w:ind w:left="425" w:hanging="425"/>
        <w:contextualSpacing w:val="0"/>
        <w:rPr>
          <w:rFonts w:cs="Arial"/>
          <w:szCs w:val="22"/>
        </w:rPr>
      </w:pPr>
      <w:r w:rsidRPr="00437E99">
        <w:rPr>
          <w:rFonts w:cs="Arial"/>
          <w:szCs w:val="22"/>
        </w:rPr>
        <w:t xml:space="preserve">For implantable hearing systems (cochlear implants, bone conduction and middle ear) and sacral neuromodulation systems, if the subject device in the application is an enhancement/variation of the existing predicate device, the information is required to outline the similarities and differences in the designs, characteristics, specifications, technology between the subject device and the predicate device, and the direct clinical data is required for the subject device demonstrating comparative clinical effectiveness for the </w:t>
      </w:r>
      <w:r w:rsidRPr="00437E99">
        <w:rPr>
          <w:rFonts w:cs="Arial"/>
          <w:szCs w:val="22"/>
        </w:rPr>
        <w:lastRenderedPageBreak/>
        <w:t>new/enhanced characteristics of the subject device.</w:t>
      </w:r>
    </w:p>
    <w:p w14:paraId="7DD6B650" w14:textId="77777777" w:rsidR="00250217" w:rsidRPr="00437E99" w:rsidRDefault="00250217" w:rsidP="00437E99">
      <w:pPr>
        <w:pStyle w:val="ListParagraph"/>
        <w:widowControl w:val="0"/>
        <w:numPr>
          <w:ilvl w:val="0"/>
          <w:numId w:val="58"/>
        </w:numPr>
        <w:spacing w:before="0" w:line="240" w:lineRule="auto"/>
        <w:ind w:left="425" w:hanging="425"/>
        <w:contextualSpacing w:val="0"/>
        <w:rPr>
          <w:rFonts w:cs="Arial"/>
          <w:color w:val="auto"/>
        </w:rPr>
      </w:pPr>
      <w:r w:rsidRPr="004A512F">
        <w:rPr>
          <w:rFonts w:cs="Arial"/>
          <w:color w:val="auto"/>
        </w:rPr>
        <w:t>For any Urogenital Sacral Neuromodulation implantable pulse generators (IPG) and leads</w:t>
      </w:r>
      <w:r w:rsidRPr="00437E99">
        <w:rPr>
          <w:rFonts w:cs="Arial"/>
          <w:color w:val="auto"/>
        </w:rPr>
        <w:t xml:space="preserve"> that are next generation of the existing technology, the clinical outcome data required to be provided is for minimum 20 subject devices implanted with at least 2 years follow-up. </w:t>
      </w:r>
    </w:p>
    <w:p w14:paraId="45B4458D" w14:textId="5000FCCF" w:rsidR="00250217" w:rsidRPr="00082221" w:rsidRDefault="00250217" w:rsidP="00437E99">
      <w:pPr>
        <w:widowControl w:val="0"/>
        <w:shd w:val="clear" w:color="auto" w:fill="D9D9D9" w:themeFill="background1" w:themeFillShade="D9"/>
        <w:spacing w:before="0" w:line="240" w:lineRule="auto"/>
        <w:ind w:left="425" w:firstLine="1"/>
        <w:rPr>
          <w:rFonts w:cs="Arial"/>
        </w:rPr>
      </w:pPr>
      <w:r w:rsidRPr="006A2EF9">
        <w:rPr>
          <w:rFonts w:cs="Arial"/>
        </w:rPr>
        <w:t xml:space="preserve">The data </w:t>
      </w:r>
      <w:r w:rsidR="007A2B56">
        <w:rPr>
          <w:rFonts w:cs="Arial"/>
        </w:rPr>
        <w:t>is required to be</w:t>
      </w:r>
      <w:r w:rsidRPr="006A2EF9">
        <w:rPr>
          <w:rFonts w:cs="Arial"/>
        </w:rPr>
        <w:t xml:space="preserve"> published in a peer-reviewed articles in reputable journals and inclusive of prospectively collated, objective clinical outcomes, intra and post-operative complications, hospital readmission rates and re-operations. The manufacturer’s summaries are not acceptable in lieu of the actual publications. The data on the predicate devices may be provided to support the application [showing the satisfactory performance and comparison with the subject device] but </w:t>
      </w:r>
      <w:r w:rsidRPr="004A512F">
        <w:rPr>
          <w:rFonts w:cs="Arial"/>
        </w:rPr>
        <w:t>it does not replace the need for the direct data</w:t>
      </w:r>
      <w:r w:rsidRPr="006A2EF9">
        <w:rPr>
          <w:rFonts w:cs="Arial"/>
          <w:u w:val="single"/>
        </w:rPr>
        <w:t xml:space="preserve"> </w:t>
      </w:r>
      <w:r w:rsidRPr="004A512F">
        <w:rPr>
          <w:rFonts w:cs="Arial"/>
        </w:rPr>
        <w:t>for the subject device in the application</w:t>
      </w:r>
      <w:r w:rsidRPr="00082221">
        <w:rPr>
          <w:rFonts w:cs="Arial"/>
        </w:rPr>
        <w:t>.</w:t>
      </w:r>
    </w:p>
    <w:p w14:paraId="2FDD1714" w14:textId="77777777" w:rsidR="00250217" w:rsidRPr="00437E99" w:rsidRDefault="00250217" w:rsidP="006A2EF9">
      <w:pPr>
        <w:pStyle w:val="ListParagraph"/>
        <w:widowControl w:val="0"/>
        <w:numPr>
          <w:ilvl w:val="0"/>
          <w:numId w:val="58"/>
        </w:numPr>
        <w:spacing w:before="0" w:line="240" w:lineRule="auto"/>
        <w:ind w:left="425" w:hanging="425"/>
        <w:contextualSpacing w:val="0"/>
        <w:rPr>
          <w:rFonts w:cs="Arial"/>
          <w:color w:val="auto"/>
        </w:rPr>
      </w:pPr>
      <w:r w:rsidRPr="00437E99">
        <w:rPr>
          <w:rFonts w:cs="Arial"/>
          <w:color w:val="auto"/>
        </w:rPr>
        <w:t>The requirements for brachytherapy, drug delivery devices (pharmaceutical beads and infusion ports), surgical mesh (hernia and other abdominal repair, incontinence), insulin infusion pump systems, tubal obstruction devices, artificial skin, tissue expanders, breast implants, may vary in respect to the quantity (the minimum number of the devices implanted and the least follow-up), quality and level of evidence depending on the significance of the changes in the material, design, other characteristics of the subject device.</w:t>
      </w:r>
    </w:p>
    <w:p w14:paraId="4FCB2079" w14:textId="77777777" w:rsidR="00250217" w:rsidRPr="00437E99" w:rsidRDefault="00250217" w:rsidP="00250217">
      <w:pPr>
        <w:pStyle w:val="Heading3"/>
        <w:keepNext w:val="0"/>
        <w:widowControl w:val="0"/>
        <w:spacing w:before="0" w:after="120"/>
        <w:rPr>
          <w:sz w:val="28"/>
          <w:szCs w:val="28"/>
        </w:rPr>
      </w:pPr>
      <w:bookmarkStart w:id="126" w:name="_Toc149228540"/>
      <w:r w:rsidRPr="00437E99">
        <w:rPr>
          <w:sz w:val="28"/>
          <w:szCs w:val="28"/>
        </w:rPr>
        <w:t>Ophthalmic devices (OECAG)</w:t>
      </w:r>
      <w:bookmarkEnd w:id="126"/>
    </w:p>
    <w:p w14:paraId="3EA9A35D" w14:textId="77777777" w:rsidR="00250217" w:rsidRPr="00082221" w:rsidRDefault="00250217" w:rsidP="00250217">
      <w:pPr>
        <w:pStyle w:val="ListParagraph"/>
        <w:widowControl w:val="0"/>
        <w:numPr>
          <w:ilvl w:val="0"/>
          <w:numId w:val="57"/>
        </w:numPr>
        <w:spacing w:before="0" w:line="240" w:lineRule="auto"/>
        <w:contextualSpacing w:val="0"/>
        <w:rPr>
          <w:rFonts w:cs="Arial"/>
        </w:rPr>
      </w:pPr>
      <w:r w:rsidRPr="004A512F">
        <w:rPr>
          <w:rFonts w:cs="Arial"/>
        </w:rPr>
        <w:t>For Intraocular lenses (IOLs) [subcategory 01.02 - Posterior Chamber Intraocular Lenses]</w:t>
      </w:r>
      <w:r w:rsidRPr="00082221">
        <w:rPr>
          <w:rFonts w:cs="Arial"/>
        </w:rPr>
        <w:t xml:space="preserve">, the clinical data required to be provided is for minimum 100 implanted devices with at least 12 months follow-up, to enable assessment of comparative clinical effectiveness, this direct clinical data is required for any new IOL. </w:t>
      </w:r>
    </w:p>
    <w:p w14:paraId="0CED05B9" w14:textId="77777777" w:rsidR="00250217" w:rsidRPr="004A512F" w:rsidRDefault="00250217" w:rsidP="00250217">
      <w:pPr>
        <w:pStyle w:val="ListParagraph"/>
        <w:widowControl w:val="0"/>
        <w:numPr>
          <w:ilvl w:val="0"/>
          <w:numId w:val="57"/>
        </w:numPr>
        <w:spacing w:before="0" w:line="240" w:lineRule="auto"/>
        <w:contextualSpacing w:val="0"/>
        <w:rPr>
          <w:rFonts w:cs="Arial"/>
        </w:rPr>
      </w:pPr>
      <w:r w:rsidRPr="004A512F">
        <w:rPr>
          <w:rFonts w:cs="Arial"/>
        </w:rPr>
        <w:t xml:space="preserve">For IOLs that are variations of the IOLs already listed on the PL, </w:t>
      </w:r>
      <w:r w:rsidRPr="00082221">
        <w:rPr>
          <w:rFonts w:cs="Arial"/>
        </w:rPr>
        <w:t>the requirement for the direct clinical data may be reduced (e.g. standard IOL is listed on the PL, and the sponsor applied for listing the same brand IOL but with violet-blue light filter, or Toric IOL).</w:t>
      </w:r>
      <w:r w:rsidRPr="004A512F">
        <w:rPr>
          <w:rFonts w:cs="Arial"/>
        </w:rPr>
        <w:t xml:space="preserve"> </w:t>
      </w:r>
    </w:p>
    <w:p w14:paraId="7C014300" w14:textId="2727EEF5" w:rsidR="00250217" w:rsidRPr="004A512F" w:rsidRDefault="00250217" w:rsidP="00250217">
      <w:pPr>
        <w:pStyle w:val="ListParagraph"/>
        <w:widowControl w:val="0"/>
        <w:numPr>
          <w:ilvl w:val="0"/>
          <w:numId w:val="57"/>
        </w:numPr>
        <w:spacing w:before="0" w:line="240" w:lineRule="auto"/>
        <w:contextualSpacing w:val="0"/>
        <w:rPr>
          <w:rFonts w:cs="Arial"/>
        </w:rPr>
      </w:pPr>
      <w:r w:rsidRPr="004A512F">
        <w:rPr>
          <w:rFonts w:cs="Arial"/>
        </w:rPr>
        <w:t>For devices used in oculoplastic and orbital surgery, focused on the structures surrounding the eye [sub-categories 01.06 - Eyelid prostheses, and 01.08 - Orbital prostheses] (the rare conditions) and retinal detachment devices [subcategory 01.09 - Retinal detachment prostheses] data on minimum 30 – 40 implanted devices with at least 12 months follow-up is required</w:t>
      </w:r>
      <w:r w:rsidR="00A35750" w:rsidRPr="004A512F">
        <w:rPr>
          <w:rFonts w:cs="Arial"/>
        </w:rPr>
        <w:t xml:space="preserve"> for novel devices. Modifications of existing devices may be acceptable with lesser implantation numbers</w:t>
      </w:r>
      <w:r w:rsidRPr="004A512F">
        <w:rPr>
          <w:rFonts w:cs="Arial"/>
        </w:rPr>
        <w:t>.</w:t>
      </w:r>
    </w:p>
    <w:p w14:paraId="57744B10" w14:textId="77777777" w:rsidR="00250217" w:rsidRPr="004A512F" w:rsidRDefault="00250217" w:rsidP="00250217">
      <w:pPr>
        <w:pStyle w:val="ListParagraph"/>
        <w:widowControl w:val="0"/>
        <w:numPr>
          <w:ilvl w:val="0"/>
          <w:numId w:val="57"/>
        </w:numPr>
        <w:spacing w:before="0" w:line="240" w:lineRule="auto"/>
        <w:contextualSpacing w:val="0"/>
        <w:rPr>
          <w:rFonts w:cs="Arial"/>
        </w:rPr>
      </w:pPr>
      <w:r w:rsidRPr="004A512F">
        <w:rPr>
          <w:rFonts w:cs="Arial"/>
        </w:rPr>
        <w:t>For liquids and oils [</w:t>
      </w:r>
      <w:r w:rsidRPr="00082221">
        <w:rPr>
          <w:rFonts w:cs="Arial"/>
        </w:rPr>
        <w:t>groups 01.09.04 - Intraocular Gases, 01.09.05 – Intraocular Heavy Liquids, and 01.09.06 - Intraocular Silicone Oils], where the device is made of the same material/has the same ingredients and characteristics, the data on the comparator devices may be acceptable.</w:t>
      </w:r>
      <w:r w:rsidRPr="004A512F">
        <w:rPr>
          <w:rFonts w:cs="Arial"/>
        </w:rPr>
        <w:t xml:space="preserve"> </w:t>
      </w:r>
    </w:p>
    <w:p w14:paraId="23708C97" w14:textId="34154C31" w:rsidR="00250217" w:rsidRPr="004A512F" w:rsidRDefault="00250217" w:rsidP="00250217">
      <w:pPr>
        <w:pStyle w:val="ListParagraph"/>
        <w:widowControl w:val="0"/>
        <w:numPr>
          <w:ilvl w:val="0"/>
          <w:numId w:val="57"/>
        </w:numPr>
        <w:spacing w:before="0" w:line="240" w:lineRule="auto"/>
        <w:contextualSpacing w:val="0"/>
        <w:rPr>
          <w:rFonts w:cs="Arial"/>
        </w:rPr>
      </w:pPr>
      <w:r w:rsidRPr="004A512F">
        <w:rPr>
          <w:rFonts w:cs="Arial"/>
        </w:rPr>
        <w:t>For the devices listed in sub-categories 01.05 - Glaucoma drainage or 01.03 - Intraocular fluids, the data with 6 months follow-up will be required.</w:t>
      </w:r>
    </w:p>
    <w:p w14:paraId="2FCE4649" w14:textId="77777777" w:rsidR="00250217" w:rsidRPr="00082221" w:rsidRDefault="00250217" w:rsidP="00250217">
      <w:pPr>
        <w:widowControl w:val="0"/>
        <w:spacing w:before="0" w:line="240" w:lineRule="auto"/>
        <w:ind w:left="360"/>
        <w:rPr>
          <w:rFonts w:cs="Arial"/>
        </w:rPr>
      </w:pPr>
      <w:r w:rsidRPr="004A512F">
        <w:rPr>
          <w:rFonts w:cs="Arial"/>
          <w:i/>
          <w:iCs/>
        </w:rPr>
        <w:t>For noting</w:t>
      </w:r>
      <w:r w:rsidRPr="00082221">
        <w:rPr>
          <w:rFonts w:cs="Arial"/>
        </w:rPr>
        <w:t>:</w:t>
      </w:r>
      <w:r w:rsidRPr="00082221">
        <w:rPr>
          <w:rFonts w:cs="Arial"/>
        </w:rPr>
        <w:tab/>
        <w:t>When strong peer reviewed data is available, less follow-up time could be accepted, but as a general rule at least 6 months or 12 months follow-ups [as stated above] is required.</w:t>
      </w:r>
    </w:p>
    <w:p w14:paraId="761555C7" w14:textId="36540F8D" w:rsidR="00FC3ECD" w:rsidRPr="004D73B9" w:rsidRDefault="00D16A19" w:rsidP="00FC3ECD">
      <w:pPr>
        <w:pStyle w:val="Heading3"/>
      </w:pPr>
      <w:bookmarkStart w:id="127" w:name="_Further_information_for"/>
      <w:bookmarkStart w:id="128" w:name="_Toc149228541"/>
      <w:bookmarkEnd w:id="127"/>
      <w:r w:rsidRPr="00D16A19">
        <w:t>Further</w:t>
      </w:r>
      <w:r w:rsidR="00FC3ECD" w:rsidRPr="00D16A19">
        <w:t xml:space="preserve"> information </w:t>
      </w:r>
      <w:r w:rsidRPr="00D16A19">
        <w:t>for</w:t>
      </w:r>
      <w:r w:rsidRPr="00D66EEE">
        <w:t xml:space="preserve"> Tier 2b </w:t>
      </w:r>
      <w:r w:rsidRPr="00D16A19">
        <w:t>applications</w:t>
      </w:r>
      <w:bookmarkEnd w:id="128"/>
    </w:p>
    <w:p w14:paraId="60ABE4F9" w14:textId="7537C1AD" w:rsidR="00D16A19" w:rsidRPr="00A64142" w:rsidRDefault="00D16A19" w:rsidP="00D16A19">
      <w:pPr>
        <w:pStyle w:val="BodyText"/>
        <w:rPr>
          <w:szCs w:val="22"/>
        </w:rPr>
      </w:pPr>
      <w:r w:rsidRPr="00A64142">
        <w:rPr>
          <w:szCs w:val="22"/>
        </w:rPr>
        <w:t xml:space="preserve">For Tier 2b applications, sponsors are required to provide a </w:t>
      </w:r>
      <w:r w:rsidRPr="00A64142">
        <w:rPr>
          <w:rFonts w:cs="Arial"/>
          <w:b/>
          <w:bCs/>
          <w:i/>
          <w:iCs/>
          <w:color w:val="358189"/>
          <w:szCs w:val="22"/>
        </w:rPr>
        <w:t>comparative analysis of the similarities and differences</w:t>
      </w:r>
      <w:r w:rsidRPr="00A64142">
        <w:rPr>
          <w:szCs w:val="22"/>
        </w:rPr>
        <w:t xml:space="preserve"> between the subject device and the comparators either listed on the Prescribed List or alternative treatment. </w:t>
      </w:r>
    </w:p>
    <w:p w14:paraId="59F9CE38" w14:textId="77777777" w:rsidR="00D16A19" w:rsidRPr="00A64142" w:rsidRDefault="00D16A19" w:rsidP="00D16A19">
      <w:pPr>
        <w:pStyle w:val="BodyText"/>
        <w:rPr>
          <w:szCs w:val="22"/>
        </w:rPr>
      </w:pPr>
      <w:r w:rsidRPr="00A64142">
        <w:rPr>
          <w:szCs w:val="22"/>
        </w:rPr>
        <w:t>Appropriate sources of clinical evidence to support the comparison include:</w:t>
      </w:r>
    </w:p>
    <w:p w14:paraId="5F691980" w14:textId="77777777" w:rsidR="00D16A19" w:rsidRPr="00A64142" w:rsidRDefault="00D16A19" w:rsidP="004D3B86">
      <w:pPr>
        <w:pStyle w:val="Bulletpoint"/>
        <w:ind w:left="426" w:hanging="426"/>
        <w:rPr>
          <w:sz w:val="22"/>
        </w:rPr>
      </w:pPr>
      <w:r w:rsidRPr="00A64142">
        <w:rPr>
          <w:sz w:val="22"/>
        </w:rPr>
        <w:lastRenderedPageBreak/>
        <w:t>Clinical trials of the product (Clinical Study Reports or peer-reviewed publications)</w:t>
      </w:r>
    </w:p>
    <w:p w14:paraId="5E043790" w14:textId="77777777" w:rsidR="00D16A19" w:rsidRPr="00A64142" w:rsidRDefault="00D16A19" w:rsidP="004D3B86">
      <w:pPr>
        <w:pStyle w:val="Bulletpoint"/>
        <w:ind w:left="426" w:hanging="426"/>
        <w:rPr>
          <w:sz w:val="22"/>
        </w:rPr>
      </w:pPr>
      <w:r w:rsidRPr="00A64142">
        <w:rPr>
          <w:sz w:val="22"/>
        </w:rPr>
        <w:t>Observational studies of the product (clinical registry data, cohort studies, or case series).</w:t>
      </w:r>
    </w:p>
    <w:p w14:paraId="62D47703" w14:textId="5807FD62" w:rsidR="00D16A19" w:rsidRPr="00A64142" w:rsidRDefault="00D16A19" w:rsidP="00D502BF">
      <w:pPr>
        <w:pStyle w:val="BodyText"/>
        <w:widowControl w:val="0"/>
        <w:spacing w:before="0" w:line="240" w:lineRule="auto"/>
        <w:rPr>
          <w:szCs w:val="22"/>
        </w:rPr>
      </w:pPr>
      <w:r w:rsidRPr="00A64142">
        <w:rPr>
          <w:szCs w:val="22"/>
        </w:rPr>
        <w:t xml:space="preserve">Claims of superiority need to be supported by direct evidence demonstrating that the device is clinically effective and is clinically superior to the nominated comparator. </w:t>
      </w:r>
    </w:p>
    <w:p w14:paraId="0BE696EB" w14:textId="39B80AC9" w:rsidR="00D16A19" w:rsidRPr="00A64142" w:rsidRDefault="00D16A19" w:rsidP="00D502BF">
      <w:pPr>
        <w:pStyle w:val="BodyText"/>
        <w:widowControl w:val="0"/>
        <w:spacing w:before="0" w:line="240" w:lineRule="auto"/>
        <w:rPr>
          <w:szCs w:val="22"/>
        </w:rPr>
      </w:pPr>
      <w:r w:rsidRPr="00A64142">
        <w:rPr>
          <w:szCs w:val="22"/>
        </w:rPr>
        <w:t>The type of evidence required to demonstrate substantial similarity depends on the extent to which a device differs from the comparator and the potential risk of harm from use of the device. A device that is significantly different in design or composition from the comparator will require more extensive information (which may include a higher level of clinical evidence) than a device that differs only in aspects that are not expected to affect the comparative safety or effectiveness of the device. Likewise, if there is high potential risk to the patient if the new device fails or does not perform as intended, clinical evidence will be required to demonstrate that the new device is no worse than the comparator. In this case, higher level clinical evidence may be an appropriate source of clinical effectiveness data but the most reliable source of comparative safety data may be a large observational study with adequate follow-up.</w:t>
      </w:r>
    </w:p>
    <w:p w14:paraId="6D3323E4" w14:textId="2C09DF48" w:rsidR="00FC3ECD" w:rsidRPr="00A64142" w:rsidRDefault="00D16A19" w:rsidP="00D502BF">
      <w:pPr>
        <w:pStyle w:val="ListBullet"/>
        <w:widowControl w:val="0"/>
        <w:numPr>
          <w:ilvl w:val="0"/>
          <w:numId w:val="0"/>
        </w:numPr>
        <w:spacing w:before="0" w:after="120" w:line="240" w:lineRule="auto"/>
        <w:rPr>
          <w:szCs w:val="22"/>
        </w:rPr>
      </w:pPr>
      <w:r w:rsidRPr="00A64142">
        <w:rPr>
          <w:szCs w:val="22"/>
        </w:rPr>
        <w:t>Sponsors may also use data from clinical registries to support their applications, if the quality, reliability etc of the registry may be verified [</w:t>
      </w:r>
      <w:hyperlink w:anchor="_Joint_replacement_devices" w:history="1">
        <w:r w:rsidRPr="00A64142">
          <w:rPr>
            <w:rStyle w:val="Hyperlink"/>
            <w:szCs w:val="22"/>
          </w:rPr>
          <w:t>Joint Replacement Devices</w:t>
        </w:r>
      </w:hyperlink>
      <w:r w:rsidRPr="00A64142">
        <w:rPr>
          <w:szCs w:val="22"/>
        </w:rPr>
        <w:t>].</w:t>
      </w:r>
    </w:p>
    <w:p w14:paraId="5F923440" w14:textId="3B792E8C" w:rsidR="00F6631B" w:rsidRPr="00A64142" w:rsidRDefault="00F6631B" w:rsidP="00D502BF">
      <w:pPr>
        <w:widowControl w:val="0"/>
        <w:spacing w:before="0" w:line="240" w:lineRule="auto"/>
        <w:rPr>
          <w:szCs w:val="22"/>
        </w:rPr>
      </w:pPr>
      <w:r w:rsidRPr="00A64142">
        <w:rPr>
          <w:szCs w:val="22"/>
        </w:rPr>
        <w:t xml:space="preserve">A minimum amount of </w:t>
      </w:r>
      <w:r w:rsidRPr="00A64142">
        <w:rPr>
          <w:rFonts w:cs="Arial"/>
          <w:b/>
          <w:bCs/>
          <w:i/>
          <w:iCs/>
          <w:color w:val="358189"/>
          <w:szCs w:val="22"/>
        </w:rPr>
        <w:t>economic information</w:t>
      </w:r>
      <w:r w:rsidRPr="00A64142">
        <w:rPr>
          <w:szCs w:val="22"/>
        </w:rPr>
        <w:t xml:space="preserve"> is required for all applications assessed via the Tier 2b pathway. While a full economic evaluation is not required for this pathway, economic information is required to validate the proposed benefit and to demonstrate that it represents value for money for the new product in the proposed setting of use. </w:t>
      </w:r>
    </w:p>
    <w:p w14:paraId="30C16122" w14:textId="77777777" w:rsidR="00F8545E" w:rsidRPr="00A64142" w:rsidRDefault="00F6631B" w:rsidP="00F6631B">
      <w:pPr>
        <w:rPr>
          <w:szCs w:val="22"/>
        </w:rPr>
      </w:pPr>
      <w:r w:rsidRPr="00A64142">
        <w:rPr>
          <w:szCs w:val="22"/>
        </w:rPr>
        <w:t xml:space="preserve">Such information include: </w:t>
      </w:r>
    </w:p>
    <w:p w14:paraId="7A9962E0" w14:textId="77777777" w:rsidR="00F8545E" w:rsidRPr="00A64142" w:rsidRDefault="00F6631B" w:rsidP="004D3B86">
      <w:pPr>
        <w:pStyle w:val="Bulletpoint"/>
        <w:ind w:left="426" w:hanging="426"/>
        <w:rPr>
          <w:sz w:val="22"/>
        </w:rPr>
      </w:pPr>
      <w:r w:rsidRPr="00A64142">
        <w:rPr>
          <w:sz w:val="22"/>
        </w:rPr>
        <w:t>the cost of the subject device</w:t>
      </w:r>
    </w:p>
    <w:p w14:paraId="4E0052CD" w14:textId="77777777" w:rsidR="00F8545E" w:rsidRPr="00A64142" w:rsidRDefault="00F6631B" w:rsidP="004D3B86">
      <w:pPr>
        <w:pStyle w:val="Bulletpoint"/>
        <w:ind w:left="426" w:hanging="426"/>
        <w:rPr>
          <w:sz w:val="22"/>
        </w:rPr>
      </w:pPr>
      <w:r w:rsidRPr="00A64142">
        <w:rPr>
          <w:sz w:val="22"/>
        </w:rPr>
        <w:t>any relevant downstream costs associated with the use of the subject device</w:t>
      </w:r>
    </w:p>
    <w:p w14:paraId="07244627" w14:textId="77777777" w:rsidR="00F8545E" w:rsidRPr="00A64142" w:rsidRDefault="00F6631B" w:rsidP="004D3B86">
      <w:pPr>
        <w:pStyle w:val="Bulletpoint"/>
        <w:ind w:left="426" w:hanging="426"/>
        <w:rPr>
          <w:sz w:val="22"/>
        </w:rPr>
      </w:pPr>
      <w:r w:rsidRPr="00A64142">
        <w:rPr>
          <w:sz w:val="22"/>
        </w:rPr>
        <w:t>the cost of the comparators</w:t>
      </w:r>
    </w:p>
    <w:p w14:paraId="40D2E69D" w14:textId="77777777" w:rsidR="00F8545E" w:rsidRPr="00A64142" w:rsidRDefault="00F6631B" w:rsidP="004D3B86">
      <w:pPr>
        <w:pStyle w:val="Bulletpoint"/>
        <w:ind w:left="426" w:hanging="426"/>
        <w:rPr>
          <w:sz w:val="22"/>
        </w:rPr>
      </w:pPr>
      <w:r w:rsidRPr="00A64142">
        <w:rPr>
          <w:sz w:val="22"/>
        </w:rPr>
        <w:t>any relevant downstream costs associated with the use of the comparators</w:t>
      </w:r>
    </w:p>
    <w:p w14:paraId="17273984" w14:textId="1C7EA028" w:rsidR="00F6631B" w:rsidRPr="00A64142" w:rsidRDefault="00F6631B" w:rsidP="004D3B86">
      <w:pPr>
        <w:pStyle w:val="Bulletpoint"/>
        <w:ind w:left="426" w:hanging="426"/>
        <w:rPr>
          <w:sz w:val="22"/>
        </w:rPr>
      </w:pPr>
      <w:r w:rsidRPr="00A64142">
        <w:rPr>
          <w:sz w:val="22"/>
        </w:rPr>
        <w:t>expected rates of use of the new product compared with the comparators.</w:t>
      </w:r>
    </w:p>
    <w:p w14:paraId="67646E68" w14:textId="316F28A2" w:rsidR="00F6631B" w:rsidRPr="00A64142" w:rsidRDefault="00F6631B" w:rsidP="00D502BF">
      <w:pPr>
        <w:widowControl w:val="0"/>
        <w:spacing w:line="240" w:lineRule="auto"/>
        <w:rPr>
          <w:szCs w:val="22"/>
        </w:rPr>
      </w:pPr>
      <w:r w:rsidRPr="00A64142">
        <w:rPr>
          <w:szCs w:val="22"/>
        </w:rPr>
        <w:t xml:space="preserve">Such information could also </w:t>
      </w:r>
      <w:r w:rsidR="004D3B86" w:rsidRPr="00A64142">
        <w:rPr>
          <w:szCs w:val="22"/>
        </w:rPr>
        <w:t>include</w:t>
      </w:r>
      <w:r w:rsidR="003F263B" w:rsidRPr="00A64142">
        <w:rPr>
          <w:szCs w:val="22"/>
        </w:rPr>
        <w:t xml:space="preserve"> </w:t>
      </w:r>
      <w:r w:rsidRPr="00A64142">
        <w:rPr>
          <w:szCs w:val="22"/>
        </w:rPr>
        <w:t>prices of the subject device in other markets (both overseas and within Australia), and an economic evaluation.</w:t>
      </w:r>
    </w:p>
    <w:p w14:paraId="12EC7702" w14:textId="6CEEAAA5" w:rsidR="00F6631B" w:rsidRPr="00A64142" w:rsidRDefault="00F6631B" w:rsidP="00F6631B">
      <w:pPr>
        <w:rPr>
          <w:szCs w:val="22"/>
        </w:rPr>
      </w:pPr>
      <w:r w:rsidRPr="00A64142">
        <w:rPr>
          <w:szCs w:val="22"/>
        </w:rPr>
        <w:t>Any economic claims made in the application are required to be supported by appropriate clinical evidence or data. For example, where a claim is made about reductions in theatre time, hospital stay, post-surgical care costs, fewer complications, or reduced revision surgery, evidence should be provided that these are real reductions and not potential or theoretical.</w:t>
      </w:r>
    </w:p>
    <w:p w14:paraId="22D20A33" w14:textId="35AE541A" w:rsidR="00F6631B" w:rsidRDefault="00F6631B" w:rsidP="00F6631B">
      <w:pPr>
        <w:rPr>
          <w:highlight w:val="yellow"/>
        </w:rPr>
      </w:pPr>
      <w:r w:rsidRPr="00A64142">
        <w:rPr>
          <w:szCs w:val="22"/>
        </w:rPr>
        <w:t>In order for an application to be assessed via the Tier 2b pathway, any included economic evaluation must be wholly based on one or more clinical studies with no economic modelling. In other words, economic evaluations will have a time horizon that is no longer than the longest</w:t>
      </w:r>
      <w:r>
        <w:t xml:space="preserve"> duration of the available clinical study and will rely on outcomes collected in clinical studies. In technical terms, this means there can be no extrapolation of outcomes (i.e. extending the duration of the economic evaluation beyond the duration of the clinical studies), and no transformation of outcomes (i.e. no mapping of particular outcomes to changes in quality of life; or linking of surrogate outcomes from a clinical study of the product to predicted final outcomes from other sources). The exception to this will be situations where a clinical study has directly collected patient reported outcome measures in the form of health-related utility weights (e.g. via validated ‘multi-attribute instruments’ such as the EQ-5D, HUI-3 or AQoL).</w:t>
      </w:r>
    </w:p>
    <w:p w14:paraId="59B8B970" w14:textId="715F4EFF" w:rsidR="00FC3ECD" w:rsidRPr="00D66EEE" w:rsidRDefault="00FC3ECD" w:rsidP="00FC3ECD">
      <w:r w:rsidRPr="00D66EEE">
        <w:lastRenderedPageBreak/>
        <w:t xml:space="preserve">The </w:t>
      </w:r>
      <w:r w:rsidRPr="00D66EEE">
        <w:rPr>
          <w:rFonts w:cs="Arial"/>
          <w:b/>
          <w:bCs/>
          <w:i/>
          <w:iCs/>
          <w:color w:val="358189"/>
          <w:szCs w:val="22"/>
        </w:rPr>
        <w:t>overall impact</w:t>
      </w:r>
      <w:r w:rsidRPr="00D66EEE">
        <w:t xml:space="preserve"> in terms of cost effectiveness of care relative to the comparators should be indicated in the application. An indication that the new medical device is expected to reduce, increase or not change the total cost of care per patient (i.e., the net cost) within the health system relative to the comparators should be provided in the application. Refer to the </w:t>
      </w:r>
      <w:hyperlink r:id="rId60" w:history="1">
        <w:r w:rsidRPr="00D66EEE">
          <w:rPr>
            <w:rStyle w:val="Hyperlink"/>
          </w:rPr>
          <w:t>MSAC Guidelines</w:t>
        </w:r>
      </w:hyperlink>
      <w:r w:rsidRPr="00D66EEE">
        <w:t xml:space="preserve"> for guidance on this.</w:t>
      </w:r>
    </w:p>
    <w:p w14:paraId="403BBDB4" w14:textId="16D50532" w:rsidR="00D067D6" w:rsidRPr="00B65FDB" w:rsidRDefault="00D067D6" w:rsidP="00097CB0">
      <w:pPr>
        <w:pStyle w:val="Heading3"/>
      </w:pPr>
      <w:bookmarkStart w:id="129" w:name="_Tier_3:_Full_1"/>
      <w:bookmarkStart w:id="130" w:name="_Toc149228542"/>
      <w:bookmarkEnd w:id="129"/>
      <w:r w:rsidRPr="00B65FDB">
        <w:t xml:space="preserve">Tier 3: Full HTA </w:t>
      </w:r>
      <w:r w:rsidR="004F0010">
        <w:t>P</w:t>
      </w:r>
      <w:r w:rsidRPr="00B65FDB">
        <w:t>athway MSAC and MDHTAC</w:t>
      </w:r>
      <w:bookmarkEnd w:id="130"/>
    </w:p>
    <w:p w14:paraId="4EE98452" w14:textId="3DFE88D0" w:rsidR="00D067D6" w:rsidRPr="00B65FDB" w:rsidRDefault="00D067D6" w:rsidP="00894A96">
      <w:r w:rsidRPr="00B65FDB">
        <w:t xml:space="preserve">The Tier 3 </w:t>
      </w:r>
      <w:r w:rsidR="006A2EF9">
        <w:t>(</w:t>
      </w:r>
      <w:r w:rsidR="002D6423">
        <w:t>F</w:t>
      </w:r>
      <w:r w:rsidRPr="00B65FDB">
        <w:t>ull HTA</w:t>
      </w:r>
      <w:r w:rsidR="006A2EF9">
        <w:t>)</w:t>
      </w:r>
      <w:r w:rsidRPr="00B65FDB">
        <w:t xml:space="preserve"> </w:t>
      </w:r>
      <w:r w:rsidR="002D6423">
        <w:t>P</w:t>
      </w:r>
      <w:r w:rsidRPr="00B65FDB">
        <w:t>athway, is</w:t>
      </w:r>
      <w:r w:rsidR="000260CC">
        <w:t xml:space="preserve"> for</w:t>
      </w:r>
      <w:r w:rsidRPr="00B65FDB">
        <w:t xml:space="preserve"> devices </w:t>
      </w:r>
      <w:r w:rsidR="00894A96">
        <w:t xml:space="preserve">requiring assessment by the MSAC in order </w:t>
      </w:r>
      <w:r w:rsidRPr="00B65FDB">
        <w:t xml:space="preserve">to establish the comparative clinical effectiveness and cost-effectiveness and, in some cases, </w:t>
      </w:r>
      <w:r w:rsidR="00894A96">
        <w:t xml:space="preserve">assessment of the device is conducted </w:t>
      </w:r>
      <w:r w:rsidR="006A2EF9">
        <w:t>as</w:t>
      </w:r>
      <w:r w:rsidR="00894A96">
        <w:t xml:space="preserve"> part of the assessment of </w:t>
      </w:r>
      <w:r w:rsidRPr="00B65FDB">
        <w:t xml:space="preserve">the related </w:t>
      </w:r>
      <w:r w:rsidR="006A2EF9">
        <w:t>Medicare</w:t>
      </w:r>
      <w:r w:rsidR="006A2EF9" w:rsidRPr="00B65FDB">
        <w:t xml:space="preserve"> </w:t>
      </w:r>
      <w:r w:rsidRPr="00B65FDB">
        <w:t xml:space="preserve">service. </w:t>
      </w:r>
      <w:r w:rsidR="007800E3" w:rsidRPr="007800E3">
        <w:t xml:space="preserve">The PL application may </w:t>
      </w:r>
      <w:r w:rsidR="006A2EF9">
        <w:t xml:space="preserve">be submitted </w:t>
      </w:r>
      <w:r w:rsidR="00894A96">
        <w:t xml:space="preserve">prior to, or </w:t>
      </w:r>
      <w:r w:rsidR="007800E3" w:rsidRPr="007800E3">
        <w:t>concurrently</w:t>
      </w:r>
      <w:r w:rsidR="006A2EF9">
        <w:t xml:space="preserve"> with</w:t>
      </w:r>
      <w:r w:rsidR="00894A96">
        <w:t>,</w:t>
      </w:r>
      <w:r w:rsidR="007800E3" w:rsidRPr="007800E3">
        <w:t xml:space="preserve"> or subsequent to the MSAC application.</w:t>
      </w:r>
      <w:r w:rsidR="007800E3">
        <w:t xml:space="preserve"> </w:t>
      </w:r>
      <w:r w:rsidR="005D18E2">
        <w:t>A</w:t>
      </w:r>
      <w:r w:rsidR="005D18E2" w:rsidRPr="005D18E2">
        <w:t xml:space="preserve">pplications and </w:t>
      </w:r>
      <w:r w:rsidR="006A2EF9">
        <w:t>the respective</w:t>
      </w:r>
      <w:r w:rsidR="006A2EF9" w:rsidRPr="005D18E2">
        <w:t xml:space="preserve"> </w:t>
      </w:r>
      <w:r w:rsidR="005D18E2" w:rsidRPr="005D18E2">
        <w:t xml:space="preserve">correspondence must identify and explain the link between the PL application (whether underway or planned in the future) and the MSAC application. </w:t>
      </w:r>
      <w:r w:rsidRPr="00B65FDB">
        <w:t xml:space="preserve">Examples of applications that require Tier 3 </w:t>
      </w:r>
      <w:r w:rsidR="00A54E82">
        <w:t>P</w:t>
      </w:r>
      <w:r w:rsidRPr="00B65FDB">
        <w:t>athway include:</w:t>
      </w:r>
    </w:p>
    <w:p w14:paraId="6F862723" w14:textId="5DF399E5" w:rsidR="00D067D6" w:rsidRPr="00B65FDB" w:rsidRDefault="00D067D6" w:rsidP="00437E99">
      <w:pPr>
        <w:pStyle w:val="ListParagraph"/>
        <w:numPr>
          <w:ilvl w:val="0"/>
          <w:numId w:val="19"/>
        </w:numPr>
        <w:tabs>
          <w:tab w:val="left" w:pos="426"/>
        </w:tabs>
        <w:spacing w:before="60" w:after="60"/>
        <w:ind w:left="426" w:hanging="426"/>
        <w:contextualSpacing w:val="0"/>
      </w:pPr>
      <w:r w:rsidRPr="00B65FDB">
        <w:t xml:space="preserve">applications for listing medical devices on the PL where there is no relevant MBS item </w:t>
      </w:r>
      <w:r w:rsidR="006A2EF9">
        <w:t xml:space="preserve">associated with </w:t>
      </w:r>
      <w:r w:rsidRPr="00B65FDB">
        <w:t xml:space="preserve">the use of the device (a new MBS item is </w:t>
      </w:r>
      <w:r w:rsidR="00D3666A" w:rsidRPr="00B65FDB">
        <w:t>required,</w:t>
      </w:r>
      <w:r w:rsidRPr="00B65FDB">
        <w:t xml:space="preserve"> or an MBS item descriptor </w:t>
      </w:r>
      <w:r w:rsidR="006A2EF9">
        <w:t xml:space="preserve">is </w:t>
      </w:r>
      <w:r w:rsidR="006A2EF9" w:rsidRPr="00B65FDB">
        <w:t>require</w:t>
      </w:r>
      <w:r w:rsidR="006A2EF9">
        <w:t>d to be</w:t>
      </w:r>
      <w:r w:rsidRPr="00B65FDB">
        <w:t xml:space="preserve"> </w:t>
      </w:r>
      <w:r w:rsidR="006A2EF9" w:rsidRPr="00B65FDB">
        <w:t>amend</w:t>
      </w:r>
      <w:r w:rsidR="006A2EF9">
        <w:t>ed</w:t>
      </w:r>
      <w:r w:rsidRPr="00B65FDB">
        <w:t>)</w:t>
      </w:r>
    </w:p>
    <w:p w14:paraId="42BC8F77" w14:textId="4678FC0C" w:rsidR="000714C5" w:rsidRDefault="00D067D6" w:rsidP="00437E99">
      <w:pPr>
        <w:pStyle w:val="ListParagraph"/>
        <w:numPr>
          <w:ilvl w:val="0"/>
          <w:numId w:val="19"/>
        </w:numPr>
        <w:tabs>
          <w:tab w:val="left" w:pos="426"/>
        </w:tabs>
        <w:spacing w:before="60" w:after="60"/>
        <w:ind w:left="426" w:hanging="426"/>
        <w:contextualSpacing w:val="0"/>
      </w:pPr>
      <w:r w:rsidRPr="00B65FDB">
        <w:t>the device is a novel or first in class technology and/or there are no appropriate comparators on the PL</w:t>
      </w:r>
    </w:p>
    <w:p w14:paraId="569D96BA" w14:textId="59E7AABB" w:rsidR="00D067D6" w:rsidRDefault="00D067D6" w:rsidP="00437E99">
      <w:pPr>
        <w:pStyle w:val="ListParagraph"/>
        <w:numPr>
          <w:ilvl w:val="0"/>
          <w:numId w:val="19"/>
        </w:numPr>
        <w:tabs>
          <w:tab w:val="left" w:pos="426"/>
        </w:tabs>
        <w:spacing w:before="60" w:after="60"/>
        <w:ind w:left="426" w:hanging="426"/>
        <w:contextualSpacing w:val="0"/>
      </w:pPr>
      <w:r w:rsidRPr="00B65FDB">
        <w:t xml:space="preserve">applications where </w:t>
      </w:r>
      <w:r w:rsidR="00894A96">
        <w:t xml:space="preserve">listing of the device on </w:t>
      </w:r>
      <w:r w:rsidRPr="00B65FDB">
        <w:t xml:space="preserve">the PL </w:t>
      </w:r>
      <w:r w:rsidR="00894A96">
        <w:t xml:space="preserve">will likely </w:t>
      </w:r>
      <w:r w:rsidR="00C11CD5">
        <w:t xml:space="preserve">cause significant financial impact on </w:t>
      </w:r>
      <w:r w:rsidR="00894A96">
        <w:t>the overall PL expenditure</w:t>
      </w:r>
      <w:r w:rsidR="00884866">
        <w:t>,</w:t>
      </w:r>
      <w:r w:rsidR="00DF25CB">
        <w:t xml:space="preserve"> </w:t>
      </w:r>
      <w:r w:rsidR="00673CD5">
        <w:t xml:space="preserve">and </w:t>
      </w:r>
      <w:r w:rsidR="00894A96">
        <w:t xml:space="preserve">therefore </w:t>
      </w:r>
      <w:r w:rsidRPr="00B65FDB">
        <w:t xml:space="preserve">a detailed financial assessment </w:t>
      </w:r>
      <w:r w:rsidR="00673CD5">
        <w:t xml:space="preserve">is </w:t>
      </w:r>
      <w:r w:rsidRPr="00B65FDB">
        <w:t>warranted.</w:t>
      </w:r>
    </w:p>
    <w:p w14:paraId="76AC3396" w14:textId="362F06EF" w:rsidR="00D067D6" w:rsidRDefault="00894A96" w:rsidP="00D067D6">
      <w:r w:rsidRPr="00894A96">
        <w:t xml:space="preserve">It is often a decision of the sponsor </w:t>
      </w:r>
      <w:r w:rsidR="006A2EF9">
        <w:t>who</w:t>
      </w:r>
      <w:r>
        <w:t xml:space="preserve"> submit</w:t>
      </w:r>
      <w:r w:rsidR="006A2EF9">
        <w:t>s</w:t>
      </w:r>
      <w:r>
        <w:t xml:space="preserve"> a </w:t>
      </w:r>
      <w:r w:rsidR="00D067D6">
        <w:t xml:space="preserve">Tier 3 application, or </w:t>
      </w:r>
      <w:r w:rsidR="00D067D6" w:rsidRPr="00E3457D">
        <w:t xml:space="preserve">the </w:t>
      </w:r>
      <w:r w:rsidR="002D6423">
        <w:t>d</w:t>
      </w:r>
      <w:r w:rsidR="00D067D6" w:rsidRPr="00E3457D">
        <w:t>epartment, ECAG or MDHTAC</w:t>
      </w:r>
      <w:r w:rsidR="0045521F">
        <w:t xml:space="preserve"> </w:t>
      </w:r>
      <w:r w:rsidR="001C2AC3" w:rsidRPr="001C2AC3">
        <w:t xml:space="preserve">may recommend the device </w:t>
      </w:r>
      <w:r w:rsidR="006A2EF9">
        <w:t xml:space="preserve">is required </w:t>
      </w:r>
      <w:r w:rsidR="001C2AC3" w:rsidRPr="001C2AC3">
        <w:t>to be assessed by the MSAC</w:t>
      </w:r>
      <w:r w:rsidR="006A2EF9">
        <w:t>. This may occur</w:t>
      </w:r>
      <w:r w:rsidR="001C2AC3">
        <w:t xml:space="preserve"> at any time during assessment of an application submitted under </w:t>
      </w:r>
      <w:r w:rsidR="0045521F">
        <w:t xml:space="preserve">Tier 2 </w:t>
      </w:r>
      <w:r w:rsidR="00D4281F">
        <w:t>P</w:t>
      </w:r>
      <w:r w:rsidR="0045521F">
        <w:t>athway</w:t>
      </w:r>
      <w:r w:rsidR="009C7FED">
        <w:t xml:space="preserve">. </w:t>
      </w:r>
    </w:p>
    <w:p w14:paraId="7DF1A068" w14:textId="54E335B3" w:rsidR="009C7FED" w:rsidRDefault="00941390" w:rsidP="009C7FED">
      <w:r>
        <w:t>T</w:t>
      </w:r>
      <w:r w:rsidR="00D067D6">
        <w:t xml:space="preserve">he sponsor </w:t>
      </w:r>
      <w:r>
        <w:t xml:space="preserve">will be advised </w:t>
      </w:r>
      <w:r w:rsidR="00D067D6">
        <w:t xml:space="preserve">that assessment via the Tier 3 </w:t>
      </w:r>
      <w:r w:rsidR="00D4281F">
        <w:t>P</w:t>
      </w:r>
      <w:r w:rsidR="00D067D6">
        <w:t xml:space="preserve">athway is </w:t>
      </w:r>
      <w:r w:rsidR="006A2EF9">
        <w:t>required</w:t>
      </w:r>
      <w:r w:rsidR="002A18C2">
        <w:t xml:space="preserve"> </w:t>
      </w:r>
      <w:r w:rsidR="00D067D6">
        <w:t>(Figure 4).</w:t>
      </w:r>
      <w:r w:rsidR="002A18C2">
        <w:t xml:space="preserve"> </w:t>
      </w:r>
      <w:r w:rsidR="00D067D6">
        <w:t xml:space="preserve">The sponsor may then decide to </w:t>
      </w:r>
      <w:r w:rsidR="009C7FED">
        <w:t xml:space="preserve">continue down </w:t>
      </w:r>
      <w:r w:rsidR="00D067D6">
        <w:t xml:space="preserve">the Tier 2 </w:t>
      </w:r>
      <w:r w:rsidR="00D4281F">
        <w:t>P</w:t>
      </w:r>
      <w:r w:rsidR="00D067D6">
        <w:t>athway, noting the</w:t>
      </w:r>
      <w:r w:rsidR="009C7FED">
        <w:t>re is a</w:t>
      </w:r>
      <w:r w:rsidR="00D067D6">
        <w:t xml:space="preserve"> risk the application may be </w:t>
      </w:r>
      <w:r w:rsidR="006A2EF9">
        <w:t>rejected</w:t>
      </w:r>
      <w:r w:rsidR="009C7FED">
        <w:t xml:space="preserve">; </w:t>
      </w:r>
      <w:r w:rsidR="00D067D6">
        <w:t xml:space="preserve">or the sponsor may agree to proceed down the Tier 3 </w:t>
      </w:r>
      <w:r w:rsidR="00D4281F">
        <w:t>P</w:t>
      </w:r>
      <w:r w:rsidR="00D067D6">
        <w:t xml:space="preserve">athway. Where a sponsor agrees to proceed to the Tier 3 </w:t>
      </w:r>
      <w:r w:rsidR="00D4281F">
        <w:t>P</w:t>
      </w:r>
      <w:r w:rsidR="00D067D6">
        <w:t xml:space="preserve">athway, they will be required to submit a completed MSAC </w:t>
      </w:r>
      <w:r w:rsidR="0BB0215B">
        <w:t>a</w:t>
      </w:r>
      <w:r w:rsidR="00D067D6">
        <w:t xml:space="preserve">pplication </w:t>
      </w:r>
      <w:r w:rsidR="430A6CBD">
        <w:t>f</w:t>
      </w:r>
      <w:r w:rsidR="00D067D6">
        <w:t>orm via the HPP. The PL application may or may not require further consideration by ECAGs and/or the MDHTAC.</w:t>
      </w:r>
      <w:r w:rsidR="009C7FED">
        <w:t xml:space="preserve"> This will be dependent on what stage the application was at in the PL process.</w:t>
      </w:r>
    </w:p>
    <w:p w14:paraId="222E3E2F" w14:textId="2B9008C4" w:rsidR="00D067D6" w:rsidRPr="00B65FDB" w:rsidRDefault="00950DD9" w:rsidP="00D067D6">
      <w:r w:rsidRPr="00950DD9">
        <w:t>MSAC may seek advice from the relevant ECAG or MDHTAC. The information provided to MSAC as part of these processes will be shared with the sponsor.</w:t>
      </w:r>
      <w:r w:rsidR="00932555">
        <w:t xml:space="preserve"> </w:t>
      </w:r>
      <w:r w:rsidR="00D067D6" w:rsidRPr="00B65FDB">
        <w:t xml:space="preserve">The MSAC and PL applications will undergo separate </w:t>
      </w:r>
      <w:r w:rsidR="00D3666A" w:rsidRPr="00B65FDB">
        <w:t>assessments,</w:t>
      </w:r>
      <w:r w:rsidR="00D067D6" w:rsidRPr="00B65FDB">
        <w:t xml:space="preserve"> but information may be shared throughout the assessment process. </w:t>
      </w:r>
    </w:p>
    <w:p w14:paraId="58A4AB9F" w14:textId="4758CAD7" w:rsidR="001E241F" w:rsidRDefault="00D067D6" w:rsidP="00D067D6">
      <w:r w:rsidRPr="00B65FDB">
        <w:t xml:space="preserve">Information about MSAC </w:t>
      </w:r>
      <w:r w:rsidR="00774558">
        <w:t xml:space="preserve">requirements and </w:t>
      </w:r>
      <w:r w:rsidRPr="00B65FDB">
        <w:t xml:space="preserve">processes, cut-off dates for lodgement, timelines and the technical guidelines for preparing assessment reports are available on </w:t>
      </w:r>
      <w:r w:rsidRPr="002D6423">
        <w:t xml:space="preserve">the </w:t>
      </w:r>
      <w:hyperlink r:id="rId61" w:history="1">
        <w:r w:rsidRPr="002D6423">
          <w:rPr>
            <w:rStyle w:val="Hyperlink"/>
          </w:rPr>
          <w:t>MSAC website</w:t>
        </w:r>
      </w:hyperlink>
      <w:r w:rsidRPr="002D6423">
        <w:t>.</w:t>
      </w:r>
    </w:p>
    <w:p w14:paraId="0E405C9E" w14:textId="0D784591" w:rsidR="00B25F1A" w:rsidRPr="00BF0E7A" w:rsidRDefault="009C7FED" w:rsidP="00BF0E7A">
      <w:pPr>
        <w:rPr>
          <w:rFonts w:cs="Arial"/>
          <w:b/>
          <w:bCs/>
        </w:rPr>
      </w:pPr>
      <w:r w:rsidRPr="20C5E881">
        <w:rPr>
          <w:rFonts w:cs="Arial"/>
          <w:b/>
          <w:bCs/>
        </w:rPr>
        <w:t xml:space="preserve">Figure 4: Overview of the </w:t>
      </w:r>
      <w:r w:rsidR="00F7377C" w:rsidRPr="20C5E881">
        <w:rPr>
          <w:rFonts w:cs="Arial"/>
          <w:b/>
          <w:bCs/>
        </w:rPr>
        <w:t>A</w:t>
      </w:r>
      <w:r w:rsidRPr="20C5E881">
        <w:rPr>
          <w:rFonts w:cs="Arial"/>
          <w:b/>
          <w:bCs/>
        </w:rPr>
        <w:t xml:space="preserve">ssessment </w:t>
      </w:r>
      <w:r w:rsidR="00F7377C" w:rsidRPr="20C5E881">
        <w:rPr>
          <w:rFonts w:cs="Arial"/>
          <w:b/>
          <w:bCs/>
        </w:rPr>
        <w:t>P</w:t>
      </w:r>
      <w:r w:rsidRPr="20C5E881">
        <w:rPr>
          <w:rFonts w:cs="Arial"/>
          <w:b/>
          <w:bCs/>
        </w:rPr>
        <w:t xml:space="preserve">rocess for </w:t>
      </w:r>
      <w:r w:rsidR="00F7377C" w:rsidRPr="20C5E881">
        <w:rPr>
          <w:rFonts w:cs="Arial"/>
          <w:b/>
          <w:bCs/>
        </w:rPr>
        <w:t>the F</w:t>
      </w:r>
      <w:r w:rsidRPr="20C5E881">
        <w:rPr>
          <w:rFonts w:cs="Arial"/>
          <w:b/>
          <w:bCs/>
        </w:rPr>
        <w:t xml:space="preserve">ull HTA </w:t>
      </w:r>
      <w:r w:rsidR="00F7377C" w:rsidRPr="20C5E881">
        <w:rPr>
          <w:rFonts w:cs="Arial"/>
          <w:b/>
          <w:bCs/>
        </w:rPr>
        <w:t>P</w:t>
      </w:r>
      <w:r w:rsidRPr="20C5E881">
        <w:rPr>
          <w:rFonts w:cs="Arial"/>
          <w:b/>
          <w:bCs/>
        </w:rPr>
        <w:t>athway</w:t>
      </w:r>
      <w:r w:rsidR="009D54CB">
        <w:t xml:space="preserve">     </w:t>
      </w:r>
    </w:p>
    <w:p w14:paraId="22D3062F" w14:textId="590CF62F" w:rsidR="00BF0E7A" w:rsidRDefault="00BF0E7A" w:rsidP="00BF0E7A">
      <w:pPr>
        <w:jc w:val="center"/>
        <w:rPr>
          <w:rFonts w:cs="Arial"/>
          <w:b/>
          <w:bCs/>
          <w:color w:val="3F4A75"/>
          <w:kern w:val="28"/>
          <w:sz w:val="44"/>
          <w:szCs w:val="36"/>
        </w:rPr>
      </w:pPr>
      <w:r>
        <w:rPr>
          <w:noProof/>
        </w:rPr>
        <w:lastRenderedPageBreak/>
        <w:drawing>
          <wp:inline distT="0" distB="0" distL="0" distR="0" wp14:anchorId="148239F6" wp14:editId="2ABEE9CB">
            <wp:extent cx="4477110" cy="3630845"/>
            <wp:effectExtent l="0" t="0" r="0" b="8255"/>
            <wp:docPr id="6" name="Picture 6" descr="Overview of the Assessment Process for the Full HTA Pathw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Overview of the Assessment Process for the Full HTA Pathway     "/>
                    <pic:cNvPicPr/>
                  </pic:nvPicPr>
                  <pic:blipFill rotWithShape="1">
                    <a:blip r:embed="rId62"/>
                    <a:srcRect t="4051"/>
                    <a:stretch/>
                  </pic:blipFill>
                  <pic:spPr bwMode="auto">
                    <a:xfrm>
                      <a:off x="0" y="0"/>
                      <a:ext cx="4501548" cy="3650664"/>
                    </a:xfrm>
                    <a:prstGeom prst="rect">
                      <a:avLst/>
                    </a:prstGeom>
                    <a:ln>
                      <a:noFill/>
                    </a:ln>
                    <a:extLst>
                      <a:ext uri="{53640926-AAD7-44D8-BBD7-CCE9431645EC}">
                        <a14:shadowObscured xmlns:a14="http://schemas.microsoft.com/office/drawing/2010/main"/>
                      </a:ext>
                    </a:extLst>
                  </pic:spPr>
                </pic:pic>
              </a:graphicData>
            </a:graphic>
          </wp:inline>
        </w:drawing>
      </w:r>
      <w:bookmarkStart w:id="131" w:name="_Chapter_6:_Information"/>
      <w:bookmarkStart w:id="132" w:name="_Toc135832469"/>
      <w:bookmarkEnd w:id="131"/>
    </w:p>
    <w:p w14:paraId="614D5B57" w14:textId="77777777" w:rsidR="00BF0E7A" w:rsidRDefault="00BF0E7A" w:rsidP="00BF0E7A">
      <w:pPr>
        <w:jc w:val="center"/>
        <w:rPr>
          <w:rFonts w:cs="Arial"/>
          <w:b/>
          <w:bCs/>
          <w:color w:val="3F4A75"/>
          <w:kern w:val="28"/>
          <w:sz w:val="44"/>
          <w:szCs w:val="36"/>
        </w:rPr>
      </w:pPr>
    </w:p>
    <w:p w14:paraId="04C85B5B" w14:textId="527D0FC6" w:rsidR="00C23C94" w:rsidRDefault="00BF0E7A" w:rsidP="00BF0E7A">
      <w:pPr>
        <w:jc w:val="center"/>
        <w:rPr>
          <w:rFonts w:cs="Arial"/>
          <w:b/>
          <w:bCs/>
          <w:color w:val="3F4A75"/>
          <w:kern w:val="28"/>
          <w:sz w:val="44"/>
          <w:szCs w:val="36"/>
        </w:rPr>
      </w:pPr>
      <w:r>
        <w:rPr>
          <w:noProof/>
        </w:rPr>
        <w:drawing>
          <wp:inline distT="0" distB="0" distL="0" distR="0" wp14:anchorId="7293C708" wp14:editId="3BF29178">
            <wp:extent cx="6098027" cy="3674853"/>
            <wp:effectExtent l="0" t="0" r="0" b="1905"/>
            <wp:docPr id="9" name="Picture 9" descr="Overview of the Assessment Process for the Full HTA Pathwa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Overview of the Assessment Process for the Full HTA Pathway     "/>
                    <pic:cNvPicPr/>
                  </pic:nvPicPr>
                  <pic:blipFill>
                    <a:blip r:embed="rId63"/>
                    <a:stretch>
                      <a:fillRect/>
                    </a:stretch>
                  </pic:blipFill>
                  <pic:spPr>
                    <a:xfrm>
                      <a:off x="0" y="0"/>
                      <a:ext cx="6112575" cy="3683620"/>
                    </a:xfrm>
                    <a:prstGeom prst="rect">
                      <a:avLst/>
                    </a:prstGeom>
                  </pic:spPr>
                </pic:pic>
              </a:graphicData>
            </a:graphic>
          </wp:inline>
        </w:drawing>
      </w:r>
    </w:p>
    <w:p w14:paraId="5E3B9820" w14:textId="446F8183" w:rsidR="00D067D6" w:rsidRDefault="005732BC" w:rsidP="002732DB">
      <w:pPr>
        <w:pStyle w:val="Heading1"/>
        <w:spacing w:after="240"/>
      </w:pPr>
      <w:bookmarkStart w:id="133" w:name="_Toc149228543"/>
      <w:r>
        <w:lastRenderedPageBreak/>
        <w:t xml:space="preserve">Chapter 6: </w:t>
      </w:r>
      <w:r w:rsidR="00D067D6" w:rsidRPr="00B65FDB">
        <w:t xml:space="preserve">Information </w:t>
      </w:r>
      <w:r w:rsidR="00D067D6">
        <w:t xml:space="preserve">and evidence </w:t>
      </w:r>
      <w:bookmarkEnd w:id="132"/>
      <w:r w:rsidR="002226E9">
        <w:t>to be provided in the applications</w:t>
      </w:r>
      <w:bookmarkEnd w:id="133"/>
    </w:p>
    <w:p w14:paraId="4383A0C5" w14:textId="0C488157" w:rsidR="00450862" w:rsidRDefault="00450862" w:rsidP="00450862">
      <w:r>
        <w:t xml:space="preserve">The sponsors are required to fill in the HPP application form and attach the </w:t>
      </w:r>
      <w:r w:rsidR="002226E9">
        <w:t xml:space="preserve">documentation required to inform the assessment. </w:t>
      </w:r>
      <w:r w:rsidR="00021AC8">
        <w:t xml:space="preserve">The information required to be provided </w:t>
      </w:r>
      <w:r>
        <w:t xml:space="preserve">depends on the assessment pathway </w:t>
      </w:r>
      <w:r w:rsidR="00021AC8">
        <w:t xml:space="preserve">the sponsor </w:t>
      </w:r>
      <w:r>
        <w:t>selected, the device category, group etc, clinical claims, novelty etc.</w:t>
      </w:r>
      <w:r w:rsidR="00513D0E">
        <w:t xml:space="preserve"> </w:t>
      </w:r>
    </w:p>
    <w:p w14:paraId="29394FA7" w14:textId="3084FB15" w:rsidR="002C3D37" w:rsidRDefault="002C3D37" w:rsidP="002732DB">
      <w:pPr>
        <w:pStyle w:val="Heading2"/>
        <w:keepNext w:val="0"/>
        <w:widowControl w:val="0"/>
        <w:spacing w:before="120" w:after="120"/>
      </w:pPr>
      <w:bookmarkStart w:id="134" w:name="_Toc149228544"/>
      <w:r>
        <w:t xml:space="preserve">Information </w:t>
      </w:r>
      <w:r w:rsidR="0070759F">
        <w:t xml:space="preserve">required </w:t>
      </w:r>
      <w:r w:rsidR="002226E9">
        <w:t>in the application</w:t>
      </w:r>
      <w:bookmarkEnd w:id="134"/>
    </w:p>
    <w:p w14:paraId="3C43129B" w14:textId="603904D5" w:rsidR="00106219" w:rsidRDefault="00106219" w:rsidP="00437E99">
      <w:pPr>
        <w:shd w:val="clear" w:color="auto" w:fill="D9D9D9" w:themeFill="background1" w:themeFillShade="D9"/>
      </w:pPr>
      <w:r>
        <w:t>This section provide</w:t>
      </w:r>
      <w:r w:rsidR="0070759F">
        <w:t>s</w:t>
      </w:r>
      <w:r>
        <w:t xml:space="preserve"> detail</w:t>
      </w:r>
      <w:r w:rsidR="0070759F">
        <w:t>s</w:t>
      </w:r>
      <w:r>
        <w:t xml:space="preserve"> on the information sponsors </w:t>
      </w:r>
      <w:r w:rsidR="00513D0E">
        <w:t>are required</w:t>
      </w:r>
      <w:r>
        <w:t xml:space="preserve"> to </w:t>
      </w:r>
      <w:r w:rsidR="00450862">
        <w:t xml:space="preserve">provide </w:t>
      </w:r>
      <w:r w:rsidR="00513D0E">
        <w:t>when filling in</w:t>
      </w:r>
      <w:r>
        <w:t xml:space="preserve"> their </w:t>
      </w:r>
      <w:r w:rsidR="00513D0E">
        <w:t xml:space="preserve">HPP </w:t>
      </w:r>
      <w:r>
        <w:t>application</w:t>
      </w:r>
      <w:r w:rsidR="0070759F">
        <w:t>s</w:t>
      </w:r>
      <w:r>
        <w:t>.</w:t>
      </w:r>
    </w:p>
    <w:p w14:paraId="40EB54B9" w14:textId="10B5B5DA" w:rsidR="005C72AA" w:rsidRDefault="00001964" w:rsidP="00D067D6">
      <w:r>
        <w:t xml:space="preserve">In the HPP, </w:t>
      </w:r>
      <w:r w:rsidR="0070759F">
        <w:t xml:space="preserve">certain information will be pre-filled in the application. This will include the sponsor’s details, descriptors for the MBS items, information from the </w:t>
      </w:r>
      <w:r>
        <w:t xml:space="preserve">previous </w:t>
      </w:r>
      <w:r w:rsidR="0070759F">
        <w:t xml:space="preserve">similar </w:t>
      </w:r>
      <w:r>
        <w:t>applications</w:t>
      </w:r>
      <w:r w:rsidR="0070759F">
        <w:t>, and other information</w:t>
      </w:r>
      <w:r>
        <w:t xml:space="preserve">. </w:t>
      </w:r>
      <w:r w:rsidR="005C72AA">
        <w:t>For amendment</w:t>
      </w:r>
      <w:r>
        <w:t xml:space="preserve">, compression and expansion </w:t>
      </w:r>
      <w:r w:rsidR="005C72AA">
        <w:t xml:space="preserve">applications, </w:t>
      </w:r>
      <w:r>
        <w:t xml:space="preserve">after selecting </w:t>
      </w:r>
      <w:r w:rsidR="00EA0F1B">
        <w:t>an existing billing code</w:t>
      </w:r>
      <w:r w:rsidR="0070759F">
        <w:t xml:space="preserve"> in the application</w:t>
      </w:r>
      <w:r>
        <w:t xml:space="preserve">, </w:t>
      </w:r>
      <w:r w:rsidR="0070759F">
        <w:t xml:space="preserve">the details of the billing code </w:t>
      </w:r>
      <w:r w:rsidR="00EA0F1B">
        <w:t xml:space="preserve">will </w:t>
      </w:r>
      <w:r w:rsidR="002226E9">
        <w:t xml:space="preserve">also </w:t>
      </w:r>
      <w:r w:rsidR="00EA0F1B">
        <w:t xml:space="preserve">be pre-filled, and </w:t>
      </w:r>
      <w:r w:rsidR="0070759F">
        <w:t xml:space="preserve">the sponsor will </w:t>
      </w:r>
      <w:r w:rsidR="00EA0F1B">
        <w:t>only</w:t>
      </w:r>
      <w:r w:rsidR="005C72AA">
        <w:t xml:space="preserve"> </w:t>
      </w:r>
      <w:r w:rsidR="0070759F">
        <w:t xml:space="preserve">need to enter </w:t>
      </w:r>
      <w:r w:rsidR="005C72AA">
        <w:t xml:space="preserve">the </w:t>
      </w:r>
      <w:r w:rsidR="0070759F">
        <w:t>information they apply to amend</w:t>
      </w:r>
      <w:r w:rsidR="00EA0F1B">
        <w:t>.</w:t>
      </w:r>
    </w:p>
    <w:p w14:paraId="14CB0848" w14:textId="7D3B6C53" w:rsidR="0094164E" w:rsidRPr="00B65FDB" w:rsidRDefault="0094164E" w:rsidP="0094164E">
      <w:pPr>
        <w:spacing w:line="240" w:lineRule="auto"/>
        <w:rPr>
          <w:b/>
          <w:bCs/>
          <w:lang w:val="en-US"/>
        </w:rPr>
      </w:pPr>
      <w:r w:rsidRPr="6502A063">
        <w:rPr>
          <w:b/>
          <w:bCs/>
          <w:lang w:val="en-US"/>
        </w:rPr>
        <w:t xml:space="preserve">Table 1: </w:t>
      </w:r>
      <w:r w:rsidR="007577EA">
        <w:rPr>
          <w:b/>
          <w:bCs/>
          <w:lang w:val="en-US"/>
        </w:rPr>
        <w:t>I</w:t>
      </w:r>
      <w:r w:rsidRPr="6502A063">
        <w:rPr>
          <w:b/>
          <w:bCs/>
          <w:lang w:val="en-US"/>
        </w:rPr>
        <w:t xml:space="preserve">nformation required </w:t>
      </w:r>
      <w:r w:rsidR="007577EA">
        <w:rPr>
          <w:b/>
          <w:bCs/>
          <w:lang w:val="en-US"/>
        </w:rPr>
        <w:t>to be provided by the sponsor in the HPP application</w:t>
      </w:r>
      <w:r w:rsidR="00A90F20">
        <w:rPr>
          <w:b/>
          <w:bCs/>
          <w:lang w:val="en-US"/>
        </w:rPr>
        <w:t xml:space="preserve"> </w:t>
      </w:r>
      <w:r w:rsidR="00A90F20">
        <w:rPr>
          <w:b/>
          <w:bCs/>
          <w:lang w:val="en-US"/>
        </w:rPr>
        <w:br/>
      </w:r>
      <w:r w:rsidR="00A90F20" w:rsidRPr="00A90F20">
        <w:rPr>
          <w:sz w:val="20"/>
          <w:szCs w:val="20"/>
          <w:lang w:val="en-US"/>
        </w:rPr>
        <w:t>(the below table does not include the information sponsors are required to attach with the application)</w:t>
      </w:r>
      <w:r w:rsidRPr="00A90F20">
        <w:rPr>
          <w:sz w:val="20"/>
          <w:szCs w:val="20"/>
          <w:lang w:val="en-US"/>
        </w:rPr>
        <w:t>.</w:t>
      </w:r>
    </w:p>
    <w:tbl>
      <w:tblPr>
        <w:tblStyle w:val="DepartmentofHealthtable"/>
        <w:tblW w:w="9634"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top w:w="28" w:type="dxa"/>
          <w:bottom w:w="28" w:type="dxa"/>
        </w:tblCellMar>
        <w:tblLook w:val="04A0" w:firstRow="1" w:lastRow="0" w:firstColumn="1" w:lastColumn="0" w:noHBand="0" w:noVBand="1"/>
        <w:tblDescription w:val="Add Alt Text describing the content of the table"/>
      </w:tblPr>
      <w:tblGrid>
        <w:gridCol w:w="4531"/>
        <w:gridCol w:w="1276"/>
        <w:gridCol w:w="1276"/>
        <w:gridCol w:w="1173"/>
        <w:gridCol w:w="1378"/>
      </w:tblGrid>
      <w:tr w:rsidR="00513D0E" w:rsidRPr="00B65FDB" w14:paraId="160F7E32" w14:textId="77777777" w:rsidTr="00437E9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531" w:type="dxa"/>
            <w:vMerge w:val="restart"/>
            <w:vAlign w:val="center"/>
          </w:tcPr>
          <w:p w14:paraId="4E20240B" w14:textId="7B2CD70E" w:rsidR="00513D0E" w:rsidRPr="6502A063" w:rsidRDefault="00513D0E" w:rsidP="00040E35">
            <w:pPr>
              <w:spacing w:before="80" w:after="80"/>
              <w:rPr>
                <w:rFonts w:eastAsia="Cambria"/>
                <w:b/>
                <w:bCs/>
                <w:color w:val="FFFFFF" w:themeColor="background1"/>
                <w:lang w:val="en-US"/>
              </w:rPr>
            </w:pPr>
            <w:r w:rsidRPr="6502A063">
              <w:rPr>
                <w:rFonts w:eastAsia="Cambria"/>
                <w:b/>
                <w:bCs/>
                <w:color w:val="FFFFFF" w:themeColor="background1"/>
                <w:lang w:val="en-US"/>
              </w:rPr>
              <w:t xml:space="preserve">Information </w:t>
            </w:r>
            <w:r>
              <w:rPr>
                <w:rFonts w:eastAsia="Cambria"/>
                <w:b/>
                <w:bCs/>
                <w:color w:val="FFFFFF" w:themeColor="background1"/>
                <w:lang w:val="en-US"/>
              </w:rPr>
              <w:t>required</w:t>
            </w:r>
            <w:r w:rsidRPr="6502A063">
              <w:rPr>
                <w:rFonts w:eastAsia="Cambria"/>
                <w:b/>
                <w:bCs/>
                <w:color w:val="FFFFFF" w:themeColor="background1"/>
                <w:lang w:val="en-US"/>
              </w:rPr>
              <w:t xml:space="preserve"> </w:t>
            </w:r>
          </w:p>
        </w:tc>
        <w:tc>
          <w:tcPr>
            <w:tcW w:w="3725" w:type="dxa"/>
            <w:gridSpan w:val="3"/>
            <w:tcBorders>
              <w:bottom w:val="single" w:sz="4" w:space="0" w:color="auto"/>
            </w:tcBorders>
            <w:vAlign w:val="center"/>
          </w:tcPr>
          <w:p w14:paraId="320787D1" w14:textId="79D56FE0" w:rsidR="00513D0E" w:rsidRPr="6502A063" w:rsidRDefault="00513D0E" w:rsidP="00437E99">
            <w:pPr>
              <w:spacing w:before="80" w:after="80"/>
              <w:jc w:val="center"/>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r>
              <w:rPr>
                <w:rFonts w:eastAsia="Cambria"/>
                <w:b/>
                <w:bCs/>
                <w:color w:val="FFFFFF" w:themeColor="background1"/>
                <w:lang w:val="en-US"/>
              </w:rPr>
              <w:t>Part A and Part C</w:t>
            </w:r>
          </w:p>
        </w:tc>
        <w:tc>
          <w:tcPr>
            <w:tcW w:w="0" w:type="dxa"/>
            <w:vMerge w:val="restart"/>
            <w:vAlign w:val="center"/>
          </w:tcPr>
          <w:p w14:paraId="65F228AE" w14:textId="02433B8F" w:rsidR="00513D0E" w:rsidRPr="6502A063" w:rsidRDefault="00513D0E" w:rsidP="00437E99">
            <w:pPr>
              <w:spacing w:before="80" w:after="80"/>
              <w:jc w:val="center"/>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r w:rsidRPr="6502A063">
              <w:rPr>
                <w:rFonts w:eastAsia="Cambria"/>
                <w:b/>
                <w:bCs/>
                <w:color w:val="FFFFFF" w:themeColor="background1"/>
                <w:lang w:val="en-US"/>
              </w:rPr>
              <w:t>Part B</w:t>
            </w:r>
          </w:p>
        </w:tc>
      </w:tr>
      <w:tr w:rsidR="00B919EF" w:rsidRPr="00B65FDB" w14:paraId="059B3B44" w14:textId="77777777" w:rsidTr="00437E9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531" w:type="dxa"/>
            <w:vMerge/>
            <w:tcBorders>
              <w:bottom w:val="single" w:sz="4" w:space="0" w:color="auto"/>
            </w:tcBorders>
            <w:vAlign w:val="center"/>
          </w:tcPr>
          <w:p w14:paraId="4C096568" w14:textId="2C2037EE" w:rsidR="00513D0E" w:rsidRPr="00B65FDB" w:rsidRDefault="00513D0E" w:rsidP="00040E35">
            <w:pPr>
              <w:spacing w:before="80" w:after="80"/>
              <w:rPr>
                <w:rFonts w:eastAsia="Cambria"/>
                <w:b/>
                <w:bCs/>
                <w:color w:val="FFFFFF" w:themeColor="background1"/>
                <w:lang w:val="en-US"/>
              </w:rPr>
            </w:pPr>
          </w:p>
        </w:tc>
        <w:tc>
          <w:tcPr>
            <w:tcW w:w="1276" w:type="dxa"/>
            <w:tcBorders>
              <w:bottom w:val="single" w:sz="4" w:space="0" w:color="auto"/>
            </w:tcBorders>
            <w:vAlign w:val="center"/>
          </w:tcPr>
          <w:p w14:paraId="1F8429EA" w14:textId="0E169EC2" w:rsidR="00513D0E" w:rsidRPr="00B65FDB" w:rsidRDefault="00513D0E" w:rsidP="00437E99">
            <w:pPr>
              <w:spacing w:before="80" w:after="80"/>
              <w:jc w:val="center"/>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r w:rsidRPr="6502A063">
              <w:rPr>
                <w:rFonts w:eastAsia="Cambria"/>
                <w:b/>
                <w:bCs/>
                <w:color w:val="FFFFFF" w:themeColor="background1"/>
                <w:lang w:val="en-US"/>
              </w:rPr>
              <w:t>Tier 1</w:t>
            </w:r>
          </w:p>
        </w:tc>
        <w:tc>
          <w:tcPr>
            <w:tcW w:w="0" w:type="dxa"/>
            <w:tcBorders>
              <w:bottom w:val="single" w:sz="4" w:space="0" w:color="auto"/>
            </w:tcBorders>
            <w:vAlign w:val="center"/>
          </w:tcPr>
          <w:p w14:paraId="2C48B566" w14:textId="38814ADF" w:rsidR="00513D0E" w:rsidRPr="00B65FDB" w:rsidRDefault="00513D0E" w:rsidP="00437E99">
            <w:pPr>
              <w:spacing w:before="80" w:after="80"/>
              <w:jc w:val="center"/>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r w:rsidRPr="6502A063">
              <w:rPr>
                <w:rFonts w:eastAsia="Cambria"/>
                <w:b/>
                <w:bCs/>
                <w:color w:val="FFFFFF" w:themeColor="background1"/>
                <w:lang w:val="en-US"/>
              </w:rPr>
              <w:t>Tier 2</w:t>
            </w:r>
          </w:p>
        </w:tc>
        <w:tc>
          <w:tcPr>
            <w:tcW w:w="1173" w:type="dxa"/>
            <w:tcBorders>
              <w:bottom w:val="single" w:sz="4" w:space="0" w:color="auto"/>
            </w:tcBorders>
            <w:vAlign w:val="center"/>
          </w:tcPr>
          <w:p w14:paraId="7C63D727" w14:textId="5F8AA6E3" w:rsidR="00513D0E" w:rsidRPr="00B65FDB" w:rsidRDefault="00513D0E" w:rsidP="00437E99">
            <w:pPr>
              <w:spacing w:before="80" w:after="80"/>
              <w:jc w:val="center"/>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r w:rsidRPr="6502A063">
              <w:rPr>
                <w:rFonts w:eastAsia="Cambria"/>
                <w:b/>
                <w:bCs/>
                <w:color w:val="FFFFFF" w:themeColor="background1"/>
                <w:lang w:val="en-US"/>
              </w:rPr>
              <w:t>Tier 3</w:t>
            </w:r>
          </w:p>
        </w:tc>
        <w:tc>
          <w:tcPr>
            <w:tcW w:w="1378" w:type="dxa"/>
            <w:vMerge/>
            <w:tcBorders>
              <w:bottom w:val="single" w:sz="4" w:space="0" w:color="auto"/>
            </w:tcBorders>
            <w:vAlign w:val="center"/>
          </w:tcPr>
          <w:p w14:paraId="1D41EFDA" w14:textId="381829B4" w:rsidR="00513D0E" w:rsidRDefault="00513D0E" w:rsidP="00040E35">
            <w:pPr>
              <w:spacing w:before="80" w:after="80"/>
              <w:cnfStyle w:val="100000000000" w:firstRow="1" w:lastRow="0" w:firstColumn="0" w:lastColumn="0" w:oddVBand="0" w:evenVBand="0" w:oddHBand="0" w:evenHBand="0" w:firstRowFirstColumn="0" w:firstRowLastColumn="0" w:lastRowFirstColumn="0" w:lastRowLastColumn="0"/>
              <w:rPr>
                <w:rFonts w:eastAsia="Cambria"/>
                <w:b/>
                <w:bCs/>
                <w:color w:val="FFFFFF" w:themeColor="background1"/>
                <w:lang w:val="en-US"/>
              </w:rPr>
            </w:pPr>
          </w:p>
        </w:tc>
      </w:tr>
      <w:tr w:rsidR="00732729" w:rsidRPr="00B65FDB" w14:paraId="52596785" w14:textId="77777777" w:rsidTr="00735F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auto"/>
              <w:left w:val="single" w:sz="4" w:space="0" w:color="auto"/>
              <w:bottom w:val="single" w:sz="4" w:space="0" w:color="auto"/>
              <w:right w:val="nil"/>
            </w:tcBorders>
            <w:shd w:val="clear" w:color="auto" w:fill="D9D9D9" w:themeFill="background1" w:themeFillShade="D9"/>
            <w:vAlign w:val="center"/>
          </w:tcPr>
          <w:p w14:paraId="4267A754" w14:textId="29C2C8AF" w:rsidR="007577EA" w:rsidRPr="007577EA" w:rsidDel="007577EA" w:rsidRDefault="007577EA" w:rsidP="00040E35">
            <w:pPr>
              <w:spacing w:before="60" w:after="60" w:line="240" w:lineRule="auto"/>
              <w:rPr>
                <w:b/>
                <w:bCs/>
                <w:sz w:val="21"/>
                <w:szCs w:val="21"/>
              </w:rPr>
            </w:pPr>
            <w:r w:rsidRPr="007577EA">
              <w:rPr>
                <w:b/>
                <w:bCs/>
                <w:sz w:val="21"/>
                <w:szCs w:val="21"/>
              </w:rPr>
              <w:t>Application form</w:t>
            </w:r>
          </w:p>
        </w:tc>
        <w:tc>
          <w:tcPr>
            <w:tcW w:w="1276" w:type="dxa"/>
            <w:tcBorders>
              <w:top w:val="single" w:sz="4" w:space="0" w:color="auto"/>
              <w:left w:val="nil"/>
              <w:bottom w:val="single" w:sz="4" w:space="0" w:color="auto"/>
              <w:right w:val="nil"/>
            </w:tcBorders>
            <w:shd w:val="clear" w:color="auto" w:fill="D9D9D9" w:themeFill="background1" w:themeFillShade="D9"/>
            <w:vAlign w:val="center"/>
          </w:tcPr>
          <w:p w14:paraId="1D8B27A5" w14:textId="77777777" w:rsidR="007577EA" w:rsidRPr="6502A063" w:rsidRDefault="007577EA" w:rsidP="00040E35">
            <w:pPr>
              <w:spacing w:before="60" w:after="60" w:line="24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0" w:type="dxa"/>
            <w:tcBorders>
              <w:top w:val="single" w:sz="4" w:space="0" w:color="auto"/>
              <w:left w:val="nil"/>
              <w:bottom w:val="single" w:sz="4" w:space="0" w:color="auto"/>
              <w:right w:val="nil"/>
            </w:tcBorders>
            <w:shd w:val="clear" w:color="auto" w:fill="D9D9D9" w:themeFill="background1" w:themeFillShade="D9"/>
            <w:vAlign w:val="center"/>
          </w:tcPr>
          <w:p w14:paraId="7E7CAE84" w14:textId="77777777" w:rsidR="007577EA" w:rsidRPr="6502A063" w:rsidRDefault="007577EA" w:rsidP="00040E35">
            <w:pPr>
              <w:spacing w:before="60" w:after="60" w:line="24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1173" w:type="dxa"/>
            <w:tcBorders>
              <w:top w:val="single" w:sz="4" w:space="0" w:color="auto"/>
              <w:left w:val="nil"/>
              <w:bottom w:val="single" w:sz="4" w:space="0" w:color="auto"/>
              <w:right w:val="nil"/>
            </w:tcBorders>
            <w:shd w:val="clear" w:color="auto" w:fill="D9D9D9" w:themeFill="background1" w:themeFillShade="D9"/>
            <w:vAlign w:val="center"/>
          </w:tcPr>
          <w:p w14:paraId="10400C65" w14:textId="77777777" w:rsidR="007577EA" w:rsidRPr="6502A063" w:rsidRDefault="007577EA" w:rsidP="00040E35">
            <w:pPr>
              <w:spacing w:before="60" w:after="60" w:line="240" w:lineRule="auto"/>
              <w:cnfStyle w:val="000000100000" w:firstRow="0" w:lastRow="0" w:firstColumn="0" w:lastColumn="0" w:oddVBand="0" w:evenVBand="0" w:oddHBand="1" w:evenHBand="0" w:firstRowFirstColumn="0" w:firstRowLastColumn="0" w:lastRowFirstColumn="0" w:lastRowLastColumn="0"/>
              <w:rPr>
                <w:sz w:val="21"/>
                <w:szCs w:val="21"/>
              </w:rPr>
            </w:pPr>
          </w:p>
        </w:tc>
        <w:tc>
          <w:tcPr>
            <w:tcW w:w="1378"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04283DB6" w14:textId="77777777" w:rsidR="007577EA" w:rsidRPr="6502A063" w:rsidRDefault="007577EA" w:rsidP="00040E35">
            <w:pPr>
              <w:spacing w:before="60" w:after="60" w:line="240" w:lineRule="auto"/>
              <w:cnfStyle w:val="000000100000" w:firstRow="0" w:lastRow="0" w:firstColumn="0" w:lastColumn="0" w:oddVBand="0" w:evenVBand="0" w:oddHBand="1" w:evenHBand="0" w:firstRowFirstColumn="0" w:firstRowLastColumn="0" w:lastRowFirstColumn="0" w:lastRowLastColumn="0"/>
              <w:rPr>
                <w:sz w:val="21"/>
                <w:szCs w:val="21"/>
              </w:rPr>
            </w:pPr>
          </w:p>
        </w:tc>
      </w:tr>
      <w:tr w:rsidR="00B919EF" w:rsidRPr="00B65FDB" w14:paraId="3912B5D0"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auto"/>
            </w:tcBorders>
            <w:vAlign w:val="center"/>
          </w:tcPr>
          <w:p w14:paraId="2F3D549B" w14:textId="514588F9" w:rsidR="00F26631" w:rsidRPr="00B65FDB" w:rsidRDefault="00F26631" w:rsidP="00F26631">
            <w:pPr>
              <w:spacing w:before="60" w:after="60" w:line="240" w:lineRule="auto"/>
              <w:rPr>
                <w:sz w:val="21"/>
                <w:szCs w:val="21"/>
              </w:rPr>
            </w:pPr>
            <w:r>
              <w:rPr>
                <w:sz w:val="21"/>
                <w:szCs w:val="21"/>
              </w:rPr>
              <w:t>Sponsor’s</w:t>
            </w:r>
            <w:r w:rsidRPr="6502A063">
              <w:rPr>
                <w:sz w:val="21"/>
                <w:szCs w:val="21"/>
              </w:rPr>
              <w:t xml:space="preserve"> contact details</w:t>
            </w:r>
          </w:p>
        </w:tc>
        <w:tc>
          <w:tcPr>
            <w:tcW w:w="1276" w:type="dxa"/>
            <w:tcBorders>
              <w:top w:val="single" w:sz="4" w:space="0" w:color="auto"/>
            </w:tcBorders>
            <w:vAlign w:val="center"/>
          </w:tcPr>
          <w:p w14:paraId="5EE37AED" w14:textId="73A49CDC" w:rsidR="00F26631" w:rsidRPr="00B65FDB" w:rsidRDefault="00F26631"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Pr>
                <w:noProof/>
                <w:sz w:val="21"/>
                <w:szCs w:val="21"/>
              </w:rPr>
              <w:drawing>
                <wp:inline distT="0" distB="0" distL="0" distR="0" wp14:anchorId="1FD78DAB" wp14:editId="5C6C198E">
                  <wp:extent cx="180000" cy="180000"/>
                  <wp:effectExtent l="0" t="0" r="0" b="0"/>
                  <wp:docPr id="3" name="Graphic 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0" w:type="dxa"/>
            <w:tcBorders>
              <w:top w:val="single" w:sz="4" w:space="0" w:color="auto"/>
            </w:tcBorders>
            <w:vAlign w:val="center"/>
          </w:tcPr>
          <w:p w14:paraId="57EFADEA" w14:textId="0B951B5D" w:rsidR="00F26631" w:rsidRPr="00B65FDB" w:rsidRDefault="00F26631"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9E40D1">
              <w:rPr>
                <w:noProof/>
                <w:sz w:val="21"/>
                <w:szCs w:val="21"/>
              </w:rPr>
              <w:drawing>
                <wp:inline distT="0" distB="0" distL="0" distR="0" wp14:anchorId="1512FE1D" wp14:editId="56BA9BBA">
                  <wp:extent cx="180000" cy="180000"/>
                  <wp:effectExtent l="0" t="0" r="0" b="0"/>
                  <wp:docPr id="371676996" name="Graphic 37167699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tcBorders>
              <w:top w:val="single" w:sz="4" w:space="0" w:color="auto"/>
            </w:tcBorders>
            <w:vAlign w:val="center"/>
          </w:tcPr>
          <w:p w14:paraId="20EFBF5A" w14:textId="680F719A" w:rsidR="00F26631" w:rsidRPr="00B65FDB" w:rsidRDefault="00F26631"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9E40D1">
              <w:rPr>
                <w:noProof/>
                <w:sz w:val="21"/>
                <w:szCs w:val="21"/>
              </w:rPr>
              <w:drawing>
                <wp:inline distT="0" distB="0" distL="0" distR="0" wp14:anchorId="33C223ED" wp14:editId="3CCA8B21">
                  <wp:extent cx="180000" cy="180000"/>
                  <wp:effectExtent l="0" t="0" r="0" b="0"/>
                  <wp:docPr id="371676997" name="Graphic 37167699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tcBorders>
              <w:top w:val="single" w:sz="4" w:space="0" w:color="auto"/>
            </w:tcBorders>
            <w:vAlign w:val="center"/>
          </w:tcPr>
          <w:p w14:paraId="288CB544" w14:textId="5354F0BE" w:rsidR="00F26631" w:rsidRDefault="00F26631"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9E40D1">
              <w:rPr>
                <w:noProof/>
                <w:sz w:val="21"/>
                <w:szCs w:val="21"/>
              </w:rPr>
              <w:drawing>
                <wp:inline distT="0" distB="0" distL="0" distR="0" wp14:anchorId="53DC6858" wp14:editId="6ECE247C">
                  <wp:extent cx="180000" cy="180000"/>
                  <wp:effectExtent l="0" t="0" r="0" b="0"/>
                  <wp:docPr id="371676998" name="Graphic 37167699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B919EF" w:rsidRPr="00B65FDB" w14:paraId="19BF2C08" w14:textId="77777777"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1DD5CAAD" w14:textId="7CA480E9" w:rsidR="00A21C07" w:rsidDel="00EE1791" w:rsidRDefault="00A21C07" w:rsidP="00A21C07">
            <w:pPr>
              <w:spacing w:before="60" w:after="60" w:line="240" w:lineRule="auto"/>
              <w:rPr>
                <w:sz w:val="21"/>
                <w:szCs w:val="21"/>
              </w:rPr>
            </w:pPr>
            <w:r w:rsidRPr="6502A063">
              <w:rPr>
                <w:sz w:val="21"/>
                <w:szCs w:val="21"/>
              </w:rPr>
              <w:t xml:space="preserve">Product </w:t>
            </w:r>
            <w:r>
              <w:rPr>
                <w:sz w:val="21"/>
                <w:szCs w:val="21"/>
              </w:rPr>
              <w:t>name, description, size</w:t>
            </w:r>
          </w:p>
        </w:tc>
        <w:tc>
          <w:tcPr>
            <w:tcW w:w="1276" w:type="dxa"/>
            <w:vAlign w:val="center"/>
          </w:tcPr>
          <w:p w14:paraId="2DCD07B8" w14:textId="05FBF10D"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707EC3">
              <w:rPr>
                <w:noProof/>
                <w:sz w:val="21"/>
                <w:szCs w:val="21"/>
              </w:rPr>
              <w:drawing>
                <wp:inline distT="0" distB="0" distL="0" distR="0" wp14:anchorId="7BFAB1CD" wp14:editId="5B840EAA">
                  <wp:extent cx="180000" cy="180000"/>
                  <wp:effectExtent l="0" t="0" r="0" b="0"/>
                  <wp:docPr id="371677012" name="Graphic 37167701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2DADF284" w14:textId="28772DD7"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707EC3">
              <w:rPr>
                <w:noProof/>
                <w:sz w:val="21"/>
                <w:szCs w:val="21"/>
              </w:rPr>
              <w:drawing>
                <wp:inline distT="0" distB="0" distL="0" distR="0" wp14:anchorId="6000D577" wp14:editId="1B0A1012">
                  <wp:extent cx="180000" cy="180000"/>
                  <wp:effectExtent l="0" t="0" r="0" b="0"/>
                  <wp:docPr id="371677025" name="Graphic 37167702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053D6F2C" w14:textId="5F97A2F8"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707EC3">
              <w:rPr>
                <w:noProof/>
                <w:sz w:val="21"/>
                <w:szCs w:val="21"/>
              </w:rPr>
              <w:drawing>
                <wp:inline distT="0" distB="0" distL="0" distR="0" wp14:anchorId="1E5CC420" wp14:editId="67DCBC8A">
                  <wp:extent cx="180000" cy="180000"/>
                  <wp:effectExtent l="0" t="0" r="0" b="0"/>
                  <wp:docPr id="371677026" name="Graphic 37167702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20DEADD3" w14:textId="15787F4C"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707EC3">
              <w:rPr>
                <w:noProof/>
                <w:sz w:val="21"/>
                <w:szCs w:val="21"/>
              </w:rPr>
              <w:drawing>
                <wp:inline distT="0" distB="0" distL="0" distR="0" wp14:anchorId="230700DA" wp14:editId="5EB87273">
                  <wp:extent cx="180000" cy="180000"/>
                  <wp:effectExtent l="0" t="0" r="0" b="0"/>
                  <wp:docPr id="371677027" name="Graphic 37167702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B919EF" w:rsidRPr="00B65FDB" w14:paraId="7BA9F044"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5608E11B" w14:textId="4AB83E48" w:rsidR="00A21C07" w:rsidDel="00EE1791" w:rsidRDefault="00A21C07" w:rsidP="00A21C07">
            <w:pPr>
              <w:spacing w:before="60" w:after="60" w:line="240" w:lineRule="auto"/>
              <w:rPr>
                <w:sz w:val="21"/>
                <w:szCs w:val="21"/>
              </w:rPr>
            </w:pPr>
            <w:r>
              <w:rPr>
                <w:sz w:val="21"/>
                <w:szCs w:val="21"/>
              </w:rPr>
              <w:t>ARTG entry or TGA application ID</w:t>
            </w:r>
          </w:p>
        </w:tc>
        <w:tc>
          <w:tcPr>
            <w:tcW w:w="1276" w:type="dxa"/>
            <w:vAlign w:val="center"/>
          </w:tcPr>
          <w:p w14:paraId="2DB0BD79" w14:textId="358BB010" w:rsidR="00A21C07"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707EC3">
              <w:rPr>
                <w:noProof/>
                <w:sz w:val="21"/>
                <w:szCs w:val="21"/>
              </w:rPr>
              <w:drawing>
                <wp:inline distT="0" distB="0" distL="0" distR="0" wp14:anchorId="07D3825B" wp14:editId="583C903C">
                  <wp:extent cx="180000" cy="180000"/>
                  <wp:effectExtent l="0" t="0" r="0" b="0"/>
                  <wp:docPr id="371677028" name="Graphic 37167702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70619DAD" w14:textId="195363AB" w:rsidR="00A21C07"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707EC3">
              <w:rPr>
                <w:noProof/>
                <w:sz w:val="21"/>
                <w:szCs w:val="21"/>
              </w:rPr>
              <w:drawing>
                <wp:inline distT="0" distB="0" distL="0" distR="0" wp14:anchorId="50C39C07" wp14:editId="7B458B43">
                  <wp:extent cx="180000" cy="180000"/>
                  <wp:effectExtent l="0" t="0" r="0" b="0"/>
                  <wp:docPr id="371677029" name="Graphic 37167702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6BEAE411" w14:textId="1FA53208" w:rsidR="00A21C07"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707EC3">
              <w:rPr>
                <w:noProof/>
                <w:sz w:val="21"/>
                <w:szCs w:val="21"/>
              </w:rPr>
              <w:drawing>
                <wp:inline distT="0" distB="0" distL="0" distR="0" wp14:anchorId="3F6684A8" wp14:editId="5AFBFD6B">
                  <wp:extent cx="180000" cy="180000"/>
                  <wp:effectExtent l="0" t="0" r="0" b="0"/>
                  <wp:docPr id="371677030" name="Graphic 37167703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2D3C4182" w14:textId="1A1974C8"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707EC3">
              <w:rPr>
                <w:noProof/>
                <w:sz w:val="21"/>
                <w:szCs w:val="21"/>
              </w:rPr>
              <w:drawing>
                <wp:inline distT="0" distB="0" distL="0" distR="0" wp14:anchorId="38342A7E" wp14:editId="444EE689">
                  <wp:extent cx="180000" cy="180000"/>
                  <wp:effectExtent l="0" t="0" r="0" b="0"/>
                  <wp:docPr id="371677031" name="Graphic 37167703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1E62F8" w:rsidRPr="00B65FDB" w14:paraId="66C8B368" w14:textId="77777777" w:rsidTr="000037F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bottom w:val="single" w:sz="4" w:space="0" w:color="000000" w:themeColor="text1"/>
            </w:tcBorders>
            <w:vAlign w:val="center"/>
          </w:tcPr>
          <w:p w14:paraId="5C9CE25E" w14:textId="77777777" w:rsidR="001E62F8" w:rsidRPr="00B65FDB" w:rsidRDefault="001E62F8" w:rsidP="000037F9">
            <w:pPr>
              <w:spacing w:before="60" w:after="60" w:line="240" w:lineRule="auto"/>
              <w:rPr>
                <w:sz w:val="21"/>
                <w:szCs w:val="21"/>
              </w:rPr>
            </w:pPr>
            <w:r w:rsidRPr="6502A063">
              <w:rPr>
                <w:sz w:val="21"/>
                <w:szCs w:val="21"/>
              </w:rPr>
              <w:t xml:space="preserve">MBS </w:t>
            </w:r>
            <w:r>
              <w:rPr>
                <w:sz w:val="21"/>
                <w:szCs w:val="21"/>
              </w:rPr>
              <w:t>i</w:t>
            </w:r>
            <w:r w:rsidRPr="6502A063">
              <w:rPr>
                <w:sz w:val="21"/>
                <w:szCs w:val="21"/>
              </w:rPr>
              <w:t>tems</w:t>
            </w:r>
          </w:p>
        </w:tc>
        <w:tc>
          <w:tcPr>
            <w:tcW w:w="1276" w:type="dxa"/>
            <w:tcBorders>
              <w:bottom w:val="single" w:sz="4" w:space="0" w:color="000000" w:themeColor="text1"/>
            </w:tcBorders>
            <w:vAlign w:val="center"/>
          </w:tcPr>
          <w:p w14:paraId="09A51156" w14:textId="77777777" w:rsidR="001E62F8" w:rsidRPr="00B65FDB" w:rsidRDefault="001E62F8" w:rsidP="000037F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F85B56">
              <w:rPr>
                <w:noProof/>
                <w:sz w:val="21"/>
                <w:szCs w:val="21"/>
              </w:rPr>
              <w:drawing>
                <wp:inline distT="0" distB="0" distL="0" distR="0" wp14:anchorId="3C979D0F" wp14:editId="1F712117">
                  <wp:extent cx="180000" cy="180000"/>
                  <wp:effectExtent l="0" t="0" r="0" b="0"/>
                  <wp:docPr id="371677046" name="Graphic 37167704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276" w:type="dxa"/>
            <w:tcBorders>
              <w:bottom w:val="single" w:sz="4" w:space="0" w:color="000000" w:themeColor="text1"/>
            </w:tcBorders>
            <w:vAlign w:val="center"/>
          </w:tcPr>
          <w:p w14:paraId="1C96B3E9" w14:textId="77777777" w:rsidR="001E62F8" w:rsidRPr="00B65FDB" w:rsidRDefault="001E62F8" w:rsidP="000037F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F85B56">
              <w:rPr>
                <w:noProof/>
                <w:sz w:val="21"/>
                <w:szCs w:val="21"/>
              </w:rPr>
              <w:drawing>
                <wp:inline distT="0" distB="0" distL="0" distR="0" wp14:anchorId="520F44A0" wp14:editId="2EC87CBA">
                  <wp:extent cx="180000" cy="180000"/>
                  <wp:effectExtent l="0" t="0" r="0" b="0"/>
                  <wp:docPr id="4" name="Graphic 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tcBorders>
              <w:bottom w:val="single" w:sz="4" w:space="0" w:color="000000" w:themeColor="text1"/>
            </w:tcBorders>
            <w:vAlign w:val="center"/>
          </w:tcPr>
          <w:p w14:paraId="5C80B6CD" w14:textId="77777777" w:rsidR="001E62F8" w:rsidRPr="00B65FDB" w:rsidRDefault="001E62F8" w:rsidP="000037F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F85B56">
              <w:rPr>
                <w:noProof/>
                <w:sz w:val="21"/>
                <w:szCs w:val="21"/>
              </w:rPr>
              <w:drawing>
                <wp:inline distT="0" distB="0" distL="0" distR="0" wp14:anchorId="5C65B3CD" wp14:editId="44AF9D35">
                  <wp:extent cx="180000" cy="180000"/>
                  <wp:effectExtent l="0" t="0" r="0" b="0"/>
                  <wp:docPr id="371677047" name="Graphic 37167704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tcBorders>
              <w:bottom w:val="single" w:sz="4" w:space="0" w:color="000000" w:themeColor="text1"/>
            </w:tcBorders>
            <w:vAlign w:val="center"/>
          </w:tcPr>
          <w:p w14:paraId="50F1C969" w14:textId="77777777" w:rsidR="001E62F8" w:rsidRPr="00B65FDB" w:rsidRDefault="001E62F8" w:rsidP="000037F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E68A4">
              <w:rPr>
                <w:noProof/>
                <w:sz w:val="21"/>
                <w:szCs w:val="21"/>
              </w:rPr>
              <w:drawing>
                <wp:inline distT="0" distB="0" distL="0" distR="0" wp14:anchorId="202EDD03" wp14:editId="40E17F00">
                  <wp:extent cx="180000" cy="180000"/>
                  <wp:effectExtent l="0" t="0" r="0" b="0"/>
                  <wp:docPr id="371677041" name="Graphic 37167704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B919EF" w:rsidRPr="00B65FDB" w14:paraId="02CAFAB9"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41734AF4" w14:textId="259A696A" w:rsidR="00A21C07" w:rsidRPr="00B65FDB" w:rsidRDefault="00A21C07" w:rsidP="00A21C07">
            <w:pPr>
              <w:spacing w:before="60" w:after="60" w:line="240" w:lineRule="auto"/>
              <w:rPr>
                <w:sz w:val="21"/>
                <w:szCs w:val="21"/>
              </w:rPr>
            </w:pPr>
            <w:r>
              <w:rPr>
                <w:sz w:val="21"/>
                <w:szCs w:val="21"/>
              </w:rPr>
              <w:t>List of catalogue numbers with details of devices (p</w:t>
            </w:r>
            <w:r w:rsidRPr="007577EA">
              <w:rPr>
                <w:sz w:val="21"/>
                <w:szCs w:val="21"/>
              </w:rPr>
              <w:t>roduct name, description, size</w:t>
            </w:r>
            <w:r>
              <w:rPr>
                <w:sz w:val="21"/>
                <w:szCs w:val="21"/>
              </w:rPr>
              <w:t>)</w:t>
            </w:r>
          </w:p>
        </w:tc>
        <w:tc>
          <w:tcPr>
            <w:tcW w:w="1276" w:type="dxa"/>
            <w:vAlign w:val="center"/>
          </w:tcPr>
          <w:p w14:paraId="7F0F3BFE" w14:textId="40F0B647"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D431E">
              <w:rPr>
                <w:noProof/>
                <w:sz w:val="21"/>
                <w:szCs w:val="21"/>
              </w:rPr>
              <w:drawing>
                <wp:inline distT="0" distB="0" distL="0" distR="0" wp14:anchorId="2851B289" wp14:editId="613AE82A">
                  <wp:extent cx="180000" cy="180000"/>
                  <wp:effectExtent l="0" t="0" r="0" b="0"/>
                  <wp:docPr id="371677032" name="Graphic 37167703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067D78D0" w14:textId="19D70D9D"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D431E">
              <w:rPr>
                <w:noProof/>
                <w:sz w:val="21"/>
                <w:szCs w:val="21"/>
              </w:rPr>
              <w:drawing>
                <wp:inline distT="0" distB="0" distL="0" distR="0" wp14:anchorId="2666C494" wp14:editId="4F901B29">
                  <wp:extent cx="180000" cy="180000"/>
                  <wp:effectExtent l="0" t="0" r="0" b="0"/>
                  <wp:docPr id="371677033" name="Graphic 37167703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169068A8" w14:textId="0F27B153"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D431E">
              <w:rPr>
                <w:noProof/>
                <w:sz w:val="21"/>
                <w:szCs w:val="21"/>
              </w:rPr>
              <w:drawing>
                <wp:inline distT="0" distB="0" distL="0" distR="0" wp14:anchorId="0E266A6C" wp14:editId="72CD5A84">
                  <wp:extent cx="180000" cy="180000"/>
                  <wp:effectExtent l="0" t="0" r="0" b="0"/>
                  <wp:docPr id="371677034" name="Graphic 37167703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3D0BA523" w14:textId="00CA85E9"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Pr>
                <w:noProof/>
                <w:sz w:val="21"/>
                <w:szCs w:val="21"/>
              </w:rPr>
              <w:drawing>
                <wp:inline distT="0" distB="0" distL="0" distR="0" wp14:anchorId="7D60BD17" wp14:editId="5932DA08">
                  <wp:extent cx="180000" cy="180000"/>
                  <wp:effectExtent l="0" t="0" r="0" b="0"/>
                  <wp:docPr id="8" name="Graphic 8"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r>
      <w:tr w:rsidR="00B919EF" w:rsidRPr="00B65FDB" w14:paraId="4AA7E6C7" w14:textId="77777777"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400137DD" w14:textId="44594E7E" w:rsidR="00A21C07" w:rsidRDefault="00A21C07" w:rsidP="00A21C07">
            <w:pPr>
              <w:spacing w:before="60" w:after="60" w:line="240" w:lineRule="auto"/>
              <w:rPr>
                <w:sz w:val="21"/>
                <w:szCs w:val="21"/>
              </w:rPr>
            </w:pPr>
            <w:r>
              <w:rPr>
                <w:sz w:val="21"/>
                <w:szCs w:val="21"/>
              </w:rPr>
              <w:t>Category - Sub-category – Group - Sub-group - Suffix (as applicable)</w:t>
            </w:r>
          </w:p>
        </w:tc>
        <w:tc>
          <w:tcPr>
            <w:tcW w:w="1276" w:type="dxa"/>
            <w:vAlign w:val="center"/>
          </w:tcPr>
          <w:p w14:paraId="09C8FD05" w14:textId="2639ED0E"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26FA25BE" wp14:editId="65869F85">
                  <wp:extent cx="180000" cy="180000"/>
                  <wp:effectExtent l="0" t="0" r="0" b="0"/>
                  <wp:docPr id="371677035" name="Graphic 37167703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7E9F6A3A" w14:textId="70E4ABB1" w:rsidR="00A21C07" w:rsidRDefault="00A21C07" w:rsidP="00437E99">
            <w:pPr>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633CD5D4" wp14:editId="2FE40E78">
                  <wp:extent cx="180000" cy="180000"/>
                  <wp:effectExtent l="0" t="0" r="0" b="0"/>
                  <wp:docPr id="371677036" name="Graphic 37167703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44BB22DD" w14:textId="1F788DF2"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545B8752" wp14:editId="56632AE1">
                  <wp:extent cx="180000" cy="180000"/>
                  <wp:effectExtent l="0" t="0" r="0" b="0"/>
                  <wp:docPr id="371677037" name="Graphic 37167703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5A35526C" w14:textId="67C51AC4" w:rsidR="00A21C07" w:rsidRDefault="00A21C07" w:rsidP="00437E99">
            <w:pPr>
              <w:jc w:val="center"/>
              <w:cnfStyle w:val="000000100000" w:firstRow="0" w:lastRow="0" w:firstColumn="0" w:lastColumn="0" w:oddVBand="0" w:evenVBand="0" w:oddHBand="1" w:evenHBand="0" w:firstRowFirstColumn="0" w:firstRowLastColumn="0" w:lastRowFirstColumn="0" w:lastRowLastColumn="0"/>
              <w:rPr>
                <w:sz w:val="21"/>
                <w:szCs w:val="21"/>
              </w:rPr>
            </w:pPr>
            <w:r w:rsidRPr="00CE68A4">
              <w:rPr>
                <w:noProof/>
                <w:sz w:val="21"/>
                <w:szCs w:val="21"/>
              </w:rPr>
              <w:drawing>
                <wp:inline distT="0" distB="0" distL="0" distR="0" wp14:anchorId="0370024C" wp14:editId="7B14CB63">
                  <wp:extent cx="180000" cy="180000"/>
                  <wp:effectExtent l="0" t="0" r="0" b="0"/>
                  <wp:docPr id="371677038" name="Graphic 37167703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DE2779" w:rsidRPr="00B65FDB" w14:paraId="6D5148C9" w14:textId="77777777" w:rsidTr="008540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5B4356F7" w14:textId="77777777" w:rsidR="00DE2779" w:rsidRPr="00B65FDB" w:rsidRDefault="00DE2779" w:rsidP="0085400F">
            <w:pPr>
              <w:spacing w:before="60" w:after="60" w:line="240" w:lineRule="auto"/>
              <w:rPr>
                <w:sz w:val="21"/>
                <w:szCs w:val="21"/>
              </w:rPr>
            </w:pPr>
            <w:r w:rsidRPr="6502A063">
              <w:rPr>
                <w:sz w:val="21"/>
                <w:szCs w:val="21"/>
              </w:rPr>
              <w:t xml:space="preserve">Comparator details </w:t>
            </w:r>
          </w:p>
        </w:tc>
        <w:tc>
          <w:tcPr>
            <w:tcW w:w="1276" w:type="dxa"/>
            <w:vAlign w:val="center"/>
          </w:tcPr>
          <w:p w14:paraId="416C254E" w14:textId="77777777" w:rsidR="00DE2779" w:rsidRPr="00B65FDB" w:rsidRDefault="00DE2779" w:rsidP="0085400F">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F85B56">
              <w:rPr>
                <w:noProof/>
                <w:sz w:val="21"/>
                <w:szCs w:val="21"/>
              </w:rPr>
              <w:drawing>
                <wp:inline distT="0" distB="0" distL="0" distR="0" wp14:anchorId="626234CA" wp14:editId="6C900744">
                  <wp:extent cx="180000" cy="180000"/>
                  <wp:effectExtent l="0" t="0" r="0" b="0"/>
                  <wp:docPr id="371677043" name="Graphic 37167704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276" w:type="dxa"/>
            <w:vAlign w:val="center"/>
          </w:tcPr>
          <w:p w14:paraId="6CDFFA46" w14:textId="77777777" w:rsidR="00DE2779" w:rsidRPr="00B65FDB" w:rsidRDefault="00DE2779" w:rsidP="0085400F">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F85B56">
              <w:rPr>
                <w:noProof/>
                <w:sz w:val="21"/>
                <w:szCs w:val="21"/>
              </w:rPr>
              <w:drawing>
                <wp:inline distT="0" distB="0" distL="0" distR="0" wp14:anchorId="6C73AC65" wp14:editId="2CA97FBA">
                  <wp:extent cx="180000" cy="180000"/>
                  <wp:effectExtent l="0" t="0" r="0" b="0"/>
                  <wp:docPr id="371677044" name="Graphic 37167704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67914092" w14:textId="77777777" w:rsidR="00DE2779" w:rsidRPr="00B65FDB" w:rsidRDefault="00DE2779" w:rsidP="0085400F">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F85B56">
              <w:rPr>
                <w:noProof/>
                <w:sz w:val="21"/>
                <w:szCs w:val="21"/>
              </w:rPr>
              <w:drawing>
                <wp:inline distT="0" distB="0" distL="0" distR="0" wp14:anchorId="7D95BEBC" wp14:editId="74C32D07">
                  <wp:extent cx="180000" cy="180000"/>
                  <wp:effectExtent l="0" t="0" r="0" b="0"/>
                  <wp:docPr id="371677045" name="Graphic 37167704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4A6705AB" w14:textId="77777777" w:rsidR="00DE2779" w:rsidRPr="00B65FDB" w:rsidRDefault="00DE2779" w:rsidP="0085400F">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E68A4">
              <w:rPr>
                <w:noProof/>
                <w:sz w:val="21"/>
                <w:szCs w:val="21"/>
              </w:rPr>
              <w:drawing>
                <wp:inline distT="0" distB="0" distL="0" distR="0" wp14:anchorId="7EA353C2" wp14:editId="5AD1412C">
                  <wp:extent cx="180000" cy="180000"/>
                  <wp:effectExtent l="0" t="0" r="0" b="0"/>
                  <wp:docPr id="371677040" name="Graphic 37167704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B919EF" w:rsidRPr="00B65FDB" w14:paraId="7F2CE79C" w14:textId="2985AA8B"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264D4F90" w14:textId="5BDB2715" w:rsidR="00A21C07" w:rsidRDefault="00480E2E" w:rsidP="00A21C07">
            <w:pPr>
              <w:spacing w:before="60" w:after="60" w:line="240" w:lineRule="auto"/>
              <w:rPr>
                <w:sz w:val="21"/>
                <w:szCs w:val="21"/>
              </w:rPr>
            </w:pPr>
            <w:r>
              <w:rPr>
                <w:sz w:val="21"/>
                <w:szCs w:val="21"/>
              </w:rPr>
              <w:t>R</w:t>
            </w:r>
            <w:r w:rsidRPr="00480E2E">
              <w:rPr>
                <w:sz w:val="21"/>
                <w:szCs w:val="21"/>
              </w:rPr>
              <w:t xml:space="preserve">ationale </w:t>
            </w:r>
            <w:r>
              <w:rPr>
                <w:sz w:val="21"/>
                <w:szCs w:val="21"/>
              </w:rPr>
              <w:t>f</w:t>
            </w:r>
            <w:r w:rsidR="00A21C07">
              <w:rPr>
                <w:sz w:val="21"/>
                <w:szCs w:val="21"/>
              </w:rPr>
              <w:t>or new</w:t>
            </w:r>
            <w:r>
              <w:rPr>
                <w:sz w:val="21"/>
                <w:szCs w:val="21"/>
              </w:rPr>
              <w:t xml:space="preserve"> </w:t>
            </w:r>
            <w:r w:rsidRPr="00480E2E">
              <w:rPr>
                <w:sz w:val="21"/>
                <w:szCs w:val="21"/>
              </w:rPr>
              <w:t>grouping</w:t>
            </w:r>
            <w:r>
              <w:rPr>
                <w:sz w:val="21"/>
                <w:szCs w:val="21"/>
              </w:rPr>
              <w:t>s</w:t>
            </w:r>
            <w:r w:rsidR="00A21C07" w:rsidRPr="6502A063">
              <w:rPr>
                <w:sz w:val="21"/>
                <w:szCs w:val="21"/>
              </w:rPr>
              <w:t xml:space="preserve"> (</w:t>
            </w:r>
            <w:r w:rsidR="00735FFD">
              <w:rPr>
                <w:sz w:val="21"/>
                <w:szCs w:val="21"/>
              </w:rPr>
              <w:t>if</w:t>
            </w:r>
            <w:r w:rsidR="00A21C07">
              <w:rPr>
                <w:sz w:val="21"/>
                <w:szCs w:val="21"/>
              </w:rPr>
              <w:t xml:space="preserve"> applicable</w:t>
            </w:r>
            <w:r w:rsidR="00A21C07" w:rsidRPr="6502A063">
              <w:rPr>
                <w:sz w:val="21"/>
                <w:szCs w:val="21"/>
              </w:rPr>
              <w:t>)</w:t>
            </w:r>
          </w:p>
        </w:tc>
        <w:tc>
          <w:tcPr>
            <w:tcW w:w="1276" w:type="dxa"/>
            <w:vAlign w:val="center"/>
          </w:tcPr>
          <w:p w14:paraId="7EF21708" w14:textId="52946027"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Pr>
                <w:noProof/>
                <w:sz w:val="21"/>
                <w:szCs w:val="21"/>
              </w:rPr>
              <w:drawing>
                <wp:inline distT="0" distB="0" distL="0" distR="0" wp14:anchorId="665D0AF0" wp14:editId="1A7996C5">
                  <wp:extent cx="180000" cy="180000"/>
                  <wp:effectExtent l="0" t="0" r="0" b="0"/>
                  <wp:docPr id="371677051" name="Graphic 371677051"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286A984D" w14:textId="35034727" w:rsidR="00A21C07" w:rsidRDefault="00A21C07" w:rsidP="00437E99">
            <w:pPr>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17B514DB" wp14:editId="18EDC3DE">
                  <wp:extent cx="180000" cy="180000"/>
                  <wp:effectExtent l="0" t="0" r="0" b="0"/>
                  <wp:docPr id="371677053" name="Graphic 371677053"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1C618855" w14:textId="2D73B51B"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52BA92C9" wp14:editId="5A9E0195">
                  <wp:extent cx="180000" cy="180000"/>
                  <wp:effectExtent l="0" t="0" r="0" b="0"/>
                  <wp:docPr id="371677054" name="Graphic 37167705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64B7EDDB" w14:textId="64133778" w:rsidR="00A21C07" w:rsidRDefault="00A21C07" w:rsidP="00437E99">
            <w:pPr>
              <w:jc w:val="center"/>
              <w:cnfStyle w:val="000000100000" w:firstRow="0" w:lastRow="0" w:firstColumn="0" w:lastColumn="0" w:oddVBand="0" w:evenVBand="0" w:oddHBand="1" w:evenHBand="0" w:firstRowFirstColumn="0" w:firstRowLastColumn="0" w:lastRowFirstColumn="0" w:lastRowLastColumn="0"/>
              <w:rPr>
                <w:sz w:val="21"/>
                <w:szCs w:val="21"/>
              </w:rPr>
            </w:pPr>
            <w:r w:rsidRPr="00CE68A4">
              <w:rPr>
                <w:noProof/>
                <w:sz w:val="21"/>
                <w:szCs w:val="21"/>
              </w:rPr>
              <w:drawing>
                <wp:inline distT="0" distB="0" distL="0" distR="0" wp14:anchorId="636E715C" wp14:editId="1EFFBF66">
                  <wp:extent cx="180000" cy="180000"/>
                  <wp:effectExtent l="0" t="0" r="0" b="0"/>
                  <wp:docPr id="371677039" name="Graphic 37167703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EB4375" w:rsidRPr="00B65FDB" w14:paraId="3F996B41"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bottom w:val="single" w:sz="4" w:space="0" w:color="auto"/>
            </w:tcBorders>
            <w:vAlign w:val="center"/>
          </w:tcPr>
          <w:p w14:paraId="6E6A4AE1" w14:textId="0B770588" w:rsidR="00EB4375" w:rsidRPr="6502A063" w:rsidRDefault="00EB4375" w:rsidP="00A21C07">
            <w:pPr>
              <w:spacing w:before="60" w:after="60" w:line="240" w:lineRule="auto"/>
              <w:rPr>
                <w:sz w:val="21"/>
                <w:szCs w:val="21"/>
              </w:rPr>
            </w:pPr>
            <w:r>
              <w:rPr>
                <w:sz w:val="21"/>
                <w:szCs w:val="21"/>
              </w:rPr>
              <w:t>P</w:t>
            </w:r>
            <w:r w:rsidRPr="00EB4375">
              <w:rPr>
                <w:sz w:val="21"/>
                <w:szCs w:val="21"/>
              </w:rPr>
              <w:t>ublic hospital or overseas prices</w:t>
            </w:r>
          </w:p>
        </w:tc>
        <w:tc>
          <w:tcPr>
            <w:tcW w:w="1276" w:type="dxa"/>
            <w:tcBorders>
              <w:bottom w:val="single" w:sz="4" w:space="0" w:color="auto"/>
            </w:tcBorders>
            <w:vAlign w:val="center"/>
          </w:tcPr>
          <w:p w14:paraId="7EC78183" w14:textId="6B4318A4" w:rsidR="00EB4375" w:rsidRDefault="00EB4375"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Pr>
                <w:noProof/>
                <w:sz w:val="21"/>
                <w:szCs w:val="21"/>
              </w:rPr>
              <w:drawing>
                <wp:inline distT="0" distB="0" distL="0" distR="0" wp14:anchorId="08152EC9" wp14:editId="2FB09B61">
                  <wp:extent cx="180000" cy="180000"/>
                  <wp:effectExtent l="0" t="0" r="0" b="0"/>
                  <wp:docPr id="17" name="Graphic 17"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1276" w:type="dxa"/>
            <w:tcBorders>
              <w:bottom w:val="single" w:sz="4" w:space="0" w:color="auto"/>
            </w:tcBorders>
            <w:vAlign w:val="center"/>
          </w:tcPr>
          <w:p w14:paraId="46C06E75" w14:textId="4426E164" w:rsidR="00EB4375" w:rsidRPr="008009E0" w:rsidRDefault="00EB4375"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sidRPr="008009E0">
              <w:rPr>
                <w:noProof/>
                <w:sz w:val="21"/>
                <w:szCs w:val="21"/>
              </w:rPr>
              <w:drawing>
                <wp:inline distT="0" distB="0" distL="0" distR="0" wp14:anchorId="574971B2" wp14:editId="379BA3C3">
                  <wp:extent cx="180000" cy="180000"/>
                  <wp:effectExtent l="0" t="0" r="0" b="0"/>
                  <wp:docPr id="19" name="Graphic 1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r w:rsidR="00A90F20">
              <w:rPr>
                <w:noProof/>
                <w:sz w:val="21"/>
                <w:szCs w:val="21"/>
              </w:rPr>
              <w:br/>
            </w:r>
            <w:r w:rsidR="00A90F20" w:rsidRPr="00D66EEE">
              <w:rPr>
                <w:sz w:val="18"/>
                <w:szCs w:val="18"/>
              </w:rPr>
              <w:t>(for 2b)</w:t>
            </w:r>
          </w:p>
        </w:tc>
        <w:tc>
          <w:tcPr>
            <w:tcW w:w="1173" w:type="dxa"/>
            <w:tcBorders>
              <w:bottom w:val="single" w:sz="4" w:space="0" w:color="auto"/>
            </w:tcBorders>
            <w:vAlign w:val="center"/>
          </w:tcPr>
          <w:p w14:paraId="5F5A5FAF" w14:textId="40AAB36E" w:rsidR="00EB4375" w:rsidRPr="008009E0" w:rsidRDefault="00EB4375"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sidRPr="008009E0">
              <w:rPr>
                <w:noProof/>
                <w:sz w:val="21"/>
                <w:szCs w:val="21"/>
              </w:rPr>
              <w:drawing>
                <wp:inline distT="0" distB="0" distL="0" distR="0" wp14:anchorId="6FB2590D" wp14:editId="280F3C9D">
                  <wp:extent cx="180000" cy="180000"/>
                  <wp:effectExtent l="0" t="0" r="0" b="0"/>
                  <wp:docPr id="20" name="Graphic 2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tcBorders>
              <w:bottom w:val="single" w:sz="4" w:space="0" w:color="auto"/>
            </w:tcBorders>
            <w:vAlign w:val="center"/>
          </w:tcPr>
          <w:p w14:paraId="2915ACF8" w14:textId="2FA38157" w:rsidR="00EB4375" w:rsidRPr="008009E0" w:rsidRDefault="00EB4375"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Pr>
                <w:noProof/>
                <w:sz w:val="21"/>
                <w:szCs w:val="21"/>
              </w:rPr>
              <w:drawing>
                <wp:inline distT="0" distB="0" distL="0" distR="0" wp14:anchorId="2EA5AE9D" wp14:editId="252885DE">
                  <wp:extent cx="180000" cy="180000"/>
                  <wp:effectExtent l="0" t="0" r="0" b="0"/>
                  <wp:docPr id="18" name="Graphic 18"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r>
      <w:tr w:rsidR="00B919EF" w:rsidRPr="00B65FDB" w14:paraId="0F057A23" w14:textId="77777777"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bottom w:val="single" w:sz="4" w:space="0" w:color="auto"/>
            </w:tcBorders>
            <w:vAlign w:val="center"/>
          </w:tcPr>
          <w:p w14:paraId="5723B6A1" w14:textId="77777777" w:rsidR="00A21C07" w:rsidRDefault="00A21C07" w:rsidP="00A21C07">
            <w:pPr>
              <w:spacing w:before="60" w:after="60" w:line="240" w:lineRule="auto"/>
              <w:rPr>
                <w:sz w:val="21"/>
                <w:szCs w:val="21"/>
              </w:rPr>
            </w:pPr>
            <w:r w:rsidRPr="6502A063">
              <w:rPr>
                <w:sz w:val="21"/>
                <w:szCs w:val="21"/>
              </w:rPr>
              <w:t xml:space="preserve">Estimated utilisation </w:t>
            </w:r>
          </w:p>
        </w:tc>
        <w:tc>
          <w:tcPr>
            <w:tcW w:w="1276" w:type="dxa"/>
            <w:tcBorders>
              <w:bottom w:val="single" w:sz="4" w:space="0" w:color="auto"/>
            </w:tcBorders>
            <w:vAlign w:val="center"/>
          </w:tcPr>
          <w:p w14:paraId="10222824" w14:textId="5E4C4FCF"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Pr>
                <w:noProof/>
                <w:sz w:val="21"/>
                <w:szCs w:val="21"/>
              </w:rPr>
              <w:drawing>
                <wp:inline distT="0" distB="0" distL="0" distR="0" wp14:anchorId="7469E572" wp14:editId="1D942DF8">
                  <wp:extent cx="180000" cy="180000"/>
                  <wp:effectExtent l="0" t="0" r="0" b="0"/>
                  <wp:docPr id="371677052" name="Graphic 371677052"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1276" w:type="dxa"/>
            <w:tcBorders>
              <w:bottom w:val="single" w:sz="4" w:space="0" w:color="auto"/>
            </w:tcBorders>
            <w:vAlign w:val="center"/>
          </w:tcPr>
          <w:p w14:paraId="096AA4E7" w14:textId="24654FE0"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8009E0">
              <w:rPr>
                <w:noProof/>
                <w:sz w:val="21"/>
                <w:szCs w:val="21"/>
              </w:rPr>
              <w:drawing>
                <wp:inline distT="0" distB="0" distL="0" distR="0" wp14:anchorId="618646DC" wp14:editId="775960BA">
                  <wp:extent cx="180000" cy="180000"/>
                  <wp:effectExtent l="0" t="0" r="0" b="0"/>
                  <wp:docPr id="371677048" name="Graphic 37167704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tcBorders>
              <w:bottom w:val="single" w:sz="4" w:space="0" w:color="auto"/>
            </w:tcBorders>
            <w:vAlign w:val="center"/>
          </w:tcPr>
          <w:p w14:paraId="5B44F1C1" w14:textId="35D29FED"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8009E0">
              <w:rPr>
                <w:noProof/>
                <w:sz w:val="21"/>
                <w:szCs w:val="21"/>
              </w:rPr>
              <w:drawing>
                <wp:inline distT="0" distB="0" distL="0" distR="0" wp14:anchorId="41A46B5E" wp14:editId="5BB7D009">
                  <wp:extent cx="180000" cy="180000"/>
                  <wp:effectExtent l="0" t="0" r="0" b="0"/>
                  <wp:docPr id="371677049" name="Graphic 37167704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tcBorders>
              <w:bottom w:val="single" w:sz="4" w:space="0" w:color="auto"/>
            </w:tcBorders>
            <w:vAlign w:val="center"/>
          </w:tcPr>
          <w:p w14:paraId="7EFB7005" w14:textId="79458BA6"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8009E0">
              <w:rPr>
                <w:noProof/>
                <w:sz w:val="21"/>
                <w:szCs w:val="21"/>
              </w:rPr>
              <w:drawing>
                <wp:inline distT="0" distB="0" distL="0" distR="0" wp14:anchorId="5F2D5161" wp14:editId="6897DD90">
                  <wp:extent cx="180000" cy="180000"/>
                  <wp:effectExtent l="0" t="0" r="0" b="0"/>
                  <wp:docPr id="371677050" name="Graphic 37167705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732729" w:rsidRPr="00B65FDB" w14:paraId="408ABB30" w14:textId="77777777" w:rsidTr="00735FF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Borders>
              <w:top w:val="single" w:sz="4" w:space="0" w:color="auto"/>
              <w:bottom w:val="single" w:sz="4" w:space="0" w:color="auto"/>
              <w:right w:val="nil"/>
            </w:tcBorders>
            <w:shd w:val="clear" w:color="auto" w:fill="D9D9D9" w:themeFill="background1" w:themeFillShade="D9"/>
            <w:vAlign w:val="center"/>
          </w:tcPr>
          <w:p w14:paraId="65A720E8" w14:textId="62D116B8" w:rsidR="007577EA" w:rsidRPr="007577EA" w:rsidRDefault="007577EA" w:rsidP="00040E35">
            <w:pPr>
              <w:spacing w:before="60" w:after="60" w:line="240" w:lineRule="auto"/>
              <w:rPr>
                <w:b/>
                <w:bCs/>
                <w:sz w:val="21"/>
                <w:szCs w:val="21"/>
              </w:rPr>
            </w:pPr>
            <w:r w:rsidRPr="007577EA">
              <w:rPr>
                <w:b/>
                <w:bCs/>
                <w:sz w:val="21"/>
                <w:szCs w:val="21"/>
              </w:rPr>
              <w:t>Documents to be attached</w:t>
            </w:r>
          </w:p>
        </w:tc>
        <w:tc>
          <w:tcPr>
            <w:tcW w:w="1276" w:type="dxa"/>
            <w:tcBorders>
              <w:top w:val="single" w:sz="4" w:space="0" w:color="auto"/>
              <w:left w:val="nil"/>
              <w:bottom w:val="single" w:sz="4" w:space="0" w:color="auto"/>
              <w:right w:val="nil"/>
            </w:tcBorders>
            <w:shd w:val="clear" w:color="auto" w:fill="D9D9D9" w:themeFill="background1" w:themeFillShade="D9"/>
            <w:vAlign w:val="center"/>
          </w:tcPr>
          <w:p w14:paraId="57A65C64" w14:textId="77777777" w:rsidR="007577EA" w:rsidRPr="6502A063" w:rsidRDefault="007577E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p>
        </w:tc>
        <w:tc>
          <w:tcPr>
            <w:tcW w:w="0" w:type="dxa"/>
            <w:tcBorders>
              <w:top w:val="single" w:sz="4" w:space="0" w:color="auto"/>
              <w:left w:val="nil"/>
              <w:bottom w:val="single" w:sz="4" w:space="0" w:color="auto"/>
              <w:right w:val="nil"/>
            </w:tcBorders>
            <w:shd w:val="clear" w:color="auto" w:fill="D9D9D9" w:themeFill="background1" w:themeFillShade="D9"/>
            <w:vAlign w:val="center"/>
          </w:tcPr>
          <w:p w14:paraId="243348B0" w14:textId="77777777" w:rsidR="007577EA" w:rsidRPr="6502A063" w:rsidRDefault="007577E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p>
        </w:tc>
        <w:tc>
          <w:tcPr>
            <w:tcW w:w="1173" w:type="dxa"/>
            <w:tcBorders>
              <w:top w:val="single" w:sz="4" w:space="0" w:color="auto"/>
              <w:left w:val="nil"/>
              <w:bottom w:val="single" w:sz="4" w:space="0" w:color="auto"/>
              <w:right w:val="nil"/>
            </w:tcBorders>
            <w:shd w:val="clear" w:color="auto" w:fill="D9D9D9" w:themeFill="background1" w:themeFillShade="D9"/>
            <w:vAlign w:val="center"/>
          </w:tcPr>
          <w:p w14:paraId="5E78520A" w14:textId="77777777" w:rsidR="007577EA" w:rsidRPr="6502A063" w:rsidRDefault="007577E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p>
        </w:tc>
        <w:tc>
          <w:tcPr>
            <w:tcW w:w="0" w:type="dxa"/>
            <w:tcBorders>
              <w:top w:val="single" w:sz="4" w:space="0" w:color="auto"/>
              <w:left w:val="nil"/>
              <w:bottom w:val="single" w:sz="4" w:space="0" w:color="auto"/>
            </w:tcBorders>
            <w:shd w:val="clear" w:color="auto" w:fill="D9D9D9" w:themeFill="background1" w:themeFillShade="D9"/>
            <w:vAlign w:val="center"/>
          </w:tcPr>
          <w:p w14:paraId="48F03C1F" w14:textId="77777777" w:rsidR="007577EA" w:rsidRPr="6502A063" w:rsidRDefault="007577E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p>
        </w:tc>
      </w:tr>
      <w:tr w:rsidR="00B919EF" w:rsidRPr="00B65FDB" w14:paraId="23FC4D4B" w14:textId="77777777"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Borders>
              <w:top w:val="single" w:sz="4" w:space="0" w:color="auto"/>
            </w:tcBorders>
            <w:vAlign w:val="center"/>
          </w:tcPr>
          <w:p w14:paraId="602B502D" w14:textId="2842C0C7" w:rsidR="00A21C07" w:rsidRDefault="00A21C07" w:rsidP="00A21C07">
            <w:pPr>
              <w:spacing w:before="60" w:after="60" w:line="240" w:lineRule="auto"/>
              <w:rPr>
                <w:sz w:val="21"/>
                <w:szCs w:val="21"/>
              </w:rPr>
            </w:pPr>
            <w:r w:rsidRPr="6502A063">
              <w:rPr>
                <w:sz w:val="21"/>
                <w:szCs w:val="21"/>
              </w:rPr>
              <w:lastRenderedPageBreak/>
              <w:t xml:space="preserve">Product </w:t>
            </w:r>
            <w:r>
              <w:rPr>
                <w:sz w:val="21"/>
                <w:szCs w:val="21"/>
              </w:rPr>
              <w:t>brochure, surgical technique, instructions for use, etc</w:t>
            </w:r>
          </w:p>
        </w:tc>
        <w:tc>
          <w:tcPr>
            <w:tcW w:w="1276" w:type="dxa"/>
            <w:tcBorders>
              <w:top w:val="single" w:sz="4" w:space="0" w:color="auto"/>
            </w:tcBorders>
            <w:vAlign w:val="center"/>
          </w:tcPr>
          <w:p w14:paraId="78AFC8C7" w14:textId="0642AC95"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20422BF7" wp14:editId="259D6498">
                  <wp:extent cx="180000" cy="180000"/>
                  <wp:effectExtent l="0" t="0" r="0" b="0"/>
                  <wp:docPr id="371677055" name="Graphic 37167705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276" w:type="dxa"/>
            <w:tcBorders>
              <w:top w:val="single" w:sz="4" w:space="0" w:color="auto"/>
            </w:tcBorders>
            <w:vAlign w:val="center"/>
          </w:tcPr>
          <w:p w14:paraId="0AB672DB" w14:textId="0D7D7DF5"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00847992" wp14:editId="753889D0">
                  <wp:extent cx="180000" cy="180000"/>
                  <wp:effectExtent l="0" t="0" r="0" b="0"/>
                  <wp:docPr id="371677056" name="Graphic 37167705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tcBorders>
              <w:top w:val="single" w:sz="4" w:space="0" w:color="auto"/>
            </w:tcBorders>
            <w:vAlign w:val="center"/>
          </w:tcPr>
          <w:p w14:paraId="1460F914" w14:textId="7363B9E4"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626EF812" wp14:editId="562FC01A">
                  <wp:extent cx="180000" cy="180000"/>
                  <wp:effectExtent l="0" t="0" r="0" b="0"/>
                  <wp:docPr id="371677057" name="Graphic 37167705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tcBorders>
              <w:top w:val="single" w:sz="4" w:space="0" w:color="auto"/>
            </w:tcBorders>
            <w:vAlign w:val="center"/>
          </w:tcPr>
          <w:p w14:paraId="67402C9C" w14:textId="6754883B" w:rsidR="00A21C07"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483720F4" wp14:editId="05F8092C">
                  <wp:extent cx="180000" cy="180000"/>
                  <wp:effectExtent l="0" t="0" r="0" b="0"/>
                  <wp:docPr id="371677058" name="Graphic 37167705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r>
      <w:tr w:rsidR="00826E69" w:rsidRPr="00B65FDB" w14:paraId="688D5546"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557476D0" w14:textId="73858AE2" w:rsidR="00826E69" w:rsidRPr="6502A063" w:rsidRDefault="00826E69" w:rsidP="00E8642A">
            <w:pPr>
              <w:spacing w:before="60" w:after="60" w:line="240" w:lineRule="auto"/>
              <w:rPr>
                <w:sz w:val="21"/>
                <w:szCs w:val="21"/>
              </w:rPr>
            </w:pPr>
            <w:r>
              <w:rPr>
                <w:sz w:val="21"/>
                <w:szCs w:val="21"/>
              </w:rPr>
              <w:t>Technical information (</w:t>
            </w:r>
            <w:r w:rsidR="00E8642A">
              <w:rPr>
                <w:sz w:val="21"/>
                <w:szCs w:val="21"/>
              </w:rPr>
              <w:t xml:space="preserve">e.g. </w:t>
            </w:r>
            <w:r w:rsidR="00EB4375" w:rsidRPr="00E8642A">
              <w:rPr>
                <w:sz w:val="21"/>
                <w:szCs w:val="21"/>
              </w:rPr>
              <w:t>pull-out</w:t>
            </w:r>
            <w:r w:rsidR="00E8642A" w:rsidRPr="00E8642A">
              <w:rPr>
                <w:sz w:val="21"/>
                <w:szCs w:val="21"/>
              </w:rPr>
              <w:t xml:space="preserve"> strength tests data </w:t>
            </w:r>
            <w:r w:rsidR="00E8642A">
              <w:rPr>
                <w:sz w:val="21"/>
                <w:szCs w:val="21"/>
              </w:rPr>
              <w:t xml:space="preserve">for </w:t>
            </w:r>
            <w:r w:rsidR="00E8642A" w:rsidRPr="00E8642A">
              <w:rPr>
                <w:sz w:val="21"/>
                <w:szCs w:val="21"/>
              </w:rPr>
              <w:t>the device</w:t>
            </w:r>
            <w:r w:rsidR="00E8642A">
              <w:rPr>
                <w:sz w:val="21"/>
                <w:szCs w:val="21"/>
              </w:rPr>
              <w:t>)</w:t>
            </w:r>
          </w:p>
        </w:tc>
        <w:tc>
          <w:tcPr>
            <w:tcW w:w="1276" w:type="dxa"/>
            <w:vAlign w:val="center"/>
          </w:tcPr>
          <w:p w14:paraId="6FFEDECA" w14:textId="1C98D1E3" w:rsidR="00826E69" w:rsidRDefault="00E8642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Pr>
                <w:noProof/>
                <w:sz w:val="21"/>
                <w:szCs w:val="21"/>
              </w:rPr>
              <w:drawing>
                <wp:inline distT="0" distB="0" distL="0" distR="0" wp14:anchorId="2DB8AD09" wp14:editId="20D2F542">
                  <wp:extent cx="180000" cy="180000"/>
                  <wp:effectExtent l="0" t="0" r="0" b="0"/>
                  <wp:docPr id="13" name="Graphic 13"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1FB5F002" w14:textId="75D1E66A" w:rsidR="00826E69" w:rsidRPr="00CD431E" w:rsidRDefault="00E8642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sidRPr="00CD431E">
              <w:rPr>
                <w:noProof/>
                <w:sz w:val="21"/>
                <w:szCs w:val="21"/>
              </w:rPr>
              <w:drawing>
                <wp:inline distT="0" distB="0" distL="0" distR="0" wp14:anchorId="507550ED" wp14:editId="3FAE7B0D">
                  <wp:extent cx="180000" cy="180000"/>
                  <wp:effectExtent l="0" t="0" r="0" b="0"/>
                  <wp:docPr id="14" name="Graphic 1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r>
              <w:rPr>
                <w:noProof/>
                <w:sz w:val="21"/>
                <w:szCs w:val="21"/>
              </w:rPr>
              <w:br/>
            </w:r>
            <w:r w:rsidR="00EB4375" w:rsidRPr="00D66EEE">
              <w:rPr>
                <w:noProof/>
                <w:sz w:val="18"/>
                <w:szCs w:val="18"/>
              </w:rPr>
              <w:t>(if applicable)</w:t>
            </w:r>
          </w:p>
        </w:tc>
        <w:tc>
          <w:tcPr>
            <w:tcW w:w="1173" w:type="dxa"/>
            <w:vAlign w:val="center"/>
          </w:tcPr>
          <w:p w14:paraId="21C543B0" w14:textId="7B4CF21A" w:rsidR="00826E69" w:rsidRPr="00CD431E" w:rsidRDefault="00E8642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sidRPr="00CD431E">
              <w:rPr>
                <w:noProof/>
                <w:sz w:val="21"/>
                <w:szCs w:val="21"/>
              </w:rPr>
              <w:drawing>
                <wp:inline distT="0" distB="0" distL="0" distR="0" wp14:anchorId="096B1886" wp14:editId="6C988E64">
                  <wp:extent cx="180000" cy="180000"/>
                  <wp:effectExtent l="0" t="0" r="0" b="0"/>
                  <wp:docPr id="16" name="Graphic 16"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r>
              <w:rPr>
                <w:noProof/>
                <w:sz w:val="21"/>
                <w:szCs w:val="21"/>
              </w:rPr>
              <w:br/>
            </w:r>
            <w:r w:rsidR="00EB4375" w:rsidRPr="00D66EEE">
              <w:rPr>
                <w:noProof/>
                <w:sz w:val="18"/>
                <w:szCs w:val="18"/>
              </w:rPr>
              <w:t>(if applicable)</w:t>
            </w:r>
          </w:p>
        </w:tc>
        <w:tc>
          <w:tcPr>
            <w:tcW w:w="1378" w:type="dxa"/>
            <w:vAlign w:val="center"/>
          </w:tcPr>
          <w:p w14:paraId="27C26AF1" w14:textId="793AECAD" w:rsidR="00826E69" w:rsidRDefault="00E8642A"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noProof/>
                <w:sz w:val="21"/>
                <w:szCs w:val="21"/>
              </w:rPr>
            </w:pPr>
            <w:r>
              <w:rPr>
                <w:noProof/>
                <w:sz w:val="21"/>
                <w:szCs w:val="21"/>
              </w:rPr>
              <w:drawing>
                <wp:inline distT="0" distB="0" distL="0" distR="0" wp14:anchorId="6496A647" wp14:editId="0275CE55">
                  <wp:extent cx="180000" cy="180000"/>
                  <wp:effectExtent l="0" t="0" r="0" b="0"/>
                  <wp:docPr id="15" name="Graphic 15"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r>
      <w:tr w:rsidR="00B919EF" w:rsidRPr="00B65FDB" w14:paraId="7A71F9FE" w14:textId="77777777" w:rsidTr="00437E9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212DE9F3" w14:textId="63D114A5" w:rsidR="00A21C07" w:rsidRPr="00B65FDB" w:rsidRDefault="00A21C07" w:rsidP="00A21C07">
            <w:pPr>
              <w:spacing w:before="60" w:after="60" w:line="240" w:lineRule="auto"/>
              <w:rPr>
                <w:sz w:val="21"/>
                <w:szCs w:val="21"/>
              </w:rPr>
            </w:pPr>
            <w:r w:rsidRPr="6502A063">
              <w:rPr>
                <w:sz w:val="21"/>
                <w:szCs w:val="21"/>
              </w:rPr>
              <w:t xml:space="preserve">Clinical </w:t>
            </w:r>
            <w:r w:rsidR="00EB4375">
              <w:rPr>
                <w:sz w:val="21"/>
                <w:szCs w:val="21"/>
              </w:rPr>
              <w:t>data</w:t>
            </w:r>
          </w:p>
        </w:tc>
        <w:tc>
          <w:tcPr>
            <w:tcW w:w="1276" w:type="dxa"/>
            <w:vAlign w:val="center"/>
          </w:tcPr>
          <w:p w14:paraId="7974CF7D" w14:textId="754F02F2"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Pr>
                <w:noProof/>
                <w:sz w:val="21"/>
                <w:szCs w:val="21"/>
              </w:rPr>
              <w:drawing>
                <wp:inline distT="0" distB="0" distL="0" distR="0" wp14:anchorId="2BFB01DA" wp14:editId="5782D632">
                  <wp:extent cx="180000" cy="180000"/>
                  <wp:effectExtent l="0" t="0" r="0" b="0"/>
                  <wp:docPr id="371677063" name="Graphic 371677063"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1148E1CE" w14:textId="31F359DB"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0A02F519" wp14:editId="2E8182EB">
                  <wp:extent cx="180000" cy="180000"/>
                  <wp:effectExtent l="0" t="0" r="0" b="0"/>
                  <wp:docPr id="371677059" name="Graphic 37167705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173" w:type="dxa"/>
            <w:vAlign w:val="center"/>
          </w:tcPr>
          <w:p w14:paraId="340B44D3" w14:textId="54BDFA28" w:rsidR="00A21C07" w:rsidRPr="00B65FDB"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rPr>
            </w:pPr>
            <w:r w:rsidRPr="00CD431E">
              <w:rPr>
                <w:noProof/>
                <w:sz w:val="21"/>
                <w:szCs w:val="21"/>
              </w:rPr>
              <w:drawing>
                <wp:inline distT="0" distB="0" distL="0" distR="0" wp14:anchorId="67101DFC" wp14:editId="705B46D4">
                  <wp:extent cx="180000" cy="180000"/>
                  <wp:effectExtent l="0" t="0" r="0" b="0"/>
                  <wp:docPr id="371677060" name="Graphic 371677060"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2F5C13D7" w14:textId="47754277" w:rsidR="00A21C07" w:rsidRPr="00097CB0" w:rsidRDefault="00A21C07" w:rsidP="00437E99">
            <w:pPr>
              <w:spacing w:before="60" w:after="60" w:line="240" w:lineRule="auto"/>
              <w:jc w:val="center"/>
              <w:cnfStyle w:val="000000100000" w:firstRow="0" w:lastRow="0" w:firstColumn="0" w:lastColumn="0" w:oddVBand="0" w:evenVBand="0" w:oddHBand="1" w:evenHBand="0" w:firstRowFirstColumn="0" w:firstRowLastColumn="0" w:lastRowFirstColumn="0" w:lastRowLastColumn="0"/>
              <w:rPr>
                <w:sz w:val="21"/>
                <w:szCs w:val="21"/>
                <w:highlight w:val="yellow"/>
              </w:rPr>
            </w:pPr>
            <w:r>
              <w:rPr>
                <w:noProof/>
                <w:sz w:val="21"/>
                <w:szCs w:val="21"/>
              </w:rPr>
              <w:drawing>
                <wp:inline distT="0" distB="0" distL="0" distR="0" wp14:anchorId="3D1A8725" wp14:editId="3DBF6724">
                  <wp:extent cx="180000" cy="180000"/>
                  <wp:effectExtent l="0" t="0" r="0" b="0"/>
                  <wp:docPr id="371677065" name="Graphic 371677065"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r>
      <w:tr w:rsidR="00B919EF" w:rsidRPr="00B65FDB" w14:paraId="43524810" w14:textId="77777777" w:rsidTr="00437E9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vAlign w:val="center"/>
          </w:tcPr>
          <w:p w14:paraId="01906BC8" w14:textId="77777777" w:rsidR="00A21C07" w:rsidRPr="00B65FDB" w:rsidRDefault="00A21C07" w:rsidP="00A21C07">
            <w:pPr>
              <w:spacing w:before="60" w:after="60" w:line="240" w:lineRule="auto"/>
              <w:rPr>
                <w:sz w:val="21"/>
                <w:szCs w:val="21"/>
              </w:rPr>
            </w:pPr>
            <w:r w:rsidRPr="6502A063">
              <w:rPr>
                <w:sz w:val="21"/>
                <w:szCs w:val="21"/>
              </w:rPr>
              <w:t>Economic evidence</w:t>
            </w:r>
          </w:p>
        </w:tc>
        <w:tc>
          <w:tcPr>
            <w:tcW w:w="1276" w:type="dxa"/>
            <w:vAlign w:val="center"/>
          </w:tcPr>
          <w:p w14:paraId="1C83775A" w14:textId="0A1D6662"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Pr>
                <w:noProof/>
                <w:sz w:val="21"/>
                <w:szCs w:val="21"/>
              </w:rPr>
              <w:drawing>
                <wp:inline distT="0" distB="0" distL="0" distR="0" wp14:anchorId="7CA42DBC" wp14:editId="417B8AE5">
                  <wp:extent cx="180000" cy="180000"/>
                  <wp:effectExtent l="0" t="0" r="0" b="0"/>
                  <wp:docPr id="371677064" name="Graphic 371677064"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c>
          <w:tcPr>
            <w:tcW w:w="0" w:type="dxa"/>
            <w:vAlign w:val="center"/>
          </w:tcPr>
          <w:p w14:paraId="7A868B2A" w14:textId="12D2AD76"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D431E">
              <w:rPr>
                <w:noProof/>
                <w:sz w:val="21"/>
                <w:szCs w:val="21"/>
              </w:rPr>
              <w:drawing>
                <wp:inline distT="0" distB="0" distL="0" distR="0" wp14:anchorId="1DAEA617" wp14:editId="50268836">
                  <wp:extent cx="180000" cy="180000"/>
                  <wp:effectExtent l="0" t="0" r="0" b="0"/>
                  <wp:docPr id="371677061" name="Graphic 37167706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r w:rsidR="009C6190">
              <w:rPr>
                <w:sz w:val="21"/>
                <w:szCs w:val="21"/>
              </w:rPr>
              <w:t xml:space="preserve"> </w:t>
            </w:r>
            <w:r w:rsidR="00513D0E">
              <w:rPr>
                <w:sz w:val="21"/>
                <w:szCs w:val="21"/>
              </w:rPr>
              <w:br/>
            </w:r>
            <w:r w:rsidR="009C6190" w:rsidRPr="00D66EEE">
              <w:rPr>
                <w:sz w:val="18"/>
                <w:szCs w:val="18"/>
              </w:rPr>
              <w:t>(for 2b)</w:t>
            </w:r>
          </w:p>
        </w:tc>
        <w:tc>
          <w:tcPr>
            <w:tcW w:w="1173" w:type="dxa"/>
            <w:vAlign w:val="center"/>
          </w:tcPr>
          <w:p w14:paraId="1695BCF0" w14:textId="187F3BCC" w:rsidR="00A21C07" w:rsidRPr="00B65FDB"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rPr>
            </w:pPr>
            <w:r w:rsidRPr="00CD431E">
              <w:rPr>
                <w:noProof/>
                <w:sz w:val="21"/>
                <w:szCs w:val="21"/>
              </w:rPr>
              <w:drawing>
                <wp:inline distT="0" distB="0" distL="0" distR="0" wp14:anchorId="19A1DB48" wp14:editId="71660B21">
                  <wp:extent cx="180000" cy="180000"/>
                  <wp:effectExtent l="0" t="0" r="0" b="0"/>
                  <wp:docPr id="371677062" name="Graphic 37167706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Checkmark with solid fill"/>
                          <pic:cNvPicPr/>
                        </pic:nvPicPr>
                        <pic:blipFill>
                          <a:blip r:embed="rId64" cstate="print">
                            <a:extLst>
                              <a:ext uri="{28A0092B-C50C-407E-A947-70E740481C1C}">
                                <a14:useLocalDpi xmlns:a14="http://schemas.microsoft.com/office/drawing/2010/main" val="0"/>
                              </a:ext>
                              <a:ext uri="{96DAC541-7B7A-43D3-8B79-37D633B846F1}">
                                <asvg:svgBlip xmlns:asvg="http://schemas.microsoft.com/office/drawing/2016/SVG/main" r:embed="rId65"/>
                              </a:ext>
                            </a:extLst>
                          </a:blip>
                          <a:stretch>
                            <a:fillRect/>
                          </a:stretch>
                        </pic:blipFill>
                        <pic:spPr>
                          <a:xfrm>
                            <a:off x="0" y="0"/>
                            <a:ext cx="180000" cy="180000"/>
                          </a:xfrm>
                          <a:prstGeom prst="rect">
                            <a:avLst/>
                          </a:prstGeom>
                        </pic:spPr>
                      </pic:pic>
                    </a:graphicData>
                  </a:graphic>
                </wp:inline>
              </w:drawing>
            </w:r>
          </w:p>
        </w:tc>
        <w:tc>
          <w:tcPr>
            <w:tcW w:w="1378" w:type="dxa"/>
            <w:vAlign w:val="center"/>
          </w:tcPr>
          <w:p w14:paraId="097E0A00" w14:textId="7C337672" w:rsidR="00A21C07" w:rsidRPr="00097CB0" w:rsidRDefault="00A21C07" w:rsidP="00437E99">
            <w:pPr>
              <w:spacing w:before="60" w:after="60" w:line="240" w:lineRule="auto"/>
              <w:jc w:val="center"/>
              <w:cnfStyle w:val="000000010000" w:firstRow="0" w:lastRow="0" w:firstColumn="0" w:lastColumn="0" w:oddVBand="0" w:evenVBand="0" w:oddHBand="0" w:evenHBand="1" w:firstRowFirstColumn="0" w:firstRowLastColumn="0" w:lastRowFirstColumn="0" w:lastRowLastColumn="0"/>
              <w:rPr>
                <w:sz w:val="21"/>
                <w:szCs w:val="21"/>
                <w:highlight w:val="yellow"/>
              </w:rPr>
            </w:pPr>
            <w:r>
              <w:rPr>
                <w:noProof/>
                <w:sz w:val="21"/>
                <w:szCs w:val="21"/>
              </w:rPr>
              <w:drawing>
                <wp:inline distT="0" distB="0" distL="0" distR="0" wp14:anchorId="739C7457" wp14:editId="54282E55">
                  <wp:extent cx="180000" cy="180000"/>
                  <wp:effectExtent l="0" t="0" r="0" b="0"/>
                  <wp:docPr id="371677066" name="Graphic 371677066" descr="Clos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Close with solid fill"/>
                          <pic:cNvPicPr/>
                        </pic:nvPicPr>
                        <pic:blipFill>
                          <a:blip r:embed="rId66" cstate="print">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180000" cy="180000"/>
                          </a:xfrm>
                          <a:prstGeom prst="rect">
                            <a:avLst/>
                          </a:prstGeom>
                        </pic:spPr>
                      </pic:pic>
                    </a:graphicData>
                  </a:graphic>
                </wp:inline>
              </w:drawing>
            </w:r>
          </w:p>
        </w:tc>
      </w:tr>
    </w:tbl>
    <w:p w14:paraId="46A37224" w14:textId="5D53DB7D" w:rsidR="0094164E" w:rsidRPr="00C955E8" w:rsidRDefault="0094164E" w:rsidP="0094164E">
      <w:pPr>
        <w:rPr>
          <w:i/>
          <w:iCs/>
          <w:sz w:val="16"/>
          <w:szCs w:val="16"/>
        </w:rPr>
      </w:pPr>
      <w:r w:rsidRPr="20C5E881">
        <w:rPr>
          <w:i/>
          <w:iCs/>
          <w:sz w:val="16"/>
          <w:szCs w:val="16"/>
        </w:rPr>
        <w:t xml:space="preserve">* Please refer to the MSAC Guidelines for evidence information requirements </w:t>
      </w:r>
      <w:r w:rsidR="002226E9">
        <w:rPr>
          <w:i/>
          <w:iCs/>
          <w:sz w:val="16"/>
          <w:szCs w:val="16"/>
        </w:rPr>
        <w:t>for</w:t>
      </w:r>
      <w:r w:rsidR="002226E9" w:rsidRPr="20C5E881">
        <w:rPr>
          <w:i/>
          <w:iCs/>
          <w:sz w:val="16"/>
          <w:szCs w:val="16"/>
        </w:rPr>
        <w:t xml:space="preserve"> </w:t>
      </w:r>
      <w:r w:rsidRPr="20C5E881">
        <w:rPr>
          <w:i/>
          <w:iCs/>
          <w:sz w:val="16"/>
          <w:szCs w:val="16"/>
        </w:rPr>
        <w:t xml:space="preserve">the Tier 3 </w:t>
      </w:r>
      <w:r>
        <w:rPr>
          <w:i/>
          <w:iCs/>
          <w:sz w:val="16"/>
          <w:szCs w:val="16"/>
        </w:rPr>
        <w:t>F</w:t>
      </w:r>
      <w:r w:rsidRPr="20C5E881">
        <w:rPr>
          <w:i/>
          <w:iCs/>
          <w:sz w:val="16"/>
          <w:szCs w:val="16"/>
        </w:rPr>
        <w:t xml:space="preserve">ull HTA </w:t>
      </w:r>
      <w:r>
        <w:rPr>
          <w:i/>
          <w:iCs/>
          <w:sz w:val="16"/>
          <w:szCs w:val="16"/>
        </w:rPr>
        <w:t>P</w:t>
      </w:r>
      <w:r w:rsidRPr="20C5E881">
        <w:rPr>
          <w:i/>
          <w:iCs/>
          <w:sz w:val="16"/>
          <w:szCs w:val="16"/>
        </w:rPr>
        <w:t>athway. For the Tier 3 pathway, sponsors are required to submit two applications – one for MSAC and one for PL</w:t>
      </w:r>
    </w:p>
    <w:p w14:paraId="08A14063" w14:textId="75182FC9" w:rsidR="003A42B6" w:rsidRPr="00437E99" w:rsidRDefault="003A42B6" w:rsidP="003A42B6">
      <w:pPr>
        <w:pStyle w:val="Heading2"/>
        <w:rPr>
          <w:sz w:val="24"/>
          <w:szCs w:val="24"/>
        </w:rPr>
      </w:pPr>
      <w:bookmarkStart w:id="135" w:name="_Toc149228545"/>
      <w:r w:rsidRPr="00437E99">
        <w:rPr>
          <w:sz w:val="24"/>
          <w:szCs w:val="24"/>
        </w:rPr>
        <w:t>Application</w:t>
      </w:r>
      <w:bookmarkEnd w:id="135"/>
      <w:r w:rsidRPr="00437E99">
        <w:rPr>
          <w:sz w:val="24"/>
          <w:szCs w:val="24"/>
        </w:rPr>
        <w:t xml:space="preserve"> </w:t>
      </w:r>
    </w:p>
    <w:p w14:paraId="2D2FC49C" w14:textId="6306EB37" w:rsidR="003A42B6" w:rsidRDefault="003A42B6" w:rsidP="003A42B6">
      <w:r w:rsidRPr="00483A1B">
        <w:t xml:space="preserve">Sponsors </w:t>
      </w:r>
      <w:bookmarkStart w:id="136" w:name="_Hlk148871321"/>
      <w:r w:rsidR="005302A9" w:rsidRPr="00437E99">
        <w:t>are required to</w:t>
      </w:r>
      <w:r w:rsidR="005302A9" w:rsidRPr="00483A1B">
        <w:t xml:space="preserve"> </w:t>
      </w:r>
      <w:bookmarkEnd w:id="136"/>
      <w:r w:rsidRPr="00483A1B">
        <w:t>select the relevant Part of the PL, the relevant assessment pathway (Tier), and the type of application</w:t>
      </w:r>
      <w:r w:rsidR="002226E9" w:rsidRPr="00483A1B">
        <w:t xml:space="preserve"> (new, amendment, expansion, compression, etc)</w:t>
      </w:r>
      <w:r w:rsidRPr="00483A1B">
        <w:t>.</w:t>
      </w:r>
    </w:p>
    <w:p w14:paraId="77975DCB" w14:textId="335749B8" w:rsidR="002226E9" w:rsidRPr="005B4C3A" w:rsidRDefault="001E62F8" w:rsidP="002226E9">
      <w:pPr>
        <w:pStyle w:val="Heading2"/>
        <w:rPr>
          <w:sz w:val="24"/>
          <w:szCs w:val="24"/>
        </w:rPr>
      </w:pPr>
      <w:bookmarkStart w:id="137" w:name="_Toc149228546"/>
      <w:r>
        <w:rPr>
          <w:sz w:val="24"/>
          <w:szCs w:val="24"/>
        </w:rPr>
        <w:t>Sponsor’s c</w:t>
      </w:r>
      <w:r w:rsidR="002226E9" w:rsidRPr="005B4C3A">
        <w:rPr>
          <w:sz w:val="24"/>
          <w:szCs w:val="24"/>
        </w:rPr>
        <w:t>ontact details</w:t>
      </w:r>
      <w:bookmarkEnd w:id="137"/>
    </w:p>
    <w:p w14:paraId="04F61A21" w14:textId="1B4AEE17" w:rsidR="002226E9" w:rsidRDefault="002226E9" w:rsidP="002226E9">
      <w:r>
        <w:t xml:space="preserve">Sponsors </w:t>
      </w:r>
      <w:r w:rsidR="005302A9" w:rsidRPr="005302A9">
        <w:t xml:space="preserve">are required to </w:t>
      </w:r>
      <w:r>
        <w:t xml:space="preserve">list </w:t>
      </w:r>
      <w:r w:rsidR="00483A1B">
        <w:t xml:space="preserve">details of the </w:t>
      </w:r>
      <w:r w:rsidRPr="002226E9">
        <w:t xml:space="preserve">primary contact person </w:t>
      </w:r>
      <w:r>
        <w:t xml:space="preserve">in </w:t>
      </w:r>
      <w:r w:rsidRPr="002226E9">
        <w:t xml:space="preserve">the application, and other contacts may be </w:t>
      </w:r>
      <w:r>
        <w:t xml:space="preserve">also </w:t>
      </w:r>
      <w:r w:rsidRPr="002226E9">
        <w:t>added. The application contacts will be notified when the department sends correspondence relating to the application</w:t>
      </w:r>
      <w:r w:rsidR="00483A1B">
        <w:t>.</w:t>
      </w:r>
    </w:p>
    <w:p w14:paraId="0542447E" w14:textId="6C728B8C" w:rsidR="003A42B6" w:rsidRPr="00437E99" w:rsidRDefault="003A42B6" w:rsidP="003A42B6">
      <w:pPr>
        <w:pStyle w:val="Heading2"/>
        <w:rPr>
          <w:sz w:val="24"/>
          <w:szCs w:val="24"/>
        </w:rPr>
      </w:pPr>
      <w:bookmarkStart w:id="138" w:name="_Toc149228547"/>
      <w:r w:rsidRPr="00437E99">
        <w:rPr>
          <w:sz w:val="24"/>
          <w:szCs w:val="24"/>
        </w:rPr>
        <w:t>Product details</w:t>
      </w:r>
      <w:bookmarkEnd w:id="138"/>
    </w:p>
    <w:p w14:paraId="5F1DB144" w14:textId="5A212618" w:rsidR="00483A1B" w:rsidRDefault="003A42B6" w:rsidP="003A42B6">
      <w:r w:rsidRPr="002D6423">
        <w:t>An</w:t>
      </w:r>
      <w:r w:rsidR="00483A1B">
        <w:t>y</w:t>
      </w:r>
      <w:r w:rsidRPr="002D6423">
        <w:t xml:space="preserve"> application</w:t>
      </w:r>
      <w:r w:rsidR="00483A1B">
        <w:t xml:space="preserve">s require sponsors to include the product name, descript and size. This information is required to clearly identify </w:t>
      </w:r>
      <w:r w:rsidR="00AD6763">
        <w:t xml:space="preserve">and be consistent with </w:t>
      </w:r>
      <w:r w:rsidR="00483A1B">
        <w:t xml:space="preserve">the device </w:t>
      </w:r>
      <w:r w:rsidR="00AD6763">
        <w:t xml:space="preserve">(or all devices) </w:t>
      </w:r>
      <w:r w:rsidR="00483A1B">
        <w:t xml:space="preserve">or human tissue product applied to </w:t>
      </w:r>
      <w:r w:rsidR="00C119B3">
        <w:t>b</w:t>
      </w:r>
      <w:r w:rsidR="00483A1B">
        <w:t>e listed or listed under the PL billing code.</w:t>
      </w:r>
    </w:p>
    <w:p w14:paraId="568FBAC0" w14:textId="12461E1C" w:rsidR="00483A1B" w:rsidRDefault="00483A1B" w:rsidP="00437E99">
      <w:pPr>
        <w:shd w:val="clear" w:color="auto" w:fill="D9D9D9" w:themeFill="background1" w:themeFillShade="D9"/>
      </w:pPr>
      <w:r w:rsidRPr="003A1720">
        <w:t xml:space="preserve">Where the </w:t>
      </w:r>
      <w:r w:rsidR="00C119B3" w:rsidRPr="00437E99">
        <w:t>billing code covers or will be covering</w:t>
      </w:r>
      <w:r w:rsidRPr="003A1720">
        <w:t xml:space="preserve"> a construct</w:t>
      </w:r>
      <w:r w:rsidR="00C119B3" w:rsidRPr="003A1720">
        <w:t>,</w:t>
      </w:r>
      <w:r w:rsidRPr="003A1720">
        <w:t xml:space="preserve"> </w:t>
      </w:r>
      <w:r w:rsidR="00C119B3" w:rsidRPr="003A1720">
        <w:t>kit, pack, tray, etc consisting of</w:t>
      </w:r>
      <w:r w:rsidR="00C119B3" w:rsidRPr="00C119B3">
        <w:t xml:space="preserve"> two or more medical devices, or a medical device and other products, that are intended to be used together</w:t>
      </w:r>
      <w:r w:rsidR="00C119B3">
        <w:t xml:space="preserve"> and therefore reimbursed together, the product name, description and size are required to clearly identify all components covered under the billing code (e.g. for integral fixation spinal cage</w:t>
      </w:r>
      <w:r w:rsidR="003A1720">
        <w:t>s</w:t>
      </w:r>
      <w:r w:rsidR="00C119B3">
        <w:t xml:space="preserve">, description </w:t>
      </w:r>
      <w:r w:rsidR="003A1720">
        <w:t xml:space="preserve">is </w:t>
      </w:r>
      <w:r w:rsidR="00C119B3">
        <w:t xml:space="preserve">required to include </w:t>
      </w:r>
      <w:r w:rsidR="00A95F59">
        <w:t xml:space="preserve">reference to cage and </w:t>
      </w:r>
      <w:r w:rsidR="00C119B3">
        <w:t>fixation plates and screws</w:t>
      </w:r>
      <w:r w:rsidR="003A1720">
        <w:t>;</w:t>
      </w:r>
      <w:r w:rsidR="00C119B3">
        <w:t xml:space="preserve"> </w:t>
      </w:r>
      <w:r w:rsidR="003A1720">
        <w:t xml:space="preserve">for implantable heart valve, the product name and description are required to specify the valve and the </w:t>
      </w:r>
      <w:r w:rsidR="00A95F59">
        <w:t xml:space="preserve">relevant </w:t>
      </w:r>
      <w:r w:rsidR="003A1720">
        <w:t xml:space="preserve">delivery </w:t>
      </w:r>
      <w:r w:rsidR="003A1720" w:rsidRPr="003A1720">
        <w:t>catheter</w:t>
      </w:r>
      <w:r w:rsidR="003A1720">
        <w:t>, etc.).</w:t>
      </w:r>
    </w:p>
    <w:p w14:paraId="3556BF4F" w14:textId="38BCCE09" w:rsidR="00483A1B" w:rsidRDefault="003A1720" w:rsidP="00437E99">
      <w:pPr>
        <w:shd w:val="clear" w:color="auto" w:fill="D9D9D9" w:themeFill="background1" w:themeFillShade="D9"/>
      </w:pPr>
      <w:r>
        <w:t xml:space="preserve">Further, </w:t>
      </w:r>
      <w:r w:rsidRPr="003A1720">
        <w:t>the product name, description and size</w:t>
      </w:r>
      <w:r>
        <w:t xml:space="preserve"> are required to </w:t>
      </w:r>
      <w:r w:rsidR="00A95F59">
        <w:t xml:space="preserve">be consistent with </w:t>
      </w:r>
      <w:r>
        <w:t xml:space="preserve">the group, subgroup and suffix stated in the application or for </w:t>
      </w:r>
      <w:r w:rsidR="00A95F59">
        <w:t xml:space="preserve">the </w:t>
      </w:r>
      <w:r>
        <w:t xml:space="preserve">billing code </w:t>
      </w:r>
      <w:r w:rsidR="00A95F59">
        <w:t>[for variation application]</w:t>
      </w:r>
      <w:r>
        <w:t xml:space="preserve"> </w:t>
      </w:r>
      <w:r w:rsidR="00A95F59">
        <w:t>(e.g. the product name and description need to refer to the button and t</w:t>
      </w:r>
      <w:r w:rsidR="00A90F20">
        <w:t>h</w:t>
      </w:r>
      <w:r w:rsidR="00A95F59">
        <w:t xml:space="preserve">read components of the subject device if it is applied to be listed or listed in subgroup </w:t>
      </w:r>
      <w:r w:rsidR="00A95F59" w:rsidRPr="00A95F59">
        <w:t>Button/thread/tape or Button/thread/button</w:t>
      </w:r>
      <w:r w:rsidR="00A95F59">
        <w:t xml:space="preserve">; or for </w:t>
      </w:r>
      <w:r w:rsidR="00AD6763">
        <w:t>the C</w:t>
      </w:r>
      <w:r w:rsidR="00AD6763" w:rsidRPr="00AD6763">
        <w:t xml:space="preserve">raniomaxillofacial </w:t>
      </w:r>
      <w:r w:rsidR="00A95F59" w:rsidRPr="00A95F59">
        <w:t>Fracture or Reconstruction Plates</w:t>
      </w:r>
      <w:r w:rsidR="00AD6763">
        <w:t xml:space="preserve">, for which the subgroups refer to the size and number of screw holes, the size stated in the application or for billing code is required to be consistent with this grouping </w:t>
      </w:r>
      <w:r w:rsidR="00AD6763" w:rsidRPr="000F3725">
        <w:t>information). [</w:t>
      </w:r>
      <w:hyperlink w:anchor="_Billing_codes_and" w:history="1">
        <w:r w:rsidR="00AD6763" w:rsidRPr="000F3725">
          <w:rPr>
            <w:rStyle w:val="Hyperlink"/>
          </w:rPr>
          <w:t>Billing Code</w:t>
        </w:r>
      </w:hyperlink>
      <w:r w:rsidR="00AD6763" w:rsidRPr="000F3725">
        <w:t>]</w:t>
      </w:r>
    </w:p>
    <w:p w14:paraId="76741169" w14:textId="2C3E4F67" w:rsidR="003A42B6" w:rsidRPr="00D66EEE" w:rsidRDefault="003A42B6" w:rsidP="003A42B6">
      <w:pPr>
        <w:pStyle w:val="Heading2"/>
        <w:rPr>
          <w:sz w:val="24"/>
          <w:szCs w:val="24"/>
        </w:rPr>
      </w:pPr>
      <w:bookmarkStart w:id="139" w:name="_Toc149228548"/>
      <w:r w:rsidRPr="00D66EEE">
        <w:rPr>
          <w:sz w:val="24"/>
          <w:szCs w:val="24"/>
        </w:rPr>
        <w:lastRenderedPageBreak/>
        <w:t>Regulatory information</w:t>
      </w:r>
      <w:bookmarkEnd w:id="139"/>
    </w:p>
    <w:p w14:paraId="3C842C41" w14:textId="58D3A8C6" w:rsidR="004B696F" w:rsidRDefault="003A42B6" w:rsidP="004B696F">
      <w:r>
        <w:t xml:space="preserve">For a </w:t>
      </w:r>
      <w:r w:rsidR="00B057B3">
        <w:t xml:space="preserve">device or human tissue </w:t>
      </w:r>
      <w:r>
        <w:t xml:space="preserve">product to be listed on the PL it must be </w:t>
      </w:r>
      <w:r w:rsidR="00B8381D">
        <w:t>included</w:t>
      </w:r>
      <w:r>
        <w:t xml:space="preserve"> </w:t>
      </w:r>
      <w:r w:rsidR="00B057B3">
        <w:t xml:space="preserve">in </w:t>
      </w:r>
      <w:r>
        <w:t xml:space="preserve">the ARTG. </w:t>
      </w:r>
    </w:p>
    <w:p w14:paraId="41691E27" w14:textId="4641162D" w:rsidR="004B696F" w:rsidRDefault="004B696F" w:rsidP="004B696F">
      <w:r>
        <w:t xml:space="preserve">Accordingly, sponsors are required to provide valid and correct ARTG entries in the PL applications. For new applications, where the devices or human tissue products are not yet included in the ARTG, </w:t>
      </w:r>
      <w:r w:rsidR="00304A36">
        <w:t xml:space="preserve">under the Parallel Assessment Process, </w:t>
      </w:r>
      <w:r>
        <w:t xml:space="preserve">sponsors </w:t>
      </w:r>
      <w:r w:rsidR="00B057B3">
        <w:t xml:space="preserve">may </w:t>
      </w:r>
      <w:r>
        <w:t xml:space="preserve">use </w:t>
      </w:r>
      <w:r w:rsidR="005C2EA6">
        <w:t>some TGA</w:t>
      </w:r>
      <w:r w:rsidR="003A42B6">
        <w:t xml:space="preserve"> applications</w:t>
      </w:r>
      <w:r w:rsidR="002D094F">
        <w:t xml:space="preserve"> </w:t>
      </w:r>
      <w:r w:rsidRPr="004B696F">
        <w:t xml:space="preserve">in lieu </w:t>
      </w:r>
      <w:r>
        <w:t>of the ARTG entry</w:t>
      </w:r>
      <w:r w:rsidR="003A42B6">
        <w:t xml:space="preserve">. </w:t>
      </w:r>
      <w:r w:rsidR="00304A36">
        <w:t xml:space="preserve">In such instances, sponsors are required to state the TGA </w:t>
      </w:r>
      <w:r w:rsidR="00304A36" w:rsidRPr="00097CB0">
        <w:t>Application Identifier</w:t>
      </w:r>
      <w:r w:rsidR="00304A36">
        <w:t>.</w:t>
      </w:r>
    </w:p>
    <w:p w14:paraId="33456956" w14:textId="58D91A49" w:rsidR="00A70BFE" w:rsidRPr="00485440" w:rsidRDefault="004B696F" w:rsidP="00485440">
      <w:r>
        <w:t xml:space="preserve">For more information, </w:t>
      </w:r>
      <w:r w:rsidR="0006100E">
        <w:t>see</w:t>
      </w:r>
      <w:r>
        <w:t xml:space="preserve"> </w:t>
      </w:r>
      <w:hyperlink w:anchor="_Parallel_assessment_process" w:history="1">
        <w:r w:rsidRPr="00485440">
          <w:rPr>
            <w:rStyle w:val="Hyperlink"/>
          </w:rPr>
          <w:t>Parallel Assessment Process</w:t>
        </w:r>
      </w:hyperlink>
      <w:r>
        <w:rPr>
          <w:rStyle w:val="Hyperlink"/>
        </w:rPr>
        <w:t>.</w:t>
      </w:r>
    </w:p>
    <w:p w14:paraId="303F5249" w14:textId="6BB631B0" w:rsidR="00E4553F" w:rsidRPr="00437E99" w:rsidRDefault="00E4553F" w:rsidP="00E4553F">
      <w:pPr>
        <w:pStyle w:val="Heading2"/>
        <w:rPr>
          <w:sz w:val="24"/>
          <w:szCs w:val="24"/>
        </w:rPr>
      </w:pPr>
      <w:bookmarkStart w:id="140" w:name="_MBS_items_and"/>
      <w:bookmarkStart w:id="141" w:name="_Toc149228549"/>
      <w:bookmarkEnd w:id="140"/>
      <w:r w:rsidRPr="00437E99">
        <w:rPr>
          <w:sz w:val="24"/>
          <w:szCs w:val="24"/>
        </w:rPr>
        <w:t>MBS items and use of device for hospital treatment</w:t>
      </w:r>
      <w:bookmarkEnd w:id="141"/>
    </w:p>
    <w:p w14:paraId="08447F28" w14:textId="21B90CA9" w:rsidR="00E4553F" w:rsidRDefault="00E4553F" w:rsidP="00437E99">
      <w:pPr>
        <w:shd w:val="clear" w:color="auto" w:fill="D9D9D9" w:themeFill="background1" w:themeFillShade="D9"/>
      </w:pPr>
      <w:r w:rsidRPr="00ED4AF4">
        <w:t xml:space="preserve">Medical devices </w:t>
      </w:r>
      <w:r>
        <w:t>or human tissue products are not eligible for</w:t>
      </w:r>
      <w:r w:rsidRPr="00ED4AF4">
        <w:t xml:space="preserve"> list</w:t>
      </w:r>
      <w:r>
        <w:t>ing</w:t>
      </w:r>
      <w:r w:rsidRPr="00ED4AF4">
        <w:t xml:space="preserve"> on the PL unless there is a</w:t>
      </w:r>
      <w:r>
        <w:t xml:space="preserve">t least one existing MBS item for </w:t>
      </w:r>
      <w:r w:rsidRPr="00ED4AF4">
        <w:t xml:space="preserve">Medicare service associated with the implantation or </w:t>
      </w:r>
      <w:r>
        <w:t>use</w:t>
      </w:r>
      <w:r w:rsidRPr="00ED4AF4">
        <w:t xml:space="preserve"> of the device</w:t>
      </w:r>
      <w:r>
        <w:t xml:space="preserve"> or human tissue product for hospital or hospital substitute treatment [existing MBS items can be found at </w:t>
      </w:r>
      <w:hyperlink r:id="rId68" w:history="1">
        <w:r w:rsidRPr="001624FC">
          <w:rPr>
            <w:rStyle w:val="Hyperlink"/>
          </w:rPr>
          <w:t>MBS Online</w:t>
        </w:r>
      </w:hyperlink>
      <w:r>
        <w:t>]</w:t>
      </w:r>
      <w:r w:rsidRPr="00ED4AF4">
        <w:t>.</w:t>
      </w:r>
    </w:p>
    <w:p w14:paraId="46CEE3B1" w14:textId="4B4E428F" w:rsidR="00E4553F" w:rsidRPr="00DB37D1" w:rsidRDefault="00E4553F" w:rsidP="00E4553F">
      <w:r>
        <w:t xml:space="preserve">The HPP application forms are designed to allow sponsors to provide up to 5 MBS items for each application. This is because sponsors are not required to provide all possible MBS items that possibly can be associated with the use of device or human tissue product, but rather sponsors are required to state (based on </w:t>
      </w:r>
      <w:r w:rsidRPr="005B6868">
        <w:t>functions, description, and clinical information available for the device</w:t>
      </w:r>
      <w:r>
        <w:t xml:space="preserve"> or product)</w:t>
      </w:r>
      <w:r w:rsidRPr="005B6868">
        <w:t xml:space="preserve"> </w:t>
      </w:r>
      <w:r>
        <w:t xml:space="preserve">the most </w:t>
      </w:r>
      <w:r w:rsidRPr="00DB37D1">
        <w:t>appropriate and correct MBS items</w:t>
      </w:r>
      <w:r>
        <w:t xml:space="preserve"> associated with the use of the device for hospital treatments</w:t>
      </w:r>
      <w:r w:rsidRPr="00DB37D1">
        <w:t>.</w:t>
      </w:r>
    </w:p>
    <w:p w14:paraId="0A01E60E" w14:textId="77777777" w:rsidR="00E4553F" w:rsidRPr="00DB37D1" w:rsidRDefault="00E4553F" w:rsidP="00E4553F">
      <w:r w:rsidRPr="00DB37D1">
        <w:t>Unless billing codes are listed on the Prescribed List with the condition restricting reimbursement to specific MBS items</w:t>
      </w:r>
      <w:r>
        <w:t>, or procedures, or patient indications, or in connection with implantation of specific devices</w:t>
      </w:r>
      <w:r w:rsidRPr="00DB37D1">
        <w:t xml:space="preserve">, the claims for PL listed devices may be associated with any MBS items interpreted as </w:t>
      </w:r>
      <w:r>
        <w:t>correct</w:t>
      </w:r>
      <w:r w:rsidRPr="00DB37D1">
        <w:t xml:space="preserve"> to the use of the device.</w:t>
      </w:r>
    </w:p>
    <w:p w14:paraId="05E35805" w14:textId="77777777" w:rsidR="00E4553F" w:rsidRDefault="00E4553F" w:rsidP="00E4553F">
      <w:r w:rsidRPr="00ED4AF4">
        <w:t xml:space="preserve">If there is no MBS item for the </w:t>
      </w:r>
      <w:r w:rsidRPr="005B6868">
        <w:t xml:space="preserve">Medicare </w:t>
      </w:r>
      <w:r w:rsidRPr="00ED4AF4">
        <w:t xml:space="preserve">service associated with the </w:t>
      </w:r>
      <w:r>
        <w:t xml:space="preserve">use of </w:t>
      </w:r>
      <w:r w:rsidRPr="00ED4AF4">
        <w:t>medical device</w:t>
      </w:r>
      <w:r>
        <w:t xml:space="preserve"> or human tissue product</w:t>
      </w:r>
      <w:r w:rsidRPr="00ED4AF4">
        <w:t xml:space="preserve">, an application </w:t>
      </w:r>
      <w:r>
        <w:t>is required to be</w:t>
      </w:r>
      <w:r w:rsidRPr="00ED4AF4">
        <w:t xml:space="preserve"> submitted </w:t>
      </w:r>
      <w:r>
        <w:t>to</w:t>
      </w:r>
      <w:r w:rsidRPr="00ED4AF4">
        <w:t xml:space="preserve"> the MSAC</w:t>
      </w:r>
      <w:r>
        <w:t xml:space="preserve"> seeking a new MBS item or amending the descriptor of an existing MBS item</w:t>
      </w:r>
      <w:r w:rsidRPr="00ED4AF4">
        <w:t xml:space="preserve">. </w:t>
      </w:r>
    </w:p>
    <w:p w14:paraId="7DB45C61" w14:textId="77777777" w:rsidR="00E4553F" w:rsidRDefault="00E4553F" w:rsidP="00E4553F">
      <w:r>
        <w:t>S</w:t>
      </w:r>
      <w:r w:rsidRPr="00ED4AF4">
        <w:t xml:space="preserve">ponsors can </w:t>
      </w:r>
      <w:r>
        <w:t xml:space="preserve">submit a new </w:t>
      </w:r>
      <w:r w:rsidRPr="00ED4AF4">
        <w:t xml:space="preserve">PL </w:t>
      </w:r>
      <w:r>
        <w:t>application while proceeding with the MSAC assessment for a new MBS item, but no decision on PL application will be made until MSAC assessment is finalised</w:t>
      </w:r>
      <w:r w:rsidRPr="00ED4AF4">
        <w:t>.</w:t>
      </w:r>
    </w:p>
    <w:p w14:paraId="7F9D2F39" w14:textId="3027EE6D" w:rsidR="00541CB1" w:rsidRPr="00D66EEE" w:rsidRDefault="00B919EF" w:rsidP="00097CB0">
      <w:pPr>
        <w:pStyle w:val="Heading2"/>
        <w:rPr>
          <w:sz w:val="24"/>
          <w:szCs w:val="24"/>
        </w:rPr>
      </w:pPr>
      <w:bookmarkStart w:id="142" w:name="_Toc149228550"/>
      <w:r>
        <w:rPr>
          <w:sz w:val="24"/>
          <w:szCs w:val="24"/>
        </w:rPr>
        <w:t>C</w:t>
      </w:r>
      <w:r w:rsidR="007258B2" w:rsidRPr="00D66EEE">
        <w:rPr>
          <w:sz w:val="24"/>
          <w:szCs w:val="24"/>
        </w:rPr>
        <w:t>atalogue number</w:t>
      </w:r>
      <w:r w:rsidR="00AA09BB" w:rsidRPr="00D66EEE">
        <w:rPr>
          <w:sz w:val="24"/>
          <w:szCs w:val="24"/>
        </w:rPr>
        <w:t>s</w:t>
      </w:r>
      <w:bookmarkEnd w:id="142"/>
    </w:p>
    <w:p w14:paraId="0836681C" w14:textId="1DEEAC62" w:rsidR="005141A3" w:rsidRDefault="005C72AA" w:rsidP="005141A3">
      <w:r>
        <w:t xml:space="preserve">For Part A and </w:t>
      </w:r>
      <w:r w:rsidR="00B919EF">
        <w:t xml:space="preserve">Part </w:t>
      </w:r>
      <w:r>
        <w:t xml:space="preserve">C </w:t>
      </w:r>
      <w:r w:rsidR="00B919EF">
        <w:t>devices</w:t>
      </w:r>
      <w:r w:rsidR="007800AD">
        <w:t>,</w:t>
      </w:r>
      <w:r w:rsidR="002F26F8">
        <w:t xml:space="preserve"> catalogue numbers must be </w:t>
      </w:r>
      <w:r w:rsidR="00B919EF">
        <w:t xml:space="preserve">included in the application </w:t>
      </w:r>
      <w:r w:rsidR="00FD0768">
        <w:t xml:space="preserve">for </w:t>
      </w:r>
      <w:r w:rsidR="00B919EF">
        <w:t>all devices to be covered under the billing code. Sponsors are also required to include devices’ names, descriptions, sizes, and other details for</w:t>
      </w:r>
      <w:r w:rsidR="007800AD">
        <w:t xml:space="preserve"> each catalogue number.</w:t>
      </w:r>
    </w:p>
    <w:p w14:paraId="49B17586" w14:textId="0E85EEE6" w:rsidR="007800AD" w:rsidRDefault="007800AD" w:rsidP="005141A3">
      <w:r>
        <w:t xml:space="preserve">The HPP allows sponsors to upload a spreadsheet </w:t>
      </w:r>
      <w:r w:rsidR="00B919EF">
        <w:t xml:space="preserve">with the list of all required </w:t>
      </w:r>
      <w:r>
        <w:t>catalogue numbers.</w:t>
      </w:r>
      <w:r w:rsidR="00740A5A">
        <w:t xml:space="preserve"> </w:t>
      </w:r>
    </w:p>
    <w:p w14:paraId="2C359260" w14:textId="77777777" w:rsidR="00F2588A" w:rsidRPr="00437E99" w:rsidRDefault="00F2588A" w:rsidP="00097CB0">
      <w:pPr>
        <w:pStyle w:val="Heading2"/>
        <w:rPr>
          <w:sz w:val="24"/>
          <w:szCs w:val="24"/>
        </w:rPr>
      </w:pPr>
      <w:bookmarkStart w:id="143" w:name="_Toc149228551"/>
      <w:r w:rsidRPr="00437E99">
        <w:rPr>
          <w:sz w:val="24"/>
          <w:szCs w:val="24"/>
        </w:rPr>
        <w:t>Grouping</w:t>
      </w:r>
      <w:bookmarkEnd w:id="143"/>
    </w:p>
    <w:p w14:paraId="33D91A3A" w14:textId="6425D4AD" w:rsidR="00F2588A" w:rsidRPr="00437E99" w:rsidRDefault="005251C4" w:rsidP="0011361C">
      <w:pPr>
        <w:rPr>
          <w:highlight w:val="yellow"/>
        </w:rPr>
      </w:pPr>
      <w:r w:rsidRPr="00B919EF">
        <w:t xml:space="preserve">For </w:t>
      </w:r>
      <w:r w:rsidR="003112E8" w:rsidRPr="00B919EF">
        <w:t xml:space="preserve">any </w:t>
      </w:r>
      <w:r w:rsidR="007C277A" w:rsidRPr="00B919EF">
        <w:t xml:space="preserve">Part A </w:t>
      </w:r>
      <w:r w:rsidRPr="00B919EF">
        <w:t xml:space="preserve">Tier 1 applications, </w:t>
      </w:r>
      <w:r w:rsidR="0011361C" w:rsidRPr="00B919EF">
        <w:t>s</w:t>
      </w:r>
      <w:r w:rsidR="00DC101E" w:rsidRPr="00B919EF">
        <w:t>ponsors</w:t>
      </w:r>
      <w:r w:rsidR="00DC101E" w:rsidRPr="0011361C">
        <w:t xml:space="preserve"> may only apply for listing the </w:t>
      </w:r>
      <w:r w:rsidR="00B919EF">
        <w:t xml:space="preserve">subject </w:t>
      </w:r>
      <w:r w:rsidR="00DC101E" w:rsidRPr="0011361C">
        <w:t>device in one of the existing PL groupings and do not ask to change the groupings for the billing codes in the amendment applications</w:t>
      </w:r>
      <w:r w:rsidR="00F52BD8" w:rsidRPr="0011361C">
        <w:t>.</w:t>
      </w:r>
      <w:r w:rsidR="004008BD" w:rsidRPr="0011361C">
        <w:t xml:space="preserve"> The benefit will be </w:t>
      </w:r>
      <w:r w:rsidR="003112E8" w:rsidRPr="0011361C">
        <w:t xml:space="preserve">automatically </w:t>
      </w:r>
      <w:r w:rsidR="004008BD" w:rsidRPr="0011361C">
        <w:t xml:space="preserve">pre-filled </w:t>
      </w:r>
      <w:r w:rsidR="007E5FCC" w:rsidRPr="0011361C">
        <w:t xml:space="preserve">in the HPP </w:t>
      </w:r>
      <w:r w:rsidR="003112E8" w:rsidRPr="0011361C">
        <w:t xml:space="preserve">when the </w:t>
      </w:r>
      <w:r w:rsidR="004008BD" w:rsidRPr="0011361C">
        <w:t>group</w:t>
      </w:r>
      <w:r w:rsidR="005D2088" w:rsidRPr="0011361C">
        <w:t>ing</w:t>
      </w:r>
      <w:r w:rsidR="00A23524" w:rsidRPr="0011361C">
        <w:t xml:space="preserve"> </w:t>
      </w:r>
      <w:r w:rsidR="003112E8" w:rsidRPr="0011361C">
        <w:t xml:space="preserve">is selected </w:t>
      </w:r>
      <w:r w:rsidR="00A23524" w:rsidRPr="0011361C">
        <w:t xml:space="preserve">in </w:t>
      </w:r>
      <w:r w:rsidR="007E5FCC" w:rsidRPr="0011361C">
        <w:t xml:space="preserve">the </w:t>
      </w:r>
      <w:r w:rsidR="003112E8" w:rsidRPr="000F3725">
        <w:t>application</w:t>
      </w:r>
      <w:r w:rsidR="0011361C" w:rsidRPr="000F3725">
        <w:t xml:space="preserve"> [</w:t>
      </w:r>
      <w:hyperlink w:anchor="_Tier_1:_Departmental" w:history="1">
        <w:r w:rsidR="0011361C" w:rsidRPr="000F3725">
          <w:rPr>
            <w:rStyle w:val="Hyperlink"/>
          </w:rPr>
          <w:t>Tier 1</w:t>
        </w:r>
      </w:hyperlink>
      <w:r w:rsidR="0011361C" w:rsidRPr="000F3725">
        <w:t>]</w:t>
      </w:r>
      <w:r w:rsidR="00A23524" w:rsidRPr="000F3725">
        <w:t>.</w:t>
      </w:r>
      <w:r w:rsidR="0011361C" w:rsidRPr="000F3725">
        <w:t xml:space="preserve"> </w:t>
      </w:r>
    </w:p>
    <w:p w14:paraId="090A6C8A" w14:textId="7D48AF58" w:rsidR="005D2088" w:rsidRDefault="005D2088" w:rsidP="00F2588A">
      <w:pPr>
        <w:rPr>
          <w:highlight w:val="yellow"/>
        </w:rPr>
      </w:pPr>
      <w:r w:rsidRPr="00B919EF">
        <w:lastRenderedPageBreak/>
        <w:t xml:space="preserve">For Part A and </w:t>
      </w:r>
      <w:r w:rsidR="00F26631" w:rsidRPr="00B919EF">
        <w:t xml:space="preserve">Part </w:t>
      </w:r>
      <w:r w:rsidRPr="00B919EF">
        <w:t xml:space="preserve">C Tier 2 or </w:t>
      </w:r>
      <w:r w:rsidR="003112E8" w:rsidRPr="00B919EF">
        <w:t xml:space="preserve">Tier </w:t>
      </w:r>
      <w:r w:rsidRPr="00B919EF">
        <w:t xml:space="preserve">3 applications, </w:t>
      </w:r>
      <w:r w:rsidR="003112E8" w:rsidRPr="00B919EF">
        <w:t>sponsors</w:t>
      </w:r>
      <w:r w:rsidR="003112E8" w:rsidRPr="0011361C">
        <w:t xml:space="preserve"> can select </w:t>
      </w:r>
      <w:r w:rsidRPr="0011361C">
        <w:t xml:space="preserve">an existing grouping, or </w:t>
      </w:r>
      <w:r w:rsidR="003112E8" w:rsidRPr="0011361C">
        <w:t xml:space="preserve">propose </w:t>
      </w:r>
      <w:r w:rsidRPr="0011361C">
        <w:t xml:space="preserve">a new </w:t>
      </w:r>
      <w:bookmarkStart w:id="144" w:name="_Hlk148874640"/>
      <w:r w:rsidRPr="0011361C">
        <w:t>group</w:t>
      </w:r>
      <w:r w:rsidR="007E5FCC" w:rsidRPr="0011361C">
        <w:t>,</w:t>
      </w:r>
      <w:r w:rsidRPr="0011361C">
        <w:t xml:space="preserve"> sub-group </w:t>
      </w:r>
      <w:r w:rsidR="003112E8" w:rsidRPr="0011361C">
        <w:t xml:space="preserve">or suffix </w:t>
      </w:r>
      <w:bookmarkEnd w:id="144"/>
      <w:r w:rsidR="003112E8" w:rsidRPr="0011361C">
        <w:t xml:space="preserve">in the </w:t>
      </w:r>
      <w:r w:rsidR="003112E8" w:rsidRPr="00910450">
        <w:t>application</w:t>
      </w:r>
      <w:r w:rsidR="0011361C" w:rsidRPr="00910450">
        <w:t xml:space="preserve"> [</w:t>
      </w:r>
      <w:hyperlink w:anchor="_Tier_2:_Clinical/Focused" w:history="1">
        <w:r w:rsidR="0011361C" w:rsidRPr="00910450">
          <w:rPr>
            <w:rStyle w:val="Hyperlink"/>
          </w:rPr>
          <w:t xml:space="preserve">Tier </w:t>
        </w:r>
        <w:r w:rsidR="00DA2191" w:rsidRPr="00910450">
          <w:rPr>
            <w:rStyle w:val="Hyperlink"/>
          </w:rPr>
          <w:t>2</w:t>
        </w:r>
      </w:hyperlink>
      <w:r w:rsidR="0011361C" w:rsidRPr="00910450">
        <w:t>]</w:t>
      </w:r>
      <w:r w:rsidR="00F33BF8" w:rsidRPr="00910450">
        <w:t>.</w:t>
      </w:r>
    </w:p>
    <w:p w14:paraId="07E30A6C" w14:textId="77777777" w:rsidR="0011361C" w:rsidRDefault="0011361C" w:rsidP="00F2588A">
      <w:r w:rsidRPr="00437E99">
        <w:t xml:space="preserve">The </w:t>
      </w:r>
      <w:r w:rsidRPr="0011361C">
        <w:t>group, sub-group and suffix, sponsors stated in the application</w:t>
      </w:r>
      <w:r>
        <w:t>,</w:t>
      </w:r>
      <w:r w:rsidRPr="0011361C">
        <w:t xml:space="preserve"> must be correct for </w:t>
      </w:r>
      <w:r>
        <w:t>the</w:t>
      </w:r>
      <w:r w:rsidRPr="0011361C">
        <w:t xml:space="preserve"> devices identified</w:t>
      </w:r>
      <w:r>
        <w:t xml:space="preserve"> by all catalogue numbers stated in the application or recorded for the existing billing code (as applicable). </w:t>
      </w:r>
    </w:p>
    <w:p w14:paraId="20B7434B" w14:textId="0FADD75D" w:rsidR="0011361C" w:rsidRPr="00437E99" w:rsidRDefault="0011361C" w:rsidP="00437E99">
      <w:pPr>
        <w:shd w:val="clear" w:color="auto" w:fill="D9D9D9" w:themeFill="background1" w:themeFillShade="D9"/>
        <w:rPr>
          <w:highlight w:val="yellow"/>
        </w:rPr>
      </w:pPr>
      <w:r>
        <w:t xml:space="preserve">For example, if the sponsor applied to list plates on the PL with suffix LK (Locking) but catalogue numbers in the application are for a mix of locking and </w:t>
      </w:r>
      <w:r w:rsidRPr="0011361C">
        <w:t>non-locking plate</w:t>
      </w:r>
      <w:r>
        <w:t xml:space="preserve">s, </w:t>
      </w:r>
      <w:r w:rsidR="00DA2191">
        <w:t xml:space="preserve">or subgroup stated in the application is for the plates with 16 or more number of screw holes, but there are plates with 15 or less number of holes in the application, </w:t>
      </w:r>
      <w:r>
        <w:t>such application is not acceptable, unless the sponsor remove</w:t>
      </w:r>
      <w:r w:rsidR="00DA2191">
        <w:t>s</w:t>
      </w:r>
      <w:r>
        <w:t xml:space="preserve"> incorrect catalogue number</w:t>
      </w:r>
      <w:r w:rsidR="00DA2191">
        <w:t>s</w:t>
      </w:r>
      <w:r>
        <w:t xml:space="preserve"> for </w:t>
      </w:r>
      <w:r w:rsidR="00DA2191" w:rsidRPr="00DA2191">
        <w:t xml:space="preserve">non-locking </w:t>
      </w:r>
      <w:r w:rsidR="00DA2191">
        <w:t xml:space="preserve">and smaller </w:t>
      </w:r>
      <w:r>
        <w:t>plates.</w:t>
      </w:r>
    </w:p>
    <w:p w14:paraId="6C75F3F2" w14:textId="25956D77" w:rsidR="007C277A" w:rsidRDefault="007C277A" w:rsidP="007C277A">
      <w:r w:rsidRPr="00B919EF">
        <w:t xml:space="preserve">For Part B applications, </w:t>
      </w:r>
      <w:r w:rsidR="003112E8" w:rsidRPr="00B919EF">
        <w:t>sponsors</w:t>
      </w:r>
      <w:r w:rsidR="003112E8" w:rsidRPr="00DA2191">
        <w:t xml:space="preserve"> are expected to select </w:t>
      </w:r>
      <w:r w:rsidRPr="00DA2191">
        <w:t>an existing grouping</w:t>
      </w:r>
      <w:r w:rsidR="007E5FCC" w:rsidRPr="00DA2191">
        <w:t xml:space="preserve"> and </w:t>
      </w:r>
      <w:r w:rsidR="003112E8" w:rsidRPr="00DA2191">
        <w:t xml:space="preserve">state their </w:t>
      </w:r>
      <w:r w:rsidRPr="00DA2191">
        <w:t>proposed benefit</w:t>
      </w:r>
      <w:r w:rsidR="007E5FCC" w:rsidRPr="00DA2191">
        <w:t>. Sponsors are required to</w:t>
      </w:r>
      <w:r w:rsidR="003112E8" w:rsidRPr="00DA2191">
        <w:t xml:space="preserve"> provide</w:t>
      </w:r>
      <w:r w:rsidRPr="00DA2191">
        <w:t xml:space="preserve"> </w:t>
      </w:r>
      <w:r w:rsidR="003112E8" w:rsidRPr="00DA2191">
        <w:t xml:space="preserve">explanation </w:t>
      </w:r>
      <w:r w:rsidRPr="00DA2191">
        <w:t xml:space="preserve">and </w:t>
      </w:r>
      <w:r w:rsidR="007E5FCC" w:rsidRPr="00DA2191">
        <w:t>sufficient</w:t>
      </w:r>
      <w:r w:rsidR="003112E8" w:rsidRPr="00DA2191">
        <w:t xml:space="preserve"> evidence and</w:t>
      </w:r>
      <w:r w:rsidRPr="00DA2191">
        <w:t xml:space="preserve"> cost analysis</w:t>
      </w:r>
      <w:r w:rsidR="003112E8" w:rsidRPr="00DA2191">
        <w:t xml:space="preserve"> to support the amount </w:t>
      </w:r>
      <w:r w:rsidR="007E5FCC" w:rsidRPr="00DA2191">
        <w:t>requested</w:t>
      </w:r>
      <w:r w:rsidR="0011361C">
        <w:t xml:space="preserve"> </w:t>
      </w:r>
      <w:r w:rsidR="00480E2E">
        <w:t xml:space="preserve">in the </w:t>
      </w:r>
      <w:r w:rsidR="00480E2E" w:rsidRPr="00910450">
        <w:t xml:space="preserve">application </w:t>
      </w:r>
      <w:r w:rsidR="00DA2191" w:rsidRPr="00910450">
        <w:t>[</w:t>
      </w:r>
      <w:hyperlink w:anchor="_Assessment_of_Part_1" w:history="1">
        <w:r w:rsidR="00480E2E" w:rsidRPr="00910450">
          <w:rPr>
            <w:rStyle w:val="Hyperlink"/>
          </w:rPr>
          <w:t>Part B</w:t>
        </w:r>
      </w:hyperlink>
      <w:r w:rsidR="00DA2191" w:rsidRPr="00910450">
        <w:t>].</w:t>
      </w:r>
      <w:r w:rsidR="0011361C">
        <w:t xml:space="preserve"> </w:t>
      </w:r>
    </w:p>
    <w:p w14:paraId="2EDD3704" w14:textId="69B9D981" w:rsidR="00F2588A" w:rsidRPr="00437E99" w:rsidRDefault="00F2588A" w:rsidP="00097CB0">
      <w:pPr>
        <w:pStyle w:val="Heading2"/>
        <w:rPr>
          <w:sz w:val="24"/>
          <w:szCs w:val="24"/>
        </w:rPr>
      </w:pPr>
      <w:bookmarkStart w:id="145" w:name="_Comparator_details"/>
      <w:bookmarkStart w:id="146" w:name="_Toc149228552"/>
      <w:bookmarkEnd w:id="145"/>
      <w:r w:rsidRPr="00437E99">
        <w:rPr>
          <w:sz w:val="24"/>
          <w:szCs w:val="24"/>
        </w:rPr>
        <w:t>Comparator details</w:t>
      </w:r>
      <w:bookmarkEnd w:id="146"/>
    </w:p>
    <w:p w14:paraId="30A7F7D6" w14:textId="5C882F1A" w:rsidR="004162DD" w:rsidRPr="00DE2779" w:rsidRDefault="004162DD" w:rsidP="00DE2779">
      <w:pPr>
        <w:rPr>
          <w:szCs w:val="22"/>
        </w:rPr>
      </w:pPr>
      <w:r w:rsidRPr="00DE2779">
        <w:rPr>
          <w:szCs w:val="22"/>
        </w:rPr>
        <w:t xml:space="preserve">At least one comparator must be </w:t>
      </w:r>
      <w:r w:rsidR="007F37CA" w:rsidRPr="00DE2779">
        <w:rPr>
          <w:szCs w:val="22"/>
        </w:rPr>
        <w:t xml:space="preserve">stated </w:t>
      </w:r>
      <w:r w:rsidR="007461C2" w:rsidRPr="00DE2779">
        <w:rPr>
          <w:szCs w:val="22"/>
        </w:rPr>
        <w:t>in each</w:t>
      </w:r>
      <w:r w:rsidRPr="00DE2779">
        <w:rPr>
          <w:szCs w:val="22"/>
        </w:rPr>
        <w:t xml:space="preserve"> PL application.</w:t>
      </w:r>
      <w:r w:rsidR="00B560BA" w:rsidRPr="00DE2779">
        <w:rPr>
          <w:szCs w:val="22"/>
        </w:rPr>
        <w:t xml:space="preserve"> </w:t>
      </w:r>
      <w:r w:rsidR="003112E8" w:rsidRPr="00DE2779">
        <w:rPr>
          <w:szCs w:val="22"/>
        </w:rPr>
        <w:t>The comparators, sp</w:t>
      </w:r>
      <w:r w:rsidR="007461C2" w:rsidRPr="00DE2779">
        <w:rPr>
          <w:szCs w:val="22"/>
        </w:rPr>
        <w:t xml:space="preserve">onsors </w:t>
      </w:r>
      <w:r w:rsidR="003112E8" w:rsidRPr="00DE2779">
        <w:rPr>
          <w:szCs w:val="22"/>
        </w:rPr>
        <w:t>decide to state in their applications</w:t>
      </w:r>
      <w:r w:rsidR="002C4F97" w:rsidRPr="00DE2779">
        <w:rPr>
          <w:szCs w:val="22"/>
        </w:rPr>
        <w:t xml:space="preserve">, are required to be </w:t>
      </w:r>
      <w:r w:rsidR="00B560BA" w:rsidRPr="00DE2779">
        <w:rPr>
          <w:szCs w:val="22"/>
        </w:rPr>
        <w:t xml:space="preserve">the most </w:t>
      </w:r>
      <w:r w:rsidR="00E4553F" w:rsidRPr="00DE2779">
        <w:rPr>
          <w:szCs w:val="22"/>
        </w:rPr>
        <w:t xml:space="preserve">relevant in respect to the functionality, design, </w:t>
      </w:r>
      <w:r w:rsidR="00DE2779" w:rsidRPr="00DE2779">
        <w:rPr>
          <w:szCs w:val="22"/>
        </w:rPr>
        <w:t xml:space="preserve">and </w:t>
      </w:r>
      <w:r w:rsidR="00E4553F" w:rsidRPr="00DE2779">
        <w:rPr>
          <w:szCs w:val="22"/>
        </w:rPr>
        <w:t>characteristics</w:t>
      </w:r>
      <w:r w:rsidR="00DE2779" w:rsidRPr="00DE2779">
        <w:rPr>
          <w:szCs w:val="22"/>
        </w:rPr>
        <w:t>,</w:t>
      </w:r>
      <w:r w:rsidR="00E4553F" w:rsidRPr="00DE2779">
        <w:rPr>
          <w:szCs w:val="22"/>
        </w:rPr>
        <w:t xml:space="preserve"> and </w:t>
      </w:r>
      <w:r w:rsidR="00B560BA" w:rsidRPr="00DE2779">
        <w:rPr>
          <w:szCs w:val="22"/>
        </w:rPr>
        <w:t xml:space="preserve">appropriate </w:t>
      </w:r>
      <w:r w:rsidR="00E4553F" w:rsidRPr="00DE2779">
        <w:rPr>
          <w:szCs w:val="22"/>
        </w:rPr>
        <w:t xml:space="preserve">in respect to the clinical indications and </w:t>
      </w:r>
      <w:r w:rsidR="00DE2779" w:rsidRPr="00DE2779">
        <w:rPr>
          <w:szCs w:val="22"/>
        </w:rPr>
        <w:t xml:space="preserve">intended use for the subject device or human tissue product. </w:t>
      </w:r>
    </w:p>
    <w:p w14:paraId="585265D5" w14:textId="2A8C4D47" w:rsidR="00B66EC1" w:rsidRPr="00494D98" w:rsidRDefault="00B66EC1" w:rsidP="00B66EC1">
      <w:r w:rsidRPr="00DE2779">
        <w:rPr>
          <w:bCs/>
          <w:szCs w:val="22"/>
        </w:rPr>
        <w:t>For Part B applications,</w:t>
      </w:r>
      <w:r w:rsidR="004162DD" w:rsidRPr="00DE2779">
        <w:rPr>
          <w:bCs/>
          <w:szCs w:val="22"/>
        </w:rPr>
        <w:t xml:space="preserve"> </w:t>
      </w:r>
      <w:r w:rsidR="00A95E51" w:rsidRPr="00DE2779">
        <w:rPr>
          <w:bCs/>
          <w:szCs w:val="22"/>
        </w:rPr>
        <w:t>comparators</w:t>
      </w:r>
      <w:r w:rsidR="00A95E51" w:rsidRPr="00DE2779">
        <w:rPr>
          <w:szCs w:val="22"/>
        </w:rPr>
        <w:t xml:space="preserve"> </w:t>
      </w:r>
      <w:r w:rsidR="00E4553F" w:rsidRPr="00DE2779">
        <w:rPr>
          <w:szCs w:val="22"/>
        </w:rPr>
        <w:t xml:space="preserve">are expected to </w:t>
      </w:r>
      <w:r w:rsidR="00A95E51" w:rsidRPr="00DE2779">
        <w:rPr>
          <w:szCs w:val="22"/>
        </w:rPr>
        <w:t xml:space="preserve">be </w:t>
      </w:r>
      <w:r w:rsidR="00D4405C" w:rsidRPr="00DE2779">
        <w:rPr>
          <w:szCs w:val="22"/>
        </w:rPr>
        <w:t xml:space="preserve">nominated </w:t>
      </w:r>
      <w:r w:rsidR="00A95E51" w:rsidRPr="00DE2779">
        <w:rPr>
          <w:szCs w:val="22"/>
        </w:rPr>
        <w:t>from the</w:t>
      </w:r>
      <w:r w:rsidR="00A95E51" w:rsidRPr="00494D98">
        <w:t xml:space="preserve"> </w:t>
      </w:r>
      <w:r w:rsidR="00E4553F">
        <w:t xml:space="preserve">existing </w:t>
      </w:r>
      <w:r w:rsidR="00B05A93" w:rsidRPr="00494D98">
        <w:t>PL</w:t>
      </w:r>
      <w:r w:rsidR="00E4553F">
        <w:t xml:space="preserve"> listed human tissue products</w:t>
      </w:r>
      <w:r w:rsidR="00D4405C">
        <w:t xml:space="preserve">. Sponsors also may state </w:t>
      </w:r>
      <w:r w:rsidR="00B05A93" w:rsidRPr="00494D98">
        <w:t>MBS</w:t>
      </w:r>
      <w:r w:rsidR="00E4553F">
        <w:t xml:space="preserve"> items</w:t>
      </w:r>
      <w:r w:rsidR="00D4405C">
        <w:t xml:space="preserve"> for Medicare service as a comparator, but in this case, subject human tissue product may require further assessment in respect to eligibility for listing on the PL.</w:t>
      </w:r>
      <w:r w:rsidR="00826E69">
        <w:t xml:space="preserve"> </w:t>
      </w:r>
      <w:r w:rsidR="00A741A3" w:rsidRPr="00494D98">
        <w:t>There is no requirement to provide a detailed comparison</w:t>
      </w:r>
      <w:r w:rsidR="00D4405C">
        <w:t>, but sponsors are expected to provide rationale for choosing the comparator</w:t>
      </w:r>
      <w:r w:rsidR="00725D1D" w:rsidRPr="00494D98">
        <w:t>.</w:t>
      </w:r>
    </w:p>
    <w:p w14:paraId="04229BA8" w14:textId="3E4BC1BE" w:rsidR="00DE2779" w:rsidRPr="0013309A" w:rsidRDefault="00AA09BB" w:rsidP="0068332F">
      <w:r w:rsidRPr="0013309A">
        <w:t xml:space="preserve">For Part A and </w:t>
      </w:r>
      <w:r w:rsidR="00D4405C" w:rsidRPr="0013309A">
        <w:t xml:space="preserve">Part </w:t>
      </w:r>
      <w:r w:rsidRPr="0013309A">
        <w:t xml:space="preserve">C applications, </w:t>
      </w:r>
      <w:r w:rsidR="00DE2779" w:rsidRPr="0013309A">
        <w:t>sponsors are required to provide detailed comparison between the subject device in the application and the nominated comparator.</w:t>
      </w:r>
    </w:p>
    <w:p w14:paraId="52837C9F" w14:textId="5B8F0FB5" w:rsidR="00DE2779" w:rsidRPr="0013309A" w:rsidRDefault="00DE2779" w:rsidP="00DE2779">
      <w:r w:rsidRPr="0013309A">
        <w:t>A medical device must be assessed to be no less clinically effective than the alternative devices listed on the PL or the alternative treatments [</w:t>
      </w:r>
      <w:r w:rsidRPr="004D7606">
        <w:t>the comparators] and the benefit amount for the medical device must be proportionate to the clinical effectiveness of the device [</w:t>
      </w:r>
      <w:hyperlink w:anchor="_Chapter_3:_Criteria" w:history="1">
        <w:r w:rsidRPr="004D7606">
          <w:rPr>
            <w:rStyle w:val="Hyperlink"/>
          </w:rPr>
          <w:t xml:space="preserve">listing criteria </w:t>
        </w:r>
        <w:r w:rsidR="002732DB" w:rsidRPr="004D7606">
          <w:rPr>
            <w:rStyle w:val="Hyperlink"/>
          </w:rPr>
          <w:t>with</w:t>
        </w:r>
        <w:r w:rsidRPr="004D7606">
          <w:rPr>
            <w:rStyle w:val="Hyperlink"/>
          </w:rPr>
          <w:t xml:space="preserve"> reference to the comparator</w:t>
        </w:r>
      </w:hyperlink>
      <w:r w:rsidRPr="004D7606">
        <w:t>].</w:t>
      </w:r>
    </w:p>
    <w:p w14:paraId="1950AE84" w14:textId="67B29F20" w:rsidR="00DE2779" w:rsidRDefault="00DE2779" w:rsidP="00DE2779">
      <w:r w:rsidRPr="0013309A">
        <w:t>For the devices that are sufficiently similar to other comparator devices already listed on the PL,</w:t>
      </w:r>
      <w:r>
        <w:t xml:space="preserve"> sponsors are required to demonstrate similarity in respect to the designs, materials, characteristics, etc of their subject device with the existing devices and provide sufficient evidence to demonstrate that the subject device is no less clinically effective than the comparators.</w:t>
      </w:r>
    </w:p>
    <w:p w14:paraId="7B545D34" w14:textId="7CB66470" w:rsidR="00DE2779" w:rsidRDefault="00DE2779" w:rsidP="00DE2779">
      <w:r>
        <w:t xml:space="preserve">However for the devices for which there are no similar devices listed on the PL, sponsors are required to provide comparison with the </w:t>
      </w:r>
      <w:r w:rsidR="00750412">
        <w:t xml:space="preserve">devices that are not listed on the PL or </w:t>
      </w:r>
      <w:r>
        <w:t>available treatments that are considered to be the current standard of care for the same condition or indication. The assessments of comparative clinical effectiveness and cost-effectiveness are required to establish eligibility of the subject device for listing on the PL and set up an appropriate benefit.</w:t>
      </w:r>
    </w:p>
    <w:p w14:paraId="336CE8D8" w14:textId="09A5E82F" w:rsidR="0013309A" w:rsidRDefault="0013309A" w:rsidP="00DE2779">
      <w:r w:rsidRPr="0013309A">
        <w:lastRenderedPageBreak/>
        <w:t>The HPP allows sponsors to select an MBS item as a</w:t>
      </w:r>
      <w:r w:rsidR="00750412">
        <w:t>n alternative</w:t>
      </w:r>
      <w:r w:rsidRPr="0013309A">
        <w:t xml:space="preserve"> comparator or </w:t>
      </w:r>
      <w:r w:rsidR="00750412">
        <w:t xml:space="preserve">state a </w:t>
      </w:r>
      <w:r w:rsidRPr="0013309A">
        <w:t xml:space="preserve">non-MBS </w:t>
      </w:r>
      <w:r w:rsidR="00750412">
        <w:t>listed treatment</w:t>
      </w:r>
      <w:r w:rsidRPr="0013309A">
        <w:t xml:space="preserve">. </w:t>
      </w:r>
      <w:r w:rsidR="00750412">
        <w:t>S</w:t>
      </w:r>
      <w:r w:rsidRPr="0013309A">
        <w:t xml:space="preserve">ponsors </w:t>
      </w:r>
      <w:r w:rsidR="00750412">
        <w:t>are</w:t>
      </w:r>
      <w:r w:rsidRPr="0013309A">
        <w:t xml:space="preserve"> required to provide </w:t>
      </w:r>
      <w:r w:rsidR="00750412">
        <w:t xml:space="preserve">clear </w:t>
      </w:r>
      <w:r w:rsidRPr="0013309A">
        <w:t xml:space="preserve">description of </w:t>
      </w:r>
      <w:r w:rsidR="00750412">
        <w:t xml:space="preserve">the treatment and rationale </w:t>
      </w:r>
      <w:r w:rsidRPr="0013309A">
        <w:t xml:space="preserve">why </w:t>
      </w:r>
      <w:r w:rsidR="00750412">
        <w:t>this treatment</w:t>
      </w:r>
      <w:r w:rsidRPr="0013309A">
        <w:t xml:space="preserve"> is a</w:t>
      </w:r>
      <w:r w:rsidR="00750412">
        <w:t>n appropriate</w:t>
      </w:r>
      <w:r w:rsidRPr="0013309A">
        <w:t xml:space="preserve"> comparator.</w:t>
      </w:r>
    </w:p>
    <w:p w14:paraId="2CC39684" w14:textId="167797A3" w:rsidR="00DE3BE2" w:rsidRPr="00494D98" w:rsidRDefault="00DE2779" w:rsidP="00437E99">
      <w:r>
        <w:t>To inform assessment of the subject device against the comparator, sponsors are required to provide the following information</w:t>
      </w:r>
      <w:r w:rsidR="0013309A">
        <w:t xml:space="preserve"> for the comparator</w:t>
      </w:r>
      <w:r>
        <w:t xml:space="preserve">: product </w:t>
      </w:r>
      <w:r w:rsidR="0013309A">
        <w:t>billing code (if applicable), product name, d</w:t>
      </w:r>
      <w:r w:rsidR="00725D1D" w:rsidRPr="00494D98">
        <w:t>escription</w:t>
      </w:r>
      <w:r w:rsidR="0013309A">
        <w:t>, size, d</w:t>
      </w:r>
      <w:r w:rsidR="00725D1D" w:rsidRPr="00494D98">
        <w:t>esign</w:t>
      </w:r>
      <w:r w:rsidR="0013309A">
        <w:t xml:space="preserve"> features, m</w:t>
      </w:r>
      <w:r w:rsidR="00725D1D" w:rsidRPr="00494D98">
        <w:t>aterial</w:t>
      </w:r>
      <w:r w:rsidR="0013309A">
        <w:t>, ARTG entry, indications and c</w:t>
      </w:r>
      <w:r w:rsidR="00725D1D" w:rsidRPr="00494D98">
        <w:t>ontraindications</w:t>
      </w:r>
      <w:r w:rsidR="0013309A">
        <w:t>, a</w:t>
      </w:r>
      <w:r w:rsidR="00725D1D" w:rsidRPr="00494D98">
        <w:t>dverse events</w:t>
      </w:r>
      <w:r w:rsidR="0013309A">
        <w:t>/issues (if known).</w:t>
      </w:r>
    </w:p>
    <w:p w14:paraId="7AF72F32" w14:textId="0FDC705D" w:rsidR="0013309A" w:rsidRDefault="00461DA4" w:rsidP="004B598E">
      <w:r>
        <w:t xml:space="preserve">It is the responsibility of the sponsor to </w:t>
      </w:r>
      <w:r w:rsidR="0036459C">
        <w:t xml:space="preserve">undertake a thorough </w:t>
      </w:r>
      <w:r w:rsidR="00FF067B">
        <w:t>assess</w:t>
      </w:r>
      <w:r w:rsidR="0036459C">
        <w:t>ment of</w:t>
      </w:r>
      <w:r w:rsidR="00FF067B">
        <w:t xml:space="preserve"> </w:t>
      </w:r>
      <w:r w:rsidR="00B10935">
        <w:t xml:space="preserve">both the </w:t>
      </w:r>
      <w:r w:rsidR="00EE32A4">
        <w:t xml:space="preserve">subject </w:t>
      </w:r>
      <w:r w:rsidR="00B10935">
        <w:t xml:space="preserve">device and </w:t>
      </w:r>
      <w:r w:rsidR="00FF067B">
        <w:t>the comparator</w:t>
      </w:r>
      <w:r w:rsidR="00B10935">
        <w:t>,</w:t>
      </w:r>
      <w:r w:rsidR="00FF067B">
        <w:t xml:space="preserve"> and identify any issues</w:t>
      </w:r>
      <w:r w:rsidR="0013309A">
        <w:t xml:space="preserve"> or concern</w:t>
      </w:r>
      <w:r w:rsidR="00FF067B">
        <w:t xml:space="preserve">, that relate </w:t>
      </w:r>
      <w:r w:rsidR="0013309A">
        <w:t xml:space="preserve">to the </w:t>
      </w:r>
      <w:r w:rsidR="00FF067B">
        <w:t xml:space="preserve">device </w:t>
      </w:r>
      <w:r w:rsidR="0013309A">
        <w:t>stated as the comparator.</w:t>
      </w:r>
    </w:p>
    <w:p w14:paraId="39E56368" w14:textId="006EB167" w:rsidR="0013309A" w:rsidRDefault="00FC72CA" w:rsidP="004B598E">
      <w:r>
        <w:t xml:space="preserve">This process </w:t>
      </w:r>
      <w:r w:rsidR="0013309A">
        <w:t xml:space="preserve">is expected to </w:t>
      </w:r>
      <w:r>
        <w:t xml:space="preserve">include </w:t>
      </w:r>
      <w:r w:rsidR="004B598E" w:rsidRPr="00494D98">
        <w:t>a search of adverse events databases in Australia and overseas</w:t>
      </w:r>
      <w:r w:rsidR="00DD0956">
        <w:t xml:space="preserve">, with attachment of </w:t>
      </w:r>
      <w:r w:rsidR="0013309A">
        <w:t xml:space="preserve">the </w:t>
      </w:r>
      <w:r w:rsidR="00B67F6F">
        <w:t xml:space="preserve">relevant </w:t>
      </w:r>
      <w:r w:rsidR="00DD0956">
        <w:t xml:space="preserve">information </w:t>
      </w:r>
      <w:r w:rsidR="0013309A">
        <w:t>on</w:t>
      </w:r>
      <w:r w:rsidR="004B598E" w:rsidRPr="00494D98">
        <w:t xml:space="preserve"> adverse events</w:t>
      </w:r>
      <w:r w:rsidR="002A5F26">
        <w:t>,</w:t>
      </w:r>
      <w:r w:rsidR="00B67F6F">
        <w:t xml:space="preserve"> </w:t>
      </w:r>
      <w:r w:rsidR="004B598E" w:rsidRPr="00494D98">
        <w:t>complaints</w:t>
      </w:r>
      <w:r w:rsidR="003E722D">
        <w:t>,</w:t>
      </w:r>
      <w:r w:rsidR="00B67F6F">
        <w:t xml:space="preserve"> </w:t>
      </w:r>
      <w:r w:rsidR="004B598E" w:rsidRPr="00494D98">
        <w:t xml:space="preserve">warnings </w:t>
      </w:r>
      <w:r w:rsidR="0013309A">
        <w:t>if any found.</w:t>
      </w:r>
      <w:r w:rsidR="004B598E" w:rsidRPr="00494D98">
        <w:t xml:space="preserve"> </w:t>
      </w:r>
    </w:p>
    <w:p w14:paraId="1B4469FD" w14:textId="09B0AAAC" w:rsidR="004B598E" w:rsidRDefault="004B598E" w:rsidP="004B598E">
      <w:r w:rsidRPr="00494D98">
        <w:t xml:space="preserve">At a minimum, the search </w:t>
      </w:r>
      <w:r w:rsidR="00C51DA1">
        <w:t xml:space="preserve">of adverse event databases </w:t>
      </w:r>
      <w:r w:rsidR="0013309A">
        <w:t xml:space="preserve">is expected to </w:t>
      </w:r>
      <w:r w:rsidRPr="00494D98">
        <w:t xml:space="preserve">include the </w:t>
      </w:r>
      <w:r w:rsidR="0013309A">
        <w:t xml:space="preserve">TGA </w:t>
      </w:r>
      <w:r w:rsidRPr="00494D98">
        <w:t>website</w:t>
      </w:r>
      <w:r w:rsidR="0013309A">
        <w:t xml:space="preserve"> and websites of </w:t>
      </w:r>
      <w:r w:rsidRPr="00494D98">
        <w:t>the United States Food and Drug Administration (</w:t>
      </w:r>
      <w:r w:rsidR="0013309A">
        <w:t xml:space="preserve">US </w:t>
      </w:r>
      <w:r w:rsidRPr="00494D98">
        <w:t>FDA), and the New Zealand Medicines and Medical Devices Safety Authority (MEDSAFE). If no records of adverse events</w:t>
      </w:r>
      <w:r w:rsidR="003275BA">
        <w:t xml:space="preserve">, </w:t>
      </w:r>
      <w:r w:rsidRPr="00494D98">
        <w:t>complaints</w:t>
      </w:r>
      <w:r w:rsidR="003275BA">
        <w:t xml:space="preserve">, or </w:t>
      </w:r>
      <w:r w:rsidRPr="00494D98">
        <w:t>warning were identified in the searches, this should be recorded</w:t>
      </w:r>
      <w:r w:rsidR="003275BA">
        <w:t xml:space="preserve"> in the application. Evidence of search findings </w:t>
      </w:r>
      <w:r w:rsidR="0013309A">
        <w:t xml:space="preserve">is required to </w:t>
      </w:r>
      <w:r w:rsidR="003275BA">
        <w:t xml:space="preserve">be </w:t>
      </w:r>
      <w:r w:rsidR="0013309A">
        <w:t>provided with</w:t>
      </w:r>
      <w:r w:rsidR="003275BA">
        <w:t xml:space="preserve"> the application</w:t>
      </w:r>
      <w:r w:rsidRPr="00494D98">
        <w:t xml:space="preserve">. </w:t>
      </w:r>
    </w:p>
    <w:p w14:paraId="66DE2613" w14:textId="77777777" w:rsidR="0013309A" w:rsidRDefault="0013309A" w:rsidP="0013309A">
      <w:r>
        <w:t>The same information is required for the subject device if applicable.</w:t>
      </w:r>
    </w:p>
    <w:p w14:paraId="32104370" w14:textId="12ED86DB" w:rsidR="00E4553F" w:rsidRPr="00AD0F6E" w:rsidRDefault="00826E69" w:rsidP="00E4553F">
      <w:pPr>
        <w:pStyle w:val="Heading2"/>
        <w:rPr>
          <w:sz w:val="24"/>
          <w:szCs w:val="24"/>
        </w:rPr>
      </w:pPr>
      <w:bookmarkStart w:id="147" w:name="_Toc149228553"/>
      <w:r w:rsidRPr="00826E69">
        <w:rPr>
          <w:sz w:val="24"/>
          <w:szCs w:val="24"/>
        </w:rPr>
        <w:t>Rationale for new groupings (if applicable)</w:t>
      </w:r>
      <w:bookmarkEnd w:id="147"/>
    </w:p>
    <w:p w14:paraId="34F7E49F" w14:textId="54353A22" w:rsidR="00E4553F" w:rsidRDefault="00E4553F" w:rsidP="00EB4375">
      <w:r w:rsidRPr="00480E2E">
        <w:t>For Part A and Part C Tier 2 or Tier 3 applications</w:t>
      </w:r>
      <w:r>
        <w:t xml:space="preserve">, sponsors </w:t>
      </w:r>
      <w:r w:rsidR="00826E69">
        <w:t xml:space="preserve">may </w:t>
      </w:r>
      <w:r>
        <w:t xml:space="preserve">apply </w:t>
      </w:r>
      <w:r w:rsidR="00826E69">
        <w:t>for</w:t>
      </w:r>
      <w:r>
        <w:t xml:space="preserve"> list</w:t>
      </w:r>
      <w:r w:rsidR="00826E69">
        <w:t>ing</w:t>
      </w:r>
      <w:r>
        <w:t xml:space="preserve"> the device in a new grouping</w:t>
      </w:r>
      <w:r w:rsidR="00826E69">
        <w:t xml:space="preserve">. </w:t>
      </w:r>
      <w:r w:rsidR="00FC3ECD" w:rsidRPr="00FC3ECD">
        <w:t>The sponsor is also required to state a benefit for the new grouping</w:t>
      </w:r>
      <w:r w:rsidR="00FC3ECD">
        <w:t>.</w:t>
      </w:r>
      <w:r w:rsidR="00FC3ECD" w:rsidRPr="00FC3ECD">
        <w:t xml:space="preserve"> </w:t>
      </w:r>
      <w:r w:rsidR="00826E69">
        <w:t>To support such request</w:t>
      </w:r>
      <w:r>
        <w:t xml:space="preserve">, sponsors are required to provide a </w:t>
      </w:r>
      <w:r w:rsidR="00EB4375">
        <w:t xml:space="preserve">clear </w:t>
      </w:r>
      <w:r>
        <w:t xml:space="preserve">rationale </w:t>
      </w:r>
      <w:r w:rsidR="00EB4375">
        <w:t>and justification</w:t>
      </w:r>
      <w:r>
        <w:t xml:space="preserve">. </w:t>
      </w:r>
      <w:r w:rsidR="00EB4375">
        <w:t xml:space="preserve">All such applications will undergo assessment by the relevant ECAG, and additionally either focussed or full HTA. </w:t>
      </w:r>
      <w:r w:rsidR="000036F8">
        <w:t>[</w:t>
      </w:r>
      <w:hyperlink w:anchor="_Clinical_evidence_requirements" w:history="1">
        <w:r w:rsidR="00FC3ECD" w:rsidRPr="000036F8">
          <w:rPr>
            <w:rStyle w:val="Hyperlink"/>
          </w:rPr>
          <w:t>Clinical evidence requirements for devices assessed under Tier 2a or Tier 2b pathways</w:t>
        </w:r>
      </w:hyperlink>
      <w:r w:rsidR="00FC3ECD" w:rsidRPr="000036F8">
        <w:t>].</w:t>
      </w:r>
      <w:r w:rsidR="00A90F20">
        <w:t xml:space="preserve"> S</w:t>
      </w:r>
      <w:r w:rsidR="00A90F20" w:rsidRPr="00A90F20">
        <w:t xml:space="preserve">ponsors </w:t>
      </w:r>
      <w:r w:rsidR="00A90F20">
        <w:t>will be able to provide</w:t>
      </w:r>
      <w:r w:rsidR="00A90F20" w:rsidRPr="00A90F20">
        <w:t xml:space="preserve"> economic evidence either at the time </w:t>
      </w:r>
      <w:r w:rsidR="00A90F20">
        <w:t xml:space="preserve">when </w:t>
      </w:r>
      <w:r w:rsidR="00A90F20" w:rsidRPr="00A90F20">
        <w:t xml:space="preserve">application </w:t>
      </w:r>
      <w:r w:rsidR="00A90F20">
        <w:t>was submitted</w:t>
      </w:r>
      <w:r w:rsidR="00A90F20" w:rsidRPr="00A90F20">
        <w:t xml:space="preserve"> or after </w:t>
      </w:r>
      <w:r w:rsidR="00A90F20">
        <w:t>ECAG</w:t>
      </w:r>
      <w:r w:rsidR="00A90F20" w:rsidRPr="00A90F20">
        <w:t xml:space="preserve"> and MDHTAC assessment</w:t>
      </w:r>
      <w:r w:rsidR="00A90F20">
        <w:t>s</w:t>
      </w:r>
      <w:r w:rsidR="00A90F20" w:rsidRPr="00A90F20">
        <w:t>.</w:t>
      </w:r>
    </w:p>
    <w:p w14:paraId="1BC072C8" w14:textId="77777777" w:rsidR="00FC3ECD" w:rsidRPr="00D66EEE" w:rsidRDefault="00D0317B" w:rsidP="00D0317B">
      <w:r w:rsidRPr="00FC3ECD">
        <w:t xml:space="preserve">The </w:t>
      </w:r>
      <w:r w:rsidR="00FC3ECD" w:rsidRPr="00D66EEE">
        <w:t>benefit may also be estimated if sufficient information is available for calculating average</w:t>
      </w:r>
      <w:r w:rsidRPr="00FC3ECD">
        <w:t xml:space="preserve"> </w:t>
      </w:r>
      <w:r w:rsidR="00FC3ECD" w:rsidRPr="00D66EEE">
        <w:t xml:space="preserve">weighted </w:t>
      </w:r>
      <w:r w:rsidRPr="00FC3ECD">
        <w:t>public pric</w:t>
      </w:r>
      <w:r w:rsidR="00FC3ECD" w:rsidRPr="00D66EEE">
        <w:t xml:space="preserve">e </w:t>
      </w:r>
      <w:r w:rsidRPr="00FC3ECD">
        <w:t xml:space="preserve">for the </w:t>
      </w:r>
      <w:r w:rsidR="00FC3ECD" w:rsidRPr="00D66EEE">
        <w:t>device</w:t>
      </w:r>
      <w:r w:rsidRPr="00FC3ECD">
        <w:t xml:space="preserve"> </w:t>
      </w:r>
      <w:r w:rsidR="00FC3ECD" w:rsidRPr="00D66EEE">
        <w:t>(based on the factual information).</w:t>
      </w:r>
    </w:p>
    <w:p w14:paraId="250A85CC" w14:textId="2F71BBE1" w:rsidR="00E4553F" w:rsidRPr="00AD0F6E" w:rsidRDefault="00EB4375" w:rsidP="00E4553F">
      <w:pPr>
        <w:pStyle w:val="Heading4"/>
        <w:rPr>
          <w:sz w:val="24"/>
          <w:szCs w:val="24"/>
        </w:rPr>
      </w:pPr>
      <w:r>
        <w:rPr>
          <w:sz w:val="24"/>
          <w:szCs w:val="24"/>
        </w:rPr>
        <w:t xml:space="preserve">Information on </w:t>
      </w:r>
      <w:r w:rsidR="00E4553F">
        <w:rPr>
          <w:sz w:val="24"/>
          <w:szCs w:val="24"/>
        </w:rPr>
        <w:t>public hospital or overseas</w:t>
      </w:r>
      <w:r>
        <w:rPr>
          <w:sz w:val="24"/>
          <w:szCs w:val="24"/>
        </w:rPr>
        <w:t xml:space="preserve"> prices</w:t>
      </w:r>
    </w:p>
    <w:p w14:paraId="22DA86BF" w14:textId="3AEFAA69" w:rsidR="00750412" w:rsidRPr="00EB4375" w:rsidRDefault="00750412" w:rsidP="00E4553F">
      <w:r w:rsidRPr="00EB4375">
        <w:t>For Part A and Part C Tier 2</w:t>
      </w:r>
      <w:r w:rsidR="00AD1D7C">
        <w:t>b</w:t>
      </w:r>
      <w:r w:rsidRPr="00EB4375">
        <w:t xml:space="preserve"> or Tier 3 applications, i</w:t>
      </w:r>
      <w:r w:rsidR="00E4553F" w:rsidRPr="00EB4375">
        <w:t>f the medical device has been used in the public hospital sector in Australia, sponsors are required to advise th</w:t>
      </w:r>
      <w:r w:rsidRPr="00EB4375">
        <w:t>e price for the subject device charged in public hospitals</w:t>
      </w:r>
      <w:r w:rsidR="00E4553F" w:rsidRPr="00EB4375">
        <w:t xml:space="preserve">. </w:t>
      </w:r>
    </w:p>
    <w:p w14:paraId="1FBBBB61" w14:textId="1E2F0AAB" w:rsidR="00E4553F" w:rsidRPr="00EB4375" w:rsidRDefault="00E4553F" w:rsidP="00E4553F">
      <w:r w:rsidRPr="00EB4375">
        <w:t>If the medical device is not used in public hospitals</w:t>
      </w:r>
      <w:r w:rsidR="00750412" w:rsidRPr="00EB4375">
        <w:t xml:space="preserve">, </w:t>
      </w:r>
      <w:r w:rsidRPr="00EB4375">
        <w:t xml:space="preserve">sponsors will be asked to provide information on any </w:t>
      </w:r>
      <w:r w:rsidR="00750412" w:rsidRPr="00EB4375">
        <w:t xml:space="preserve">available prices </w:t>
      </w:r>
      <w:r w:rsidR="00AD1D7C" w:rsidRPr="00EB4375">
        <w:t>cha</w:t>
      </w:r>
      <w:r w:rsidR="00AD1D7C">
        <w:t>r</w:t>
      </w:r>
      <w:r w:rsidR="00AD1D7C" w:rsidRPr="00EB4375">
        <w:t xml:space="preserve">ged </w:t>
      </w:r>
      <w:r w:rsidR="00750412" w:rsidRPr="00EB4375">
        <w:t xml:space="preserve">for </w:t>
      </w:r>
      <w:r w:rsidRPr="00EB4375">
        <w:t xml:space="preserve">the device internationally. </w:t>
      </w:r>
      <w:r w:rsidR="00750412" w:rsidRPr="00EB4375">
        <w:t>This may include information (name of the device, approval status, utilisations per year, cost in local currency) available for supply in</w:t>
      </w:r>
      <w:r w:rsidRPr="00EB4375">
        <w:t xml:space="preserve"> Canada, France, New Zealand, Singapore or the United Kingdom</w:t>
      </w:r>
      <w:r w:rsidR="00750412" w:rsidRPr="00EB4375">
        <w:t xml:space="preserve">. </w:t>
      </w:r>
    </w:p>
    <w:p w14:paraId="53D67A43" w14:textId="1BD25324" w:rsidR="006E00F7" w:rsidRPr="00D66EEE" w:rsidRDefault="00F2588A" w:rsidP="00B676C0">
      <w:pPr>
        <w:pStyle w:val="Heading2"/>
        <w:rPr>
          <w:sz w:val="24"/>
          <w:szCs w:val="24"/>
        </w:rPr>
      </w:pPr>
      <w:bookmarkStart w:id="148" w:name="_Toc149228554"/>
      <w:r w:rsidRPr="00D66EEE">
        <w:rPr>
          <w:sz w:val="24"/>
          <w:szCs w:val="24"/>
        </w:rPr>
        <w:t>Estimated utilisation</w:t>
      </w:r>
      <w:bookmarkEnd w:id="148"/>
    </w:p>
    <w:p w14:paraId="2C2BD8EC" w14:textId="4824D8BA" w:rsidR="00977A42" w:rsidRPr="00F1756F" w:rsidRDefault="003A2F8C" w:rsidP="004B598E">
      <w:r w:rsidRPr="00F1756F">
        <w:t xml:space="preserve">For Part A and </w:t>
      </w:r>
      <w:r w:rsidR="00750412" w:rsidRPr="00F1756F">
        <w:t xml:space="preserve">Part </w:t>
      </w:r>
      <w:r w:rsidRPr="00F1756F">
        <w:t xml:space="preserve">C Tier 2 and 3 applications, sponsors </w:t>
      </w:r>
      <w:r w:rsidR="002837AC" w:rsidRPr="00F1756F">
        <w:t xml:space="preserve">are required to </w:t>
      </w:r>
      <w:r w:rsidR="00C139B9" w:rsidRPr="00F1756F">
        <w:t xml:space="preserve">provide utilisation data that allows the </w:t>
      </w:r>
      <w:r w:rsidR="008043A0">
        <w:t>d</w:t>
      </w:r>
      <w:r w:rsidR="00C139B9" w:rsidRPr="00F1756F">
        <w:t xml:space="preserve">epartment to understand the potential </w:t>
      </w:r>
      <w:r w:rsidR="0011257B" w:rsidRPr="00F1756F">
        <w:t xml:space="preserve">trend and </w:t>
      </w:r>
      <w:r w:rsidR="00C139B9" w:rsidRPr="00F1756F">
        <w:t>impact of the</w:t>
      </w:r>
      <w:r w:rsidR="00D21889" w:rsidRPr="00F1756F">
        <w:t xml:space="preserve"> </w:t>
      </w:r>
      <w:r w:rsidR="00EE32A4" w:rsidRPr="00F1756F">
        <w:t xml:space="preserve">subject </w:t>
      </w:r>
      <w:r w:rsidR="00C139B9" w:rsidRPr="00F1756F">
        <w:t>device</w:t>
      </w:r>
      <w:r w:rsidR="00D21889" w:rsidRPr="00F1756F">
        <w:t xml:space="preserve">, if </w:t>
      </w:r>
      <w:r w:rsidR="00D21889" w:rsidRPr="00F1756F">
        <w:lastRenderedPageBreak/>
        <w:t>approved, on total PL benefit amounts</w:t>
      </w:r>
      <w:r w:rsidR="00E8671F" w:rsidRPr="00F1756F">
        <w:t xml:space="preserve"> </w:t>
      </w:r>
      <w:r w:rsidR="0011257B" w:rsidRPr="00F1756F">
        <w:t xml:space="preserve">payable </w:t>
      </w:r>
      <w:r w:rsidR="00E8671F" w:rsidRPr="00F1756F">
        <w:t>over the first four (4) years of listing on the PL</w:t>
      </w:r>
      <w:r w:rsidR="00D21889" w:rsidRPr="00F1756F">
        <w:t>.</w:t>
      </w:r>
      <w:r w:rsidR="008C5FEE" w:rsidRPr="00F1756F">
        <w:t xml:space="preserve"> </w:t>
      </w:r>
      <w:r w:rsidR="00977A42" w:rsidRPr="00F1756F">
        <w:t xml:space="preserve">It is acknowledged that </w:t>
      </w:r>
      <w:r w:rsidR="006D57CF" w:rsidRPr="00F1756F">
        <w:t>these are estimates only, and a range of expected values can be provided</w:t>
      </w:r>
      <w:r w:rsidR="00D96DD7" w:rsidRPr="00F1756F">
        <w:t>.</w:t>
      </w:r>
    </w:p>
    <w:p w14:paraId="46D7A7BA" w14:textId="428C9622" w:rsidR="00CC10CD" w:rsidRPr="00F1756F" w:rsidRDefault="008C5FEE" w:rsidP="004B598E">
      <w:r w:rsidRPr="00F1756F">
        <w:t xml:space="preserve">Where the device </w:t>
      </w:r>
      <w:r w:rsidR="00212BFE" w:rsidRPr="00F1756F">
        <w:t xml:space="preserve">targets an existing </w:t>
      </w:r>
      <w:r w:rsidR="00BE4452" w:rsidRPr="00F1756F">
        <w:t xml:space="preserve">population group or indication, </w:t>
      </w:r>
      <w:r w:rsidR="000312DA" w:rsidRPr="00F1756F">
        <w:t xml:space="preserve">the size </w:t>
      </w:r>
      <w:r w:rsidR="00130A04" w:rsidRPr="00F1756F">
        <w:t xml:space="preserve">of </w:t>
      </w:r>
      <w:r w:rsidR="000312DA" w:rsidRPr="00F1756F">
        <w:t xml:space="preserve">and expected growth </w:t>
      </w:r>
      <w:r w:rsidR="00130A04" w:rsidRPr="00F1756F">
        <w:t>in the existing market should be discussed</w:t>
      </w:r>
      <w:r w:rsidR="00F1756F" w:rsidRPr="00D66EEE">
        <w:t xml:space="preserve">, </w:t>
      </w:r>
      <w:r w:rsidR="00BE4452" w:rsidRPr="00F1756F">
        <w:t>estimates may reflect the proportion of th</w:t>
      </w:r>
      <w:r w:rsidR="00C97A7C" w:rsidRPr="00F1756F">
        <w:t>e established</w:t>
      </w:r>
      <w:r w:rsidR="00BE4452" w:rsidRPr="00F1756F">
        <w:t xml:space="preserve"> market the sponsor expects to achieve. Where the device </w:t>
      </w:r>
      <w:r w:rsidR="00F929F1" w:rsidRPr="00F1756F">
        <w:t xml:space="preserve">targets a new population group or indication, </w:t>
      </w:r>
      <w:r w:rsidR="00CC10CD" w:rsidRPr="00F1756F">
        <w:t xml:space="preserve">the number of eligible patients and the expected levels of uptake of the device should be </w:t>
      </w:r>
      <w:r w:rsidR="00A32CD9" w:rsidRPr="00F1756F">
        <w:t>discuss</w:t>
      </w:r>
      <w:r w:rsidR="00CC10CD" w:rsidRPr="00F1756F">
        <w:t>ed</w:t>
      </w:r>
      <w:r w:rsidR="00F1756F" w:rsidRPr="00D66EEE">
        <w:t xml:space="preserve">, </w:t>
      </w:r>
      <w:r w:rsidR="00AB486E" w:rsidRPr="00F1756F">
        <w:t xml:space="preserve">estimates </w:t>
      </w:r>
      <w:r w:rsidR="000D23AE" w:rsidRPr="00F1756F">
        <w:t>may</w:t>
      </w:r>
      <w:r w:rsidR="00AB486E" w:rsidRPr="00F1756F">
        <w:t xml:space="preserve"> reflect the expected </w:t>
      </w:r>
      <w:r w:rsidR="00242D1A" w:rsidRPr="00F1756F">
        <w:t>growth in the new market</w:t>
      </w:r>
      <w:r w:rsidR="00CC10CD" w:rsidRPr="00F1756F">
        <w:t>.</w:t>
      </w:r>
    </w:p>
    <w:p w14:paraId="6C369113" w14:textId="3562CC6C" w:rsidR="000205B5" w:rsidRDefault="002C47DE" w:rsidP="004B598E">
      <w:r w:rsidRPr="00D67D4D">
        <w:t xml:space="preserve">The reasoning behind the estimates provided should be explained in the application. </w:t>
      </w:r>
      <w:r w:rsidR="00593433" w:rsidRPr="00D67D4D">
        <w:t>This may include uncertainties, such as</w:t>
      </w:r>
      <w:r w:rsidRPr="00D67D4D">
        <w:t xml:space="preserve"> </w:t>
      </w:r>
      <w:r w:rsidR="00593433" w:rsidRPr="00D67D4D">
        <w:t>a</w:t>
      </w:r>
      <w:r w:rsidR="004B598E" w:rsidRPr="00D67D4D">
        <w:t>ny barriers and enablers (</w:t>
      </w:r>
      <w:r w:rsidR="004F3AB6" w:rsidRPr="00D67D4D">
        <w:t>e.g.,</w:t>
      </w:r>
      <w:r w:rsidR="004B598E" w:rsidRPr="00D67D4D">
        <w:t xml:space="preserve"> specialised surgical training, use restricted to accredited centres) for uptake of the device in Australia</w:t>
      </w:r>
      <w:r w:rsidR="00374C14" w:rsidRPr="00D67D4D">
        <w:t>.</w:t>
      </w:r>
      <w:r w:rsidR="00DC2DAD" w:rsidRPr="00D67D4D">
        <w:t xml:space="preserve"> </w:t>
      </w:r>
      <w:r w:rsidR="004B598E" w:rsidRPr="00D67D4D">
        <w:t>If the medical device is</w:t>
      </w:r>
      <w:r w:rsidR="004B598E" w:rsidRPr="00ED4AF4">
        <w:t xml:space="preserve"> intended to be used in a subgroup of patients, the mechanisms that are in place to prevent the device from being used in a broader population than intended should be explained. </w:t>
      </w:r>
      <w:r w:rsidR="00DC2DAD">
        <w:br/>
      </w:r>
      <w:r w:rsidR="000205B5">
        <w:t xml:space="preserve">This utilisation data </w:t>
      </w:r>
      <w:r w:rsidR="000D3448">
        <w:t xml:space="preserve">requested as part of the application process </w:t>
      </w:r>
      <w:r w:rsidR="00C82B6D">
        <w:t xml:space="preserve">is </w:t>
      </w:r>
      <w:r w:rsidR="002D3A77">
        <w:t xml:space="preserve">prospective, and by nature an estimate. It is </w:t>
      </w:r>
      <w:r w:rsidR="00C82B6D">
        <w:t xml:space="preserve">different from utilisation data used in </w:t>
      </w:r>
      <w:r w:rsidR="000D3448">
        <w:t xml:space="preserve">post listing reviews and </w:t>
      </w:r>
      <w:r w:rsidR="002D3A77">
        <w:t xml:space="preserve">other </w:t>
      </w:r>
      <w:r w:rsidR="001D5EC3">
        <w:t xml:space="preserve">PL administrative functions, which is retrospective and derived from CaseMix data and other sources available to the </w:t>
      </w:r>
      <w:r w:rsidR="008043A0">
        <w:t>d</w:t>
      </w:r>
      <w:r w:rsidR="001D5EC3">
        <w:t xml:space="preserve">epartment. </w:t>
      </w:r>
      <w:r w:rsidR="00B253E4">
        <w:t xml:space="preserve">The primary purpose of this prospective data is to </w:t>
      </w:r>
      <w:r w:rsidR="005E289F">
        <w:t xml:space="preserve">enable a more complete understanding of the impact of new PL listings on </w:t>
      </w:r>
      <w:r w:rsidR="00415B1B">
        <w:t xml:space="preserve">total </w:t>
      </w:r>
      <w:r w:rsidR="001E1E29">
        <w:t xml:space="preserve">PL </w:t>
      </w:r>
      <w:r w:rsidR="00CD523E">
        <w:t xml:space="preserve">benefits </w:t>
      </w:r>
      <w:r w:rsidR="001E1E29">
        <w:t xml:space="preserve">and </w:t>
      </w:r>
      <w:r w:rsidR="00415B1B">
        <w:t xml:space="preserve">the </w:t>
      </w:r>
      <w:r w:rsidR="00DE050E">
        <w:t xml:space="preserve">broader health system. Comparison of prospective </w:t>
      </w:r>
      <w:r w:rsidR="0093559A">
        <w:t xml:space="preserve">application </w:t>
      </w:r>
      <w:r w:rsidR="00DE050E">
        <w:t xml:space="preserve">estimates </w:t>
      </w:r>
      <w:r w:rsidR="0093559A">
        <w:t>to</w:t>
      </w:r>
      <w:r w:rsidR="00DE050E">
        <w:t xml:space="preserve"> actual utilisation </w:t>
      </w:r>
      <w:r w:rsidR="0093559A">
        <w:t xml:space="preserve">levels identified from retrospective sources </w:t>
      </w:r>
      <w:r w:rsidR="00B729CD">
        <w:t xml:space="preserve">does not form part of </w:t>
      </w:r>
      <w:r w:rsidR="00F84429">
        <w:t xml:space="preserve">the </w:t>
      </w:r>
      <w:r w:rsidR="008043A0">
        <w:t>d</w:t>
      </w:r>
      <w:r w:rsidR="00F84429">
        <w:t>epartment’s</w:t>
      </w:r>
      <w:r w:rsidR="00044961">
        <w:t xml:space="preserve"> r</w:t>
      </w:r>
      <w:r w:rsidR="00F84429">
        <w:t xml:space="preserve">outine </w:t>
      </w:r>
      <w:r w:rsidR="00044961">
        <w:t>post listing review or compliance activities</w:t>
      </w:r>
      <w:r w:rsidR="00A33531">
        <w:t xml:space="preserve"> (though</w:t>
      </w:r>
      <w:r w:rsidR="00F73F17">
        <w:t xml:space="preserve"> this</w:t>
      </w:r>
      <w:r w:rsidR="00A33531">
        <w:t xml:space="preserve"> might </w:t>
      </w:r>
      <w:r w:rsidR="00F73F17">
        <w:t>occur</w:t>
      </w:r>
      <w:r w:rsidR="00A33531">
        <w:t xml:space="preserve"> in </w:t>
      </w:r>
      <w:r w:rsidR="002E50C1">
        <w:t>individual cases where utilisation varied significantly from expectations</w:t>
      </w:r>
      <w:r w:rsidR="003E2DF7">
        <w:t>, and other issues of concern were identified</w:t>
      </w:r>
      <w:r w:rsidR="002E50C1">
        <w:t>).</w:t>
      </w:r>
      <w:r w:rsidR="00A33531">
        <w:t xml:space="preserve"> </w:t>
      </w:r>
    </w:p>
    <w:p w14:paraId="48D9AB2C" w14:textId="2B21A15D" w:rsidR="00F2588A" w:rsidRDefault="00F1756F" w:rsidP="00B676C0">
      <w:pPr>
        <w:pStyle w:val="Heading2"/>
      </w:pPr>
      <w:bookmarkStart w:id="149" w:name="_Toc149228555"/>
      <w:r>
        <w:t>D</w:t>
      </w:r>
      <w:r w:rsidR="00F2588A">
        <w:t>ocuments</w:t>
      </w:r>
      <w:r>
        <w:t xml:space="preserve"> required to be provided</w:t>
      </w:r>
      <w:bookmarkEnd w:id="149"/>
    </w:p>
    <w:p w14:paraId="56DFCADC" w14:textId="3ED91153" w:rsidR="0011257B" w:rsidRDefault="00F2588A" w:rsidP="00F2588A">
      <w:r>
        <w:t xml:space="preserve">Sponsors </w:t>
      </w:r>
      <w:r w:rsidR="0011257B">
        <w:t xml:space="preserve">are also required to </w:t>
      </w:r>
      <w:r>
        <w:t xml:space="preserve">provide documents </w:t>
      </w:r>
      <w:r w:rsidR="0011257B">
        <w:t xml:space="preserve">that </w:t>
      </w:r>
      <w:r w:rsidR="00F1756F">
        <w:t>inform</w:t>
      </w:r>
      <w:r w:rsidR="0011257B">
        <w:t xml:space="preserve"> the assessment of their applications.</w:t>
      </w:r>
      <w:r>
        <w:t xml:space="preserve"> </w:t>
      </w:r>
    </w:p>
    <w:p w14:paraId="735F3093" w14:textId="540EB0D7" w:rsidR="00E5043B" w:rsidRDefault="00E5043B" w:rsidP="00437E99">
      <w:pPr>
        <w:shd w:val="clear" w:color="auto" w:fill="D9D9D9" w:themeFill="background1" w:themeFillShade="D9"/>
      </w:pPr>
      <w:r>
        <w:t xml:space="preserve">Sponsors must ensure that the documents provided are not password protected and not corrupted. </w:t>
      </w:r>
      <w:r w:rsidRPr="00437E99">
        <w:rPr>
          <w:b/>
          <w:bCs/>
        </w:rPr>
        <w:t xml:space="preserve">Any documents with the restricted access will be taken by the </w:t>
      </w:r>
      <w:r w:rsidR="008043A0">
        <w:rPr>
          <w:b/>
          <w:bCs/>
        </w:rPr>
        <w:t>d</w:t>
      </w:r>
      <w:r w:rsidRPr="00437E99">
        <w:rPr>
          <w:b/>
          <w:bCs/>
        </w:rPr>
        <w:t>epartment as not received and will not be assessed</w:t>
      </w:r>
      <w:r>
        <w:t>.</w:t>
      </w:r>
    </w:p>
    <w:p w14:paraId="0B24E353" w14:textId="69C41A55" w:rsidR="001172B4" w:rsidRPr="00ED4AF4" w:rsidRDefault="001172B4" w:rsidP="001172B4">
      <w:r>
        <w:t>Any</w:t>
      </w:r>
      <w:r w:rsidRPr="00ED4AF4">
        <w:t xml:space="preserve"> documentation </w:t>
      </w:r>
      <w:r>
        <w:t>is required to</w:t>
      </w:r>
      <w:r w:rsidRPr="00ED4AF4">
        <w:t xml:space="preserve"> be provided in English. If source documents are written in a language other than English, a certified translation </w:t>
      </w:r>
      <w:r>
        <w:t>is required to be</w:t>
      </w:r>
      <w:r w:rsidRPr="00ED4AF4">
        <w:t xml:space="preserve"> provided with the application following National Accreditation Authority for Translators and Interpreters Ltd (NAATI) standards. Untranslated and/or uncertified documentation will not be considered.</w:t>
      </w:r>
    </w:p>
    <w:p w14:paraId="1E264246" w14:textId="77777777" w:rsidR="00133525" w:rsidRPr="00ED4AF4" w:rsidRDefault="00133525" w:rsidP="00133525">
      <w:r>
        <w:t xml:space="preserve">Further, sponsors are required to </w:t>
      </w:r>
      <w:r w:rsidRPr="00ED4AF4">
        <w:t>flag/highlight</w:t>
      </w:r>
      <w:r>
        <w:t xml:space="preserve"> a</w:t>
      </w:r>
      <w:r w:rsidRPr="00ED4AF4">
        <w:t xml:space="preserve">ll relevant data </w:t>
      </w:r>
      <w:r>
        <w:t xml:space="preserve">and include references to </w:t>
      </w:r>
      <w:r w:rsidRPr="00ED4AF4">
        <w:t>pages and section</w:t>
      </w:r>
      <w:r>
        <w:t>s</w:t>
      </w:r>
      <w:r w:rsidRPr="00ED4AF4">
        <w:t xml:space="preserve"> in </w:t>
      </w:r>
      <w:r>
        <w:t>the documents provided</w:t>
      </w:r>
      <w:r w:rsidRPr="00ED4AF4">
        <w:t xml:space="preserve">. All literature </w:t>
      </w:r>
      <w:r>
        <w:t>is required to</w:t>
      </w:r>
      <w:r w:rsidRPr="00ED4AF4">
        <w:t xml:space="preserve"> be accurately cited.</w:t>
      </w:r>
    </w:p>
    <w:p w14:paraId="32FF70DF" w14:textId="3E445C7D" w:rsidR="00F2588A" w:rsidRPr="005141A3" w:rsidRDefault="00F2588A" w:rsidP="00F2588A">
      <w:r>
        <w:t>If the supporting document</w:t>
      </w:r>
      <w:r w:rsidR="0011257B">
        <w:t xml:space="preserve">s are the same for more than one application, HPP provides functionality for </w:t>
      </w:r>
      <w:r>
        <w:t>upload</w:t>
      </w:r>
      <w:r w:rsidR="0011257B">
        <w:t xml:space="preserve">ing documents once and link them to multiple applications, rather than uploading </w:t>
      </w:r>
      <w:r>
        <w:t>multiple times.</w:t>
      </w:r>
    </w:p>
    <w:p w14:paraId="28B04E2B" w14:textId="2CB79BDF" w:rsidR="00442AA1" w:rsidRPr="001172B4" w:rsidRDefault="00D0317B" w:rsidP="001172B4">
      <w:r>
        <w:t>S</w:t>
      </w:r>
      <w:r w:rsidR="00442AA1" w:rsidRPr="001172B4">
        <w:t xml:space="preserve">ponsors are required to </w:t>
      </w:r>
      <w:r w:rsidR="001172B4" w:rsidRPr="001172B4">
        <w:t>provide</w:t>
      </w:r>
      <w:r w:rsidRPr="00D0317B">
        <w:t xml:space="preserve"> </w:t>
      </w:r>
      <w:r>
        <w:t>a</w:t>
      </w:r>
      <w:r w:rsidRPr="00437E99">
        <w:t>ttachments</w:t>
      </w:r>
      <w:r w:rsidR="00574408">
        <w:t>,</w:t>
      </w:r>
      <w:r w:rsidR="001172B4" w:rsidRPr="001172B4">
        <w:t xml:space="preserve"> </w:t>
      </w:r>
      <w:r w:rsidRPr="00D0317B">
        <w:t>including but not limited to</w:t>
      </w:r>
      <w:r w:rsidR="00442AA1" w:rsidRPr="001172B4">
        <w:t>:</w:t>
      </w:r>
    </w:p>
    <w:p w14:paraId="6EA777F1" w14:textId="77298FAB" w:rsidR="00FD7923" w:rsidRDefault="00FD7923" w:rsidP="00437E99">
      <w:pPr>
        <w:pStyle w:val="ListBullet"/>
        <w:tabs>
          <w:tab w:val="clear" w:pos="340"/>
          <w:tab w:val="left" w:pos="426"/>
        </w:tabs>
        <w:ind w:left="426" w:hanging="426"/>
      </w:pPr>
      <w:r w:rsidRPr="00FD7923">
        <w:t>executive summary (no more than 2 pages)</w:t>
      </w:r>
      <w:r w:rsidR="00133525" w:rsidRPr="00133525">
        <w:t xml:space="preserve"> </w:t>
      </w:r>
      <w:r w:rsidR="00133525">
        <w:t>explaining and mapping all documentation and information provided for the application</w:t>
      </w:r>
    </w:p>
    <w:p w14:paraId="0EB388D0" w14:textId="37031D62" w:rsidR="00442AA1" w:rsidRPr="00B65FDB" w:rsidRDefault="00574408" w:rsidP="00437E99">
      <w:pPr>
        <w:pStyle w:val="ListBullet"/>
        <w:tabs>
          <w:tab w:val="clear" w:pos="340"/>
          <w:tab w:val="left" w:pos="426"/>
        </w:tabs>
        <w:ind w:left="426" w:hanging="426"/>
      </w:pPr>
      <w:r>
        <w:t xml:space="preserve">manufacturer’s </w:t>
      </w:r>
      <w:r w:rsidR="2DF04B5C">
        <w:t xml:space="preserve">product material (brochure, surgical technique, Instructions for Use [IFU]) providing the details of the device, including product name, description, sizes, intended use, </w:t>
      </w:r>
      <w:r w:rsidR="2DF04B5C">
        <w:lastRenderedPageBreak/>
        <w:t>and other relevant information, and the representative images for all devices identified by the catalogue numbers stated in the application</w:t>
      </w:r>
      <w:r w:rsidR="00AA7A84" w:rsidRPr="00AA7A84">
        <w:t>, including images of the devices insitu</w:t>
      </w:r>
      <w:r w:rsidR="2DF04B5C">
        <w:t xml:space="preserve"> (if the brochure does not clearly identify all devices, additional product images may be required, but an image/photograph without label clearly stating the details of the device is not acceptable)</w:t>
      </w:r>
    </w:p>
    <w:p w14:paraId="0B9E5A7F" w14:textId="23FCECBA" w:rsidR="00442AA1" w:rsidRDefault="2DF04B5C">
      <w:pPr>
        <w:pStyle w:val="ListBullet"/>
        <w:tabs>
          <w:tab w:val="clear" w:pos="340"/>
          <w:tab w:val="left" w:pos="426"/>
        </w:tabs>
        <w:ind w:left="426" w:hanging="426"/>
      </w:pPr>
      <w:r>
        <w:t xml:space="preserve">any additional information that may assist in establishing the </w:t>
      </w:r>
      <w:r w:rsidR="00574408">
        <w:t xml:space="preserve">MBS items stated in the application are correct, </w:t>
      </w:r>
      <w:r>
        <w:t xml:space="preserve">subject device is used in hospital treatments, </w:t>
      </w:r>
      <w:r w:rsidR="00FD7923">
        <w:t xml:space="preserve">and </w:t>
      </w:r>
      <w:r>
        <w:t xml:space="preserve">the grouping </w:t>
      </w:r>
      <w:r w:rsidR="00574408">
        <w:t xml:space="preserve">stated in the application </w:t>
      </w:r>
      <w:r>
        <w:t xml:space="preserve">are </w:t>
      </w:r>
      <w:r w:rsidR="00574408">
        <w:t>correct</w:t>
      </w:r>
    </w:p>
    <w:p w14:paraId="57854783" w14:textId="280044C8" w:rsidR="00F1756F" w:rsidRDefault="00FD7923" w:rsidP="00FD7923">
      <w:pPr>
        <w:pStyle w:val="ListBullet"/>
        <w:tabs>
          <w:tab w:val="clear" w:pos="340"/>
          <w:tab w:val="left" w:pos="426"/>
        </w:tabs>
        <w:ind w:left="426" w:hanging="426"/>
      </w:pPr>
      <w:r w:rsidRPr="00FD7923">
        <w:t xml:space="preserve">any additional information </w:t>
      </w:r>
      <w:r>
        <w:t>[</w:t>
      </w:r>
      <w:r w:rsidRPr="00F1756F">
        <w:t>includ</w:t>
      </w:r>
      <w:r>
        <w:t>ing</w:t>
      </w:r>
      <w:r w:rsidRPr="00F1756F">
        <w:t xml:space="preserve"> product brochure</w:t>
      </w:r>
      <w:r>
        <w:t xml:space="preserve"> and</w:t>
      </w:r>
      <w:r w:rsidRPr="00F1756F">
        <w:t xml:space="preserve"> surgical technique</w:t>
      </w:r>
      <w:r>
        <w:t>]</w:t>
      </w:r>
      <w:r w:rsidRPr="00F1756F">
        <w:t xml:space="preserve"> </w:t>
      </w:r>
      <w:r w:rsidR="00F1756F" w:rsidRPr="00F1756F">
        <w:t>assist</w:t>
      </w:r>
      <w:r>
        <w:t>ing</w:t>
      </w:r>
      <w:r w:rsidR="00F1756F" w:rsidRPr="00F1756F">
        <w:t xml:space="preserve"> in verifying the applicant’s claims regarding the similarities and differences with the comparator</w:t>
      </w:r>
      <w:r>
        <w:t xml:space="preserve"> [i</w:t>
      </w:r>
      <w:r w:rsidR="00F1756F" w:rsidRPr="00F1756F">
        <w:t>t is acknowledged that this may be limited to publicly available information, when the comparator is listed under a different sponsor</w:t>
      </w:r>
      <w:r>
        <w:t>]</w:t>
      </w:r>
    </w:p>
    <w:p w14:paraId="1732C4E4" w14:textId="77777777" w:rsidR="00FD7923" w:rsidRDefault="00FD7923" w:rsidP="00437E99">
      <w:pPr>
        <w:pStyle w:val="ListBullet"/>
        <w:tabs>
          <w:tab w:val="clear" w:pos="340"/>
          <w:tab w:val="left" w:pos="426"/>
        </w:tabs>
        <w:ind w:left="426" w:hanging="426"/>
      </w:pPr>
      <w:r>
        <w:t>Testing data if applicable</w:t>
      </w:r>
    </w:p>
    <w:p w14:paraId="171F2CFD" w14:textId="5F116D4E" w:rsidR="00574408" w:rsidRDefault="00574408" w:rsidP="00437E99">
      <w:pPr>
        <w:pStyle w:val="ListBullet"/>
        <w:tabs>
          <w:tab w:val="clear" w:pos="340"/>
          <w:tab w:val="left" w:pos="426"/>
        </w:tabs>
        <w:ind w:left="426" w:hanging="426"/>
      </w:pPr>
      <w:r>
        <w:t xml:space="preserve">Clinical data required for Tier 2 and Tier 3 </w:t>
      </w:r>
      <w:r w:rsidRPr="0086594E">
        <w:t>applications [</w:t>
      </w:r>
      <w:hyperlink w:anchor="_Tier_3:_Full" w:history="1">
        <w:r w:rsidRPr="0086594E">
          <w:rPr>
            <w:rStyle w:val="Hyperlink"/>
          </w:rPr>
          <w:t>ECAG requirements</w:t>
        </w:r>
      </w:hyperlink>
      <w:r w:rsidRPr="0086594E">
        <w:t>]</w:t>
      </w:r>
      <w:r w:rsidR="0086594E">
        <w:t>.</w:t>
      </w:r>
    </w:p>
    <w:p w14:paraId="3CCA72E2" w14:textId="7584C3BC" w:rsidR="00442AA1" w:rsidRPr="00B65FDB" w:rsidRDefault="00574408" w:rsidP="00442AA1">
      <w:r>
        <w:t xml:space="preserve">For </w:t>
      </w:r>
      <w:r w:rsidR="00442AA1">
        <w:t xml:space="preserve">Tier 3 </w:t>
      </w:r>
      <w:r>
        <w:t xml:space="preserve">applications, </w:t>
      </w:r>
      <w:r w:rsidR="00442AA1">
        <w:t xml:space="preserve">sponsors will also be required to </w:t>
      </w:r>
      <w:r w:rsidR="00D0317B">
        <w:t xml:space="preserve">submit an MSAC application and </w:t>
      </w:r>
      <w:r w:rsidR="00442AA1">
        <w:t xml:space="preserve">provide the </w:t>
      </w:r>
      <w:r w:rsidR="00D0317B">
        <w:t xml:space="preserve">relevant </w:t>
      </w:r>
      <w:r w:rsidR="00442AA1">
        <w:t>data</w:t>
      </w:r>
      <w:r w:rsidR="00D0317B">
        <w:t xml:space="preserve">, further information </w:t>
      </w:r>
      <w:r w:rsidR="00442AA1">
        <w:t xml:space="preserve">is available on </w:t>
      </w:r>
      <w:r w:rsidR="00442AA1" w:rsidRPr="00EA546F">
        <w:t xml:space="preserve">the </w:t>
      </w:r>
      <w:hyperlink r:id="rId69" w:history="1">
        <w:r w:rsidR="00442AA1" w:rsidRPr="00EA546F">
          <w:rPr>
            <w:rStyle w:val="Hyperlink"/>
          </w:rPr>
          <w:t>MSAC website</w:t>
        </w:r>
      </w:hyperlink>
      <w:r w:rsidR="00442AA1">
        <w:t>.</w:t>
      </w:r>
    </w:p>
    <w:p w14:paraId="2373BE2A" w14:textId="77777777" w:rsidR="002D6423" w:rsidRDefault="002D6423" w:rsidP="002D6423">
      <w:pPr>
        <w:pStyle w:val="Heading2"/>
      </w:pPr>
      <w:bookmarkStart w:id="150" w:name="_Clinical_and_Economic"/>
      <w:bookmarkStart w:id="151" w:name="_Toc149228556"/>
      <w:bookmarkEnd w:id="150"/>
      <w:r w:rsidRPr="002C3D37">
        <w:t>Lodging an application</w:t>
      </w:r>
      <w:bookmarkEnd w:id="151"/>
    </w:p>
    <w:p w14:paraId="164A1656" w14:textId="1D8283FB" w:rsidR="002D6423" w:rsidRDefault="002D6423" w:rsidP="00B915B8">
      <w:r>
        <w:t xml:space="preserve">At the time of submission, the person completing the application will declare that all information provided in the application is true and correct at the time of the application. Additionally, sponsors </w:t>
      </w:r>
      <w:r w:rsidR="00C64363">
        <w:t>are</w:t>
      </w:r>
      <w:r>
        <w:t xml:space="preserve"> required to </w:t>
      </w:r>
      <w:r w:rsidR="001050E4">
        <w:t xml:space="preserve">ensure the </w:t>
      </w:r>
      <w:r w:rsidR="00650736">
        <w:t xml:space="preserve">application </w:t>
      </w:r>
      <w:r w:rsidR="00530FC5">
        <w:t xml:space="preserve">includes all information on the essential elements of the device </w:t>
      </w:r>
      <w:r w:rsidR="007D3A69">
        <w:t xml:space="preserve">or </w:t>
      </w:r>
      <w:r w:rsidR="000F6626">
        <w:t>system</w:t>
      </w:r>
      <w:r w:rsidR="007D3A69">
        <w:t xml:space="preserve"> so that </w:t>
      </w:r>
      <w:r w:rsidR="00F90EAA">
        <w:t>the HTA assessment</w:t>
      </w:r>
      <w:r w:rsidR="00C15D60">
        <w:t xml:space="preserve"> ensures that the benefit covers all costs incurred </w:t>
      </w:r>
      <w:r w:rsidR="00734206">
        <w:t>and</w:t>
      </w:r>
      <w:r w:rsidR="000F6626">
        <w:t xml:space="preserve"> </w:t>
      </w:r>
      <w:r>
        <w:t>to ensure no out-of-pocket expenses for consumers. Sections 137.1 and 137.2 of the Criminal Code (</w:t>
      </w:r>
      <w:r w:rsidRPr="00A42DF2">
        <w:rPr>
          <w:i/>
          <w:iCs/>
        </w:rPr>
        <w:t>Schedule to the Criminal Code Act 1995</w:t>
      </w:r>
      <w:r>
        <w:t>) provide for offences for providing false or misleading information or documents. Penalties apply for false declarations.</w:t>
      </w:r>
    </w:p>
    <w:p w14:paraId="1AF423B9" w14:textId="77777777" w:rsidR="00E93CF8" w:rsidRPr="00240A9D" w:rsidRDefault="00E93CF8" w:rsidP="00E93CF8">
      <w:pPr>
        <w:pStyle w:val="BodyText"/>
      </w:pPr>
      <w:bookmarkStart w:id="152" w:name="_Appendix_A"/>
      <w:bookmarkEnd w:id="152"/>
    </w:p>
    <w:p w14:paraId="230B21F6" w14:textId="77777777" w:rsidR="00E93CF8" w:rsidRDefault="00E93CF8" w:rsidP="00E93CF8">
      <w:pPr>
        <w:pStyle w:val="BodyText"/>
        <w:sectPr w:rsidR="00E93CF8" w:rsidSect="00851013">
          <w:headerReference w:type="even" r:id="rId70"/>
          <w:headerReference w:type="default" r:id="rId71"/>
          <w:footerReference w:type="default" r:id="rId72"/>
          <w:headerReference w:type="first" r:id="rId73"/>
          <w:pgSz w:w="11906" w:h="16838"/>
          <w:pgMar w:top="1701" w:right="1418" w:bottom="1418" w:left="1134" w:header="851" w:footer="709" w:gutter="0"/>
          <w:cols w:space="708"/>
          <w:docGrid w:linePitch="360"/>
        </w:sectPr>
      </w:pPr>
    </w:p>
    <w:p w14:paraId="173566C4" w14:textId="77777777" w:rsidR="00E93CF8" w:rsidRPr="00D66EEE" w:rsidRDefault="00E93CF8" w:rsidP="00E93CF8">
      <w:pPr>
        <w:pStyle w:val="Heading1"/>
        <w:rPr>
          <w:sz w:val="36"/>
        </w:rPr>
      </w:pPr>
      <w:bookmarkStart w:id="153" w:name="_Appendix_B"/>
      <w:bookmarkStart w:id="154" w:name="_Appendix_B_-"/>
      <w:bookmarkStart w:id="155" w:name="_Appendix_C_-"/>
      <w:bookmarkStart w:id="156" w:name="_Appendix_D_-"/>
      <w:bookmarkStart w:id="157" w:name="_Glossary"/>
      <w:bookmarkStart w:id="158" w:name="_Toc136525255"/>
      <w:bookmarkStart w:id="159" w:name="_Toc149228557"/>
      <w:bookmarkEnd w:id="153"/>
      <w:bookmarkEnd w:id="154"/>
      <w:bookmarkEnd w:id="155"/>
      <w:bookmarkEnd w:id="156"/>
      <w:bookmarkEnd w:id="157"/>
      <w:r w:rsidRPr="00D66EEE">
        <w:rPr>
          <w:sz w:val="36"/>
        </w:rPr>
        <w:lastRenderedPageBreak/>
        <w:t>Glossary</w:t>
      </w:r>
      <w:bookmarkEnd w:id="158"/>
      <w:bookmarkEnd w:id="159"/>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2"/>
        <w:gridCol w:w="6382"/>
      </w:tblGrid>
      <w:tr w:rsidR="00E93CF8" w:rsidRPr="00C437D5" w14:paraId="4DF2CFBF" w14:textId="77777777" w:rsidTr="00000953">
        <w:tc>
          <w:tcPr>
            <w:tcW w:w="2832" w:type="dxa"/>
            <w:shd w:val="clear" w:color="auto" w:fill="auto"/>
          </w:tcPr>
          <w:p w14:paraId="260A8C10" w14:textId="77777777" w:rsidR="00E93CF8" w:rsidRPr="00C437D5" w:rsidRDefault="00E93CF8" w:rsidP="00C437D5">
            <w:pPr>
              <w:pStyle w:val="051Tabletext228pt"/>
              <w:widowControl w:val="0"/>
              <w:spacing w:before="0" w:after="120"/>
              <w:ind w:left="37"/>
              <w:rPr>
                <w:rFonts w:ascii="Arial" w:hAnsi="Arial" w:cs="Arial"/>
                <w:b/>
                <w:bCs/>
                <w:sz w:val="20"/>
                <w:szCs w:val="20"/>
              </w:rPr>
            </w:pPr>
            <w:bookmarkStart w:id="160" w:name="_Hlk132107247"/>
            <w:r w:rsidRPr="00C437D5">
              <w:rPr>
                <w:rFonts w:ascii="Arial" w:hAnsi="Arial" w:cs="Arial"/>
                <w:b/>
                <w:bCs/>
                <w:sz w:val="20"/>
                <w:szCs w:val="20"/>
              </w:rPr>
              <w:t>Application</w:t>
            </w:r>
          </w:p>
        </w:tc>
        <w:tc>
          <w:tcPr>
            <w:tcW w:w="6382" w:type="dxa"/>
            <w:shd w:val="clear" w:color="auto" w:fill="auto"/>
          </w:tcPr>
          <w:p w14:paraId="7DAC16C7" w14:textId="7EAC1E96"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information provided by a sponsor in the HPP in support of a request to list medical device or human tissue on the PL or amend the existing PL billing code.</w:t>
            </w:r>
          </w:p>
        </w:tc>
      </w:tr>
      <w:tr w:rsidR="00E93CF8" w:rsidRPr="00C437D5" w14:paraId="28C6CDF2" w14:textId="77777777" w:rsidTr="00000953">
        <w:tc>
          <w:tcPr>
            <w:tcW w:w="2832" w:type="dxa"/>
            <w:shd w:val="clear" w:color="auto" w:fill="auto"/>
          </w:tcPr>
          <w:p w14:paraId="7718AB2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Australian Register of Therapeutic Goods (ARTG)</w:t>
            </w:r>
          </w:p>
        </w:tc>
        <w:tc>
          <w:tcPr>
            <w:tcW w:w="6382" w:type="dxa"/>
            <w:shd w:val="clear" w:color="auto" w:fill="auto"/>
          </w:tcPr>
          <w:p w14:paraId="086BC08E"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register of information about therapeutic goods for human use that may be imported, supplied in or exported from Australia. All medical devices, including Class I, must be included in the ARTG before supply in Australia. There are limited exceptions to this requirement specified in the legislation.</w:t>
            </w:r>
          </w:p>
        </w:tc>
      </w:tr>
      <w:tr w:rsidR="00E93CF8" w:rsidRPr="00C437D5" w14:paraId="096E0265" w14:textId="77777777" w:rsidTr="00000953">
        <w:tc>
          <w:tcPr>
            <w:tcW w:w="2832" w:type="dxa"/>
            <w:shd w:val="clear" w:color="auto" w:fill="auto"/>
          </w:tcPr>
          <w:p w14:paraId="21450E4A" w14:textId="1BE93DBA"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Benefit</w:t>
            </w:r>
          </w:p>
        </w:tc>
        <w:tc>
          <w:tcPr>
            <w:tcW w:w="6382" w:type="dxa"/>
            <w:shd w:val="clear" w:color="auto" w:fill="auto"/>
          </w:tcPr>
          <w:p w14:paraId="7141EEAB" w14:textId="5DF1C1BD" w:rsidR="00E93CF8" w:rsidRPr="00C437D5" w:rsidRDefault="00E86947"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For the purpose of Prescribed List, the </w:t>
            </w:r>
            <w:r w:rsidR="00E93CF8" w:rsidRPr="00C437D5">
              <w:rPr>
                <w:rFonts w:ascii="Arial" w:hAnsi="Arial" w:cs="Arial"/>
                <w:sz w:val="20"/>
                <w:szCs w:val="20"/>
              </w:rPr>
              <w:t xml:space="preserve">minimum amount that a private health insurer is required to pay for a device or human tissue </w:t>
            </w:r>
            <w:r w:rsidRPr="00C437D5">
              <w:rPr>
                <w:rFonts w:ascii="Arial" w:hAnsi="Arial" w:cs="Arial"/>
                <w:sz w:val="20"/>
                <w:szCs w:val="20"/>
              </w:rPr>
              <w:t xml:space="preserve">listed </w:t>
            </w:r>
            <w:r w:rsidR="00E93CF8" w:rsidRPr="00C437D5">
              <w:rPr>
                <w:rFonts w:ascii="Arial" w:hAnsi="Arial" w:cs="Arial"/>
                <w:sz w:val="20"/>
                <w:szCs w:val="20"/>
              </w:rPr>
              <w:t>on the PL that is provided to a privately insured patient with appropriate cover as part of hospital treatment or hospital-substitute treatment.</w:t>
            </w:r>
          </w:p>
        </w:tc>
      </w:tr>
      <w:tr w:rsidR="00E93CF8" w:rsidRPr="00C437D5" w14:paraId="2BAC4040" w14:textId="77777777" w:rsidTr="00000953">
        <w:tc>
          <w:tcPr>
            <w:tcW w:w="2832" w:type="dxa"/>
            <w:shd w:val="clear" w:color="auto" w:fill="auto"/>
          </w:tcPr>
          <w:p w14:paraId="7A3C758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Billing code</w:t>
            </w:r>
          </w:p>
        </w:tc>
        <w:tc>
          <w:tcPr>
            <w:tcW w:w="6382" w:type="dxa"/>
            <w:shd w:val="clear" w:color="auto" w:fill="auto"/>
          </w:tcPr>
          <w:p w14:paraId="7C74E619"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unique identification code allocated to a listed medical device or human tissue product for the purposes of facilitating hospital claims and invoicing, and payment of benefits by insurers</w:t>
            </w:r>
          </w:p>
        </w:tc>
      </w:tr>
      <w:tr w:rsidR="00E93CF8" w:rsidRPr="00C437D5" w14:paraId="5A64974D" w14:textId="77777777" w:rsidTr="00000953">
        <w:tc>
          <w:tcPr>
            <w:tcW w:w="2832" w:type="dxa"/>
            <w:shd w:val="clear" w:color="auto" w:fill="auto"/>
          </w:tcPr>
          <w:p w14:paraId="6A259321"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Case series</w:t>
            </w:r>
          </w:p>
        </w:tc>
        <w:tc>
          <w:tcPr>
            <w:tcW w:w="6382" w:type="dxa"/>
            <w:shd w:val="clear" w:color="auto" w:fill="auto"/>
          </w:tcPr>
          <w:p w14:paraId="3E8A4ACE"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study where the use of a health technology has been assessed in a series of cases (which may or may not be consecutive patients) and the results reported. There is no separate control group for comparison.</w:t>
            </w:r>
          </w:p>
        </w:tc>
      </w:tr>
      <w:bookmarkEnd w:id="160"/>
      <w:tr w:rsidR="00E93CF8" w:rsidRPr="00C437D5" w14:paraId="3406E4AA" w14:textId="77777777" w:rsidTr="00000953">
        <w:tc>
          <w:tcPr>
            <w:tcW w:w="2832" w:type="dxa"/>
            <w:shd w:val="clear" w:color="auto" w:fill="auto"/>
          </w:tcPr>
          <w:p w14:paraId="2CF72B43"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Clinical assessment</w:t>
            </w:r>
          </w:p>
        </w:tc>
        <w:tc>
          <w:tcPr>
            <w:tcW w:w="6382" w:type="dxa"/>
            <w:shd w:val="clear" w:color="auto" w:fill="auto"/>
          </w:tcPr>
          <w:p w14:paraId="214375B2" w14:textId="286D951E" w:rsidR="00E93CF8" w:rsidRPr="00C437D5" w:rsidRDefault="0077559B"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assessment by ECAG of evidence provided in an application.</w:t>
            </w:r>
          </w:p>
        </w:tc>
      </w:tr>
      <w:tr w:rsidR="00E93CF8" w:rsidRPr="00C437D5" w14:paraId="0A4F1BF0" w14:textId="77777777" w:rsidTr="00000953">
        <w:tc>
          <w:tcPr>
            <w:tcW w:w="2832" w:type="dxa"/>
            <w:shd w:val="clear" w:color="auto" w:fill="auto"/>
          </w:tcPr>
          <w:p w14:paraId="077F0DAD"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Clinical data</w:t>
            </w:r>
          </w:p>
        </w:tc>
        <w:tc>
          <w:tcPr>
            <w:tcW w:w="6382" w:type="dxa"/>
            <w:shd w:val="clear" w:color="auto" w:fill="auto"/>
          </w:tcPr>
          <w:p w14:paraId="303C5700" w14:textId="0EFE6789" w:rsidR="00E93CF8" w:rsidRPr="00C437D5" w:rsidRDefault="00E93CF8" w:rsidP="00C437D5">
            <w:pPr>
              <w:pStyle w:val="051Tabletext228pt"/>
              <w:widowControl w:val="0"/>
              <w:spacing w:before="0" w:after="120"/>
              <w:ind w:left="40"/>
              <w:rPr>
                <w:rFonts w:ascii="Arial" w:hAnsi="Arial" w:cs="Arial"/>
                <w:sz w:val="20"/>
                <w:szCs w:val="20"/>
              </w:rPr>
            </w:pPr>
            <w:r w:rsidRPr="00C437D5">
              <w:rPr>
                <w:rFonts w:ascii="Arial" w:hAnsi="Arial" w:cs="Arial"/>
                <w:sz w:val="20"/>
                <w:szCs w:val="20"/>
              </w:rPr>
              <w:t>For the purposes of assessing comparative clinical effectiveness of the devices by ECAGs, the clinical data means the data directly related to the subject device in the application [the ECAG may specify the level</w:t>
            </w:r>
            <w:r w:rsidR="009A4106" w:rsidRPr="00C437D5">
              <w:rPr>
                <w:rFonts w:ascii="Arial" w:hAnsi="Arial" w:cs="Arial"/>
                <w:sz w:val="20"/>
                <w:szCs w:val="20"/>
              </w:rPr>
              <w:t xml:space="preserve">, quality and quantity </w:t>
            </w:r>
            <w:r w:rsidRPr="00C437D5">
              <w:rPr>
                <w:rFonts w:ascii="Arial" w:hAnsi="Arial" w:cs="Arial"/>
                <w:sz w:val="20"/>
                <w:szCs w:val="20"/>
              </w:rPr>
              <w:t>of evidence depending on the category and type of device], and can be sourced from:</w:t>
            </w:r>
          </w:p>
          <w:p w14:paraId="15E27AD6" w14:textId="77777777" w:rsidR="00E93CF8" w:rsidRPr="00C437D5" w:rsidRDefault="00E93CF8" w:rsidP="00C437D5">
            <w:pPr>
              <w:pStyle w:val="071Tablebullet8pt"/>
              <w:widowControl w:val="0"/>
              <w:spacing w:before="0" w:after="120" w:line="240" w:lineRule="auto"/>
              <w:ind w:left="607" w:hanging="284"/>
              <w:rPr>
                <w:rFonts w:cs="Arial"/>
                <w:szCs w:val="20"/>
              </w:rPr>
            </w:pPr>
            <w:r w:rsidRPr="00C437D5">
              <w:rPr>
                <w:rFonts w:cs="Arial"/>
                <w:szCs w:val="20"/>
              </w:rPr>
              <w:t xml:space="preserve">reports/articles published in reputable journals on the independent clinical trials for the subject device </w:t>
            </w:r>
          </w:p>
          <w:p w14:paraId="2C8F236F" w14:textId="53AF27D6" w:rsidR="00E93CF8" w:rsidRPr="00C437D5" w:rsidRDefault="00E93CF8" w:rsidP="00C437D5">
            <w:pPr>
              <w:pStyle w:val="071Tablebullet8pt"/>
              <w:widowControl w:val="0"/>
              <w:spacing w:before="0" w:after="120" w:line="240" w:lineRule="auto"/>
              <w:ind w:left="607" w:hanging="284"/>
              <w:rPr>
                <w:rFonts w:cs="Arial"/>
                <w:szCs w:val="20"/>
              </w:rPr>
            </w:pPr>
            <w:r w:rsidRPr="00C437D5">
              <w:rPr>
                <w:rFonts w:cs="Arial"/>
                <w:szCs w:val="20"/>
              </w:rPr>
              <w:t xml:space="preserve">data from the quality and reliable registries </w:t>
            </w:r>
          </w:p>
        </w:tc>
      </w:tr>
      <w:tr w:rsidR="00AD3C2B" w:rsidRPr="00C437D5" w14:paraId="2E47D52D" w14:textId="77777777" w:rsidTr="00000953">
        <w:tc>
          <w:tcPr>
            <w:tcW w:w="2832" w:type="dxa"/>
            <w:shd w:val="clear" w:color="auto" w:fill="auto"/>
          </w:tcPr>
          <w:p w14:paraId="0C93633A" w14:textId="6E804B54" w:rsidR="00AD3C2B" w:rsidRPr="00C437D5" w:rsidRDefault="00AD3C2B"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Clinical </w:t>
            </w:r>
            <w:r w:rsidR="00A216B8" w:rsidRPr="00C437D5">
              <w:rPr>
                <w:rFonts w:ascii="Arial" w:hAnsi="Arial" w:cs="Arial"/>
                <w:b/>
                <w:bCs/>
                <w:sz w:val="20"/>
                <w:szCs w:val="20"/>
              </w:rPr>
              <w:t>e</w:t>
            </w:r>
            <w:r w:rsidRPr="00C437D5">
              <w:rPr>
                <w:rFonts w:ascii="Arial" w:hAnsi="Arial" w:cs="Arial"/>
                <w:b/>
                <w:bCs/>
                <w:sz w:val="20"/>
                <w:szCs w:val="20"/>
              </w:rPr>
              <w:t>ffectiveness</w:t>
            </w:r>
          </w:p>
        </w:tc>
        <w:tc>
          <w:tcPr>
            <w:tcW w:w="6382" w:type="dxa"/>
            <w:shd w:val="clear" w:color="auto" w:fill="auto"/>
          </w:tcPr>
          <w:p w14:paraId="0D526DB8" w14:textId="5F116978" w:rsidR="00AD3C2B" w:rsidRPr="00C437D5" w:rsidRDefault="00AD3C2B" w:rsidP="00C437D5">
            <w:pPr>
              <w:pStyle w:val="051Tabletext228pt"/>
              <w:widowControl w:val="0"/>
              <w:spacing w:before="0" w:after="120"/>
              <w:ind w:left="40"/>
              <w:rPr>
                <w:rFonts w:ascii="Arial" w:hAnsi="Arial" w:cs="Arial"/>
                <w:sz w:val="20"/>
                <w:szCs w:val="20"/>
              </w:rPr>
            </w:pPr>
            <w:r w:rsidRPr="00C437D5">
              <w:rPr>
                <w:rFonts w:ascii="Arial" w:hAnsi="Arial" w:cs="Arial"/>
                <w:sz w:val="20"/>
                <w:szCs w:val="20"/>
              </w:rPr>
              <w:t>The extent to which a health technology produces its intended outcomes in a defined population in uncontrolled or routine circumstances.</w:t>
            </w:r>
          </w:p>
        </w:tc>
      </w:tr>
      <w:tr w:rsidR="00E93CF8" w:rsidRPr="00C437D5" w14:paraId="541FD625" w14:textId="77777777" w:rsidTr="00000953">
        <w:tc>
          <w:tcPr>
            <w:tcW w:w="2832" w:type="dxa"/>
            <w:shd w:val="clear" w:color="auto" w:fill="auto"/>
          </w:tcPr>
          <w:p w14:paraId="64F8356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Comparator</w:t>
            </w:r>
          </w:p>
        </w:tc>
        <w:tc>
          <w:tcPr>
            <w:tcW w:w="6382" w:type="dxa"/>
            <w:shd w:val="clear" w:color="auto" w:fill="auto"/>
          </w:tcPr>
          <w:p w14:paraId="21264488"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Another medical device or human tissue product or an alternative treatment if there are no comparative products listed on the PL against which comparative clinical effectiveness and cost-effectiveness of the subject product are assessed.  </w:t>
            </w:r>
          </w:p>
        </w:tc>
      </w:tr>
      <w:tr w:rsidR="00E93CF8" w:rsidRPr="00C437D5" w14:paraId="41C62BE7" w14:textId="77777777" w:rsidTr="00000953">
        <w:tc>
          <w:tcPr>
            <w:tcW w:w="2832" w:type="dxa"/>
            <w:shd w:val="clear" w:color="auto" w:fill="auto"/>
          </w:tcPr>
          <w:p w14:paraId="646720E1"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Cost, comparative</w:t>
            </w:r>
          </w:p>
        </w:tc>
        <w:tc>
          <w:tcPr>
            <w:tcW w:w="6382" w:type="dxa"/>
            <w:shd w:val="clear" w:color="auto" w:fill="auto"/>
          </w:tcPr>
          <w:p w14:paraId="636556F7"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How much one health technology costs compared to an alternative health technology.</w:t>
            </w:r>
          </w:p>
        </w:tc>
      </w:tr>
      <w:tr w:rsidR="00E93CF8" w:rsidRPr="00C437D5" w14:paraId="3340614F" w14:textId="77777777" w:rsidTr="00000953">
        <w:tc>
          <w:tcPr>
            <w:tcW w:w="2832" w:type="dxa"/>
            <w:shd w:val="clear" w:color="auto" w:fill="auto"/>
          </w:tcPr>
          <w:p w14:paraId="2D7DDF68"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Cost analysis</w:t>
            </w:r>
          </w:p>
        </w:tc>
        <w:tc>
          <w:tcPr>
            <w:tcW w:w="6382" w:type="dxa"/>
            <w:shd w:val="clear" w:color="auto" w:fill="auto"/>
          </w:tcPr>
          <w:p w14:paraId="50F07188"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economic evaluation that compares the cost of two health technologies without consideration of health outcomes</w:t>
            </w:r>
          </w:p>
        </w:tc>
      </w:tr>
      <w:tr w:rsidR="00E93CF8" w:rsidRPr="00C437D5" w14:paraId="52F2389C" w14:textId="77777777" w:rsidTr="00000953">
        <w:tc>
          <w:tcPr>
            <w:tcW w:w="2832" w:type="dxa"/>
            <w:shd w:val="clear" w:color="auto" w:fill="auto"/>
          </w:tcPr>
          <w:p w14:paraId="4BC3E3F5"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Cost-consequence analysis (CCA)</w:t>
            </w:r>
          </w:p>
        </w:tc>
        <w:tc>
          <w:tcPr>
            <w:tcW w:w="6382" w:type="dxa"/>
            <w:shd w:val="clear" w:color="auto" w:fill="auto"/>
          </w:tcPr>
          <w:p w14:paraId="350D1BDA"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An economic evaluation that compares health technologies as an array of all material costs and outcomes measured in their natural units rather than a single representative outcome as presented in a cost-effectiveness analysis. </w:t>
            </w:r>
          </w:p>
        </w:tc>
      </w:tr>
      <w:tr w:rsidR="00E93CF8" w:rsidRPr="00C437D5" w14:paraId="3EE03D90" w14:textId="77777777" w:rsidTr="00000953">
        <w:tc>
          <w:tcPr>
            <w:tcW w:w="2832" w:type="dxa"/>
            <w:shd w:val="clear" w:color="auto" w:fill="auto"/>
          </w:tcPr>
          <w:p w14:paraId="31729E4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Cost-effective</w:t>
            </w:r>
          </w:p>
        </w:tc>
        <w:tc>
          <w:tcPr>
            <w:tcW w:w="6382" w:type="dxa"/>
            <w:shd w:val="clear" w:color="auto" w:fill="auto"/>
          </w:tcPr>
          <w:p w14:paraId="152EC8F6"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MSAC considers a proposed medical service to be cost-effective if it considers that, for a specified main indication, the incremental benefits of clinical management involving the proposed medical service over clinical management involving its main comparator(s) justify its incremental costs and harms.</w:t>
            </w:r>
          </w:p>
        </w:tc>
      </w:tr>
      <w:tr w:rsidR="007E2D6D" w:rsidRPr="00C437D5" w14:paraId="72B7C4E5" w14:textId="77777777" w:rsidTr="00000953">
        <w:tc>
          <w:tcPr>
            <w:tcW w:w="2832" w:type="dxa"/>
            <w:shd w:val="clear" w:color="auto" w:fill="auto"/>
          </w:tcPr>
          <w:p w14:paraId="6E8CAA48" w14:textId="14B53449" w:rsidR="007E2D6D" w:rsidRPr="00C437D5" w:rsidRDefault="007E2D6D"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Department</w:t>
            </w:r>
          </w:p>
        </w:tc>
        <w:tc>
          <w:tcPr>
            <w:tcW w:w="6382" w:type="dxa"/>
            <w:shd w:val="clear" w:color="auto" w:fill="auto"/>
          </w:tcPr>
          <w:p w14:paraId="256D71E9" w14:textId="06A38ED1" w:rsidR="007E2D6D" w:rsidRPr="00C437D5" w:rsidRDefault="007E2D6D"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Department responsible for administering the Private Health Insurance Act 2007, currently the Department of Health and Aged Care</w:t>
            </w:r>
          </w:p>
        </w:tc>
      </w:tr>
      <w:tr w:rsidR="00E93CF8" w:rsidRPr="00C437D5" w14:paraId="7B5EA169" w14:textId="77777777" w:rsidTr="00000953">
        <w:tc>
          <w:tcPr>
            <w:tcW w:w="2832" w:type="dxa"/>
            <w:shd w:val="clear" w:color="auto" w:fill="auto"/>
          </w:tcPr>
          <w:p w14:paraId="4136B67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Economic evaluation</w:t>
            </w:r>
          </w:p>
        </w:tc>
        <w:tc>
          <w:tcPr>
            <w:tcW w:w="6382" w:type="dxa"/>
            <w:shd w:val="clear" w:color="auto" w:fill="auto"/>
          </w:tcPr>
          <w:p w14:paraId="6B035EF4"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comparative analysis of the costs and outcomes of health technologies. An umbrella term covering cost-benefit analysis, cost-effectiveness analysis, cost-consequence analysis, cost minimisation analysis and cost-utility analysis. The analysis involves identification, measurement and valuation of the differences in costs and outcomes caused by substituting health technologies.</w:t>
            </w:r>
          </w:p>
        </w:tc>
      </w:tr>
      <w:tr w:rsidR="00E93CF8" w:rsidRPr="00C437D5" w14:paraId="7A63B102" w14:textId="77777777" w:rsidTr="00000953">
        <w:tc>
          <w:tcPr>
            <w:tcW w:w="2832" w:type="dxa"/>
            <w:shd w:val="clear" w:color="auto" w:fill="auto"/>
          </w:tcPr>
          <w:p w14:paraId="773D5874"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Evidence</w:t>
            </w:r>
          </w:p>
        </w:tc>
        <w:tc>
          <w:tcPr>
            <w:tcW w:w="6382" w:type="dxa"/>
            <w:shd w:val="clear" w:color="auto" w:fill="auto"/>
          </w:tcPr>
          <w:p w14:paraId="05005FB1" w14:textId="7F0212FD"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Information gathered from scientific research or direct measurement. Current best evidence is up-to-date information from relevant, valid research.</w:t>
            </w:r>
          </w:p>
        </w:tc>
      </w:tr>
      <w:tr w:rsidR="00E93CF8" w:rsidRPr="00C437D5" w14:paraId="76F7F020" w14:textId="77777777" w:rsidTr="00000953">
        <w:tc>
          <w:tcPr>
            <w:tcW w:w="2832" w:type="dxa"/>
            <w:shd w:val="clear" w:color="auto" w:fill="auto"/>
          </w:tcPr>
          <w:p w14:paraId="2DA948B6" w14:textId="77777777" w:rsidR="00E93CF8" w:rsidRPr="00C437D5" w:rsidRDefault="00E93CF8" w:rsidP="00C437D5">
            <w:pPr>
              <w:pStyle w:val="051Tabletext228pt"/>
              <w:widowControl w:val="0"/>
              <w:spacing w:before="0" w:after="120"/>
              <w:rPr>
                <w:rFonts w:ascii="Arial" w:hAnsi="Arial" w:cs="Arial"/>
                <w:b/>
                <w:bCs/>
                <w:sz w:val="20"/>
                <w:szCs w:val="20"/>
              </w:rPr>
            </w:pPr>
            <w:r w:rsidRPr="00C437D5">
              <w:rPr>
                <w:rFonts w:ascii="Arial" w:hAnsi="Arial" w:cs="Arial"/>
                <w:b/>
                <w:bCs/>
                <w:sz w:val="20"/>
                <w:szCs w:val="20"/>
              </w:rPr>
              <w:t>Expert Clinical Advisory Group (ECAG)</w:t>
            </w:r>
          </w:p>
        </w:tc>
        <w:tc>
          <w:tcPr>
            <w:tcW w:w="6382" w:type="dxa"/>
            <w:shd w:val="clear" w:color="auto" w:fill="auto"/>
          </w:tcPr>
          <w:p w14:paraId="52573779" w14:textId="77777777" w:rsidR="00E93CF8" w:rsidRPr="00C437D5" w:rsidRDefault="00E93CF8" w:rsidP="00C437D5">
            <w:pPr>
              <w:pStyle w:val="051Tabletext228pt"/>
              <w:widowControl w:val="0"/>
              <w:spacing w:before="0" w:after="120"/>
              <w:rPr>
                <w:rFonts w:ascii="Arial" w:hAnsi="Arial" w:cs="Arial"/>
                <w:sz w:val="20"/>
                <w:szCs w:val="20"/>
              </w:rPr>
            </w:pPr>
            <w:r w:rsidRPr="00C437D5">
              <w:rPr>
                <w:rFonts w:ascii="Arial" w:hAnsi="Arial" w:cs="Arial"/>
                <w:sz w:val="20"/>
                <w:szCs w:val="20"/>
              </w:rPr>
              <w:t>An independent HTA advisory committee of the Australian Government that primarily provides advice to the Medical Devices and Human Tissues Advisory Committee on appropriateness of listing of medical devices or human tissue products (if required) on the PL. This advice is based on assessment of comparative clinical effectiveness of medical devices and human tissue products (where applicable) using the best available evidence.</w:t>
            </w:r>
          </w:p>
        </w:tc>
      </w:tr>
      <w:tr w:rsidR="00E93CF8" w:rsidRPr="00C437D5" w14:paraId="36736B69" w14:textId="77777777" w:rsidTr="00000953">
        <w:tc>
          <w:tcPr>
            <w:tcW w:w="2832" w:type="dxa"/>
            <w:shd w:val="clear" w:color="auto" w:fill="auto"/>
          </w:tcPr>
          <w:p w14:paraId="20C3ED4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Fee, Schedule</w:t>
            </w:r>
          </w:p>
        </w:tc>
        <w:tc>
          <w:tcPr>
            <w:tcW w:w="6382" w:type="dxa"/>
            <w:shd w:val="clear" w:color="auto" w:fill="auto"/>
          </w:tcPr>
          <w:p w14:paraId="17731EDB"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Schedule Fee is determined by the government for each medical service listed in the MBS. It is determined on the basis of being reasonable, on average, for that service, having regard to usual and reasonable variations in the time involved in performing the service on different occasions, and to reasonable ranges of complexity and technical difficulty encountered.</w:t>
            </w:r>
          </w:p>
        </w:tc>
      </w:tr>
      <w:tr w:rsidR="00E93CF8" w:rsidRPr="00C437D5" w14:paraId="616AF6C9" w14:textId="77777777" w:rsidTr="00000953">
        <w:tc>
          <w:tcPr>
            <w:tcW w:w="2832" w:type="dxa"/>
            <w:shd w:val="clear" w:color="auto" w:fill="auto"/>
          </w:tcPr>
          <w:p w14:paraId="636384F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Fit-for-purpose</w:t>
            </w:r>
          </w:p>
        </w:tc>
        <w:tc>
          <w:tcPr>
            <w:tcW w:w="6382" w:type="dxa"/>
            <w:shd w:val="clear" w:color="auto" w:fill="auto"/>
          </w:tcPr>
          <w:p w14:paraId="7BF0D6BC"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Structuring the size and type of a review or evaluation to fit the type, complexity and cost of the item(s) involved.</w:t>
            </w:r>
          </w:p>
        </w:tc>
      </w:tr>
      <w:tr w:rsidR="00E93CF8" w:rsidRPr="00C437D5" w14:paraId="17219B3F" w14:textId="77777777" w:rsidTr="00000953">
        <w:tc>
          <w:tcPr>
            <w:tcW w:w="2832" w:type="dxa"/>
            <w:shd w:val="clear" w:color="auto" w:fill="auto"/>
          </w:tcPr>
          <w:p w14:paraId="5F8A6D09"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Focused commentary</w:t>
            </w:r>
          </w:p>
        </w:tc>
        <w:tc>
          <w:tcPr>
            <w:tcW w:w="6382" w:type="dxa"/>
            <w:shd w:val="clear" w:color="auto" w:fill="auto"/>
          </w:tcPr>
          <w:p w14:paraId="5C85E150" w14:textId="09FC65DF" w:rsidR="00E93CF8" w:rsidRPr="00C437D5" w:rsidRDefault="0036113A"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brief written analysis of an application to evaluate the validity of the information provided to support the clinical and/or economic claims and the proposed benefit, and to identify the main clinical and/or economic issues.</w:t>
            </w:r>
          </w:p>
        </w:tc>
      </w:tr>
      <w:tr w:rsidR="00E93CF8" w:rsidRPr="00C437D5" w14:paraId="03FD4B10" w14:textId="77777777" w:rsidTr="00000953">
        <w:tc>
          <w:tcPr>
            <w:tcW w:w="2832" w:type="dxa"/>
            <w:shd w:val="clear" w:color="auto" w:fill="auto"/>
          </w:tcPr>
          <w:p w14:paraId="7F4D89EA"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Focused health technology assessment </w:t>
            </w:r>
          </w:p>
        </w:tc>
        <w:tc>
          <w:tcPr>
            <w:tcW w:w="6382" w:type="dxa"/>
            <w:shd w:val="clear" w:color="auto" w:fill="auto"/>
          </w:tcPr>
          <w:p w14:paraId="5CB0C187"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tailored assessment of a device or other health technology that is conducted with the needs of the decision-maker in mind and is appropriately targeted to a policy question or main area of clinical, economic and/or financial uncertainty. The assessment approach is rigorous but pragmatic, and designed to aid decision-making within a shorter timeframe than a full HTA.</w:t>
            </w:r>
          </w:p>
        </w:tc>
      </w:tr>
      <w:tr w:rsidR="00E93CF8" w:rsidRPr="00C437D5" w14:paraId="42870925" w14:textId="77777777" w:rsidTr="00000953">
        <w:tc>
          <w:tcPr>
            <w:tcW w:w="2832" w:type="dxa"/>
            <w:shd w:val="clear" w:color="auto" w:fill="auto"/>
          </w:tcPr>
          <w:p w14:paraId="2735515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Follow-up</w:t>
            </w:r>
          </w:p>
        </w:tc>
        <w:tc>
          <w:tcPr>
            <w:tcW w:w="6382" w:type="dxa"/>
            <w:shd w:val="clear" w:color="auto" w:fill="auto"/>
          </w:tcPr>
          <w:p w14:paraId="437D8C95"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observation, during a specified time period, of trial or study participants to measure changes in outcomes of interest.</w:t>
            </w:r>
          </w:p>
        </w:tc>
      </w:tr>
      <w:tr w:rsidR="00E93CF8" w:rsidRPr="00C437D5" w14:paraId="55BABB36" w14:textId="77777777" w:rsidTr="00000953">
        <w:tc>
          <w:tcPr>
            <w:tcW w:w="2832" w:type="dxa"/>
            <w:shd w:val="clear" w:color="auto" w:fill="auto"/>
          </w:tcPr>
          <w:p w14:paraId="5176A230"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Group</w:t>
            </w:r>
          </w:p>
        </w:tc>
        <w:tc>
          <w:tcPr>
            <w:tcW w:w="6382" w:type="dxa"/>
            <w:shd w:val="clear" w:color="auto" w:fill="auto"/>
          </w:tcPr>
          <w:p w14:paraId="4F38EBCB"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level of classification of a medical device on the PL below ‘category’. Within categories, medical devices are grouped according to similar characteristics, designs, purposes and functionalities. For simplicity, medical device groups and subgroups are identified numerically.</w:t>
            </w:r>
          </w:p>
        </w:tc>
      </w:tr>
      <w:tr w:rsidR="00E93CF8" w:rsidRPr="00C437D5" w14:paraId="67103FD7" w14:textId="77777777" w:rsidTr="00000953">
        <w:tc>
          <w:tcPr>
            <w:tcW w:w="2832" w:type="dxa"/>
            <w:shd w:val="clear" w:color="auto" w:fill="auto"/>
          </w:tcPr>
          <w:p w14:paraId="77ACF91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Group benefit</w:t>
            </w:r>
          </w:p>
        </w:tc>
        <w:tc>
          <w:tcPr>
            <w:tcW w:w="6382" w:type="dxa"/>
            <w:shd w:val="clear" w:color="auto" w:fill="auto"/>
          </w:tcPr>
          <w:p w14:paraId="41DD6FA1"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benefit paid for all medical devices that are classified in the same category, sub-category, group, subgroup and suffix.</w:t>
            </w:r>
          </w:p>
        </w:tc>
      </w:tr>
      <w:tr w:rsidR="00E93CF8" w:rsidRPr="00C437D5" w14:paraId="707BF9D1" w14:textId="77777777" w:rsidTr="00000953">
        <w:tc>
          <w:tcPr>
            <w:tcW w:w="2832" w:type="dxa"/>
            <w:shd w:val="clear" w:color="auto" w:fill="auto"/>
          </w:tcPr>
          <w:p w14:paraId="756DF87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Grouping</w:t>
            </w:r>
          </w:p>
        </w:tc>
        <w:tc>
          <w:tcPr>
            <w:tcW w:w="6382" w:type="dxa"/>
            <w:shd w:val="clear" w:color="auto" w:fill="auto"/>
          </w:tcPr>
          <w:p w14:paraId="16E1D383" w14:textId="5B8F65E6"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The </w:t>
            </w:r>
            <w:r w:rsidR="003579C6" w:rsidRPr="00C437D5">
              <w:rPr>
                <w:rFonts w:ascii="Arial" w:hAnsi="Arial" w:cs="Arial"/>
                <w:sz w:val="20"/>
                <w:szCs w:val="20"/>
              </w:rPr>
              <w:t>last benefit point</w:t>
            </w:r>
            <w:r w:rsidRPr="00C437D5">
              <w:rPr>
                <w:rFonts w:ascii="Arial" w:hAnsi="Arial" w:cs="Arial"/>
                <w:sz w:val="20"/>
                <w:szCs w:val="20"/>
              </w:rPr>
              <w:t>, including category, sub-category, group, subgroup and suffix.</w:t>
            </w:r>
          </w:p>
        </w:tc>
      </w:tr>
      <w:tr w:rsidR="00E93CF8" w:rsidRPr="00C437D5" w14:paraId="2F114A75" w14:textId="77777777" w:rsidTr="00000953">
        <w:tc>
          <w:tcPr>
            <w:tcW w:w="2832" w:type="dxa"/>
            <w:shd w:val="clear" w:color="auto" w:fill="auto"/>
          </w:tcPr>
          <w:p w14:paraId="4C8ED61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Health technology</w:t>
            </w:r>
          </w:p>
        </w:tc>
        <w:tc>
          <w:tcPr>
            <w:tcW w:w="6382" w:type="dxa"/>
            <w:shd w:val="clear" w:color="auto" w:fill="auto"/>
          </w:tcPr>
          <w:p w14:paraId="1EB8B555"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 technology used in a health care system — for example, therapeutic services (such as medicines and procedures), medical devices, investigative medical services (such as diagnostic tests and imaging services), equipment and supplies, and organisational and </w:t>
            </w:r>
            <w:r w:rsidRPr="00C437D5">
              <w:rPr>
                <w:rFonts w:ascii="Arial" w:hAnsi="Arial" w:cs="Arial"/>
                <w:sz w:val="20"/>
                <w:szCs w:val="20"/>
              </w:rPr>
              <w:lastRenderedPageBreak/>
              <w:t>managerial systems.</w:t>
            </w:r>
          </w:p>
        </w:tc>
      </w:tr>
      <w:tr w:rsidR="00E93CF8" w:rsidRPr="00C437D5" w14:paraId="72F03E4D" w14:textId="77777777" w:rsidTr="00000953">
        <w:tc>
          <w:tcPr>
            <w:tcW w:w="2832" w:type="dxa"/>
            <w:shd w:val="clear" w:color="auto" w:fill="auto"/>
          </w:tcPr>
          <w:p w14:paraId="45623668"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Health technology assessment (HTA)</w:t>
            </w:r>
          </w:p>
        </w:tc>
        <w:tc>
          <w:tcPr>
            <w:tcW w:w="6382" w:type="dxa"/>
            <w:shd w:val="clear" w:color="auto" w:fill="auto"/>
          </w:tcPr>
          <w:p w14:paraId="63CE0DB1"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multidisciplinary field of policy analysis studying the medical, economic, social and ethical implications of development, diffusion and use of health service delivery, and associated technologies, in a systematic, transparent, unbiased and robust manner. HTA encapsulates a range of processes and mechanisms that use scientific evidence to assess the comparative quality, safety, efficacy, effectiveness and cost-effectiveness of health technologies.</w:t>
            </w:r>
          </w:p>
        </w:tc>
      </w:tr>
      <w:tr w:rsidR="00E93CF8" w:rsidRPr="00C437D5" w14:paraId="1B6C6BC4" w14:textId="77777777" w:rsidTr="00000953">
        <w:tc>
          <w:tcPr>
            <w:tcW w:w="2832" w:type="dxa"/>
            <w:shd w:val="clear" w:color="auto" w:fill="auto"/>
          </w:tcPr>
          <w:p w14:paraId="5B246C0A"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Health technology assessment (HTA) report, full</w:t>
            </w:r>
          </w:p>
        </w:tc>
        <w:tc>
          <w:tcPr>
            <w:tcW w:w="6382" w:type="dxa"/>
            <w:shd w:val="clear" w:color="auto" w:fill="auto"/>
          </w:tcPr>
          <w:p w14:paraId="1F51AD27"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report that includes one or more comprehensive systematic literature reviews, or a systematic review of high-level evidence, evaluating the safety and effectiveness of a technology, as well as an analysis of the cost-effectiveness of the technology. The report describes the characteristics and current use of the technology; critically appraises the quality of the evidence base; provides information on costs and financial impact; and discusses organisational considerations. The report should also address any ethical, social and legal considerations arising from use of the technology. When appropriate, the cost-effectiveness of the technology may be addressed through economic modelling.</w:t>
            </w:r>
          </w:p>
        </w:tc>
      </w:tr>
      <w:tr w:rsidR="00E93CF8" w:rsidRPr="00C437D5" w14:paraId="773CDE15" w14:textId="77777777" w:rsidTr="00000953">
        <w:tc>
          <w:tcPr>
            <w:tcW w:w="2832" w:type="dxa"/>
            <w:shd w:val="clear" w:color="auto" w:fill="auto"/>
          </w:tcPr>
          <w:p w14:paraId="296EF354"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Health technology management</w:t>
            </w:r>
          </w:p>
        </w:tc>
        <w:tc>
          <w:tcPr>
            <w:tcW w:w="6382" w:type="dxa"/>
            <w:shd w:val="clear" w:color="auto" w:fill="auto"/>
          </w:tcPr>
          <w:p w14:paraId="2079AF0A"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umbrella term for the range of health technology assessment and re-assessment activities that can inform decisions regarding the introduction, use, refinement of use, and removal of technologies or services from the health system.</w:t>
            </w:r>
          </w:p>
        </w:tc>
      </w:tr>
      <w:tr w:rsidR="00E93CF8" w:rsidRPr="00C437D5" w14:paraId="58C35159" w14:textId="77777777" w:rsidTr="00000953">
        <w:tc>
          <w:tcPr>
            <w:tcW w:w="2832" w:type="dxa"/>
            <w:shd w:val="clear" w:color="auto" w:fill="auto"/>
          </w:tcPr>
          <w:p w14:paraId="03C4394B"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Health technology assessment group</w:t>
            </w:r>
          </w:p>
        </w:tc>
        <w:tc>
          <w:tcPr>
            <w:tcW w:w="6382" w:type="dxa"/>
            <w:shd w:val="clear" w:color="auto" w:fill="auto"/>
          </w:tcPr>
          <w:p w14:paraId="19D69949"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independent consultancy group with expertise in health technology assessment that is contracted by the Department of Health and Aged Care to review applications for the funding of health technologies.</w:t>
            </w:r>
          </w:p>
        </w:tc>
      </w:tr>
      <w:tr w:rsidR="00E93CF8" w:rsidRPr="00C437D5" w14:paraId="0705BB5A" w14:textId="77777777" w:rsidTr="00000953">
        <w:tc>
          <w:tcPr>
            <w:tcW w:w="2832" w:type="dxa"/>
            <w:shd w:val="clear" w:color="auto" w:fill="auto"/>
          </w:tcPr>
          <w:p w14:paraId="1535DACF" w14:textId="6864964E"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Hierarchy of </w:t>
            </w:r>
            <w:r w:rsidR="00450163" w:rsidRPr="00C437D5">
              <w:rPr>
                <w:rFonts w:ascii="Arial" w:hAnsi="Arial" w:cs="Arial"/>
                <w:b/>
                <w:bCs/>
                <w:sz w:val="20"/>
                <w:szCs w:val="20"/>
              </w:rPr>
              <w:t>evidence</w:t>
            </w:r>
          </w:p>
        </w:tc>
        <w:tc>
          <w:tcPr>
            <w:tcW w:w="6382" w:type="dxa"/>
            <w:shd w:val="clear" w:color="auto" w:fill="auto"/>
          </w:tcPr>
          <w:p w14:paraId="4E17EDAC" w14:textId="5E1372CB" w:rsidR="00E93CF8" w:rsidRPr="00C437D5" w:rsidRDefault="00450163"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Framework for </w:t>
            </w:r>
            <w:r w:rsidR="00E93CF8" w:rsidRPr="00C437D5">
              <w:rPr>
                <w:rFonts w:ascii="Arial" w:hAnsi="Arial" w:cs="Arial"/>
                <w:sz w:val="20"/>
                <w:szCs w:val="20"/>
              </w:rPr>
              <w:t xml:space="preserve">ranking of </w:t>
            </w:r>
            <w:r w:rsidRPr="00C437D5">
              <w:rPr>
                <w:rFonts w:ascii="Arial" w:hAnsi="Arial" w:cs="Arial"/>
                <w:sz w:val="20"/>
                <w:szCs w:val="20"/>
              </w:rPr>
              <w:t xml:space="preserve">evidence developed by </w:t>
            </w:r>
            <w:r w:rsidR="00E93CF8" w:rsidRPr="00C437D5">
              <w:rPr>
                <w:rFonts w:ascii="Arial" w:hAnsi="Arial" w:cs="Arial"/>
                <w:sz w:val="20"/>
                <w:szCs w:val="20"/>
              </w:rPr>
              <w:t xml:space="preserve">National Health and Medical Research Council (NHMRC) </w:t>
            </w:r>
          </w:p>
        </w:tc>
      </w:tr>
      <w:tr w:rsidR="00E93CF8" w:rsidRPr="00C437D5" w14:paraId="27B8B1E7" w14:textId="77777777" w:rsidTr="00000953">
        <w:tc>
          <w:tcPr>
            <w:tcW w:w="2832" w:type="dxa"/>
            <w:shd w:val="clear" w:color="auto" w:fill="auto"/>
          </w:tcPr>
          <w:p w14:paraId="7867CE6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Hospital-substitute treatment</w:t>
            </w:r>
          </w:p>
        </w:tc>
        <w:tc>
          <w:tcPr>
            <w:tcW w:w="6382" w:type="dxa"/>
            <w:shd w:val="clear" w:color="auto" w:fill="auto"/>
          </w:tcPr>
          <w:p w14:paraId="416701B1"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Treatment that substitutes for hospital treatment; it is any combination of nursing, medical, surgical, podiatric surgical, diagnostic, therapeutic, prosthetic, pharmacological, pathology or other services intended to manage a disease, injury or condition</w:t>
            </w:r>
          </w:p>
        </w:tc>
      </w:tr>
      <w:tr w:rsidR="00E93CF8" w:rsidRPr="00C437D5" w14:paraId="16820EF7" w14:textId="77777777" w:rsidTr="00000953">
        <w:tc>
          <w:tcPr>
            <w:tcW w:w="2832" w:type="dxa"/>
            <w:shd w:val="clear" w:color="auto" w:fill="auto"/>
          </w:tcPr>
          <w:p w14:paraId="738DB325"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Human Tissue Product </w:t>
            </w:r>
          </w:p>
        </w:tc>
        <w:tc>
          <w:tcPr>
            <w:tcW w:w="6382" w:type="dxa"/>
            <w:shd w:val="clear" w:color="auto" w:fill="auto"/>
          </w:tcPr>
          <w:p w14:paraId="1E1E968B"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has the meaning given by section 72</w:t>
            </w:r>
            <w:r w:rsidRPr="00C437D5">
              <w:rPr>
                <w:rFonts w:ascii="Cambria Math" w:hAnsi="Cambria Math" w:cs="Cambria Math"/>
                <w:sz w:val="20"/>
                <w:szCs w:val="20"/>
              </w:rPr>
              <w:t>‑</w:t>
            </w:r>
            <w:r w:rsidRPr="00C437D5">
              <w:rPr>
                <w:rFonts w:ascii="Arial" w:hAnsi="Arial" w:cs="Arial"/>
                <w:sz w:val="20"/>
                <w:szCs w:val="20"/>
              </w:rPr>
              <w:t>12 of the Private Health Insurance Act 2007.</w:t>
            </w:r>
          </w:p>
        </w:tc>
      </w:tr>
      <w:tr w:rsidR="00E93CF8" w:rsidRPr="00C437D5" w14:paraId="7F6279CB" w14:textId="77777777" w:rsidTr="00000953">
        <w:tc>
          <w:tcPr>
            <w:tcW w:w="2832" w:type="dxa"/>
            <w:shd w:val="clear" w:color="auto" w:fill="auto"/>
          </w:tcPr>
          <w:p w14:paraId="1684E39D"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Impact</w:t>
            </w:r>
          </w:p>
        </w:tc>
        <w:tc>
          <w:tcPr>
            <w:tcW w:w="6382" w:type="dxa"/>
            <w:shd w:val="clear" w:color="auto" w:fill="auto"/>
          </w:tcPr>
          <w:p w14:paraId="031CB543"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collective term to describe the effects that accrue at one or more levels of the health system as a consequence of the use of a device or other health technology. Impact includes one or more of: health outcomes for patients, service delivery changes for specific healthcare professionals, or health system changes for healthcare providers.</w:t>
            </w:r>
          </w:p>
        </w:tc>
      </w:tr>
      <w:tr w:rsidR="00E93CF8" w:rsidRPr="00C437D5" w14:paraId="51D086CA" w14:textId="77777777" w:rsidTr="00000953">
        <w:tc>
          <w:tcPr>
            <w:tcW w:w="2832" w:type="dxa"/>
            <w:shd w:val="clear" w:color="auto" w:fill="auto"/>
          </w:tcPr>
          <w:p w14:paraId="1DBF6CE9"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Indication</w:t>
            </w:r>
          </w:p>
        </w:tc>
        <w:tc>
          <w:tcPr>
            <w:tcW w:w="6382" w:type="dxa"/>
            <w:shd w:val="clear" w:color="auto" w:fill="auto"/>
          </w:tcPr>
          <w:p w14:paraId="53C1EDE7"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disease or condition the device or human tissue product will treat, prevent, cure or mitigate, including a description of the patient population for which the technology is intended.</w:t>
            </w:r>
          </w:p>
        </w:tc>
      </w:tr>
      <w:tr w:rsidR="00E93CF8" w:rsidRPr="00C437D5" w14:paraId="79D0F6A5" w14:textId="77777777" w:rsidTr="00000953">
        <w:tc>
          <w:tcPr>
            <w:tcW w:w="2832" w:type="dxa"/>
            <w:shd w:val="clear" w:color="auto" w:fill="auto"/>
          </w:tcPr>
          <w:p w14:paraId="0D88A70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Intended purpose</w:t>
            </w:r>
          </w:p>
        </w:tc>
        <w:tc>
          <w:tcPr>
            <w:tcW w:w="6382" w:type="dxa"/>
            <w:shd w:val="clear" w:color="auto" w:fill="auto"/>
          </w:tcPr>
          <w:p w14:paraId="4E7BAE0D" w14:textId="278F8AD8"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purpose that the manufacturer intends the device to be used for, as ascertained from the product information provided with the device, including labelling, instructions for use for the device, any advertising material related to the device, or technical documentation.</w:t>
            </w:r>
          </w:p>
        </w:tc>
      </w:tr>
      <w:tr w:rsidR="00E93CF8" w:rsidRPr="00C437D5" w14:paraId="518FD80B" w14:textId="77777777" w:rsidTr="00000953">
        <w:tc>
          <w:tcPr>
            <w:tcW w:w="2832" w:type="dxa"/>
            <w:shd w:val="clear" w:color="auto" w:fill="auto"/>
          </w:tcPr>
          <w:p w14:paraId="6093148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Interchangeability</w:t>
            </w:r>
          </w:p>
        </w:tc>
        <w:tc>
          <w:tcPr>
            <w:tcW w:w="6382" w:type="dxa"/>
            <w:shd w:val="clear" w:color="auto" w:fill="auto"/>
          </w:tcPr>
          <w:p w14:paraId="73D61AF9" w14:textId="4BAA79FE" w:rsidR="0026126A" w:rsidRPr="00C437D5" w:rsidRDefault="0026126A"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Interchangeability is a concept that describes how closely a subject device relates to a PL-listed comparator device in terms of clinical, technical and biological characteristics</w:t>
            </w:r>
            <w:r w:rsidR="00F65250" w:rsidRPr="00C437D5">
              <w:rPr>
                <w:rFonts w:ascii="Arial" w:hAnsi="Arial" w:cs="Arial"/>
                <w:sz w:val="20"/>
                <w:szCs w:val="20"/>
              </w:rPr>
              <w:t xml:space="preserve"> </w:t>
            </w:r>
            <w:r w:rsidR="000862C9" w:rsidRPr="00C437D5">
              <w:rPr>
                <w:rFonts w:ascii="Arial" w:hAnsi="Arial" w:cs="Arial"/>
                <w:sz w:val="20"/>
                <w:szCs w:val="20"/>
              </w:rPr>
              <w:t>[r</w:t>
            </w:r>
            <w:r w:rsidR="00F65250" w:rsidRPr="00C437D5">
              <w:rPr>
                <w:rFonts w:ascii="Arial" w:hAnsi="Arial" w:cs="Arial"/>
                <w:sz w:val="20"/>
                <w:szCs w:val="20"/>
              </w:rPr>
              <w:t>elates to use of materials or substances in contact with the same human tissues or body fluids</w:t>
            </w:r>
            <w:r w:rsidR="000862C9" w:rsidRPr="00C437D5">
              <w:rPr>
                <w:rFonts w:ascii="Arial" w:hAnsi="Arial" w:cs="Arial"/>
                <w:sz w:val="20"/>
                <w:szCs w:val="20"/>
              </w:rPr>
              <w:t>]</w:t>
            </w:r>
            <w:r w:rsidRPr="00C437D5">
              <w:rPr>
                <w:rFonts w:ascii="Arial" w:hAnsi="Arial" w:cs="Arial"/>
                <w:sz w:val="20"/>
                <w:szCs w:val="20"/>
              </w:rPr>
              <w:t xml:space="preserve">. A subject device that is regarded as interchangeable with a comparator </w:t>
            </w:r>
            <w:r w:rsidRPr="00C437D5">
              <w:rPr>
                <w:rFonts w:ascii="Arial" w:hAnsi="Arial" w:cs="Arial"/>
                <w:sz w:val="20"/>
                <w:szCs w:val="20"/>
              </w:rPr>
              <w:lastRenderedPageBreak/>
              <w:t>would usually be expected to substitute for the comparator, or other devices within the same PL group.</w:t>
            </w:r>
          </w:p>
          <w:p w14:paraId="05881B66" w14:textId="10A75A31" w:rsidR="00E93CF8" w:rsidRPr="00C437D5" w:rsidRDefault="0026126A"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In general, interchangeability is intended to satisfy the following criteria:</w:t>
            </w:r>
            <w:r w:rsidRPr="00C437D5">
              <w:rPr>
                <w:rFonts w:ascii="Arial" w:hAnsi="Arial" w:cs="Arial"/>
                <w:sz w:val="20"/>
                <w:szCs w:val="20"/>
              </w:rPr>
              <w:br/>
              <w:t>•</w:t>
            </w:r>
            <w:r w:rsidRPr="00C437D5">
              <w:rPr>
                <w:rFonts w:ascii="Arial" w:hAnsi="Arial" w:cs="Arial"/>
                <w:sz w:val="20"/>
                <w:szCs w:val="20"/>
              </w:rPr>
              <w:tab/>
              <w:t>physically comparable (using the images with the respective catalogue numbers identifying all devices in the application compared with the comparator)</w:t>
            </w:r>
            <w:r w:rsidRPr="00C437D5">
              <w:rPr>
                <w:rFonts w:ascii="Arial" w:hAnsi="Arial" w:cs="Arial"/>
                <w:sz w:val="20"/>
                <w:szCs w:val="20"/>
              </w:rPr>
              <w:br/>
              <w:t>•</w:t>
            </w:r>
            <w:r w:rsidRPr="00C437D5">
              <w:rPr>
                <w:rFonts w:ascii="Arial" w:hAnsi="Arial" w:cs="Arial"/>
                <w:sz w:val="20"/>
                <w:szCs w:val="20"/>
              </w:rPr>
              <w:tab/>
              <w:t>same clinical characteristics – including patient population and indications for use</w:t>
            </w:r>
            <w:r w:rsidRPr="00C437D5">
              <w:rPr>
                <w:rFonts w:ascii="Arial" w:hAnsi="Arial" w:cs="Arial"/>
                <w:sz w:val="20"/>
                <w:szCs w:val="20"/>
              </w:rPr>
              <w:br/>
              <w:t>•</w:t>
            </w:r>
            <w:r w:rsidRPr="00C437D5">
              <w:rPr>
                <w:rFonts w:ascii="Arial" w:hAnsi="Arial" w:cs="Arial"/>
                <w:sz w:val="20"/>
                <w:szCs w:val="20"/>
              </w:rPr>
              <w:tab/>
              <w:t>similar technical and biological characteristics – same mechanism of action, similar materials and similar design</w:t>
            </w:r>
            <w:r w:rsidRPr="00C437D5">
              <w:rPr>
                <w:rFonts w:ascii="Arial" w:hAnsi="Arial" w:cs="Arial"/>
                <w:sz w:val="20"/>
                <w:szCs w:val="20"/>
              </w:rPr>
              <w:br/>
              <w:t>•</w:t>
            </w:r>
            <w:r w:rsidRPr="00C437D5">
              <w:rPr>
                <w:rFonts w:ascii="Arial" w:hAnsi="Arial" w:cs="Arial"/>
                <w:sz w:val="20"/>
                <w:szCs w:val="20"/>
              </w:rPr>
              <w:tab/>
              <w:t xml:space="preserve">any small design differences do not adversely affect the clinical safety and/or effectiveness of the device </w:t>
            </w:r>
            <w:r w:rsidRPr="00C437D5">
              <w:rPr>
                <w:rFonts w:ascii="Arial" w:hAnsi="Arial" w:cs="Arial"/>
                <w:sz w:val="20"/>
                <w:szCs w:val="20"/>
              </w:rPr>
              <w:br/>
              <w:t>•</w:t>
            </w:r>
            <w:r w:rsidRPr="00C437D5">
              <w:rPr>
                <w:rFonts w:ascii="Arial" w:hAnsi="Arial" w:cs="Arial"/>
                <w:sz w:val="20"/>
                <w:szCs w:val="20"/>
              </w:rPr>
              <w:tab/>
              <w:t>if listed, the subject device would share the market with the comparators and is not expected to result in a marked change in aggregate utilisation.</w:t>
            </w:r>
          </w:p>
        </w:tc>
      </w:tr>
      <w:tr w:rsidR="00E93CF8" w:rsidRPr="00C437D5" w14:paraId="0CDEC71F" w14:textId="77777777" w:rsidTr="00000953">
        <w:tc>
          <w:tcPr>
            <w:tcW w:w="2832" w:type="dxa"/>
            <w:shd w:val="clear" w:color="auto" w:fill="auto"/>
          </w:tcPr>
          <w:p w14:paraId="165FFC7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Knowledge</w:t>
            </w:r>
          </w:p>
        </w:tc>
        <w:tc>
          <w:tcPr>
            <w:tcW w:w="6382" w:type="dxa"/>
            <w:shd w:val="clear" w:color="auto" w:fill="auto"/>
          </w:tcPr>
          <w:p w14:paraId="7B65D664"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umbrella term covering evidence, data, opinion and lived experience.</w:t>
            </w:r>
          </w:p>
        </w:tc>
      </w:tr>
      <w:tr w:rsidR="00E93CF8" w:rsidRPr="00C437D5" w14:paraId="3BCE1C75" w14:textId="77777777" w:rsidTr="00000953">
        <w:tc>
          <w:tcPr>
            <w:tcW w:w="2832" w:type="dxa"/>
            <w:shd w:val="clear" w:color="auto" w:fill="auto"/>
          </w:tcPr>
          <w:p w14:paraId="7110F5E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Level of evidence</w:t>
            </w:r>
          </w:p>
        </w:tc>
        <w:tc>
          <w:tcPr>
            <w:tcW w:w="6382" w:type="dxa"/>
            <w:shd w:val="clear" w:color="auto" w:fill="auto"/>
          </w:tcPr>
          <w:p w14:paraId="32B74490"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ranking of study designs based primarily on their internal validity. This method is used to determine the weight that should be given to a study. Various hierarchies of evidence are used in HTA but in this Guide it has the meaning given by the NHMRC hierarchy.</w:t>
            </w:r>
          </w:p>
        </w:tc>
      </w:tr>
      <w:tr w:rsidR="00C90393" w:rsidRPr="00C437D5" w14:paraId="2791E4FC" w14:textId="77777777" w:rsidTr="00000953">
        <w:tc>
          <w:tcPr>
            <w:tcW w:w="2832" w:type="dxa"/>
            <w:shd w:val="clear" w:color="auto" w:fill="auto"/>
          </w:tcPr>
          <w:p w14:paraId="61AC736F" w14:textId="1FFAC742" w:rsidR="00C90393" w:rsidRPr="00C437D5" w:rsidRDefault="00C90393"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Manufacturer </w:t>
            </w:r>
          </w:p>
        </w:tc>
        <w:tc>
          <w:tcPr>
            <w:tcW w:w="6382" w:type="dxa"/>
            <w:shd w:val="clear" w:color="auto" w:fill="auto"/>
          </w:tcPr>
          <w:p w14:paraId="72BAE299" w14:textId="77777777" w:rsidR="00C90393" w:rsidRPr="00C437D5" w:rsidRDefault="00C90393" w:rsidP="00C437D5">
            <w:pPr>
              <w:pStyle w:val="051Tabletext228pt"/>
              <w:widowControl w:val="0"/>
              <w:spacing w:before="0" w:after="120"/>
              <w:rPr>
                <w:rFonts w:ascii="Arial" w:hAnsi="Arial" w:cs="Arial"/>
                <w:sz w:val="20"/>
                <w:szCs w:val="20"/>
              </w:rPr>
            </w:pPr>
            <w:r w:rsidRPr="00C437D5">
              <w:rPr>
                <w:rFonts w:ascii="Arial" w:hAnsi="Arial" w:cs="Arial"/>
                <w:sz w:val="20"/>
                <w:szCs w:val="20"/>
              </w:rPr>
              <w:t>Manufacturer of a medical device has the meaning given by section 41BG of the Therapeutic Goods Act 1989.</w:t>
            </w:r>
          </w:p>
          <w:p w14:paraId="2FD55E5D" w14:textId="06940D8F" w:rsidR="00C90393" w:rsidRPr="00C437D5" w:rsidDel="00C90393" w:rsidRDefault="00C90393"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Manufacturers are responsible for applying conformity assessment procedures to the devices they manufacture and ensure compliance with the essential principles (Part 4-3 and Part 4-2 of the Therapeutic Goods Act 1989)</w:t>
            </w:r>
          </w:p>
        </w:tc>
      </w:tr>
      <w:tr w:rsidR="00E93CF8" w:rsidRPr="00C437D5" w14:paraId="283378BA" w14:textId="77777777" w:rsidTr="00000953">
        <w:tc>
          <w:tcPr>
            <w:tcW w:w="2832" w:type="dxa"/>
            <w:shd w:val="clear" w:color="auto" w:fill="auto"/>
          </w:tcPr>
          <w:p w14:paraId="7228D505"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Medical device</w:t>
            </w:r>
          </w:p>
        </w:tc>
        <w:tc>
          <w:tcPr>
            <w:tcW w:w="6382" w:type="dxa"/>
            <w:shd w:val="clear" w:color="auto" w:fill="auto"/>
          </w:tcPr>
          <w:p w14:paraId="23810898" w14:textId="6DCBA1A0"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has the meaning given by section 72-11 of the Private Health Insurance Act 2007</w:t>
            </w:r>
          </w:p>
        </w:tc>
      </w:tr>
      <w:tr w:rsidR="00E93CF8" w:rsidRPr="00C437D5" w14:paraId="3EA354B1" w14:textId="77777777" w:rsidTr="00000953">
        <w:tc>
          <w:tcPr>
            <w:tcW w:w="2832" w:type="dxa"/>
            <w:shd w:val="clear" w:color="auto" w:fill="auto"/>
          </w:tcPr>
          <w:p w14:paraId="59AB3250" w14:textId="5F5C24E2"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Medical device classification</w:t>
            </w:r>
          </w:p>
        </w:tc>
        <w:tc>
          <w:tcPr>
            <w:tcW w:w="6382" w:type="dxa"/>
            <w:shd w:val="clear" w:color="auto" w:fill="auto"/>
          </w:tcPr>
          <w:p w14:paraId="17B6107D"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has the meaning given by section 41DB of the </w:t>
            </w:r>
            <w:r w:rsidRPr="00C437D5">
              <w:rPr>
                <w:rFonts w:ascii="Arial" w:hAnsi="Arial" w:cs="Arial"/>
                <w:i/>
                <w:iCs/>
                <w:sz w:val="20"/>
                <w:szCs w:val="20"/>
              </w:rPr>
              <w:t xml:space="preserve">Therapeutic Goods Act 1989 </w:t>
            </w:r>
            <w:r w:rsidRPr="00C437D5">
              <w:rPr>
                <w:rFonts w:ascii="Arial" w:hAnsi="Arial" w:cs="Arial"/>
                <w:sz w:val="20"/>
                <w:szCs w:val="20"/>
              </w:rPr>
              <w:t>and Division 3.1 of the Therapeutic Goods (Medical Devices) Regulations 2002</w:t>
            </w:r>
          </w:p>
        </w:tc>
      </w:tr>
      <w:tr w:rsidR="00E93CF8" w:rsidRPr="00C437D5" w14:paraId="5156F90A" w14:textId="77777777" w:rsidTr="00000953">
        <w:tc>
          <w:tcPr>
            <w:tcW w:w="2832" w:type="dxa"/>
            <w:shd w:val="clear" w:color="auto" w:fill="auto"/>
          </w:tcPr>
          <w:p w14:paraId="1AF4D681" w14:textId="77777777" w:rsidR="00E93CF8" w:rsidRPr="00C437D5" w:rsidDel="003638A7"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Medical Device and Human Tissue Committee (MDHTAC)</w:t>
            </w:r>
          </w:p>
        </w:tc>
        <w:tc>
          <w:tcPr>
            <w:tcW w:w="6382" w:type="dxa"/>
            <w:shd w:val="clear" w:color="auto" w:fill="auto"/>
          </w:tcPr>
          <w:p w14:paraId="3DD5E24A" w14:textId="77777777" w:rsidR="00E93CF8" w:rsidRPr="00C437D5" w:rsidRDefault="00E93CF8" w:rsidP="00C437D5">
            <w:pPr>
              <w:pStyle w:val="051Tabletext228pt"/>
              <w:widowControl w:val="0"/>
              <w:spacing w:before="0" w:after="120"/>
              <w:ind w:left="40"/>
              <w:rPr>
                <w:rFonts w:ascii="Arial" w:hAnsi="Arial" w:cs="Arial"/>
                <w:sz w:val="20"/>
                <w:szCs w:val="20"/>
              </w:rPr>
            </w:pPr>
            <w:r w:rsidRPr="00C437D5">
              <w:rPr>
                <w:rFonts w:ascii="Arial" w:hAnsi="Arial" w:cs="Arial"/>
                <w:sz w:val="20"/>
                <w:szCs w:val="20"/>
              </w:rPr>
              <w:t>An independent HTA advisory committee of the Australian Government that primarily makes recommendations to the responsible Minister on appropriateness of listing of , medical devices and human tissue items (where applicable) on the PL and the respective benefits. The MDHTAC’s recommendations and advice are to be based on assessment of comparative clinical effectiveness and cost-effectiveness of medical devices and human tissue products (where applicable) using the best available evidence. This process ensures that privately insured Australians have access to a range of medical devices that have been shown to be clinically effective and represent value for money.</w:t>
            </w:r>
          </w:p>
        </w:tc>
      </w:tr>
      <w:tr w:rsidR="00E93CF8" w:rsidRPr="00C437D5" w14:paraId="6562095C" w14:textId="77777777" w:rsidTr="00000953">
        <w:tc>
          <w:tcPr>
            <w:tcW w:w="2832" w:type="dxa"/>
            <w:shd w:val="clear" w:color="auto" w:fill="auto"/>
          </w:tcPr>
          <w:p w14:paraId="109CCB6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Medical service</w:t>
            </w:r>
          </w:p>
        </w:tc>
        <w:tc>
          <w:tcPr>
            <w:tcW w:w="6382" w:type="dxa"/>
            <w:shd w:val="clear" w:color="auto" w:fill="auto"/>
          </w:tcPr>
          <w:p w14:paraId="6A33EEEE"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Medical services include therapeutic, investigative and consultative procedures. When a surgically implantable device is provided to a patient, it is linked to a medical service. The evidence supporting the safety, effectiveness and cost effectiveness of the medical service is assessed by the Medical Services Advisory Committee; the evidence supporting the clinical effectiveness and cost effectiveness of the device is assessed by the MDHTAC. Medical services that are subsidised by the government are listed on the MBS.</w:t>
            </w:r>
          </w:p>
        </w:tc>
      </w:tr>
      <w:tr w:rsidR="00E93CF8" w:rsidRPr="00C437D5" w14:paraId="5D054002" w14:textId="77777777" w:rsidTr="00000953">
        <w:tc>
          <w:tcPr>
            <w:tcW w:w="2832" w:type="dxa"/>
            <w:shd w:val="clear" w:color="auto" w:fill="auto"/>
          </w:tcPr>
          <w:p w14:paraId="7D0DF3A6"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Medical Services Advisory </w:t>
            </w:r>
            <w:r w:rsidRPr="00C437D5">
              <w:rPr>
                <w:rFonts w:ascii="Arial" w:hAnsi="Arial" w:cs="Arial"/>
                <w:b/>
                <w:bCs/>
                <w:sz w:val="20"/>
                <w:szCs w:val="20"/>
              </w:rPr>
              <w:lastRenderedPageBreak/>
              <w:t>Committee (MSAC)</w:t>
            </w:r>
          </w:p>
        </w:tc>
        <w:tc>
          <w:tcPr>
            <w:tcW w:w="6382" w:type="dxa"/>
            <w:shd w:val="clear" w:color="auto" w:fill="auto"/>
          </w:tcPr>
          <w:p w14:paraId="1B49105B"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lastRenderedPageBreak/>
              <w:t xml:space="preserve">An independent non-statutory expert committee established by the Australian Government Minister for Health in 1998. MSAC provides </w:t>
            </w:r>
            <w:r w:rsidRPr="00C437D5">
              <w:rPr>
                <w:rFonts w:ascii="Arial" w:hAnsi="Arial" w:cs="Arial"/>
                <w:sz w:val="20"/>
                <w:szCs w:val="20"/>
              </w:rPr>
              <w:lastRenderedPageBreak/>
              <w:t>advice to Government on whether a new medical service should be publicly funded (and if so, its circumstances) on an assessment of its comparative safety, clinical effectiveness, cost-effectiveness, and total cost, using the best available evidence. Amendments and reviews of existing services funded on the MBS or other programs (for example, blood products or screening programmes) are also considered by MSAC. MSAC currently has two sub-committees: the PICO Advisory Sub-committee (PASC) and the Evaluation Sub-committee (ESC).</w:t>
            </w:r>
          </w:p>
        </w:tc>
      </w:tr>
      <w:tr w:rsidR="00E93CF8" w:rsidRPr="00C437D5" w14:paraId="3DA78938" w14:textId="77777777" w:rsidTr="00000953">
        <w:tc>
          <w:tcPr>
            <w:tcW w:w="2832" w:type="dxa"/>
            <w:shd w:val="clear" w:color="auto" w:fill="auto"/>
          </w:tcPr>
          <w:p w14:paraId="2D757B79"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Medicare benefit</w:t>
            </w:r>
          </w:p>
        </w:tc>
        <w:tc>
          <w:tcPr>
            <w:tcW w:w="6382" w:type="dxa"/>
            <w:shd w:val="clear" w:color="auto" w:fill="auto"/>
          </w:tcPr>
          <w:p w14:paraId="0F0E9645" w14:textId="1B57A63D" w:rsidR="00E93CF8" w:rsidRPr="00C437D5" w:rsidRDefault="001D1FF4"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payment of a rebate for a professional service listed in the MBS. Medicare benefits are claimable only for clinically relevant services rendered by an appropriate health practitioner. When a service is not clinically relevant, the fee and payment arrangements are a private matter between the practitioner and the patient.</w:t>
            </w:r>
          </w:p>
        </w:tc>
      </w:tr>
      <w:tr w:rsidR="00E93CF8" w:rsidRPr="00C437D5" w14:paraId="195F5024" w14:textId="77777777" w:rsidTr="00000953">
        <w:tc>
          <w:tcPr>
            <w:tcW w:w="2832" w:type="dxa"/>
            <w:shd w:val="clear" w:color="auto" w:fill="auto"/>
          </w:tcPr>
          <w:p w14:paraId="5F47ED01"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Medicare Benefits Schedule (MBS)</w:t>
            </w:r>
          </w:p>
        </w:tc>
        <w:tc>
          <w:tcPr>
            <w:tcW w:w="6382" w:type="dxa"/>
            <w:shd w:val="clear" w:color="auto" w:fill="auto"/>
          </w:tcPr>
          <w:p w14:paraId="655C1A06"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Under the authority of the Health Insurance Act 1973, a listing and description of the professional services for which a Medicare benefit is payable by the Australian Government, the amount of a patient’s cost that is met through a government rebate, and any conditions applying to the use of that service.</w:t>
            </w:r>
          </w:p>
        </w:tc>
      </w:tr>
      <w:tr w:rsidR="00E93CF8" w:rsidRPr="00C437D5" w14:paraId="413E0907" w14:textId="77777777" w:rsidTr="00000953">
        <w:tc>
          <w:tcPr>
            <w:tcW w:w="2832" w:type="dxa"/>
            <w:shd w:val="clear" w:color="auto" w:fill="auto"/>
          </w:tcPr>
          <w:p w14:paraId="47E139FD" w14:textId="57368768" w:rsidR="00E93CF8" w:rsidRPr="00C437D5" w:rsidRDefault="00CD1CFA"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Minister/Responsible Minister</w:t>
            </w:r>
          </w:p>
        </w:tc>
        <w:tc>
          <w:tcPr>
            <w:tcW w:w="6382" w:type="dxa"/>
            <w:shd w:val="clear" w:color="auto" w:fill="auto"/>
          </w:tcPr>
          <w:p w14:paraId="267A69EA"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The Minister responsible for administering the </w:t>
            </w:r>
            <w:r w:rsidRPr="00C437D5">
              <w:rPr>
                <w:rFonts w:ascii="Arial" w:hAnsi="Arial" w:cs="Arial"/>
                <w:i/>
                <w:iCs/>
                <w:sz w:val="20"/>
                <w:szCs w:val="20"/>
              </w:rPr>
              <w:t>Private Health Insurance Act 2007</w:t>
            </w:r>
            <w:r w:rsidRPr="00C437D5">
              <w:rPr>
                <w:rFonts w:ascii="Arial" w:hAnsi="Arial" w:cs="Arial"/>
                <w:sz w:val="20"/>
                <w:szCs w:val="20"/>
              </w:rPr>
              <w:t>, currently the Minister for Health and Aged Care.</w:t>
            </w:r>
          </w:p>
        </w:tc>
      </w:tr>
      <w:tr w:rsidR="00E93CF8" w:rsidRPr="00C437D5" w14:paraId="287F9063" w14:textId="77777777" w:rsidTr="00000953">
        <w:tc>
          <w:tcPr>
            <w:tcW w:w="2832" w:type="dxa"/>
            <w:shd w:val="clear" w:color="auto" w:fill="auto"/>
          </w:tcPr>
          <w:p w14:paraId="03ED354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Novel device</w:t>
            </w:r>
          </w:p>
        </w:tc>
        <w:tc>
          <w:tcPr>
            <w:tcW w:w="6382" w:type="dxa"/>
            <w:shd w:val="clear" w:color="auto" w:fill="auto"/>
          </w:tcPr>
          <w:p w14:paraId="3E218F34" w14:textId="61F5887B"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 new type of device. </w:t>
            </w:r>
            <w:r w:rsidRPr="00C437D5">
              <w:rPr>
                <w:rFonts w:ascii="Arial" w:hAnsi="Arial" w:cs="Arial"/>
                <w:i/>
                <w:iCs/>
                <w:sz w:val="20"/>
                <w:szCs w:val="20"/>
              </w:rPr>
              <w:t>‘Novelty typically means that there is a lack of experience in regard to the safety and performance of the device or specific features of the device or related clinical procedure, and there are no similar devices or insufficient experience with similar devices to enable straightforward appraisal of its future real-world safety and performance’</w:t>
            </w:r>
            <w:r w:rsidRPr="00C437D5">
              <w:rPr>
                <w:rFonts w:ascii="Arial" w:hAnsi="Arial" w:cs="Arial"/>
                <w:sz w:val="20"/>
                <w:szCs w:val="20"/>
              </w:rPr>
              <w:t xml:space="preserve"> (European Union Medical Device Regulation).</w:t>
            </w:r>
          </w:p>
        </w:tc>
      </w:tr>
      <w:tr w:rsidR="00E93CF8" w:rsidRPr="00C437D5" w14:paraId="6FBA1C18" w14:textId="77777777" w:rsidTr="00000953">
        <w:tc>
          <w:tcPr>
            <w:tcW w:w="2832" w:type="dxa"/>
            <w:shd w:val="clear" w:color="auto" w:fill="auto"/>
          </w:tcPr>
          <w:p w14:paraId="2752C2C4"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Outcome</w:t>
            </w:r>
          </w:p>
        </w:tc>
        <w:tc>
          <w:tcPr>
            <w:tcW w:w="6382" w:type="dxa"/>
            <w:shd w:val="clear" w:color="auto" w:fill="auto"/>
          </w:tcPr>
          <w:p w14:paraId="2D068F74"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effect produced by, or as a result of, clinical management or other factor(s), which may include a subsequent change in the provision of resources following the start of clinical management.</w:t>
            </w:r>
          </w:p>
        </w:tc>
      </w:tr>
      <w:tr w:rsidR="00E93CF8" w:rsidRPr="00C437D5" w14:paraId="66BF65EE" w14:textId="77777777" w:rsidTr="00000953">
        <w:tc>
          <w:tcPr>
            <w:tcW w:w="2832" w:type="dxa"/>
            <w:shd w:val="clear" w:color="auto" w:fill="auto"/>
          </w:tcPr>
          <w:p w14:paraId="0D765A4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Pharmaceutical Benefits Advisory Committee (PBAC)</w:t>
            </w:r>
          </w:p>
        </w:tc>
        <w:tc>
          <w:tcPr>
            <w:tcW w:w="6382" w:type="dxa"/>
            <w:shd w:val="clear" w:color="auto" w:fill="auto"/>
          </w:tcPr>
          <w:p w14:paraId="10715465"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An independent expert advisory committee of the Australian Government that primarily makes recommendations to the health minister on the listing of medicines on the PBS. When recommending a medicine for listing, the PBAC takes into account the medical conditions for which the medicine was registered for use in Australia, its clinical effectiveness, safety and cost-effectiveness (‘value for money’) compared with other treatments.</w:t>
            </w:r>
          </w:p>
        </w:tc>
      </w:tr>
      <w:tr w:rsidR="00E93CF8" w:rsidRPr="00C437D5" w14:paraId="37451637" w14:textId="77777777" w:rsidTr="00000953">
        <w:tc>
          <w:tcPr>
            <w:tcW w:w="2832" w:type="dxa"/>
            <w:shd w:val="clear" w:color="auto" w:fill="auto"/>
          </w:tcPr>
          <w:p w14:paraId="5B69E6E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Prescribed List</w:t>
            </w:r>
          </w:p>
        </w:tc>
        <w:tc>
          <w:tcPr>
            <w:tcW w:w="6382" w:type="dxa"/>
            <w:shd w:val="clear" w:color="auto" w:fill="auto"/>
          </w:tcPr>
          <w:p w14:paraId="08CCE3A0" w14:textId="35797F15"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Under the authority of the Private Health Insurance Act 2007, a list of medical device</w:t>
            </w:r>
            <w:r w:rsidR="00536C07">
              <w:rPr>
                <w:rFonts w:ascii="Arial" w:hAnsi="Arial" w:cs="Arial"/>
                <w:sz w:val="20"/>
                <w:szCs w:val="20"/>
              </w:rPr>
              <w:t>s and human tissue products,</w:t>
            </w:r>
            <w:r w:rsidRPr="00C437D5">
              <w:rPr>
                <w:rFonts w:ascii="Arial" w:hAnsi="Arial" w:cs="Arial"/>
                <w:sz w:val="20"/>
                <w:szCs w:val="20"/>
              </w:rPr>
              <w:t xml:space="preserve"> </w:t>
            </w:r>
            <w:r w:rsidR="00536C07">
              <w:rPr>
                <w:rFonts w:ascii="Arial" w:hAnsi="Arial" w:cs="Arial"/>
                <w:sz w:val="20"/>
                <w:szCs w:val="20"/>
              </w:rPr>
              <w:t>for which</w:t>
            </w:r>
            <w:r w:rsidR="00536C07" w:rsidRPr="00C437D5">
              <w:rPr>
                <w:rFonts w:ascii="Arial" w:hAnsi="Arial" w:cs="Arial"/>
                <w:sz w:val="20"/>
                <w:szCs w:val="20"/>
              </w:rPr>
              <w:t xml:space="preserve"> </w:t>
            </w:r>
            <w:r w:rsidRPr="00C437D5">
              <w:rPr>
                <w:rFonts w:ascii="Arial" w:hAnsi="Arial" w:cs="Arial"/>
                <w:sz w:val="20"/>
                <w:szCs w:val="20"/>
              </w:rPr>
              <w:t xml:space="preserve">private health insurers must </w:t>
            </w:r>
            <w:r w:rsidR="00536C07">
              <w:rPr>
                <w:rFonts w:ascii="Arial" w:hAnsi="Arial" w:cs="Arial"/>
                <w:sz w:val="20"/>
                <w:szCs w:val="20"/>
              </w:rPr>
              <w:t>pay</w:t>
            </w:r>
            <w:r w:rsidRPr="00C437D5">
              <w:rPr>
                <w:rFonts w:ascii="Arial" w:hAnsi="Arial" w:cs="Arial"/>
                <w:sz w:val="20"/>
                <w:szCs w:val="20"/>
              </w:rPr>
              <w:t xml:space="preserve"> the benefits</w:t>
            </w:r>
            <w:r w:rsidR="00536C07">
              <w:rPr>
                <w:rFonts w:ascii="Arial" w:hAnsi="Arial" w:cs="Arial"/>
                <w:sz w:val="20"/>
                <w:szCs w:val="20"/>
              </w:rPr>
              <w:t xml:space="preserve"> to the patients with the appropriate insurance policy</w:t>
            </w:r>
            <w:r w:rsidRPr="00C437D5">
              <w:rPr>
                <w:rFonts w:ascii="Arial" w:hAnsi="Arial" w:cs="Arial"/>
                <w:sz w:val="20"/>
                <w:szCs w:val="20"/>
              </w:rPr>
              <w:t>.</w:t>
            </w:r>
          </w:p>
        </w:tc>
      </w:tr>
      <w:tr w:rsidR="00E93CF8" w:rsidRPr="00C437D5" w14:paraId="58D11BC0" w14:textId="77777777" w:rsidTr="00000953">
        <w:tc>
          <w:tcPr>
            <w:tcW w:w="2832" w:type="dxa"/>
            <w:shd w:val="clear" w:color="auto" w:fill="auto"/>
          </w:tcPr>
          <w:p w14:paraId="7072127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Public pricing</w:t>
            </w:r>
          </w:p>
        </w:tc>
        <w:tc>
          <w:tcPr>
            <w:tcW w:w="6382" w:type="dxa"/>
            <w:shd w:val="clear" w:color="auto" w:fill="auto"/>
          </w:tcPr>
          <w:p w14:paraId="633A90C7" w14:textId="110D2086"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price public hospitals pay for the medical device</w:t>
            </w:r>
            <w:r w:rsidR="00536C07">
              <w:rPr>
                <w:rFonts w:ascii="Arial" w:hAnsi="Arial" w:cs="Arial"/>
                <w:sz w:val="20"/>
                <w:szCs w:val="20"/>
              </w:rPr>
              <w:t xml:space="preserve">s </w:t>
            </w:r>
            <w:r w:rsidRPr="00C437D5">
              <w:rPr>
                <w:rFonts w:ascii="Arial" w:hAnsi="Arial" w:cs="Arial"/>
                <w:sz w:val="20"/>
                <w:szCs w:val="20"/>
              </w:rPr>
              <w:t>or are predicted to pay for the medical device</w:t>
            </w:r>
            <w:r w:rsidR="00536C07">
              <w:rPr>
                <w:rFonts w:ascii="Arial" w:hAnsi="Arial" w:cs="Arial"/>
                <w:sz w:val="20"/>
                <w:szCs w:val="20"/>
              </w:rPr>
              <w:t>s</w:t>
            </w:r>
            <w:r w:rsidRPr="00C437D5">
              <w:rPr>
                <w:rFonts w:ascii="Arial" w:hAnsi="Arial" w:cs="Arial"/>
                <w:sz w:val="20"/>
                <w:szCs w:val="20"/>
              </w:rPr>
              <w:t>.</w:t>
            </w:r>
          </w:p>
        </w:tc>
      </w:tr>
      <w:tr w:rsidR="00E93CF8" w:rsidRPr="00C437D5" w14:paraId="7B82DCAD" w14:textId="77777777" w:rsidTr="00000953">
        <w:tc>
          <w:tcPr>
            <w:tcW w:w="2832" w:type="dxa"/>
            <w:shd w:val="clear" w:color="auto" w:fill="auto"/>
          </w:tcPr>
          <w:p w14:paraId="6AC6DA5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Quality of life (QoL)</w:t>
            </w:r>
          </w:p>
        </w:tc>
        <w:tc>
          <w:tcPr>
            <w:tcW w:w="6382" w:type="dxa"/>
            <w:shd w:val="clear" w:color="auto" w:fill="auto"/>
          </w:tcPr>
          <w:p w14:paraId="69B262BD"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extent to which an individual perceives themselves to be able to function physically, mentally and socially.</w:t>
            </w:r>
          </w:p>
        </w:tc>
      </w:tr>
      <w:tr w:rsidR="00E93CF8" w:rsidRPr="00C437D5" w14:paraId="572D1AFC" w14:textId="77777777" w:rsidTr="00000953">
        <w:tc>
          <w:tcPr>
            <w:tcW w:w="2832" w:type="dxa"/>
            <w:shd w:val="clear" w:color="auto" w:fill="auto"/>
          </w:tcPr>
          <w:p w14:paraId="2A7BB65A"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Randomised controlled trial (RCT)</w:t>
            </w:r>
          </w:p>
        </w:tc>
        <w:tc>
          <w:tcPr>
            <w:tcW w:w="6382" w:type="dxa"/>
            <w:shd w:val="clear" w:color="auto" w:fill="auto"/>
          </w:tcPr>
          <w:p w14:paraId="670F75F5" w14:textId="05148CD0" w:rsidR="00E93CF8" w:rsidRPr="00C437D5" w:rsidRDefault="00572FCD"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trial in which participants are randomly allocated to receive one of several clinical interventions. One of these interventions is the standard of comparison or control. The control may be a standard practice (‘standard or care’), a placebo, or no intervention at all.</w:t>
            </w:r>
          </w:p>
        </w:tc>
      </w:tr>
      <w:tr w:rsidR="00E93CF8" w:rsidRPr="00C437D5" w14:paraId="5520CD80" w14:textId="77777777" w:rsidTr="00000953">
        <w:tc>
          <w:tcPr>
            <w:tcW w:w="2832" w:type="dxa"/>
            <w:shd w:val="clear" w:color="auto" w:fill="auto"/>
          </w:tcPr>
          <w:p w14:paraId="39406BFC"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Registry</w:t>
            </w:r>
          </w:p>
        </w:tc>
        <w:tc>
          <w:tcPr>
            <w:tcW w:w="6382" w:type="dxa"/>
            <w:shd w:val="clear" w:color="auto" w:fill="auto"/>
          </w:tcPr>
          <w:p w14:paraId="777B6D66"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Registries within Australia and other jurisdictions that collect health-related information, including the safety and performance data for specified devices, that can be used to inform assessments and of safety and performance and comparative clinical effectiveness of a </w:t>
            </w:r>
            <w:r w:rsidRPr="00C437D5">
              <w:rPr>
                <w:rFonts w:ascii="Arial" w:hAnsi="Arial" w:cs="Arial"/>
                <w:sz w:val="20"/>
                <w:szCs w:val="20"/>
              </w:rPr>
              <w:lastRenderedPageBreak/>
              <w:t>device or procedure.</w:t>
            </w:r>
          </w:p>
        </w:tc>
      </w:tr>
      <w:tr w:rsidR="00E93CF8" w:rsidRPr="00C437D5" w14:paraId="0FF54282" w14:textId="77777777" w:rsidTr="00000953">
        <w:tc>
          <w:tcPr>
            <w:tcW w:w="2832" w:type="dxa"/>
            <w:shd w:val="clear" w:color="auto" w:fill="auto"/>
          </w:tcPr>
          <w:p w14:paraId="6678939F"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Resource</w:t>
            </w:r>
          </w:p>
        </w:tc>
        <w:tc>
          <w:tcPr>
            <w:tcW w:w="6382" w:type="dxa"/>
            <w:shd w:val="clear" w:color="auto" w:fill="auto"/>
          </w:tcPr>
          <w:p w14:paraId="3AC418B9"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factor of production, an input or a produced good.</w:t>
            </w:r>
          </w:p>
        </w:tc>
      </w:tr>
      <w:tr w:rsidR="00E93CF8" w:rsidRPr="00C437D5" w14:paraId="10D4C2EA" w14:textId="77777777" w:rsidTr="00000953">
        <w:tc>
          <w:tcPr>
            <w:tcW w:w="2832" w:type="dxa"/>
            <w:shd w:val="clear" w:color="auto" w:fill="auto"/>
          </w:tcPr>
          <w:p w14:paraId="518B50A3"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Search strategy</w:t>
            </w:r>
          </w:p>
        </w:tc>
        <w:tc>
          <w:tcPr>
            <w:tcW w:w="6382" w:type="dxa"/>
            <w:shd w:val="clear" w:color="auto" w:fill="auto"/>
          </w:tcPr>
          <w:p w14:paraId="68A158B3"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One or more series of commands defined by a researcher that directs the identification of relevant citations in one or more citation databases using combinations of indexing terms. An effective search strategy retrieves as many relevant citations as possible without retrieving an unmanageably large number of irrelevant citations. Choosing appropriate databases to search is also a critical element.</w:t>
            </w:r>
          </w:p>
        </w:tc>
      </w:tr>
      <w:tr w:rsidR="00DF244C" w:rsidRPr="00C437D5" w14:paraId="74427C61" w14:textId="77777777" w:rsidTr="00000953">
        <w:tc>
          <w:tcPr>
            <w:tcW w:w="2832" w:type="dxa"/>
            <w:shd w:val="clear" w:color="auto" w:fill="auto"/>
          </w:tcPr>
          <w:p w14:paraId="6376A9D6" w14:textId="5CFF3685" w:rsidR="00DF244C" w:rsidRPr="00C437D5" w:rsidRDefault="00DF244C"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Single-use device</w:t>
            </w:r>
          </w:p>
        </w:tc>
        <w:tc>
          <w:tcPr>
            <w:tcW w:w="6382" w:type="dxa"/>
            <w:shd w:val="clear" w:color="auto" w:fill="auto"/>
          </w:tcPr>
          <w:p w14:paraId="5A5E71D9" w14:textId="3D52FE52" w:rsidR="00DF244C" w:rsidRPr="00C437D5" w:rsidRDefault="00DF244C"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Means a device that is intended to be used on one individual during a single procedure</w:t>
            </w:r>
          </w:p>
        </w:tc>
      </w:tr>
      <w:tr w:rsidR="00E93CF8" w:rsidRPr="00C437D5" w14:paraId="71627FDC" w14:textId="77777777" w:rsidTr="00000953">
        <w:tc>
          <w:tcPr>
            <w:tcW w:w="2832" w:type="dxa"/>
            <w:shd w:val="clear" w:color="auto" w:fill="auto"/>
          </w:tcPr>
          <w:p w14:paraId="28F594E9"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Sponsor</w:t>
            </w:r>
          </w:p>
        </w:tc>
        <w:tc>
          <w:tcPr>
            <w:tcW w:w="6382" w:type="dxa"/>
            <w:shd w:val="clear" w:color="auto" w:fill="auto"/>
          </w:tcPr>
          <w:p w14:paraId="705E6C02" w14:textId="543CF590" w:rsidR="00E93CF8" w:rsidRPr="00C437D5" w:rsidRDefault="00E93CF8" w:rsidP="00C437D5">
            <w:pPr>
              <w:pStyle w:val="071Tablebullet8pt"/>
              <w:widowControl w:val="0"/>
              <w:numPr>
                <w:ilvl w:val="0"/>
                <w:numId w:val="0"/>
              </w:numPr>
              <w:spacing w:before="0" w:after="120" w:line="240" w:lineRule="auto"/>
              <w:ind w:left="37"/>
              <w:rPr>
                <w:rFonts w:cs="Arial"/>
                <w:szCs w:val="20"/>
              </w:rPr>
            </w:pPr>
            <w:r w:rsidRPr="00C437D5">
              <w:rPr>
                <w:rFonts w:cs="Arial"/>
                <w:szCs w:val="20"/>
              </w:rPr>
              <w:t xml:space="preserve">For the purposes of the </w:t>
            </w:r>
            <w:r w:rsidR="00C90393" w:rsidRPr="00C437D5">
              <w:rPr>
                <w:rFonts w:cs="Arial"/>
                <w:szCs w:val="20"/>
              </w:rPr>
              <w:t>Prescribed List</w:t>
            </w:r>
            <w:r w:rsidRPr="00C437D5">
              <w:rPr>
                <w:rFonts w:cs="Arial"/>
                <w:szCs w:val="20"/>
              </w:rPr>
              <w:t xml:space="preserve">, </w:t>
            </w:r>
            <w:r w:rsidR="00C90393" w:rsidRPr="00C437D5">
              <w:rPr>
                <w:rFonts w:cs="Arial"/>
                <w:szCs w:val="20"/>
              </w:rPr>
              <w:t>the sponsor is the same person as described in the Therapeutic Goods Act 1989 and stated on the ARTG entry.</w:t>
            </w:r>
            <w:r w:rsidR="00C90393" w:rsidRPr="00C437D5">
              <w:rPr>
                <w:rFonts w:cs="Arial"/>
                <w:szCs w:val="20"/>
              </w:rPr>
              <w:br/>
              <w:t>The sponsor is responsible for including the medical device or biological (human tissue product) in the ARTG, and maintaining the validity of their ARTG entry stated on their Prescribed List billing code</w:t>
            </w:r>
            <w:r w:rsidRPr="00C437D5">
              <w:rPr>
                <w:rFonts w:cs="Arial"/>
                <w:szCs w:val="20"/>
              </w:rPr>
              <w:t>.</w:t>
            </w:r>
          </w:p>
        </w:tc>
      </w:tr>
      <w:tr w:rsidR="00E93CF8" w:rsidRPr="00C437D5" w14:paraId="24FD1EE2" w14:textId="77777777" w:rsidTr="00000953">
        <w:tc>
          <w:tcPr>
            <w:tcW w:w="2832" w:type="dxa"/>
            <w:shd w:val="clear" w:color="auto" w:fill="auto"/>
          </w:tcPr>
          <w:p w14:paraId="25F377A7"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Study, observational</w:t>
            </w:r>
          </w:p>
        </w:tc>
        <w:tc>
          <w:tcPr>
            <w:tcW w:w="6382" w:type="dxa"/>
            <w:shd w:val="clear" w:color="auto" w:fill="auto"/>
          </w:tcPr>
          <w:p w14:paraId="6688B10D" w14:textId="70459E5C"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nonrandomised study that observes the characteristics and outcomes over time of participants who do and do not use a particular health technology. An umbrella term covering cohort and case-control studies.</w:t>
            </w:r>
          </w:p>
        </w:tc>
      </w:tr>
      <w:tr w:rsidR="00E93CF8" w:rsidRPr="00C437D5" w14:paraId="60F087D8" w14:textId="77777777" w:rsidTr="00000953">
        <w:tc>
          <w:tcPr>
            <w:tcW w:w="2832" w:type="dxa"/>
            <w:shd w:val="clear" w:color="auto" w:fill="auto"/>
          </w:tcPr>
          <w:p w14:paraId="4E614DE8" w14:textId="12982B68"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 xml:space="preserve">Subject </w:t>
            </w:r>
            <w:r w:rsidR="00507F6B" w:rsidRPr="00C437D5">
              <w:rPr>
                <w:rFonts w:ascii="Arial" w:hAnsi="Arial" w:cs="Arial"/>
                <w:b/>
                <w:bCs/>
                <w:sz w:val="20"/>
                <w:szCs w:val="20"/>
              </w:rPr>
              <w:t xml:space="preserve">device or human tissue </w:t>
            </w:r>
            <w:r w:rsidRPr="00C437D5">
              <w:rPr>
                <w:rFonts w:ascii="Arial" w:hAnsi="Arial" w:cs="Arial"/>
                <w:b/>
                <w:bCs/>
                <w:sz w:val="20"/>
                <w:szCs w:val="20"/>
              </w:rPr>
              <w:t>product</w:t>
            </w:r>
          </w:p>
        </w:tc>
        <w:tc>
          <w:tcPr>
            <w:tcW w:w="6382" w:type="dxa"/>
            <w:shd w:val="clear" w:color="auto" w:fill="auto"/>
          </w:tcPr>
          <w:p w14:paraId="05F69CF8" w14:textId="1539480B"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The </w:t>
            </w:r>
            <w:r w:rsidR="00507F6B" w:rsidRPr="00C437D5">
              <w:rPr>
                <w:rFonts w:ascii="Arial" w:hAnsi="Arial" w:cs="Arial"/>
                <w:sz w:val="20"/>
                <w:szCs w:val="20"/>
              </w:rPr>
              <w:t xml:space="preserve">medical </w:t>
            </w:r>
            <w:r w:rsidRPr="00C437D5">
              <w:rPr>
                <w:rFonts w:ascii="Arial" w:hAnsi="Arial" w:cs="Arial"/>
                <w:sz w:val="20"/>
                <w:szCs w:val="20"/>
              </w:rPr>
              <w:t>device or human tissue product which is the subject of an application (new, or amendment, or compression, or expansion as applicable).</w:t>
            </w:r>
          </w:p>
        </w:tc>
      </w:tr>
      <w:tr w:rsidR="00E93CF8" w:rsidRPr="00C437D5" w14:paraId="5513D3F3" w14:textId="77777777" w:rsidTr="00000953">
        <w:tc>
          <w:tcPr>
            <w:tcW w:w="2832" w:type="dxa"/>
            <w:shd w:val="clear" w:color="auto" w:fill="auto"/>
          </w:tcPr>
          <w:p w14:paraId="06985AB0"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Substantial similarity</w:t>
            </w:r>
          </w:p>
        </w:tc>
        <w:tc>
          <w:tcPr>
            <w:tcW w:w="6382" w:type="dxa"/>
            <w:shd w:val="clear" w:color="auto" w:fill="auto"/>
          </w:tcPr>
          <w:p w14:paraId="1DDBD706"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Devices are considered substantially similar if, they: </w:t>
            </w:r>
          </w:p>
          <w:p w14:paraId="15D4C6CA" w14:textId="77777777" w:rsidR="00E93CF8" w:rsidRPr="00C437D5" w:rsidRDefault="00E93CF8" w:rsidP="00C437D5">
            <w:pPr>
              <w:pStyle w:val="071Tablebullet8pt"/>
              <w:widowControl w:val="0"/>
              <w:spacing w:before="0" w:after="120" w:line="240" w:lineRule="auto"/>
              <w:rPr>
                <w:rFonts w:cs="Arial"/>
                <w:szCs w:val="20"/>
              </w:rPr>
            </w:pPr>
            <w:r w:rsidRPr="00C437D5">
              <w:rPr>
                <w:rFonts w:cs="Arial"/>
                <w:szCs w:val="20"/>
              </w:rPr>
              <w:t>have similar designs and characteristics</w:t>
            </w:r>
          </w:p>
          <w:p w14:paraId="1EDB0369" w14:textId="77777777" w:rsidR="00E93CF8" w:rsidRPr="00C437D5" w:rsidRDefault="00E93CF8" w:rsidP="00C437D5">
            <w:pPr>
              <w:pStyle w:val="071Tablebullet8pt"/>
              <w:widowControl w:val="0"/>
              <w:spacing w:before="0" w:after="120" w:line="240" w:lineRule="auto"/>
              <w:rPr>
                <w:rFonts w:cs="Arial"/>
                <w:szCs w:val="20"/>
              </w:rPr>
            </w:pPr>
            <w:r w:rsidRPr="00C437D5">
              <w:rPr>
                <w:rFonts w:cs="Arial"/>
                <w:szCs w:val="20"/>
              </w:rPr>
              <w:t>are made of the same material</w:t>
            </w:r>
          </w:p>
          <w:p w14:paraId="531E8652" w14:textId="77777777" w:rsidR="00E93CF8" w:rsidRPr="00C437D5" w:rsidRDefault="00E93CF8" w:rsidP="00C437D5">
            <w:pPr>
              <w:pStyle w:val="071Tablebullet8pt"/>
              <w:widowControl w:val="0"/>
              <w:spacing w:before="0" w:after="120" w:line="240" w:lineRule="auto"/>
              <w:rPr>
                <w:rFonts w:cs="Arial"/>
                <w:b/>
                <w:bCs/>
                <w:szCs w:val="20"/>
              </w:rPr>
            </w:pPr>
            <w:r w:rsidRPr="00C437D5">
              <w:rPr>
                <w:rFonts w:cs="Arial"/>
                <w:szCs w:val="20"/>
              </w:rPr>
              <w:t>have similar intended uses and indications</w:t>
            </w:r>
          </w:p>
        </w:tc>
      </w:tr>
      <w:tr w:rsidR="00E93CF8" w:rsidRPr="00C437D5" w14:paraId="3546D208" w14:textId="77777777" w:rsidTr="00000953">
        <w:tc>
          <w:tcPr>
            <w:tcW w:w="2832" w:type="dxa"/>
            <w:shd w:val="clear" w:color="auto" w:fill="auto"/>
          </w:tcPr>
          <w:p w14:paraId="74B6FB26"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Suffix</w:t>
            </w:r>
          </w:p>
        </w:tc>
        <w:tc>
          <w:tcPr>
            <w:tcW w:w="6382" w:type="dxa"/>
            <w:shd w:val="clear" w:color="auto" w:fill="auto"/>
          </w:tcPr>
          <w:p w14:paraId="2ACDD3E5" w14:textId="588D92D0"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An identifier that denotes a device is similar in design and function to other devices in the same group or </w:t>
            </w:r>
            <w:r w:rsidR="00F57C24" w:rsidRPr="00C437D5">
              <w:rPr>
                <w:rFonts w:ascii="Arial" w:hAnsi="Arial" w:cs="Arial"/>
                <w:sz w:val="20"/>
                <w:szCs w:val="20"/>
              </w:rPr>
              <w:t>subgroup but</w:t>
            </w:r>
            <w:r w:rsidRPr="00C437D5">
              <w:rPr>
                <w:rFonts w:ascii="Arial" w:hAnsi="Arial" w:cs="Arial"/>
                <w:sz w:val="20"/>
                <w:szCs w:val="20"/>
              </w:rPr>
              <w:t xml:space="preserve"> has additional features that deliver different clinical outcomes.</w:t>
            </w:r>
          </w:p>
        </w:tc>
      </w:tr>
      <w:tr w:rsidR="00E93CF8" w:rsidRPr="00C437D5" w14:paraId="62C35E37" w14:textId="77777777" w:rsidTr="00000953">
        <w:tc>
          <w:tcPr>
            <w:tcW w:w="2832" w:type="dxa"/>
            <w:shd w:val="clear" w:color="auto" w:fill="auto"/>
          </w:tcPr>
          <w:p w14:paraId="16231EEF"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Therapeutic good</w:t>
            </w:r>
          </w:p>
        </w:tc>
        <w:tc>
          <w:tcPr>
            <w:tcW w:w="6382" w:type="dxa"/>
            <w:shd w:val="clear" w:color="auto" w:fill="auto"/>
          </w:tcPr>
          <w:p w14:paraId="5C667C82"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Health technologies regulated by the TGA, including medicines, medical devices, human cells and tissues, and blood.</w:t>
            </w:r>
          </w:p>
        </w:tc>
      </w:tr>
      <w:tr w:rsidR="00E93CF8" w:rsidRPr="00C437D5" w14:paraId="3782814E" w14:textId="77777777" w:rsidTr="00000953">
        <w:tc>
          <w:tcPr>
            <w:tcW w:w="2832" w:type="dxa"/>
            <w:shd w:val="clear" w:color="auto" w:fill="auto"/>
          </w:tcPr>
          <w:p w14:paraId="7C025FC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Therapeutic Goods Administration (TGA)</w:t>
            </w:r>
          </w:p>
        </w:tc>
        <w:tc>
          <w:tcPr>
            <w:tcW w:w="6382" w:type="dxa"/>
            <w:shd w:val="clear" w:color="auto" w:fill="auto"/>
          </w:tcPr>
          <w:p w14:paraId="02209861"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division of the Australian Government Department of Health and Aged Care that regulates the quality, safety and efficacy of therapeutic goods available within Australia.</w:t>
            </w:r>
          </w:p>
        </w:tc>
      </w:tr>
      <w:tr w:rsidR="00E93CF8" w:rsidRPr="00C437D5" w14:paraId="4B449589" w14:textId="77777777" w:rsidTr="00000953">
        <w:tc>
          <w:tcPr>
            <w:tcW w:w="2832" w:type="dxa"/>
            <w:shd w:val="clear" w:color="auto" w:fill="auto"/>
          </w:tcPr>
          <w:p w14:paraId="24A74C6E"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Therapy</w:t>
            </w:r>
          </w:p>
        </w:tc>
        <w:tc>
          <w:tcPr>
            <w:tcW w:w="6382" w:type="dxa"/>
            <w:shd w:val="clear" w:color="auto" w:fill="auto"/>
          </w:tcPr>
          <w:p w14:paraId="412BE031"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Clinical management of an individual for the purpose of improving health outcomes by combating (such as preventing, curing, ameliorating) a medical condition, disease or disorder; all resources provided in this management or care.</w:t>
            </w:r>
          </w:p>
        </w:tc>
      </w:tr>
      <w:tr w:rsidR="00E93CF8" w:rsidRPr="00C437D5" w14:paraId="428F14D8" w14:textId="77777777" w:rsidTr="00000953">
        <w:tc>
          <w:tcPr>
            <w:tcW w:w="2832" w:type="dxa"/>
            <w:shd w:val="clear" w:color="auto" w:fill="auto"/>
          </w:tcPr>
          <w:p w14:paraId="0332CFB1"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Uncertainty</w:t>
            </w:r>
          </w:p>
        </w:tc>
        <w:tc>
          <w:tcPr>
            <w:tcW w:w="6382" w:type="dxa"/>
            <w:shd w:val="clear" w:color="auto" w:fill="auto"/>
          </w:tcPr>
          <w:p w14:paraId="4F567338"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 xml:space="preserve">Any reduction of confidence in a conclusion. Statistical uncertainty arises from chance (or random variation), when a variable includes a range of estimates within which the true value of the variable is likely to be found. Inferential uncertainty arises from bias (or systematic variation) when there are alternative explanations for a measured difference or arises when translations are made from an estimate. Clinical uncertainty arises when the proposed health technology has both clinical advantages and disadvantages compared with its main comparator(s). Structural uncertainty arises in a model when all the relationships between the various components are not fully demonstrated. Uncertainty also arises when assumptions need to be </w:t>
            </w:r>
            <w:r w:rsidRPr="00C437D5">
              <w:rPr>
                <w:rFonts w:ascii="Arial" w:hAnsi="Arial" w:cs="Arial"/>
                <w:sz w:val="20"/>
                <w:szCs w:val="20"/>
              </w:rPr>
              <w:lastRenderedPageBreak/>
              <w:t>made in the absence of relevant data.</w:t>
            </w:r>
          </w:p>
        </w:tc>
      </w:tr>
      <w:tr w:rsidR="00E93CF8" w:rsidRPr="00C437D5" w14:paraId="57714EB1" w14:textId="77777777" w:rsidTr="00000953">
        <w:tc>
          <w:tcPr>
            <w:tcW w:w="2832" w:type="dxa"/>
            <w:shd w:val="clear" w:color="auto" w:fill="auto"/>
          </w:tcPr>
          <w:p w14:paraId="05617572"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lastRenderedPageBreak/>
              <w:t>Utilisation</w:t>
            </w:r>
          </w:p>
        </w:tc>
        <w:tc>
          <w:tcPr>
            <w:tcW w:w="6382" w:type="dxa"/>
            <w:shd w:val="clear" w:color="auto" w:fill="auto"/>
          </w:tcPr>
          <w:p w14:paraId="06E34240"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number of uses of a health technology in a specified time period.</w:t>
            </w:r>
          </w:p>
        </w:tc>
      </w:tr>
      <w:tr w:rsidR="00E93CF8" w:rsidRPr="00C437D5" w14:paraId="0340C295" w14:textId="77777777" w:rsidTr="00000953">
        <w:tc>
          <w:tcPr>
            <w:tcW w:w="2832" w:type="dxa"/>
            <w:shd w:val="clear" w:color="auto" w:fill="auto"/>
          </w:tcPr>
          <w:p w14:paraId="5EB5C8C3"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Value for money</w:t>
            </w:r>
          </w:p>
        </w:tc>
        <w:tc>
          <w:tcPr>
            <w:tcW w:w="6382" w:type="dxa"/>
            <w:shd w:val="clear" w:color="auto" w:fill="auto"/>
          </w:tcPr>
          <w:p w14:paraId="7EE3C670"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proposed health technology is considered to represent value for money by an HTA advisory committee if it considers that, for a specified main indication, the incremental benefits of the proposed health technology are valued higher than the opportunity costs of obtaining those benefits.</w:t>
            </w:r>
          </w:p>
        </w:tc>
      </w:tr>
      <w:tr w:rsidR="00E93CF8" w:rsidRPr="00C437D5" w14:paraId="3BA2FB59" w14:textId="77777777" w:rsidTr="00000953">
        <w:tc>
          <w:tcPr>
            <w:tcW w:w="2832" w:type="dxa"/>
            <w:shd w:val="clear" w:color="auto" w:fill="auto"/>
          </w:tcPr>
          <w:p w14:paraId="66758666" w14:textId="77777777" w:rsidR="00E93CF8" w:rsidRPr="00C437D5" w:rsidRDefault="00E93CF8" w:rsidP="00C437D5">
            <w:pPr>
              <w:pStyle w:val="051Tabletext228pt"/>
              <w:widowControl w:val="0"/>
              <w:spacing w:before="0" w:after="120"/>
              <w:ind w:left="37"/>
              <w:rPr>
                <w:rFonts w:ascii="Arial" w:hAnsi="Arial" w:cs="Arial"/>
                <w:b/>
                <w:bCs/>
                <w:sz w:val="20"/>
                <w:szCs w:val="20"/>
              </w:rPr>
            </w:pPr>
            <w:r w:rsidRPr="00C437D5">
              <w:rPr>
                <w:rFonts w:ascii="Arial" w:hAnsi="Arial" w:cs="Arial"/>
                <w:b/>
                <w:bCs/>
                <w:sz w:val="20"/>
                <w:szCs w:val="20"/>
              </w:rPr>
              <w:t>Well-established technology</w:t>
            </w:r>
          </w:p>
        </w:tc>
        <w:tc>
          <w:tcPr>
            <w:tcW w:w="6382" w:type="dxa"/>
            <w:shd w:val="clear" w:color="auto" w:fill="auto"/>
          </w:tcPr>
          <w:p w14:paraId="45B1E0B5"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A device group proven to have sound safety and performance characteristics.</w:t>
            </w:r>
          </w:p>
          <w:p w14:paraId="54064E94" w14:textId="77777777" w:rsidR="00E93CF8" w:rsidRPr="00C437D5" w:rsidRDefault="00E93CF8" w:rsidP="00C437D5">
            <w:pPr>
              <w:pStyle w:val="051Tabletext228pt"/>
              <w:widowControl w:val="0"/>
              <w:spacing w:before="0" w:after="120"/>
              <w:ind w:left="37"/>
              <w:rPr>
                <w:rFonts w:ascii="Arial" w:hAnsi="Arial" w:cs="Arial"/>
                <w:sz w:val="20"/>
                <w:szCs w:val="20"/>
              </w:rPr>
            </w:pPr>
            <w:r w:rsidRPr="00C437D5">
              <w:rPr>
                <w:rFonts w:ascii="Arial" w:hAnsi="Arial" w:cs="Arial"/>
                <w:sz w:val="20"/>
                <w:szCs w:val="20"/>
              </w:rPr>
              <w:t>“The common features of the devices which are well-established technologies are that they all have:</w:t>
            </w:r>
          </w:p>
          <w:p w14:paraId="097CC84D" w14:textId="77777777" w:rsidR="00FB5499" w:rsidRPr="00FB5499" w:rsidRDefault="00FB5499" w:rsidP="00FB5499">
            <w:pPr>
              <w:pStyle w:val="051Tabletext228pt"/>
              <w:widowControl w:val="0"/>
              <w:numPr>
                <w:ilvl w:val="0"/>
                <w:numId w:val="12"/>
              </w:numPr>
              <w:spacing w:before="0"/>
              <w:rPr>
                <w:rFonts w:ascii="Arial" w:hAnsi="Arial" w:cs="Arial"/>
                <w:sz w:val="20"/>
                <w:szCs w:val="20"/>
              </w:rPr>
            </w:pPr>
            <w:r w:rsidRPr="00FB5499">
              <w:rPr>
                <w:rFonts w:ascii="Arial" w:hAnsi="Arial" w:cs="Arial"/>
                <w:sz w:val="20"/>
                <w:szCs w:val="20"/>
              </w:rPr>
              <w:t>relatively simple, common and stable designs with little evolution;</w:t>
            </w:r>
          </w:p>
          <w:p w14:paraId="587868FB" w14:textId="243AEDFA" w:rsidR="00FB5499" w:rsidRPr="00FB5499" w:rsidRDefault="00FB5499" w:rsidP="00FB5499">
            <w:pPr>
              <w:pStyle w:val="051Tabletext228pt"/>
              <w:widowControl w:val="0"/>
              <w:numPr>
                <w:ilvl w:val="0"/>
                <w:numId w:val="12"/>
              </w:numPr>
              <w:spacing w:before="0"/>
              <w:rPr>
                <w:rFonts w:ascii="Arial" w:hAnsi="Arial" w:cs="Arial"/>
                <w:sz w:val="20"/>
                <w:szCs w:val="20"/>
              </w:rPr>
            </w:pPr>
            <w:r w:rsidRPr="00FB5499">
              <w:rPr>
                <w:rFonts w:ascii="Arial" w:hAnsi="Arial" w:cs="Arial"/>
                <w:sz w:val="20"/>
                <w:szCs w:val="20"/>
              </w:rPr>
              <w:t>their generic device group has well-known safety and has not been associated with safety issues in the past;</w:t>
            </w:r>
          </w:p>
          <w:p w14:paraId="57688DD6" w14:textId="36410FC0" w:rsidR="00FB5499" w:rsidRPr="00FB5499" w:rsidRDefault="00FB5499" w:rsidP="00FB5499">
            <w:pPr>
              <w:pStyle w:val="051Tabletext228pt"/>
              <w:widowControl w:val="0"/>
              <w:numPr>
                <w:ilvl w:val="0"/>
                <w:numId w:val="12"/>
              </w:numPr>
              <w:spacing w:before="0"/>
              <w:rPr>
                <w:rFonts w:ascii="Arial" w:hAnsi="Arial" w:cs="Arial"/>
                <w:sz w:val="20"/>
                <w:szCs w:val="20"/>
              </w:rPr>
            </w:pPr>
            <w:r w:rsidRPr="00FB5499">
              <w:rPr>
                <w:rFonts w:ascii="Arial" w:hAnsi="Arial" w:cs="Arial"/>
                <w:sz w:val="20"/>
                <w:szCs w:val="20"/>
              </w:rPr>
              <w:t>well-known clinical performance characteristics and their generic device group are standard of care devices where there is little evolution in indications and the state of the art;</w:t>
            </w:r>
          </w:p>
          <w:p w14:paraId="3833F0A0" w14:textId="76FB1499" w:rsidR="00E93CF8" w:rsidRPr="00C437D5" w:rsidRDefault="00FB5499" w:rsidP="00FB5499">
            <w:pPr>
              <w:pStyle w:val="051Tabletext228pt"/>
              <w:widowControl w:val="0"/>
              <w:numPr>
                <w:ilvl w:val="0"/>
                <w:numId w:val="12"/>
              </w:numPr>
              <w:spacing w:before="0" w:after="120"/>
              <w:rPr>
                <w:rFonts w:ascii="Arial" w:hAnsi="Arial" w:cs="Arial"/>
                <w:sz w:val="20"/>
                <w:szCs w:val="20"/>
              </w:rPr>
            </w:pPr>
            <w:r w:rsidRPr="00FB5499">
              <w:rPr>
                <w:rFonts w:ascii="Arial" w:hAnsi="Arial" w:cs="Arial"/>
                <w:sz w:val="20"/>
                <w:szCs w:val="20"/>
              </w:rPr>
              <w:t>a long history on the market.</w:t>
            </w:r>
            <w:r>
              <w:rPr>
                <w:rFonts w:ascii="Arial" w:hAnsi="Arial" w:cs="Arial"/>
                <w:sz w:val="20"/>
                <w:szCs w:val="20"/>
              </w:rPr>
              <w:t xml:space="preserve">” </w:t>
            </w:r>
            <w:r>
              <w:rPr>
                <w:rFonts w:ascii="Arial" w:hAnsi="Arial" w:cs="Arial"/>
                <w:sz w:val="20"/>
                <w:szCs w:val="20"/>
              </w:rPr>
              <w:br/>
            </w:r>
            <w:r w:rsidR="00E93CF8" w:rsidRPr="00C437D5">
              <w:rPr>
                <w:rFonts w:ascii="Arial" w:hAnsi="Arial" w:cs="Arial"/>
                <w:sz w:val="20"/>
                <w:szCs w:val="20"/>
              </w:rPr>
              <w:t>(Medical Device Coordination Group Document, MDCG 2020-6)</w:t>
            </w:r>
          </w:p>
        </w:tc>
      </w:tr>
    </w:tbl>
    <w:p w14:paraId="41B1C98C" w14:textId="53B8CE47" w:rsidR="001E4DDC" w:rsidRPr="004D1339" w:rsidRDefault="001E4DDC" w:rsidP="00346C4A">
      <w:pPr>
        <w:sectPr w:rsidR="001E4DDC" w:rsidRPr="004D1339" w:rsidSect="00205A93">
          <w:headerReference w:type="even" r:id="rId74"/>
          <w:headerReference w:type="default" r:id="rId75"/>
          <w:headerReference w:type="first" r:id="rId76"/>
          <w:pgSz w:w="11906" w:h="16838"/>
          <w:pgMar w:top="1701" w:right="1418" w:bottom="1418" w:left="1418" w:header="709" w:footer="709" w:gutter="0"/>
          <w:cols w:space="708"/>
          <w:docGrid w:linePitch="360"/>
        </w:sectPr>
      </w:pPr>
    </w:p>
    <w:p w14:paraId="63266525" w14:textId="77777777" w:rsidR="00205A93" w:rsidRPr="004D1339" w:rsidRDefault="00205A93" w:rsidP="00346C4A">
      <w:pPr>
        <w:pStyle w:val="URL"/>
      </w:pPr>
      <w:r w:rsidRPr="004D1339">
        <w:lastRenderedPageBreak/>
        <w:t>Health.gov.au</w:t>
      </w:r>
    </w:p>
    <w:p w14:paraId="53032FFB" w14:textId="3FA75160" w:rsidR="00205A93" w:rsidRPr="004D1339" w:rsidRDefault="00205A93" w:rsidP="004D1339">
      <w:pPr>
        <w:jc w:val="center"/>
      </w:pPr>
      <w:r w:rsidRPr="004D1339">
        <w:t xml:space="preserve">All information in this publication is correct as at </w:t>
      </w:r>
      <w:r w:rsidR="003C36F5">
        <w:t xml:space="preserve">December </w:t>
      </w:r>
      <w:r w:rsidR="009B5FC3">
        <w:t>2023</w:t>
      </w:r>
    </w:p>
    <w:sectPr w:rsidR="00205A93" w:rsidRPr="004D1339" w:rsidSect="00205A93">
      <w:headerReference w:type="even" r:id="rId77"/>
      <w:headerReference w:type="default" r:id="rId78"/>
      <w:footerReference w:type="default" r:id="rId79"/>
      <w:headerReference w:type="first" r:id="rId80"/>
      <w:type w:val="oddPage"/>
      <w:pgSz w:w="11906" w:h="16838"/>
      <w:pgMar w:top="1701"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481A6" w14:textId="77777777" w:rsidR="002A19BE" w:rsidRDefault="002A19BE" w:rsidP="00346C4A">
      <w:r>
        <w:separator/>
      </w:r>
    </w:p>
    <w:p w14:paraId="419E98F1" w14:textId="77777777" w:rsidR="002A19BE" w:rsidRDefault="002A19BE" w:rsidP="00346C4A"/>
  </w:endnote>
  <w:endnote w:type="continuationSeparator" w:id="0">
    <w:p w14:paraId="4524774D" w14:textId="77777777" w:rsidR="002A19BE" w:rsidRDefault="002A19BE" w:rsidP="00346C4A">
      <w:r>
        <w:continuationSeparator/>
      </w:r>
    </w:p>
    <w:p w14:paraId="23019C44" w14:textId="77777777" w:rsidR="002A19BE" w:rsidRDefault="002A19BE" w:rsidP="00346C4A"/>
  </w:endnote>
  <w:endnote w:type="continuationNotice" w:id="1">
    <w:p w14:paraId="6C2FBDE7" w14:textId="77777777" w:rsidR="002A19BE" w:rsidRDefault="002A19BE" w:rsidP="00346C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454D5" w14:textId="77777777" w:rsidR="00236073" w:rsidRDefault="00236073" w:rsidP="00841111">
    <w:pPr>
      <w:pStyle w:val="Footer"/>
    </w:pPr>
    <w:r>
      <w:fldChar w:fldCharType="begin"/>
    </w:r>
    <w:r>
      <w:instrText xml:space="preserve"> PAGE   \* MERGEFORMAT </w:instrText>
    </w:r>
    <w:r>
      <w:fldChar w:fldCharType="separate"/>
    </w:r>
    <w:r w:rsidR="00207793">
      <w:rPr>
        <w:noProof/>
      </w:rPr>
      <w:t>4</w:t>
    </w:r>
    <w:r>
      <w:rPr>
        <w:noProof/>
      </w:rPr>
      <w:fldChar w:fldCharType="end"/>
    </w:r>
    <w:r w:rsidRPr="000D56E4">
      <w:tab/>
      <w:t>Insert document title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62288"/>
      <w:docPartObj>
        <w:docPartGallery w:val="Page Numbers (Bottom of Page)"/>
        <w:docPartUnique/>
      </w:docPartObj>
    </w:sdtPr>
    <w:sdtEndPr>
      <w:rPr>
        <w:noProof/>
      </w:rPr>
    </w:sdtEndPr>
    <w:sdtContent>
      <w:p w14:paraId="7BDB3B96" w14:textId="36D804B1" w:rsidR="00236073" w:rsidRDefault="006930D2" w:rsidP="006A7D38">
        <w:pPr>
          <w:pStyle w:val="Footer"/>
          <w:jc w:val="left"/>
        </w:pPr>
        <w:r>
          <w:t>T</w:t>
        </w:r>
        <w:r w:rsidR="006A7D38">
          <w:t xml:space="preserve">he Prescribed List of Medical Devices and Human Tissue Products </w:t>
        </w:r>
        <w:r w:rsidR="005A342A">
          <w:t xml:space="preserve">Guide </w:t>
        </w:r>
        <w:r w:rsidR="00CB5C40" w:rsidRPr="00CB5C40">
          <w:rPr>
            <w:color w:val="FF0000"/>
          </w:rPr>
          <w:t>DRAFT</w:t>
        </w:r>
        <w:r w:rsidR="00236073">
          <w:tab/>
        </w:r>
        <w:r w:rsidR="00236073">
          <w:fldChar w:fldCharType="begin"/>
        </w:r>
        <w:r w:rsidR="00236073">
          <w:instrText xml:space="preserve"> PAGE   \* MERGEFORMAT </w:instrText>
        </w:r>
        <w:r w:rsidR="00236073">
          <w:fldChar w:fldCharType="separate"/>
        </w:r>
        <w:r w:rsidR="00207793">
          <w:rPr>
            <w:noProof/>
          </w:rPr>
          <w:t>3</w:t>
        </w:r>
        <w:r w:rsidR="00236073">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1601C" w14:textId="77777777" w:rsidR="00236073" w:rsidRDefault="00236073" w:rsidP="000D56E4">
    <w:pPr>
      <w:pStyle w:val="Footer"/>
    </w:pPr>
    <w:r>
      <w:t>Insert document title</w:t>
    </w:r>
    <w:r w:rsidR="00CF14A6">
      <w:tab/>
    </w:r>
    <w:r w:rsidR="00CF14A6">
      <w:fldChar w:fldCharType="begin"/>
    </w:r>
    <w:r w:rsidR="00CF14A6">
      <w:instrText xml:space="preserve"> PAGE   \* MERGEFORMAT </w:instrText>
    </w:r>
    <w:r w:rsidR="00CF14A6">
      <w:fldChar w:fldCharType="separate"/>
    </w:r>
    <w:r w:rsidR="00CF14A6">
      <w:rPr>
        <w:noProof/>
      </w:rPr>
      <w:t>1</w:t>
    </w:r>
    <w:r w:rsidR="00CF14A6">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987FF" w14:textId="77777777" w:rsidR="00D067D6" w:rsidRDefault="00D067D6" w:rsidP="00841111">
    <w:pPr>
      <w:pStyle w:val="Footer"/>
    </w:pPr>
    <w:r>
      <w:fldChar w:fldCharType="begin"/>
    </w:r>
    <w:r>
      <w:instrText xml:space="preserve"> PAGE   \* MERGEFORMAT </w:instrText>
    </w:r>
    <w:r>
      <w:fldChar w:fldCharType="separate"/>
    </w:r>
    <w:r>
      <w:rPr>
        <w:noProof/>
      </w:rPr>
      <w:t>4</w:t>
    </w:r>
    <w:r>
      <w:rPr>
        <w:noProof/>
      </w:rPr>
      <w:fldChar w:fldCharType="end"/>
    </w:r>
    <w:r w:rsidRPr="000D56E4">
      <w:tab/>
      <w:t>Insert document title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734697"/>
      <w:docPartObj>
        <w:docPartGallery w:val="Page Numbers (Bottom of Page)"/>
        <w:docPartUnique/>
      </w:docPartObj>
    </w:sdtPr>
    <w:sdtEndPr>
      <w:rPr>
        <w:noProof/>
      </w:rPr>
    </w:sdtEndPr>
    <w:sdtContent>
      <w:p w14:paraId="68E04E7F" w14:textId="7E8DEFA1" w:rsidR="00D067D6" w:rsidRDefault="006930D2" w:rsidP="006A7D38">
        <w:pPr>
          <w:pStyle w:val="Footer"/>
          <w:jc w:val="left"/>
        </w:pPr>
        <w:r>
          <w:t>Th</w:t>
        </w:r>
        <w:r w:rsidR="00D067D6">
          <w:t>e Prescribed List of Medical Devices and Human Tissue Products</w:t>
        </w:r>
        <w:r>
          <w:t xml:space="preserve"> </w:t>
        </w:r>
        <w:r w:rsidR="005A342A">
          <w:t xml:space="preserve">Guide </w:t>
        </w:r>
        <w:r w:rsidR="00CB5C40" w:rsidRPr="00CB5C40">
          <w:rPr>
            <w:color w:val="FF0000"/>
          </w:rPr>
          <w:t>DRAFT</w:t>
        </w:r>
        <w:r w:rsidR="00D067D6">
          <w:tab/>
        </w:r>
        <w:r w:rsidR="00D067D6">
          <w:fldChar w:fldCharType="begin"/>
        </w:r>
        <w:r w:rsidR="00D067D6">
          <w:instrText xml:space="preserve"> PAGE   \* MERGEFORMAT </w:instrText>
        </w:r>
        <w:r w:rsidR="00D067D6">
          <w:fldChar w:fldCharType="separate"/>
        </w:r>
        <w:r w:rsidR="00D067D6">
          <w:rPr>
            <w:noProof/>
          </w:rPr>
          <w:t>3</w:t>
        </w:r>
        <w:r w:rsidR="00D067D6">
          <w:rPr>
            <w:noProof/>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E4078" w14:textId="77777777" w:rsidR="00D067D6" w:rsidRDefault="00D067D6" w:rsidP="000D56E4">
    <w:pPr>
      <w:pStyle w:val="Footer"/>
    </w:pPr>
    <w:r>
      <w:t>Insert document title</w:t>
    </w:r>
    <w:r>
      <w:tab/>
    </w:r>
    <w:r>
      <w:fldChar w:fldCharType="begin"/>
    </w:r>
    <w:r>
      <w:instrText xml:space="preserve"> PAGE   \* MERGEFORMAT </w:instrText>
    </w:r>
    <w:r>
      <w:fldChar w:fldCharType="separate"/>
    </w:r>
    <w:r>
      <w:rPr>
        <w:noProof/>
      </w:rPr>
      <w:t>1</w:t>
    </w:r>
    <w:r>
      <w:rPr>
        <w:noProof/>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585549"/>
      <w:docPartObj>
        <w:docPartGallery w:val="Page Numbers (Bottom of Page)"/>
        <w:docPartUnique/>
      </w:docPartObj>
    </w:sdtPr>
    <w:sdtEndPr>
      <w:rPr>
        <w:noProof/>
      </w:rPr>
    </w:sdtEndPr>
    <w:sdtContent>
      <w:p w14:paraId="636874CE" w14:textId="6E68A07F" w:rsidR="00122C44" w:rsidRDefault="005A342A" w:rsidP="00D66EEE">
        <w:pPr>
          <w:pStyle w:val="Footer"/>
          <w:jc w:val="left"/>
        </w:pPr>
        <w:r>
          <w:t xml:space="preserve">The Prescribed List of Medical Devices and Human Tissue Products Guide </w:t>
        </w:r>
        <w:r w:rsidR="00CB5C40" w:rsidRPr="00CB5C40">
          <w:rPr>
            <w:color w:val="FF0000"/>
          </w:rPr>
          <w:t>DRAFT</w:t>
        </w:r>
        <w:r w:rsidR="00E93CF8">
          <w:tab/>
        </w:r>
        <w:r w:rsidR="00E93CF8">
          <w:fldChar w:fldCharType="begin"/>
        </w:r>
        <w:r w:rsidR="00E93CF8">
          <w:instrText xml:space="preserve"> PAGE   \* MERGEFORMAT </w:instrText>
        </w:r>
        <w:r w:rsidR="00E93CF8">
          <w:fldChar w:fldCharType="separate"/>
        </w:r>
        <w:r w:rsidR="00E93CF8">
          <w:rPr>
            <w:noProof/>
          </w:rPr>
          <w:t>3</w:t>
        </w:r>
        <w:r w:rsidR="00E93CF8">
          <w:rPr>
            <w:noProof/>
          </w:rPr>
          <w:fldChar w:fldCharType="end"/>
        </w:r>
      </w:p>
    </w:sdtContent>
  </w:sdt>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16C8B" w14:textId="77777777" w:rsidR="00205A93" w:rsidRDefault="00205A93" w:rsidP="000D56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D5D38" w14:textId="77777777" w:rsidR="002A19BE" w:rsidRDefault="002A19BE" w:rsidP="00346C4A">
      <w:r>
        <w:separator/>
      </w:r>
    </w:p>
    <w:p w14:paraId="7BCE1484" w14:textId="77777777" w:rsidR="002A19BE" w:rsidRDefault="002A19BE" w:rsidP="00346C4A"/>
  </w:footnote>
  <w:footnote w:type="continuationSeparator" w:id="0">
    <w:p w14:paraId="19EC8451" w14:textId="77777777" w:rsidR="002A19BE" w:rsidRDefault="002A19BE" w:rsidP="00346C4A">
      <w:r>
        <w:continuationSeparator/>
      </w:r>
    </w:p>
    <w:p w14:paraId="219CDB9D" w14:textId="77777777" w:rsidR="002A19BE" w:rsidRDefault="002A19BE" w:rsidP="00346C4A"/>
  </w:footnote>
  <w:footnote w:type="continuationNotice" w:id="1">
    <w:p w14:paraId="706BA4DC" w14:textId="77777777" w:rsidR="002A19BE" w:rsidRDefault="002A19BE" w:rsidP="00346C4A"/>
  </w:footnote>
  <w:footnote w:id="2">
    <w:p w14:paraId="6FF88D24" w14:textId="2C6F1FFB" w:rsidR="00B94C43" w:rsidRDefault="00B94C43">
      <w:pPr>
        <w:pStyle w:val="FootnoteText"/>
      </w:pPr>
      <w:r>
        <w:rPr>
          <w:rStyle w:val="FootnoteReference"/>
        </w:rPr>
        <w:footnoteRef/>
      </w:r>
      <w:r>
        <w:t xml:space="preserve"> Manufacturer is defined in the Glossary</w:t>
      </w:r>
    </w:p>
  </w:footnote>
  <w:footnote w:id="3">
    <w:p w14:paraId="218EB8D4" w14:textId="77777777" w:rsidR="003F2EB5" w:rsidRDefault="003F2EB5" w:rsidP="003F2EB5">
      <w:pPr>
        <w:pStyle w:val="FootnoteText"/>
      </w:pPr>
      <w:r>
        <w:rPr>
          <w:rStyle w:val="FootnoteReference"/>
        </w:rPr>
        <w:footnoteRef/>
      </w:r>
      <w:r>
        <w:t xml:space="preserve"> </w:t>
      </w:r>
      <w:r w:rsidRPr="00E847E6">
        <w:t>Please note this fee only includes the Prescribed List component of work and does not include any future fees that may be payable for MSAC assessment</w:t>
      </w:r>
    </w:p>
  </w:footnote>
  <w:footnote w:id="4">
    <w:p w14:paraId="05657788" w14:textId="77777777" w:rsidR="001243B7" w:rsidRDefault="001243B7" w:rsidP="001243B7">
      <w:pPr>
        <w:pStyle w:val="FootnoteText"/>
      </w:pPr>
      <w:r>
        <w:rPr>
          <w:rStyle w:val="FootnoteReference"/>
        </w:rPr>
        <w:footnoteRef/>
      </w:r>
      <w:r>
        <w:t xml:space="preserve"> For the avoidance of doubt, this is to be read as the midnight between the Sunday and Monday.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654D9" w14:textId="047BAD2B" w:rsidR="008E0C77" w:rsidRDefault="00CA79CF" w:rsidP="008E0C77">
    <w:pPr>
      <w:pStyle w:val="Headertext"/>
      <w:spacing w:after="180"/>
      <w:jc w:val="left"/>
    </w:pPr>
    <w:r>
      <w:rPr>
        <w:noProof/>
        <w:lang w:eastAsia="en-AU"/>
      </w:rPr>
      <w:drawing>
        <wp:anchor distT="0" distB="0" distL="114300" distR="114300" simplePos="0" relativeHeight="251656192" behindDoc="1" locked="0" layoutInCell="1" allowOverlap="1" wp14:anchorId="38E2978F" wp14:editId="67DD123A">
          <wp:simplePos x="0" y="0"/>
          <wp:positionH relativeFrom="page">
            <wp:align>center</wp:align>
          </wp:positionH>
          <wp:positionV relativeFrom="page">
            <wp:align>center</wp:align>
          </wp:positionV>
          <wp:extent cx="7560000" cy="10692000"/>
          <wp:effectExtent l="0" t="0" r="3175" b="0"/>
          <wp:wrapNone/>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937DF" w14:textId="45594E74" w:rsidR="00CA79CF" w:rsidRDefault="00CA79CF" w:rsidP="00205A93">
    <w:pPr>
      <w:pStyle w:val="Header"/>
      <w:tabs>
        <w:tab w:val="clear" w:pos="4513"/>
        <w:tab w:val="clear" w:pos="9026"/>
        <w:tab w:val="center" w:pos="4535"/>
      </w:tabs>
    </w:pPr>
    <w:r>
      <w:rPr>
        <w:noProof/>
        <w:lang w:eastAsia="en-AU"/>
      </w:rPr>
      <w:drawing>
        <wp:anchor distT="0" distB="0" distL="114300" distR="114300" simplePos="0" relativeHeight="251658240" behindDoc="1" locked="0" layoutInCell="1" allowOverlap="1" wp14:anchorId="27112DA3" wp14:editId="591095A3">
          <wp:simplePos x="0" y="0"/>
          <wp:positionH relativeFrom="page">
            <wp:align>center</wp:align>
          </wp:positionH>
          <wp:positionV relativeFrom="page">
            <wp:align>center</wp:align>
          </wp:positionV>
          <wp:extent cx="7558768" cy="10692000"/>
          <wp:effectExtent l="0" t="0" r="0" b="1905"/>
          <wp:wrapNone/>
          <wp:docPr id="24" name="Picture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r w:rsidR="00205A93">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27B1C" w14:textId="2F53F6E2" w:rsidR="000D56E4" w:rsidRDefault="000D56E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34C9F" w14:textId="4333199D" w:rsidR="000D56E4" w:rsidRDefault="000D56E4" w:rsidP="008E0C77">
    <w:pPr>
      <w:pStyle w:val="Headertext"/>
      <w:spacing w:after="18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D8AF7" w14:textId="17AEFE06" w:rsidR="000D56E4" w:rsidRDefault="000D56E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FD565" w14:textId="7F6CF8BC" w:rsidR="00D067D6" w:rsidRDefault="00D067D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1AC4C" w14:textId="128F4B3F" w:rsidR="00D067D6" w:rsidRDefault="00D067D6" w:rsidP="008E0C77">
    <w:pPr>
      <w:pStyle w:val="Headertext"/>
      <w:spacing w:after="180"/>
      <w:jc w:val="left"/>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F3A2E" w14:textId="1A6A69E3" w:rsidR="00D067D6" w:rsidRDefault="00D067D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8F5D3" w14:textId="0E27EF68" w:rsidR="00E93CF8" w:rsidRDefault="00E93CF8">
    <w:pPr>
      <w:pStyle w:val="Header"/>
    </w:pPr>
  </w:p>
  <w:p w14:paraId="3C8D98D6" w14:textId="77777777" w:rsidR="00122C44" w:rsidRDefault="00122C44"/>
  <w:p w14:paraId="0C8AF8C4" w14:textId="77777777" w:rsidR="00122C44" w:rsidRDefault="00122C44"/>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F7E06" w14:textId="2D182E3E" w:rsidR="00E93CF8" w:rsidRDefault="00E93CF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419DC" w14:textId="1E46689C" w:rsidR="00E93CF8" w:rsidRDefault="00E93CF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3C5C8" w14:textId="4BE0BC74" w:rsidR="009B5FC3" w:rsidRDefault="009B5FC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DE358" w14:textId="07AA898F" w:rsidR="006E454E" w:rsidRPr="003A376B" w:rsidRDefault="006E454E" w:rsidP="00000953">
    <w:pPr>
      <w:pStyle w:val="Header"/>
      <w:rPr>
        <w:sz w:val="16"/>
      </w:rPr>
    </w:pPr>
    <w:r>
      <w:t>Prescribed List Guide</w:t>
    </w:r>
  </w:p>
  <w:p w14:paraId="77D78E84" w14:textId="77777777" w:rsidR="006E454E" w:rsidRDefault="006E454E" w:rsidP="00000953">
    <w:pPr>
      <w:pStyle w:val="Header"/>
    </w:pPr>
    <w:r>
      <w:rPr>
        <w:noProof/>
        <w:color w:val="1F497D"/>
        <w:lang w:eastAsia="en-AU"/>
      </w:rPr>
      <w:drawing>
        <wp:inline distT="0" distB="0" distL="0" distR="0" wp14:anchorId="4431AC9F" wp14:editId="40B81F1D">
          <wp:extent cx="9744075" cy="89505"/>
          <wp:effectExtent l="0" t="0" r="0" b="6350"/>
          <wp:docPr id="371677013" name="Picture 371677013" descr="cid:image003.png@01D51610.1D98D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image003.png@01D51610.1D98D22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06583849" cy="979035"/>
                  </a:xfrm>
                  <a:prstGeom prst="rect">
                    <a:avLst/>
                  </a:prstGeom>
                  <a:noFill/>
                  <a:ln>
                    <a:noFill/>
                  </a:ln>
                </pic:spPr>
              </pic:pic>
            </a:graphicData>
          </a:graphic>
        </wp:inline>
      </w:drawing>
    </w:r>
  </w:p>
  <w:p w14:paraId="23835F35" w14:textId="77777777" w:rsidR="006E454E" w:rsidRPr="00AC2093" w:rsidRDefault="006E454E" w:rsidP="000009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F966F" w14:textId="13B2C29D" w:rsidR="009B5FC3" w:rsidRDefault="009B5FC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D675" w14:textId="28294FA7" w:rsidR="009B5FC3" w:rsidRDefault="009B5FC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29B50" w14:textId="53E18FC2" w:rsidR="00205A93" w:rsidRDefault="00205A93" w:rsidP="008E0C77">
    <w:pPr>
      <w:pStyle w:val="Headertext"/>
      <w:spacing w:after="180"/>
      <w:jc w:val="left"/>
    </w:pPr>
    <w:r>
      <w:rPr>
        <w:noProof/>
        <w:lang w:eastAsia="en-AU"/>
      </w:rPr>
      <w:drawing>
        <wp:anchor distT="0" distB="0" distL="114300" distR="114300" simplePos="0" relativeHeight="251657216" behindDoc="1" locked="0" layoutInCell="1" allowOverlap="1" wp14:anchorId="6C497CBB" wp14:editId="5A430F10">
          <wp:simplePos x="0" y="0"/>
          <wp:positionH relativeFrom="page">
            <wp:posOffset>0</wp:posOffset>
          </wp:positionH>
          <wp:positionV relativeFrom="page">
            <wp:posOffset>3458210</wp:posOffset>
          </wp:positionV>
          <wp:extent cx="7559040" cy="7232650"/>
          <wp:effectExtent l="0" t="0" r="3810" b="635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rotWithShape="1">
                  <a:blip r:embed="rId1" cstate="print">
                    <a:extLst>
                      <a:ext uri="{28A0092B-C50C-407E-A947-70E740481C1C}">
                        <a14:useLocalDpi xmlns:a14="http://schemas.microsoft.com/office/drawing/2010/main" val="0"/>
                      </a:ext>
                    </a:extLst>
                  </a:blip>
                  <a:srcRect t="32351"/>
                  <a:stretch/>
                </pic:blipFill>
                <pic:spPr bwMode="auto">
                  <a:xfrm>
                    <a:off x="0" y="0"/>
                    <a:ext cx="7559040" cy="7232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59D7D" w14:textId="346BD724" w:rsidR="009B5FC3" w:rsidRDefault="009B5F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682C5C0"/>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FB72F80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A77161"/>
    <w:multiLevelType w:val="hybridMultilevel"/>
    <w:tmpl w:val="DA80E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436DEF"/>
    <w:multiLevelType w:val="hybridMultilevel"/>
    <w:tmpl w:val="5E043366"/>
    <w:lvl w:ilvl="0" w:tplc="3FA64A9A">
      <w:start w:val="8"/>
      <w:numFmt w:val="bullet"/>
      <w:lvlText w:val=""/>
      <w:lvlJc w:val="left"/>
      <w:pPr>
        <w:ind w:left="644" w:hanging="360"/>
      </w:pPr>
      <w:rPr>
        <w:rFonts w:ascii="Symbol" w:eastAsia="Times New Roman" w:hAnsi="Symbol" w:cs="Times New Roman" w:hint="default"/>
        <w:color w:val="auto"/>
      </w:rPr>
    </w:lvl>
    <w:lvl w:ilvl="1" w:tplc="FFFFFFFF">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5" w15:restartNumberingAfterBreak="0">
    <w:nsid w:val="0CCF0B6D"/>
    <w:multiLevelType w:val="hybridMultilevel"/>
    <w:tmpl w:val="0A8E2B08"/>
    <w:lvl w:ilvl="0" w:tplc="0C090001">
      <w:start w:val="1"/>
      <w:numFmt w:val="bullet"/>
      <w:lvlText w:val=""/>
      <w:lvlJc w:val="left"/>
      <w:pPr>
        <w:ind w:left="6" w:hanging="360"/>
      </w:pPr>
      <w:rPr>
        <w:rFonts w:ascii="Symbol" w:hAnsi="Symbol"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6" w15:restartNumberingAfterBreak="0">
    <w:nsid w:val="0DC20894"/>
    <w:multiLevelType w:val="hybridMultilevel"/>
    <w:tmpl w:val="70C0E7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334A55"/>
    <w:multiLevelType w:val="hybridMultilevel"/>
    <w:tmpl w:val="C3C612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363506"/>
    <w:multiLevelType w:val="hybridMultilevel"/>
    <w:tmpl w:val="9FEA7CEA"/>
    <w:lvl w:ilvl="0" w:tplc="E96C518A">
      <w:start w:val="1"/>
      <w:numFmt w:val="bullet"/>
      <w:pStyle w:val="ListBullet"/>
      <w:lvlText w:val=""/>
      <w:lvlJc w:val="left"/>
      <w:pPr>
        <w:ind w:left="3621" w:hanging="360"/>
      </w:pPr>
      <w:rPr>
        <w:rFonts w:ascii="Symbol" w:hAnsi="Symbol" w:hint="default"/>
        <w:color w:val="auto"/>
      </w:rPr>
    </w:lvl>
    <w:lvl w:ilvl="1" w:tplc="0C090003">
      <w:start w:val="1"/>
      <w:numFmt w:val="bullet"/>
      <w:lvlText w:val="o"/>
      <w:lvlJc w:val="left"/>
      <w:pPr>
        <w:ind w:left="4701" w:hanging="360"/>
      </w:pPr>
      <w:rPr>
        <w:rFonts w:ascii="Courier New" w:hAnsi="Courier New" w:cs="Courier New" w:hint="default"/>
      </w:rPr>
    </w:lvl>
    <w:lvl w:ilvl="2" w:tplc="0C090005" w:tentative="1">
      <w:start w:val="1"/>
      <w:numFmt w:val="bullet"/>
      <w:lvlText w:val=""/>
      <w:lvlJc w:val="left"/>
      <w:pPr>
        <w:ind w:left="5421" w:hanging="360"/>
      </w:pPr>
      <w:rPr>
        <w:rFonts w:ascii="Wingdings" w:hAnsi="Wingdings" w:hint="default"/>
      </w:rPr>
    </w:lvl>
    <w:lvl w:ilvl="3" w:tplc="0C090001" w:tentative="1">
      <w:start w:val="1"/>
      <w:numFmt w:val="bullet"/>
      <w:lvlText w:val=""/>
      <w:lvlJc w:val="left"/>
      <w:pPr>
        <w:ind w:left="6141" w:hanging="360"/>
      </w:pPr>
      <w:rPr>
        <w:rFonts w:ascii="Symbol" w:hAnsi="Symbol" w:hint="default"/>
      </w:rPr>
    </w:lvl>
    <w:lvl w:ilvl="4" w:tplc="0C090003" w:tentative="1">
      <w:start w:val="1"/>
      <w:numFmt w:val="bullet"/>
      <w:lvlText w:val="o"/>
      <w:lvlJc w:val="left"/>
      <w:pPr>
        <w:ind w:left="6861" w:hanging="360"/>
      </w:pPr>
      <w:rPr>
        <w:rFonts w:ascii="Courier New" w:hAnsi="Courier New" w:cs="Courier New" w:hint="default"/>
      </w:rPr>
    </w:lvl>
    <w:lvl w:ilvl="5" w:tplc="0C090005" w:tentative="1">
      <w:start w:val="1"/>
      <w:numFmt w:val="bullet"/>
      <w:lvlText w:val=""/>
      <w:lvlJc w:val="left"/>
      <w:pPr>
        <w:ind w:left="7581" w:hanging="360"/>
      </w:pPr>
      <w:rPr>
        <w:rFonts w:ascii="Wingdings" w:hAnsi="Wingdings" w:hint="default"/>
      </w:rPr>
    </w:lvl>
    <w:lvl w:ilvl="6" w:tplc="0C090001" w:tentative="1">
      <w:start w:val="1"/>
      <w:numFmt w:val="bullet"/>
      <w:lvlText w:val=""/>
      <w:lvlJc w:val="left"/>
      <w:pPr>
        <w:ind w:left="8301" w:hanging="360"/>
      </w:pPr>
      <w:rPr>
        <w:rFonts w:ascii="Symbol" w:hAnsi="Symbol" w:hint="default"/>
      </w:rPr>
    </w:lvl>
    <w:lvl w:ilvl="7" w:tplc="0C090003" w:tentative="1">
      <w:start w:val="1"/>
      <w:numFmt w:val="bullet"/>
      <w:lvlText w:val="o"/>
      <w:lvlJc w:val="left"/>
      <w:pPr>
        <w:ind w:left="9021" w:hanging="360"/>
      </w:pPr>
      <w:rPr>
        <w:rFonts w:ascii="Courier New" w:hAnsi="Courier New" w:cs="Courier New" w:hint="default"/>
      </w:rPr>
    </w:lvl>
    <w:lvl w:ilvl="8" w:tplc="0C090005" w:tentative="1">
      <w:start w:val="1"/>
      <w:numFmt w:val="bullet"/>
      <w:lvlText w:val=""/>
      <w:lvlJc w:val="left"/>
      <w:pPr>
        <w:ind w:left="9741" w:hanging="360"/>
      </w:pPr>
      <w:rPr>
        <w:rFonts w:ascii="Wingdings" w:hAnsi="Wingdings" w:hint="default"/>
      </w:rPr>
    </w:lvl>
  </w:abstractNum>
  <w:abstractNum w:abstractNumId="9" w15:restartNumberingAfterBreak="0">
    <w:nsid w:val="13BF4281"/>
    <w:multiLevelType w:val="hybridMultilevel"/>
    <w:tmpl w:val="097891FC"/>
    <w:lvl w:ilvl="0" w:tplc="9ADEE4B8">
      <w:start w:val="1"/>
      <w:numFmt w:val="decimal"/>
      <w:lvlText w:val="%1."/>
      <w:lvlJc w:val="left"/>
      <w:pPr>
        <w:ind w:left="720" w:hanging="72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1567342D"/>
    <w:multiLevelType w:val="hybridMultilevel"/>
    <w:tmpl w:val="D32C00EC"/>
    <w:lvl w:ilvl="0" w:tplc="3FA64A9A">
      <w:start w:val="8"/>
      <w:numFmt w:val="bullet"/>
      <w:lvlText w:val=""/>
      <w:lvlJc w:val="left"/>
      <w:pPr>
        <w:ind w:left="1080" w:hanging="720"/>
      </w:pPr>
      <w:rPr>
        <w:rFonts w:ascii="Symbol" w:eastAsia="Times New Roman" w:hAnsi="Symbol"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67F3288"/>
    <w:multiLevelType w:val="hybridMultilevel"/>
    <w:tmpl w:val="7FB4BFE4"/>
    <w:lvl w:ilvl="0" w:tplc="0C090003">
      <w:start w:val="1"/>
      <w:numFmt w:val="bullet"/>
      <w:lvlText w:val="o"/>
      <w:lvlJc w:val="left"/>
      <w:pPr>
        <w:ind w:left="1040" w:hanging="360"/>
      </w:pPr>
      <w:rPr>
        <w:rFonts w:ascii="Courier New" w:hAnsi="Courier New" w:cs="Courier New" w:hint="default"/>
      </w:rPr>
    </w:lvl>
    <w:lvl w:ilvl="1" w:tplc="FFFFFFFF" w:tentative="1">
      <w:start w:val="1"/>
      <w:numFmt w:val="bullet"/>
      <w:lvlText w:val="o"/>
      <w:lvlJc w:val="left"/>
      <w:pPr>
        <w:ind w:left="1760" w:hanging="360"/>
      </w:pPr>
      <w:rPr>
        <w:rFonts w:ascii="Courier New" w:hAnsi="Courier New" w:cs="Courier New" w:hint="default"/>
      </w:rPr>
    </w:lvl>
    <w:lvl w:ilvl="2" w:tplc="FFFFFFFF" w:tentative="1">
      <w:start w:val="1"/>
      <w:numFmt w:val="bullet"/>
      <w:lvlText w:val=""/>
      <w:lvlJc w:val="left"/>
      <w:pPr>
        <w:ind w:left="2480" w:hanging="360"/>
      </w:pPr>
      <w:rPr>
        <w:rFonts w:ascii="Wingdings" w:hAnsi="Wingdings" w:hint="default"/>
      </w:rPr>
    </w:lvl>
    <w:lvl w:ilvl="3" w:tplc="FFFFFFFF" w:tentative="1">
      <w:start w:val="1"/>
      <w:numFmt w:val="bullet"/>
      <w:lvlText w:val=""/>
      <w:lvlJc w:val="left"/>
      <w:pPr>
        <w:ind w:left="3200" w:hanging="360"/>
      </w:pPr>
      <w:rPr>
        <w:rFonts w:ascii="Symbol" w:hAnsi="Symbol" w:hint="default"/>
      </w:rPr>
    </w:lvl>
    <w:lvl w:ilvl="4" w:tplc="FFFFFFFF" w:tentative="1">
      <w:start w:val="1"/>
      <w:numFmt w:val="bullet"/>
      <w:lvlText w:val="o"/>
      <w:lvlJc w:val="left"/>
      <w:pPr>
        <w:ind w:left="3920" w:hanging="360"/>
      </w:pPr>
      <w:rPr>
        <w:rFonts w:ascii="Courier New" w:hAnsi="Courier New" w:cs="Courier New" w:hint="default"/>
      </w:rPr>
    </w:lvl>
    <w:lvl w:ilvl="5" w:tplc="FFFFFFFF" w:tentative="1">
      <w:start w:val="1"/>
      <w:numFmt w:val="bullet"/>
      <w:lvlText w:val=""/>
      <w:lvlJc w:val="left"/>
      <w:pPr>
        <w:ind w:left="4640" w:hanging="360"/>
      </w:pPr>
      <w:rPr>
        <w:rFonts w:ascii="Wingdings" w:hAnsi="Wingdings" w:hint="default"/>
      </w:rPr>
    </w:lvl>
    <w:lvl w:ilvl="6" w:tplc="FFFFFFFF" w:tentative="1">
      <w:start w:val="1"/>
      <w:numFmt w:val="bullet"/>
      <w:lvlText w:val=""/>
      <w:lvlJc w:val="left"/>
      <w:pPr>
        <w:ind w:left="5360" w:hanging="360"/>
      </w:pPr>
      <w:rPr>
        <w:rFonts w:ascii="Symbol" w:hAnsi="Symbol" w:hint="default"/>
      </w:rPr>
    </w:lvl>
    <w:lvl w:ilvl="7" w:tplc="FFFFFFFF" w:tentative="1">
      <w:start w:val="1"/>
      <w:numFmt w:val="bullet"/>
      <w:lvlText w:val="o"/>
      <w:lvlJc w:val="left"/>
      <w:pPr>
        <w:ind w:left="6080" w:hanging="360"/>
      </w:pPr>
      <w:rPr>
        <w:rFonts w:ascii="Courier New" w:hAnsi="Courier New" w:cs="Courier New" w:hint="default"/>
      </w:rPr>
    </w:lvl>
    <w:lvl w:ilvl="8" w:tplc="FFFFFFFF" w:tentative="1">
      <w:start w:val="1"/>
      <w:numFmt w:val="bullet"/>
      <w:lvlText w:val=""/>
      <w:lvlJc w:val="left"/>
      <w:pPr>
        <w:ind w:left="6800" w:hanging="360"/>
      </w:pPr>
      <w:rPr>
        <w:rFonts w:ascii="Wingdings" w:hAnsi="Wingdings" w:hint="default"/>
      </w:rPr>
    </w:lvl>
  </w:abstractNum>
  <w:abstractNum w:abstractNumId="12" w15:restartNumberingAfterBreak="0">
    <w:nsid w:val="1EA13038"/>
    <w:multiLevelType w:val="hybridMultilevel"/>
    <w:tmpl w:val="6FF6C2E0"/>
    <w:lvl w:ilvl="0" w:tplc="B0AC4570">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5B1403C"/>
    <w:multiLevelType w:val="hybridMultilevel"/>
    <w:tmpl w:val="FB243716"/>
    <w:lvl w:ilvl="0" w:tplc="B3400F6E">
      <w:start w:val="1"/>
      <w:numFmt w:val="bullet"/>
      <w:lvlText w:val=""/>
      <w:lvlJc w:val="left"/>
      <w:pPr>
        <w:ind w:left="720" w:hanging="360"/>
      </w:pPr>
      <w:rPr>
        <w:rFonts w:ascii="Symbol" w:hAnsi="Symbol"/>
      </w:rPr>
    </w:lvl>
    <w:lvl w:ilvl="1" w:tplc="6CBCE35A">
      <w:start w:val="1"/>
      <w:numFmt w:val="bullet"/>
      <w:lvlText w:val=""/>
      <w:lvlJc w:val="left"/>
      <w:pPr>
        <w:ind w:left="720" w:hanging="360"/>
      </w:pPr>
      <w:rPr>
        <w:rFonts w:ascii="Symbol" w:hAnsi="Symbol"/>
      </w:rPr>
    </w:lvl>
    <w:lvl w:ilvl="2" w:tplc="B26451D6">
      <w:start w:val="1"/>
      <w:numFmt w:val="bullet"/>
      <w:lvlText w:val=""/>
      <w:lvlJc w:val="left"/>
      <w:pPr>
        <w:ind w:left="720" w:hanging="360"/>
      </w:pPr>
      <w:rPr>
        <w:rFonts w:ascii="Symbol" w:hAnsi="Symbol"/>
      </w:rPr>
    </w:lvl>
    <w:lvl w:ilvl="3" w:tplc="D50EF3BC">
      <w:start w:val="1"/>
      <w:numFmt w:val="bullet"/>
      <w:lvlText w:val=""/>
      <w:lvlJc w:val="left"/>
      <w:pPr>
        <w:ind w:left="720" w:hanging="360"/>
      </w:pPr>
      <w:rPr>
        <w:rFonts w:ascii="Symbol" w:hAnsi="Symbol"/>
      </w:rPr>
    </w:lvl>
    <w:lvl w:ilvl="4" w:tplc="2B04A770">
      <w:start w:val="1"/>
      <w:numFmt w:val="bullet"/>
      <w:lvlText w:val=""/>
      <w:lvlJc w:val="left"/>
      <w:pPr>
        <w:ind w:left="720" w:hanging="360"/>
      </w:pPr>
      <w:rPr>
        <w:rFonts w:ascii="Symbol" w:hAnsi="Symbol"/>
      </w:rPr>
    </w:lvl>
    <w:lvl w:ilvl="5" w:tplc="F43C4860">
      <w:start w:val="1"/>
      <w:numFmt w:val="bullet"/>
      <w:lvlText w:val=""/>
      <w:lvlJc w:val="left"/>
      <w:pPr>
        <w:ind w:left="720" w:hanging="360"/>
      </w:pPr>
      <w:rPr>
        <w:rFonts w:ascii="Symbol" w:hAnsi="Symbol"/>
      </w:rPr>
    </w:lvl>
    <w:lvl w:ilvl="6" w:tplc="1CE60AD0">
      <w:start w:val="1"/>
      <w:numFmt w:val="bullet"/>
      <w:lvlText w:val=""/>
      <w:lvlJc w:val="left"/>
      <w:pPr>
        <w:ind w:left="720" w:hanging="360"/>
      </w:pPr>
      <w:rPr>
        <w:rFonts w:ascii="Symbol" w:hAnsi="Symbol"/>
      </w:rPr>
    </w:lvl>
    <w:lvl w:ilvl="7" w:tplc="12B63AE8">
      <w:start w:val="1"/>
      <w:numFmt w:val="bullet"/>
      <w:lvlText w:val=""/>
      <w:lvlJc w:val="left"/>
      <w:pPr>
        <w:ind w:left="720" w:hanging="360"/>
      </w:pPr>
      <w:rPr>
        <w:rFonts w:ascii="Symbol" w:hAnsi="Symbol"/>
      </w:rPr>
    </w:lvl>
    <w:lvl w:ilvl="8" w:tplc="3F10A424">
      <w:start w:val="1"/>
      <w:numFmt w:val="bullet"/>
      <w:lvlText w:val=""/>
      <w:lvlJc w:val="left"/>
      <w:pPr>
        <w:ind w:left="720" w:hanging="360"/>
      </w:pPr>
      <w:rPr>
        <w:rFonts w:ascii="Symbol" w:hAnsi="Symbol"/>
      </w:rPr>
    </w:lvl>
  </w:abstractNum>
  <w:abstractNum w:abstractNumId="14" w15:restartNumberingAfterBreak="0">
    <w:nsid w:val="28837522"/>
    <w:multiLevelType w:val="hybridMultilevel"/>
    <w:tmpl w:val="C7E0831E"/>
    <w:lvl w:ilvl="0" w:tplc="0C090003">
      <w:start w:val="1"/>
      <w:numFmt w:val="bullet"/>
      <w:lvlText w:val="o"/>
      <w:lvlJc w:val="left"/>
      <w:pPr>
        <w:ind w:left="644" w:hanging="360"/>
      </w:pPr>
      <w:rPr>
        <w:rFonts w:ascii="Courier New" w:hAnsi="Courier New" w:cs="Courier New" w:hint="default"/>
        <w:color w:val="auto"/>
      </w:rPr>
    </w:lvl>
    <w:lvl w:ilvl="1" w:tplc="FFFFFFFF">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15" w15:restartNumberingAfterBreak="0">
    <w:nsid w:val="29A849BC"/>
    <w:multiLevelType w:val="hybridMultilevel"/>
    <w:tmpl w:val="1E923094"/>
    <w:lvl w:ilvl="0" w:tplc="948C676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B300057"/>
    <w:multiLevelType w:val="hybridMultilevel"/>
    <w:tmpl w:val="8098CA82"/>
    <w:lvl w:ilvl="0" w:tplc="F6ACAE04">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17" w15:restartNumberingAfterBreak="0">
    <w:nsid w:val="2E5B1371"/>
    <w:multiLevelType w:val="hybridMultilevel"/>
    <w:tmpl w:val="152EFF84"/>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30D935C9"/>
    <w:multiLevelType w:val="hybridMultilevel"/>
    <w:tmpl w:val="61F0B5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2BB617A"/>
    <w:multiLevelType w:val="hybridMultilevel"/>
    <w:tmpl w:val="9DAEA7E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34CD50FD"/>
    <w:multiLevelType w:val="hybridMultilevel"/>
    <w:tmpl w:val="0C56A6CA"/>
    <w:lvl w:ilvl="0" w:tplc="0C090019">
      <w:start w:val="1"/>
      <w:numFmt w:val="lowerLetter"/>
      <w:lvlText w:val="%1."/>
      <w:lvlJc w:val="left"/>
      <w:pPr>
        <w:ind w:left="644" w:hanging="360"/>
      </w:p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1" w15:restartNumberingAfterBreak="0">
    <w:nsid w:val="3629013F"/>
    <w:multiLevelType w:val="hybridMultilevel"/>
    <w:tmpl w:val="0E32F668"/>
    <w:lvl w:ilvl="0" w:tplc="3FA64A9A">
      <w:start w:val="8"/>
      <w:numFmt w:val="bullet"/>
      <w:lvlText w:val=""/>
      <w:lvlJc w:val="left"/>
      <w:pPr>
        <w:ind w:left="644" w:hanging="360"/>
      </w:pPr>
      <w:rPr>
        <w:rFonts w:ascii="Symbol" w:eastAsia="Times New Roman" w:hAnsi="Symbol" w:cs="Times New Roman" w:hint="default"/>
        <w:color w:val="auto"/>
      </w:rPr>
    </w:lvl>
    <w:lvl w:ilvl="1" w:tplc="FFFFFFFF">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22" w15:restartNumberingAfterBreak="0">
    <w:nsid w:val="3A8B313B"/>
    <w:multiLevelType w:val="hybridMultilevel"/>
    <w:tmpl w:val="B9825544"/>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23" w15:restartNumberingAfterBreak="0">
    <w:nsid w:val="3AFC031F"/>
    <w:multiLevelType w:val="hybridMultilevel"/>
    <w:tmpl w:val="CD8E42C4"/>
    <w:lvl w:ilvl="0" w:tplc="C184A09A">
      <w:start w:val="1"/>
      <w:numFmt w:val="bullet"/>
      <w:pStyle w:val="071Tablebullet8p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C0E3213"/>
    <w:multiLevelType w:val="hybridMultilevel"/>
    <w:tmpl w:val="FA2274F0"/>
    <w:lvl w:ilvl="0" w:tplc="BAFE5A88">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EC95617"/>
    <w:multiLevelType w:val="hybridMultilevel"/>
    <w:tmpl w:val="0CC40650"/>
    <w:lvl w:ilvl="0" w:tplc="0C090003">
      <w:start w:val="1"/>
      <w:numFmt w:val="bullet"/>
      <w:lvlText w:val="o"/>
      <w:lvlJc w:val="left"/>
      <w:pPr>
        <w:ind w:left="644" w:hanging="360"/>
      </w:pPr>
      <w:rPr>
        <w:rFonts w:ascii="Courier New" w:hAnsi="Courier New" w:cs="Courier New" w:hint="default"/>
        <w:color w:val="auto"/>
      </w:rPr>
    </w:lvl>
    <w:lvl w:ilvl="1" w:tplc="FFFFFFFF">
      <w:start w:val="1"/>
      <w:numFmt w:val="bullet"/>
      <w:lvlText w:val="o"/>
      <w:lvlJc w:val="left"/>
      <w:pPr>
        <w:ind w:left="1724" w:hanging="360"/>
      </w:pPr>
      <w:rPr>
        <w:rFonts w:ascii="Courier New" w:hAnsi="Courier New" w:cs="Courier New" w:hint="default"/>
      </w:rPr>
    </w:lvl>
    <w:lvl w:ilvl="2" w:tplc="FFFFFFFF" w:tentative="1">
      <w:start w:val="1"/>
      <w:numFmt w:val="bullet"/>
      <w:lvlText w:val=""/>
      <w:lvlJc w:val="left"/>
      <w:pPr>
        <w:ind w:left="2444" w:hanging="360"/>
      </w:pPr>
      <w:rPr>
        <w:rFonts w:ascii="Wingdings" w:hAnsi="Wingdings" w:hint="default"/>
      </w:rPr>
    </w:lvl>
    <w:lvl w:ilvl="3" w:tplc="FFFFFFFF" w:tentative="1">
      <w:start w:val="1"/>
      <w:numFmt w:val="bullet"/>
      <w:lvlText w:val=""/>
      <w:lvlJc w:val="left"/>
      <w:pPr>
        <w:ind w:left="3164" w:hanging="360"/>
      </w:pPr>
      <w:rPr>
        <w:rFonts w:ascii="Symbol" w:hAnsi="Symbol" w:hint="default"/>
      </w:rPr>
    </w:lvl>
    <w:lvl w:ilvl="4" w:tplc="FFFFFFFF" w:tentative="1">
      <w:start w:val="1"/>
      <w:numFmt w:val="bullet"/>
      <w:lvlText w:val="o"/>
      <w:lvlJc w:val="left"/>
      <w:pPr>
        <w:ind w:left="3884" w:hanging="360"/>
      </w:pPr>
      <w:rPr>
        <w:rFonts w:ascii="Courier New" w:hAnsi="Courier New" w:cs="Courier New" w:hint="default"/>
      </w:rPr>
    </w:lvl>
    <w:lvl w:ilvl="5" w:tplc="FFFFFFFF" w:tentative="1">
      <w:start w:val="1"/>
      <w:numFmt w:val="bullet"/>
      <w:lvlText w:val=""/>
      <w:lvlJc w:val="left"/>
      <w:pPr>
        <w:ind w:left="4604" w:hanging="360"/>
      </w:pPr>
      <w:rPr>
        <w:rFonts w:ascii="Wingdings" w:hAnsi="Wingdings" w:hint="default"/>
      </w:rPr>
    </w:lvl>
    <w:lvl w:ilvl="6" w:tplc="FFFFFFFF" w:tentative="1">
      <w:start w:val="1"/>
      <w:numFmt w:val="bullet"/>
      <w:lvlText w:val=""/>
      <w:lvlJc w:val="left"/>
      <w:pPr>
        <w:ind w:left="5324" w:hanging="360"/>
      </w:pPr>
      <w:rPr>
        <w:rFonts w:ascii="Symbol" w:hAnsi="Symbol" w:hint="default"/>
      </w:rPr>
    </w:lvl>
    <w:lvl w:ilvl="7" w:tplc="FFFFFFFF" w:tentative="1">
      <w:start w:val="1"/>
      <w:numFmt w:val="bullet"/>
      <w:lvlText w:val="o"/>
      <w:lvlJc w:val="left"/>
      <w:pPr>
        <w:ind w:left="6044" w:hanging="360"/>
      </w:pPr>
      <w:rPr>
        <w:rFonts w:ascii="Courier New" w:hAnsi="Courier New" w:cs="Courier New" w:hint="default"/>
      </w:rPr>
    </w:lvl>
    <w:lvl w:ilvl="8" w:tplc="FFFFFFFF" w:tentative="1">
      <w:start w:val="1"/>
      <w:numFmt w:val="bullet"/>
      <w:lvlText w:val=""/>
      <w:lvlJc w:val="left"/>
      <w:pPr>
        <w:ind w:left="6764" w:hanging="360"/>
      </w:pPr>
      <w:rPr>
        <w:rFonts w:ascii="Wingdings" w:hAnsi="Wingdings" w:hint="default"/>
      </w:rPr>
    </w:lvl>
  </w:abstractNum>
  <w:abstractNum w:abstractNumId="26" w15:restartNumberingAfterBreak="0">
    <w:nsid w:val="414D6127"/>
    <w:multiLevelType w:val="hybridMultilevel"/>
    <w:tmpl w:val="C6AAF2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35D1511"/>
    <w:multiLevelType w:val="hybridMultilevel"/>
    <w:tmpl w:val="A47A7A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4622643"/>
    <w:multiLevelType w:val="hybridMultilevel"/>
    <w:tmpl w:val="18E2EA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455B6605"/>
    <w:multiLevelType w:val="hybridMultilevel"/>
    <w:tmpl w:val="3F84F8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0" w15:restartNumberingAfterBreak="0">
    <w:nsid w:val="4B4972C8"/>
    <w:multiLevelType w:val="hybridMultilevel"/>
    <w:tmpl w:val="62D05332"/>
    <w:lvl w:ilvl="0" w:tplc="259C1868">
      <w:start w:val="1"/>
      <w:numFmt w:val="decimal"/>
      <w:lvlText w:val="%1."/>
      <w:lvlJc w:val="left"/>
      <w:pPr>
        <w:ind w:left="720" w:hanging="72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 w15:restartNumberingAfterBreak="0">
    <w:nsid w:val="51417334"/>
    <w:multiLevelType w:val="hybridMultilevel"/>
    <w:tmpl w:val="DB828934"/>
    <w:lvl w:ilvl="0" w:tplc="981ABF3C">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7B466D7"/>
    <w:multiLevelType w:val="hybridMultilevel"/>
    <w:tmpl w:val="438A59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8A505DC"/>
    <w:multiLevelType w:val="hybridMultilevel"/>
    <w:tmpl w:val="CCF0B9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9F25C7C"/>
    <w:multiLevelType w:val="hybridMultilevel"/>
    <w:tmpl w:val="7B34F22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775C8A1E">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A0D7EEB"/>
    <w:multiLevelType w:val="hybridMultilevel"/>
    <w:tmpl w:val="C34CE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BA63066"/>
    <w:multiLevelType w:val="hybridMultilevel"/>
    <w:tmpl w:val="102838E2"/>
    <w:lvl w:ilvl="0" w:tplc="0C09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5C4D4047"/>
    <w:multiLevelType w:val="hybridMultilevel"/>
    <w:tmpl w:val="6CE03C5E"/>
    <w:lvl w:ilvl="0" w:tplc="0C090001">
      <w:start w:val="1"/>
      <w:numFmt w:val="bullet"/>
      <w:lvlText w:val=""/>
      <w:lvlJc w:val="left"/>
      <w:pPr>
        <w:ind w:left="397" w:hanging="360"/>
      </w:pPr>
      <w:rPr>
        <w:rFonts w:ascii="Symbol" w:hAnsi="Symbol" w:hint="default"/>
      </w:rPr>
    </w:lvl>
    <w:lvl w:ilvl="1" w:tplc="0C090003" w:tentative="1">
      <w:start w:val="1"/>
      <w:numFmt w:val="bullet"/>
      <w:lvlText w:val="o"/>
      <w:lvlJc w:val="left"/>
      <w:pPr>
        <w:ind w:left="1117" w:hanging="360"/>
      </w:pPr>
      <w:rPr>
        <w:rFonts w:ascii="Courier New" w:hAnsi="Courier New" w:cs="Courier New" w:hint="default"/>
      </w:rPr>
    </w:lvl>
    <w:lvl w:ilvl="2" w:tplc="0C090005" w:tentative="1">
      <w:start w:val="1"/>
      <w:numFmt w:val="bullet"/>
      <w:lvlText w:val=""/>
      <w:lvlJc w:val="left"/>
      <w:pPr>
        <w:ind w:left="1837" w:hanging="360"/>
      </w:pPr>
      <w:rPr>
        <w:rFonts w:ascii="Wingdings" w:hAnsi="Wingdings" w:hint="default"/>
      </w:rPr>
    </w:lvl>
    <w:lvl w:ilvl="3" w:tplc="0C090001" w:tentative="1">
      <w:start w:val="1"/>
      <w:numFmt w:val="bullet"/>
      <w:lvlText w:val=""/>
      <w:lvlJc w:val="left"/>
      <w:pPr>
        <w:ind w:left="2557" w:hanging="360"/>
      </w:pPr>
      <w:rPr>
        <w:rFonts w:ascii="Symbol" w:hAnsi="Symbol" w:hint="default"/>
      </w:rPr>
    </w:lvl>
    <w:lvl w:ilvl="4" w:tplc="0C090003" w:tentative="1">
      <w:start w:val="1"/>
      <w:numFmt w:val="bullet"/>
      <w:lvlText w:val="o"/>
      <w:lvlJc w:val="left"/>
      <w:pPr>
        <w:ind w:left="3277" w:hanging="360"/>
      </w:pPr>
      <w:rPr>
        <w:rFonts w:ascii="Courier New" w:hAnsi="Courier New" w:cs="Courier New" w:hint="default"/>
      </w:rPr>
    </w:lvl>
    <w:lvl w:ilvl="5" w:tplc="0C090005" w:tentative="1">
      <w:start w:val="1"/>
      <w:numFmt w:val="bullet"/>
      <w:lvlText w:val=""/>
      <w:lvlJc w:val="left"/>
      <w:pPr>
        <w:ind w:left="3997" w:hanging="360"/>
      </w:pPr>
      <w:rPr>
        <w:rFonts w:ascii="Wingdings" w:hAnsi="Wingdings" w:hint="default"/>
      </w:rPr>
    </w:lvl>
    <w:lvl w:ilvl="6" w:tplc="0C090001" w:tentative="1">
      <w:start w:val="1"/>
      <w:numFmt w:val="bullet"/>
      <w:lvlText w:val=""/>
      <w:lvlJc w:val="left"/>
      <w:pPr>
        <w:ind w:left="4717" w:hanging="360"/>
      </w:pPr>
      <w:rPr>
        <w:rFonts w:ascii="Symbol" w:hAnsi="Symbol" w:hint="default"/>
      </w:rPr>
    </w:lvl>
    <w:lvl w:ilvl="7" w:tplc="0C090003" w:tentative="1">
      <w:start w:val="1"/>
      <w:numFmt w:val="bullet"/>
      <w:lvlText w:val="o"/>
      <w:lvlJc w:val="left"/>
      <w:pPr>
        <w:ind w:left="5437" w:hanging="360"/>
      </w:pPr>
      <w:rPr>
        <w:rFonts w:ascii="Courier New" w:hAnsi="Courier New" w:cs="Courier New" w:hint="default"/>
      </w:rPr>
    </w:lvl>
    <w:lvl w:ilvl="8" w:tplc="0C090005" w:tentative="1">
      <w:start w:val="1"/>
      <w:numFmt w:val="bullet"/>
      <w:lvlText w:val=""/>
      <w:lvlJc w:val="left"/>
      <w:pPr>
        <w:ind w:left="6157" w:hanging="360"/>
      </w:pPr>
      <w:rPr>
        <w:rFonts w:ascii="Wingdings" w:hAnsi="Wingdings" w:hint="default"/>
      </w:rPr>
    </w:lvl>
  </w:abstractNum>
  <w:abstractNum w:abstractNumId="39" w15:restartNumberingAfterBreak="0">
    <w:nsid w:val="5CD34C23"/>
    <w:multiLevelType w:val="hybridMultilevel"/>
    <w:tmpl w:val="764237B0"/>
    <w:lvl w:ilvl="0" w:tplc="F66C3D02">
      <w:start w:val="1"/>
      <w:numFmt w:val="bullet"/>
      <w:pStyle w:val="Bulletpoint"/>
      <w:lvlText w:val=""/>
      <w:lvlJc w:val="left"/>
      <w:pPr>
        <w:ind w:left="-2223" w:hanging="360"/>
      </w:pPr>
      <w:rPr>
        <w:rFonts w:ascii="Symbol" w:hAnsi="Symbol" w:hint="default"/>
      </w:rPr>
    </w:lvl>
    <w:lvl w:ilvl="1" w:tplc="0C090003">
      <w:start w:val="1"/>
      <w:numFmt w:val="bullet"/>
      <w:pStyle w:val="Bulletpoint2ndlevel"/>
      <w:lvlText w:val="o"/>
      <w:lvlJc w:val="left"/>
      <w:pPr>
        <w:ind w:left="-1503" w:hanging="360"/>
      </w:pPr>
      <w:rPr>
        <w:rFonts w:ascii="Courier New" w:hAnsi="Courier New" w:cs="Courier New" w:hint="default"/>
      </w:rPr>
    </w:lvl>
    <w:lvl w:ilvl="2" w:tplc="0C090005">
      <w:start w:val="1"/>
      <w:numFmt w:val="bullet"/>
      <w:lvlText w:val=""/>
      <w:lvlJc w:val="left"/>
      <w:pPr>
        <w:ind w:left="-783" w:hanging="360"/>
      </w:pPr>
      <w:rPr>
        <w:rFonts w:ascii="Wingdings" w:hAnsi="Wingdings" w:hint="default"/>
      </w:rPr>
    </w:lvl>
    <w:lvl w:ilvl="3" w:tplc="0C090001">
      <w:start w:val="1"/>
      <w:numFmt w:val="bullet"/>
      <w:lvlText w:val=""/>
      <w:lvlJc w:val="left"/>
      <w:pPr>
        <w:ind w:left="-63" w:hanging="360"/>
      </w:pPr>
      <w:rPr>
        <w:rFonts w:ascii="Symbol" w:hAnsi="Symbol" w:hint="default"/>
      </w:rPr>
    </w:lvl>
    <w:lvl w:ilvl="4" w:tplc="0C090003">
      <w:start w:val="1"/>
      <w:numFmt w:val="bullet"/>
      <w:lvlText w:val="o"/>
      <w:lvlJc w:val="left"/>
      <w:pPr>
        <w:ind w:left="657" w:hanging="360"/>
      </w:pPr>
      <w:rPr>
        <w:rFonts w:ascii="Courier New" w:hAnsi="Courier New" w:cs="Courier New" w:hint="default"/>
      </w:rPr>
    </w:lvl>
    <w:lvl w:ilvl="5" w:tplc="0C090005" w:tentative="1">
      <w:start w:val="1"/>
      <w:numFmt w:val="bullet"/>
      <w:lvlText w:val=""/>
      <w:lvlJc w:val="left"/>
      <w:pPr>
        <w:ind w:left="1377" w:hanging="360"/>
      </w:pPr>
      <w:rPr>
        <w:rFonts w:ascii="Wingdings" w:hAnsi="Wingdings" w:hint="default"/>
      </w:rPr>
    </w:lvl>
    <w:lvl w:ilvl="6" w:tplc="0C090001" w:tentative="1">
      <w:start w:val="1"/>
      <w:numFmt w:val="bullet"/>
      <w:lvlText w:val=""/>
      <w:lvlJc w:val="left"/>
      <w:pPr>
        <w:ind w:left="2097" w:hanging="360"/>
      </w:pPr>
      <w:rPr>
        <w:rFonts w:ascii="Symbol" w:hAnsi="Symbol" w:hint="default"/>
      </w:rPr>
    </w:lvl>
    <w:lvl w:ilvl="7" w:tplc="0C090003" w:tentative="1">
      <w:start w:val="1"/>
      <w:numFmt w:val="bullet"/>
      <w:lvlText w:val="o"/>
      <w:lvlJc w:val="left"/>
      <w:pPr>
        <w:ind w:left="2817" w:hanging="360"/>
      </w:pPr>
      <w:rPr>
        <w:rFonts w:ascii="Courier New" w:hAnsi="Courier New" w:cs="Courier New" w:hint="default"/>
      </w:rPr>
    </w:lvl>
    <w:lvl w:ilvl="8" w:tplc="0C090005" w:tentative="1">
      <w:start w:val="1"/>
      <w:numFmt w:val="bullet"/>
      <w:lvlText w:val=""/>
      <w:lvlJc w:val="left"/>
      <w:pPr>
        <w:ind w:left="3537" w:hanging="360"/>
      </w:pPr>
      <w:rPr>
        <w:rFonts w:ascii="Wingdings" w:hAnsi="Wingdings" w:hint="default"/>
      </w:rPr>
    </w:lvl>
  </w:abstractNum>
  <w:abstractNum w:abstractNumId="40" w15:restartNumberingAfterBreak="0">
    <w:nsid w:val="5ED967B1"/>
    <w:multiLevelType w:val="hybridMultilevel"/>
    <w:tmpl w:val="7B2822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5FEA6FED"/>
    <w:multiLevelType w:val="hybridMultilevel"/>
    <w:tmpl w:val="6F882250"/>
    <w:lvl w:ilvl="0" w:tplc="F6ACAE0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613B6F81"/>
    <w:multiLevelType w:val="hybridMultilevel"/>
    <w:tmpl w:val="3F12260A"/>
    <w:lvl w:ilvl="0" w:tplc="BAEEDBF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38A7DEF"/>
    <w:multiLevelType w:val="hybridMultilevel"/>
    <w:tmpl w:val="3BA2291C"/>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68B525D8"/>
    <w:multiLevelType w:val="hybridMultilevel"/>
    <w:tmpl w:val="EE7CA9AA"/>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69D137C6"/>
    <w:multiLevelType w:val="hybridMultilevel"/>
    <w:tmpl w:val="CCB4BE3C"/>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A4D5234"/>
    <w:multiLevelType w:val="hybridMultilevel"/>
    <w:tmpl w:val="DA2EC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B1D1376"/>
    <w:multiLevelType w:val="hybridMultilevel"/>
    <w:tmpl w:val="84DC94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D2E3B42"/>
    <w:multiLevelType w:val="hybridMultilevel"/>
    <w:tmpl w:val="47143E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E49238F"/>
    <w:multiLevelType w:val="hybridMultilevel"/>
    <w:tmpl w:val="D452C3A4"/>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737A6714"/>
    <w:multiLevelType w:val="hybridMultilevel"/>
    <w:tmpl w:val="4A7CD772"/>
    <w:lvl w:ilvl="0" w:tplc="BE6E24F6">
      <w:numFmt w:val="bullet"/>
      <w:lvlText w:val="•"/>
      <w:lvlJc w:val="left"/>
      <w:pPr>
        <w:ind w:left="366" w:hanging="720"/>
      </w:pPr>
      <w:rPr>
        <w:rFonts w:ascii="Calibri" w:eastAsiaTheme="minorHAnsi" w:hAnsi="Calibri" w:cs="Calibri" w:hint="default"/>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52" w15:restartNumberingAfterBreak="0">
    <w:nsid w:val="74663C21"/>
    <w:multiLevelType w:val="hybridMultilevel"/>
    <w:tmpl w:val="1D943116"/>
    <w:lvl w:ilvl="0" w:tplc="6C72E286">
      <w:start w:val="1"/>
      <w:numFmt w:val="bullet"/>
      <w:lvlText w:val=""/>
      <w:lvlJc w:val="left"/>
      <w:pPr>
        <w:ind w:left="720" w:hanging="360"/>
      </w:pPr>
      <w:rPr>
        <w:rFonts w:ascii="Symbol" w:hAnsi="Symbol"/>
      </w:rPr>
    </w:lvl>
    <w:lvl w:ilvl="1" w:tplc="EB1C54EE">
      <w:start w:val="1"/>
      <w:numFmt w:val="bullet"/>
      <w:lvlText w:val=""/>
      <w:lvlJc w:val="left"/>
      <w:pPr>
        <w:ind w:left="720" w:hanging="360"/>
      </w:pPr>
      <w:rPr>
        <w:rFonts w:ascii="Symbol" w:hAnsi="Symbol"/>
      </w:rPr>
    </w:lvl>
    <w:lvl w:ilvl="2" w:tplc="BDC819A8">
      <w:start w:val="1"/>
      <w:numFmt w:val="bullet"/>
      <w:lvlText w:val=""/>
      <w:lvlJc w:val="left"/>
      <w:pPr>
        <w:ind w:left="720" w:hanging="360"/>
      </w:pPr>
      <w:rPr>
        <w:rFonts w:ascii="Symbol" w:hAnsi="Symbol"/>
      </w:rPr>
    </w:lvl>
    <w:lvl w:ilvl="3" w:tplc="B2BA3E30">
      <w:start w:val="1"/>
      <w:numFmt w:val="bullet"/>
      <w:lvlText w:val=""/>
      <w:lvlJc w:val="left"/>
      <w:pPr>
        <w:ind w:left="720" w:hanging="360"/>
      </w:pPr>
      <w:rPr>
        <w:rFonts w:ascii="Symbol" w:hAnsi="Symbol"/>
      </w:rPr>
    </w:lvl>
    <w:lvl w:ilvl="4" w:tplc="3E3CFF46">
      <w:start w:val="1"/>
      <w:numFmt w:val="bullet"/>
      <w:lvlText w:val=""/>
      <w:lvlJc w:val="left"/>
      <w:pPr>
        <w:ind w:left="720" w:hanging="360"/>
      </w:pPr>
      <w:rPr>
        <w:rFonts w:ascii="Symbol" w:hAnsi="Symbol"/>
      </w:rPr>
    </w:lvl>
    <w:lvl w:ilvl="5" w:tplc="B628B264">
      <w:start w:val="1"/>
      <w:numFmt w:val="bullet"/>
      <w:lvlText w:val=""/>
      <w:lvlJc w:val="left"/>
      <w:pPr>
        <w:ind w:left="720" w:hanging="360"/>
      </w:pPr>
      <w:rPr>
        <w:rFonts w:ascii="Symbol" w:hAnsi="Symbol"/>
      </w:rPr>
    </w:lvl>
    <w:lvl w:ilvl="6" w:tplc="2B2A4BDC">
      <w:start w:val="1"/>
      <w:numFmt w:val="bullet"/>
      <w:lvlText w:val=""/>
      <w:lvlJc w:val="left"/>
      <w:pPr>
        <w:ind w:left="720" w:hanging="360"/>
      </w:pPr>
      <w:rPr>
        <w:rFonts w:ascii="Symbol" w:hAnsi="Symbol"/>
      </w:rPr>
    </w:lvl>
    <w:lvl w:ilvl="7" w:tplc="B43E64A4">
      <w:start w:val="1"/>
      <w:numFmt w:val="bullet"/>
      <w:lvlText w:val=""/>
      <w:lvlJc w:val="left"/>
      <w:pPr>
        <w:ind w:left="720" w:hanging="360"/>
      </w:pPr>
      <w:rPr>
        <w:rFonts w:ascii="Symbol" w:hAnsi="Symbol"/>
      </w:rPr>
    </w:lvl>
    <w:lvl w:ilvl="8" w:tplc="7890BB54">
      <w:start w:val="1"/>
      <w:numFmt w:val="bullet"/>
      <w:lvlText w:val=""/>
      <w:lvlJc w:val="left"/>
      <w:pPr>
        <w:ind w:left="720" w:hanging="360"/>
      </w:pPr>
      <w:rPr>
        <w:rFonts w:ascii="Symbol" w:hAnsi="Symbol"/>
      </w:rPr>
    </w:lvl>
  </w:abstractNum>
  <w:abstractNum w:abstractNumId="53" w15:restartNumberingAfterBreak="0">
    <w:nsid w:val="75C26875"/>
    <w:multiLevelType w:val="hybridMultilevel"/>
    <w:tmpl w:val="F8324968"/>
    <w:lvl w:ilvl="0" w:tplc="3FA64A9A">
      <w:start w:val="8"/>
      <w:numFmt w:val="bullet"/>
      <w:lvlText w:val=""/>
      <w:lvlJc w:val="left"/>
      <w:pPr>
        <w:ind w:left="3621" w:hanging="360"/>
      </w:pPr>
      <w:rPr>
        <w:rFonts w:ascii="Symbol" w:eastAsia="Times New Roman" w:hAnsi="Symbol" w:cs="Times New Roman" w:hint="default"/>
        <w:color w:val="auto"/>
      </w:rPr>
    </w:lvl>
    <w:lvl w:ilvl="1" w:tplc="FFFFFFFF">
      <w:start w:val="1"/>
      <w:numFmt w:val="bullet"/>
      <w:lvlText w:val="o"/>
      <w:lvlJc w:val="left"/>
      <w:pPr>
        <w:ind w:left="4701" w:hanging="360"/>
      </w:pPr>
      <w:rPr>
        <w:rFonts w:ascii="Courier New" w:hAnsi="Courier New" w:cs="Courier New" w:hint="default"/>
      </w:rPr>
    </w:lvl>
    <w:lvl w:ilvl="2" w:tplc="FFFFFFFF" w:tentative="1">
      <w:start w:val="1"/>
      <w:numFmt w:val="bullet"/>
      <w:lvlText w:val=""/>
      <w:lvlJc w:val="left"/>
      <w:pPr>
        <w:ind w:left="5421" w:hanging="360"/>
      </w:pPr>
      <w:rPr>
        <w:rFonts w:ascii="Wingdings" w:hAnsi="Wingdings" w:hint="default"/>
      </w:rPr>
    </w:lvl>
    <w:lvl w:ilvl="3" w:tplc="FFFFFFFF" w:tentative="1">
      <w:start w:val="1"/>
      <w:numFmt w:val="bullet"/>
      <w:lvlText w:val=""/>
      <w:lvlJc w:val="left"/>
      <w:pPr>
        <w:ind w:left="6141" w:hanging="360"/>
      </w:pPr>
      <w:rPr>
        <w:rFonts w:ascii="Symbol" w:hAnsi="Symbol" w:hint="default"/>
      </w:rPr>
    </w:lvl>
    <w:lvl w:ilvl="4" w:tplc="FFFFFFFF" w:tentative="1">
      <w:start w:val="1"/>
      <w:numFmt w:val="bullet"/>
      <w:lvlText w:val="o"/>
      <w:lvlJc w:val="left"/>
      <w:pPr>
        <w:ind w:left="6861" w:hanging="360"/>
      </w:pPr>
      <w:rPr>
        <w:rFonts w:ascii="Courier New" w:hAnsi="Courier New" w:cs="Courier New" w:hint="default"/>
      </w:rPr>
    </w:lvl>
    <w:lvl w:ilvl="5" w:tplc="FFFFFFFF" w:tentative="1">
      <w:start w:val="1"/>
      <w:numFmt w:val="bullet"/>
      <w:lvlText w:val=""/>
      <w:lvlJc w:val="left"/>
      <w:pPr>
        <w:ind w:left="7581" w:hanging="360"/>
      </w:pPr>
      <w:rPr>
        <w:rFonts w:ascii="Wingdings" w:hAnsi="Wingdings" w:hint="default"/>
      </w:rPr>
    </w:lvl>
    <w:lvl w:ilvl="6" w:tplc="FFFFFFFF" w:tentative="1">
      <w:start w:val="1"/>
      <w:numFmt w:val="bullet"/>
      <w:lvlText w:val=""/>
      <w:lvlJc w:val="left"/>
      <w:pPr>
        <w:ind w:left="8301" w:hanging="360"/>
      </w:pPr>
      <w:rPr>
        <w:rFonts w:ascii="Symbol" w:hAnsi="Symbol" w:hint="default"/>
      </w:rPr>
    </w:lvl>
    <w:lvl w:ilvl="7" w:tplc="FFFFFFFF" w:tentative="1">
      <w:start w:val="1"/>
      <w:numFmt w:val="bullet"/>
      <w:lvlText w:val="o"/>
      <w:lvlJc w:val="left"/>
      <w:pPr>
        <w:ind w:left="9021" w:hanging="360"/>
      </w:pPr>
      <w:rPr>
        <w:rFonts w:ascii="Courier New" w:hAnsi="Courier New" w:cs="Courier New" w:hint="default"/>
      </w:rPr>
    </w:lvl>
    <w:lvl w:ilvl="8" w:tplc="FFFFFFFF" w:tentative="1">
      <w:start w:val="1"/>
      <w:numFmt w:val="bullet"/>
      <w:lvlText w:val=""/>
      <w:lvlJc w:val="left"/>
      <w:pPr>
        <w:ind w:left="9741" w:hanging="360"/>
      </w:pPr>
      <w:rPr>
        <w:rFonts w:ascii="Wingdings" w:hAnsi="Wingdings" w:hint="default"/>
      </w:rPr>
    </w:lvl>
  </w:abstractNum>
  <w:abstractNum w:abstractNumId="54" w15:restartNumberingAfterBreak="0">
    <w:nsid w:val="76B60507"/>
    <w:multiLevelType w:val="hybridMultilevel"/>
    <w:tmpl w:val="402AF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D4877F2"/>
    <w:multiLevelType w:val="hybridMultilevel"/>
    <w:tmpl w:val="6F86FEC4"/>
    <w:lvl w:ilvl="0" w:tplc="1752F526">
      <w:start w:val="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694383917">
    <w:abstractNumId w:val="32"/>
  </w:num>
  <w:num w:numId="2" w16cid:durableId="492794420">
    <w:abstractNumId w:val="48"/>
  </w:num>
  <w:num w:numId="3" w16cid:durableId="403377446">
    <w:abstractNumId w:val="2"/>
  </w:num>
  <w:num w:numId="4" w16cid:durableId="524177122">
    <w:abstractNumId w:val="56"/>
  </w:num>
  <w:num w:numId="5" w16cid:durableId="1823891009">
    <w:abstractNumId w:val="8"/>
  </w:num>
  <w:num w:numId="6" w16cid:durableId="590890767">
    <w:abstractNumId w:val="20"/>
  </w:num>
  <w:num w:numId="7" w16cid:durableId="1593735627">
    <w:abstractNumId w:val="12"/>
  </w:num>
  <w:num w:numId="8" w16cid:durableId="1115518632">
    <w:abstractNumId w:val="17"/>
  </w:num>
  <w:num w:numId="9" w16cid:durableId="1641113856">
    <w:abstractNumId w:val="9"/>
  </w:num>
  <w:num w:numId="10" w16cid:durableId="1706834406">
    <w:abstractNumId w:val="30"/>
  </w:num>
  <w:num w:numId="11" w16cid:durableId="1595016579">
    <w:abstractNumId w:val="23"/>
  </w:num>
  <w:num w:numId="12" w16cid:durableId="584724119">
    <w:abstractNumId w:val="38"/>
  </w:num>
  <w:num w:numId="13" w16cid:durableId="367143191">
    <w:abstractNumId w:val="39"/>
  </w:num>
  <w:num w:numId="14" w16cid:durableId="28652379">
    <w:abstractNumId w:val="36"/>
  </w:num>
  <w:num w:numId="15" w16cid:durableId="1979651226">
    <w:abstractNumId w:val="28"/>
  </w:num>
  <w:num w:numId="16" w16cid:durableId="2109932104">
    <w:abstractNumId w:val="26"/>
  </w:num>
  <w:num w:numId="17" w16cid:durableId="940450006">
    <w:abstractNumId w:val="6"/>
  </w:num>
  <w:num w:numId="18" w16cid:durableId="2012491044">
    <w:abstractNumId w:val="7"/>
  </w:num>
  <w:num w:numId="19" w16cid:durableId="2007518336">
    <w:abstractNumId w:val="5"/>
  </w:num>
  <w:num w:numId="20" w16cid:durableId="300384082">
    <w:abstractNumId w:val="11"/>
  </w:num>
  <w:num w:numId="21" w16cid:durableId="1110586839">
    <w:abstractNumId w:val="50"/>
  </w:num>
  <w:num w:numId="22" w16cid:durableId="1085490812">
    <w:abstractNumId w:val="18"/>
  </w:num>
  <w:num w:numId="23" w16cid:durableId="1061712497">
    <w:abstractNumId w:val="3"/>
  </w:num>
  <w:num w:numId="24" w16cid:durableId="448672431">
    <w:abstractNumId w:val="54"/>
  </w:num>
  <w:num w:numId="25" w16cid:durableId="256984186">
    <w:abstractNumId w:val="8"/>
  </w:num>
  <w:num w:numId="26" w16cid:durableId="845821719">
    <w:abstractNumId w:val="8"/>
  </w:num>
  <w:num w:numId="27" w16cid:durableId="606620808">
    <w:abstractNumId w:val="8"/>
  </w:num>
  <w:num w:numId="28" w16cid:durableId="1294942921">
    <w:abstractNumId w:val="8"/>
  </w:num>
  <w:num w:numId="29" w16cid:durableId="1451895719">
    <w:abstractNumId w:val="8"/>
  </w:num>
  <w:num w:numId="30" w16cid:durableId="1674185946">
    <w:abstractNumId w:val="8"/>
  </w:num>
  <w:num w:numId="31" w16cid:durableId="1281491634">
    <w:abstractNumId w:val="8"/>
  </w:num>
  <w:num w:numId="32" w16cid:durableId="456527103">
    <w:abstractNumId w:val="8"/>
  </w:num>
  <w:num w:numId="33" w16cid:durableId="1349988426">
    <w:abstractNumId w:val="1"/>
  </w:num>
  <w:num w:numId="34" w16cid:durableId="998272135">
    <w:abstractNumId w:val="45"/>
  </w:num>
  <w:num w:numId="35" w16cid:durableId="1033993940">
    <w:abstractNumId w:val="55"/>
  </w:num>
  <w:num w:numId="36" w16cid:durableId="1579822711">
    <w:abstractNumId w:val="43"/>
  </w:num>
  <w:num w:numId="37" w16cid:durableId="920455119">
    <w:abstractNumId w:val="44"/>
  </w:num>
  <w:num w:numId="38" w16cid:durableId="1180505666">
    <w:abstractNumId w:val="29"/>
  </w:num>
  <w:num w:numId="39" w16cid:durableId="613365108">
    <w:abstractNumId w:val="0"/>
  </w:num>
  <w:num w:numId="40" w16cid:durableId="1728727682">
    <w:abstractNumId w:val="46"/>
  </w:num>
  <w:num w:numId="41" w16cid:durableId="615869845">
    <w:abstractNumId w:val="27"/>
  </w:num>
  <w:num w:numId="42" w16cid:durableId="705065508">
    <w:abstractNumId w:val="34"/>
  </w:num>
  <w:num w:numId="43" w16cid:durableId="504323874">
    <w:abstractNumId w:val="22"/>
  </w:num>
  <w:num w:numId="44" w16cid:durableId="1864127059">
    <w:abstractNumId w:val="25"/>
  </w:num>
  <w:num w:numId="45" w16cid:durableId="60519034">
    <w:abstractNumId w:val="14"/>
  </w:num>
  <w:num w:numId="46" w16cid:durableId="1934627774">
    <w:abstractNumId w:val="47"/>
  </w:num>
  <w:num w:numId="47" w16cid:durableId="659164768">
    <w:abstractNumId w:val="37"/>
  </w:num>
  <w:num w:numId="48" w16cid:durableId="1434715080">
    <w:abstractNumId w:val="15"/>
  </w:num>
  <w:num w:numId="49" w16cid:durableId="1701710446">
    <w:abstractNumId w:val="42"/>
  </w:num>
  <w:num w:numId="50" w16cid:durableId="639767564">
    <w:abstractNumId w:val="33"/>
  </w:num>
  <w:num w:numId="51" w16cid:durableId="381447082">
    <w:abstractNumId w:val="52"/>
  </w:num>
  <w:num w:numId="52" w16cid:durableId="1357005905">
    <w:abstractNumId w:val="13"/>
  </w:num>
  <w:num w:numId="53" w16cid:durableId="863591143">
    <w:abstractNumId w:val="24"/>
  </w:num>
  <w:num w:numId="54" w16cid:durableId="83502531">
    <w:abstractNumId w:val="49"/>
  </w:num>
  <w:num w:numId="55" w16cid:durableId="1881822868">
    <w:abstractNumId w:val="19"/>
  </w:num>
  <w:num w:numId="56" w16cid:durableId="779639451">
    <w:abstractNumId w:val="16"/>
  </w:num>
  <w:num w:numId="57" w16cid:durableId="1374229855">
    <w:abstractNumId w:val="40"/>
  </w:num>
  <w:num w:numId="58" w16cid:durableId="583220822">
    <w:abstractNumId w:val="51"/>
  </w:num>
  <w:num w:numId="59" w16cid:durableId="1002273666">
    <w:abstractNumId w:val="31"/>
  </w:num>
  <w:num w:numId="60" w16cid:durableId="1105419702">
    <w:abstractNumId w:val="8"/>
  </w:num>
  <w:num w:numId="61" w16cid:durableId="1553615347">
    <w:abstractNumId w:val="8"/>
  </w:num>
  <w:num w:numId="62" w16cid:durableId="670572006">
    <w:abstractNumId w:val="8"/>
  </w:num>
  <w:num w:numId="63" w16cid:durableId="1364597823">
    <w:abstractNumId w:val="41"/>
  </w:num>
  <w:num w:numId="64" w16cid:durableId="418455062">
    <w:abstractNumId w:val="53"/>
  </w:num>
  <w:num w:numId="65" w16cid:durableId="745423413">
    <w:abstractNumId w:val="4"/>
  </w:num>
  <w:num w:numId="66" w16cid:durableId="2110544001">
    <w:abstractNumId w:val="21"/>
  </w:num>
  <w:num w:numId="67" w16cid:durableId="263997557">
    <w:abstractNumId w:val="8"/>
  </w:num>
  <w:num w:numId="68" w16cid:durableId="1526596576">
    <w:abstractNumId w:val="35"/>
  </w:num>
  <w:num w:numId="69" w16cid:durableId="1151017223">
    <w:abstractNumId w:val="39"/>
  </w:num>
  <w:num w:numId="70" w16cid:durableId="1440829757">
    <w:abstractNumId w:val="10"/>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stylePaneFormatFilter w:val="7F24" w:allStyles="0" w:customStyles="0" w:latentStyles="1" w:stylesInUse="0" w:headingStyles="1" w:numberingStyles="0" w:tableStyles="0" w:directFormattingOnRuns="1" w:directFormattingOnParagraphs="1" w:directFormattingOnNumbering="1" w:directFormattingOnTables="1" w:clearFormatting="1" w:top3HeadingStyles="1" w:visibleStyles="1"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74E8"/>
    <w:rsid w:val="00000297"/>
    <w:rsid w:val="00000303"/>
    <w:rsid w:val="00000953"/>
    <w:rsid w:val="00001014"/>
    <w:rsid w:val="000016B9"/>
    <w:rsid w:val="00001964"/>
    <w:rsid w:val="0000206D"/>
    <w:rsid w:val="000020CE"/>
    <w:rsid w:val="000036F8"/>
    <w:rsid w:val="00003743"/>
    <w:rsid w:val="000038C1"/>
    <w:rsid w:val="00003C0C"/>
    <w:rsid w:val="000047B4"/>
    <w:rsid w:val="00004EC4"/>
    <w:rsid w:val="00005712"/>
    <w:rsid w:val="00005D27"/>
    <w:rsid w:val="000061D0"/>
    <w:rsid w:val="00006D2B"/>
    <w:rsid w:val="000079FF"/>
    <w:rsid w:val="00007FD8"/>
    <w:rsid w:val="000101A2"/>
    <w:rsid w:val="0001030D"/>
    <w:rsid w:val="000103E0"/>
    <w:rsid w:val="000117F8"/>
    <w:rsid w:val="000122B5"/>
    <w:rsid w:val="000129AF"/>
    <w:rsid w:val="000132A0"/>
    <w:rsid w:val="00013821"/>
    <w:rsid w:val="000149A1"/>
    <w:rsid w:val="00015DFB"/>
    <w:rsid w:val="00017B15"/>
    <w:rsid w:val="000205B5"/>
    <w:rsid w:val="00020FE9"/>
    <w:rsid w:val="000215B3"/>
    <w:rsid w:val="00021AC8"/>
    <w:rsid w:val="000225AC"/>
    <w:rsid w:val="00022C06"/>
    <w:rsid w:val="00023137"/>
    <w:rsid w:val="00023600"/>
    <w:rsid w:val="000237F3"/>
    <w:rsid w:val="0002400B"/>
    <w:rsid w:val="00024540"/>
    <w:rsid w:val="00025341"/>
    <w:rsid w:val="000260CC"/>
    <w:rsid w:val="00026139"/>
    <w:rsid w:val="00026B15"/>
    <w:rsid w:val="00027071"/>
    <w:rsid w:val="00027601"/>
    <w:rsid w:val="00027F87"/>
    <w:rsid w:val="0003013D"/>
    <w:rsid w:val="00030A5C"/>
    <w:rsid w:val="000312DA"/>
    <w:rsid w:val="00031D56"/>
    <w:rsid w:val="00031E99"/>
    <w:rsid w:val="000323FA"/>
    <w:rsid w:val="00032C15"/>
    <w:rsid w:val="00033321"/>
    <w:rsid w:val="000338E5"/>
    <w:rsid w:val="00033ECC"/>
    <w:rsid w:val="0003422F"/>
    <w:rsid w:val="00034C56"/>
    <w:rsid w:val="0003518D"/>
    <w:rsid w:val="000369F0"/>
    <w:rsid w:val="00036B89"/>
    <w:rsid w:val="00036C1B"/>
    <w:rsid w:val="00040CA8"/>
    <w:rsid w:val="000428DF"/>
    <w:rsid w:val="00044961"/>
    <w:rsid w:val="00044EA8"/>
    <w:rsid w:val="00045FDE"/>
    <w:rsid w:val="00046A95"/>
    <w:rsid w:val="00046FF0"/>
    <w:rsid w:val="0004723B"/>
    <w:rsid w:val="000500BF"/>
    <w:rsid w:val="00050176"/>
    <w:rsid w:val="0005034A"/>
    <w:rsid w:val="000503DC"/>
    <w:rsid w:val="0005049B"/>
    <w:rsid w:val="000508E7"/>
    <w:rsid w:val="00050E10"/>
    <w:rsid w:val="00051E44"/>
    <w:rsid w:val="00051F0D"/>
    <w:rsid w:val="00053A01"/>
    <w:rsid w:val="00056177"/>
    <w:rsid w:val="00056A67"/>
    <w:rsid w:val="00056D12"/>
    <w:rsid w:val="00057B39"/>
    <w:rsid w:val="00060072"/>
    <w:rsid w:val="00060675"/>
    <w:rsid w:val="00060FB2"/>
    <w:rsid w:val="0006100E"/>
    <w:rsid w:val="000624A6"/>
    <w:rsid w:val="00062566"/>
    <w:rsid w:val="00062A3A"/>
    <w:rsid w:val="00062B65"/>
    <w:rsid w:val="00062C37"/>
    <w:rsid w:val="000647A3"/>
    <w:rsid w:val="00064D4C"/>
    <w:rsid w:val="000652D5"/>
    <w:rsid w:val="000667FC"/>
    <w:rsid w:val="000669F1"/>
    <w:rsid w:val="00067456"/>
    <w:rsid w:val="00070B82"/>
    <w:rsid w:val="000710FE"/>
    <w:rsid w:val="000714C5"/>
    <w:rsid w:val="00071506"/>
    <w:rsid w:val="0007154F"/>
    <w:rsid w:val="00071B30"/>
    <w:rsid w:val="00071E45"/>
    <w:rsid w:val="000722F3"/>
    <w:rsid w:val="0007361C"/>
    <w:rsid w:val="00073DC8"/>
    <w:rsid w:val="00073F7C"/>
    <w:rsid w:val="00074A2E"/>
    <w:rsid w:val="00076772"/>
    <w:rsid w:val="00080400"/>
    <w:rsid w:val="00080AEC"/>
    <w:rsid w:val="00080FAF"/>
    <w:rsid w:val="00081AB1"/>
    <w:rsid w:val="00081DEA"/>
    <w:rsid w:val="000820D8"/>
    <w:rsid w:val="00082221"/>
    <w:rsid w:val="000824AF"/>
    <w:rsid w:val="000824C1"/>
    <w:rsid w:val="00082E25"/>
    <w:rsid w:val="00083088"/>
    <w:rsid w:val="00085420"/>
    <w:rsid w:val="000857D6"/>
    <w:rsid w:val="00085A8F"/>
    <w:rsid w:val="00085C6B"/>
    <w:rsid w:val="000862C9"/>
    <w:rsid w:val="00087FBA"/>
    <w:rsid w:val="00090316"/>
    <w:rsid w:val="0009044C"/>
    <w:rsid w:val="00091657"/>
    <w:rsid w:val="00091CA3"/>
    <w:rsid w:val="000920C6"/>
    <w:rsid w:val="00093981"/>
    <w:rsid w:val="00093CD9"/>
    <w:rsid w:val="00094358"/>
    <w:rsid w:val="00094BEA"/>
    <w:rsid w:val="0009506A"/>
    <w:rsid w:val="000951D3"/>
    <w:rsid w:val="00095B6A"/>
    <w:rsid w:val="0009687B"/>
    <w:rsid w:val="000975DB"/>
    <w:rsid w:val="00097CB0"/>
    <w:rsid w:val="000A0F86"/>
    <w:rsid w:val="000A1787"/>
    <w:rsid w:val="000A190A"/>
    <w:rsid w:val="000A1A9C"/>
    <w:rsid w:val="000A1C00"/>
    <w:rsid w:val="000A1C4A"/>
    <w:rsid w:val="000A1DBD"/>
    <w:rsid w:val="000A1E1A"/>
    <w:rsid w:val="000A2D2A"/>
    <w:rsid w:val="000A36D3"/>
    <w:rsid w:val="000A38CA"/>
    <w:rsid w:val="000A39BA"/>
    <w:rsid w:val="000A3A5F"/>
    <w:rsid w:val="000A5940"/>
    <w:rsid w:val="000A5D0C"/>
    <w:rsid w:val="000A651B"/>
    <w:rsid w:val="000B060F"/>
    <w:rsid w:val="000B067A"/>
    <w:rsid w:val="000B0955"/>
    <w:rsid w:val="000B0F78"/>
    <w:rsid w:val="000B10B0"/>
    <w:rsid w:val="000B1540"/>
    <w:rsid w:val="000B1855"/>
    <w:rsid w:val="000B1881"/>
    <w:rsid w:val="000B1F9B"/>
    <w:rsid w:val="000B2702"/>
    <w:rsid w:val="000B2D66"/>
    <w:rsid w:val="000B2EC5"/>
    <w:rsid w:val="000B2FCE"/>
    <w:rsid w:val="000B33FD"/>
    <w:rsid w:val="000B3D88"/>
    <w:rsid w:val="000B440C"/>
    <w:rsid w:val="000B455A"/>
    <w:rsid w:val="000B4ABA"/>
    <w:rsid w:val="000B5403"/>
    <w:rsid w:val="000B5812"/>
    <w:rsid w:val="000C0051"/>
    <w:rsid w:val="000C022D"/>
    <w:rsid w:val="000C1B70"/>
    <w:rsid w:val="000C2880"/>
    <w:rsid w:val="000C38ED"/>
    <w:rsid w:val="000C43AA"/>
    <w:rsid w:val="000C46C4"/>
    <w:rsid w:val="000C4874"/>
    <w:rsid w:val="000C4960"/>
    <w:rsid w:val="000C4B16"/>
    <w:rsid w:val="000C50C3"/>
    <w:rsid w:val="000C5646"/>
    <w:rsid w:val="000C7357"/>
    <w:rsid w:val="000C747F"/>
    <w:rsid w:val="000D04FC"/>
    <w:rsid w:val="000D188A"/>
    <w:rsid w:val="000D19B6"/>
    <w:rsid w:val="000D205E"/>
    <w:rsid w:val="000D209F"/>
    <w:rsid w:val="000D20C3"/>
    <w:rsid w:val="000D21F6"/>
    <w:rsid w:val="000D22FF"/>
    <w:rsid w:val="000D23AE"/>
    <w:rsid w:val="000D3448"/>
    <w:rsid w:val="000D422A"/>
    <w:rsid w:val="000D427E"/>
    <w:rsid w:val="000D42C3"/>
    <w:rsid w:val="000D4500"/>
    <w:rsid w:val="000D458B"/>
    <w:rsid w:val="000D56E4"/>
    <w:rsid w:val="000D742B"/>
    <w:rsid w:val="000D768A"/>
    <w:rsid w:val="000D77B1"/>
    <w:rsid w:val="000D7997"/>
    <w:rsid w:val="000D7AEA"/>
    <w:rsid w:val="000D7F8E"/>
    <w:rsid w:val="000E0189"/>
    <w:rsid w:val="000E01A9"/>
    <w:rsid w:val="000E0210"/>
    <w:rsid w:val="000E06D9"/>
    <w:rsid w:val="000E0C19"/>
    <w:rsid w:val="000E0EAD"/>
    <w:rsid w:val="000E2C66"/>
    <w:rsid w:val="000E35DE"/>
    <w:rsid w:val="000E46FF"/>
    <w:rsid w:val="000E4A6C"/>
    <w:rsid w:val="000E578A"/>
    <w:rsid w:val="000E698F"/>
    <w:rsid w:val="000E6A47"/>
    <w:rsid w:val="000E6E7D"/>
    <w:rsid w:val="000E70C8"/>
    <w:rsid w:val="000E7432"/>
    <w:rsid w:val="000E74E7"/>
    <w:rsid w:val="000F0060"/>
    <w:rsid w:val="000F05D4"/>
    <w:rsid w:val="000F0872"/>
    <w:rsid w:val="000F0C9F"/>
    <w:rsid w:val="000F123C"/>
    <w:rsid w:val="000F22F9"/>
    <w:rsid w:val="000F2384"/>
    <w:rsid w:val="000F2CD1"/>
    <w:rsid w:val="000F2FED"/>
    <w:rsid w:val="000F3725"/>
    <w:rsid w:val="000F3E31"/>
    <w:rsid w:val="000F5267"/>
    <w:rsid w:val="000F6626"/>
    <w:rsid w:val="000F6E80"/>
    <w:rsid w:val="000F7CC6"/>
    <w:rsid w:val="000F7EAE"/>
    <w:rsid w:val="001006A0"/>
    <w:rsid w:val="00100F01"/>
    <w:rsid w:val="00100F6D"/>
    <w:rsid w:val="0010325B"/>
    <w:rsid w:val="00103294"/>
    <w:rsid w:val="001050E4"/>
    <w:rsid w:val="00105369"/>
    <w:rsid w:val="0010559B"/>
    <w:rsid w:val="0010616D"/>
    <w:rsid w:val="00106219"/>
    <w:rsid w:val="00106375"/>
    <w:rsid w:val="00106817"/>
    <w:rsid w:val="0010724E"/>
    <w:rsid w:val="0011022E"/>
    <w:rsid w:val="00110478"/>
    <w:rsid w:val="001109E0"/>
    <w:rsid w:val="00111BD4"/>
    <w:rsid w:val="00111FE7"/>
    <w:rsid w:val="0011257B"/>
    <w:rsid w:val="00112D50"/>
    <w:rsid w:val="00112D84"/>
    <w:rsid w:val="00112FD5"/>
    <w:rsid w:val="0011338F"/>
    <w:rsid w:val="001135F4"/>
    <w:rsid w:val="0011361C"/>
    <w:rsid w:val="00113B25"/>
    <w:rsid w:val="00114DD9"/>
    <w:rsid w:val="00114DE9"/>
    <w:rsid w:val="00115914"/>
    <w:rsid w:val="00115F9B"/>
    <w:rsid w:val="00116196"/>
    <w:rsid w:val="001162DD"/>
    <w:rsid w:val="0011682D"/>
    <w:rsid w:val="0011711B"/>
    <w:rsid w:val="001172B4"/>
    <w:rsid w:val="00117A3F"/>
    <w:rsid w:val="00117C9E"/>
    <w:rsid w:val="00117DFB"/>
    <w:rsid w:val="00117E9C"/>
    <w:rsid w:val="00117F8A"/>
    <w:rsid w:val="00120819"/>
    <w:rsid w:val="00120F3F"/>
    <w:rsid w:val="0012101C"/>
    <w:rsid w:val="001214A6"/>
    <w:rsid w:val="00121583"/>
    <w:rsid w:val="00121B9B"/>
    <w:rsid w:val="00122ADC"/>
    <w:rsid w:val="00122C44"/>
    <w:rsid w:val="001243B7"/>
    <w:rsid w:val="001276DB"/>
    <w:rsid w:val="001279CC"/>
    <w:rsid w:val="00127E7F"/>
    <w:rsid w:val="00130A04"/>
    <w:rsid w:val="00130F59"/>
    <w:rsid w:val="001318ED"/>
    <w:rsid w:val="00131DD2"/>
    <w:rsid w:val="001326CD"/>
    <w:rsid w:val="00132AA6"/>
    <w:rsid w:val="0013309A"/>
    <w:rsid w:val="001330F6"/>
    <w:rsid w:val="0013346A"/>
    <w:rsid w:val="00133525"/>
    <w:rsid w:val="00133EC0"/>
    <w:rsid w:val="00133F13"/>
    <w:rsid w:val="00134F9A"/>
    <w:rsid w:val="001357CB"/>
    <w:rsid w:val="001358DF"/>
    <w:rsid w:val="001361A8"/>
    <w:rsid w:val="00136CAC"/>
    <w:rsid w:val="00137150"/>
    <w:rsid w:val="00137A00"/>
    <w:rsid w:val="001408C9"/>
    <w:rsid w:val="001410B9"/>
    <w:rsid w:val="00141CE5"/>
    <w:rsid w:val="00142933"/>
    <w:rsid w:val="00142A13"/>
    <w:rsid w:val="0014419F"/>
    <w:rsid w:val="00144712"/>
    <w:rsid w:val="001447B8"/>
    <w:rsid w:val="001448E5"/>
    <w:rsid w:val="00144908"/>
    <w:rsid w:val="00145209"/>
    <w:rsid w:val="0014575F"/>
    <w:rsid w:val="0014584D"/>
    <w:rsid w:val="001460FA"/>
    <w:rsid w:val="00146B5D"/>
    <w:rsid w:val="00147611"/>
    <w:rsid w:val="00147FA5"/>
    <w:rsid w:val="00147FAF"/>
    <w:rsid w:val="001515AB"/>
    <w:rsid w:val="001539AD"/>
    <w:rsid w:val="00154471"/>
    <w:rsid w:val="001570AD"/>
    <w:rsid w:val="001571C7"/>
    <w:rsid w:val="00157205"/>
    <w:rsid w:val="00157A97"/>
    <w:rsid w:val="00160DC1"/>
    <w:rsid w:val="00161094"/>
    <w:rsid w:val="00162290"/>
    <w:rsid w:val="001624FC"/>
    <w:rsid w:val="00162B47"/>
    <w:rsid w:val="00163226"/>
    <w:rsid w:val="001648CD"/>
    <w:rsid w:val="001651EA"/>
    <w:rsid w:val="001656F4"/>
    <w:rsid w:val="001671D9"/>
    <w:rsid w:val="0016782E"/>
    <w:rsid w:val="00172A55"/>
    <w:rsid w:val="0017491B"/>
    <w:rsid w:val="00174EEE"/>
    <w:rsid w:val="001758CD"/>
    <w:rsid w:val="00176220"/>
    <w:rsid w:val="00176456"/>
    <w:rsid w:val="0017665C"/>
    <w:rsid w:val="00176AF5"/>
    <w:rsid w:val="00176FC5"/>
    <w:rsid w:val="00177AD2"/>
    <w:rsid w:val="00180F55"/>
    <w:rsid w:val="001815A8"/>
    <w:rsid w:val="00181A16"/>
    <w:rsid w:val="001827E4"/>
    <w:rsid w:val="00182FF0"/>
    <w:rsid w:val="00183A41"/>
    <w:rsid w:val="001840FA"/>
    <w:rsid w:val="00185093"/>
    <w:rsid w:val="00185668"/>
    <w:rsid w:val="001864C2"/>
    <w:rsid w:val="00186F3B"/>
    <w:rsid w:val="00187884"/>
    <w:rsid w:val="00190079"/>
    <w:rsid w:val="0019011C"/>
    <w:rsid w:val="001909A2"/>
    <w:rsid w:val="001912F5"/>
    <w:rsid w:val="0019281C"/>
    <w:rsid w:val="00192A7C"/>
    <w:rsid w:val="00192ADF"/>
    <w:rsid w:val="00193045"/>
    <w:rsid w:val="00193344"/>
    <w:rsid w:val="00193682"/>
    <w:rsid w:val="001954FE"/>
    <w:rsid w:val="001957D3"/>
    <w:rsid w:val="00195B2A"/>
    <w:rsid w:val="0019622E"/>
    <w:rsid w:val="001966A7"/>
    <w:rsid w:val="001968B3"/>
    <w:rsid w:val="00196F65"/>
    <w:rsid w:val="001A0A4E"/>
    <w:rsid w:val="001A1A1E"/>
    <w:rsid w:val="001A2F12"/>
    <w:rsid w:val="001A311C"/>
    <w:rsid w:val="001A4247"/>
    <w:rsid w:val="001A4488"/>
    <w:rsid w:val="001A4627"/>
    <w:rsid w:val="001A4979"/>
    <w:rsid w:val="001A5221"/>
    <w:rsid w:val="001A5375"/>
    <w:rsid w:val="001A567C"/>
    <w:rsid w:val="001A67E8"/>
    <w:rsid w:val="001A74A9"/>
    <w:rsid w:val="001B0AEE"/>
    <w:rsid w:val="001B0F1B"/>
    <w:rsid w:val="001B15D3"/>
    <w:rsid w:val="001B1E59"/>
    <w:rsid w:val="001B23A3"/>
    <w:rsid w:val="001B3443"/>
    <w:rsid w:val="001B41DC"/>
    <w:rsid w:val="001B46B8"/>
    <w:rsid w:val="001B48A7"/>
    <w:rsid w:val="001B48F0"/>
    <w:rsid w:val="001B593F"/>
    <w:rsid w:val="001B5E9B"/>
    <w:rsid w:val="001B65F9"/>
    <w:rsid w:val="001B6D17"/>
    <w:rsid w:val="001B6FA0"/>
    <w:rsid w:val="001B71AA"/>
    <w:rsid w:val="001B7F42"/>
    <w:rsid w:val="001C0326"/>
    <w:rsid w:val="001C192F"/>
    <w:rsid w:val="001C1B10"/>
    <w:rsid w:val="001C2461"/>
    <w:rsid w:val="001C2AC3"/>
    <w:rsid w:val="001C2B06"/>
    <w:rsid w:val="001C33B8"/>
    <w:rsid w:val="001C3C42"/>
    <w:rsid w:val="001C3F88"/>
    <w:rsid w:val="001C4AC4"/>
    <w:rsid w:val="001C4B1C"/>
    <w:rsid w:val="001C5261"/>
    <w:rsid w:val="001C7D74"/>
    <w:rsid w:val="001D0EDB"/>
    <w:rsid w:val="001D1E1E"/>
    <w:rsid w:val="001D1FF4"/>
    <w:rsid w:val="001D216A"/>
    <w:rsid w:val="001D38D6"/>
    <w:rsid w:val="001D414B"/>
    <w:rsid w:val="001D4470"/>
    <w:rsid w:val="001D5520"/>
    <w:rsid w:val="001D5EC3"/>
    <w:rsid w:val="001D6707"/>
    <w:rsid w:val="001D6E2E"/>
    <w:rsid w:val="001D720B"/>
    <w:rsid w:val="001D7721"/>
    <w:rsid w:val="001D7869"/>
    <w:rsid w:val="001D786C"/>
    <w:rsid w:val="001D7B99"/>
    <w:rsid w:val="001E0900"/>
    <w:rsid w:val="001E1E29"/>
    <w:rsid w:val="001E1FB6"/>
    <w:rsid w:val="001E241F"/>
    <w:rsid w:val="001E24ED"/>
    <w:rsid w:val="001E26BD"/>
    <w:rsid w:val="001E2931"/>
    <w:rsid w:val="001E2A6B"/>
    <w:rsid w:val="001E4924"/>
    <w:rsid w:val="001E4DDC"/>
    <w:rsid w:val="001E5EE0"/>
    <w:rsid w:val="001E62F8"/>
    <w:rsid w:val="001E69B5"/>
    <w:rsid w:val="001E7651"/>
    <w:rsid w:val="001E7B29"/>
    <w:rsid w:val="001F0684"/>
    <w:rsid w:val="001F0A23"/>
    <w:rsid w:val="001F0D5B"/>
    <w:rsid w:val="001F1469"/>
    <w:rsid w:val="001F2A2E"/>
    <w:rsid w:val="001F2F78"/>
    <w:rsid w:val="001F3CD4"/>
    <w:rsid w:val="001F5CB0"/>
    <w:rsid w:val="001F733D"/>
    <w:rsid w:val="0020033F"/>
    <w:rsid w:val="00200343"/>
    <w:rsid w:val="00200811"/>
    <w:rsid w:val="00201D64"/>
    <w:rsid w:val="00202653"/>
    <w:rsid w:val="002026CD"/>
    <w:rsid w:val="00202A94"/>
    <w:rsid w:val="00202CD4"/>
    <w:rsid w:val="00202EB0"/>
    <w:rsid w:val="002033FC"/>
    <w:rsid w:val="00204417"/>
    <w:rsid w:val="002044BB"/>
    <w:rsid w:val="00204CAD"/>
    <w:rsid w:val="0020523D"/>
    <w:rsid w:val="00205591"/>
    <w:rsid w:val="00205A93"/>
    <w:rsid w:val="00205CA9"/>
    <w:rsid w:val="00205F04"/>
    <w:rsid w:val="00205FC2"/>
    <w:rsid w:val="00206136"/>
    <w:rsid w:val="002064A4"/>
    <w:rsid w:val="00206717"/>
    <w:rsid w:val="00206D54"/>
    <w:rsid w:val="00207793"/>
    <w:rsid w:val="00207DEE"/>
    <w:rsid w:val="0021066B"/>
    <w:rsid w:val="00210B09"/>
    <w:rsid w:val="00210C9E"/>
    <w:rsid w:val="0021121C"/>
    <w:rsid w:val="00211840"/>
    <w:rsid w:val="00211FAE"/>
    <w:rsid w:val="002125E2"/>
    <w:rsid w:val="00212BFE"/>
    <w:rsid w:val="00212C87"/>
    <w:rsid w:val="00213520"/>
    <w:rsid w:val="00213A26"/>
    <w:rsid w:val="0021516B"/>
    <w:rsid w:val="002153B1"/>
    <w:rsid w:val="00215B3E"/>
    <w:rsid w:val="00215EF9"/>
    <w:rsid w:val="00216942"/>
    <w:rsid w:val="00216A0F"/>
    <w:rsid w:val="00216C94"/>
    <w:rsid w:val="002175CD"/>
    <w:rsid w:val="002177F0"/>
    <w:rsid w:val="002178A5"/>
    <w:rsid w:val="0022004C"/>
    <w:rsid w:val="00220719"/>
    <w:rsid w:val="002208EB"/>
    <w:rsid w:val="00220E5F"/>
    <w:rsid w:val="00220F90"/>
    <w:rsid w:val="002212B5"/>
    <w:rsid w:val="0022160D"/>
    <w:rsid w:val="00221A1D"/>
    <w:rsid w:val="00222138"/>
    <w:rsid w:val="002226E9"/>
    <w:rsid w:val="00222DEE"/>
    <w:rsid w:val="00223746"/>
    <w:rsid w:val="00223B37"/>
    <w:rsid w:val="00223C40"/>
    <w:rsid w:val="0022553A"/>
    <w:rsid w:val="00226040"/>
    <w:rsid w:val="00226668"/>
    <w:rsid w:val="0022707A"/>
    <w:rsid w:val="0023272E"/>
    <w:rsid w:val="0023296B"/>
    <w:rsid w:val="002331F2"/>
    <w:rsid w:val="00233383"/>
    <w:rsid w:val="00233809"/>
    <w:rsid w:val="00234688"/>
    <w:rsid w:val="00234B9F"/>
    <w:rsid w:val="00235721"/>
    <w:rsid w:val="002359CC"/>
    <w:rsid w:val="00235B4F"/>
    <w:rsid w:val="00235E9C"/>
    <w:rsid w:val="00236073"/>
    <w:rsid w:val="0023644F"/>
    <w:rsid w:val="0023683D"/>
    <w:rsid w:val="0023728E"/>
    <w:rsid w:val="0023783C"/>
    <w:rsid w:val="00240042"/>
    <w:rsid w:val="00240046"/>
    <w:rsid w:val="002405D1"/>
    <w:rsid w:val="00241493"/>
    <w:rsid w:val="00241BF2"/>
    <w:rsid w:val="00242119"/>
    <w:rsid w:val="0024241A"/>
    <w:rsid w:val="00242D1A"/>
    <w:rsid w:val="00243027"/>
    <w:rsid w:val="002436E6"/>
    <w:rsid w:val="0024382D"/>
    <w:rsid w:val="00243841"/>
    <w:rsid w:val="002446E5"/>
    <w:rsid w:val="002454B4"/>
    <w:rsid w:val="0024553F"/>
    <w:rsid w:val="0024567E"/>
    <w:rsid w:val="00246571"/>
    <w:rsid w:val="00246775"/>
    <w:rsid w:val="002469B9"/>
    <w:rsid w:val="00246B82"/>
    <w:rsid w:val="0024773F"/>
    <w:rsid w:val="0024797F"/>
    <w:rsid w:val="00250217"/>
    <w:rsid w:val="0025119E"/>
    <w:rsid w:val="00251269"/>
    <w:rsid w:val="00252097"/>
    <w:rsid w:val="00252602"/>
    <w:rsid w:val="00252EC9"/>
    <w:rsid w:val="002535C0"/>
    <w:rsid w:val="00253665"/>
    <w:rsid w:val="00253D7A"/>
    <w:rsid w:val="0025401C"/>
    <w:rsid w:val="00254142"/>
    <w:rsid w:val="00254343"/>
    <w:rsid w:val="00254792"/>
    <w:rsid w:val="00254E8B"/>
    <w:rsid w:val="0025595A"/>
    <w:rsid w:val="00255FE0"/>
    <w:rsid w:val="00256F78"/>
    <w:rsid w:val="002579FE"/>
    <w:rsid w:val="0026126A"/>
    <w:rsid w:val="0026311C"/>
    <w:rsid w:val="00263AEC"/>
    <w:rsid w:val="00263CA0"/>
    <w:rsid w:val="00263CA3"/>
    <w:rsid w:val="00264073"/>
    <w:rsid w:val="0026482E"/>
    <w:rsid w:val="00265395"/>
    <w:rsid w:val="0026547F"/>
    <w:rsid w:val="0026645C"/>
    <w:rsid w:val="0026668C"/>
    <w:rsid w:val="00266AC1"/>
    <w:rsid w:val="00267154"/>
    <w:rsid w:val="002674A3"/>
    <w:rsid w:val="00267FA9"/>
    <w:rsid w:val="00270300"/>
    <w:rsid w:val="0027046D"/>
    <w:rsid w:val="002704C9"/>
    <w:rsid w:val="00270D14"/>
    <w:rsid w:val="0027114A"/>
    <w:rsid w:val="0027178C"/>
    <w:rsid w:val="002719FA"/>
    <w:rsid w:val="00272668"/>
    <w:rsid w:val="00272941"/>
    <w:rsid w:val="00272B62"/>
    <w:rsid w:val="00272F2F"/>
    <w:rsid w:val="002732DB"/>
    <w:rsid w:val="0027330B"/>
    <w:rsid w:val="002733A0"/>
    <w:rsid w:val="002741C0"/>
    <w:rsid w:val="0027489E"/>
    <w:rsid w:val="00274F96"/>
    <w:rsid w:val="00276BD6"/>
    <w:rsid w:val="00277D50"/>
    <w:rsid w:val="002803AD"/>
    <w:rsid w:val="00282052"/>
    <w:rsid w:val="002837AC"/>
    <w:rsid w:val="002839F9"/>
    <w:rsid w:val="002849BB"/>
    <w:rsid w:val="0028519E"/>
    <w:rsid w:val="002855A5"/>
    <w:rsid w:val="002856A5"/>
    <w:rsid w:val="002872ED"/>
    <w:rsid w:val="002876F4"/>
    <w:rsid w:val="00287A16"/>
    <w:rsid w:val="002900C7"/>
    <w:rsid w:val="0029031E"/>
    <w:rsid w:val="002905C2"/>
    <w:rsid w:val="00291E03"/>
    <w:rsid w:val="00291E21"/>
    <w:rsid w:val="00294406"/>
    <w:rsid w:val="0029566A"/>
    <w:rsid w:val="00295AF2"/>
    <w:rsid w:val="00295C91"/>
    <w:rsid w:val="00295CFB"/>
    <w:rsid w:val="002970E3"/>
    <w:rsid w:val="00297151"/>
    <w:rsid w:val="002974C4"/>
    <w:rsid w:val="00297ACD"/>
    <w:rsid w:val="002A040E"/>
    <w:rsid w:val="002A0B94"/>
    <w:rsid w:val="002A0C0D"/>
    <w:rsid w:val="002A1147"/>
    <w:rsid w:val="002A18C2"/>
    <w:rsid w:val="002A19AF"/>
    <w:rsid w:val="002A19BE"/>
    <w:rsid w:val="002A2807"/>
    <w:rsid w:val="002A290C"/>
    <w:rsid w:val="002A293C"/>
    <w:rsid w:val="002A34F4"/>
    <w:rsid w:val="002A49FD"/>
    <w:rsid w:val="002A5F26"/>
    <w:rsid w:val="002A68D5"/>
    <w:rsid w:val="002A6B6F"/>
    <w:rsid w:val="002A770C"/>
    <w:rsid w:val="002B0AA9"/>
    <w:rsid w:val="002B1B42"/>
    <w:rsid w:val="002B1B56"/>
    <w:rsid w:val="002B20E6"/>
    <w:rsid w:val="002B21F4"/>
    <w:rsid w:val="002B30CA"/>
    <w:rsid w:val="002B3842"/>
    <w:rsid w:val="002B42A3"/>
    <w:rsid w:val="002B4805"/>
    <w:rsid w:val="002B666B"/>
    <w:rsid w:val="002B6926"/>
    <w:rsid w:val="002B78D0"/>
    <w:rsid w:val="002B7A0B"/>
    <w:rsid w:val="002C0CDD"/>
    <w:rsid w:val="002C10BA"/>
    <w:rsid w:val="002C1D78"/>
    <w:rsid w:val="002C1DE7"/>
    <w:rsid w:val="002C2600"/>
    <w:rsid w:val="002C3C25"/>
    <w:rsid w:val="002C3D37"/>
    <w:rsid w:val="002C4328"/>
    <w:rsid w:val="002C47DE"/>
    <w:rsid w:val="002C4DF2"/>
    <w:rsid w:val="002C4F97"/>
    <w:rsid w:val="002C50EC"/>
    <w:rsid w:val="002C53FE"/>
    <w:rsid w:val="002C65BC"/>
    <w:rsid w:val="002C73CA"/>
    <w:rsid w:val="002C7B97"/>
    <w:rsid w:val="002D07F7"/>
    <w:rsid w:val="002D094F"/>
    <w:rsid w:val="002D102D"/>
    <w:rsid w:val="002D11F5"/>
    <w:rsid w:val="002D1D1D"/>
    <w:rsid w:val="002D275C"/>
    <w:rsid w:val="002D33D5"/>
    <w:rsid w:val="002D371B"/>
    <w:rsid w:val="002D3A77"/>
    <w:rsid w:val="002D4044"/>
    <w:rsid w:val="002D5BD1"/>
    <w:rsid w:val="002D5D40"/>
    <w:rsid w:val="002D5D42"/>
    <w:rsid w:val="002D6423"/>
    <w:rsid w:val="002D6D6A"/>
    <w:rsid w:val="002D6DE9"/>
    <w:rsid w:val="002D7C15"/>
    <w:rsid w:val="002E1A1D"/>
    <w:rsid w:val="002E21CA"/>
    <w:rsid w:val="002E32DC"/>
    <w:rsid w:val="002E3716"/>
    <w:rsid w:val="002E4081"/>
    <w:rsid w:val="002E444C"/>
    <w:rsid w:val="002E483E"/>
    <w:rsid w:val="002E4E50"/>
    <w:rsid w:val="002E4EEF"/>
    <w:rsid w:val="002E4F3A"/>
    <w:rsid w:val="002E50C1"/>
    <w:rsid w:val="002E59DE"/>
    <w:rsid w:val="002E5B78"/>
    <w:rsid w:val="002E6660"/>
    <w:rsid w:val="002F057F"/>
    <w:rsid w:val="002F091E"/>
    <w:rsid w:val="002F1862"/>
    <w:rsid w:val="002F1B94"/>
    <w:rsid w:val="002F26F8"/>
    <w:rsid w:val="002F2D4D"/>
    <w:rsid w:val="002F37CE"/>
    <w:rsid w:val="002F39E2"/>
    <w:rsid w:val="002F3AE3"/>
    <w:rsid w:val="002F4926"/>
    <w:rsid w:val="002F4A9F"/>
    <w:rsid w:val="002F4CD6"/>
    <w:rsid w:val="002F4ED7"/>
    <w:rsid w:val="002F57DC"/>
    <w:rsid w:val="002F709D"/>
    <w:rsid w:val="002F72DC"/>
    <w:rsid w:val="002F7547"/>
    <w:rsid w:val="002F754E"/>
    <w:rsid w:val="002F77C4"/>
    <w:rsid w:val="002F7D54"/>
    <w:rsid w:val="00300E93"/>
    <w:rsid w:val="00300EB5"/>
    <w:rsid w:val="003012CE"/>
    <w:rsid w:val="003018CA"/>
    <w:rsid w:val="0030225A"/>
    <w:rsid w:val="003025A9"/>
    <w:rsid w:val="003026D9"/>
    <w:rsid w:val="0030294C"/>
    <w:rsid w:val="00302AEE"/>
    <w:rsid w:val="0030328D"/>
    <w:rsid w:val="00304162"/>
    <w:rsid w:val="00304529"/>
    <w:rsid w:val="0030464B"/>
    <w:rsid w:val="0030481D"/>
    <w:rsid w:val="00304A36"/>
    <w:rsid w:val="00305E27"/>
    <w:rsid w:val="003065D6"/>
    <w:rsid w:val="003067CA"/>
    <w:rsid w:val="00306989"/>
    <w:rsid w:val="0030786C"/>
    <w:rsid w:val="003103EF"/>
    <w:rsid w:val="00310E84"/>
    <w:rsid w:val="003112E8"/>
    <w:rsid w:val="00311CD6"/>
    <w:rsid w:val="00311D1A"/>
    <w:rsid w:val="00311E1F"/>
    <w:rsid w:val="00311F18"/>
    <w:rsid w:val="0031260E"/>
    <w:rsid w:val="00312C9B"/>
    <w:rsid w:val="00313447"/>
    <w:rsid w:val="0031468F"/>
    <w:rsid w:val="00314A0E"/>
    <w:rsid w:val="00314DB3"/>
    <w:rsid w:val="00314EF3"/>
    <w:rsid w:val="00315364"/>
    <w:rsid w:val="00315D32"/>
    <w:rsid w:val="00315DDC"/>
    <w:rsid w:val="00315FC8"/>
    <w:rsid w:val="00316758"/>
    <w:rsid w:val="003173AA"/>
    <w:rsid w:val="00317D9F"/>
    <w:rsid w:val="00321E40"/>
    <w:rsid w:val="00322538"/>
    <w:rsid w:val="00322B1E"/>
    <w:rsid w:val="00322DA0"/>
    <w:rsid w:val="003233DE"/>
    <w:rsid w:val="00324323"/>
    <w:rsid w:val="00324525"/>
    <w:rsid w:val="0032466B"/>
    <w:rsid w:val="00325531"/>
    <w:rsid w:val="00325A09"/>
    <w:rsid w:val="0032623B"/>
    <w:rsid w:val="003269B0"/>
    <w:rsid w:val="00326E5D"/>
    <w:rsid w:val="003275BA"/>
    <w:rsid w:val="00327B44"/>
    <w:rsid w:val="00327C7D"/>
    <w:rsid w:val="00327DB6"/>
    <w:rsid w:val="003305CD"/>
    <w:rsid w:val="00330818"/>
    <w:rsid w:val="00331374"/>
    <w:rsid w:val="003315CD"/>
    <w:rsid w:val="003330EB"/>
    <w:rsid w:val="00335F69"/>
    <w:rsid w:val="00336113"/>
    <w:rsid w:val="003361CE"/>
    <w:rsid w:val="00336605"/>
    <w:rsid w:val="003369CF"/>
    <w:rsid w:val="003377F2"/>
    <w:rsid w:val="00337CFD"/>
    <w:rsid w:val="00340141"/>
    <w:rsid w:val="003409B7"/>
    <w:rsid w:val="003415FD"/>
    <w:rsid w:val="00341DF5"/>
    <w:rsid w:val="00342381"/>
    <w:rsid w:val="003429F0"/>
    <w:rsid w:val="003439EA"/>
    <w:rsid w:val="00343B99"/>
    <w:rsid w:val="00344B63"/>
    <w:rsid w:val="0034519E"/>
    <w:rsid w:val="0034558E"/>
    <w:rsid w:val="003455AB"/>
    <w:rsid w:val="00346C4A"/>
    <w:rsid w:val="0035027E"/>
    <w:rsid w:val="0035097A"/>
    <w:rsid w:val="00351120"/>
    <w:rsid w:val="0035295C"/>
    <w:rsid w:val="0035329C"/>
    <w:rsid w:val="003537C1"/>
    <w:rsid w:val="003540A4"/>
    <w:rsid w:val="00354645"/>
    <w:rsid w:val="00354C1E"/>
    <w:rsid w:val="00355787"/>
    <w:rsid w:val="00356B04"/>
    <w:rsid w:val="00356DFB"/>
    <w:rsid w:val="00357159"/>
    <w:rsid w:val="00357592"/>
    <w:rsid w:val="003579C6"/>
    <w:rsid w:val="00357E9D"/>
    <w:rsid w:val="0036002F"/>
    <w:rsid w:val="00360049"/>
    <w:rsid w:val="0036005C"/>
    <w:rsid w:val="00360E4E"/>
    <w:rsid w:val="0036113A"/>
    <w:rsid w:val="00361D22"/>
    <w:rsid w:val="00362F0D"/>
    <w:rsid w:val="003636EE"/>
    <w:rsid w:val="00363790"/>
    <w:rsid w:val="0036459C"/>
    <w:rsid w:val="003649C0"/>
    <w:rsid w:val="00364BA8"/>
    <w:rsid w:val="00364D8E"/>
    <w:rsid w:val="00365A02"/>
    <w:rsid w:val="0036639D"/>
    <w:rsid w:val="0036653E"/>
    <w:rsid w:val="00367CA6"/>
    <w:rsid w:val="003703E3"/>
    <w:rsid w:val="00370AAA"/>
    <w:rsid w:val="00371021"/>
    <w:rsid w:val="00371316"/>
    <w:rsid w:val="003725C9"/>
    <w:rsid w:val="00372860"/>
    <w:rsid w:val="00372DC9"/>
    <w:rsid w:val="00373DF2"/>
    <w:rsid w:val="00373E60"/>
    <w:rsid w:val="003740A8"/>
    <w:rsid w:val="00374141"/>
    <w:rsid w:val="0037424E"/>
    <w:rsid w:val="00374334"/>
    <w:rsid w:val="00374C14"/>
    <w:rsid w:val="0037514E"/>
    <w:rsid w:val="00375F77"/>
    <w:rsid w:val="003761F2"/>
    <w:rsid w:val="003764A1"/>
    <w:rsid w:val="00376C76"/>
    <w:rsid w:val="00377887"/>
    <w:rsid w:val="00377A78"/>
    <w:rsid w:val="00380215"/>
    <w:rsid w:val="00380604"/>
    <w:rsid w:val="00380A64"/>
    <w:rsid w:val="00380F9A"/>
    <w:rsid w:val="00381798"/>
    <w:rsid w:val="00381BBE"/>
    <w:rsid w:val="00382903"/>
    <w:rsid w:val="003832CD"/>
    <w:rsid w:val="003846FF"/>
    <w:rsid w:val="00385123"/>
    <w:rsid w:val="00385536"/>
    <w:rsid w:val="00385AD4"/>
    <w:rsid w:val="00385D84"/>
    <w:rsid w:val="00386435"/>
    <w:rsid w:val="0038663A"/>
    <w:rsid w:val="00387700"/>
    <w:rsid w:val="00387924"/>
    <w:rsid w:val="003909EC"/>
    <w:rsid w:val="00390CF1"/>
    <w:rsid w:val="00391D25"/>
    <w:rsid w:val="003929C3"/>
    <w:rsid w:val="0039384D"/>
    <w:rsid w:val="00393FB9"/>
    <w:rsid w:val="003943A8"/>
    <w:rsid w:val="00394CFA"/>
    <w:rsid w:val="00395C04"/>
    <w:rsid w:val="00395C23"/>
    <w:rsid w:val="00396FD3"/>
    <w:rsid w:val="003976ED"/>
    <w:rsid w:val="00397A23"/>
    <w:rsid w:val="003A1720"/>
    <w:rsid w:val="003A2597"/>
    <w:rsid w:val="003A2E4F"/>
    <w:rsid w:val="003A2F8C"/>
    <w:rsid w:val="003A42B6"/>
    <w:rsid w:val="003A42F6"/>
    <w:rsid w:val="003A4438"/>
    <w:rsid w:val="003A452F"/>
    <w:rsid w:val="003A4558"/>
    <w:rsid w:val="003A46C2"/>
    <w:rsid w:val="003A4E4E"/>
    <w:rsid w:val="003A4FCA"/>
    <w:rsid w:val="003A500A"/>
    <w:rsid w:val="003A5013"/>
    <w:rsid w:val="003A5078"/>
    <w:rsid w:val="003A62DD"/>
    <w:rsid w:val="003A6512"/>
    <w:rsid w:val="003A7388"/>
    <w:rsid w:val="003A775A"/>
    <w:rsid w:val="003A7F9E"/>
    <w:rsid w:val="003B0662"/>
    <w:rsid w:val="003B0B27"/>
    <w:rsid w:val="003B0C6C"/>
    <w:rsid w:val="003B0DAB"/>
    <w:rsid w:val="003B1532"/>
    <w:rsid w:val="003B16DF"/>
    <w:rsid w:val="003B213A"/>
    <w:rsid w:val="003B239A"/>
    <w:rsid w:val="003B2E72"/>
    <w:rsid w:val="003B31EA"/>
    <w:rsid w:val="003B3F4E"/>
    <w:rsid w:val="003B40E0"/>
    <w:rsid w:val="003B4208"/>
    <w:rsid w:val="003B43AD"/>
    <w:rsid w:val="003B47AD"/>
    <w:rsid w:val="003B4BBC"/>
    <w:rsid w:val="003B5C7F"/>
    <w:rsid w:val="003B679D"/>
    <w:rsid w:val="003B6919"/>
    <w:rsid w:val="003B7328"/>
    <w:rsid w:val="003B7349"/>
    <w:rsid w:val="003B7AE8"/>
    <w:rsid w:val="003C0FEC"/>
    <w:rsid w:val="003C10EC"/>
    <w:rsid w:val="003C14B4"/>
    <w:rsid w:val="003C15B8"/>
    <w:rsid w:val="003C20D3"/>
    <w:rsid w:val="003C2518"/>
    <w:rsid w:val="003C2814"/>
    <w:rsid w:val="003C2AC8"/>
    <w:rsid w:val="003C36F5"/>
    <w:rsid w:val="003C44FC"/>
    <w:rsid w:val="003C4757"/>
    <w:rsid w:val="003C4845"/>
    <w:rsid w:val="003C4C58"/>
    <w:rsid w:val="003C59D8"/>
    <w:rsid w:val="003C6C37"/>
    <w:rsid w:val="003D1044"/>
    <w:rsid w:val="003D17F9"/>
    <w:rsid w:val="003D182A"/>
    <w:rsid w:val="003D2C93"/>
    <w:rsid w:val="003D2D88"/>
    <w:rsid w:val="003D3DB3"/>
    <w:rsid w:val="003D3F71"/>
    <w:rsid w:val="003D41EA"/>
    <w:rsid w:val="003D4209"/>
    <w:rsid w:val="003D455D"/>
    <w:rsid w:val="003D4850"/>
    <w:rsid w:val="003D4C50"/>
    <w:rsid w:val="003D4EF6"/>
    <w:rsid w:val="003D535A"/>
    <w:rsid w:val="003D5547"/>
    <w:rsid w:val="003D67E7"/>
    <w:rsid w:val="003D74C2"/>
    <w:rsid w:val="003E10B8"/>
    <w:rsid w:val="003E2913"/>
    <w:rsid w:val="003E29C4"/>
    <w:rsid w:val="003E2D53"/>
    <w:rsid w:val="003E2DF7"/>
    <w:rsid w:val="003E349F"/>
    <w:rsid w:val="003E3B0E"/>
    <w:rsid w:val="003E3DBC"/>
    <w:rsid w:val="003E5265"/>
    <w:rsid w:val="003E632F"/>
    <w:rsid w:val="003E6C6E"/>
    <w:rsid w:val="003E6E92"/>
    <w:rsid w:val="003E6EEA"/>
    <w:rsid w:val="003E722D"/>
    <w:rsid w:val="003E75CB"/>
    <w:rsid w:val="003F06BC"/>
    <w:rsid w:val="003F0955"/>
    <w:rsid w:val="003F13E6"/>
    <w:rsid w:val="003F1765"/>
    <w:rsid w:val="003F1824"/>
    <w:rsid w:val="003F263B"/>
    <w:rsid w:val="003F2EA3"/>
    <w:rsid w:val="003F2EB5"/>
    <w:rsid w:val="003F36A2"/>
    <w:rsid w:val="003F47FA"/>
    <w:rsid w:val="003F5A2F"/>
    <w:rsid w:val="003F623A"/>
    <w:rsid w:val="003F6878"/>
    <w:rsid w:val="003F6FE1"/>
    <w:rsid w:val="003F74A2"/>
    <w:rsid w:val="00400477"/>
    <w:rsid w:val="004008BD"/>
    <w:rsid w:val="00400F00"/>
    <w:rsid w:val="0040143B"/>
    <w:rsid w:val="004015FE"/>
    <w:rsid w:val="00402F2E"/>
    <w:rsid w:val="00403865"/>
    <w:rsid w:val="00403F29"/>
    <w:rsid w:val="00404109"/>
    <w:rsid w:val="00404E6F"/>
    <w:rsid w:val="00404F0D"/>
    <w:rsid w:val="00404F8B"/>
    <w:rsid w:val="00405256"/>
    <w:rsid w:val="00405EEB"/>
    <w:rsid w:val="00405EF0"/>
    <w:rsid w:val="00406302"/>
    <w:rsid w:val="0040681B"/>
    <w:rsid w:val="00406A3D"/>
    <w:rsid w:val="00406BA7"/>
    <w:rsid w:val="0040703D"/>
    <w:rsid w:val="004076A1"/>
    <w:rsid w:val="00407B12"/>
    <w:rsid w:val="00410031"/>
    <w:rsid w:val="0041032D"/>
    <w:rsid w:val="004115A2"/>
    <w:rsid w:val="004117D5"/>
    <w:rsid w:val="00411EC9"/>
    <w:rsid w:val="004120DE"/>
    <w:rsid w:val="004139E6"/>
    <w:rsid w:val="00414B31"/>
    <w:rsid w:val="00415609"/>
    <w:rsid w:val="00415B1B"/>
    <w:rsid w:val="00415C81"/>
    <w:rsid w:val="004162DD"/>
    <w:rsid w:val="00416731"/>
    <w:rsid w:val="00416D4A"/>
    <w:rsid w:val="004172CF"/>
    <w:rsid w:val="0041734F"/>
    <w:rsid w:val="0042097D"/>
    <w:rsid w:val="004214CF"/>
    <w:rsid w:val="004218CE"/>
    <w:rsid w:val="004225E7"/>
    <w:rsid w:val="004226B0"/>
    <w:rsid w:val="004228BC"/>
    <w:rsid w:val="00422B91"/>
    <w:rsid w:val="00422E55"/>
    <w:rsid w:val="0042498A"/>
    <w:rsid w:val="00424D25"/>
    <w:rsid w:val="004254C5"/>
    <w:rsid w:val="004258A8"/>
    <w:rsid w:val="00425E0B"/>
    <w:rsid w:val="00426200"/>
    <w:rsid w:val="0042630C"/>
    <w:rsid w:val="00427BF2"/>
    <w:rsid w:val="00427EBE"/>
    <w:rsid w:val="004300DA"/>
    <w:rsid w:val="004301E1"/>
    <w:rsid w:val="00430C68"/>
    <w:rsid w:val="00430CA7"/>
    <w:rsid w:val="00430EAA"/>
    <w:rsid w:val="00431167"/>
    <w:rsid w:val="00431237"/>
    <w:rsid w:val="004314C9"/>
    <w:rsid w:val="004315BE"/>
    <w:rsid w:val="0043177D"/>
    <w:rsid w:val="00431EDD"/>
    <w:rsid w:val="00432378"/>
    <w:rsid w:val="00432406"/>
    <w:rsid w:val="00432D4D"/>
    <w:rsid w:val="00433136"/>
    <w:rsid w:val="00433180"/>
    <w:rsid w:val="00433A29"/>
    <w:rsid w:val="0043602F"/>
    <w:rsid w:val="0043680F"/>
    <w:rsid w:val="00436EB4"/>
    <w:rsid w:val="004371B6"/>
    <w:rsid w:val="0043782D"/>
    <w:rsid w:val="00437E99"/>
    <w:rsid w:val="00440D65"/>
    <w:rsid w:val="00441B15"/>
    <w:rsid w:val="00441E80"/>
    <w:rsid w:val="00442423"/>
    <w:rsid w:val="00442AA1"/>
    <w:rsid w:val="00442CAD"/>
    <w:rsid w:val="00442E8D"/>
    <w:rsid w:val="004434B8"/>
    <w:rsid w:val="0044350C"/>
    <w:rsid w:val="004435E6"/>
    <w:rsid w:val="00444926"/>
    <w:rsid w:val="00445A6D"/>
    <w:rsid w:val="004467CB"/>
    <w:rsid w:val="0044762A"/>
    <w:rsid w:val="00447E31"/>
    <w:rsid w:val="00450163"/>
    <w:rsid w:val="00450862"/>
    <w:rsid w:val="00450BA0"/>
    <w:rsid w:val="00450EBB"/>
    <w:rsid w:val="00451EFE"/>
    <w:rsid w:val="00452F08"/>
    <w:rsid w:val="00453923"/>
    <w:rsid w:val="00453E47"/>
    <w:rsid w:val="00454B0F"/>
    <w:rsid w:val="00454B9B"/>
    <w:rsid w:val="0045521F"/>
    <w:rsid w:val="0045566F"/>
    <w:rsid w:val="00455959"/>
    <w:rsid w:val="0045655C"/>
    <w:rsid w:val="004571B7"/>
    <w:rsid w:val="00457851"/>
    <w:rsid w:val="00457858"/>
    <w:rsid w:val="0045785E"/>
    <w:rsid w:val="004601C0"/>
    <w:rsid w:val="0046045D"/>
    <w:rsid w:val="0046093E"/>
    <w:rsid w:val="00460B0B"/>
    <w:rsid w:val="00461023"/>
    <w:rsid w:val="00461C20"/>
    <w:rsid w:val="00461DA4"/>
    <w:rsid w:val="00462E4B"/>
    <w:rsid w:val="00462FAC"/>
    <w:rsid w:val="00463C0C"/>
    <w:rsid w:val="00464631"/>
    <w:rsid w:val="00464B79"/>
    <w:rsid w:val="004656A3"/>
    <w:rsid w:val="00465CAB"/>
    <w:rsid w:val="00467004"/>
    <w:rsid w:val="004670F0"/>
    <w:rsid w:val="00467BBF"/>
    <w:rsid w:val="00467CB4"/>
    <w:rsid w:val="004703EB"/>
    <w:rsid w:val="00470626"/>
    <w:rsid w:val="004714DE"/>
    <w:rsid w:val="004716BA"/>
    <w:rsid w:val="00471AC8"/>
    <w:rsid w:val="00472D35"/>
    <w:rsid w:val="00472D80"/>
    <w:rsid w:val="004755BD"/>
    <w:rsid w:val="0047576F"/>
    <w:rsid w:val="00476160"/>
    <w:rsid w:val="00476796"/>
    <w:rsid w:val="004768E7"/>
    <w:rsid w:val="004769B2"/>
    <w:rsid w:val="00476DB9"/>
    <w:rsid w:val="00477420"/>
    <w:rsid w:val="0047756B"/>
    <w:rsid w:val="00477613"/>
    <w:rsid w:val="00477CB7"/>
    <w:rsid w:val="00480A24"/>
    <w:rsid w:val="00480B80"/>
    <w:rsid w:val="00480E2E"/>
    <w:rsid w:val="00481201"/>
    <w:rsid w:val="004818AF"/>
    <w:rsid w:val="00481C7B"/>
    <w:rsid w:val="00483105"/>
    <w:rsid w:val="00483886"/>
    <w:rsid w:val="00483A1B"/>
    <w:rsid w:val="00483AA0"/>
    <w:rsid w:val="00483CA1"/>
    <w:rsid w:val="004853C3"/>
    <w:rsid w:val="00485440"/>
    <w:rsid w:val="0048552E"/>
    <w:rsid w:val="0048604F"/>
    <w:rsid w:val="0048672B"/>
    <w:rsid w:val="004867E2"/>
    <w:rsid w:val="00486EF2"/>
    <w:rsid w:val="004901E2"/>
    <w:rsid w:val="00491A73"/>
    <w:rsid w:val="004923BE"/>
    <w:rsid w:val="0049298B"/>
    <w:rsid w:val="004929A9"/>
    <w:rsid w:val="00492EAE"/>
    <w:rsid w:val="00493CBF"/>
    <w:rsid w:val="00494822"/>
    <w:rsid w:val="00494D98"/>
    <w:rsid w:val="00495099"/>
    <w:rsid w:val="00495367"/>
    <w:rsid w:val="00495BA3"/>
    <w:rsid w:val="00496285"/>
    <w:rsid w:val="00496468"/>
    <w:rsid w:val="00496AC8"/>
    <w:rsid w:val="004A05DD"/>
    <w:rsid w:val="004A0DE0"/>
    <w:rsid w:val="004A4557"/>
    <w:rsid w:val="004A4B19"/>
    <w:rsid w:val="004A4FE9"/>
    <w:rsid w:val="004A512F"/>
    <w:rsid w:val="004A5285"/>
    <w:rsid w:val="004A58BB"/>
    <w:rsid w:val="004A5E35"/>
    <w:rsid w:val="004A6267"/>
    <w:rsid w:val="004A7E6A"/>
    <w:rsid w:val="004B061D"/>
    <w:rsid w:val="004B0BB1"/>
    <w:rsid w:val="004B2205"/>
    <w:rsid w:val="004B2CFB"/>
    <w:rsid w:val="004B37ED"/>
    <w:rsid w:val="004B3A03"/>
    <w:rsid w:val="004B423E"/>
    <w:rsid w:val="004B4E08"/>
    <w:rsid w:val="004B598E"/>
    <w:rsid w:val="004B5E2F"/>
    <w:rsid w:val="004B64B4"/>
    <w:rsid w:val="004B6562"/>
    <w:rsid w:val="004B65AA"/>
    <w:rsid w:val="004B696F"/>
    <w:rsid w:val="004B6D7A"/>
    <w:rsid w:val="004B7C8B"/>
    <w:rsid w:val="004B7DB5"/>
    <w:rsid w:val="004C0206"/>
    <w:rsid w:val="004C1D52"/>
    <w:rsid w:val="004C1DBC"/>
    <w:rsid w:val="004C279F"/>
    <w:rsid w:val="004C2981"/>
    <w:rsid w:val="004C2B05"/>
    <w:rsid w:val="004C2FEC"/>
    <w:rsid w:val="004C3039"/>
    <w:rsid w:val="004C32F0"/>
    <w:rsid w:val="004C3E5F"/>
    <w:rsid w:val="004C410E"/>
    <w:rsid w:val="004C492B"/>
    <w:rsid w:val="004C5860"/>
    <w:rsid w:val="004C5FEE"/>
    <w:rsid w:val="004C6BCF"/>
    <w:rsid w:val="004C70C5"/>
    <w:rsid w:val="004C75EA"/>
    <w:rsid w:val="004C7DE6"/>
    <w:rsid w:val="004D0BAE"/>
    <w:rsid w:val="004D1339"/>
    <w:rsid w:val="004D14BD"/>
    <w:rsid w:val="004D2168"/>
    <w:rsid w:val="004D25FD"/>
    <w:rsid w:val="004D279A"/>
    <w:rsid w:val="004D27E8"/>
    <w:rsid w:val="004D3455"/>
    <w:rsid w:val="004D363F"/>
    <w:rsid w:val="004D3B86"/>
    <w:rsid w:val="004D3D5D"/>
    <w:rsid w:val="004D3F87"/>
    <w:rsid w:val="004D4809"/>
    <w:rsid w:val="004D50C9"/>
    <w:rsid w:val="004D5384"/>
    <w:rsid w:val="004D58BF"/>
    <w:rsid w:val="004D5BD9"/>
    <w:rsid w:val="004D5EE5"/>
    <w:rsid w:val="004D65B0"/>
    <w:rsid w:val="004D6BFD"/>
    <w:rsid w:val="004D73B9"/>
    <w:rsid w:val="004D7606"/>
    <w:rsid w:val="004D7AB8"/>
    <w:rsid w:val="004D7F9C"/>
    <w:rsid w:val="004E13BC"/>
    <w:rsid w:val="004E163E"/>
    <w:rsid w:val="004E191B"/>
    <w:rsid w:val="004E353E"/>
    <w:rsid w:val="004E4335"/>
    <w:rsid w:val="004E4C5C"/>
    <w:rsid w:val="004E4FF5"/>
    <w:rsid w:val="004E5ACF"/>
    <w:rsid w:val="004E5B0F"/>
    <w:rsid w:val="004E5BC5"/>
    <w:rsid w:val="004E739B"/>
    <w:rsid w:val="004F0010"/>
    <w:rsid w:val="004F114E"/>
    <w:rsid w:val="004F13EE"/>
    <w:rsid w:val="004F2022"/>
    <w:rsid w:val="004F30CE"/>
    <w:rsid w:val="004F322E"/>
    <w:rsid w:val="004F3AB6"/>
    <w:rsid w:val="004F3C98"/>
    <w:rsid w:val="004F51CD"/>
    <w:rsid w:val="004F5C0C"/>
    <w:rsid w:val="004F5FDE"/>
    <w:rsid w:val="004F6759"/>
    <w:rsid w:val="004F7718"/>
    <w:rsid w:val="004F7C05"/>
    <w:rsid w:val="00500662"/>
    <w:rsid w:val="005009BB"/>
    <w:rsid w:val="00501C94"/>
    <w:rsid w:val="00501CFA"/>
    <w:rsid w:val="005026D1"/>
    <w:rsid w:val="00504586"/>
    <w:rsid w:val="005048F9"/>
    <w:rsid w:val="00504AAD"/>
    <w:rsid w:val="0050542A"/>
    <w:rsid w:val="00505CA0"/>
    <w:rsid w:val="005062DE"/>
    <w:rsid w:val="00506432"/>
    <w:rsid w:val="0050658B"/>
    <w:rsid w:val="0050671B"/>
    <w:rsid w:val="0050799B"/>
    <w:rsid w:val="00507F6B"/>
    <w:rsid w:val="00507FAC"/>
    <w:rsid w:val="0051000B"/>
    <w:rsid w:val="00510430"/>
    <w:rsid w:val="00510CF0"/>
    <w:rsid w:val="00511BFB"/>
    <w:rsid w:val="0051242B"/>
    <w:rsid w:val="00512468"/>
    <w:rsid w:val="00513D0E"/>
    <w:rsid w:val="005141A3"/>
    <w:rsid w:val="005142B1"/>
    <w:rsid w:val="005143BD"/>
    <w:rsid w:val="00514DE7"/>
    <w:rsid w:val="00515293"/>
    <w:rsid w:val="005157C5"/>
    <w:rsid w:val="00517955"/>
    <w:rsid w:val="0052041E"/>
    <w:rsid w:val="0052051D"/>
    <w:rsid w:val="0052167F"/>
    <w:rsid w:val="005217EA"/>
    <w:rsid w:val="005218F3"/>
    <w:rsid w:val="0052191A"/>
    <w:rsid w:val="00521EBE"/>
    <w:rsid w:val="0052344E"/>
    <w:rsid w:val="005236CF"/>
    <w:rsid w:val="0052378B"/>
    <w:rsid w:val="0052463D"/>
    <w:rsid w:val="005250D7"/>
    <w:rsid w:val="005251C4"/>
    <w:rsid w:val="00525377"/>
    <w:rsid w:val="00525D2F"/>
    <w:rsid w:val="00526208"/>
    <w:rsid w:val="0052735F"/>
    <w:rsid w:val="00527C70"/>
    <w:rsid w:val="005300B2"/>
    <w:rsid w:val="00530121"/>
    <w:rsid w:val="005302A9"/>
    <w:rsid w:val="00530D18"/>
    <w:rsid w:val="00530FC5"/>
    <w:rsid w:val="005337F1"/>
    <w:rsid w:val="005364C3"/>
    <w:rsid w:val="00536BC2"/>
    <w:rsid w:val="00536C07"/>
    <w:rsid w:val="00536F78"/>
    <w:rsid w:val="00537086"/>
    <w:rsid w:val="00541CB1"/>
    <w:rsid w:val="005420CE"/>
    <w:rsid w:val="00542FE7"/>
    <w:rsid w:val="005433B5"/>
    <w:rsid w:val="0054358D"/>
    <w:rsid w:val="005437C4"/>
    <w:rsid w:val="00543ACC"/>
    <w:rsid w:val="005441D3"/>
    <w:rsid w:val="005449FA"/>
    <w:rsid w:val="0054555F"/>
    <w:rsid w:val="00545EE6"/>
    <w:rsid w:val="00546DCA"/>
    <w:rsid w:val="005471AE"/>
    <w:rsid w:val="00547A68"/>
    <w:rsid w:val="00547F12"/>
    <w:rsid w:val="00547FE4"/>
    <w:rsid w:val="005500B3"/>
    <w:rsid w:val="00551A0F"/>
    <w:rsid w:val="00551B0C"/>
    <w:rsid w:val="00552298"/>
    <w:rsid w:val="00552628"/>
    <w:rsid w:val="005528AC"/>
    <w:rsid w:val="00552C19"/>
    <w:rsid w:val="00552E86"/>
    <w:rsid w:val="005536DA"/>
    <w:rsid w:val="00554154"/>
    <w:rsid w:val="0055444C"/>
    <w:rsid w:val="00554585"/>
    <w:rsid w:val="005549B9"/>
    <w:rsid w:val="005550E7"/>
    <w:rsid w:val="005564FB"/>
    <w:rsid w:val="00556FCF"/>
    <w:rsid w:val="005572C7"/>
    <w:rsid w:val="00557358"/>
    <w:rsid w:val="00557390"/>
    <w:rsid w:val="00557BE9"/>
    <w:rsid w:val="00557D5A"/>
    <w:rsid w:val="00560A14"/>
    <w:rsid w:val="00561521"/>
    <w:rsid w:val="005616E2"/>
    <w:rsid w:val="00561789"/>
    <w:rsid w:val="00562043"/>
    <w:rsid w:val="0056218D"/>
    <w:rsid w:val="005621E2"/>
    <w:rsid w:val="005622BC"/>
    <w:rsid w:val="0056274A"/>
    <w:rsid w:val="00562AC5"/>
    <w:rsid w:val="0056319B"/>
    <w:rsid w:val="005640AA"/>
    <w:rsid w:val="0056486D"/>
    <w:rsid w:val="0056497D"/>
    <w:rsid w:val="00564ED1"/>
    <w:rsid w:val="005650ED"/>
    <w:rsid w:val="00565615"/>
    <w:rsid w:val="00565D66"/>
    <w:rsid w:val="00566353"/>
    <w:rsid w:val="00566577"/>
    <w:rsid w:val="00570FA0"/>
    <w:rsid w:val="00571932"/>
    <w:rsid w:val="0057193C"/>
    <w:rsid w:val="00571DEF"/>
    <w:rsid w:val="00572FCD"/>
    <w:rsid w:val="005732BC"/>
    <w:rsid w:val="005740A7"/>
    <w:rsid w:val="00574408"/>
    <w:rsid w:val="0057541D"/>
    <w:rsid w:val="005756E1"/>
    <w:rsid w:val="00575754"/>
    <w:rsid w:val="00575E70"/>
    <w:rsid w:val="00576398"/>
    <w:rsid w:val="00577050"/>
    <w:rsid w:val="005777E5"/>
    <w:rsid w:val="00577B22"/>
    <w:rsid w:val="00577DB6"/>
    <w:rsid w:val="005800B1"/>
    <w:rsid w:val="005812B0"/>
    <w:rsid w:val="00581518"/>
    <w:rsid w:val="00581545"/>
    <w:rsid w:val="005817A9"/>
    <w:rsid w:val="005820C1"/>
    <w:rsid w:val="0058273C"/>
    <w:rsid w:val="00583E48"/>
    <w:rsid w:val="00584876"/>
    <w:rsid w:val="00587885"/>
    <w:rsid w:val="0059170B"/>
    <w:rsid w:val="00591E20"/>
    <w:rsid w:val="005927C7"/>
    <w:rsid w:val="0059286B"/>
    <w:rsid w:val="00592A05"/>
    <w:rsid w:val="00593433"/>
    <w:rsid w:val="00593E45"/>
    <w:rsid w:val="00594AFA"/>
    <w:rsid w:val="00594FEE"/>
    <w:rsid w:val="00595408"/>
    <w:rsid w:val="00595645"/>
    <w:rsid w:val="005957FE"/>
    <w:rsid w:val="00595E84"/>
    <w:rsid w:val="005961A1"/>
    <w:rsid w:val="0059680D"/>
    <w:rsid w:val="00596BF7"/>
    <w:rsid w:val="005A089D"/>
    <w:rsid w:val="005A0AD3"/>
    <w:rsid w:val="005A0C59"/>
    <w:rsid w:val="005A0E55"/>
    <w:rsid w:val="005A1D2F"/>
    <w:rsid w:val="005A27C3"/>
    <w:rsid w:val="005A33F4"/>
    <w:rsid w:val="005A342A"/>
    <w:rsid w:val="005A3520"/>
    <w:rsid w:val="005A3610"/>
    <w:rsid w:val="005A3A4F"/>
    <w:rsid w:val="005A3F50"/>
    <w:rsid w:val="005A3F7E"/>
    <w:rsid w:val="005A416C"/>
    <w:rsid w:val="005A436D"/>
    <w:rsid w:val="005A48EB"/>
    <w:rsid w:val="005A48FD"/>
    <w:rsid w:val="005A5061"/>
    <w:rsid w:val="005A5258"/>
    <w:rsid w:val="005A531B"/>
    <w:rsid w:val="005A5DE7"/>
    <w:rsid w:val="005A60E9"/>
    <w:rsid w:val="005A63DC"/>
    <w:rsid w:val="005A6CFB"/>
    <w:rsid w:val="005A6D37"/>
    <w:rsid w:val="005A7018"/>
    <w:rsid w:val="005A7BB3"/>
    <w:rsid w:val="005B010B"/>
    <w:rsid w:val="005B0EF4"/>
    <w:rsid w:val="005B1419"/>
    <w:rsid w:val="005B1B5F"/>
    <w:rsid w:val="005B2006"/>
    <w:rsid w:val="005B21B6"/>
    <w:rsid w:val="005B2630"/>
    <w:rsid w:val="005B2764"/>
    <w:rsid w:val="005B3134"/>
    <w:rsid w:val="005B3EB2"/>
    <w:rsid w:val="005B485C"/>
    <w:rsid w:val="005B5086"/>
    <w:rsid w:val="005B59EC"/>
    <w:rsid w:val="005B6868"/>
    <w:rsid w:val="005B7637"/>
    <w:rsid w:val="005B7928"/>
    <w:rsid w:val="005C0061"/>
    <w:rsid w:val="005C03EA"/>
    <w:rsid w:val="005C1AF3"/>
    <w:rsid w:val="005C1DBF"/>
    <w:rsid w:val="005C1FF4"/>
    <w:rsid w:val="005C23CC"/>
    <w:rsid w:val="005C2EA6"/>
    <w:rsid w:val="005C35D2"/>
    <w:rsid w:val="005C3A1D"/>
    <w:rsid w:val="005C5511"/>
    <w:rsid w:val="005C569A"/>
    <w:rsid w:val="005C5AEB"/>
    <w:rsid w:val="005C5BB8"/>
    <w:rsid w:val="005C6644"/>
    <w:rsid w:val="005C6D78"/>
    <w:rsid w:val="005C72AA"/>
    <w:rsid w:val="005C7D5E"/>
    <w:rsid w:val="005D02BF"/>
    <w:rsid w:val="005D16D1"/>
    <w:rsid w:val="005D18E2"/>
    <w:rsid w:val="005D2088"/>
    <w:rsid w:val="005D27EF"/>
    <w:rsid w:val="005D38E9"/>
    <w:rsid w:val="005D4273"/>
    <w:rsid w:val="005D4E50"/>
    <w:rsid w:val="005D5042"/>
    <w:rsid w:val="005D53A5"/>
    <w:rsid w:val="005D55F9"/>
    <w:rsid w:val="005D58B1"/>
    <w:rsid w:val="005D59B1"/>
    <w:rsid w:val="005D5FA0"/>
    <w:rsid w:val="005D669C"/>
    <w:rsid w:val="005D6C0E"/>
    <w:rsid w:val="005D70F0"/>
    <w:rsid w:val="005E0744"/>
    <w:rsid w:val="005E0A3F"/>
    <w:rsid w:val="005E15BA"/>
    <w:rsid w:val="005E1615"/>
    <w:rsid w:val="005E270A"/>
    <w:rsid w:val="005E289F"/>
    <w:rsid w:val="005E2C66"/>
    <w:rsid w:val="005E31B0"/>
    <w:rsid w:val="005E41FD"/>
    <w:rsid w:val="005E45F2"/>
    <w:rsid w:val="005E4D1D"/>
    <w:rsid w:val="005E5181"/>
    <w:rsid w:val="005E528D"/>
    <w:rsid w:val="005E5AF1"/>
    <w:rsid w:val="005E5B8F"/>
    <w:rsid w:val="005E5CC2"/>
    <w:rsid w:val="005E5D24"/>
    <w:rsid w:val="005E5DCD"/>
    <w:rsid w:val="005E608F"/>
    <w:rsid w:val="005E6883"/>
    <w:rsid w:val="005E72D5"/>
    <w:rsid w:val="005E772F"/>
    <w:rsid w:val="005F0378"/>
    <w:rsid w:val="005F108A"/>
    <w:rsid w:val="005F116D"/>
    <w:rsid w:val="005F1F32"/>
    <w:rsid w:val="005F26B5"/>
    <w:rsid w:val="005F2961"/>
    <w:rsid w:val="005F3351"/>
    <w:rsid w:val="005F3A5E"/>
    <w:rsid w:val="005F3BEC"/>
    <w:rsid w:val="005F3D48"/>
    <w:rsid w:val="005F4175"/>
    <w:rsid w:val="005F4ECA"/>
    <w:rsid w:val="005F521E"/>
    <w:rsid w:val="005F537B"/>
    <w:rsid w:val="005F5DE6"/>
    <w:rsid w:val="005F6068"/>
    <w:rsid w:val="005F62D8"/>
    <w:rsid w:val="005F6FB1"/>
    <w:rsid w:val="005F7694"/>
    <w:rsid w:val="005F77D8"/>
    <w:rsid w:val="005F7E1D"/>
    <w:rsid w:val="0060063B"/>
    <w:rsid w:val="00600F3E"/>
    <w:rsid w:val="00600F5D"/>
    <w:rsid w:val="00601AEF"/>
    <w:rsid w:val="00602312"/>
    <w:rsid w:val="0060251C"/>
    <w:rsid w:val="006027D0"/>
    <w:rsid w:val="00602AF9"/>
    <w:rsid w:val="00602E46"/>
    <w:rsid w:val="0060349E"/>
    <w:rsid w:val="00603B84"/>
    <w:rsid w:val="006041BE"/>
    <w:rsid w:val="006043C7"/>
    <w:rsid w:val="006044E8"/>
    <w:rsid w:val="00604706"/>
    <w:rsid w:val="0060493D"/>
    <w:rsid w:val="00604C5A"/>
    <w:rsid w:val="006071A1"/>
    <w:rsid w:val="00607A32"/>
    <w:rsid w:val="0061025A"/>
    <w:rsid w:val="006119BA"/>
    <w:rsid w:val="006119CD"/>
    <w:rsid w:val="0061225E"/>
    <w:rsid w:val="00613065"/>
    <w:rsid w:val="00613F4B"/>
    <w:rsid w:val="00614CC5"/>
    <w:rsid w:val="00614F4A"/>
    <w:rsid w:val="00616E16"/>
    <w:rsid w:val="0061780E"/>
    <w:rsid w:val="006179FE"/>
    <w:rsid w:val="00617A36"/>
    <w:rsid w:val="00620D34"/>
    <w:rsid w:val="006214D7"/>
    <w:rsid w:val="00621633"/>
    <w:rsid w:val="00622350"/>
    <w:rsid w:val="00622BBB"/>
    <w:rsid w:val="00622F9F"/>
    <w:rsid w:val="0062386C"/>
    <w:rsid w:val="0062392C"/>
    <w:rsid w:val="00624856"/>
    <w:rsid w:val="00624B52"/>
    <w:rsid w:val="00624B74"/>
    <w:rsid w:val="0063055D"/>
    <w:rsid w:val="00630BC2"/>
    <w:rsid w:val="00630DAD"/>
    <w:rsid w:val="00631BE3"/>
    <w:rsid w:val="00631BEA"/>
    <w:rsid w:val="00631DF4"/>
    <w:rsid w:val="0063273E"/>
    <w:rsid w:val="00632750"/>
    <w:rsid w:val="00632C85"/>
    <w:rsid w:val="00633347"/>
    <w:rsid w:val="00634175"/>
    <w:rsid w:val="006344CE"/>
    <w:rsid w:val="0063484E"/>
    <w:rsid w:val="00634B79"/>
    <w:rsid w:val="00637A99"/>
    <w:rsid w:val="006408AC"/>
    <w:rsid w:val="00640AF2"/>
    <w:rsid w:val="0064138C"/>
    <w:rsid w:val="0064165F"/>
    <w:rsid w:val="00641A20"/>
    <w:rsid w:val="006420A8"/>
    <w:rsid w:val="0064278D"/>
    <w:rsid w:val="00643861"/>
    <w:rsid w:val="006445BA"/>
    <w:rsid w:val="006452B0"/>
    <w:rsid w:val="006452EF"/>
    <w:rsid w:val="0064556E"/>
    <w:rsid w:val="0064614B"/>
    <w:rsid w:val="006467C8"/>
    <w:rsid w:val="006471A6"/>
    <w:rsid w:val="00647E29"/>
    <w:rsid w:val="00650736"/>
    <w:rsid w:val="0065087B"/>
    <w:rsid w:val="006511B6"/>
    <w:rsid w:val="0065171C"/>
    <w:rsid w:val="00651C0B"/>
    <w:rsid w:val="00651EB6"/>
    <w:rsid w:val="0065200E"/>
    <w:rsid w:val="00652742"/>
    <w:rsid w:val="00652A32"/>
    <w:rsid w:val="00653302"/>
    <w:rsid w:val="006534AD"/>
    <w:rsid w:val="006538FC"/>
    <w:rsid w:val="00653D33"/>
    <w:rsid w:val="00655ECC"/>
    <w:rsid w:val="00657916"/>
    <w:rsid w:val="00657A46"/>
    <w:rsid w:val="00657FF8"/>
    <w:rsid w:val="00662145"/>
    <w:rsid w:val="00662408"/>
    <w:rsid w:val="006635D4"/>
    <w:rsid w:val="00664CE0"/>
    <w:rsid w:val="00665230"/>
    <w:rsid w:val="00665F8D"/>
    <w:rsid w:val="006663E3"/>
    <w:rsid w:val="006704EA"/>
    <w:rsid w:val="00670D82"/>
    <w:rsid w:val="00670D99"/>
    <w:rsid w:val="00670E2B"/>
    <w:rsid w:val="006710EA"/>
    <w:rsid w:val="00672A05"/>
    <w:rsid w:val="00672D04"/>
    <w:rsid w:val="00672D85"/>
    <w:rsid w:val="006734BB"/>
    <w:rsid w:val="00673CD5"/>
    <w:rsid w:val="00674504"/>
    <w:rsid w:val="006745E9"/>
    <w:rsid w:val="00675201"/>
    <w:rsid w:val="00675802"/>
    <w:rsid w:val="00675D7E"/>
    <w:rsid w:val="00677452"/>
    <w:rsid w:val="00677D1F"/>
    <w:rsid w:val="00677D7E"/>
    <w:rsid w:val="0068024E"/>
    <w:rsid w:val="0068034F"/>
    <w:rsid w:val="006803D5"/>
    <w:rsid w:val="00680ED0"/>
    <w:rsid w:val="00681816"/>
    <w:rsid w:val="00681A34"/>
    <w:rsid w:val="006821EB"/>
    <w:rsid w:val="006826C3"/>
    <w:rsid w:val="006827E5"/>
    <w:rsid w:val="006829CD"/>
    <w:rsid w:val="0068332F"/>
    <w:rsid w:val="00683EB0"/>
    <w:rsid w:val="00684DE3"/>
    <w:rsid w:val="00686F30"/>
    <w:rsid w:val="00687225"/>
    <w:rsid w:val="00687333"/>
    <w:rsid w:val="00690295"/>
    <w:rsid w:val="00690DB6"/>
    <w:rsid w:val="0069124D"/>
    <w:rsid w:val="00691950"/>
    <w:rsid w:val="00692858"/>
    <w:rsid w:val="006930D2"/>
    <w:rsid w:val="0069392F"/>
    <w:rsid w:val="00694C2D"/>
    <w:rsid w:val="00694F6B"/>
    <w:rsid w:val="0069503A"/>
    <w:rsid w:val="00695455"/>
    <w:rsid w:val="0069687F"/>
    <w:rsid w:val="006A108A"/>
    <w:rsid w:val="006A24BC"/>
    <w:rsid w:val="006A2E25"/>
    <w:rsid w:val="006A2EF9"/>
    <w:rsid w:val="006A30A6"/>
    <w:rsid w:val="006A38EF"/>
    <w:rsid w:val="006A40F4"/>
    <w:rsid w:val="006A453D"/>
    <w:rsid w:val="006A63BD"/>
    <w:rsid w:val="006A7D38"/>
    <w:rsid w:val="006B0078"/>
    <w:rsid w:val="006B08A9"/>
    <w:rsid w:val="006B1647"/>
    <w:rsid w:val="006B1FC4"/>
    <w:rsid w:val="006B2286"/>
    <w:rsid w:val="006B25CE"/>
    <w:rsid w:val="006B2CCF"/>
    <w:rsid w:val="006B2DDD"/>
    <w:rsid w:val="006B44A5"/>
    <w:rsid w:val="006B4AF3"/>
    <w:rsid w:val="006B56BB"/>
    <w:rsid w:val="006B5DEC"/>
    <w:rsid w:val="006B5F3A"/>
    <w:rsid w:val="006B76F6"/>
    <w:rsid w:val="006C027C"/>
    <w:rsid w:val="006C0533"/>
    <w:rsid w:val="006C08A2"/>
    <w:rsid w:val="006C0A5E"/>
    <w:rsid w:val="006C1EBF"/>
    <w:rsid w:val="006C1F69"/>
    <w:rsid w:val="006C445E"/>
    <w:rsid w:val="006C591A"/>
    <w:rsid w:val="006C6043"/>
    <w:rsid w:val="006C6D7F"/>
    <w:rsid w:val="006C73DA"/>
    <w:rsid w:val="006C7698"/>
    <w:rsid w:val="006C77A8"/>
    <w:rsid w:val="006C79E3"/>
    <w:rsid w:val="006D0D28"/>
    <w:rsid w:val="006D2FD0"/>
    <w:rsid w:val="006D37F1"/>
    <w:rsid w:val="006D4098"/>
    <w:rsid w:val="006D57CF"/>
    <w:rsid w:val="006D5D67"/>
    <w:rsid w:val="006D6406"/>
    <w:rsid w:val="006D68C4"/>
    <w:rsid w:val="006D69BA"/>
    <w:rsid w:val="006D75E1"/>
    <w:rsid w:val="006D7681"/>
    <w:rsid w:val="006D7742"/>
    <w:rsid w:val="006D7B2E"/>
    <w:rsid w:val="006D7CC9"/>
    <w:rsid w:val="006E00F7"/>
    <w:rsid w:val="006E02EA"/>
    <w:rsid w:val="006E0694"/>
    <w:rsid w:val="006E083A"/>
    <w:rsid w:val="006E0968"/>
    <w:rsid w:val="006E09B3"/>
    <w:rsid w:val="006E0C29"/>
    <w:rsid w:val="006E0CDC"/>
    <w:rsid w:val="006E0E88"/>
    <w:rsid w:val="006E11DC"/>
    <w:rsid w:val="006E2858"/>
    <w:rsid w:val="006E2AF6"/>
    <w:rsid w:val="006E31EA"/>
    <w:rsid w:val="006E33CA"/>
    <w:rsid w:val="006E454E"/>
    <w:rsid w:val="006E4F55"/>
    <w:rsid w:val="006E4FCD"/>
    <w:rsid w:val="006E6D9A"/>
    <w:rsid w:val="006E7649"/>
    <w:rsid w:val="006E7E45"/>
    <w:rsid w:val="006E7FDB"/>
    <w:rsid w:val="006F02D9"/>
    <w:rsid w:val="006F0F7E"/>
    <w:rsid w:val="006F1844"/>
    <w:rsid w:val="006F1BA7"/>
    <w:rsid w:val="006F23FE"/>
    <w:rsid w:val="006F2427"/>
    <w:rsid w:val="006F26F9"/>
    <w:rsid w:val="006F2727"/>
    <w:rsid w:val="006F35AA"/>
    <w:rsid w:val="006F371E"/>
    <w:rsid w:val="006F37C9"/>
    <w:rsid w:val="006F3A16"/>
    <w:rsid w:val="006F3DFD"/>
    <w:rsid w:val="006F423C"/>
    <w:rsid w:val="006F4C85"/>
    <w:rsid w:val="006F51A5"/>
    <w:rsid w:val="006F5AE7"/>
    <w:rsid w:val="006F6C41"/>
    <w:rsid w:val="006F71E5"/>
    <w:rsid w:val="006F75DF"/>
    <w:rsid w:val="006F7E5C"/>
    <w:rsid w:val="006F7F51"/>
    <w:rsid w:val="0070065A"/>
    <w:rsid w:val="007006CA"/>
    <w:rsid w:val="00701275"/>
    <w:rsid w:val="0070146B"/>
    <w:rsid w:val="00701A26"/>
    <w:rsid w:val="00701E95"/>
    <w:rsid w:val="00702B78"/>
    <w:rsid w:val="00702BF7"/>
    <w:rsid w:val="007033B3"/>
    <w:rsid w:val="00704080"/>
    <w:rsid w:val="007044BC"/>
    <w:rsid w:val="00704E9E"/>
    <w:rsid w:val="007053F3"/>
    <w:rsid w:val="00706246"/>
    <w:rsid w:val="00706FDA"/>
    <w:rsid w:val="0070733B"/>
    <w:rsid w:val="0070759F"/>
    <w:rsid w:val="00707F56"/>
    <w:rsid w:val="0071019F"/>
    <w:rsid w:val="0071124E"/>
    <w:rsid w:val="007116AC"/>
    <w:rsid w:val="0071236F"/>
    <w:rsid w:val="00713558"/>
    <w:rsid w:val="0071399B"/>
    <w:rsid w:val="00713E7F"/>
    <w:rsid w:val="00713EFE"/>
    <w:rsid w:val="00714182"/>
    <w:rsid w:val="007148F7"/>
    <w:rsid w:val="00714969"/>
    <w:rsid w:val="00714F8F"/>
    <w:rsid w:val="00715B98"/>
    <w:rsid w:val="00715D71"/>
    <w:rsid w:val="00716561"/>
    <w:rsid w:val="00716D14"/>
    <w:rsid w:val="00717A2E"/>
    <w:rsid w:val="007206F2"/>
    <w:rsid w:val="007209BF"/>
    <w:rsid w:val="00720A80"/>
    <w:rsid w:val="00720D08"/>
    <w:rsid w:val="00721B9B"/>
    <w:rsid w:val="00721F3D"/>
    <w:rsid w:val="007221BE"/>
    <w:rsid w:val="00722C0D"/>
    <w:rsid w:val="00722C6F"/>
    <w:rsid w:val="007236EC"/>
    <w:rsid w:val="00724E02"/>
    <w:rsid w:val="007258B2"/>
    <w:rsid w:val="00725D1D"/>
    <w:rsid w:val="007263B9"/>
    <w:rsid w:val="0072667F"/>
    <w:rsid w:val="00726DA0"/>
    <w:rsid w:val="00727614"/>
    <w:rsid w:val="00727AF9"/>
    <w:rsid w:val="00727C7F"/>
    <w:rsid w:val="00731551"/>
    <w:rsid w:val="00731AD7"/>
    <w:rsid w:val="00731FA8"/>
    <w:rsid w:val="00732729"/>
    <w:rsid w:val="007327F8"/>
    <w:rsid w:val="00732DA3"/>
    <w:rsid w:val="007334A2"/>
    <w:rsid w:val="007334F8"/>
    <w:rsid w:val="007339CD"/>
    <w:rsid w:val="00733B7E"/>
    <w:rsid w:val="00734206"/>
    <w:rsid w:val="007359D8"/>
    <w:rsid w:val="00735A9E"/>
    <w:rsid w:val="00735FFD"/>
    <w:rsid w:val="007362D4"/>
    <w:rsid w:val="00737251"/>
    <w:rsid w:val="007374A5"/>
    <w:rsid w:val="00740A5A"/>
    <w:rsid w:val="0074109F"/>
    <w:rsid w:val="007417E3"/>
    <w:rsid w:val="00742F0D"/>
    <w:rsid w:val="007436E5"/>
    <w:rsid w:val="00743A3F"/>
    <w:rsid w:val="00743E5F"/>
    <w:rsid w:val="00745C69"/>
    <w:rsid w:val="00745E1C"/>
    <w:rsid w:val="007461C2"/>
    <w:rsid w:val="007461F8"/>
    <w:rsid w:val="0074729F"/>
    <w:rsid w:val="00750412"/>
    <w:rsid w:val="00750820"/>
    <w:rsid w:val="007510FA"/>
    <w:rsid w:val="0075141A"/>
    <w:rsid w:val="00751462"/>
    <w:rsid w:val="00751A23"/>
    <w:rsid w:val="00752B2D"/>
    <w:rsid w:val="00753126"/>
    <w:rsid w:val="007535E3"/>
    <w:rsid w:val="00753821"/>
    <w:rsid w:val="00753AEA"/>
    <w:rsid w:val="00754091"/>
    <w:rsid w:val="00755F11"/>
    <w:rsid w:val="00756485"/>
    <w:rsid w:val="00756B3B"/>
    <w:rsid w:val="007577EA"/>
    <w:rsid w:val="00757A4F"/>
    <w:rsid w:val="00757D02"/>
    <w:rsid w:val="0076063A"/>
    <w:rsid w:val="00762ECD"/>
    <w:rsid w:val="0076355F"/>
    <w:rsid w:val="00763AFC"/>
    <w:rsid w:val="00763C30"/>
    <w:rsid w:val="00763CB7"/>
    <w:rsid w:val="007641FC"/>
    <w:rsid w:val="00764C36"/>
    <w:rsid w:val="00764DD9"/>
    <w:rsid w:val="00764F22"/>
    <w:rsid w:val="00765228"/>
    <w:rsid w:val="0076672A"/>
    <w:rsid w:val="007705F7"/>
    <w:rsid w:val="00771AD4"/>
    <w:rsid w:val="0077206A"/>
    <w:rsid w:val="0077262C"/>
    <w:rsid w:val="00772854"/>
    <w:rsid w:val="007744FC"/>
    <w:rsid w:val="00774558"/>
    <w:rsid w:val="0077559B"/>
    <w:rsid w:val="0077565D"/>
    <w:rsid w:val="00775AE4"/>
    <w:rsid w:val="00775BA8"/>
    <w:rsid w:val="00775E45"/>
    <w:rsid w:val="007767D9"/>
    <w:rsid w:val="007769B1"/>
    <w:rsid w:val="00776E74"/>
    <w:rsid w:val="007800AD"/>
    <w:rsid w:val="007800E3"/>
    <w:rsid w:val="007806C1"/>
    <w:rsid w:val="007807C4"/>
    <w:rsid w:val="00780DC6"/>
    <w:rsid w:val="00780DCA"/>
    <w:rsid w:val="007822B9"/>
    <w:rsid w:val="007822C9"/>
    <w:rsid w:val="0078355A"/>
    <w:rsid w:val="00783AEF"/>
    <w:rsid w:val="00783E24"/>
    <w:rsid w:val="007848CF"/>
    <w:rsid w:val="00784DF8"/>
    <w:rsid w:val="00785169"/>
    <w:rsid w:val="00785529"/>
    <w:rsid w:val="00785759"/>
    <w:rsid w:val="007860B0"/>
    <w:rsid w:val="00786361"/>
    <w:rsid w:val="00786A5D"/>
    <w:rsid w:val="00786EEC"/>
    <w:rsid w:val="00790010"/>
    <w:rsid w:val="0079241C"/>
    <w:rsid w:val="00793B3F"/>
    <w:rsid w:val="00794976"/>
    <w:rsid w:val="00794BC0"/>
    <w:rsid w:val="007954AB"/>
    <w:rsid w:val="00795F9B"/>
    <w:rsid w:val="0079767E"/>
    <w:rsid w:val="007977CD"/>
    <w:rsid w:val="007A0C02"/>
    <w:rsid w:val="007A14C5"/>
    <w:rsid w:val="007A1602"/>
    <w:rsid w:val="007A25FA"/>
    <w:rsid w:val="007A2B56"/>
    <w:rsid w:val="007A3190"/>
    <w:rsid w:val="007A3C48"/>
    <w:rsid w:val="007A3E38"/>
    <w:rsid w:val="007A4A10"/>
    <w:rsid w:val="007A53CD"/>
    <w:rsid w:val="007A574B"/>
    <w:rsid w:val="007A7472"/>
    <w:rsid w:val="007A77E8"/>
    <w:rsid w:val="007A7AE0"/>
    <w:rsid w:val="007A7DC0"/>
    <w:rsid w:val="007B133D"/>
    <w:rsid w:val="007B1544"/>
    <w:rsid w:val="007B1760"/>
    <w:rsid w:val="007B28AA"/>
    <w:rsid w:val="007B30A4"/>
    <w:rsid w:val="007B3387"/>
    <w:rsid w:val="007B3FBF"/>
    <w:rsid w:val="007B486D"/>
    <w:rsid w:val="007B5AF5"/>
    <w:rsid w:val="007B6812"/>
    <w:rsid w:val="007B753B"/>
    <w:rsid w:val="007B773A"/>
    <w:rsid w:val="007C0B59"/>
    <w:rsid w:val="007C1AB7"/>
    <w:rsid w:val="007C277A"/>
    <w:rsid w:val="007C3A38"/>
    <w:rsid w:val="007C3FCE"/>
    <w:rsid w:val="007C47A5"/>
    <w:rsid w:val="007C48E2"/>
    <w:rsid w:val="007C5129"/>
    <w:rsid w:val="007C53BD"/>
    <w:rsid w:val="007C58DE"/>
    <w:rsid w:val="007C59A7"/>
    <w:rsid w:val="007C6D42"/>
    <w:rsid w:val="007C6D9C"/>
    <w:rsid w:val="007C7A09"/>
    <w:rsid w:val="007C7B07"/>
    <w:rsid w:val="007C7C5C"/>
    <w:rsid w:val="007C7DDB"/>
    <w:rsid w:val="007D0955"/>
    <w:rsid w:val="007D0D41"/>
    <w:rsid w:val="007D2435"/>
    <w:rsid w:val="007D255C"/>
    <w:rsid w:val="007D2636"/>
    <w:rsid w:val="007D2A33"/>
    <w:rsid w:val="007D2CC7"/>
    <w:rsid w:val="007D2F5D"/>
    <w:rsid w:val="007D348D"/>
    <w:rsid w:val="007D3A69"/>
    <w:rsid w:val="007D4645"/>
    <w:rsid w:val="007D469D"/>
    <w:rsid w:val="007D5812"/>
    <w:rsid w:val="007D673D"/>
    <w:rsid w:val="007D6A58"/>
    <w:rsid w:val="007D6F3D"/>
    <w:rsid w:val="007D7282"/>
    <w:rsid w:val="007E11CF"/>
    <w:rsid w:val="007E17BB"/>
    <w:rsid w:val="007E1CB4"/>
    <w:rsid w:val="007E1DA4"/>
    <w:rsid w:val="007E21FE"/>
    <w:rsid w:val="007E2D6D"/>
    <w:rsid w:val="007E302C"/>
    <w:rsid w:val="007E3B40"/>
    <w:rsid w:val="007E40C4"/>
    <w:rsid w:val="007E449B"/>
    <w:rsid w:val="007E461E"/>
    <w:rsid w:val="007E5FCC"/>
    <w:rsid w:val="007E62F8"/>
    <w:rsid w:val="007E6F38"/>
    <w:rsid w:val="007E76CF"/>
    <w:rsid w:val="007F04E8"/>
    <w:rsid w:val="007F0860"/>
    <w:rsid w:val="007F0B02"/>
    <w:rsid w:val="007F0BDE"/>
    <w:rsid w:val="007F0E0C"/>
    <w:rsid w:val="007F14CA"/>
    <w:rsid w:val="007F18DA"/>
    <w:rsid w:val="007F2220"/>
    <w:rsid w:val="007F2E06"/>
    <w:rsid w:val="007F31D8"/>
    <w:rsid w:val="007F3449"/>
    <w:rsid w:val="007F37CA"/>
    <w:rsid w:val="007F4B3E"/>
    <w:rsid w:val="007F4CA1"/>
    <w:rsid w:val="007F588A"/>
    <w:rsid w:val="007F58B6"/>
    <w:rsid w:val="007F58F5"/>
    <w:rsid w:val="007F66B2"/>
    <w:rsid w:val="007F7155"/>
    <w:rsid w:val="00800007"/>
    <w:rsid w:val="00800BC9"/>
    <w:rsid w:val="00801334"/>
    <w:rsid w:val="008013C9"/>
    <w:rsid w:val="0080234C"/>
    <w:rsid w:val="00802CB8"/>
    <w:rsid w:val="008042F6"/>
    <w:rsid w:val="00804377"/>
    <w:rsid w:val="008043A0"/>
    <w:rsid w:val="00804C1E"/>
    <w:rsid w:val="008051F8"/>
    <w:rsid w:val="008074C3"/>
    <w:rsid w:val="00807670"/>
    <w:rsid w:val="008104A9"/>
    <w:rsid w:val="00810BD8"/>
    <w:rsid w:val="0081113D"/>
    <w:rsid w:val="00811232"/>
    <w:rsid w:val="008114CA"/>
    <w:rsid w:val="0081264F"/>
    <w:rsid w:val="008127AF"/>
    <w:rsid w:val="00812B46"/>
    <w:rsid w:val="00814BE4"/>
    <w:rsid w:val="00814FA2"/>
    <w:rsid w:val="00815700"/>
    <w:rsid w:val="00817B70"/>
    <w:rsid w:val="00817FB1"/>
    <w:rsid w:val="008210C6"/>
    <w:rsid w:val="00821246"/>
    <w:rsid w:val="00821860"/>
    <w:rsid w:val="00821DFA"/>
    <w:rsid w:val="00822134"/>
    <w:rsid w:val="0082243E"/>
    <w:rsid w:val="0082348A"/>
    <w:rsid w:val="00823DA6"/>
    <w:rsid w:val="00824582"/>
    <w:rsid w:val="00825EDD"/>
    <w:rsid w:val="0082607F"/>
    <w:rsid w:val="0082647E"/>
    <w:rsid w:val="008264EB"/>
    <w:rsid w:val="00826951"/>
    <w:rsid w:val="00826B8F"/>
    <w:rsid w:val="00826CF9"/>
    <w:rsid w:val="00826E69"/>
    <w:rsid w:val="00827392"/>
    <w:rsid w:val="008277AC"/>
    <w:rsid w:val="008316FB"/>
    <w:rsid w:val="00831E8A"/>
    <w:rsid w:val="0083211C"/>
    <w:rsid w:val="008336C0"/>
    <w:rsid w:val="00834923"/>
    <w:rsid w:val="00835098"/>
    <w:rsid w:val="0083597E"/>
    <w:rsid w:val="00835C76"/>
    <w:rsid w:val="00840125"/>
    <w:rsid w:val="00840141"/>
    <w:rsid w:val="00840AE0"/>
    <w:rsid w:val="00840D95"/>
    <w:rsid w:val="00841111"/>
    <w:rsid w:val="008417F6"/>
    <w:rsid w:val="008418CF"/>
    <w:rsid w:val="00842868"/>
    <w:rsid w:val="00843049"/>
    <w:rsid w:val="008436E1"/>
    <w:rsid w:val="00843DC3"/>
    <w:rsid w:val="00843E45"/>
    <w:rsid w:val="008440C7"/>
    <w:rsid w:val="00844369"/>
    <w:rsid w:val="008456B9"/>
    <w:rsid w:val="00850D99"/>
    <w:rsid w:val="00851013"/>
    <w:rsid w:val="008512B8"/>
    <w:rsid w:val="0085209B"/>
    <w:rsid w:val="0085244E"/>
    <w:rsid w:val="0085290D"/>
    <w:rsid w:val="00854369"/>
    <w:rsid w:val="008543C1"/>
    <w:rsid w:val="00854507"/>
    <w:rsid w:val="00854A88"/>
    <w:rsid w:val="00854AFA"/>
    <w:rsid w:val="00855E56"/>
    <w:rsid w:val="00856B66"/>
    <w:rsid w:val="008603E9"/>
    <w:rsid w:val="008605F6"/>
    <w:rsid w:val="008615DF"/>
    <w:rsid w:val="0086187D"/>
    <w:rsid w:val="00861A5F"/>
    <w:rsid w:val="00861CD6"/>
    <w:rsid w:val="008621DF"/>
    <w:rsid w:val="008625FD"/>
    <w:rsid w:val="00862A07"/>
    <w:rsid w:val="00863EEC"/>
    <w:rsid w:val="008644AD"/>
    <w:rsid w:val="00864870"/>
    <w:rsid w:val="0086490F"/>
    <w:rsid w:val="0086537E"/>
    <w:rsid w:val="00865735"/>
    <w:rsid w:val="0086594E"/>
    <w:rsid w:val="00865D27"/>
    <w:rsid w:val="00865DDB"/>
    <w:rsid w:val="00866600"/>
    <w:rsid w:val="0086715B"/>
    <w:rsid w:val="00867277"/>
    <w:rsid w:val="00867538"/>
    <w:rsid w:val="00867E28"/>
    <w:rsid w:val="00867FDF"/>
    <w:rsid w:val="00870FA4"/>
    <w:rsid w:val="00871477"/>
    <w:rsid w:val="00871ED2"/>
    <w:rsid w:val="00873D90"/>
    <w:rsid w:val="00873FC8"/>
    <w:rsid w:val="0087457E"/>
    <w:rsid w:val="008756EC"/>
    <w:rsid w:val="00875BCC"/>
    <w:rsid w:val="00876514"/>
    <w:rsid w:val="0087797B"/>
    <w:rsid w:val="008824A6"/>
    <w:rsid w:val="00882F12"/>
    <w:rsid w:val="008831B4"/>
    <w:rsid w:val="00884461"/>
    <w:rsid w:val="00884837"/>
    <w:rsid w:val="00884866"/>
    <w:rsid w:val="00884C63"/>
    <w:rsid w:val="008852EA"/>
    <w:rsid w:val="008855D5"/>
    <w:rsid w:val="00885908"/>
    <w:rsid w:val="00885A62"/>
    <w:rsid w:val="008864B7"/>
    <w:rsid w:val="00891600"/>
    <w:rsid w:val="00891E25"/>
    <w:rsid w:val="008921A9"/>
    <w:rsid w:val="00892247"/>
    <w:rsid w:val="00893172"/>
    <w:rsid w:val="008945A9"/>
    <w:rsid w:val="00894A96"/>
    <w:rsid w:val="00894F85"/>
    <w:rsid w:val="00895240"/>
    <w:rsid w:val="00895511"/>
    <w:rsid w:val="008961FF"/>
    <w:rsid w:val="0089677E"/>
    <w:rsid w:val="00896E6E"/>
    <w:rsid w:val="00896E8C"/>
    <w:rsid w:val="00897D2E"/>
    <w:rsid w:val="008A0B2E"/>
    <w:rsid w:val="008A1868"/>
    <w:rsid w:val="008A22F7"/>
    <w:rsid w:val="008A2CE8"/>
    <w:rsid w:val="008A2E1A"/>
    <w:rsid w:val="008A349D"/>
    <w:rsid w:val="008A52F9"/>
    <w:rsid w:val="008A5F0B"/>
    <w:rsid w:val="008A6610"/>
    <w:rsid w:val="008A7438"/>
    <w:rsid w:val="008A7A82"/>
    <w:rsid w:val="008A7DF8"/>
    <w:rsid w:val="008B1334"/>
    <w:rsid w:val="008B1337"/>
    <w:rsid w:val="008B1A78"/>
    <w:rsid w:val="008B2BA0"/>
    <w:rsid w:val="008B334B"/>
    <w:rsid w:val="008B4E4E"/>
    <w:rsid w:val="008B5C3F"/>
    <w:rsid w:val="008B7974"/>
    <w:rsid w:val="008C0160"/>
    <w:rsid w:val="008C0278"/>
    <w:rsid w:val="008C2138"/>
    <w:rsid w:val="008C2358"/>
    <w:rsid w:val="008C24E9"/>
    <w:rsid w:val="008C2818"/>
    <w:rsid w:val="008C2C1F"/>
    <w:rsid w:val="008C3563"/>
    <w:rsid w:val="008C47D9"/>
    <w:rsid w:val="008C5002"/>
    <w:rsid w:val="008C56B3"/>
    <w:rsid w:val="008C5AA0"/>
    <w:rsid w:val="008C5D1A"/>
    <w:rsid w:val="008C5D51"/>
    <w:rsid w:val="008C5FEE"/>
    <w:rsid w:val="008C6A46"/>
    <w:rsid w:val="008C6D5A"/>
    <w:rsid w:val="008C7957"/>
    <w:rsid w:val="008C7FFE"/>
    <w:rsid w:val="008D0533"/>
    <w:rsid w:val="008D06D7"/>
    <w:rsid w:val="008D123B"/>
    <w:rsid w:val="008D15DF"/>
    <w:rsid w:val="008D173D"/>
    <w:rsid w:val="008D1DB7"/>
    <w:rsid w:val="008D2260"/>
    <w:rsid w:val="008D28A0"/>
    <w:rsid w:val="008D34FA"/>
    <w:rsid w:val="008D3AF4"/>
    <w:rsid w:val="008D3DCA"/>
    <w:rsid w:val="008D3F6A"/>
    <w:rsid w:val="008D42CB"/>
    <w:rsid w:val="008D48C9"/>
    <w:rsid w:val="008D5796"/>
    <w:rsid w:val="008D5B79"/>
    <w:rsid w:val="008D61A5"/>
    <w:rsid w:val="008D6381"/>
    <w:rsid w:val="008D6BBB"/>
    <w:rsid w:val="008E018E"/>
    <w:rsid w:val="008E025D"/>
    <w:rsid w:val="008E0C77"/>
    <w:rsid w:val="008E0DC2"/>
    <w:rsid w:val="008E19C6"/>
    <w:rsid w:val="008E1F9F"/>
    <w:rsid w:val="008E2773"/>
    <w:rsid w:val="008E3FA6"/>
    <w:rsid w:val="008E4E44"/>
    <w:rsid w:val="008E5316"/>
    <w:rsid w:val="008E625F"/>
    <w:rsid w:val="008E71D6"/>
    <w:rsid w:val="008E7414"/>
    <w:rsid w:val="008E7EF7"/>
    <w:rsid w:val="008F05AC"/>
    <w:rsid w:val="008F082E"/>
    <w:rsid w:val="008F0AEA"/>
    <w:rsid w:val="008F1391"/>
    <w:rsid w:val="008F2193"/>
    <w:rsid w:val="008F264D"/>
    <w:rsid w:val="008F3A3F"/>
    <w:rsid w:val="008F40B7"/>
    <w:rsid w:val="008F4735"/>
    <w:rsid w:val="008F4F13"/>
    <w:rsid w:val="008F5705"/>
    <w:rsid w:val="008F5CD2"/>
    <w:rsid w:val="008F6130"/>
    <w:rsid w:val="008F631F"/>
    <w:rsid w:val="008F6396"/>
    <w:rsid w:val="008F63FB"/>
    <w:rsid w:val="008F730D"/>
    <w:rsid w:val="008F7413"/>
    <w:rsid w:val="008F7EB9"/>
    <w:rsid w:val="009001BA"/>
    <w:rsid w:val="009002D8"/>
    <w:rsid w:val="00900D3B"/>
    <w:rsid w:val="00901388"/>
    <w:rsid w:val="00902993"/>
    <w:rsid w:val="009030F0"/>
    <w:rsid w:val="00903F31"/>
    <w:rsid w:val="0090567B"/>
    <w:rsid w:val="00905754"/>
    <w:rsid w:val="009074E1"/>
    <w:rsid w:val="009075BD"/>
    <w:rsid w:val="00910450"/>
    <w:rsid w:val="009105B7"/>
    <w:rsid w:val="00911222"/>
    <w:rsid w:val="009112F7"/>
    <w:rsid w:val="00912060"/>
    <w:rsid w:val="009122AF"/>
    <w:rsid w:val="009127BC"/>
    <w:rsid w:val="00912AA3"/>
    <w:rsid w:val="00912B2B"/>
    <w:rsid w:val="00912D54"/>
    <w:rsid w:val="00912DF5"/>
    <w:rsid w:val="0091389F"/>
    <w:rsid w:val="00913DF3"/>
    <w:rsid w:val="00914309"/>
    <w:rsid w:val="009146A7"/>
    <w:rsid w:val="00914EC9"/>
    <w:rsid w:val="00915127"/>
    <w:rsid w:val="00915482"/>
    <w:rsid w:val="00915EFD"/>
    <w:rsid w:val="00915FD1"/>
    <w:rsid w:val="00917112"/>
    <w:rsid w:val="009202C2"/>
    <w:rsid w:val="009208F7"/>
    <w:rsid w:val="0092097E"/>
    <w:rsid w:val="009212EC"/>
    <w:rsid w:val="009223F0"/>
    <w:rsid w:val="00922517"/>
    <w:rsid w:val="00922722"/>
    <w:rsid w:val="00922F4A"/>
    <w:rsid w:val="00923372"/>
    <w:rsid w:val="009235F9"/>
    <w:rsid w:val="00925695"/>
    <w:rsid w:val="0092596D"/>
    <w:rsid w:val="00925ACC"/>
    <w:rsid w:val="009261E6"/>
    <w:rsid w:val="009268E1"/>
    <w:rsid w:val="0092746F"/>
    <w:rsid w:val="009275E8"/>
    <w:rsid w:val="009276AF"/>
    <w:rsid w:val="009276BC"/>
    <w:rsid w:val="0093057F"/>
    <w:rsid w:val="009308A1"/>
    <w:rsid w:val="00931DE6"/>
    <w:rsid w:val="00932352"/>
    <w:rsid w:val="0093250F"/>
    <w:rsid w:val="00932555"/>
    <w:rsid w:val="00933100"/>
    <w:rsid w:val="00934397"/>
    <w:rsid w:val="00934765"/>
    <w:rsid w:val="00934D46"/>
    <w:rsid w:val="00934F30"/>
    <w:rsid w:val="0093559A"/>
    <w:rsid w:val="00935609"/>
    <w:rsid w:val="00935752"/>
    <w:rsid w:val="009360C4"/>
    <w:rsid w:val="00937406"/>
    <w:rsid w:val="00937A62"/>
    <w:rsid w:val="009400E1"/>
    <w:rsid w:val="009402AA"/>
    <w:rsid w:val="0094073A"/>
    <w:rsid w:val="009407ED"/>
    <w:rsid w:val="0094111C"/>
    <w:rsid w:val="00941390"/>
    <w:rsid w:val="0094164E"/>
    <w:rsid w:val="00942533"/>
    <w:rsid w:val="00942C33"/>
    <w:rsid w:val="00943979"/>
    <w:rsid w:val="00943BC6"/>
    <w:rsid w:val="0094580F"/>
    <w:rsid w:val="00945E7F"/>
    <w:rsid w:val="00947FAA"/>
    <w:rsid w:val="00950DD9"/>
    <w:rsid w:val="0095128A"/>
    <w:rsid w:val="009516E1"/>
    <w:rsid w:val="009521C5"/>
    <w:rsid w:val="009530FB"/>
    <w:rsid w:val="009532BE"/>
    <w:rsid w:val="00953379"/>
    <w:rsid w:val="00953751"/>
    <w:rsid w:val="009537AE"/>
    <w:rsid w:val="00953C28"/>
    <w:rsid w:val="009557C1"/>
    <w:rsid w:val="0095693B"/>
    <w:rsid w:val="00956A7A"/>
    <w:rsid w:val="00956CD0"/>
    <w:rsid w:val="00957219"/>
    <w:rsid w:val="00957514"/>
    <w:rsid w:val="00957D12"/>
    <w:rsid w:val="009605B4"/>
    <w:rsid w:val="009606CB"/>
    <w:rsid w:val="00960CFB"/>
    <w:rsid w:val="00960D6E"/>
    <w:rsid w:val="009617AC"/>
    <w:rsid w:val="00961A3E"/>
    <w:rsid w:val="0096202E"/>
    <w:rsid w:val="00962626"/>
    <w:rsid w:val="00962D8F"/>
    <w:rsid w:val="009637CC"/>
    <w:rsid w:val="00963D14"/>
    <w:rsid w:val="00965677"/>
    <w:rsid w:val="0096607C"/>
    <w:rsid w:val="009662B4"/>
    <w:rsid w:val="00966610"/>
    <w:rsid w:val="009675C1"/>
    <w:rsid w:val="00967857"/>
    <w:rsid w:val="00970318"/>
    <w:rsid w:val="009713FD"/>
    <w:rsid w:val="00971B50"/>
    <w:rsid w:val="00972899"/>
    <w:rsid w:val="00972BC1"/>
    <w:rsid w:val="00972C12"/>
    <w:rsid w:val="0097442B"/>
    <w:rsid w:val="00974A26"/>
    <w:rsid w:val="00974B59"/>
    <w:rsid w:val="00974BAE"/>
    <w:rsid w:val="00974BD3"/>
    <w:rsid w:val="00975A5C"/>
    <w:rsid w:val="0097627A"/>
    <w:rsid w:val="00976F3C"/>
    <w:rsid w:val="00977A42"/>
    <w:rsid w:val="0098033F"/>
    <w:rsid w:val="00981411"/>
    <w:rsid w:val="0098269D"/>
    <w:rsid w:val="00982EF3"/>
    <w:rsid w:val="0098340B"/>
    <w:rsid w:val="00983866"/>
    <w:rsid w:val="009839A6"/>
    <w:rsid w:val="00986068"/>
    <w:rsid w:val="00986830"/>
    <w:rsid w:val="00986905"/>
    <w:rsid w:val="00987185"/>
    <w:rsid w:val="00990492"/>
    <w:rsid w:val="00991C1F"/>
    <w:rsid w:val="00991CF0"/>
    <w:rsid w:val="00991F66"/>
    <w:rsid w:val="009924C3"/>
    <w:rsid w:val="00993102"/>
    <w:rsid w:val="00993E93"/>
    <w:rsid w:val="00993FFA"/>
    <w:rsid w:val="00995F01"/>
    <w:rsid w:val="00996110"/>
    <w:rsid w:val="00996ECE"/>
    <w:rsid w:val="009A0275"/>
    <w:rsid w:val="009A07E7"/>
    <w:rsid w:val="009A0C73"/>
    <w:rsid w:val="009A1558"/>
    <w:rsid w:val="009A2627"/>
    <w:rsid w:val="009A2BE4"/>
    <w:rsid w:val="009A3652"/>
    <w:rsid w:val="009A39A4"/>
    <w:rsid w:val="009A4106"/>
    <w:rsid w:val="009A45E4"/>
    <w:rsid w:val="009A468A"/>
    <w:rsid w:val="009A48C1"/>
    <w:rsid w:val="009A4BDF"/>
    <w:rsid w:val="009A4F8F"/>
    <w:rsid w:val="009A53AC"/>
    <w:rsid w:val="009A61CB"/>
    <w:rsid w:val="009A657C"/>
    <w:rsid w:val="009B03B2"/>
    <w:rsid w:val="009B03F4"/>
    <w:rsid w:val="009B0DDC"/>
    <w:rsid w:val="009B1266"/>
    <w:rsid w:val="009B13DF"/>
    <w:rsid w:val="009B1988"/>
    <w:rsid w:val="009B224A"/>
    <w:rsid w:val="009B26A9"/>
    <w:rsid w:val="009B2C6A"/>
    <w:rsid w:val="009B3688"/>
    <w:rsid w:val="009B369E"/>
    <w:rsid w:val="009B3B06"/>
    <w:rsid w:val="009B4637"/>
    <w:rsid w:val="009B541A"/>
    <w:rsid w:val="009B57AF"/>
    <w:rsid w:val="009B5FC3"/>
    <w:rsid w:val="009B6444"/>
    <w:rsid w:val="009B73D4"/>
    <w:rsid w:val="009B7511"/>
    <w:rsid w:val="009B7E7A"/>
    <w:rsid w:val="009C1F36"/>
    <w:rsid w:val="009C2398"/>
    <w:rsid w:val="009C2883"/>
    <w:rsid w:val="009C2C27"/>
    <w:rsid w:val="009C2C30"/>
    <w:rsid w:val="009C3639"/>
    <w:rsid w:val="009C3819"/>
    <w:rsid w:val="009C3F11"/>
    <w:rsid w:val="009C4752"/>
    <w:rsid w:val="009C4A39"/>
    <w:rsid w:val="009C5E0C"/>
    <w:rsid w:val="009C6190"/>
    <w:rsid w:val="009C6521"/>
    <w:rsid w:val="009C6CF9"/>
    <w:rsid w:val="009C6F10"/>
    <w:rsid w:val="009C72CC"/>
    <w:rsid w:val="009C7B7F"/>
    <w:rsid w:val="009C7FED"/>
    <w:rsid w:val="009D0709"/>
    <w:rsid w:val="009D1428"/>
    <w:rsid w:val="009D148F"/>
    <w:rsid w:val="009D1810"/>
    <w:rsid w:val="009D1B21"/>
    <w:rsid w:val="009D24EA"/>
    <w:rsid w:val="009D2792"/>
    <w:rsid w:val="009D3D70"/>
    <w:rsid w:val="009D40CB"/>
    <w:rsid w:val="009D4327"/>
    <w:rsid w:val="009D470C"/>
    <w:rsid w:val="009D4FA1"/>
    <w:rsid w:val="009D54CB"/>
    <w:rsid w:val="009D6170"/>
    <w:rsid w:val="009D658F"/>
    <w:rsid w:val="009D688E"/>
    <w:rsid w:val="009D733B"/>
    <w:rsid w:val="009D786E"/>
    <w:rsid w:val="009D7EB0"/>
    <w:rsid w:val="009E1614"/>
    <w:rsid w:val="009E1DF5"/>
    <w:rsid w:val="009E27BC"/>
    <w:rsid w:val="009E2974"/>
    <w:rsid w:val="009E3B5F"/>
    <w:rsid w:val="009E3F09"/>
    <w:rsid w:val="009E50A4"/>
    <w:rsid w:val="009E5BB4"/>
    <w:rsid w:val="009E6EDD"/>
    <w:rsid w:val="009E6F7E"/>
    <w:rsid w:val="009E7A57"/>
    <w:rsid w:val="009F013F"/>
    <w:rsid w:val="009F0613"/>
    <w:rsid w:val="009F07CD"/>
    <w:rsid w:val="009F13AF"/>
    <w:rsid w:val="009F1764"/>
    <w:rsid w:val="009F3A9F"/>
    <w:rsid w:val="009F4653"/>
    <w:rsid w:val="009F4F6A"/>
    <w:rsid w:val="009F6932"/>
    <w:rsid w:val="009F7D76"/>
    <w:rsid w:val="00A003AC"/>
    <w:rsid w:val="00A00415"/>
    <w:rsid w:val="00A01B85"/>
    <w:rsid w:val="00A0245A"/>
    <w:rsid w:val="00A024F8"/>
    <w:rsid w:val="00A02AB9"/>
    <w:rsid w:val="00A02EB9"/>
    <w:rsid w:val="00A03696"/>
    <w:rsid w:val="00A03A6C"/>
    <w:rsid w:val="00A03BEB"/>
    <w:rsid w:val="00A04084"/>
    <w:rsid w:val="00A04DA7"/>
    <w:rsid w:val="00A069D7"/>
    <w:rsid w:val="00A06EC1"/>
    <w:rsid w:val="00A07D1A"/>
    <w:rsid w:val="00A07F3D"/>
    <w:rsid w:val="00A10603"/>
    <w:rsid w:val="00A10605"/>
    <w:rsid w:val="00A10772"/>
    <w:rsid w:val="00A10C30"/>
    <w:rsid w:val="00A10DFB"/>
    <w:rsid w:val="00A11948"/>
    <w:rsid w:val="00A12771"/>
    <w:rsid w:val="00A1329B"/>
    <w:rsid w:val="00A13433"/>
    <w:rsid w:val="00A13777"/>
    <w:rsid w:val="00A14BB8"/>
    <w:rsid w:val="00A14F29"/>
    <w:rsid w:val="00A15071"/>
    <w:rsid w:val="00A15265"/>
    <w:rsid w:val="00A155C2"/>
    <w:rsid w:val="00A157CD"/>
    <w:rsid w:val="00A15A08"/>
    <w:rsid w:val="00A16D6C"/>
    <w:rsid w:val="00A16E36"/>
    <w:rsid w:val="00A213DD"/>
    <w:rsid w:val="00A2140A"/>
    <w:rsid w:val="00A21553"/>
    <w:rsid w:val="00A216B8"/>
    <w:rsid w:val="00A21C07"/>
    <w:rsid w:val="00A22C0F"/>
    <w:rsid w:val="00A22F6E"/>
    <w:rsid w:val="00A23524"/>
    <w:rsid w:val="00A237E2"/>
    <w:rsid w:val="00A2386D"/>
    <w:rsid w:val="00A2429F"/>
    <w:rsid w:val="00A24772"/>
    <w:rsid w:val="00A24961"/>
    <w:rsid w:val="00A24B10"/>
    <w:rsid w:val="00A24F77"/>
    <w:rsid w:val="00A25106"/>
    <w:rsid w:val="00A26327"/>
    <w:rsid w:val="00A26642"/>
    <w:rsid w:val="00A26C43"/>
    <w:rsid w:val="00A273EE"/>
    <w:rsid w:val="00A305C2"/>
    <w:rsid w:val="00A30E9B"/>
    <w:rsid w:val="00A31658"/>
    <w:rsid w:val="00A31B1E"/>
    <w:rsid w:val="00A31B78"/>
    <w:rsid w:val="00A32CD9"/>
    <w:rsid w:val="00A33421"/>
    <w:rsid w:val="00A33531"/>
    <w:rsid w:val="00A335C8"/>
    <w:rsid w:val="00A33807"/>
    <w:rsid w:val="00A33B28"/>
    <w:rsid w:val="00A33DD2"/>
    <w:rsid w:val="00A345A8"/>
    <w:rsid w:val="00A34F07"/>
    <w:rsid w:val="00A355FE"/>
    <w:rsid w:val="00A35750"/>
    <w:rsid w:val="00A35790"/>
    <w:rsid w:val="00A35CAC"/>
    <w:rsid w:val="00A35E78"/>
    <w:rsid w:val="00A37BCA"/>
    <w:rsid w:val="00A40897"/>
    <w:rsid w:val="00A42449"/>
    <w:rsid w:val="00A42457"/>
    <w:rsid w:val="00A42DF2"/>
    <w:rsid w:val="00A43287"/>
    <w:rsid w:val="00A436DE"/>
    <w:rsid w:val="00A4417D"/>
    <w:rsid w:val="00A44ACD"/>
    <w:rsid w:val="00A44FAD"/>
    <w:rsid w:val="00A4512D"/>
    <w:rsid w:val="00A451B4"/>
    <w:rsid w:val="00A45796"/>
    <w:rsid w:val="00A476A5"/>
    <w:rsid w:val="00A47985"/>
    <w:rsid w:val="00A47989"/>
    <w:rsid w:val="00A47F24"/>
    <w:rsid w:val="00A50244"/>
    <w:rsid w:val="00A50757"/>
    <w:rsid w:val="00A50D7B"/>
    <w:rsid w:val="00A53DFF"/>
    <w:rsid w:val="00A54E82"/>
    <w:rsid w:val="00A553AA"/>
    <w:rsid w:val="00A555BA"/>
    <w:rsid w:val="00A55931"/>
    <w:rsid w:val="00A560CC"/>
    <w:rsid w:val="00A5613E"/>
    <w:rsid w:val="00A56567"/>
    <w:rsid w:val="00A569C0"/>
    <w:rsid w:val="00A56F17"/>
    <w:rsid w:val="00A57D06"/>
    <w:rsid w:val="00A604BF"/>
    <w:rsid w:val="00A6109E"/>
    <w:rsid w:val="00A610CA"/>
    <w:rsid w:val="00A6193E"/>
    <w:rsid w:val="00A620CF"/>
    <w:rsid w:val="00A627D7"/>
    <w:rsid w:val="00A63785"/>
    <w:rsid w:val="00A64142"/>
    <w:rsid w:val="00A650D6"/>
    <w:rsid w:val="00A650F1"/>
    <w:rsid w:val="00A652F3"/>
    <w:rsid w:val="00A656C7"/>
    <w:rsid w:val="00A6701B"/>
    <w:rsid w:val="00A6702B"/>
    <w:rsid w:val="00A670F8"/>
    <w:rsid w:val="00A67198"/>
    <w:rsid w:val="00A67543"/>
    <w:rsid w:val="00A67C50"/>
    <w:rsid w:val="00A67DEE"/>
    <w:rsid w:val="00A705AF"/>
    <w:rsid w:val="00A70940"/>
    <w:rsid w:val="00A70BFE"/>
    <w:rsid w:val="00A72454"/>
    <w:rsid w:val="00A7248C"/>
    <w:rsid w:val="00A72CB8"/>
    <w:rsid w:val="00A73261"/>
    <w:rsid w:val="00A73F41"/>
    <w:rsid w:val="00A741A3"/>
    <w:rsid w:val="00A74EBB"/>
    <w:rsid w:val="00A754C5"/>
    <w:rsid w:val="00A75BB0"/>
    <w:rsid w:val="00A7628F"/>
    <w:rsid w:val="00A763FA"/>
    <w:rsid w:val="00A77696"/>
    <w:rsid w:val="00A77910"/>
    <w:rsid w:val="00A77EC6"/>
    <w:rsid w:val="00A80557"/>
    <w:rsid w:val="00A81A9A"/>
    <w:rsid w:val="00A81B63"/>
    <w:rsid w:val="00A81D33"/>
    <w:rsid w:val="00A82BA5"/>
    <w:rsid w:val="00A82F11"/>
    <w:rsid w:val="00A843F4"/>
    <w:rsid w:val="00A8477A"/>
    <w:rsid w:val="00A84ED0"/>
    <w:rsid w:val="00A8519F"/>
    <w:rsid w:val="00A856C6"/>
    <w:rsid w:val="00A85758"/>
    <w:rsid w:val="00A85864"/>
    <w:rsid w:val="00A861E5"/>
    <w:rsid w:val="00A8722B"/>
    <w:rsid w:val="00A8779D"/>
    <w:rsid w:val="00A87D13"/>
    <w:rsid w:val="00A908F6"/>
    <w:rsid w:val="00A90F20"/>
    <w:rsid w:val="00A9211B"/>
    <w:rsid w:val="00A922FE"/>
    <w:rsid w:val="00A92FA4"/>
    <w:rsid w:val="00A930AE"/>
    <w:rsid w:val="00A93424"/>
    <w:rsid w:val="00A951F3"/>
    <w:rsid w:val="00A95E51"/>
    <w:rsid w:val="00A95E53"/>
    <w:rsid w:val="00A95F59"/>
    <w:rsid w:val="00A9603C"/>
    <w:rsid w:val="00A97C07"/>
    <w:rsid w:val="00AA0447"/>
    <w:rsid w:val="00AA073D"/>
    <w:rsid w:val="00AA0866"/>
    <w:rsid w:val="00AA09BB"/>
    <w:rsid w:val="00AA1564"/>
    <w:rsid w:val="00AA1A94"/>
    <w:rsid w:val="00AA1A95"/>
    <w:rsid w:val="00AA2050"/>
    <w:rsid w:val="00AA22AF"/>
    <w:rsid w:val="00AA23AF"/>
    <w:rsid w:val="00AA260F"/>
    <w:rsid w:val="00AA2BF3"/>
    <w:rsid w:val="00AA3CDE"/>
    <w:rsid w:val="00AA492F"/>
    <w:rsid w:val="00AA54BD"/>
    <w:rsid w:val="00AA613E"/>
    <w:rsid w:val="00AA763F"/>
    <w:rsid w:val="00AA7A84"/>
    <w:rsid w:val="00AB0067"/>
    <w:rsid w:val="00AB0C27"/>
    <w:rsid w:val="00AB1CD9"/>
    <w:rsid w:val="00AB1CE0"/>
    <w:rsid w:val="00AB1EE7"/>
    <w:rsid w:val="00AB2D10"/>
    <w:rsid w:val="00AB3084"/>
    <w:rsid w:val="00AB486E"/>
    <w:rsid w:val="00AB4B37"/>
    <w:rsid w:val="00AB533E"/>
    <w:rsid w:val="00AB5762"/>
    <w:rsid w:val="00AB650E"/>
    <w:rsid w:val="00AB6B40"/>
    <w:rsid w:val="00AB73F0"/>
    <w:rsid w:val="00AB78F4"/>
    <w:rsid w:val="00AC0B53"/>
    <w:rsid w:val="00AC0C70"/>
    <w:rsid w:val="00AC123E"/>
    <w:rsid w:val="00AC13E6"/>
    <w:rsid w:val="00AC160E"/>
    <w:rsid w:val="00AC168C"/>
    <w:rsid w:val="00AC2679"/>
    <w:rsid w:val="00AC45C3"/>
    <w:rsid w:val="00AC4BE4"/>
    <w:rsid w:val="00AC6BB3"/>
    <w:rsid w:val="00AC6BF9"/>
    <w:rsid w:val="00AC7443"/>
    <w:rsid w:val="00AC777F"/>
    <w:rsid w:val="00AC7A6C"/>
    <w:rsid w:val="00AD05E6"/>
    <w:rsid w:val="00AD0916"/>
    <w:rsid w:val="00AD0D3F"/>
    <w:rsid w:val="00AD0E88"/>
    <w:rsid w:val="00AD11FC"/>
    <w:rsid w:val="00AD1C54"/>
    <w:rsid w:val="00AD1D7C"/>
    <w:rsid w:val="00AD2ACC"/>
    <w:rsid w:val="00AD3A38"/>
    <w:rsid w:val="00AD3C2B"/>
    <w:rsid w:val="00AD51FD"/>
    <w:rsid w:val="00AD5475"/>
    <w:rsid w:val="00AD5CFC"/>
    <w:rsid w:val="00AD5F4D"/>
    <w:rsid w:val="00AD6763"/>
    <w:rsid w:val="00AD74F4"/>
    <w:rsid w:val="00AE0D2A"/>
    <w:rsid w:val="00AE0E3B"/>
    <w:rsid w:val="00AE0FAC"/>
    <w:rsid w:val="00AE1D7D"/>
    <w:rsid w:val="00AE286D"/>
    <w:rsid w:val="00AE2A8B"/>
    <w:rsid w:val="00AE3332"/>
    <w:rsid w:val="00AE38F4"/>
    <w:rsid w:val="00AE3F64"/>
    <w:rsid w:val="00AE4642"/>
    <w:rsid w:val="00AE4B88"/>
    <w:rsid w:val="00AE562F"/>
    <w:rsid w:val="00AE5B83"/>
    <w:rsid w:val="00AE67B6"/>
    <w:rsid w:val="00AE6C0A"/>
    <w:rsid w:val="00AE7564"/>
    <w:rsid w:val="00AE77F2"/>
    <w:rsid w:val="00AE789A"/>
    <w:rsid w:val="00AF152B"/>
    <w:rsid w:val="00AF2916"/>
    <w:rsid w:val="00AF29F2"/>
    <w:rsid w:val="00AF5B48"/>
    <w:rsid w:val="00AF626F"/>
    <w:rsid w:val="00AF7088"/>
    <w:rsid w:val="00AF7386"/>
    <w:rsid w:val="00AF7403"/>
    <w:rsid w:val="00AF7934"/>
    <w:rsid w:val="00B00B81"/>
    <w:rsid w:val="00B01C63"/>
    <w:rsid w:val="00B01EBF"/>
    <w:rsid w:val="00B027E9"/>
    <w:rsid w:val="00B02B23"/>
    <w:rsid w:val="00B03B2B"/>
    <w:rsid w:val="00B03F0F"/>
    <w:rsid w:val="00B04224"/>
    <w:rsid w:val="00B04580"/>
    <w:rsid w:val="00B049E0"/>
    <w:rsid w:val="00B04B09"/>
    <w:rsid w:val="00B057B3"/>
    <w:rsid w:val="00B05A93"/>
    <w:rsid w:val="00B05CF2"/>
    <w:rsid w:val="00B05F61"/>
    <w:rsid w:val="00B075E8"/>
    <w:rsid w:val="00B07DCC"/>
    <w:rsid w:val="00B10935"/>
    <w:rsid w:val="00B10A34"/>
    <w:rsid w:val="00B12DAD"/>
    <w:rsid w:val="00B138F8"/>
    <w:rsid w:val="00B144AE"/>
    <w:rsid w:val="00B14D06"/>
    <w:rsid w:val="00B14D78"/>
    <w:rsid w:val="00B153A8"/>
    <w:rsid w:val="00B15D1F"/>
    <w:rsid w:val="00B16A51"/>
    <w:rsid w:val="00B17DC5"/>
    <w:rsid w:val="00B21170"/>
    <w:rsid w:val="00B21200"/>
    <w:rsid w:val="00B22179"/>
    <w:rsid w:val="00B22924"/>
    <w:rsid w:val="00B23515"/>
    <w:rsid w:val="00B23BA4"/>
    <w:rsid w:val="00B23D38"/>
    <w:rsid w:val="00B23EF6"/>
    <w:rsid w:val="00B24BAB"/>
    <w:rsid w:val="00B25084"/>
    <w:rsid w:val="00B253E4"/>
    <w:rsid w:val="00B25440"/>
    <w:rsid w:val="00B25F1A"/>
    <w:rsid w:val="00B30604"/>
    <w:rsid w:val="00B30BC1"/>
    <w:rsid w:val="00B31207"/>
    <w:rsid w:val="00B313E3"/>
    <w:rsid w:val="00B319AD"/>
    <w:rsid w:val="00B32222"/>
    <w:rsid w:val="00B32A7A"/>
    <w:rsid w:val="00B33D81"/>
    <w:rsid w:val="00B35E86"/>
    <w:rsid w:val="00B3618D"/>
    <w:rsid w:val="00B36233"/>
    <w:rsid w:val="00B36F2D"/>
    <w:rsid w:val="00B37906"/>
    <w:rsid w:val="00B406C2"/>
    <w:rsid w:val="00B41528"/>
    <w:rsid w:val="00B41C4D"/>
    <w:rsid w:val="00B41EAB"/>
    <w:rsid w:val="00B42851"/>
    <w:rsid w:val="00B42A17"/>
    <w:rsid w:val="00B42B1F"/>
    <w:rsid w:val="00B44462"/>
    <w:rsid w:val="00B45895"/>
    <w:rsid w:val="00B45AC7"/>
    <w:rsid w:val="00B46770"/>
    <w:rsid w:val="00B4696B"/>
    <w:rsid w:val="00B47023"/>
    <w:rsid w:val="00B50770"/>
    <w:rsid w:val="00B507BE"/>
    <w:rsid w:val="00B517A1"/>
    <w:rsid w:val="00B51AE4"/>
    <w:rsid w:val="00B521C7"/>
    <w:rsid w:val="00B5372F"/>
    <w:rsid w:val="00B53766"/>
    <w:rsid w:val="00B54B5F"/>
    <w:rsid w:val="00B55CED"/>
    <w:rsid w:val="00B5600F"/>
    <w:rsid w:val="00B560BA"/>
    <w:rsid w:val="00B61129"/>
    <w:rsid w:val="00B6119A"/>
    <w:rsid w:val="00B615D6"/>
    <w:rsid w:val="00B6378D"/>
    <w:rsid w:val="00B63CB1"/>
    <w:rsid w:val="00B64F2F"/>
    <w:rsid w:val="00B65FDB"/>
    <w:rsid w:val="00B6645F"/>
    <w:rsid w:val="00B66770"/>
    <w:rsid w:val="00B66C63"/>
    <w:rsid w:val="00B66EC1"/>
    <w:rsid w:val="00B66FE0"/>
    <w:rsid w:val="00B676C0"/>
    <w:rsid w:val="00B67B38"/>
    <w:rsid w:val="00B67B72"/>
    <w:rsid w:val="00B67E7F"/>
    <w:rsid w:val="00B67F6F"/>
    <w:rsid w:val="00B67FFC"/>
    <w:rsid w:val="00B70FC1"/>
    <w:rsid w:val="00B7222E"/>
    <w:rsid w:val="00B7254F"/>
    <w:rsid w:val="00B728B5"/>
    <w:rsid w:val="00B729CD"/>
    <w:rsid w:val="00B72BD8"/>
    <w:rsid w:val="00B73C55"/>
    <w:rsid w:val="00B7405C"/>
    <w:rsid w:val="00B7406E"/>
    <w:rsid w:val="00B742D3"/>
    <w:rsid w:val="00B74F90"/>
    <w:rsid w:val="00B750C9"/>
    <w:rsid w:val="00B751C9"/>
    <w:rsid w:val="00B75A04"/>
    <w:rsid w:val="00B75A53"/>
    <w:rsid w:val="00B76742"/>
    <w:rsid w:val="00B76AE9"/>
    <w:rsid w:val="00B76D63"/>
    <w:rsid w:val="00B774E8"/>
    <w:rsid w:val="00B803F6"/>
    <w:rsid w:val="00B806CB"/>
    <w:rsid w:val="00B80D70"/>
    <w:rsid w:val="00B81BE7"/>
    <w:rsid w:val="00B83056"/>
    <w:rsid w:val="00B836A6"/>
    <w:rsid w:val="00B8381D"/>
    <w:rsid w:val="00B839B2"/>
    <w:rsid w:val="00B870FF"/>
    <w:rsid w:val="00B8F576"/>
    <w:rsid w:val="00B9007C"/>
    <w:rsid w:val="00B902CE"/>
    <w:rsid w:val="00B90719"/>
    <w:rsid w:val="00B915B8"/>
    <w:rsid w:val="00B919EF"/>
    <w:rsid w:val="00B923DF"/>
    <w:rsid w:val="00B92B14"/>
    <w:rsid w:val="00B92F34"/>
    <w:rsid w:val="00B9342E"/>
    <w:rsid w:val="00B939BB"/>
    <w:rsid w:val="00B93F3D"/>
    <w:rsid w:val="00B94252"/>
    <w:rsid w:val="00B94828"/>
    <w:rsid w:val="00B94AE1"/>
    <w:rsid w:val="00B94AF1"/>
    <w:rsid w:val="00B94C43"/>
    <w:rsid w:val="00B9627C"/>
    <w:rsid w:val="00B96598"/>
    <w:rsid w:val="00B9715A"/>
    <w:rsid w:val="00B97BD6"/>
    <w:rsid w:val="00BA0054"/>
    <w:rsid w:val="00BA02F2"/>
    <w:rsid w:val="00BA14BE"/>
    <w:rsid w:val="00BA2029"/>
    <w:rsid w:val="00BA2732"/>
    <w:rsid w:val="00BA293D"/>
    <w:rsid w:val="00BA49BC"/>
    <w:rsid w:val="00BA56B7"/>
    <w:rsid w:val="00BA5D19"/>
    <w:rsid w:val="00BA70AB"/>
    <w:rsid w:val="00BA7A1E"/>
    <w:rsid w:val="00BA7CA9"/>
    <w:rsid w:val="00BB09C7"/>
    <w:rsid w:val="00BB1381"/>
    <w:rsid w:val="00BB16D6"/>
    <w:rsid w:val="00BB1757"/>
    <w:rsid w:val="00BB23DA"/>
    <w:rsid w:val="00BB28D4"/>
    <w:rsid w:val="00BB2EA6"/>
    <w:rsid w:val="00BB2F6C"/>
    <w:rsid w:val="00BB3875"/>
    <w:rsid w:val="00BB3E1C"/>
    <w:rsid w:val="00BB5860"/>
    <w:rsid w:val="00BB6841"/>
    <w:rsid w:val="00BB6AAD"/>
    <w:rsid w:val="00BB6B87"/>
    <w:rsid w:val="00BB73E0"/>
    <w:rsid w:val="00BC0155"/>
    <w:rsid w:val="00BC0C3A"/>
    <w:rsid w:val="00BC149D"/>
    <w:rsid w:val="00BC151C"/>
    <w:rsid w:val="00BC1921"/>
    <w:rsid w:val="00BC1C57"/>
    <w:rsid w:val="00BC23F6"/>
    <w:rsid w:val="00BC26EE"/>
    <w:rsid w:val="00BC26FC"/>
    <w:rsid w:val="00BC2D33"/>
    <w:rsid w:val="00BC3213"/>
    <w:rsid w:val="00BC3A10"/>
    <w:rsid w:val="00BC3FAE"/>
    <w:rsid w:val="00BC4A19"/>
    <w:rsid w:val="00BC4E6D"/>
    <w:rsid w:val="00BC5A16"/>
    <w:rsid w:val="00BC5C8D"/>
    <w:rsid w:val="00BC62AC"/>
    <w:rsid w:val="00BC6328"/>
    <w:rsid w:val="00BC646D"/>
    <w:rsid w:val="00BC6664"/>
    <w:rsid w:val="00BC67A2"/>
    <w:rsid w:val="00BC6D1E"/>
    <w:rsid w:val="00BC7B01"/>
    <w:rsid w:val="00BD057F"/>
    <w:rsid w:val="00BD0617"/>
    <w:rsid w:val="00BD0D37"/>
    <w:rsid w:val="00BD0F81"/>
    <w:rsid w:val="00BD10CD"/>
    <w:rsid w:val="00BD1523"/>
    <w:rsid w:val="00BD1B92"/>
    <w:rsid w:val="00BD1C00"/>
    <w:rsid w:val="00BD1FAC"/>
    <w:rsid w:val="00BD2E9B"/>
    <w:rsid w:val="00BD4068"/>
    <w:rsid w:val="00BD45B4"/>
    <w:rsid w:val="00BD58CD"/>
    <w:rsid w:val="00BD5DB7"/>
    <w:rsid w:val="00BD606F"/>
    <w:rsid w:val="00BD6F31"/>
    <w:rsid w:val="00BD7A74"/>
    <w:rsid w:val="00BE0721"/>
    <w:rsid w:val="00BE38DE"/>
    <w:rsid w:val="00BE3E06"/>
    <w:rsid w:val="00BE4452"/>
    <w:rsid w:val="00BE4D8A"/>
    <w:rsid w:val="00BE5A29"/>
    <w:rsid w:val="00BE68CB"/>
    <w:rsid w:val="00BE7B52"/>
    <w:rsid w:val="00BE7BFD"/>
    <w:rsid w:val="00BF0E7A"/>
    <w:rsid w:val="00BF11CE"/>
    <w:rsid w:val="00BF1916"/>
    <w:rsid w:val="00BF304E"/>
    <w:rsid w:val="00BF3666"/>
    <w:rsid w:val="00BF40E1"/>
    <w:rsid w:val="00BF4758"/>
    <w:rsid w:val="00BF5974"/>
    <w:rsid w:val="00BF5CD8"/>
    <w:rsid w:val="00BF64F1"/>
    <w:rsid w:val="00BF67DB"/>
    <w:rsid w:val="00BF7C91"/>
    <w:rsid w:val="00BF7E0B"/>
    <w:rsid w:val="00BF7E34"/>
    <w:rsid w:val="00C00930"/>
    <w:rsid w:val="00C00F15"/>
    <w:rsid w:val="00C02B53"/>
    <w:rsid w:val="00C03749"/>
    <w:rsid w:val="00C0389A"/>
    <w:rsid w:val="00C03ABB"/>
    <w:rsid w:val="00C060AD"/>
    <w:rsid w:val="00C0670D"/>
    <w:rsid w:val="00C06E92"/>
    <w:rsid w:val="00C10014"/>
    <w:rsid w:val="00C11142"/>
    <w:rsid w:val="00C113BF"/>
    <w:rsid w:val="00C119B3"/>
    <w:rsid w:val="00C11CD5"/>
    <w:rsid w:val="00C123D5"/>
    <w:rsid w:val="00C1262E"/>
    <w:rsid w:val="00C12DF0"/>
    <w:rsid w:val="00C132AF"/>
    <w:rsid w:val="00C134A1"/>
    <w:rsid w:val="00C139B9"/>
    <w:rsid w:val="00C14962"/>
    <w:rsid w:val="00C150D2"/>
    <w:rsid w:val="00C15D60"/>
    <w:rsid w:val="00C16B56"/>
    <w:rsid w:val="00C16EDE"/>
    <w:rsid w:val="00C2176E"/>
    <w:rsid w:val="00C2224A"/>
    <w:rsid w:val="00C22635"/>
    <w:rsid w:val="00C23430"/>
    <w:rsid w:val="00C23C94"/>
    <w:rsid w:val="00C24307"/>
    <w:rsid w:val="00C25AA8"/>
    <w:rsid w:val="00C25C4D"/>
    <w:rsid w:val="00C2671C"/>
    <w:rsid w:val="00C267F0"/>
    <w:rsid w:val="00C27467"/>
    <w:rsid w:val="00C27C99"/>
    <w:rsid w:val="00C27D67"/>
    <w:rsid w:val="00C311D7"/>
    <w:rsid w:val="00C3130D"/>
    <w:rsid w:val="00C31824"/>
    <w:rsid w:val="00C32F26"/>
    <w:rsid w:val="00C339AA"/>
    <w:rsid w:val="00C347EF"/>
    <w:rsid w:val="00C349B7"/>
    <w:rsid w:val="00C35CF3"/>
    <w:rsid w:val="00C35D73"/>
    <w:rsid w:val="00C36550"/>
    <w:rsid w:val="00C3661B"/>
    <w:rsid w:val="00C3792C"/>
    <w:rsid w:val="00C40517"/>
    <w:rsid w:val="00C40643"/>
    <w:rsid w:val="00C40E4B"/>
    <w:rsid w:val="00C41CB9"/>
    <w:rsid w:val="00C41CDD"/>
    <w:rsid w:val="00C41E58"/>
    <w:rsid w:val="00C4240F"/>
    <w:rsid w:val="00C43437"/>
    <w:rsid w:val="00C437D5"/>
    <w:rsid w:val="00C44A50"/>
    <w:rsid w:val="00C4631F"/>
    <w:rsid w:val="00C46410"/>
    <w:rsid w:val="00C46A7A"/>
    <w:rsid w:val="00C4754C"/>
    <w:rsid w:val="00C50E16"/>
    <w:rsid w:val="00C51DA1"/>
    <w:rsid w:val="00C525E2"/>
    <w:rsid w:val="00C541E2"/>
    <w:rsid w:val="00C543EE"/>
    <w:rsid w:val="00C5519D"/>
    <w:rsid w:val="00C551F6"/>
    <w:rsid w:val="00C55258"/>
    <w:rsid w:val="00C55328"/>
    <w:rsid w:val="00C55802"/>
    <w:rsid w:val="00C56324"/>
    <w:rsid w:val="00C5708B"/>
    <w:rsid w:val="00C579EF"/>
    <w:rsid w:val="00C62905"/>
    <w:rsid w:val="00C64363"/>
    <w:rsid w:val="00C6491E"/>
    <w:rsid w:val="00C65499"/>
    <w:rsid w:val="00C668D9"/>
    <w:rsid w:val="00C6699F"/>
    <w:rsid w:val="00C669BB"/>
    <w:rsid w:val="00C66E52"/>
    <w:rsid w:val="00C67AAC"/>
    <w:rsid w:val="00C72194"/>
    <w:rsid w:val="00C7325D"/>
    <w:rsid w:val="00C74879"/>
    <w:rsid w:val="00C74DA0"/>
    <w:rsid w:val="00C75C2E"/>
    <w:rsid w:val="00C77963"/>
    <w:rsid w:val="00C77C64"/>
    <w:rsid w:val="00C77CBB"/>
    <w:rsid w:val="00C8029F"/>
    <w:rsid w:val="00C80A92"/>
    <w:rsid w:val="00C80E2E"/>
    <w:rsid w:val="00C81276"/>
    <w:rsid w:val="00C81B27"/>
    <w:rsid w:val="00C82285"/>
    <w:rsid w:val="00C82B6D"/>
    <w:rsid w:val="00C82EEB"/>
    <w:rsid w:val="00C848E8"/>
    <w:rsid w:val="00C85719"/>
    <w:rsid w:val="00C85B4A"/>
    <w:rsid w:val="00C85BED"/>
    <w:rsid w:val="00C869AA"/>
    <w:rsid w:val="00C87E71"/>
    <w:rsid w:val="00C87E73"/>
    <w:rsid w:val="00C902B9"/>
    <w:rsid w:val="00C90393"/>
    <w:rsid w:val="00C91CC2"/>
    <w:rsid w:val="00C9384F"/>
    <w:rsid w:val="00C93893"/>
    <w:rsid w:val="00C95228"/>
    <w:rsid w:val="00C955E8"/>
    <w:rsid w:val="00C971DC"/>
    <w:rsid w:val="00C97A7C"/>
    <w:rsid w:val="00CA0E3B"/>
    <w:rsid w:val="00CA0F5B"/>
    <w:rsid w:val="00CA104E"/>
    <w:rsid w:val="00CA15ED"/>
    <w:rsid w:val="00CA16B7"/>
    <w:rsid w:val="00CA1C00"/>
    <w:rsid w:val="00CA2342"/>
    <w:rsid w:val="00CA2FF9"/>
    <w:rsid w:val="00CA3387"/>
    <w:rsid w:val="00CA3398"/>
    <w:rsid w:val="00CA3C44"/>
    <w:rsid w:val="00CA418D"/>
    <w:rsid w:val="00CA4314"/>
    <w:rsid w:val="00CA47C4"/>
    <w:rsid w:val="00CA4BE3"/>
    <w:rsid w:val="00CA4D83"/>
    <w:rsid w:val="00CA62AE"/>
    <w:rsid w:val="00CA66D1"/>
    <w:rsid w:val="00CA79CF"/>
    <w:rsid w:val="00CB0B8A"/>
    <w:rsid w:val="00CB199B"/>
    <w:rsid w:val="00CB22FC"/>
    <w:rsid w:val="00CB30AE"/>
    <w:rsid w:val="00CB38CE"/>
    <w:rsid w:val="00CB3CE2"/>
    <w:rsid w:val="00CB4AE7"/>
    <w:rsid w:val="00CB5476"/>
    <w:rsid w:val="00CB5B1A"/>
    <w:rsid w:val="00CB5C40"/>
    <w:rsid w:val="00CB666A"/>
    <w:rsid w:val="00CB73A0"/>
    <w:rsid w:val="00CB7411"/>
    <w:rsid w:val="00CB7601"/>
    <w:rsid w:val="00CC0525"/>
    <w:rsid w:val="00CC05CC"/>
    <w:rsid w:val="00CC0ADB"/>
    <w:rsid w:val="00CC10CD"/>
    <w:rsid w:val="00CC1BC5"/>
    <w:rsid w:val="00CC220B"/>
    <w:rsid w:val="00CC2692"/>
    <w:rsid w:val="00CC30B8"/>
    <w:rsid w:val="00CC3452"/>
    <w:rsid w:val="00CC3A93"/>
    <w:rsid w:val="00CC3B55"/>
    <w:rsid w:val="00CC3C3F"/>
    <w:rsid w:val="00CC4027"/>
    <w:rsid w:val="00CC4523"/>
    <w:rsid w:val="00CC466D"/>
    <w:rsid w:val="00CC4D02"/>
    <w:rsid w:val="00CC4E58"/>
    <w:rsid w:val="00CC5331"/>
    <w:rsid w:val="00CC5A2F"/>
    <w:rsid w:val="00CC5C43"/>
    <w:rsid w:val="00CC67A5"/>
    <w:rsid w:val="00CC7366"/>
    <w:rsid w:val="00CD02AE"/>
    <w:rsid w:val="00CD13EA"/>
    <w:rsid w:val="00CD1CFA"/>
    <w:rsid w:val="00CD2294"/>
    <w:rsid w:val="00CD2694"/>
    <w:rsid w:val="00CD2A4F"/>
    <w:rsid w:val="00CD2A66"/>
    <w:rsid w:val="00CD2D47"/>
    <w:rsid w:val="00CD33E6"/>
    <w:rsid w:val="00CD3CBE"/>
    <w:rsid w:val="00CD5171"/>
    <w:rsid w:val="00CD523E"/>
    <w:rsid w:val="00CD5A7A"/>
    <w:rsid w:val="00CD6FE2"/>
    <w:rsid w:val="00CD7886"/>
    <w:rsid w:val="00CD7DA0"/>
    <w:rsid w:val="00CE0249"/>
    <w:rsid w:val="00CE03CA"/>
    <w:rsid w:val="00CE0921"/>
    <w:rsid w:val="00CE0946"/>
    <w:rsid w:val="00CE0A2E"/>
    <w:rsid w:val="00CE0DD3"/>
    <w:rsid w:val="00CE1169"/>
    <w:rsid w:val="00CE22F1"/>
    <w:rsid w:val="00CE251B"/>
    <w:rsid w:val="00CE3280"/>
    <w:rsid w:val="00CE3B35"/>
    <w:rsid w:val="00CE3C47"/>
    <w:rsid w:val="00CE423D"/>
    <w:rsid w:val="00CE455E"/>
    <w:rsid w:val="00CE473B"/>
    <w:rsid w:val="00CE50F2"/>
    <w:rsid w:val="00CE6502"/>
    <w:rsid w:val="00CE6C9C"/>
    <w:rsid w:val="00CE7016"/>
    <w:rsid w:val="00CE70C4"/>
    <w:rsid w:val="00CE7B27"/>
    <w:rsid w:val="00CE7BCA"/>
    <w:rsid w:val="00CF0929"/>
    <w:rsid w:val="00CF0976"/>
    <w:rsid w:val="00CF14A6"/>
    <w:rsid w:val="00CF3A93"/>
    <w:rsid w:val="00CF3F4A"/>
    <w:rsid w:val="00CF5E54"/>
    <w:rsid w:val="00CF64A8"/>
    <w:rsid w:val="00CF7CF9"/>
    <w:rsid w:val="00CF7D3C"/>
    <w:rsid w:val="00CF7F94"/>
    <w:rsid w:val="00D00107"/>
    <w:rsid w:val="00D029CA"/>
    <w:rsid w:val="00D02B73"/>
    <w:rsid w:val="00D0317B"/>
    <w:rsid w:val="00D03311"/>
    <w:rsid w:val="00D04CEE"/>
    <w:rsid w:val="00D055D2"/>
    <w:rsid w:val="00D05634"/>
    <w:rsid w:val="00D05B21"/>
    <w:rsid w:val="00D05E20"/>
    <w:rsid w:val="00D067D6"/>
    <w:rsid w:val="00D06D22"/>
    <w:rsid w:val="00D072FA"/>
    <w:rsid w:val="00D10A31"/>
    <w:rsid w:val="00D112C4"/>
    <w:rsid w:val="00D11861"/>
    <w:rsid w:val="00D11D7D"/>
    <w:rsid w:val="00D1330C"/>
    <w:rsid w:val="00D142FB"/>
    <w:rsid w:val="00D147EB"/>
    <w:rsid w:val="00D164D9"/>
    <w:rsid w:val="00D16A19"/>
    <w:rsid w:val="00D1733C"/>
    <w:rsid w:val="00D1741E"/>
    <w:rsid w:val="00D17F89"/>
    <w:rsid w:val="00D20A11"/>
    <w:rsid w:val="00D20CB4"/>
    <w:rsid w:val="00D20DA2"/>
    <w:rsid w:val="00D21111"/>
    <w:rsid w:val="00D21889"/>
    <w:rsid w:val="00D218F0"/>
    <w:rsid w:val="00D21DA6"/>
    <w:rsid w:val="00D220D7"/>
    <w:rsid w:val="00D22238"/>
    <w:rsid w:val="00D2265D"/>
    <w:rsid w:val="00D22800"/>
    <w:rsid w:val="00D22970"/>
    <w:rsid w:val="00D23AB9"/>
    <w:rsid w:val="00D23EB5"/>
    <w:rsid w:val="00D23EEA"/>
    <w:rsid w:val="00D25858"/>
    <w:rsid w:val="00D25B92"/>
    <w:rsid w:val="00D25C25"/>
    <w:rsid w:val="00D26E26"/>
    <w:rsid w:val="00D30406"/>
    <w:rsid w:val="00D3081A"/>
    <w:rsid w:val="00D326D2"/>
    <w:rsid w:val="00D32989"/>
    <w:rsid w:val="00D33615"/>
    <w:rsid w:val="00D336C7"/>
    <w:rsid w:val="00D34356"/>
    <w:rsid w:val="00D343CD"/>
    <w:rsid w:val="00D34667"/>
    <w:rsid w:val="00D34935"/>
    <w:rsid w:val="00D34BCF"/>
    <w:rsid w:val="00D34C5E"/>
    <w:rsid w:val="00D3535A"/>
    <w:rsid w:val="00D35576"/>
    <w:rsid w:val="00D358B1"/>
    <w:rsid w:val="00D36506"/>
    <w:rsid w:val="00D3666A"/>
    <w:rsid w:val="00D36A38"/>
    <w:rsid w:val="00D401E1"/>
    <w:rsid w:val="00D408B4"/>
    <w:rsid w:val="00D40E25"/>
    <w:rsid w:val="00D415FC"/>
    <w:rsid w:val="00D4164B"/>
    <w:rsid w:val="00D420F4"/>
    <w:rsid w:val="00D421E9"/>
    <w:rsid w:val="00D4281F"/>
    <w:rsid w:val="00D4292B"/>
    <w:rsid w:val="00D43A08"/>
    <w:rsid w:val="00D4405C"/>
    <w:rsid w:val="00D44269"/>
    <w:rsid w:val="00D4473D"/>
    <w:rsid w:val="00D45C6A"/>
    <w:rsid w:val="00D45D94"/>
    <w:rsid w:val="00D470E0"/>
    <w:rsid w:val="00D472B2"/>
    <w:rsid w:val="00D476CB"/>
    <w:rsid w:val="00D502BF"/>
    <w:rsid w:val="00D50A0A"/>
    <w:rsid w:val="00D524C8"/>
    <w:rsid w:val="00D52B79"/>
    <w:rsid w:val="00D53030"/>
    <w:rsid w:val="00D530B5"/>
    <w:rsid w:val="00D535D4"/>
    <w:rsid w:val="00D5382B"/>
    <w:rsid w:val="00D53E8A"/>
    <w:rsid w:val="00D556FB"/>
    <w:rsid w:val="00D559DF"/>
    <w:rsid w:val="00D55B0E"/>
    <w:rsid w:val="00D55BC5"/>
    <w:rsid w:val="00D56177"/>
    <w:rsid w:val="00D56E98"/>
    <w:rsid w:val="00D60E25"/>
    <w:rsid w:val="00D60ED4"/>
    <w:rsid w:val="00D6253E"/>
    <w:rsid w:val="00D62FCE"/>
    <w:rsid w:val="00D6323B"/>
    <w:rsid w:val="00D63351"/>
    <w:rsid w:val="00D64199"/>
    <w:rsid w:val="00D64A71"/>
    <w:rsid w:val="00D654EB"/>
    <w:rsid w:val="00D65527"/>
    <w:rsid w:val="00D655DA"/>
    <w:rsid w:val="00D66C8D"/>
    <w:rsid w:val="00D66D15"/>
    <w:rsid w:val="00D66DF7"/>
    <w:rsid w:val="00D66EEE"/>
    <w:rsid w:val="00D67459"/>
    <w:rsid w:val="00D676ED"/>
    <w:rsid w:val="00D67D4D"/>
    <w:rsid w:val="00D707D6"/>
    <w:rsid w:val="00D70C43"/>
    <w:rsid w:val="00D70C5A"/>
    <w:rsid w:val="00D70DF4"/>
    <w:rsid w:val="00D70E24"/>
    <w:rsid w:val="00D70ED9"/>
    <w:rsid w:val="00D716B3"/>
    <w:rsid w:val="00D71A58"/>
    <w:rsid w:val="00D71CC0"/>
    <w:rsid w:val="00D72924"/>
    <w:rsid w:val="00D72B61"/>
    <w:rsid w:val="00D73888"/>
    <w:rsid w:val="00D742A0"/>
    <w:rsid w:val="00D74593"/>
    <w:rsid w:val="00D74F77"/>
    <w:rsid w:val="00D75511"/>
    <w:rsid w:val="00D75CE6"/>
    <w:rsid w:val="00D76BFA"/>
    <w:rsid w:val="00D80381"/>
    <w:rsid w:val="00D804EA"/>
    <w:rsid w:val="00D8112D"/>
    <w:rsid w:val="00D8139B"/>
    <w:rsid w:val="00D8201E"/>
    <w:rsid w:val="00D821E4"/>
    <w:rsid w:val="00D830DB"/>
    <w:rsid w:val="00D83819"/>
    <w:rsid w:val="00D85416"/>
    <w:rsid w:val="00D86421"/>
    <w:rsid w:val="00D86571"/>
    <w:rsid w:val="00D870BA"/>
    <w:rsid w:val="00D87174"/>
    <w:rsid w:val="00D87739"/>
    <w:rsid w:val="00D87A69"/>
    <w:rsid w:val="00D900D5"/>
    <w:rsid w:val="00D90107"/>
    <w:rsid w:val="00D904A2"/>
    <w:rsid w:val="00D90C9E"/>
    <w:rsid w:val="00D90C9F"/>
    <w:rsid w:val="00D92573"/>
    <w:rsid w:val="00D92863"/>
    <w:rsid w:val="00D92E0B"/>
    <w:rsid w:val="00D92F80"/>
    <w:rsid w:val="00D93275"/>
    <w:rsid w:val="00D9375C"/>
    <w:rsid w:val="00D93CD5"/>
    <w:rsid w:val="00D96DD7"/>
    <w:rsid w:val="00D96E09"/>
    <w:rsid w:val="00D96FA6"/>
    <w:rsid w:val="00D97250"/>
    <w:rsid w:val="00D97B8A"/>
    <w:rsid w:val="00D97D85"/>
    <w:rsid w:val="00D97EA8"/>
    <w:rsid w:val="00DA0152"/>
    <w:rsid w:val="00DA2191"/>
    <w:rsid w:val="00DA3422"/>
    <w:rsid w:val="00DA3D1D"/>
    <w:rsid w:val="00DA49A9"/>
    <w:rsid w:val="00DA4F82"/>
    <w:rsid w:val="00DA5423"/>
    <w:rsid w:val="00DA5A83"/>
    <w:rsid w:val="00DA5FE5"/>
    <w:rsid w:val="00DA6A9A"/>
    <w:rsid w:val="00DA7A5F"/>
    <w:rsid w:val="00DB0138"/>
    <w:rsid w:val="00DB0180"/>
    <w:rsid w:val="00DB0A0B"/>
    <w:rsid w:val="00DB0ACE"/>
    <w:rsid w:val="00DB1F35"/>
    <w:rsid w:val="00DB2719"/>
    <w:rsid w:val="00DB2CF7"/>
    <w:rsid w:val="00DB36CC"/>
    <w:rsid w:val="00DB37D1"/>
    <w:rsid w:val="00DB3B07"/>
    <w:rsid w:val="00DB4074"/>
    <w:rsid w:val="00DB4582"/>
    <w:rsid w:val="00DB4FEB"/>
    <w:rsid w:val="00DB5397"/>
    <w:rsid w:val="00DB6286"/>
    <w:rsid w:val="00DB645F"/>
    <w:rsid w:val="00DB7224"/>
    <w:rsid w:val="00DB76E9"/>
    <w:rsid w:val="00DC0383"/>
    <w:rsid w:val="00DC0A67"/>
    <w:rsid w:val="00DC0BCE"/>
    <w:rsid w:val="00DC101E"/>
    <w:rsid w:val="00DC1B2F"/>
    <w:rsid w:val="00DC1D5E"/>
    <w:rsid w:val="00DC2313"/>
    <w:rsid w:val="00DC28F9"/>
    <w:rsid w:val="00DC2ABC"/>
    <w:rsid w:val="00DC2DAD"/>
    <w:rsid w:val="00DC2DC3"/>
    <w:rsid w:val="00DC448D"/>
    <w:rsid w:val="00DC48EA"/>
    <w:rsid w:val="00DC4923"/>
    <w:rsid w:val="00DC5220"/>
    <w:rsid w:val="00DC5226"/>
    <w:rsid w:val="00DC59C0"/>
    <w:rsid w:val="00DC71C2"/>
    <w:rsid w:val="00DC7910"/>
    <w:rsid w:val="00DC7C83"/>
    <w:rsid w:val="00DD0956"/>
    <w:rsid w:val="00DD2061"/>
    <w:rsid w:val="00DD2AAE"/>
    <w:rsid w:val="00DD326A"/>
    <w:rsid w:val="00DD32C5"/>
    <w:rsid w:val="00DD3874"/>
    <w:rsid w:val="00DD39CB"/>
    <w:rsid w:val="00DD3BF4"/>
    <w:rsid w:val="00DD461A"/>
    <w:rsid w:val="00DD4C5F"/>
    <w:rsid w:val="00DD5448"/>
    <w:rsid w:val="00DD5FB0"/>
    <w:rsid w:val="00DD7A42"/>
    <w:rsid w:val="00DD7DAB"/>
    <w:rsid w:val="00DE03BD"/>
    <w:rsid w:val="00DE050E"/>
    <w:rsid w:val="00DE0A92"/>
    <w:rsid w:val="00DE0D84"/>
    <w:rsid w:val="00DE139A"/>
    <w:rsid w:val="00DE18CA"/>
    <w:rsid w:val="00DE2779"/>
    <w:rsid w:val="00DE30AA"/>
    <w:rsid w:val="00DE3355"/>
    <w:rsid w:val="00DE352A"/>
    <w:rsid w:val="00DE3BE2"/>
    <w:rsid w:val="00DE3D35"/>
    <w:rsid w:val="00DE4521"/>
    <w:rsid w:val="00DE49EC"/>
    <w:rsid w:val="00DE581E"/>
    <w:rsid w:val="00DE5989"/>
    <w:rsid w:val="00DE6214"/>
    <w:rsid w:val="00DE6772"/>
    <w:rsid w:val="00DE6D4A"/>
    <w:rsid w:val="00DE7844"/>
    <w:rsid w:val="00DE79F5"/>
    <w:rsid w:val="00DF07D9"/>
    <w:rsid w:val="00DF2028"/>
    <w:rsid w:val="00DF21BC"/>
    <w:rsid w:val="00DF244C"/>
    <w:rsid w:val="00DF24E8"/>
    <w:rsid w:val="00DF25CB"/>
    <w:rsid w:val="00DF273C"/>
    <w:rsid w:val="00DF31A8"/>
    <w:rsid w:val="00DF3300"/>
    <w:rsid w:val="00DF3894"/>
    <w:rsid w:val="00DF38BE"/>
    <w:rsid w:val="00DF4061"/>
    <w:rsid w:val="00DF486F"/>
    <w:rsid w:val="00DF4F01"/>
    <w:rsid w:val="00DF50B9"/>
    <w:rsid w:val="00DF540C"/>
    <w:rsid w:val="00DF5AEC"/>
    <w:rsid w:val="00DF5B5B"/>
    <w:rsid w:val="00DF662B"/>
    <w:rsid w:val="00DF6B09"/>
    <w:rsid w:val="00DF7386"/>
    <w:rsid w:val="00DF7619"/>
    <w:rsid w:val="00E020D0"/>
    <w:rsid w:val="00E021FB"/>
    <w:rsid w:val="00E02B05"/>
    <w:rsid w:val="00E03166"/>
    <w:rsid w:val="00E03402"/>
    <w:rsid w:val="00E034FB"/>
    <w:rsid w:val="00E04135"/>
    <w:rsid w:val="00E042D8"/>
    <w:rsid w:val="00E05561"/>
    <w:rsid w:val="00E05A89"/>
    <w:rsid w:val="00E05E08"/>
    <w:rsid w:val="00E05F78"/>
    <w:rsid w:val="00E060A3"/>
    <w:rsid w:val="00E06D79"/>
    <w:rsid w:val="00E06F85"/>
    <w:rsid w:val="00E07EE7"/>
    <w:rsid w:val="00E1018A"/>
    <w:rsid w:val="00E10398"/>
    <w:rsid w:val="00E1103B"/>
    <w:rsid w:val="00E1134E"/>
    <w:rsid w:val="00E125E6"/>
    <w:rsid w:val="00E1357B"/>
    <w:rsid w:val="00E13610"/>
    <w:rsid w:val="00E13F59"/>
    <w:rsid w:val="00E14A3C"/>
    <w:rsid w:val="00E168FB"/>
    <w:rsid w:val="00E16D24"/>
    <w:rsid w:val="00E17627"/>
    <w:rsid w:val="00E17B44"/>
    <w:rsid w:val="00E20B20"/>
    <w:rsid w:val="00E20CED"/>
    <w:rsid w:val="00E21D38"/>
    <w:rsid w:val="00E22C9F"/>
    <w:rsid w:val="00E23707"/>
    <w:rsid w:val="00E2543A"/>
    <w:rsid w:val="00E2565E"/>
    <w:rsid w:val="00E2590C"/>
    <w:rsid w:val="00E25DF7"/>
    <w:rsid w:val="00E2613B"/>
    <w:rsid w:val="00E26DE6"/>
    <w:rsid w:val="00E26F8F"/>
    <w:rsid w:val="00E27218"/>
    <w:rsid w:val="00E27FEA"/>
    <w:rsid w:val="00E30253"/>
    <w:rsid w:val="00E31038"/>
    <w:rsid w:val="00E313F4"/>
    <w:rsid w:val="00E31615"/>
    <w:rsid w:val="00E319B5"/>
    <w:rsid w:val="00E326CA"/>
    <w:rsid w:val="00E32980"/>
    <w:rsid w:val="00E32D0C"/>
    <w:rsid w:val="00E3336A"/>
    <w:rsid w:val="00E333BE"/>
    <w:rsid w:val="00E33659"/>
    <w:rsid w:val="00E3638F"/>
    <w:rsid w:val="00E37ACB"/>
    <w:rsid w:val="00E40039"/>
    <w:rsid w:val="00E4086F"/>
    <w:rsid w:val="00E40AFA"/>
    <w:rsid w:val="00E40E26"/>
    <w:rsid w:val="00E41078"/>
    <w:rsid w:val="00E41486"/>
    <w:rsid w:val="00E41624"/>
    <w:rsid w:val="00E416BE"/>
    <w:rsid w:val="00E41C7E"/>
    <w:rsid w:val="00E4293C"/>
    <w:rsid w:val="00E42AAB"/>
    <w:rsid w:val="00E42EB4"/>
    <w:rsid w:val="00E43708"/>
    <w:rsid w:val="00E43735"/>
    <w:rsid w:val="00E439F7"/>
    <w:rsid w:val="00E43B3C"/>
    <w:rsid w:val="00E43BC7"/>
    <w:rsid w:val="00E450CE"/>
    <w:rsid w:val="00E4553F"/>
    <w:rsid w:val="00E458EE"/>
    <w:rsid w:val="00E45D25"/>
    <w:rsid w:val="00E45EDD"/>
    <w:rsid w:val="00E46F91"/>
    <w:rsid w:val="00E4724D"/>
    <w:rsid w:val="00E47C05"/>
    <w:rsid w:val="00E47CE2"/>
    <w:rsid w:val="00E50188"/>
    <w:rsid w:val="00E5043B"/>
    <w:rsid w:val="00E50F31"/>
    <w:rsid w:val="00E513AB"/>
    <w:rsid w:val="00E515CB"/>
    <w:rsid w:val="00E51901"/>
    <w:rsid w:val="00E51DE6"/>
    <w:rsid w:val="00E51E1A"/>
    <w:rsid w:val="00E52260"/>
    <w:rsid w:val="00E537D8"/>
    <w:rsid w:val="00E5380E"/>
    <w:rsid w:val="00E53834"/>
    <w:rsid w:val="00E54398"/>
    <w:rsid w:val="00E54E53"/>
    <w:rsid w:val="00E55A45"/>
    <w:rsid w:val="00E55C6B"/>
    <w:rsid w:val="00E564B1"/>
    <w:rsid w:val="00E57C5E"/>
    <w:rsid w:val="00E57EDF"/>
    <w:rsid w:val="00E60C1B"/>
    <w:rsid w:val="00E629F3"/>
    <w:rsid w:val="00E63289"/>
    <w:rsid w:val="00E63845"/>
    <w:rsid w:val="00E639B6"/>
    <w:rsid w:val="00E6434B"/>
    <w:rsid w:val="00E6463D"/>
    <w:rsid w:val="00E6481F"/>
    <w:rsid w:val="00E64F45"/>
    <w:rsid w:val="00E65B48"/>
    <w:rsid w:val="00E66A52"/>
    <w:rsid w:val="00E675D4"/>
    <w:rsid w:val="00E70554"/>
    <w:rsid w:val="00E70E16"/>
    <w:rsid w:val="00E70E4F"/>
    <w:rsid w:val="00E71651"/>
    <w:rsid w:val="00E721E3"/>
    <w:rsid w:val="00E726C3"/>
    <w:rsid w:val="00E7289D"/>
    <w:rsid w:val="00E72E9B"/>
    <w:rsid w:val="00E72F59"/>
    <w:rsid w:val="00E73E8D"/>
    <w:rsid w:val="00E73F8E"/>
    <w:rsid w:val="00E74CF9"/>
    <w:rsid w:val="00E75029"/>
    <w:rsid w:val="00E75585"/>
    <w:rsid w:val="00E7600B"/>
    <w:rsid w:val="00E7639E"/>
    <w:rsid w:val="00E76402"/>
    <w:rsid w:val="00E769A1"/>
    <w:rsid w:val="00E769C4"/>
    <w:rsid w:val="00E77AE6"/>
    <w:rsid w:val="00E77FEE"/>
    <w:rsid w:val="00E8012E"/>
    <w:rsid w:val="00E82069"/>
    <w:rsid w:val="00E826F1"/>
    <w:rsid w:val="00E8378A"/>
    <w:rsid w:val="00E8469D"/>
    <w:rsid w:val="00E846C2"/>
    <w:rsid w:val="00E849DA"/>
    <w:rsid w:val="00E85B61"/>
    <w:rsid w:val="00E85E46"/>
    <w:rsid w:val="00E8642A"/>
    <w:rsid w:val="00E8671F"/>
    <w:rsid w:val="00E86947"/>
    <w:rsid w:val="00E8712B"/>
    <w:rsid w:val="00E87342"/>
    <w:rsid w:val="00E878A7"/>
    <w:rsid w:val="00E87DB7"/>
    <w:rsid w:val="00E90771"/>
    <w:rsid w:val="00E90FE2"/>
    <w:rsid w:val="00E911F2"/>
    <w:rsid w:val="00E914E1"/>
    <w:rsid w:val="00E91F46"/>
    <w:rsid w:val="00E92B12"/>
    <w:rsid w:val="00E93CF8"/>
    <w:rsid w:val="00E9462E"/>
    <w:rsid w:val="00E9499C"/>
    <w:rsid w:val="00E94F94"/>
    <w:rsid w:val="00E95ABF"/>
    <w:rsid w:val="00E966C3"/>
    <w:rsid w:val="00E966F2"/>
    <w:rsid w:val="00E96922"/>
    <w:rsid w:val="00E96935"/>
    <w:rsid w:val="00E97AE6"/>
    <w:rsid w:val="00EA0197"/>
    <w:rsid w:val="00EA0220"/>
    <w:rsid w:val="00EA055A"/>
    <w:rsid w:val="00EA06DB"/>
    <w:rsid w:val="00EA0D46"/>
    <w:rsid w:val="00EA0E2E"/>
    <w:rsid w:val="00EA0F1B"/>
    <w:rsid w:val="00EA0F95"/>
    <w:rsid w:val="00EA145D"/>
    <w:rsid w:val="00EA1558"/>
    <w:rsid w:val="00EA1CDC"/>
    <w:rsid w:val="00EA26E0"/>
    <w:rsid w:val="00EA2A5C"/>
    <w:rsid w:val="00EA2D5A"/>
    <w:rsid w:val="00EA3265"/>
    <w:rsid w:val="00EA344A"/>
    <w:rsid w:val="00EA395F"/>
    <w:rsid w:val="00EA3E51"/>
    <w:rsid w:val="00EA3FDA"/>
    <w:rsid w:val="00EA4419"/>
    <w:rsid w:val="00EA470E"/>
    <w:rsid w:val="00EA47A7"/>
    <w:rsid w:val="00EA4876"/>
    <w:rsid w:val="00EA48D5"/>
    <w:rsid w:val="00EA546F"/>
    <w:rsid w:val="00EA57EB"/>
    <w:rsid w:val="00EA6A44"/>
    <w:rsid w:val="00EA6B63"/>
    <w:rsid w:val="00EA72F6"/>
    <w:rsid w:val="00EA7F81"/>
    <w:rsid w:val="00EB01FD"/>
    <w:rsid w:val="00EB3226"/>
    <w:rsid w:val="00EB3D47"/>
    <w:rsid w:val="00EB4375"/>
    <w:rsid w:val="00EB43B2"/>
    <w:rsid w:val="00EB49CC"/>
    <w:rsid w:val="00EB4A7B"/>
    <w:rsid w:val="00EB632D"/>
    <w:rsid w:val="00EB6CB9"/>
    <w:rsid w:val="00EB727C"/>
    <w:rsid w:val="00EB7C8B"/>
    <w:rsid w:val="00EC009E"/>
    <w:rsid w:val="00EC131E"/>
    <w:rsid w:val="00EC1A06"/>
    <w:rsid w:val="00EC1CAC"/>
    <w:rsid w:val="00EC213A"/>
    <w:rsid w:val="00EC3357"/>
    <w:rsid w:val="00EC36CF"/>
    <w:rsid w:val="00EC3929"/>
    <w:rsid w:val="00EC3E2F"/>
    <w:rsid w:val="00EC6603"/>
    <w:rsid w:val="00EC6687"/>
    <w:rsid w:val="00EC737B"/>
    <w:rsid w:val="00EC73D0"/>
    <w:rsid w:val="00EC7744"/>
    <w:rsid w:val="00EC7EFB"/>
    <w:rsid w:val="00ED0DAD"/>
    <w:rsid w:val="00ED0F46"/>
    <w:rsid w:val="00ED2373"/>
    <w:rsid w:val="00ED2A37"/>
    <w:rsid w:val="00ED2C14"/>
    <w:rsid w:val="00ED3115"/>
    <w:rsid w:val="00ED335B"/>
    <w:rsid w:val="00ED4AF4"/>
    <w:rsid w:val="00ED5303"/>
    <w:rsid w:val="00ED59B5"/>
    <w:rsid w:val="00ED67DF"/>
    <w:rsid w:val="00ED73B5"/>
    <w:rsid w:val="00ED79C4"/>
    <w:rsid w:val="00ED7DAF"/>
    <w:rsid w:val="00EE0AEE"/>
    <w:rsid w:val="00EE0E29"/>
    <w:rsid w:val="00EE1791"/>
    <w:rsid w:val="00EE1D11"/>
    <w:rsid w:val="00EE304C"/>
    <w:rsid w:val="00EE32A4"/>
    <w:rsid w:val="00EE359D"/>
    <w:rsid w:val="00EE3B96"/>
    <w:rsid w:val="00EE3BF2"/>
    <w:rsid w:val="00EE3CC2"/>
    <w:rsid w:val="00EE3E8A"/>
    <w:rsid w:val="00EE4345"/>
    <w:rsid w:val="00EE4716"/>
    <w:rsid w:val="00EE4AD0"/>
    <w:rsid w:val="00EE50ED"/>
    <w:rsid w:val="00EE5D8C"/>
    <w:rsid w:val="00EE5FEA"/>
    <w:rsid w:val="00EE6DF2"/>
    <w:rsid w:val="00EE77C3"/>
    <w:rsid w:val="00EF0541"/>
    <w:rsid w:val="00EF14B8"/>
    <w:rsid w:val="00EF28FB"/>
    <w:rsid w:val="00EF2A8E"/>
    <w:rsid w:val="00EF3ADF"/>
    <w:rsid w:val="00EF3EF5"/>
    <w:rsid w:val="00EF537F"/>
    <w:rsid w:val="00EF6CA9"/>
    <w:rsid w:val="00EF6ECA"/>
    <w:rsid w:val="00EF7BBA"/>
    <w:rsid w:val="00EF7D17"/>
    <w:rsid w:val="00F002F7"/>
    <w:rsid w:val="00F00DC6"/>
    <w:rsid w:val="00F0199C"/>
    <w:rsid w:val="00F024E1"/>
    <w:rsid w:val="00F026B7"/>
    <w:rsid w:val="00F02A3B"/>
    <w:rsid w:val="00F02D3A"/>
    <w:rsid w:val="00F05202"/>
    <w:rsid w:val="00F05695"/>
    <w:rsid w:val="00F05C54"/>
    <w:rsid w:val="00F06668"/>
    <w:rsid w:val="00F06C10"/>
    <w:rsid w:val="00F06CC1"/>
    <w:rsid w:val="00F0703D"/>
    <w:rsid w:val="00F07265"/>
    <w:rsid w:val="00F07269"/>
    <w:rsid w:val="00F07454"/>
    <w:rsid w:val="00F10506"/>
    <w:rsid w:val="00F1096F"/>
    <w:rsid w:val="00F10ECA"/>
    <w:rsid w:val="00F1117A"/>
    <w:rsid w:val="00F11493"/>
    <w:rsid w:val="00F11648"/>
    <w:rsid w:val="00F11FEC"/>
    <w:rsid w:val="00F12589"/>
    <w:rsid w:val="00F12595"/>
    <w:rsid w:val="00F134D9"/>
    <w:rsid w:val="00F13C58"/>
    <w:rsid w:val="00F13DEE"/>
    <w:rsid w:val="00F1403D"/>
    <w:rsid w:val="00F14096"/>
    <w:rsid w:val="00F14521"/>
    <w:rsid w:val="00F1455E"/>
    <w:rsid w:val="00F1463F"/>
    <w:rsid w:val="00F1591F"/>
    <w:rsid w:val="00F15E28"/>
    <w:rsid w:val="00F1623A"/>
    <w:rsid w:val="00F16436"/>
    <w:rsid w:val="00F1756F"/>
    <w:rsid w:val="00F17DDC"/>
    <w:rsid w:val="00F17E23"/>
    <w:rsid w:val="00F211CC"/>
    <w:rsid w:val="00F212B5"/>
    <w:rsid w:val="00F21302"/>
    <w:rsid w:val="00F22E40"/>
    <w:rsid w:val="00F23361"/>
    <w:rsid w:val="00F23CE2"/>
    <w:rsid w:val="00F23CF7"/>
    <w:rsid w:val="00F242ED"/>
    <w:rsid w:val="00F2588A"/>
    <w:rsid w:val="00F25A30"/>
    <w:rsid w:val="00F26631"/>
    <w:rsid w:val="00F26823"/>
    <w:rsid w:val="00F2697D"/>
    <w:rsid w:val="00F26BC4"/>
    <w:rsid w:val="00F27F8F"/>
    <w:rsid w:val="00F300B1"/>
    <w:rsid w:val="00F307EC"/>
    <w:rsid w:val="00F30B99"/>
    <w:rsid w:val="00F312CC"/>
    <w:rsid w:val="00F312FA"/>
    <w:rsid w:val="00F31C25"/>
    <w:rsid w:val="00F321DE"/>
    <w:rsid w:val="00F32573"/>
    <w:rsid w:val="00F32B8E"/>
    <w:rsid w:val="00F33777"/>
    <w:rsid w:val="00F33790"/>
    <w:rsid w:val="00F3398B"/>
    <w:rsid w:val="00F33BF8"/>
    <w:rsid w:val="00F34544"/>
    <w:rsid w:val="00F35182"/>
    <w:rsid w:val="00F35B93"/>
    <w:rsid w:val="00F36D06"/>
    <w:rsid w:val="00F40648"/>
    <w:rsid w:val="00F417A2"/>
    <w:rsid w:val="00F42141"/>
    <w:rsid w:val="00F4226D"/>
    <w:rsid w:val="00F4485A"/>
    <w:rsid w:val="00F44A8E"/>
    <w:rsid w:val="00F4512D"/>
    <w:rsid w:val="00F473A7"/>
    <w:rsid w:val="00F47DA2"/>
    <w:rsid w:val="00F51631"/>
    <w:rsid w:val="00F519FC"/>
    <w:rsid w:val="00F51EB9"/>
    <w:rsid w:val="00F52BD8"/>
    <w:rsid w:val="00F52FDF"/>
    <w:rsid w:val="00F5605C"/>
    <w:rsid w:val="00F56177"/>
    <w:rsid w:val="00F5682D"/>
    <w:rsid w:val="00F57776"/>
    <w:rsid w:val="00F57C24"/>
    <w:rsid w:val="00F57F2A"/>
    <w:rsid w:val="00F61E55"/>
    <w:rsid w:val="00F6239D"/>
    <w:rsid w:val="00F64874"/>
    <w:rsid w:val="00F64FD8"/>
    <w:rsid w:val="00F650AD"/>
    <w:rsid w:val="00F65250"/>
    <w:rsid w:val="00F6593C"/>
    <w:rsid w:val="00F6631B"/>
    <w:rsid w:val="00F66CCC"/>
    <w:rsid w:val="00F66FD3"/>
    <w:rsid w:val="00F70909"/>
    <w:rsid w:val="00F70FA6"/>
    <w:rsid w:val="00F711D6"/>
    <w:rsid w:val="00F715D2"/>
    <w:rsid w:val="00F71F6C"/>
    <w:rsid w:val="00F720BE"/>
    <w:rsid w:val="00F7274F"/>
    <w:rsid w:val="00F732E8"/>
    <w:rsid w:val="00F7377C"/>
    <w:rsid w:val="00F73F17"/>
    <w:rsid w:val="00F7584C"/>
    <w:rsid w:val="00F76AA9"/>
    <w:rsid w:val="00F76FA8"/>
    <w:rsid w:val="00F77379"/>
    <w:rsid w:val="00F7740A"/>
    <w:rsid w:val="00F822BA"/>
    <w:rsid w:val="00F82310"/>
    <w:rsid w:val="00F82BEB"/>
    <w:rsid w:val="00F82DFF"/>
    <w:rsid w:val="00F840EB"/>
    <w:rsid w:val="00F84429"/>
    <w:rsid w:val="00F844C0"/>
    <w:rsid w:val="00F85276"/>
    <w:rsid w:val="00F8545E"/>
    <w:rsid w:val="00F856B0"/>
    <w:rsid w:val="00F86F85"/>
    <w:rsid w:val="00F870DF"/>
    <w:rsid w:val="00F877D3"/>
    <w:rsid w:val="00F87BF1"/>
    <w:rsid w:val="00F90052"/>
    <w:rsid w:val="00F900B0"/>
    <w:rsid w:val="00F90EAA"/>
    <w:rsid w:val="00F91ADD"/>
    <w:rsid w:val="00F91C13"/>
    <w:rsid w:val="00F91EB5"/>
    <w:rsid w:val="00F921FE"/>
    <w:rsid w:val="00F929F1"/>
    <w:rsid w:val="00F92BC9"/>
    <w:rsid w:val="00F93F08"/>
    <w:rsid w:val="00F947AA"/>
    <w:rsid w:val="00F949CC"/>
    <w:rsid w:val="00F94CED"/>
    <w:rsid w:val="00F95E80"/>
    <w:rsid w:val="00FA0E00"/>
    <w:rsid w:val="00FA1901"/>
    <w:rsid w:val="00FA27D7"/>
    <w:rsid w:val="00FA2CEE"/>
    <w:rsid w:val="00FA318C"/>
    <w:rsid w:val="00FA4A35"/>
    <w:rsid w:val="00FA4D22"/>
    <w:rsid w:val="00FA60E1"/>
    <w:rsid w:val="00FA67C3"/>
    <w:rsid w:val="00FA7F30"/>
    <w:rsid w:val="00FB09CC"/>
    <w:rsid w:val="00FB1D14"/>
    <w:rsid w:val="00FB1DC0"/>
    <w:rsid w:val="00FB23FC"/>
    <w:rsid w:val="00FB317A"/>
    <w:rsid w:val="00FB324B"/>
    <w:rsid w:val="00FB34D0"/>
    <w:rsid w:val="00FB3D66"/>
    <w:rsid w:val="00FB4187"/>
    <w:rsid w:val="00FB438F"/>
    <w:rsid w:val="00FB4787"/>
    <w:rsid w:val="00FB4DA7"/>
    <w:rsid w:val="00FB5499"/>
    <w:rsid w:val="00FB6F92"/>
    <w:rsid w:val="00FB72AB"/>
    <w:rsid w:val="00FB7734"/>
    <w:rsid w:val="00FC00C1"/>
    <w:rsid w:val="00FC026E"/>
    <w:rsid w:val="00FC03ED"/>
    <w:rsid w:val="00FC13C3"/>
    <w:rsid w:val="00FC167A"/>
    <w:rsid w:val="00FC18CA"/>
    <w:rsid w:val="00FC2135"/>
    <w:rsid w:val="00FC2D19"/>
    <w:rsid w:val="00FC2F60"/>
    <w:rsid w:val="00FC336D"/>
    <w:rsid w:val="00FC3738"/>
    <w:rsid w:val="00FC38F7"/>
    <w:rsid w:val="00FC3ECD"/>
    <w:rsid w:val="00FC4143"/>
    <w:rsid w:val="00FC4BDC"/>
    <w:rsid w:val="00FC5124"/>
    <w:rsid w:val="00FC5800"/>
    <w:rsid w:val="00FC6EB0"/>
    <w:rsid w:val="00FC72CA"/>
    <w:rsid w:val="00FC7FDF"/>
    <w:rsid w:val="00FD007C"/>
    <w:rsid w:val="00FD0729"/>
    <w:rsid w:val="00FD0768"/>
    <w:rsid w:val="00FD084B"/>
    <w:rsid w:val="00FD19C5"/>
    <w:rsid w:val="00FD26DC"/>
    <w:rsid w:val="00FD2F62"/>
    <w:rsid w:val="00FD3200"/>
    <w:rsid w:val="00FD3C79"/>
    <w:rsid w:val="00FD3EC3"/>
    <w:rsid w:val="00FD4731"/>
    <w:rsid w:val="00FD5FC4"/>
    <w:rsid w:val="00FD67BB"/>
    <w:rsid w:val="00FD6C61"/>
    <w:rsid w:val="00FD7538"/>
    <w:rsid w:val="00FD7923"/>
    <w:rsid w:val="00FD7A2F"/>
    <w:rsid w:val="00FE1FE5"/>
    <w:rsid w:val="00FE2CDB"/>
    <w:rsid w:val="00FE358D"/>
    <w:rsid w:val="00FE3604"/>
    <w:rsid w:val="00FE37DB"/>
    <w:rsid w:val="00FE76C0"/>
    <w:rsid w:val="00FF03FB"/>
    <w:rsid w:val="00FF067B"/>
    <w:rsid w:val="00FF0AB0"/>
    <w:rsid w:val="00FF1B7C"/>
    <w:rsid w:val="00FF2058"/>
    <w:rsid w:val="00FF2375"/>
    <w:rsid w:val="00FF28AC"/>
    <w:rsid w:val="00FF29A2"/>
    <w:rsid w:val="00FF2C7C"/>
    <w:rsid w:val="00FF33E6"/>
    <w:rsid w:val="00FF3553"/>
    <w:rsid w:val="00FF3CE3"/>
    <w:rsid w:val="00FF4AFA"/>
    <w:rsid w:val="00FF4FA6"/>
    <w:rsid w:val="00FF54D0"/>
    <w:rsid w:val="00FF5BEB"/>
    <w:rsid w:val="00FF6698"/>
    <w:rsid w:val="00FF66C5"/>
    <w:rsid w:val="00FF781E"/>
    <w:rsid w:val="00FF7E36"/>
    <w:rsid w:val="00FF7F62"/>
    <w:rsid w:val="010239D6"/>
    <w:rsid w:val="0112DD61"/>
    <w:rsid w:val="0121B08F"/>
    <w:rsid w:val="01A872B7"/>
    <w:rsid w:val="01CFEDC7"/>
    <w:rsid w:val="02000D78"/>
    <w:rsid w:val="02B753C7"/>
    <w:rsid w:val="02D7A471"/>
    <w:rsid w:val="0301DA81"/>
    <w:rsid w:val="030C5507"/>
    <w:rsid w:val="037AEDAA"/>
    <w:rsid w:val="03C036AD"/>
    <w:rsid w:val="04B1DAEC"/>
    <w:rsid w:val="04B46108"/>
    <w:rsid w:val="04B7ACE0"/>
    <w:rsid w:val="0540BC37"/>
    <w:rsid w:val="058C2AC5"/>
    <w:rsid w:val="05C6862E"/>
    <w:rsid w:val="05F6AD02"/>
    <w:rsid w:val="05FB3727"/>
    <w:rsid w:val="0603A489"/>
    <w:rsid w:val="0632973A"/>
    <w:rsid w:val="06D117F7"/>
    <w:rsid w:val="06D83BAA"/>
    <w:rsid w:val="0763C1C0"/>
    <w:rsid w:val="07CB4488"/>
    <w:rsid w:val="07F712AD"/>
    <w:rsid w:val="0807F64A"/>
    <w:rsid w:val="0816DD94"/>
    <w:rsid w:val="085DDDA7"/>
    <w:rsid w:val="087D2FD4"/>
    <w:rsid w:val="08F29B07"/>
    <w:rsid w:val="09075D7C"/>
    <w:rsid w:val="098A1B24"/>
    <w:rsid w:val="09D5FD8C"/>
    <w:rsid w:val="0A787C9A"/>
    <w:rsid w:val="0B27ED22"/>
    <w:rsid w:val="0BA8379E"/>
    <w:rsid w:val="0BB0215B"/>
    <w:rsid w:val="0BD2B30F"/>
    <w:rsid w:val="0BE87A31"/>
    <w:rsid w:val="0C02A890"/>
    <w:rsid w:val="0C144CFB"/>
    <w:rsid w:val="0C6CDC60"/>
    <w:rsid w:val="0CBC5E16"/>
    <w:rsid w:val="0CEB9925"/>
    <w:rsid w:val="0D12B9D0"/>
    <w:rsid w:val="0D231516"/>
    <w:rsid w:val="0D4D3A16"/>
    <w:rsid w:val="0E5F0B0D"/>
    <w:rsid w:val="0E74EA8F"/>
    <w:rsid w:val="0E899E39"/>
    <w:rsid w:val="0E948096"/>
    <w:rsid w:val="0FEC3B2F"/>
    <w:rsid w:val="101ECE99"/>
    <w:rsid w:val="109B9EE2"/>
    <w:rsid w:val="10C09D67"/>
    <w:rsid w:val="11639C07"/>
    <w:rsid w:val="117F5AFE"/>
    <w:rsid w:val="11B6B5CF"/>
    <w:rsid w:val="11BA9EFA"/>
    <w:rsid w:val="12711C27"/>
    <w:rsid w:val="12D40D0E"/>
    <w:rsid w:val="135DF624"/>
    <w:rsid w:val="13E0E728"/>
    <w:rsid w:val="141B08C2"/>
    <w:rsid w:val="1549D0D0"/>
    <w:rsid w:val="1555E9DC"/>
    <w:rsid w:val="155D506D"/>
    <w:rsid w:val="15A21CA2"/>
    <w:rsid w:val="15D40BA4"/>
    <w:rsid w:val="16331CBE"/>
    <w:rsid w:val="16F8DB46"/>
    <w:rsid w:val="17059745"/>
    <w:rsid w:val="1796F061"/>
    <w:rsid w:val="1819F851"/>
    <w:rsid w:val="18FF1A45"/>
    <w:rsid w:val="1900A76B"/>
    <w:rsid w:val="19203BB4"/>
    <w:rsid w:val="1938900D"/>
    <w:rsid w:val="196AA027"/>
    <w:rsid w:val="1A0E3CCD"/>
    <w:rsid w:val="1A354A81"/>
    <w:rsid w:val="1A4A11C9"/>
    <w:rsid w:val="1A92FC0A"/>
    <w:rsid w:val="1AAF519E"/>
    <w:rsid w:val="1B272A2D"/>
    <w:rsid w:val="1B308B5C"/>
    <w:rsid w:val="1C509719"/>
    <w:rsid w:val="1C5C1691"/>
    <w:rsid w:val="1CD64261"/>
    <w:rsid w:val="1CF50D03"/>
    <w:rsid w:val="1D01797B"/>
    <w:rsid w:val="1D974518"/>
    <w:rsid w:val="1DCE2EAC"/>
    <w:rsid w:val="1E79D693"/>
    <w:rsid w:val="2073A42A"/>
    <w:rsid w:val="20AD10A4"/>
    <w:rsid w:val="20C5E881"/>
    <w:rsid w:val="2242236A"/>
    <w:rsid w:val="22B8AE88"/>
    <w:rsid w:val="22BBB564"/>
    <w:rsid w:val="23F566D6"/>
    <w:rsid w:val="249BB255"/>
    <w:rsid w:val="24A9DA54"/>
    <w:rsid w:val="24CA6034"/>
    <w:rsid w:val="251A8C62"/>
    <w:rsid w:val="258846A4"/>
    <w:rsid w:val="25D4EA73"/>
    <w:rsid w:val="25E015CC"/>
    <w:rsid w:val="260477D8"/>
    <w:rsid w:val="2722F05E"/>
    <w:rsid w:val="27E6B3BB"/>
    <w:rsid w:val="282EC971"/>
    <w:rsid w:val="28456E89"/>
    <w:rsid w:val="292EA6D4"/>
    <w:rsid w:val="292FAE86"/>
    <w:rsid w:val="2946876F"/>
    <w:rsid w:val="2AADE531"/>
    <w:rsid w:val="2AC35E7F"/>
    <w:rsid w:val="2AC3E62D"/>
    <w:rsid w:val="2B213A68"/>
    <w:rsid w:val="2B666A33"/>
    <w:rsid w:val="2BA53DF8"/>
    <w:rsid w:val="2BC05C95"/>
    <w:rsid w:val="2C5DAEC2"/>
    <w:rsid w:val="2C7AE019"/>
    <w:rsid w:val="2D13A6DF"/>
    <w:rsid w:val="2D26C376"/>
    <w:rsid w:val="2D3B7E6C"/>
    <w:rsid w:val="2D5E2735"/>
    <w:rsid w:val="2D697B3E"/>
    <w:rsid w:val="2DA3C776"/>
    <w:rsid w:val="2DB5C90B"/>
    <w:rsid w:val="2DBD5825"/>
    <w:rsid w:val="2DF04B5C"/>
    <w:rsid w:val="2DFAC77D"/>
    <w:rsid w:val="2EFDF6CB"/>
    <w:rsid w:val="2FF7B5FE"/>
    <w:rsid w:val="3048F47B"/>
    <w:rsid w:val="30AF417F"/>
    <w:rsid w:val="30DABC15"/>
    <w:rsid w:val="314C6E8D"/>
    <w:rsid w:val="3196F40F"/>
    <w:rsid w:val="3294B925"/>
    <w:rsid w:val="32A2268D"/>
    <w:rsid w:val="32BD686F"/>
    <w:rsid w:val="32CBF812"/>
    <w:rsid w:val="331F5E59"/>
    <w:rsid w:val="333EDA79"/>
    <w:rsid w:val="336EA8AB"/>
    <w:rsid w:val="33DC4741"/>
    <w:rsid w:val="34216F3B"/>
    <w:rsid w:val="34512C0F"/>
    <w:rsid w:val="34A94DA3"/>
    <w:rsid w:val="34B8BF46"/>
    <w:rsid w:val="3518223B"/>
    <w:rsid w:val="35E88A0E"/>
    <w:rsid w:val="35F936A9"/>
    <w:rsid w:val="36281296"/>
    <w:rsid w:val="3633821A"/>
    <w:rsid w:val="3676D5DF"/>
    <w:rsid w:val="37E719FC"/>
    <w:rsid w:val="3818D6A7"/>
    <w:rsid w:val="382714B1"/>
    <w:rsid w:val="3878FD81"/>
    <w:rsid w:val="38D7391E"/>
    <w:rsid w:val="395E5B4F"/>
    <w:rsid w:val="3A24859B"/>
    <w:rsid w:val="3A3F3966"/>
    <w:rsid w:val="3A41708C"/>
    <w:rsid w:val="3A9DEBCF"/>
    <w:rsid w:val="3B5A92C2"/>
    <w:rsid w:val="3B824646"/>
    <w:rsid w:val="3B9946BC"/>
    <w:rsid w:val="3BAC4E33"/>
    <w:rsid w:val="3BFB7E48"/>
    <w:rsid w:val="3C4917FB"/>
    <w:rsid w:val="3C61A728"/>
    <w:rsid w:val="3D16B132"/>
    <w:rsid w:val="3D33FEDE"/>
    <w:rsid w:val="3D35171D"/>
    <w:rsid w:val="3D846134"/>
    <w:rsid w:val="3DAA80C8"/>
    <w:rsid w:val="3DAF60B3"/>
    <w:rsid w:val="3E33FD3F"/>
    <w:rsid w:val="3E5DA2EA"/>
    <w:rsid w:val="3EF4BD93"/>
    <w:rsid w:val="3F9152BD"/>
    <w:rsid w:val="3FC80D2D"/>
    <w:rsid w:val="403D14CF"/>
    <w:rsid w:val="40BBF21D"/>
    <w:rsid w:val="40F7CF52"/>
    <w:rsid w:val="41236CE8"/>
    <w:rsid w:val="41870044"/>
    <w:rsid w:val="421D6DF8"/>
    <w:rsid w:val="4241194C"/>
    <w:rsid w:val="42507997"/>
    <w:rsid w:val="428104A2"/>
    <w:rsid w:val="42C66A17"/>
    <w:rsid w:val="42DFF110"/>
    <w:rsid w:val="43096750"/>
    <w:rsid w:val="430A6CBD"/>
    <w:rsid w:val="4352550A"/>
    <w:rsid w:val="4466A5C6"/>
    <w:rsid w:val="44AB230B"/>
    <w:rsid w:val="46646155"/>
    <w:rsid w:val="46F11227"/>
    <w:rsid w:val="4785D371"/>
    <w:rsid w:val="479FABC8"/>
    <w:rsid w:val="47C2A663"/>
    <w:rsid w:val="48171E8F"/>
    <w:rsid w:val="4895386D"/>
    <w:rsid w:val="48B458F7"/>
    <w:rsid w:val="4901BB6E"/>
    <w:rsid w:val="492639DE"/>
    <w:rsid w:val="4927C4B8"/>
    <w:rsid w:val="4937B5DC"/>
    <w:rsid w:val="49E0F662"/>
    <w:rsid w:val="4A2FC478"/>
    <w:rsid w:val="4B38C585"/>
    <w:rsid w:val="4B7C263F"/>
    <w:rsid w:val="4BDCCE01"/>
    <w:rsid w:val="4C6F210B"/>
    <w:rsid w:val="4C8307F0"/>
    <w:rsid w:val="4D1AA721"/>
    <w:rsid w:val="4DE28343"/>
    <w:rsid w:val="4E293839"/>
    <w:rsid w:val="4E2A25B0"/>
    <w:rsid w:val="4E821633"/>
    <w:rsid w:val="5043FDA8"/>
    <w:rsid w:val="508902CE"/>
    <w:rsid w:val="50B4ED36"/>
    <w:rsid w:val="51380A59"/>
    <w:rsid w:val="514D5DC7"/>
    <w:rsid w:val="518B6F9D"/>
    <w:rsid w:val="519813CB"/>
    <w:rsid w:val="51988D75"/>
    <w:rsid w:val="51D43A96"/>
    <w:rsid w:val="52E97ABA"/>
    <w:rsid w:val="53101BE9"/>
    <w:rsid w:val="537655DC"/>
    <w:rsid w:val="53DEC10E"/>
    <w:rsid w:val="544D89B8"/>
    <w:rsid w:val="54795DF7"/>
    <w:rsid w:val="557B175F"/>
    <w:rsid w:val="5583B589"/>
    <w:rsid w:val="5593245F"/>
    <w:rsid w:val="55AA598E"/>
    <w:rsid w:val="55B8375B"/>
    <w:rsid w:val="561DF7B4"/>
    <w:rsid w:val="5696EC34"/>
    <w:rsid w:val="56D92434"/>
    <w:rsid w:val="573E4524"/>
    <w:rsid w:val="5764176A"/>
    <w:rsid w:val="579FC51C"/>
    <w:rsid w:val="58215FAA"/>
    <w:rsid w:val="588A999A"/>
    <w:rsid w:val="58EE7A93"/>
    <w:rsid w:val="59345E36"/>
    <w:rsid w:val="5945E543"/>
    <w:rsid w:val="59C1AE3E"/>
    <w:rsid w:val="5A0CB704"/>
    <w:rsid w:val="5A35E6A0"/>
    <w:rsid w:val="5A8387A3"/>
    <w:rsid w:val="5AAF922E"/>
    <w:rsid w:val="5AE3F672"/>
    <w:rsid w:val="5AF392FA"/>
    <w:rsid w:val="5B1C51AF"/>
    <w:rsid w:val="5B803B4D"/>
    <w:rsid w:val="5BAD5597"/>
    <w:rsid w:val="5BC55B3C"/>
    <w:rsid w:val="5C0CE8A6"/>
    <w:rsid w:val="5C74BEB8"/>
    <w:rsid w:val="5CF4D0CD"/>
    <w:rsid w:val="5D83986C"/>
    <w:rsid w:val="5D8B3B10"/>
    <w:rsid w:val="5D974E95"/>
    <w:rsid w:val="5DD8EB85"/>
    <w:rsid w:val="5E1AE19C"/>
    <w:rsid w:val="5E58CECB"/>
    <w:rsid w:val="5EB9994D"/>
    <w:rsid w:val="5EEBF43B"/>
    <w:rsid w:val="5F16FA1E"/>
    <w:rsid w:val="5F369B11"/>
    <w:rsid w:val="5F63DB00"/>
    <w:rsid w:val="5FCF3A1B"/>
    <w:rsid w:val="5FE0B900"/>
    <w:rsid w:val="5FEA6570"/>
    <w:rsid w:val="6051009D"/>
    <w:rsid w:val="6087C49C"/>
    <w:rsid w:val="6091F670"/>
    <w:rsid w:val="60D3B3CC"/>
    <w:rsid w:val="614E0F7C"/>
    <w:rsid w:val="61B95580"/>
    <w:rsid w:val="61DCBD6B"/>
    <w:rsid w:val="620EB9D6"/>
    <w:rsid w:val="627EFA7F"/>
    <w:rsid w:val="62AAED9B"/>
    <w:rsid w:val="62DBF97F"/>
    <w:rsid w:val="632B97C7"/>
    <w:rsid w:val="63A661A1"/>
    <w:rsid w:val="63F5ECBA"/>
    <w:rsid w:val="63FEAB62"/>
    <w:rsid w:val="64B2DD7D"/>
    <w:rsid w:val="64C46A7F"/>
    <w:rsid w:val="64DFDF78"/>
    <w:rsid w:val="6502A063"/>
    <w:rsid w:val="65202FB1"/>
    <w:rsid w:val="65A883EB"/>
    <w:rsid w:val="65B07FA8"/>
    <w:rsid w:val="65B7770D"/>
    <w:rsid w:val="663667CD"/>
    <w:rsid w:val="665A774A"/>
    <w:rsid w:val="66713297"/>
    <w:rsid w:val="667B8B10"/>
    <w:rsid w:val="66D5110F"/>
    <w:rsid w:val="675147AB"/>
    <w:rsid w:val="67CEA30E"/>
    <w:rsid w:val="67D2382E"/>
    <w:rsid w:val="68357CFE"/>
    <w:rsid w:val="6838DB7D"/>
    <w:rsid w:val="684003CA"/>
    <w:rsid w:val="68E1EEC2"/>
    <w:rsid w:val="694C082B"/>
    <w:rsid w:val="696E088F"/>
    <w:rsid w:val="6999324D"/>
    <w:rsid w:val="69B50E6D"/>
    <w:rsid w:val="69E9DC29"/>
    <w:rsid w:val="6A470410"/>
    <w:rsid w:val="6AA758EE"/>
    <w:rsid w:val="6B7E10CE"/>
    <w:rsid w:val="6B9DEE9E"/>
    <w:rsid w:val="6C62E729"/>
    <w:rsid w:val="6CCC2119"/>
    <w:rsid w:val="6CCF41F9"/>
    <w:rsid w:val="6D6337F2"/>
    <w:rsid w:val="6E74718C"/>
    <w:rsid w:val="7027FC89"/>
    <w:rsid w:val="7035EB97"/>
    <w:rsid w:val="707734E3"/>
    <w:rsid w:val="70CCB9A0"/>
    <w:rsid w:val="711F577E"/>
    <w:rsid w:val="712E9D97"/>
    <w:rsid w:val="720B0FAB"/>
    <w:rsid w:val="72CC9907"/>
    <w:rsid w:val="7314535D"/>
    <w:rsid w:val="73275AD4"/>
    <w:rsid w:val="736D228F"/>
    <w:rsid w:val="73D7C4DA"/>
    <w:rsid w:val="74532979"/>
    <w:rsid w:val="7469A284"/>
    <w:rsid w:val="748C4E75"/>
    <w:rsid w:val="74EB3AF4"/>
    <w:rsid w:val="74FFD377"/>
    <w:rsid w:val="7530B79C"/>
    <w:rsid w:val="75A7496D"/>
    <w:rsid w:val="75BB41A0"/>
    <w:rsid w:val="7614348A"/>
    <w:rsid w:val="763DF200"/>
    <w:rsid w:val="76D8451A"/>
    <w:rsid w:val="77453F33"/>
    <w:rsid w:val="780F325C"/>
    <w:rsid w:val="78E77045"/>
    <w:rsid w:val="79AB02BD"/>
    <w:rsid w:val="7A1954A6"/>
    <w:rsid w:val="7A7ABA90"/>
    <w:rsid w:val="7B19AC83"/>
    <w:rsid w:val="7B449066"/>
    <w:rsid w:val="7BF39C09"/>
    <w:rsid w:val="7BF56134"/>
    <w:rsid w:val="7C6DCF8A"/>
    <w:rsid w:val="7DC0273C"/>
    <w:rsid w:val="7E0C483E"/>
    <w:rsid w:val="7E753140"/>
    <w:rsid w:val="7E894E3A"/>
    <w:rsid w:val="7E8A6E18"/>
    <w:rsid w:val="7EDE04DF"/>
    <w:rsid w:val="7F3318B1"/>
    <w:rsid w:val="7F9351F3"/>
    <w:rsid w:val="7FA7CE18"/>
    <w:rsid w:val="7FFA369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5C4FD25"/>
  <w15:docId w15:val="{95FB9333-7C10-4AFB-9647-EA19E74F3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Grid" w:uiPriority="59"/>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650D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F86F85"/>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F86F85"/>
    <w:pPr>
      <w:keepNext/>
      <w:spacing w:before="240" w:after="60"/>
      <w:outlineLvl w:val="1"/>
    </w:pPr>
    <w:rPr>
      <w:rFonts w:ascii="Arial" w:hAnsi="Arial" w:cs="Arial"/>
      <w:b/>
      <w:bCs/>
      <w:iCs/>
      <w:color w:val="358189"/>
      <w:sz w:val="36"/>
      <w:szCs w:val="28"/>
      <w:lang w:eastAsia="en-US"/>
    </w:rPr>
  </w:style>
  <w:style w:type="paragraph" w:styleId="Heading3">
    <w:name w:val="heading 3"/>
    <w:next w:val="Normal"/>
    <w:link w:val="Heading3Char"/>
    <w:qFormat/>
    <w:rsid w:val="00F86F85"/>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F86F85"/>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F86F85"/>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207793"/>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207793"/>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A705AF"/>
    <w:rPr>
      <w:i/>
      <w:iCs/>
    </w:rPr>
  </w:style>
  <w:style w:type="character" w:styleId="Strong">
    <w:name w:val="Strong"/>
    <w:basedOn w:val="DefaultParagraphFont"/>
    <w:uiPriority w:val="22"/>
    <w:qForma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B7222E"/>
    <w:pPr>
      <w:spacing w:before="21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B7222E"/>
    <w:rPr>
      <w:rFonts w:ascii="Arial" w:eastAsiaTheme="majorEastAsia" w:hAnsi="Arial" w:cstheme="majorBidi"/>
      <w:b/>
      <w:color w:val="3F4A75"/>
      <w:kern w:val="28"/>
      <w:sz w:val="48"/>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346C4A"/>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346C4A"/>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4"/>
      </w:numPr>
      <w:ind w:left="568" w:hanging="284"/>
    </w:pPr>
  </w:style>
  <w:style w:type="paragraph" w:styleId="ListNumber2">
    <w:name w:val="List Number 2"/>
    <w:basedOn w:val="ListBullet"/>
    <w:qFormat/>
    <w:rsid w:val="00BA70AB"/>
    <w:pPr>
      <w:numPr>
        <w:numId w:val="0"/>
      </w:numPr>
    </w:pPr>
  </w:style>
  <w:style w:type="paragraph" w:styleId="ListBullet">
    <w:name w:val="List Bullet"/>
    <w:basedOn w:val="Normal"/>
    <w:qFormat/>
    <w:rsid w:val="00BA70AB"/>
    <w:pPr>
      <w:numPr>
        <w:numId w:val="5"/>
      </w:numPr>
      <w:tabs>
        <w:tab w:val="left" w:pos="340"/>
        <w:tab w:val="left" w:pos="680"/>
      </w:tabs>
      <w:spacing w:before="60" w:after="60"/>
    </w:pPr>
  </w:style>
  <w:style w:type="paragraph" w:styleId="ListParagraph">
    <w:name w:val="List Paragraph"/>
    <w:aliases w:val="Footnote,BulletPoints"/>
    <w:basedOn w:val="Normal"/>
    <w:link w:val="ListParagraphChar"/>
    <w:uiPriority w:val="34"/>
    <w:qFormat/>
    <w:rsid w:val="00A4512D"/>
    <w:pPr>
      <w:ind w:left="720"/>
      <w:contextualSpacing/>
    </w:pPr>
  </w:style>
  <w:style w:type="paragraph" w:styleId="ListNumber3">
    <w:name w:val="List Number 3"/>
    <w:aliases w:val="List Third Level"/>
    <w:basedOn w:val="ListNumber2"/>
    <w:rsid w:val="00BA56B7"/>
    <w:pPr>
      <w:numPr>
        <w:numId w:val="1"/>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aliases w:val="Table Grid2"/>
    <w:basedOn w:val="TableNormal"/>
    <w:uiPriority w:val="59"/>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CB38CE"/>
    <w:pPr>
      <w:spacing w:before="60" w:after="60"/>
    </w:pPr>
    <w:rPr>
      <w:rFonts w:ascii="Arial" w:hAnsi="Arial"/>
      <w:b/>
      <w:bCs/>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link w:val="HeaderChar"/>
    <w:qFormat/>
    <w:rsid w:val="00B7222E"/>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B7222E"/>
    <w:rPr>
      <w:rFonts w:ascii="Arial" w:hAnsi="Arial"/>
      <w:sz w:val="22"/>
      <w:szCs w:val="24"/>
      <w:lang w:eastAsia="en-US"/>
    </w:rPr>
  </w:style>
  <w:style w:type="paragraph" w:styleId="Footer">
    <w:name w:val="footer"/>
    <w:link w:val="FooterChar"/>
    <w:uiPriority w:val="99"/>
    <w:qFormat/>
    <w:rsid w:val="00B7222E"/>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B7222E"/>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pPr>
    <w:rPr>
      <w:rFonts w:cs="Arial"/>
      <w:b/>
      <w:sz w:val="20"/>
    </w:rPr>
  </w:style>
  <w:style w:type="paragraph" w:customStyle="1" w:styleId="FigureTitle">
    <w:name w:val="Figure Title"/>
    <w:next w:val="Normal"/>
    <w:qFormat/>
    <w:rsid w:val="00B7222E"/>
    <w:pPr>
      <w:spacing w:before="120" w:after="120"/>
    </w:pPr>
    <w:rPr>
      <w:rFonts w:ascii="Arial" w:hAnsi="Arial" w:cs="Arial"/>
      <w:b/>
      <w:bCs/>
      <w:iCs/>
      <w:color w:val="000000" w:themeColor="text1"/>
      <w:sz w:val="22"/>
      <w:szCs w:val="22"/>
      <w:lang w:eastAsia="en-US"/>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rsid w:val="00B7222E"/>
    <w:pPr>
      <w:jc w:val="right"/>
    </w:pPr>
    <w:rPr>
      <w:rFonts w:ascii="Arial" w:hAnsi="Arial"/>
      <w:szCs w:val="24"/>
      <w:lang w:eastAsia="en-US"/>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110478"/>
    <w:pPr>
      <w:numPr>
        <w:numId w:val="2"/>
      </w:numPr>
      <w:ind w:left="284" w:hanging="284"/>
    </w:pPr>
    <w:rPr>
      <w:szCs w:val="20"/>
    </w:rPr>
  </w:style>
  <w:style w:type="paragraph" w:customStyle="1" w:styleId="Tablelistnumber">
    <w:name w:val="Table list number"/>
    <w:basedOn w:val="Tabletextleft"/>
    <w:qFormat/>
    <w:rsid w:val="00DD2061"/>
    <w:pPr>
      <w:numPr>
        <w:numId w:val="3"/>
      </w:numPr>
    </w:pPr>
    <w:rPr>
      <w:bCs w:val="0"/>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CE6502"/>
    <w:rPr>
      <w:szCs w:val="32"/>
    </w:rPr>
  </w:style>
  <w:style w:type="paragraph" w:styleId="FootnoteText">
    <w:name w:val="footnote text"/>
    <w:link w:val="FootnoteTextChar"/>
    <w:uiPriority w:val="99"/>
    <w:rsid w:val="00B7222E"/>
    <w:rPr>
      <w:rFonts w:ascii="Arial" w:hAnsi="Arial"/>
      <w:lang w:eastAsia="en-US"/>
    </w:rPr>
  </w:style>
  <w:style w:type="character" w:customStyle="1" w:styleId="FootnoteTextChar">
    <w:name w:val="Footnote Text Char"/>
    <w:basedOn w:val="DefaultParagraphFont"/>
    <w:link w:val="FootnoteText"/>
    <w:uiPriority w:val="99"/>
    <w:rsid w:val="00B7222E"/>
    <w:rPr>
      <w:rFonts w:ascii="Arial" w:hAnsi="Arial"/>
      <w:lang w:eastAsia="en-US"/>
    </w:rPr>
  </w:style>
  <w:style w:type="paragraph" w:styleId="Caption">
    <w:name w:val="caption"/>
    <w:basedOn w:val="Normal"/>
    <w:next w:val="Normal"/>
    <w:uiPriority w:val="35"/>
    <w:unhideWhenUsed/>
    <w:qFormat/>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Normal"/>
    <w:next w:val="Normal"/>
    <w:qFormat/>
    <w:rsid w:val="00DE3BE2"/>
    <w:pPr>
      <w:spacing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qFormat/>
    <w:rsid w:val="00CA4BE3"/>
    <w:pPr>
      <w:spacing w:before="240"/>
    </w:pPr>
    <w:rPr>
      <w:rFonts w:cs="Times New Roman"/>
      <w:b/>
      <w:bCs/>
      <w:caps/>
      <w:color w:val="358189"/>
      <w:szCs w:val="20"/>
    </w:rPr>
  </w:style>
  <w:style w:type="paragraph" w:customStyle="1" w:styleId="Boxtype">
    <w:name w:val="Box type"/>
    <w:next w:val="Normal"/>
    <w:qFormat/>
    <w:rsid w:val="00BA70AB"/>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paragraph" w:customStyle="1" w:styleId="Footerrightpage">
    <w:name w:val="Footer right page"/>
    <w:basedOn w:val="Footer"/>
    <w:rsid w:val="00841111"/>
  </w:style>
  <w:style w:type="paragraph" w:customStyle="1" w:styleId="URL">
    <w:name w:val="URL"/>
    <w:basedOn w:val="Normal"/>
    <w:rsid w:val="00BA70AB"/>
    <w:pPr>
      <w:spacing w:before="3120"/>
      <w:jc w:val="center"/>
    </w:pPr>
    <w:rPr>
      <w:b/>
      <w:bCs/>
      <w:sz w:val="24"/>
      <w:szCs w:val="20"/>
    </w:rPr>
  </w:style>
  <w:style w:type="paragraph" w:styleId="BodyText">
    <w:name w:val="Body Text"/>
    <w:basedOn w:val="Normal"/>
    <w:link w:val="BodyTextChar"/>
    <w:uiPriority w:val="99"/>
    <w:unhideWhenUsed/>
    <w:rsid w:val="00B94828"/>
  </w:style>
  <w:style w:type="character" w:customStyle="1" w:styleId="BodyTextChar">
    <w:name w:val="Body Text Char"/>
    <w:basedOn w:val="DefaultParagraphFont"/>
    <w:link w:val="BodyText"/>
    <w:uiPriority w:val="99"/>
    <w:rsid w:val="00B94828"/>
    <w:rPr>
      <w:rFonts w:ascii="Arial" w:hAnsi="Arial"/>
      <w:sz w:val="22"/>
      <w:szCs w:val="24"/>
      <w:lang w:eastAsia="en-US"/>
    </w:rPr>
  </w:style>
  <w:style w:type="character" w:customStyle="1" w:styleId="Heading7Char">
    <w:name w:val="Heading 7 Char"/>
    <w:basedOn w:val="DefaultParagraphFont"/>
    <w:link w:val="Heading7"/>
    <w:semiHidden/>
    <w:rsid w:val="00207793"/>
    <w:rPr>
      <w:rFonts w:ascii="Arial" w:eastAsiaTheme="majorEastAsia" w:hAnsi="Arial" w:cstheme="majorBidi"/>
      <w:b/>
      <w:i/>
      <w:iCs/>
      <w:color w:val="1F243A" w:themeColor="accent1" w:themeShade="7F"/>
      <w:sz w:val="22"/>
      <w:szCs w:val="24"/>
      <w:lang w:eastAsia="en-US"/>
    </w:rPr>
  </w:style>
  <w:style w:type="paragraph" w:customStyle="1" w:styleId="011TableHeading">
    <w:name w:val="01.1 Table Heading"/>
    <w:qFormat/>
    <w:rsid w:val="005E5D24"/>
    <w:pPr>
      <w:spacing w:before="40" w:after="40" w:line="259" w:lineRule="auto"/>
    </w:pPr>
    <w:rPr>
      <w:rFonts w:ascii="Arial" w:hAnsi="Arial"/>
      <w:b/>
      <w:szCs w:val="22"/>
      <w:lang w:eastAsia="ja-JP"/>
    </w:rPr>
  </w:style>
  <w:style w:type="paragraph" w:customStyle="1" w:styleId="051Tabletext22">
    <w:name w:val="05.1 Table text 2:2"/>
    <w:link w:val="051Tabletext22Char"/>
    <w:qFormat/>
    <w:rsid w:val="005E5D24"/>
    <w:pPr>
      <w:spacing w:before="40" w:after="40"/>
    </w:pPr>
    <w:rPr>
      <w:rFonts w:ascii="Arial" w:hAnsi="Arial"/>
      <w:szCs w:val="22"/>
      <w:lang w:eastAsia="ja-JP"/>
    </w:rPr>
  </w:style>
  <w:style w:type="character" w:customStyle="1" w:styleId="051Tabletext22Char">
    <w:name w:val="05.1 Table text 2:2 Char"/>
    <w:link w:val="051Tabletext22"/>
    <w:rsid w:val="005E5D24"/>
    <w:rPr>
      <w:rFonts w:ascii="Arial" w:hAnsi="Arial"/>
      <w:szCs w:val="22"/>
      <w:lang w:eastAsia="ja-JP"/>
    </w:rPr>
  </w:style>
  <w:style w:type="paragraph" w:customStyle="1" w:styleId="031Tablesubheading">
    <w:name w:val="03.1 Table subheading"/>
    <w:qFormat/>
    <w:rsid w:val="005E5D24"/>
    <w:pPr>
      <w:keepNext/>
      <w:spacing w:before="40" w:after="40" w:line="259" w:lineRule="auto"/>
    </w:pPr>
    <w:rPr>
      <w:rFonts w:ascii="Arial" w:hAnsi="Arial"/>
      <w:b/>
      <w:szCs w:val="22"/>
      <w:lang w:eastAsia="ja-JP"/>
    </w:rPr>
  </w:style>
  <w:style w:type="character" w:styleId="UnresolvedMention">
    <w:name w:val="Unresolved Mention"/>
    <w:basedOn w:val="DefaultParagraphFont"/>
    <w:uiPriority w:val="99"/>
    <w:semiHidden/>
    <w:unhideWhenUsed/>
    <w:rsid w:val="00525D2F"/>
    <w:rPr>
      <w:color w:val="605E5C"/>
      <w:shd w:val="clear" w:color="auto" w:fill="E1DFDD"/>
    </w:rPr>
  </w:style>
  <w:style w:type="paragraph" w:customStyle="1" w:styleId="111Tablefootnoteslast-nostick">
    <w:name w:val="11.1 Table footnotes last - no stick"/>
    <w:next w:val="BodyText"/>
    <w:qFormat/>
    <w:rsid w:val="006B1FC4"/>
    <w:pPr>
      <w:spacing w:after="240" w:line="259" w:lineRule="auto"/>
    </w:pPr>
    <w:rPr>
      <w:rFonts w:ascii="Arial" w:hAnsi="Arial"/>
      <w:sz w:val="18"/>
      <w:szCs w:val="22"/>
      <w:lang w:val="en-US" w:eastAsia="ja-JP"/>
    </w:rPr>
  </w:style>
  <w:style w:type="character" w:styleId="FootnoteReference">
    <w:name w:val="footnote reference"/>
    <w:uiPriority w:val="99"/>
    <w:semiHidden/>
    <w:unhideWhenUsed/>
    <w:rsid w:val="00A650D6"/>
    <w:rPr>
      <w:vertAlign w:val="superscript"/>
    </w:rPr>
  </w:style>
  <w:style w:type="paragraph" w:customStyle="1" w:styleId="071Tablebullet8pt">
    <w:name w:val="07.1 Table bullet [8pt]"/>
    <w:qFormat/>
    <w:rsid w:val="00A650D6"/>
    <w:pPr>
      <w:numPr>
        <w:numId w:val="11"/>
      </w:numPr>
      <w:spacing w:before="40" w:after="40" w:line="259" w:lineRule="auto"/>
    </w:pPr>
    <w:rPr>
      <w:rFonts w:ascii="Arial" w:hAnsi="Arial"/>
      <w:szCs w:val="22"/>
      <w:lang w:eastAsia="ja-JP"/>
    </w:rPr>
  </w:style>
  <w:style w:type="character" w:styleId="CommentReference">
    <w:name w:val="annotation reference"/>
    <w:basedOn w:val="DefaultParagraphFont"/>
    <w:uiPriority w:val="99"/>
    <w:semiHidden/>
    <w:unhideWhenUsed/>
    <w:rsid w:val="00D821E4"/>
    <w:rPr>
      <w:sz w:val="16"/>
      <w:szCs w:val="16"/>
    </w:rPr>
  </w:style>
  <w:style w:type="paragraph" w:styleId="CommentText">
    <w:name w:val="annotation text"/>
    <w:basedOn w:val="Normal"/>
    <w:link w:val="CommentTextChar"/>
    <w:uiPriority w:val="99"/>
    <w:unhideWhenUsed/>
    <w:rsid w:val="00D821E4"/>
    <w:pPr>
      <w:spacing w:line="240" w:lineRule="auto"/>
    </w:pPr>
    <w:rPr>
      <w:sz w:val="20"/>
      <w:szCs w:val="20"/>
    </w:rPr>
  </w:style>
  <w:style w:type="character" w:customStyle="1" w:styleId="CommentTextChar">
    <w:name w:val="Comment Text Char"/>
    <w:basedOn w:val="DefaultParagraphFont"/>
    <w:link w:val="CommentText"/>
    <w:uiPriority w:val="99"/>
    <w:rsid w:val="00D821E4"/>
    <w:rPr>
      <w:rFonts w:ascii="Arial" w:hAnsi="Arial"/>
      <w:color w:val="000000" w:themeColor="text1"/>
      <w:lang w:eastAsia="en-US"/>
    </w:rPr>
  </w:style>
  <w:style w:type="paragraph" w:styleId="CommentSubject">
    <w:name w:val="annotation subject"/>
    <w:basedOn w:val="CommentText"/>
    <w:next w:val="CommentText"/>
    <w:link w:val="CommentSubjectChar"/>
    <w:semiHidden/>
    <w:unhideWhenUsed/>
    <w:rsid w:val="00D821E4"/>
    <w:rPr>
      <w:b/>
      <w:bCs/>
    </w:rPr>
  </w:style>
  <w:style w:type="character" w:customStyle="1" w:styleId="CommentSubjectChar">
    <w:name w:val="Comment Subject Char"/>
    <w:basedOn w:val="CommentTextChar"/>
    <w:link w:val="CommentSubject"/>
    <w:semiHidden/>
    <w:rsid w:val="00D821E4"/>
    <w:rPr>
      <w:rFonts w:ascii="Arial" w:hAnsi="Arial"/>
      <w:b/>
      <w:bCs/>
      <w:color w:val="000000" w:themeColor="text1"/>
      <w:lang w:eastAsia="en-US"/>
    </w:rPr>
  </w:style>
  <w:style w:type="paragraph" w:styleId="TOC6">
    <w:name w:val="toc 6"/>
    <w:basedOn w:val="Normal"/>
    <w:next w:val="Normal"/>
    <w:autoRedefine/>
    <w:uiPriority w:val="39"/>
    <w:unhideWhenUsed/>
    <w:rsid w:val="00071B30"/>
    <w:pPr>
      <w:spacing w:before="0" w:after="100" w:line="259" w:lineRule="auto"/>
      <w:ind w:left="1100"/>
    </w:pPr>
    <w:rPr>
      <w:rFonts w:asciiTheme="minorHAnsi" w:eastAsiaTheme="minorEastAsia" w:hAnsiTheme="minorHAnsi" w:cstheme="minorBidi"/>
      <w:color w:val="auto"/>
      <w:szCs w:val="22"/>
      <w:lang w:eastAsia="en-AU"/>
    </w:rPr>
  </w:style>
  <w:style w:type="character" w:styleId="Mention">
    <w:name w:val="Mention"/>
    <w:basedOn w:val="DefaultParagraphFont"/>
    <w:uiPriority w:val="99"/>
    <w:unhideWhenUsed/>
    <w:rsid w:val="00C339AA"/>
    <w:rPr>
      <w:color w:val="2B579A"/>
      <w:shd w:val="clear" w:color="auto" w:fill="E6E6E6"/>
    </w:rPr>
  </w:style>
  <w:style w:type="paragraph" w:customStyle="1" w:styleId="051Tabletext228pt">
    <w:name w:val="05.1 Table text 2:2 [8pt]"/>
    <w:link w:val="051Tabletext228ptChar"/>
    <w:qFormat/>
    <w:rsid w:val="009407ED"/>
    <w:pPr>
      <w:spacing w:before="40" w:after="40"/>
    </w:pPr>
    <w:rPr>
      <w:rFonts w:ascii="Calibri" w:hAnsi="Calibri"/>
      <w:sz w:val="16"/>
      <w:szCs w:val="22"/>
      <w:lang w:eastAsia="ja-JP"/>
    </w:rPr>
  </w:style>
  <w:style w:type="character" w:customStyle="1" w:styleId="051Tabletext228ptChar">
    <w:name w:val="05.1 Table text 2:2 [8pt] Char"/>
    <w:link w:val="051Tabletext228pt"/>
    <w:rsid w:val="009407ED"/>
    <w:rPr>
      <w:rFonts w:ascii="Calibri" w:hAnsi="Calibri"/>
      <w:sz w:val="16"/>
      <w:szCs w:val="22"/>
      <w:lang w:eastAsia="ja-JP"/>
    </w:rPr>
  </w:style>
  <w:style w:type="paragraph" w:customStyle="1" w:styleId="Bulletpoint">
    <w:name w:val="Bullet point"/>
    <w:qFormat/>
    <w:rsid w:val="006E454E"/>
    <w:pPr>
      <w:numPr>
        <w:numId w:val="13"/>
      </w:numPr>
      <w:spacing w:after="120"/>
    </w:pPr>
    <w:rPr>
      <w:rFonts w:ascii="Arial" w:hAnsi="Arial"/>
      <w:szCs w:val="22"/>
      <w:lang w:eastAsia="ja-JP"/>
    </w:rPr>
  </w:style>
  <w:style w:type="paragraph" w:customStyle="1" w:styleId="Bulletpoint2ndlevel">
    <w:name w:val="Bullet point 2nd level"/>
    <w:basedOn w:val="Bulletpoint"/>
    <w:qFormat/>
    <w:rsid w:val="006E454E"/>
    <w:pPr>
      <w:numPr>
        <w:ilvl w:val="1"/>
      </w:numPr>
    </w:pPr>
  </w:style>
  <w:style w:type="table" w:customStyle="1" w:styleId="AABlackTable1">
    <w:name w:val="AABlackTable1"/>
    <w:basedOn w:val="TableNormal"/>
    <w:uiPriority w:val="99"/>
    <w:rsid w:val="006E454E"/>
    <w:pPr>
      <w:spacing w:before="110" w:after="110" w:line="264" w:lineRule="auto"/>
    </w:pPr>
    <w:rPr>
      <w:rFonts w:ascii="Verdana" w:eastAsiaTheme="minorEastAsia" w:hAnsi="Verdana" w:cstheme="minorBidi"/>
      <w:sz w:val="18"/>
      <w:lang w:eastAsia="en-US"/>
    </w:rPr>
    <w:tblPr>
      <w:tblInd w:w="108" w:type="dxa"/>
      <w:tblBorders>
        <w:top w:val="single" w:sz="4" w:space="0" w:color="000000"/>
        <w:bottom w:val="single" w:sz="4" w:space="0" w:color="000000"/>
        <w:insideH w:val="single" w:sz="4" w:space="0" w:color="000000"/>
        <w:insideV w:val="single" w:sz="4" w:space="0" w:color="000000"/>
      </w:tblBorders>
    </w:tblPr>
    <w:tblStylePr w:type="firstRow">
      <w:rPr>
        <w:b/>
        <w:color w:val="FFFFFF" w:themeColor="background1"/>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l2br w:val="nil"/>
          <w:tr2bl w:val="nil"/>
        </w:tcBorders>
        <w:shd w:val="solid" w:color="000000" w:fill="000000"/>
      </w:tcPr>
    </w:tblStylePr>
    <w:tblStylePr w:type="fir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tblStylePr w:type="la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style>
  <w:style w:type="character" w:customStyle="1" w:styleId="ListParagraphChar">
    <w:name w:val="List Paragraph Char"/>
    <w:aliases w:val="Footnote Char,BulletPoints Char"/>
    <w:link w:val="ListParagraph"/>
    <w:uiPriority w:val="34"/>
    <w:locked/>
    <w:rsid w:val="006E454E"/>
    <w:rPr>
      <w:rFonts w:ascii="Arial" w:hAnsi="Arial"/>
      <w:color w:val="000000" w:themeColor="text1"/>
      <w:sz w:val="22"/>
      <w:szCs w:val="24"/>
      <w:lang w:eastAsia="en-US"/>
    </w:rPr>
  </w:style>
  <w:style w:type="paragraph" w:styleId="Revision">
    <w:name w:val="Revision"/>
    <w:hidden/>
    <w:uiPriority w:val="99"/>
    <w:semiHidden/>
    <w:rsid w:val="00DF5AEC"/>
    <w:rPr>
      <w:rFonts w:ascii="Arial" w:hAnsi="Arial"/>
      <w:color w:val="000000" w:themeColor="text1"/>
      <w:sz w:val="22"/>
      <w:szCs w:val="24"/>
      <w:lang w:eastAsia="en-US"/>
    </w:rPr>
  </w:style>
  <w:style w:type="paragraph" w:styleId="TOCHeading">
    <w:name w:val="TOC Heading"/>
    <w:basedOn w:val="Heading1"/>
    <w:next w:val="Normal"/>
    <w:uiPriority w:val="39"/>
    <w:unhideWhenUsed/>
    <w:qFormat/>
    <w:rsid w:val="006A63BD"/>
    <w:pPr>
      <w:keepLines/>
      <w:spacing w:after="0" w:line="259" w:lineRule="auto"/>
      <w:outlineLvl w:val="9"/>
    </w:pPr>
    <w:rPr>
      <w:rFonts w:asciiTheme="majorHAnsi" w:eastAsiaTheme="majorEastAsia" w:hAnsiTheme="majorHAnsi" w:cstheme="majorBidi"/>
      <w:b w:val="0"/>
      <w:bCs w:val="0"/>
      <w:color w:val="2F3757" w:themeColor="accent1" w:themeShade="BF"/>
      <w:kern w:val="0"/>
      <w:sz w:val="32"/>
      <w:szCs w:val="32"/>
      <w:lang w:val="en-US"/>
    </w:rPr>
  </w:style>
  <w:style w:type="paragraph" w:styleId="TOC1">
    <w:name w:val="toc 1"/>
    <w:basedOn w:val="Normal"/>
    <w:next w:val="Normal"/>
    <w:autoRedefine/>
    <w:uiPriority w:val="39"/>
    <w:unhideWhenUsed/>
    <w:rsid w:val="002D094F"/>
    <w:pPr>
      <w:tabs>
        <w:tab w:val="right" w:leader="dot" w:pos="9060"/>
      </w:tabs>
      <w:spacing w:after="100"/>
    </w:pPr>
  </w:style>
  <w:style w:type="paragraph" w:styleId="TOC2">
    <w:name w:val="toc 2"/>
    <w:basedOn w:val="Normal"/>
    <w:next w:val="Normal"/>
    <w:autoRedefine/>
    <w:uiPriority w:val="39"/>
    <w:unhideWhenUsed/>
    <w:rsid w:val="008C7FFE"/>
    <w:pPr>
      <w:tabs>
        <w:tab w:val="right" w:leader="dot" w:pos="9060"/>
      </w:tabs>
      <w:spacing w:after="100"/>
      <w:ind w:left="220"/>
    </w:pPr>
  </w:style>
  <w:style w:type="table" w:customStyle="1" w:styleId="TableGrid1">
    <w:name w:val="Table Grid1"/>
    <w:basedOn w:val="TableNormal"/>
    <w:next w:val="TableGrid"/>
    <w:uiPriority w:val="39"/>
    <w:rsid w:val="00A75BB0"/>
    <w:rPr>
      <w:rFonts w:ascii="Calibri" w:hAnsi="Calibri"/>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tblHeader/>
      </w:trPr>
    </w:tblStylePr>
  </w:style>
  <w:style w:type="paragraph" w:customStyle="1" w:styleId="041Tabletext00">
    <w:name w:val="04.1 Table text 0:0"/>
    <w:qFormat/>
    <w:rsid w:val="00A75BB0"/>
    <w:pPr>
      <w:spacing w:line="259" w:lineRule="auto"/>
    </w:pPr>
    <w:rPr>
      <w:rFonts w:ascii="Arial" w:hAnsi="Arial"/>
      <w:szCs w:val="22"/>
      <w:lang w:eastAsia="ja-JP"/>
    </w:rPr>
  </w:style>
  <w:style w:type="paragraph" w:customStyle="1" w:styleId="ExecSumHeading1">
    <w:name w:val="Exec Sum Heading 1"/>
    <w:next w:val="BodyText"/>
    <w:qFormat/>
    <w:rsid w:val="00A75BB0"/>
    <w:pPr>
      <w:spacing w:before="240" w:after="120"/>
      <w:outlineLvl w:val="0"/>
    </w:pPr>
    <w:rPr>
      <w:rFonts w:ascii="Arial" w:hAnsi="Arial" w:cstheme="majorHAnsi"/>
      <w:color w:val="7030A0"/>
      <w:sz w:val="32"/>
      <w:szCs w:val="44"/>
      <w:lang w:eastAsia="ja-JP"/>
    </w:rPr>
  </w:style>
  <w:style w:type="character" w:styleId="LineNumber">
    <w:name w:val="line number"/>
    <w:basedOn w:val="DefaultParagraphFont"/>
    <w:semiHidden/>
    <w:unhideWhenUsed/>
    <w:rsid w:val="001D6707"/>
  </w:style>
  <w:style w:type="paragraph" w:customStyle="1" w:styleId="Paragraphtext">
    <w:name w:val="Paragraph text"/>
    <w:basedOn w:val="Normal"/>
    <w:qFormat/>
    <w:rsid w:val="0022553A"/>
    <w:pPr>
      <w:spacing w:after="60" w:line="240" w:lineRule="auto"/>
    </w:pPr>
    <w:rPr>
      <w:sz w:val="21"/>
    </w:rPr>
  </w:style>
  <w:style w:type="paragraph" w:styleId="TOC3">
    <w:name w:val="toc 3"/>
    <w:basedOn w:val="Normal"/>
    <w:next w:val="Normal"/>
    <w:autoRedefine/>
    <w:uiPriority w:val="39"/>
    <w:unhideWhenUsed/>
    <w:rsid w:val="00B65FDB"/>
    <w:pPr>
      <w:tabs>
        <w:tab w:val="right" w:leader="dot" w:pos="9060"/>
      </w:tabs>
      <w:spacing w:after="100"/>
      <w:ind w:left="440"/>
    </w:pPr>
    <w:rPr>
      <w:rFonts w:cs="Arial"/>
      <w:noProof/>
    </w:rPr>
  </w:style>
  <w:style w:type="character" w:customStyle="1" w:styleId="Heading3Char">
    <w:name w:val="Heading 3 Char"/>
    <w:basedOn w:val="DefaultParagraphFont"/>
    <w:link w:val="Heading3"/>
    <w:rsid w:val="00D067D6"/>
    <w:rPr>
      <w:rFonts w:ascii="Arial" w:hAnsi="Arial" w:cs="Arial"/>
      <w:b/>
      <w:bCs/>
      <w:color w:val="358189"/>
      <w:sz w:val="32"/>
      <w:szCs w:val="26"/>
      <w:lang w:eastAsia="en-US"/>
    </w:rPr>
  </w:style>
  <w:style w:type="character" w:styleId="FollowedHyperlink">
    <w:name w:val="FollowedHyperlink"/>
    <w:basedOn w:val="DefaultParagraphFont"/>
    <w:semiHidden/>
    <w:unhideWhenUsed/>
    <w:rsid w:val="003B0B27"/>
    <w:rPr>
      <w:color w:val="800080" w:themeColor="followedHyperlink"/>
      <w:u w:val="single"/>
    </w:rPr>
  </w:style>
  <w:style w:type="paragraph" w:customStyle="1" w:styleId="subsection">
    <w:name w:val="subsection"/>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paragraph">
    <w:name w:val="paragraph"/>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paragraphsub">
    <w:name w:val="paragraphsub"/>
    <w:basedOn w:val="Normal"/>
    <w:rsid w:val="007436E5"/>
    <w:pPr>
      <w:spacing w:before="100" w:beforeAutospacing="1" w:after="100" w:afterAutospacing="1" w:line="240" w:lineRule="auto"/>
    </w:pPr>
    <w:rPr>
      <w:rFonts w:ascii="Times New Roman" w:hAnsi="Times New Roman"/>
      <w:color w:val="auto"/>
      <w:sz w:val="24"/>
      <w:lang w:eastAsia="en-AU"/>
    </w:rPr>
  </w:style>
  <w:style w:type="paragraph" w:customStyle="1" w:styleId="notetext">
    <w:name w:val="notetext"/>
    <w:basedOn w:val="Normal"/>
    <w:rsid w:val="00794BC0"/>
    <w:pPr>
      <w:spacing w:before="100" w:beforeAutospacing="1" w:after="100" w:afterAutospacing="1" w:line="240" w:lineRule="auto"/>
    </w:pPr>
    <w:rPr>
      <w:rFonts w:ascii="Times New Roman" w:hAnsi="Times New Roman"/>
      <w:color w:val="auto"/>
      <w:sz w:val="24"/>
      <w:lang w:eastAsia="en-AU"/>
    </w:rPr>
  </w:style>
  <w:style w:type="paragraph" w:customStyle="1" w:styleId="TableText">
    <w:name w:val="TableText"/>
    <w:basedOn w:val="Normal"/>
    <w:rsid w:val="00677452"/>
    <w:pPr>
      <w:keepNext/>
      <w:spacing w:before="60" w:after="60" w:line="240" w:lineRule="auto"/>
    </w:pPr>
    <w:rPr>
      <w:rFonts w:ascii="Times New Roman" w:hAnsi="Times New Roman"/>
      <w:color w:val="000000"/>
      <w:sz w:val="21"/>
      <w:szCs w:val="21"/>
      <w:lang w:eastAsia="en-AU"/>
    </w:rPr>
  </w:style>
  <w:style w:type="paragraph" w:customStyle="1" w:styleId="TableHeading">
    <w:name w:val="TableHeading"/>
    <w:basedOn w:val="TableText"/>
    <w:rsid w:val="00677452"/>
    <w:rPr>
      <w:b/>
      <w:bCs/>
    </w:rPr>
  </w:style>
  <w:style w:type="paragraph" w:customStyle="1" w:styleId="TableNumberedList">
    <w:name w:val="TableNumberedList"/>
    <w:basedOn w:val="TableText"/>
    <w:autoRedefine/>
    <w:rsid w:val="00603B84"/>
    <w:pPr>
      <w:keepNext w:val="0"/>
      <w:ind w:left="360" w:hanging="494"/>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362586">
      <w:bodyDiv w:val="1"/>
      <w:marLeft w:val="0"/>
      <w:marRight w:val="0"/>
      <w:marTop w:val="0"/>
      <w:marBottom w:val="0"/>
      <w:divBdr>
        <w:top w:val="none" w:sz="0" w:space="0" w:color="auto"/>
        <w:left w:val="none" w:sz="0" w:space="0" w:color="auto"/>
        <w:bottom w:val="none" w:sz="0" w:space="0" w:color="auto"/>
        <w:right w:val="none" w:sz="0" w:space="0" w:color="auto"/>
      </w:divBdr>
    </w:div>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28655450">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754284517">
      <w:bodyDiv w:val="1"/>
      <w:marLeft w:val="0"/>
      <w:marRight w:val="0"/>
      <w:marTop w:val="0"/>
      <w:marBottom w:val="0"/>
      <w:divBdr>
        <w:top w:val="none" w:sz="0" w:space="0" w:color="auto"/>
        <w:left w:val="none" w:sz="0" w:space="0" w:color="auto"/>
        <w:bottom w:val="none" w:sz="0" w:space="0" w:color="auto"/>
        <w:right w:val="none" w:sz="0" w:space="0" w:color="auto"/>
      </w:divBdr>
    </w:div>
    <w:div w:id="789208411">
      <w:bodyDiv w:val="1"/>
      <w:marLeft w:val="0"/>
      <w:marRight w:val="0"/>
      <w:marTop w:val="0"/>
      <w:marBottom w:val="0"/>
      <w:divBdr>
        <w:top w:val="none" w:sz="0" w:space="0" w:color="auto"/>
        <w:left w:val="none" w:sz="0" w:space="0" w:color="auto"/>
        <w:bottom w:val="none" w:sz="0" w:space="0" w:color="auto"/>
        <w:right w:val="none" w:sz="0" w:space="0" w:color="auto"/>
      </w:divBdr>
    </w:div>
    <w:div w:id="811413165">
      <w:bodyDiv w:val="1"/>
      <w:marLeft w:val="0"/>
      <w:marRight w:val="0"/>
      <w:marTop w:val="0"/>
      <w:marBottom w:val="0"/>
      <w:divBdr>
        <w:top w:val="none" w:sz="0" w:space="0" w:color="auto"/>
        <w:left w:val="none" w:sz="0" w:space="0" w:color="auto"/>
        <w:bottom w:val="none" w:sz="0" w:space="0" w:color="auto"/>
        <w:right w:val="none" w:sz="0" w:space="0" w:color="auto"/>
      </w:divBdr>
      <w:divsChild>
        <w:div w:id="1454253567">
          <w:marLeft w:val="547"/>
          <w:marRight w:val="0"/>
          <w:marTop w:val="0"/>
          <w:marBottom w:val="0"/>
          <w:divBdr>
            <w:top w:val="none" w:sz="0" w:space="0" w:color="auto"/>
            <w:left w:val="none" w:sz="0" w:space="0" w:color="auto"/>
            <w:bottom w:val="none" w:sz="0" w:space="0" w:color="auto"/>
            <w:right w:val="none" w:sz="0" w:space="0" w:color="auto"/>
          </w:divBdr>
        </w:div>
      </w:divsChild>
    </w:div>
    <w:div w:id="964233655">
      <w:bodyDiv w:val="1"/>
      <w:marLeft w:val="0"/>
      <w:marRight w:val="0"/>
      <w:marTop w:val="0"/>
      <w:marBottom w:val="0"/>
      <w:divBdr>
        <w:top w:val="none" w:sz="0" w:space="0" w:color="auto"/>
        <w:left w:val="none" w:sz="0" w:space="0" w:color="auto"/>
        <w:bottom w:val="none" w:sz="0" w:space="0" w:color="auto"/>
        <w:right w:val="none" w:sz="0" w:space="0" w:color="auto"/>
      </w:divBdr>
    </w:div>
    <w:div w:id="984167149">
      <w:bodyDiv w:val="1"/>
      <w:marLeft w:val="0"/>
      <w:marRight w:val="0"/>
      <w:marTop w:val="0"/>
      <w:marBottom w:val="0"/>
      <w:divBdr>
        <w:top w:val="none" w:sz="0" w:space="0" w:color="auto"/>
        <w:left w:val="none" w:sz="0" w:space="0" w:color="auto"/>
        <w:bottom w:val="none" w:sz="0" w:space="0" w:color="auto"/>
        <w:right w:val="none" w:sz="0" w:space="0" w:color="auto"/>
      </w:divBdr>
    </w:div>
    <w:div w:id="1032995268">
      <w:bodyDiv w:val="1"/>
      <w:marLeft w:val="0"/>
      <w:marRight w:val="0"/>
      <w:marTop w:val="0"/>
      <w:marBottom w:val="0"/>
      <w:divBdr>
        <w:top w:val="none" w:sz="0" w:space="0" w:color="auto"/>
        <w:left w:val="none" w:sz="0" w:space="0" w:color="auto"/>
        <w:bottom w:val="none" w:sz="0" w:space="0" w:color="auto"/>
        <w:right w:val="none" w:sz="0" w:space="0" w:color="auto"/>
      </w:divBdr>
    </w:div>
    <w:div w:id="1046291646">
      <w:bodyDiv w:val="1"/>
      <w:marLeft w:val="0"/>
      <w:marRight w:val="0"/>
      <w:marTop w:val="0"/>
      <w:marBottom w:val="0"/>
      <w:divBdr>
        <w:top w:val="none" w:sz="0" w:space="0" w:color="auto"/>
        <w:left w:val="none" w:sz="0" w:space="0" w:color="auto"/>
        <w:bottom w:val="none" w:sz="0" w:space="0" w:color="auto"/>
        <w:right w:val="none" w:sz="0" w:space="0" w:color="auto"/>
      </w:divBdr>
    </w:div>
    <w:div w:id="1072461845">
      <w:bodyDiv w:val="1"/>
      <w:marLeft w:val="0"/>
      <w:marRight w:val="0"/>
      <w:marTop w:val="0"/>
      <w:marBottom w:val="0"/>
      <w:divBdr>
        <w:top w:val="none" w:sz="0" w:space="0" w:color="auto"/>
        <w:left w:val="none" w:sz="0" w:space="0" w:color="auto"/>
        <w:bottom w:val="none" w:sz="0" w:space="0" w:color="auto"/>
        <w:right w:val="none" w:sz="0" w:space="0" w:color="auto"/>
      </w:divBdr>
    </w:div>
    <w:div w:id="1194422457">
      <w:bodyDiv w:val="1"/>
      <w:marLeft w:val="0"/>
      <w:marRight w:val="0"/>
      <w:marTop w:val="0"/>
      <w:marBottom w:val="0"/>
      <w:divBdr>
        <w:top w:val="none" w:sz="0" w:space="0" w:color="auto"/>
        <w:left w:val="none" w:sz="0" w:space="0" w:color="auto"/>
        <w:bottom w:val="none" w:sz="0" w:space="0" w:color="auto"/>
        <w:right w:val="none" w:sz="0" w:space="0" w:color="auto"/>
      </w:divBdr>
    </w:div>
    <w:div w:id="1204094851">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749227515">
      <w:bodyDiv w:val="1"/>
      <w:marLeft w:val="0"/>
      <w:marRight w:val="0"/>
      <w:marTop w:val="0"/>
      <w:marBottom w:val="0"/>
      <w:divBdr>
        <w:top w:val="none" w:sz="0" w:space="0" w:color="auto"/>
        <w:left w:val="none" w:sz="0" w:space="0" w:color="auto"/>
        <w:bottom w:val="none" w:sz="0" w:space="0" w:color="auto"/>
        <w:right w:val="none" w:sz="0" w:space="0" w:color="auto"/>
      </w:divBdr>
    </w:div>
    <w:div w:id="1860312845">
      <w:bodyDiv w:val="1"/>
      <w:marLeft w:val="0"/>
      <w:marRight w:val="0"/>
      <w:marTop w:val="0"/>
      <w:marBottom w:val="0"/>
      <w:divBdr>
        <w:top w:val="none" w:sz="0" w:space="0" w:color="auto"/>
        <w:left w:val="none" w:sz="0" w:space="0" w:color="auto"/>
        <w:bottom w:val="none" w:sz="0" w:space="0" w:color="auto"/>
        <w:right w:val="none" w:sz="0" w:space="0" w:color="auto"/>
      </w:divBdr>
    </w:div>
    <w:div w:id="1906910536">
      <w:bodyDiv w:val="1"/>
      <w:marLeft w:val="0"/>
      <w:marRight w:val="0"/>
      <w:marTop w:val="0"/>
      <w:marBottom w:val="0"/>
      <w:divBdr>
        <w:top w:val="none" w:sz="0" w:space="0" w:color="auto"/>
        <w:left w:val="none" w:sz="0" w:space="0" w:color="auto"/>
        <w:bottom w:val="none" w:sz="0" w:space="0" w:color="auto"/>
        <w:right w:val="none" w:sz="0" w:space="0" w:color="auto"/>
      </w:divBdr>
    </w:div>
    <w:div w:id="19161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3.xml"/><Relationship Id="rId26" Type="http://schemas.openxmlformats.org/officeDocument/2006/relationships/hyperlink" Target="https://www9.health.gov.au/mbs/search.cfm" TargetMode="External"/><Relationship Id="rId39" Type="http://schemas.openxmlformats.org/officeDocument/2006/relationships/hyperlink" Target="https://www.health.gov.au/resources/publications/prostheses-list-post-listing-review-framework" TargetMode="External"/><Relationship Id="rId21" Type="http://schemas.openxmlformats.org/officeDocument/2006/relationships/hyperlink" Target="https://www.health.gov.au/resources/publications/expert-clinical-advisory-groups-terms-of-reference" TargetMode="External"/><Relationship Id="rId34" Type="http://schemas.openxmlformats.org/officeDocument/2006/relationships/diagramColors" Target="diagrams/colors1.xml"/><Relationship Id="rId42" Type="http://schemas.openxmlformats.org/officeDocument/2006/relationships/hyperlink" Target="https://www.tga.gov.au/resources/artg" TargetMode="External"/><Relationship Id="rId47" Type="http://schemas.openxmlformats.org/officeDocument/2006/relationships/hyperlink" Target="https://www.health.gov.au/resources/publications/cost-recovery-implementation-statement-2023-2024?language=en" TargetMode="External"/><Relationship Id="rId50" Type="http://schemas.openxmlformats.org/officeDocument/2006/relationships/footer" Target="footer4.xml"/><Relationship Id="rId55" Type="http://schemas.openxmlformats.org/officeDocument/2006/relationships/hyperlink" Target="https://hpp.health.gov.au/" TargetMode="External"/><Relationship Id="rId63" Type="http://schemas.openxmlformats.org/officeDocument/2006/relationships/image" Target="media/image6.png"/><Relationship Id="rId68" Type="http://schemas.openxmlformats.org/officeDocument/2006/relationships/hyperlink" Target="https://www9.health.gov.au/mbs/search.cfm" TargetMode="External"/><Relationship Id="rId76" Type="http://schemas.openxmlformats.org/officeDocument/2006/relationships/header" Target="header14.xml"/><Relationship Id="rId7" Type="http://schemas.openxmlformats.org/officeDocument/2006/relationships/settings" Target="settings.xml"/><Relationship Id="rId71"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hyperlink" Target="mailto:prosthesesreform@health.gov.au" TargetMode="External"/><Relationship Id="rId11" Type="http://schemas.openxmlformats.org/officeDocument/2006/relationships/header" Target="header1.xml"/><Relationship Id="rId24" Type="http://schemas.openxmlformats.org/officeDocument/2006/relationships/hyperlink" Target="https://www.health.gov.au/resources/publications/prostheses-list-post-listing-review-framework" TargetMode="External"/><Relationship Id="rId32" Type="http://schemas.openxmlformats.org/officeDocument/2006/relationships/diagramLayout" Target="diagrams/layout1.xml"/><Relationship Id="rId37" Type="http://schemas.openxmlformats.org/officeDocument/2006/relationships/hyperlink" Target="mailto:prostheses@health.gov.au" TargetMode="External"/><Relationship Id="rId40" Type="http://schemas.openxmlformats.org/officeDocument/2006/relationships/hyperlink" Target="mailto:prosthesescompliance@health.gov.au" TargetMode="External"/><Relationship Id="rId45" Type="http://schemas.openxmlformats.org/officeDocument/2006/relationships/hyperlink" Target="https://www.health.gov.au/resources/collections/cost-recovery-implementation-statement-cris" TargetMode="External"/><Relationship Id="rId53" Type="http://schemas.openxmlformats.org/officeDocument/2006/relationships/footer" Target="footer6.xml"/><Relationship Id="rId58" Type="http://schemas.openxmlformats.org/officeDocument/2006/relationships/image" Target="media/image4.png"/><Relationship Id="rId66" Type="http://schemas.openxmlformats.org/officeDocument/2006/relationships/image" Target="media/image9.png"/><Relationship Id="rId74" Type="http://schemas.openxmlformats.org/officeDocument/2006/relationships/header" Target="header12.xml"/><Relationship Id="rId79" Type="http://schemas.openxmlformats.org/officeDocument/2006/relationships/footer" Target="footer8.xml"/><Relationship Id="rId5" Type="http://schemas.openxmlformats.org/officeDocument/2006/relationships/numbering" Target="numbering.xml"/><Relationship Id="rId61" Type="http://schemas.openxmlformats.org/officeDocument/2006/relationships/hyperlink" Target="http://www.msac.gov.au/" TargetMode="External"/><Relationship Id="rId82"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health.gov.au/topics/private-health-insurance/the-prostheses-list" TargetMode="External"/><Relationship Id="rId31" Type="http://schemas.openxmlformats.org/officeDocument/2006/relationships/diagramData" Target="diagrams/data1.xml"/><Relationship Id="rId44" Type="http://schemas.openxmlformats.org/officeDocument/2006/relationships/hyperlink" Target="https://www.finance.gov.au/government/managing-commonwealth-resources/implementing-charging-framework-rmg-302/australian-government-cost-recovery-policy" TargetMode="External"/><Relationship Id="rId52" Type="http://schemas.openxmlformats.org/officeDocument/2006/relationships/header" Target="header8.xml"/><Relationship Id="rId60" Type="http://schemas.openxmlformats.org/officeDocument/2006/relationships/hyperlink" Target="http://www.msac.gov.au/internet/msac/publishing.nsf/Content/MSAC-Guidelines" TargetMode="External"/><Relationship Id="rId65" Type="http://schemas.openxmlformats.org/officeDocument/2006/relationships/image" Target="media/image8.svg"/><Relationship Id="rId73" Type="http://schemas.openxmlformats.org/officeDocument/2006/relationships/header" Target="header11.xml"/><Relationship Id="rId78" Type="http://schemas.openxmlformats.org/officeDocument/2006/relationships/header" Target="header16.xml"/><Relationship Id="rId8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4.xml"/><Relationship Id="rId22" Type="http://schemas.openxmlformats.org/officeDocument/2006/relationships/hyperlink" Target="https://www.health.gov.au/resources/publications/prostheses-list-grouping-schemes" TargetMode="External"/><Relationship Id="rId27" Type="http://schemas.openxmlformats.org/officeDocument/2006/relationships/hyperlink" Target="https://www.tga.gov.au/resources/artg" TargetMode="External"/><Relationship Id="rId30" Type="http://schemas.openxmlformats.org/officeDocument/2006/relationships/hyperlink" Target="https://www.legislation.gov.au/Details/C2023C00107" TargetMode="External"/><Relationship Id="rId35" Type="http://schemas.microsoft.com/office/2007/relationships/diagramDrawing" Target="diagrams/drawing1.xml"/><Relationship Id="rId43" Type="http://schemas.openxmlformats.org/officeDocument/2006/relationships/hyperlink" Target="https://www.finance.gov.au/government/managing-commonwealth-resources/implementing-charging-framework-rmg-302/what-australian-government-charging-framework" TargetMode="External"/><Relationship Id="rId48" Type="http://schemas.openxmlformats.org/officeDocument/2006/relationships/header" Target="header6.xml"/><Relationship Id="rId56" Type="http://schemas.openxmlformats.org/officeDocument/2006/relationships/hyperlink" Target="https://www.health.gov.au/topics/private-health-insurance/the-prostheses-list/the-prostheses-list-reforms?language=und" TargetMode="External"/><Relationship Id="rId64" Type="http://schemas.openxmlformats.org/officeDocument/2006/relationships/image" Target="media/image7.png"/><Relationship Id="rId69" Type="http://schemas.openxmlformats.org/officeDocument/2006/relationships/hyperlink" Target="http://www.msac.gov.au/" TargetMode="External"/><Relationship Id="rId77" Type="http://schemas.openxmlformats.org/officeDocument/2006/relationships/header" Target="header15.xml"/><Relationship Id="rId8" Type="http://schemas.openxmlformats.org/officeDocument/2006/relationships/webSettings" Target="webSettings.xml"/><Relationship Id="rId51" Type="http://schemas.openxmlformats.org/officeDocument/2006/relationships/footer" Target="footer5.xml"/><Relationship Id="rId72" Type="http://schemas.openxmlformats.org/officeDocument/2006/relationships/footer" Target="footer7.xml"/><Relationship Id="rId80" Type="http://schemas.openxmlformats.org/officeDocument/2006/relationships/header" Target="header17.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eader" Target="header5.xml"/><Relationship Id="rId25" Type="http://schemas.openxmlformats.org/officeDocument/2006/relationships/hyperlink" Target="http://www.msac.gov.au/" TargetMode="External"/><Relationship Id="rId33" Type="http://schemas.openxmlformats.org/officeDocument/2006/relationships/diagramQuickStyle" Target="diagrams/quickStyle1.xml"/><Relationship Id="rId38" Type="http://schemas.openxmlformats.org/officeDocument/2006/relationships/hyperlink" Target="http://www.msac.gov.au/" TargetMode="External"/><Relationship Id="rId46" Type="http://schemas.openxmlformats.org/officeDocument/2006/relationships/hyperlink" Target="https://www.health.gov.au/resources/collections/cost-recovery-implementation-statement-cris" TargetMode="External"/><Relationship Id="rId59" Type="http://schemas.openxmlformats.org/officeDocument/2006/relationships/hyperlink" Target="https://www.health.gov.au/resources/publications/trans-aortic-valve-implantation-clinical-advisory-group-guideline" TargetMode="External"/><Relationship Id="rId67" Type="http://schemas.openxmlformats.org/officeDocument/2006/relationships/image" Target="media/image10.svg"/><Relationship Id="rId20" Type="http://schemas.openxmlformats.org/officeDocument/2006/relationships/hyperlink" Target="https://www.health.gov.au/committees-and-groups/expert-clinical-advisory-groups-ecags" TargetMode="External"/><Relationship Id="rId41" Type="http://schemas.openxmlformats.org/officeDocument/2006/relationships/hyperlink" Target="https://www.health.gov.au/resources/publications/prostheses-list-compliance-strategy-safeguarding-the-prostheses-list" TargetMode="External"/><Relationship Id="rId54" Type="http://schemas.openxmlformats.org/officeDocument/2006/relationships/hyperlink" Target="https://hpp.health.gov.au/" TargetMode="External"/><Relationship Id="rId62" Type="http://schemas.openxmlformats.org/officeDocument/2006/relationships/image" Target="media/image5.png"/><Relationship Id="rId70" Type="http://schemas.openxmlformats.org/officeDocument/2006/relationships/header" Target="header9.xml"/><Relationship Id="rId75"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hyperlink" Target="https://www.health.gov.au/topics/private-health-insurance/the-prostheses-list/the-prostheses-list-reforms" TargetMode="External"/><Relationship Id="rId28" Type="http://schemas.openxmlformats.org/officeDocument/2006/relationships/hyperlink" Target="https://hpp.health.gov.au/" TargetMode="External"/><Relationship Id="rId36" Type="http://schemas.openxmlformats.org/officeDocument/2006/relationships/hyperlink" Target="https://www.legislation.gov.au/Details/F2023L00796" TargetMode="External"/><Relationship Id="rId49" Type="http://schemas.openxmlformats.org/officeDocument/2006/relationships/header" Target="header7.xml"/><Relationship Id="rId57"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13.xml.rels><?xml version="1.0" encoding="UTF-8" standalone="yes"?>
<Relationships xmlns="http://schemas.openxmlformats.org/package/2006/relationships"><Relationship Id="rId2" Type="http://schemas.openxmlformats.org/officeDocument/2006/relationships/image" Target="cid:image001.png@01D55750.6AFDDD40" TargetMode="External"/><Relationship Id="rId1" Type="http://schemas.openxmlformats.org/officeDocument/2006/relationships/image" Target="media/image11.png"/></Relationships>
</file>

<file path=word/_rels/header16.xml.rels><?xml version="1.0" encoding="UTF-8" standalone="yes"?>
<Relationships xmlns="http://schemas.openxmlformats.org/package/2006/relationships"><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B086AB5-F7CF-40C1-AE94-1371BD733E4E}" type="doc">
      <dgm:prSet loTypeId="urn:microsoft.com/office/officeart/2005/8/layout/target3" loCatId="list" qsTypeId="urn:microsoft.com/office/officeart/2005/8/quickstyle/simple1" qsCatId="simple" csTypeId="urn:microsoft.com/office/officeart/2005/8/colors/colorful4" csCatId="colorful" phldr="1"/>
      <dgm:spPr/>
    </dgm:pt>
    <dgm:pt modelId="{C1DAC2AB-3970-4EE1-8086-1D856C0DE1D7}">
      <dgm:prSet phldrT="[Text]" custT="1"/>
      <dgm:spPr/>
      <dgm:t>
        <a:bodyPr/>
        <a:lstStyle/>
        <a:p>
          <a:pPr algn="l"/>
          <a:r>
            <a:rPr lang="en-US" sz="1400"/>
            <a:t> Primary Legislation</a:t>
          </a:r>
        </a:p>
      </dgm:t>
    </dgm:pt>
    <dgm:pt modelId="{A85796E6-9DDF-46C3-A066-2B5218696947}" type="parTrans" cxnId="{39660007-BD5C-468A-84E5-7C94DF8AA568}">
      <dgm:prSet/>
      <dgm:spPr/>
      <dgm:t>
        <a:bodyPr/>
        <a:lstStyle/>
        <a:p>
          <a:endParaRPr lang="en-US" sz="2000"/>
        </a:p>
      </dgm:t>
    </dgm:pt>
    <dgm:pt modelId="{386B903B-6CFD-45BC-87B3-6F8B4B629355}" type="sibTrans" cxnId="{39660007-BD5C-468A-84E5-7C94DF8AA568}">
      <dgm:prSet/>
      <dgm:spPr/>
      <dgm:t>
        <a:bodyPr/>
        <a:lstStyle/>
        <a:p>
          <a:endParaRPr lang="en-US" sz="2000"/>
        </a:p>
      </dgm:t>
    </dgm:pt>
    <dgm:pt modelId="{7363B66F-7AEB-4DDA-9420-814240A12060}">
      <dgm:prSet phldrT="[Text]" custT="1"/>
      <dgm:spPr/>
      <dgm:t>
        <a:bodyPr/>
        <a:lstStyle/>
        <a:p>
          <a:pPr algn="l"/>
          <a:r>
            <a:rPr lang="en-US" sz="1400"/>
            <a:t> Secondary Legislation </a:t>
          </a:r>
          <a:br>
            <a:rPr lang="en-US" sz="1400"/>
          </a:br>
          <a:r>
            <a:rPr lang="en-US" sz="1400"/>
            <a:t> (as made from </a:t>
          </a:r>
          <a:br>
            <a:rPr lang="en-US" sz="1400"/>
          </a:br>
          <a:r>
            <a:rPr lang="en-US" sz="1400"/>
            <a:t> time-to-time)</a:t>
          </a:r>
        </a:p>
      </dgm:t>
    </dgm:pt>
    <dgm:pt modelId="{30065BFD-A026-4CD3-8230-D18E306D5882}" type="parTrans" cxnId="{1C0585E5-5C5A-4A97-AB15-D21A1ACD7810}">
      <dgm:prSet/>
      <dgm:spPr/>
      <dgm:t>
        <a:bodyPr/>
        <a:lstStyle/>
        <a:p>
          <a:endParaRPr lang="en-US" sz="2000"/>
        </a:p>
      </dgm:t>
    </dgm:pt>
    <dgm:pt modelId="{931F0C26-EB03-4584-970F-801EE568536D}" type="sibTrans" cxnId="{1C0585E5-5C5A-4A97-AB15-D21A1ACD7810}">
      <dgm:prSet/>
      <dgm:spPr/>
      <dgm:t>
        <a:bodyPr/>
        <a:lstStyle/>
        <a:p>
          <a:endParaRPr lang="en-US" sz="2000"/>
        </a:p>
      </dgm:t>
    </dgm:pt>
    <dgm:pt modelId="{AF01CD2E-1E40-4423-8AD3-691CCB2AEF02}">
      <dgm:prSet phldrT="[Text]" custT="1"/>
      <dgm:spPr/>
      <dgm:t>
        <a:bodyPr/>
        <a:lstStyle/>
        <a:p>
          <a:pPr algn="l"/>
          <a:r>
            <a:rPr lang="en-US" sz="1400" b="0"/>
            <a:t> Policy / Guidance</a:t>
          </a:r>
        </a:p>
      </dgm:t>
    </dgm:pt>
    <dgm:pt modelId="{D4690750-CAD5-4ED9-AD3B-08A65826C419}" type="parTrans" cxnId="{5EF7E45C-9FFB-475F-A745-B88BD7631F23}">
      <dgm:prSet/>
      <dgm:spPr/>
      <dgm:t>
        <a:bodyPr/>
        <a:lstStyle/>
        <a:p>
          <a:endParaRPr lang="en-US" sz="2000"/>
        </a:p>
      </dgm:t>
    </dgm:pt>
    <dgm:pt modelId="{FDD4B905-2474-4F04-ABC8-E6F8A03A465D}" type="sibTrans" cxnId="{5EF7E45C-9FFB-475F-A745-B88BD7631F23}">
      <dgm:prSet/>
      <dgm:spPr/>
      <dgm:t>
        <a:bodyPr/>
        <a:lstStyle/>
        <a:p>
          <a:endParaRPr lang="en-US" sz="2000"/>
        </a:p>
      </dgm:t>
    </dgm:pt>
    <dgm:pt modelId="{EE983063-45F3-4617-B6AD-D74645264B6A}">
      <dgm:prSet phldrT="[Text]" custT="1"/>
      <dgm:spPr/>
      <dgm:t>
        <a:bodyPr/>
        <a:lstStyle/>
        <a:p>
          <a:r>
            <a:rPr lang="en-AU" sz="1000" i="1"/>
            <a:t> Private Health Insurance Act 2007</a:t>
          </a:r>
          <a:endParaRPr lang="en-US" sz="1000" i="1"/>
        </a:p>
      </dgm:t>
    </dgm:pt>
    <dgm:pt modelId="{1C89AB4B-D62B-4C6F-B920-A9BB45F527D8}" type="parTrans" cxnId="{FAF3EB45-088E-4F43-8F3C-55F96A689DB1}">
      <dgm:prSet/>
      <dgm:spPr/>
      <dgm:t>
        <a:bodyPr/>
        <a:lstStyle/>
        <a:p>
          <a:endParaRPr lang="en-US" sz="2000"/>
        </a:p>
      </dgm:t>
    </dgm:pt>
    <dgm:pt modelId="{41B7FBFB-8CF2-4C23-9D1F-6266A39C8384}" type="sibTrans" cxnId="{FAF3EB45-088E-4F43-8F3C-55F96A689DB1}">
      <dgm:prSet/>
      <dgm:spPr/>
      <dgm:t>
        <a:bodyPr/>
        <a:lstStyle/>
        <a:p>
          <a:endParaRPr lang="en-US" sz="2000"/>
        </a:p>
      </dgm:t>
    </dgm:pt>
    <dgm:pt modelId="{7D0C5FD5-2BFB-4271-8701-3EEBAEFD3AE4}">
      <dgm:prSet phldrT="[Text]" custT="1"/>
      <dgm:spPr/>
      <dgm:t>
        <a:bodyPr/>
        <a:lstStyle/>
        <a:p>
          <a:r>
            <a:rPr lang="en-US" sz="1000" b="0"/>
            <a:t> The Prescribed List of Medical Devices and Human Tissue Products Guide</a:t>
          </a:r>
        </a:p>
      </dgm:t>
    </dgm:pt>
    <dgm:pt modelId="{CBCB4D4F-4B20-443A-83C0-C89936D574DF}" type="parTrans" cxnId="{230E49BE-5B09-4E50-B8AC-91ABBBE2C3C7}">
      <dgm:prSet/>
      <dgm:spPr/>
      <dgm:t>
        <a:bodyPr/>
        <a:lstStyle/>
        <a:p>
          <a:endParaRPr lang="en-US" sz="2000"/>
        </a:p>
      </dgm:t>
    </dgm:pt>
    <dgm:pt modelId="{BFD5261D-B5CA-401D-B2FD-1E2193B2ABA2}" type="sibTrans" cxnId="{230E49BE-5B09-4E50-B8AC-91ABBBE2C3C7}">
      <dgm:prSet/>
      <dgm:spPr/>
      <dgm:t>
        <a:bodyPr/>
        <a:lstStyle/>
        <a:p>
          <a:endParaRPr lang="en-US" sz="2000"/>
        </a:p>
      </dgm:t>
    </dgm:pt>
    <dgm:pt modelId="{37BD3F9A-41EB-49E8-AF75-3B0AA5965711}">
      <dgm:prSet phldrT="[Text]" custT="1"/>
      <dgm:spPr/>
      <dgm:t>
        <a:bodyPr/>
        <a:lstStyle/>
        <a:p>
          <a:r>
            <a:rPr lang="en-AU" sz="1000" i="1"/>
            <a:t> Private Health Insurance (Medical Devices and Human Tissue  Products) Rules</a:t>
          </a:r>
          <a:endParaRPr lang="en-US" sz="1000"/>
        </a:p>
      </dgm:t>
    </dgm:pt>
    <dgm:pt modelId="{02D555D8-D214-4DD6-A3CB-3CF757B2366E}" type="parTrans" cxnId="{27E9EDDD-0DC6-452E-B1B2-8C002400EC30}">
      <dgm:prSet/>
      <dgm:spPr/>
      <dgm:t>
        <a:bodyPr/>
        <a:lstStyle/>
        <a:p>
          <a:endParaRPr lang="en-AU" sz="2000"/>
        </a:p>
      </dgm:t>
    </dgm:pt>
    <dgm:pt modelId="{1B10746F-AF71-4C9D-AAFD-64471F282D9E}" type="sibTrans" cxnId="{27E9EDDD-0DC6-452E-B1B2-8C002400EC30}">
      <dgm:prSet/>
      <dgm:spPr/>
      <dgm:t>
        <a:bodyPr/>
        <a:lstStyle/>
        <a:p>
          <a:endParaRPr lang="en-AU" sz="2000"/>
        </a:p>
      </dgm:t>
    </dgm:pt>
    <dgm:pt modelId="{6752465F-4BAA-4BA3-821C-B0137A5B0D95}">
      <dgm:prSet custT="1"/>
      <dgm:spPr/>
      <dgm:t>
        <a:bodyPr/>
        <a:lstStyle/>
        <a:p>
          <a:r>
            <a:rPr lang="en-AU" sz="1000" i="1"/>
            <a:t> Private Health Insurance (Complying Products) Rules 2015</a:t>
          </a:r>
        </a:p>
      </dgm:t>
    </dgm:pt>
    <dgm:pt modelId="{60E1E9AF-BC99-45CA-B707-E1C7FB29C3DE}" type="parTrans" cxnId="{72B6A11D-B8E3-4637-B4C2-D9305C217214}">
      <dgm:prSet/>
      <dgm:spPr/>
      <dgm:t>
        <a:bodyPr/>
        <a:lstStyle/>
        <a:p>
          <a:endParaRPr lang="en-AU" sz="2000"/>
        </a:p>
      </dgm:t>
    </dgm:pt>
    <dgm:pt modelId="{E634C3A5-B292-4289-B7F2-B301B90184F6}" type="sibTrans" cxnId="{72B6A11D-B8E3-4637-B4C2-D9305C217214}">
      <dgm:prSet/>
      <dgm:spPr/>
      <dgm:t>
        <a:bodyPr/>
        <a:lstStyle/>
        <a:p>
          <a:endParaRPr lang="en-AU" sz="2000"/>
        </a:p>
      </dgm:t>
    </dgm:pt>
    <dgm:pt modelId="{954C3911-EB85-455E-BE32-192946F7C444}" type="pres">
      <dgm:prSet presAssocID="{2B086AB5-F7CF-40C1-AE94-1371BD733E4E}" presName="Name0" presStyleCnt="0">
        <dgm:presLayoutVars>
          <dgm:chMax val="7"/>
          <dgm:dir/>
          <dgm:animLvl val="lvl"/>
          <dgm:resizeHandles val="exact"/>
        </dgm:presLayoutVars>
      </dgm:prSet>
      <dgm:spPr/>
    </dgm:pt>
    <dgm:pt modelId="{DC871D5F-35D7-4346-B706-87EF673611E0}" type="pres">
      <dgm:prSet presAssocID="{C1DAC2AB-3970-4EE1-8086-1D856C0DE1D7}" presName="circle1" presStyleLbl="node1" presStyleIdx="0" presStyleCnt="3"/>
      <dgm:spPr/>
    </dgm:pt>
    <dgm:pt modelId="{9504A1CC-CB66-46E2-A660-844AAA0A8F71}" type="pres">
      <dgm:prSet presAssocID="{C1DAC2AB-3970-4EE1-8086-1D856C0DE1D7}" presName="space" presStyleCnt="0"/>
      <dgm:spPr/>
    </dgm:pt>
    <dgm:pt modelId="{7F53DFF5-BF34-4D51-A7C8-E37ED8FAD7CB}" type="pres">
      <dgm:prSet presAssocID="{C1DAC2AB-3970-4EE1-8086-1D856C0DE1D7}" presName="rect1" presStyleLbl="alignAcc1" presStyleIdx="0" presStyleCnt="3"/>
      <dgm:spPr/>
    </dgm:pt>
    <dgm:pt modelId="{CF8EC899-9195-4637-BB7C-8B7305F82974}" type="pres">
      <dgm:prSet presAssocID="{7363B66F-7AEB-4DDA-9420-814240A12060}" presName="vertSpace2" presStyleLbl="node1" presStyleIdx="0" presStyleCnt="3"/>
      <dgm:spPr/>
    </dgm:pt>
    <dgm:pt modelId="{5F7DB664-FA66-4450-A08C-B2A05A67634A}" type="pres">
      <dgm:prSet presAssocID="{7363B66F-7AEB-4DDA-9420-814240A12060}" presName="circle2" presStyleLbl="node1" presStyleIdx="1" presStyleCnt="3"/>
      <dgm:spPr/>
    </dgm:pt>
    <dgm:pt modelId="{CE44035A-2580-4CDA-A42D-E60419ED32F6}" type="pres">
      <dgm:prSet presAssocID="{7363B66F-7AEB-4DDA-9420-814240A12060}" presName="rect2" presStyleLbl="alignAcc1" presStyleIdx="1" presStyleCnt="3"/>
      <dgm:spPr/>
    </dgm:pt>
    <dgm:pt modelId="{26608C77-C1C0-4E5B-AB5E-AFA0B3A0E5EF}" type="pres">
      <dgm:prSet presAssocID="{AF01CD2E-1E40-4423-8AD3-691CCB2AEF02}" presName="vertSpace3" presStyleLbl="node1" presStyleIdx="1" presStyleCnt="3"/>
      <dgm:spPr/>
    </dgm:pt>
    <dgm:pt modelId="{A4FD945C-F074-42B7-8BF4-75A83613D4B1}" type="pres">
      <dgm:prSet presAssocID="{AF01CD2E-1E40-4423-8AD3-691CCB2AEF02}" presName="circle3" presStyleLbl="node1" presStyleIdx="2" presStyleCnt="3"/>
      <dgm:spPr/>
    </dgm:pt>
    <dgm:pt modelId="{D6D4E2C2-31DB-47B5-B7C4-9EDD1B717CB3}" type="pres">
      <dgm:prSet presAssocID="{AF01CD2E-1E40-4423-8AD3-691CCB2AEF02}" presName="rect3" presStyleLbl="alignAcc1" presStyleIdx="2" presStyleCnt="3"/>
      <dgm:spPr/>
    </dgm:pt>
    <dgm:pt modelId="{1B30B606-CA0F-4D00-A3C1-F69D39ECE6C0}" type="pres">
      <dgm:prSet presAssocID="{C1DAC2AB-3970-4EE1-8086-1D856C0DE1D7}" presName="rect1ParTx" presStyleLbl="alignAcc1" presStyleIdx="2" presStyleCnt="3">
        <dgm:presLayoutVars>
          <dgm:chMax val="1"/>
          <dgm:bulletEnabled val="1"/>
        </dgm:presLayoutVars>
      </dgm:prSet>
      <dgm:spPr/>
    </dgm:pt>
    <dgm:pt modelId="{3FCE58F0-2B68-43AC-903E-F189461DCF00}" type="pres">
      <dgm:prSet presAssocID="{C1DAC2AB-3970-4EE1-8086-1D856C0DE1D7}" presName="rect1ChTx" presStyleLbl="alignAcc1" presStyleIdx="2" presStyleCnt="3" custScaleX="116891" custLinFactNeighborX="-5028" custLinFactNeighborY="1167">
        <dgm:presLayoutVars>
          <dgm:bulletEnabled val="1"/>
        </dgm:presLayoutVars>
      </dgm:prSet>
      <dgm:spPr/>
    </dgm:pt>
    <dgm:pt modelId="{6EC67573-A340-48BB-8E5E-8DF83265124A}" type="pres">
      <dgm:prSet presAssocID="{7363B66F-7AEB-4DDA-9420-814240A12060}" presName="rect2ParTx" presStyleLbl="alignAcc1" presStyleIdx="2" presStyleCnt="3">
        <dgm:presLayoutVars>
          <dgm:chMax val="1"/>
          <dgm:bulletEnabled val="1"/>
        </dgm:presLayoutVars>
      </dgm:prSet>
      <dgm:spPr/>
    </dgm:pt>
    <dgm:pt modelId="{F150BB8A-1778-4BC8-ABD0-3689A57912E8}" type="pres">
      <dgm:prSet presAssocID="{7363B66F-7AEB-4DDA-9420-814240A12060}" presName="rect2ChTx" presStyleLbl="alignAcc1" presStyleIdx="2" presStyleCnt="3" custScaleX="114136" custLinFactNeighborX="-4286" custLinFactNeighborY="2334">
        <dgm:presLayoutVars>
          <dgm:bulletEnabled val="1"/>
        </dgm:presLayoutVars>
      </dgm:prSet>
      <dgm:spPr/>
    </dgm:pt>
    <dgm:pt modelId="{119181C3-7CAA-4BD8-BEBA-54BCA50125E9}" type="pres">
      <dgm:prSet presAssocID="{AF01CD2E-1E40-4423-8AD3-691CCB2AEF02}" presName="rect3ParTx" presStyleLbl="alignAcc1" presStyleIdx="2" presStyleCnt="3">
        <dgm:presLayoutVars>
          <dgm:chMax val="1"/>
          <dgm:bulletEnabled val="1"/>
        </dgm:presLayoutVars>
      </dgm:prSet>
      <dgm:spPr/>
    </dgm:pt>
    <dgm:pt modelId="{92DA167A-1A35-4E68-80D8-30C9A7F8A67A}" type="pres">
      <dgm:prSet presAssocID="{AF01CD2E-1E40-4423-8AD3-691CCB2AEF02}" presName="rect3ChTx" presStyleLbl="alignAcc1" presStyleIdx="2" presStyleCnt="3" custScaleX="116063" custLinFactNeighborX="-4183" custLinFactNeighborY="1351">
        <dgm:presLayoutVars>
          <dgm:bulletEnabled val="1"/>
        </dgm:presLayoutVars>
      </dgm:prSet>
      <dgm:spPr/>
    </dgm:pt>
  </dgm:ptLst>
  <dgm:cxnLst>
    <dgm:cxn modelId="{39660007-BD5C-468A-84E5-7C94DF8AA568}" srcId="{2B086AB5-F7CF-40C1-AE94-1371BD733E4E}" destId="{C1DAC2AB-3970-4EE1-8086-1D856C0DE1D7}" srcOrd="0" destOrd="0" parTransId="{A85796E6-9DDF-46C3-A066-2B5218696947}" sibTransId="{386B903B-6CFD-45BC-87B3-6F8B4B629355}"/>
    <dgm:cxn modelId="{7C60020F-5044-42EB-BA7D-D05421E71FDB}" type="presOf" srcId="{7D0C5FD5-2BFB-4271-8701-3EEBAEFD3AE4}" destId="{92DA167A-1A35-4E68-80D8-30C9A7F8A67A}" srcOrd="0" destOrd="0" presId="urn:microsoft.com/office/officeart/2005/8/layout/target3"/>
    <dgm:cxn modelId="{37BF7917-8BEA-47DD-B402-D3CB1BECE42F}" type="presOf" srcId="{2B086AB5-F7CF-40C1-AE94-1371BD733E4E}" destId="{954C3911-EB85-455E-BE32-192946F7C444}" srcOrd="0" destOrd="0" presId="urn:microsoft.com/office/officeart/2005/8/layout/target3"/>
    <dgm:cxn modelId="{72B6A11D-B8E3-4637-B4C2-D9305C217214}" srcId="{7363B66F-7AEB-4DDA-9420-814240A12060}" destId="{6752465F-4BAA-4BA3-821C-B0137A5B0D95}" srcOrd="1" destOrd="0" parTransId="{60E1E9AF-BC99-45CA-B707-E1C7FB29C3DE}" sibTransId="{E634C3A5-B292-4289-B7F2-B301B90184F6}"/>
    <dgm:cxn modelId="{C3AB5927-5060-49DC-AE38-F67324AF550A}" type="presOf" srcId="{EE983063-45F3-4617-B6AD-D74645264B6A}" destId="{3FCE58F0-2B68-43AC-903E-F189461DCF00}" srcOrd="0" destOrd="0" presId="urn:microsoft.com/office/officeart/2005/8/layout/target3"/>
    <dgm:cxn modelId="{AF285833-495F-466C-9817-B209E2656C74}" type="presOf" srcId="{C1DAC2AB-3970-4EE1-8086-1D856C0DE1D7}" destId="{7F53DFF5-BF34-4D51-A7C8-E37ED8FAD7CB}" srcOrd="0" destOrd="0" presId="urn:microsoft.com/office/officeart/2005/8/layout/target3"/>
    <dgm:cxn modelId="{5EF7E45C-9FFB-475F-A745-B88BD7631F23}" srcId="{2B086AB5-F7CF-40C1-AE94-1371BD733E4E}" destId="{AF01CD2E-1E40-4423-8AD3-691CCB2AEF02}" srcOrd="2" destOrd="0" parTransId="{D4690750-CAD5-4ED9-AD3B-08A65826C419}" sibTransId="{FDD4B905-2474-4F04-ABC8-E6F8A03A465D}"/>
    <dgm:cxn modelId="{FAF3EB45-088E-4F43-8F3C-55F96A689DB1}" srcId="{C1DAC2AB-3970-4EE1-8086-1D856C0DE1D7}" destId="{EE983063-45F3-4617-B6AD-D74645264B6A}" srcOrd="0" destOrd="0" parTransId="{1C89AB4B-D62B-4C6F-B920-A9BB45F527D8}" sibTransId="{41B7FBFB-8CF2-4C23-9D1F-6266A39C8384}"/>
    <dgm:cxn modelId="{EFEBFD4F-706C-49CD-9A01-24B199D6E5D6}" type="presOf" srcId="{7363B66F-7AEB-4DDA-9420-814240A12060}" destId="{6EC67573-A340-48BB-8E5E-8DF83265124A}" srcOrd="1" destOrd="0" presId="urn:microsoft.com/office/officeart/2005/8/layout/target3"/>
    <dgm:cxn modelId="{1BEA1B93-D276-42F7-9439-7DFE1A1C5624}" type="presOf" srcId="{7363B66F-7AEB-4DDA-9420-814240A12060}" destId="{CE44035A-2580-4CDA-A42D-E60419ED32F6}" srcOrd="0" destOrd="0" presId="urn:microsoft.com/office/officeart/2005/8/layout/target3"/>
    <dgm:cxn modelId="{DE3C7699-60BA-4443-B6E1-13C3FBF5E16C}" type="presOf" srcId="{37BD3F9A-41EB-49E8-AF75-3B0AA5965711}" destId="{F150BB8A-1778-4BC8-ABD0-3689A57912E8}" srcOrd="0" destOrd="0" presId="urn:microsoft.com/office/officeart/2005/8/layout/target3"/>
    <dgm:cxn modelId="{1D4E57A0-134A-4B56-91FD-A0B4ABC53A60}" type="presOf" srcId="{C1DAC2AB-3970-4EE1-8086-1D856C0DE1D7}" destId="{1B30B606-CA0F-4D00-A3C1-F69D39ECE6C0}" srcOrd="1" destOrd="0" presId="urn:microsoft.com/office/officeart/2005/8/layout/target3"/>
    <dgm:cxn modelId="{230E49BE-5B09-4E50-B8AC-91ABBBE2C3C7}" srcId="{AF01CD2E-1E40-4423-8AD3-691CCB2AEF02}" destId="{7D0C5FD5-2BFB-4271-8701-3EEBAEFD3AE4}" srcOrd="0" destOrd="0" parTransId="{CBCB4D4F-4B20-443A-83C0-C89936D574DF}" sibTransId="{BFD5261D-B5CA-401D-B2FD-1E2193B2ABA2}"/>
    <dgm:cxn modelId="{27E9EDDD-0DC6-452E-B1B2-8C002400EC30}" srcId="{7363B66F-7AEB-4DDA-9420-814240A12060}" destId="{37BD3F9A-41EB-49E8-AF75-3B0AA5965711}" srcOrd="0" destOrd="0" parTransId="{02D555D8-D214-4DD6-A3CB-3CF757B2366E}" sibTransId="{1B10746F-AF71-4C9D-AAFD-64471F282D9E}"/>
    <dgm:cxn modelId="{1C0585E5-5C5A-4A97-AB15-D21A1ACD7810}" srcId="{2B086AB5-F7CF-40C1-AE94-1371BD733E4E}" destId="{7363B66F-7AEB-4DDA-9420-814240A12060}" srcOrd="1" destOrd="0" parTransId="{30065BFD-A026-4CD3-8230-D18E306D5882}" sibTransId="{931F0C26-EB03-4584-970F-801EE568536D}"/>
    <dgm:cxn modelId="{C0BE76E8-194B-4A96-B9AD-841AAAD95607}" type="presOf" srcId="{AF01CD2E-1E40-4423-8AD3-691CCB2AEF02}" destId="{119181C3-7CAA-4BD8-BEBA-54BCA50125E9}" srcOrd="1" destOrd="0" presId="urn:microsoft.com/office/officeart/2005/8/layout/target3"/>
    <dgm:cxn modelId="{D16383EA-BA29-4A8D-A3B3-C4F681F35DD5}" type="presOf" srcId="{AF01CD2E-1E40-4423-8AD3-691CCB2AEF02}" destId="{D6D4E2C2-31DB-47B5-B7C4-9EDD1B717CB3}" srcOrd="0" destOrd="0" presId="urn:microsoft.com/office/officeart/2005/8/layout/target3"/>
    <dgm:cxn modelId="{23698AF0-660F-4DEE-ADD9-016BE078DD58}" type="presOf" srcId="{6752465F-4BAA-4BA3-821C-B0137A5B0D95}" destId="{F150BB8A-1778-4BC8-ABD0-3689A57912E8}" srcOrd="0" destOrd="1" presId="urn:microsoft.com/office/officeart/2005/8/layout/target3"/>
    <dgm:cxn modelId="{7B93F0E5-5A2D-4BFF-9BB2-DA1AC413AABE}" type="presParOf" srcId="{954C3911-EB85-455E-BE32-192946F7C444}" destId="{DC871D5F-35D7-4346-B706-87EF673611E0}" srcOrd="0" destOrd="0" presId="urn:microsoft.com/office/officeart/2005/8/layout/target3"/>
    <dgm:cxn modelId="{0896728B-362D-4542-99B3-97A4EC6D0CF9}" type="presParOf" srcId="{954C3911-EB85-455E-BE32-192946F7C444}" destId="{9504A1CC-CB66-46E2-A660-844AAA0A8F71}" srcOrd="1" destOrd="0" presId="urn:microsoft.com/office/officeart/2005/8/layout/target3"/>
    <dgm:cxn modelId="{93F56A11-0422-4997-A55D-0F3DB6B197F9}" type="presParOf" srcId="{954C3911-EB85-455E-BE32-192946F7C444}" destId="{7F53DFF5-BF34-4D51-A7C8-E37ED8FAD7CB}" srcOrd="2" destOrd="0" presId="urn:microsoft.com/office/officeart/2005/8/layout/target3"/>
    <dgm:cxn modelId="{5BC99FE0-F836-4111-B84C-3A4F82C6149A}" type="presParOf" srcId="{954C3911-EB85-455E-BE32-192946F7C444}" destId="{CF8EC899-9195-4637-BB7C-8B7305F82974}" srcOrd="3" destOrd="0" presId="urn:microsoft.com/office/officeart/2005/8/layout/target3"/>
    <dgm:cxn modelId="{15DBDBD7-6CA6-4401-897D-F6073BA9B6A1}" type="presParOf" srcId="{954C3911-EB85-455E-BE32-192946F7C444}" destId="{5F7DB664-FA66-4450-A08C-B2A05A67634A}" srcOrd="4" destOrd="0" presId="urn:microsoft.com/office/officeart/2005/8/layout/target3"/>
    <dgm:cxn modelId="{EBEB8742-82C6-44E9-8A4D-9DFBEF6039F8}" type="presParOf" srcId="{954C3911-EB85-455E-BE32-192946F7C444}" destId="{CE44035A-2580-4CDA-A42D-E60419ED32F6}" srcOrd="5" destOrd="0" presId="urn:microsoft.com/office/officeart/2005/8/layout/target3"/>
    <dgm:cxn modelId="{656C874D-9451-4149-A858-373E52C99B87}" type="presParOf" srcId="{954C3911-EB85-455E-BE32-192946F7C444}" destId="{26608C77-C1C0-4E5B-AB5E-AFA0B3A0E5EF}" srcOrd="6" destOrd="0" presId="urn:microsoft.com/office/officeart/2005/8/layout/target3"/>
    <dgm:cxn modelId="{F6A742AC-8FC5-4804-B2E4-21A6C3D8C8E9}" type="presParOf" srcId="{954C3911-EB85-455E-BE32-192946F7C444}" destId="{A4FD945C-F074-42B7-8BF4-75A83613D4B1}" srcOrd="7" destOrd="0" presId="urn:microsoft.com/office/officeart/2005/8/layout/target3"/>
    <dgm:cxn modelId="{4F8E87FC-FEFD-4357-A70D-364046026DD3}" type="presParOf" srcId="{954C3911-EB85-455E-BE32-192946F7C444}" destId="{D6D4E2C2-31DB-47B5-B7C4-9EDD1B717CB3}" srcOrd="8" destOrd="0" presId="urn:microsoft.com/office/officeart/2005/8/layout/target3"/>
    <dgm:cxn modelId="{418FDC0F-5E9E-4A99-B550-0740351303C9}" type="presParOf" srcId="{954C3911-EB85-455E-BE32-192946F7C444}" destId="{1B30B606-CA0F-4D00-A3C1-F69D39ECE6C0}" srcOrd="9" destOrd="0" presId="urn:microsoft.com/office/officeart/2005/8/layout/target3"/>
    <dgm:cxn modelId="{69A4B440-2301-459C-8526-B67029648FDF}" type="presParOf" srcId="{954C3911-EB85-455E-BE32-192946F7C444}" destId="{3FCE58F0-2B68-43AC-903E-F189461DCF00}" srcOrd="10" destOrd="0" presId="urn:microsoft.com/office/officeart/2005/8/layout/target3"/>
    <dgm:cxn modelId="{008DE6D1-5164-44CE-B5F4-FB47BE58D2FD}" type="presParOf" srcId="{954C3911-EB85-455E-BE32-192946F7C444}" destId="{6EC67573-A340-48BB-8E5E-8DF83265124A}" srcOrd="11" destOrd="0" presId="urn:microsoft.com/office/officeart/2005/8/layout/target3"/>
    <dgm:cxn modelId="{F2B98007-8363-486E-8E7A-6BD18BEE1E60}" type="presParOf" srcId="{954C3911-EB85-455E-BE32-192946F7C444}" destId="{F150BB8A-1778-4BC8-ABD0-3689A57912E8}" srcOrd="12" destOrd="0" presId="urn:microsoft.com/office/officeart/2005/8/layout/target3"/>
    <dgm:cxn modelId="{60FD5295-4636-4790-8DE1-5B8CB4CAFC21}" type="presParOf" srcId="{954C3911-EB85-455E-BE32-192946F7C444}" destId="{119181C3-7CAA-4BD8-BEBA-54BCA50125E9}" srcOrd="13" destOrd="0" presId="urn:microsoft.com/office/officeart/2005/8/layout/target3"/>
    <dgm:cxn modelId="{2BB7ECB2-9497-41BD-B324-BEF4B9CED581}" type="presParOf" srcId="{954C3911-EB85-455E-BE32-192946F7C444}" destId="{92DA167A-1A35-4E68-80D8-30C9A7F8A67A}" srcOrd="14" destOrd="0" presId="urn:microsoft.com/office/officeart/2005/8/layout/target3"/>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C871D5F-35D7-4346-B706-87EF673611E0}">
      <dsp:nvSpPr>
        <dsp:cNvPr id="0" name=""/>
        <dsp:cNvSpPr/>
      </dsp:nvSpPr>
      <dsp:spPr>
        <a:xfrm>
          <a:off x="-93475" y="0"/>
          <a:ext cx="2720340" cy="2720340"/>
        </a:xfrm>
        <a:prstGeom prst="pie">
          <a:avLst>
            <a:gd name="adj1" fmla="val 5400000"/>
            <a:gd name="adj2" fmla="val 162000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7F53DFF5-BF34-4D51-A7C8-E37ED8FAD7CB}">
      <dsp:nvSpPr>
        <dsp:cNvPr id="0" name=""/>
        <dsp:cNvSpPr/>
      </dsp:nvSpPr>
      <dsp:spPr>
        <a:xfrm>
          <a:off x="1266694" y="0"/>
          <a:ext cx="4427220" cy="2720340"/>
        </a:xfrm>
        <a:prstGeom prst="rect">
          <a:avLst/>
        </a:prstGeom>
        <a:solidFill>
          <a:schemeClr val="lt1">
            <a:alpha val="90000"/>
            <a:hueOff val="0"/>
            <a:satOff val="0"/>
            <a:lumOff val="0"/>
            <a:alphaOff val="0"/>
          </a:schemeClr>
        </a:solidFill>
        <a:ln w="25400" cap="flat" cmpd="sng" algn="ctr">
          <a:solidFill>
            <a:schemeClr val="accent4">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lang="en-US" sz="1400" kern="1200"/>
            <a:t> Primary Legislation</a:t>
          </a:r>
        </a:p>
      </dsp:txBody>
      <dsp:txXfrm>
        <a:off x="1266694" y="0"/>
        <a:ext cx="2213610" cy="816103"/>
      </dsp:txXfrm>
    </dsp:sp>
    <dsp:sp modelId="{5F7DB664-FA66-4450-A08C-B2A05A67634A}">
      <dsp:nvSpPr>
        <dsp:cNvPr id="0" name=""/>
        <dsp:cNvSpPr/>
      </dsp:nvSpPr>
      <dsp:spPr>
        <a:xfrm>
          <a:off x="382585" y="816103"/>
          <a:ext cx="1768219" cy="1768219"/>
        </a:xfrm>
        <a:prstGeom prst="pie">
          <a:avLst>
            <a:gd name="adj1" fmla="val 5400000"/>
            <a:gd name="adj2" fmla="val 16200000"/>
          </a:avLst>
        </a:prstGeom>
        <a:solidFill>
          <a:schemeClr val="accent4">
            <a:hueOff val="-4232631"/>
            <a:satOff val="8528"/>
            <a:lumOff val="393"/>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CE44035A-2580-4CDA-A42D-E60419ED32F6}">
      <dsp:nvSpPr>
        <dsp:cNvPr id="0" name=""/>
        <dsp:cNvSpPr/>
      </dsp:nvSpPr>
      <dsp:spPr>
        <a:xfrm>
          <a:off x="1266694" y="816103"/>
          <a:ext cx="4427220" cy="1768219"/>
        </a:xfrm>
        <a:prstGeom prst="rect">
          <a:avLst/>
        </a:prstGeom>
        <a:solidFill>
          <a:schemeClr val="lt1">
            <a:alpha val="90000"/>
            <a:hueOff val="0"/>
            <a:satOff val="0"/>
            <a:lumOff val="0"/>
            <a:alphaOff val="0"/>
          </a:schemeClr>
        </a:solidFill>
        <a:ln w="25400" cap="flat" cmpd="sng" algn="ctr">
          <a:solidFill>
            <a:schemeClr val="accent4">
              <a:hueOff val="-4232631"/>
              <a:satOff val="8528"/>
              <a:lumOff val="393"/>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lang="en-US" sz="1400" kern="1200"/>
            <a:t> Secondary Legislation </a:t>
          </a:r>
          <a:br>
            <a:rPr lang="en-US" sz="1400" kern="1200"/>
          </a:br>
          <a:r>
            <a:rPr lang="en-US" sz="1400" kern="1200"/>
            <a:t> (as made from </a:t>
          </a:r>
          <a:br>
            <a:rPr lang="en-US" sz="1400" kern="1200"/>
          </a:br>
          <a:r>
            <a:rPr lang="en-US" sz="1400" kern="1200"/>
            <a:t> time-to-time)</a:t>
          </a:r>
        </a:p>
      </dsp:txBody>
      <dsp:txXfrm>
        <a:off x="1266694" y="816103"/>
        <a:ext cx="2213610" cy="816101"/>
      </dsp:txXfrm>
    </dsp:sp>
    <dsp:sp modelId="{A4FD945C-F074-42B7-8BF4-75A83613D4B1}">
      <dsp:nvSpPr>
        <dsp:cNvPr id="0" name=""/>
        <dsp:cNvSpPr/>
      </dsp:nvSpPr>
      <dsp:spPr>
        <a:xfrm>
          <a:off x="858644" y="1632204"/>
          <a:ext cx="816101" cy="816101"/>
        </a:xfrm>
        <a:prstGeom prst="pie">
          <a:avLst>
            <a:gd name="adj1" fmla="val 5400000"/>
            <a:gd name="adj2" fmla="val 16200000"/>
          </a:avLst>
        </a:prstGeom>
        <a:solidFill>
          <a:schemeClr val="accent4">
            <a:hueOff val="-8465262"/>
            <a:satOff val="17056"/>
            <a:lumOff val="785"/>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6D4E2C2-31DB-47B5-B7C4-9EDD1B717CB3}">
      <dsp:nvSpPr>
        <dsp:cNvPr id="0" name=""/>
        <dsp:cNvSpPr/>
      </dsp:nvSpPr>
      <dsp:spPr>
        <a:xfrm>
          <a:off x="1266694" y="1632204"/>
          <a:ext cx="4427220" cy="816101"/>
        </a:xfrm>
        <a:prstGeom prst="rect">
          <a:avLst/>
        </a:prstGeom>
        <a:solidFill>
          <a:schemeClr val="lt1">
            <a:alpha val="90000"/>
            <a:hueOff val="0"/>
            <a:satOff val="0"/>
            <a:lumOff val="0"/>
            <a:alphaOff val="0"/>
          </a:schemeClr>
        </a:solidFill>
        <a:ln w="25400" cap="flat" cmpd="sng" algn="ctr">
          <a:solidFill>
            <a:schemeClr val="accent4">
              <a:hueOff val="-8465262"/>
              <a:satOff val="17056"/>
              <a:lumOff val="785"/>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3340" tIns="53340" rIns="53340" bIns="53340" numCol="1" spcCol="1270" anchor="ctr" anchorCtr="0">
          <a:noAutofit/>
        </a:bodyPr>
        <a:lstStyle/>
        <a:p>
          <a:pPr marL="0" lvl="0" indent="0" algn="l" defTabSz="622300">
            <a:lnSpc>
              <a:spcPct val="90000"/>
            </a:lnSpc>
            <a:spcBef>
              <a:spcPct val="0"/>
            </a:spcBef>
            <a:spcAft>
              <a:spcPct val="35000"/>
            </a:spcAft>
            <a:buNone/>
          </a:pPr>
          <a:r>
            <a:rPr lang="en-US" sz="1400" b="0" kern="1200"/>
            <a:t> Policy / Guidance</a:t>
          </a:r>
        </a:p>
      </dsp:txBody>
      <dsp:txXfrm>
        <a:off x="1266694" y="1632204"/>
        <a:ext cx="2213610" cy="816101"/>
      </dsp:txXfrm>
    </dsp:sp>
    <dsp:sp modelId="{3FCE58F0-2B68-43AC-903E-F189461DCF00}">
      <dsp:nvSpPr>
        <dsp:cNvPr id="0" name=""/>
        <dsp:cNvSpPr/>
      </dsp:nvSpPr>
      <dsp:spPr>
        <a:xfrm>
          <a:off x="3182054" y="9523"/>
          <a:ext cx="2587510" cy="816103"/>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247650" tIns="247650" rIns="247650" bIns="247650" numCol="1" spcCol="1270" anchor="ctr" anchorCtr="0">
          <a:noAutofit/>
        </a:bodyPr>
        <a:lstStyle/>
        <a:p>
          <a:pPr marL="57150" lvl="1" indent="-57150" algn="l" defTabSz="444500">
            <a:lnSpc>
              <a:spcPct val="90000"/>
            </a:lnSpc>
            <a:spcBef>
              <a:spcPct val="0"/>
            </a:spcBef>
            <a:spcAft>
              <a:spcPct val="15000"/>
            </a:spcAft>
            <a:buChar char="•"/>
          </a:pPr>
          <a:r>
            <a:rPr lang="en-AU" sz="1000" i="1" kern="1200"/>
            <a:t> Private Health Insurance Act 2007</a:t>
          </a:r>
          <a:endParaRPr lang="en-US" sz="1000" i="1" kern="1200"/>
        </a:p>
      </dsp:txBody>
      <dsp:txXfrm>
        <a:off x="3182054" y="9523"/>
        <a:ext cx="2587510" cy="816103"/>
      </dsp:txXfrm>
    </dsp:sp>
    <dsp:sp modelId="{F150BB8A-1778-4BC8-ABD0-3689A57912E8}">
      <dsp:nvSpPr>
        <dsp:cNvPr id="0" name=""/>
        <dsp:cNvSpPr/>
      </dsp:nvSpPr>
      <dsp:spPr>
        <a:xfrm>
          <a:off x="3228971" y="835151"/>
          <a:ext cx="2526525" cy="816101"/>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247650" tIns="247650" rIns="247650" bIns="247650" numCol="1" spcCol="1270" anchor="ctr" anchorCtr="0">
          <a:noAutofit/>
        </a:bodyPr>
        <a:lstStyle/>
        <a:p>
          <a:pPr marL="57150" lvl="1" indent="-57150" algn="l" defTabSz="444500">
            <a:lnSpc>
              <a:spcPct val="90000"/>
            </a:lnSpc>
            <a:spcBef>
              <a:spcPct val="0"/>
            </a:spcBef>
            <a:spcAft>
              <a:spcPct val="15000"/>
            </a:spcAft>
            <a:buChar char="•"/>
          </a:pPr>
          <a:r>
            <a:rPr lang="en-AU" sz="1000" i="1" kern="1200"/>
            <a:t> Private Health Insurance (Medical Devices and Human Tissue  Products) Rules</a:t>
          </a:r>
          <a:endParaRPr lang="en-US" sz="1000" kern="1200"/>
        </a:p>
        <a:p>
          <a:pPr marL="57150" lvl="1" indent="-57150" algn="l" defTabSz="444500">
            <a:lnSpc>
              <a:spcPct val="90000"/>
            </a:lnSpc>
            <a:spcBef>
              <a:spcPct val="0"/>
            </a:spcBef>
            <a:spcAft>
              <a:spcPct val="15000"/>
            </a:spcAft>
            <a:buChar char="•"/>
          </a:pPr>
          <a:r>
            <a:rPr lang="en-AU" sz="1000" i="1" kern="1200"/>
            <a:t> Private Health Insurance (Complying Products) Rules 2015</a:t>
          </a:r>
        </a:p>
      </dsp:txBody>
      <dsp:txXfrm>
        <a:off x="3228971" y="835151"/>
        <a:ext cx="2526525" cy="816101"/>
      </dsp:txXfrm>
    </dsp:sp>
    <dsp:sp modelId="{92DA167A-1A35-4E68-80D8-30C9A7F8A67A}">
      <dsp:nvSpPr>
        <dsp:cNvPr id="0" name=""/>
        <dsp:cNvSpPr/>
      </dsp:nvSpPr>
      <dsp:spPr>
        <a:xfrm>
          <a:off x="3209923" y="1643230"/>
          <a:ext cx="2569182" cy="816101"/>
        </a:xfrm>
        <a:prstGeom prst="rect">
          <a:avLst/>
        </a:prstGeom>
        <a:noFill/>
        <a:ln w="25400" cap="flat" cmpd="sng" algn="ctr">
          <a:noFill/>
          <a:prstDash val="solid"/>
        </a:ln>
        <a:effectLst/>
        <a:sp3d/>
      </dsp:spPr>
      <dsp:style>
        <a:lnRef idx="2">
          <a:scrgbClr r="0" g="0" b="0"/>
        </a:lnRef>
        <a:fillRef idx="1">
          <a:scrgbClr r="0" g="0" b="0"/>
        </a:fillRef>
        <a:effectRef idx="0">
          <a:scrgbClr r="0" g="0" b="0"/>
        </a:effectRef>
        <a:fontRef idx="minor"/>
      </dsp:style>
      <dsp:txBody>
        <a:bodyPr spcFirstLastPara="0" vert="horz" wrap="square" lIns="247650" tIns="247650" rIns="247650" bIns="247650" numCol="1" spcCol="1270" anchor="ctr" anchorCtr="0">
          <a:noAutofit/>
        </a:bodyPr>
        <a:lstStyle/>
        <a:p>
          <a:pPr marL="57150" lvl="1" indent="-57150" algn="l" defTabSz="444500">
            <a:lnSpc>
              <a:spcPct val="90000"/>
            </a:lnSpc>
            <a:spcBef>
              <a:spcPct val="0"/>
            </a:spcBef>
            <a:spcAft>
              <a:spcPct val="15000"/>
            </a:spcAft>
            <a:buChar char="•"/>
          </a:pPr>
          <a:r>
            <a:rPr lang="en-US" sz="1000" b="0" kern="1200"/>
            <a:t> The Prescribed List of Medical Devices and Human Tissue Products Guide</a:t>
          </a:r>
        </a:p>
      </dsp:txBody>
      <dsp:txXfrm>
        <a:off x="3209923" y="1643230"/>
        <a:ext cx="2569182" cy="816101"/>
      </dsp:txXfrm>
    </dsp:sp>
  </dsp:spTree>
</dsp:drawing>
</file>

<file path=word/diagrams/layout1.xml><?xml version="1.0" encoding="utf-8"?>
<dgm:layoutDef xmlns:dgm="http://schemas.openxmlformats.org/drawingml/2006/diagram" xmlns:a="http://schemas.openxmlformats.org/drawingml/2006/main" uniqueId="urn:microsoft.com/office/officeart/2005/8/layout/target3">
  <dgm:title val=""/>
  <dgm:desc val=""/>
  <dgm:catLst>
    <dgm:cat type="relationship" pri="11000"/>
    <dgm:cat type="list" pri="22000"/>
    <dgm:cat type="convert"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ampData>
  <dgm:styleData>
    <dgm:dataModel>
      <dgm:ptLst>
        <dgm:pt modelId="0" type="doc"/>
        <dgm:pt modelId="1"/>
        <dgm:pt modelId="11"/>
        <dgm:pt modelId="12"/>
        <dgm:pt modelId="2"/>
        <dgm:pt modelId="21"/>
        <dgm:pt modelId="22"/>
        <dgm:pt modelId="3"/>
        <dgm:pt modelId="31"/>
        <dgm:pt modelId="32"/>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styleData>
  <dgm:clrData>
    <dgm:dataModel>
      <dgm:ptLst>
        <dgm:pt modelId="0" type="doc"/>
        <dgm:pt modelId="1"/>
        <dgm:pt modelId="11"/>
        <dgm:pt modelId="12"/>
        <dgm:pt modelId="2"/>
        <dgm:pt modelId="21"/>
        <dgm:pt modelId="22"/>
        <dgm:pt modelId="3"/>
        <dgm:pt modelId="31"/>
        <dgm:pt modelId="32"/>
      </dgm:ptLst>
      <dgm:cxnLst>
        <dgm:cxn modelId="4" srcId="0" destId="1" srcOrd="0" destOrd="0"/>
        <dgm:cxn modelId="5" srcId="0" destId="2" srcOrd="1" destOrd="0"/>
        <dgm:cxn modelId="6" srcId="0" destId="3" srcOrd="2" destOrd="0"/>
        <dgm:cxn modelId="41" srcId="1" destId="11" srcOrd="0" destOrd="0"/>
        <dgm:cxn modelId="42" srcId="1" destId="12" srcOrd="1" destOrd="0"/>
        <dgm:cxn modelId="51" srcId="2" destId="21" srcOrd="0" destOrd="0"/>
        <dgm:cxn modelId="52" srcId="2" destId="22" srcOrd="1" destOrd="0"/>
        <dgm:cxn modelId="61" srcId="3" destId="31" srcOrd="0" destOrd="0"/>
        <dgm:cxn modelId="62" srcId="3" destId="32" srcOrd="1" destOrd="0"/>
      </dgm:cxnLst>
      <dgm:bg/>
      <dgm:whole/>
    </dgm:dataModel>
  </dgm:clrData>
  <dgm:layoutNode name="Name0">
    <dgm:varLst>
      <dgm:chMax val="7"/>
      <dgm:dir/>
      <dgm:animLvl val="lvl"/>
      <dgm:resizeHandles val="exact"/>
    </dgm:varLst>
    <dgm:alg type="composite"/>
    <dgm:shape xmlns:r="http://schemas.openxmlformats.org/officeDocument/2006/relationships" r:blip="">
      <dgm:adjLst/>
    </dgm:shape>
    <dgm:presOf/>
    <dgm:choose name="Name1">
      <dgm:if name="Name2" func="var" arg="dir" op="equ" val="norm">
        <dgm:choose name="Name3">
          <dgm:if name="Name4" axis="ch" ptType="node" func="cnt" op="equ" val="1">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rect1ParTx" refType="r" refFor="ch" refForName="space"/>
              <dgm:constr type="w" for="ch" forName="rect1ParTx" refType="w" refFor="ch" refForName="rect1" fact="0.5"/>
              <dgm:constr type="t" for="ch" forName="rect1ParTx" refType="t" refFor="ch" refForName="rect1"/>
              <dgm:constr type="b" for="ch" forName="rect1ParTx" refType="b" refFor="ch" refForName="rect1"/>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b" refFor="ch" refForName="rect1"/>
              <dgm:constr type="primFontSz" for="ch" op="equ" val="65"/>
              <dgm:constr type="secFontSz" for="ch" op="equ" val="65"/>
            </dgm:constrLst>
          </dgm:if>
          <dgm:if name="Name5" axis="ch" ptType="node" func="cnt" op="equ" val="2">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5"/>
              <dgm:constr type="hOff" for="ch" forName="circle2" refType="h" refFor="ch" refForName="vertSpace2" fact="-0.5"/>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rect2ParTx" refType="r" refFor="ch" refForName="space"/>
              <dgm:constr type="w" for="ch" forName="rect2ParTx" refType="w" refFor="ch" refForName="rect2" fact="0.5"/>
              <dgm:constr type="t" for="ch" forName="rect2ParTx" refType="t" refFor="ch" refForName="rect2"/>
              <dgm:constr type="b" for="ch" forName="rect2ParTx" refType="b" refFor="ch" refForName="rect2"/>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b" refFor="ch" refForName="rect2"/>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primFontSz" for="ch" op="equ" val="65"/>
              <dgm:constr type="secFontSz" for="ch" op="equ" val="65"/>
            </dgm:constrLst>
          </dgm:if>
          <dgm:if name="Name6" axis="ch" ptType="node" func="cnt" op="equ" val="3">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66667"/>
              <dgm:constr type="hOff" for="ch" forName="circle2" refType="h" refFor="ch" refForName="vertSpace2" fact="-0.33333"/>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33333"/>
              <dgm:constr type="hOff" for="ch" forName="circle3" refType="h" refFor="ch" refForName="vertSpace2" fact="-0.66667"/>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rect3ParTx" refType="r" refFor="ch" refForName="space"/>
              <dgm:constr type="w" for="ch" forName="rect3ParTx" refType="w" refFor="ch" refForName="rect3" fact="0.5"/>
              <dgm:constr type="t" for="ch" forName="rect3ParTx" refType="t" refFor="ch" refForName="rect3"/>
              <dgm:constr type="b" for="ch" forName="rect3ParTx" refType="b" refFor="ch" refForName="rect3"/>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b" refFor="ch" refForName="rect3"/>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primFontSz" for="ch" op="equ" val="65"/>
              <dgm:constr type="secFontSz" for="ch" op="equ" val="65"/>
            </dgm:constrLst>
          </dgm:if>
          <dgm:if name="Name7" axis="ch" ptType="node" func="cnt" op="equ" val="4">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75"/>
              <dgm:constr type="hOff" for="ch" forName="circle2" refType="h" refFor="ch" refForName="vertSpace2" fact="-0.25"/>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5"/>
              <dgm:constr type="hOff" for="ch" forName="circle3" refType="h" refFor="ch" refForName="vertSpace2" fact="-0.5"/>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25"/>
              <dgm:constr type="hOff" for="ch" forName="circle4" refType="h" refFor="ch" refForName="vertSpace2" fact="-0.75"/>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rect4ParTx" refType="r" refFor="ch" refForName="space"/>
              <dgm:constr type="w" for="ch" forName="rect4ParTx" refType="w" refFor="ch" refForName="rect4" fact="0.5"/>
              <dgm:constr type="t" for="ch" forName="rect4ParTx" refType="t" refFor="ch" refForName="rect4"/>
              <dgm:constr type="b" for="ch" forName="rect4ParTx" refType="b" refFor="ch" refForName="rect4"/>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b" refFor="ch" refForName="rect4"/>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primFontSz" for="ch" op="equ" val="65"/>
              <dgm:constr type="secFontSz" for="ch" op="equ" val="65"/>
            </dgm:constrLst>
          </dgm:if>
          <dgm:if name="Name8" axis="ch" ptType="node" func="cnt" op="equ" val="5">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
              <dgm:constr type="hOff" for="ch" forName="circle2" refType="h" refFor="ch" refForName="vertSpace2" fact="-0.2"/>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6"/>
              <dgm:constr type="hOff" for="ch" forName="circle3" refType="h" refFor="ch" refForName="vertSpace2" fact="-0.4"/>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4"/>
              <dgm:constr type="hOff" for="ch" forName="circle4" refType="h" refFor="ch" refForName="vertSpace2" fact="-0.6"/>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2"/>
              <dgm:constr type="hOff" for="ch" forName="circle5" refType="h" refFor="ch" refForName="vertSpace2" fact="-0.8"/>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rect5ParTx" refType="r" refFor="ch" refForName="space"/>
              <dgm:constr type="w" for="ch" forName="rect5ParTx" refType="w" refFor="ch" refForName="rect5" fact="0.5"/>
              <dgm:constr type="t" for="ch" forName="rect5ParTx" refType="t" refFor="ch" refForName="rect5"/>
              <dgm:constr type="b" for="ch" forName="rect5ParTx" refType="b" refFor="ch" refForName="rect5"/>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b" refFor="ch" refForName="rect5"/>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primFontSz" for="ch" op="equ" val="65"/>
              <dgm:constr type="secFontSz" for="ch" op="equ" val="65"/>
            </dgm:constrLst>
          </dgm:if>
          <dgm:if name="Name9" axis="ch" ptType="node" func="cnt" op="equ" val="6">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3333"/>
              <dgm:constr type="hOff" for="ch" forName="circle2" refType="h" refFor="ch" refForName="vertSpace2" fact="-0.16667"/>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66667"/>
              <dgm:constr type="hOff" for="ch" forName="circle3" refType="h" refFor="ch" refForName="vertSpace2" fact="-0.33333"/>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5"/>
              <dgm:constr type="hOff" for="ch" forName="circle4" refType="h" refFor="ch" refForName="vertSpace2" fact="-0.5"/>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33333"/>
              <dgm:constr type="hOff" for="ch" forName="circle5" refType="h" refFor="ch" refForName="vertSpace2" fact="-0.66667"/>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l" refFor="ch" refForName="space"/>
              <dgm:constr type="h" for="ch" forName="circle6" refType="h" refFor="ch" refForName="circle1" fact="0.16667"/>
              <dgm:constr type="hOff" for="ch" forName="circle6" refType="h" refFor="ch" refForName="vertSpace2" fact="-0.83333"/>
              <dgm:constr type="w" for="ch" forName="circle6" refType="h" refFor="ch" refForName="circle6" op="equ"/>
              <dgm:constr type="wOff" for="ch" forName="circle6" refType="hOff" refFor="ch" refForName="circle6" op="equ"/>
              <dgm:constr type="b" for="ch" forName="circle6" refType="t" refFor="ch" refForName="vertSpace6"/>
              <dgm:constr type="l" for="ch" forName="rect6" refType="r" refFor="ch" refForName="space"/>
              <dgm:constr type="r" for="ch" forName="rect6" refType="w"/>
              <dgm:constr type="h" for="ch" forName="rect6" refType="h" refFor="ch" refForName="circle6"/>
              <dgm:constr type="hOff" for="ch" forName="rect6" refType="hOff" refFor="ch" refForName="circle6"/>
              <dgm:constr type="b" for="ch" forName="rect6" refType="b" refFor="ch" refForName="circle6"/>
              <dgm:constr type="l" for="ch" forName="rect6ParTx" refType="r" refFor="ch" refForName="space"/>
              <dgm:constr type="w" for="ch" forName="rect6ParTx" refType="w" refFor="ch" refForName="rect6" fact="0.5"/>
              <dgm:constr type="t" for="ch" forName="rect6ParTx" refType="t" refFor="ch" refForName="rect6"/>
              <dgm:constr type="b" for="ch" forName="rect6ParTx" refType="b" refFor="ch" refForName="rect6"/>
              <dgm:constr type="l" for="ch" forName="rect6ChTx" refType="r" refFor="ch" refForName="rect6ParTx"/>
              <dgm:constr type="w" for="ch" forName="rect6ChTx" refType="w" refFor="ch" refForName="rect6ParTx"/>
              <dgm:constr type="t" for="ch" forName="rect6ChTx" refType="t" refFor="ch" refForName="rect6ParTx"/>
              <dgm:constr type="b" for="ch" forName="rect6ChTx" refType="b" refFor="ch" refForName="rect6ParTx"/>
              <dgm:constr type="l" for="ch" forName="rect6ParTxNoCh" refType="r" refFor="ch" refForName="space"/>
              <dgm:constr type="w" for="ch" forName="rect6ParTxNoCh" refType="w" refFor="ch" refForName="rect6"/>
              <dgm:constr type="t" for="ch" forName="rect6ParTxNoCh" refType="t" refFor="ch" refForName="rect6"/>
              <dgm:constr type="b" for="ch" forName="rect6ParTxNoCh" refType="b" refFor="ch" refForName="rect6"/>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l" for="ch" forName="rect5ParTx" refType="r" refFor="ch" refForName="space"/>
              <dgm:constr type="w" for="ch" forName="rect5ParTx" refType="w" refFor="ch" refForName="rect5" fact="0.5"/>
              <dgm:constr type="t" for="ch" forName="rect5ParTx" refType="t" refFor="ch" refForName="rect5"/>
              <dgm:constr type="b" for="ch" forName="rect5ParTx" refType="t" refFor="ch" refForName="rect6"/>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t" refFor="ch" refForName="rect6"/>
              <dgm:constr type="primFontSz" for="ch" op="equ" val="65"/>
              <dgm:constr type="secFontSz" for="ch" op="equ" val="65"/>
            </dgm:constrLst>
          </dgm:if>
          <dgm:if name="Name10" axis="ch" ptType="node" func="cnt" op="gte" val="7">
            <dgm:constrLst>
              <dgm:constr type="userA" refType="w" fact="0.3"/>
              <dgm:constr type="w" for="ch" forName="circle1" refType="userA" fact="2"/>
              <dgm:constr type="h" for="ch" forName="circle1" refType="w" refFor="ch" refForName="circle1" op="equ"/>
              <dgm:constr type="l" for="ch" forName="circle1"/>
              <dgm:constr type="ctrY" for="ch" forName="circle1" refType="h" fact="0.5"/>
              <dgm:constr type="l" for="ch" forName="space" refType="ctrX" refFor="ch" refForName="circle1"/>
              <dgm:constr type="w" for="ch" forName="space"/>
              <dgm:constr type="h" for="ch" forName="space" refType="h" refFor="ch" refForName="circle1"/>
              <dgm:constr type="b" for="ch" forName="space" refType="b" refFor="ch" refForName="circle1"/>
              <dgm:constr type="l" for="ch" forName="rect1" refType="r" refFor="ch" refForName="space"/>
              <dgm:constr type="r" for="ch" forName="rect1" refType="w"/>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l" refFor="ch" refForName="space"/>
              <dgm:constr type="h" for="ch" forName="circle2" refType="h" refFor="ch" refForName="circle1" fact="0.85714"/>
              <dgm:constr type="hOff" for="ch" forName="circle2" refType="h" refFor="ch" refForName="vertSpace2" fact="-0.14286"/>
              <dgm:constr type="w" for="ch" forName="circle2" refType="h" refFor="ch" refForName="circle2" op="equ"/>
              <dgm:constr type="wOff" for="ch" forName="circle2" refType="hOff" refFor="ch" refForName="circle2" op="equ"/>
              <dgm:constr type="b" for="ch" forName="circle2" refType="t" refFor="ch" refForName="vertSpace2"/>
              <dgm:constr type="l" for="ch" forName="rect2" refType="r" refFor="ch" refForName="space"/>
              <dgm:constr type="r" for="ch" forName="rect2" refType="w"/>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l" refFor="ch" refForName="space"/>
              <dgm:constr type="h" for="ch" forName="circle3" refType="h" refFor="ch" refForName="circle1" fact="0.71429"/>
              <dgm:constr type="hOff" for="ch" forName="circle3" refType="h" refFor="ch" refForName="vertSpace2" fact="-0.28571"/>
              <dgm:constr type="w" for="ch" forName="circle3" refType="h" refFor="ch" refForName="circle3" op="equ"/>
              <dgm:constr type="wOff" for="ch" forName="circle3" refType="hOff" refFor="ch" refForName="circle3" op="equ"/>
              <dgm:constr type="b" for="ch" forName="circle3" refType="t" refFor="ch" refForName="vertSpace3"/>
              <dgm:constr type="l" for="ch" forName="rect3" refType="r" refFor="ch" refForName="space"/>
              <dgm:constr type="r" for="ch" forName="rect3" refType="w"/>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l" refFor="ch" refForName="space"/>
              <dgm:constr type="h" for="ch" forName="circle4" refType="h" refFor="ch" refForName="circle1" fact="0.57143"/>
              <dgm:constr type="hOff" for="ch" forName="circle4" refType="h" refFor="ch" refForName="vertSpace2" fact="-0.42857"/>
              <dgm:constr type="w" for="ch" forName="circle4" refType="h" refFor="ch" refForName="circle4" op="equ"/>
              <dgm:constr type="wOff" for="ch" forName="circle4" refType="hOff" refFor="ch" refForName="circle4" op="equ"/>
              <dgm:constr type="b" for="ch" forName="circle4" refType="t" refFor="ch" refForName="vertSpace4"/>
              <dgm:constr type="l" for="ch" forName="rect4" refType="r" refFor="ch" refForName="space"/>
              <dgm:constr type="r" for="ch" forName="rect4" refType="w"/>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l" refFor="ch" refForName="space"/>
              <dgm:constr type="h" for="ch" forName="circle5" refType="h" refFor="ch" refForName="circle1" fact="0.42857"/>
              <dgm:constr type="hOff" for="ch" forName="circle5" refType="h" refFor="ch" refForName="vertSpace2" fact="-0.57143"/>
              <dgm:constr type="w" for="ch" forName="circle5" refType="h" refFor="ch" refForName="circle5" op="equ"/>
              <dgm:constr type="wOff" for="ch" forName="circle5" refType="hOff" refFor="ch" refForName="circle5" op="equ"/>
              <dgm:constr type="b" for="ch" forName="circle5" refType="t" refFor="ch" refForName="vertSpace5"/>
              <dgm:constr type="l" for="ch" forName="rect5" refType="r" refFor="ch" refForName="space"/>
              <dgm:constr type="r" for="ch" forName="rect5" refType="w"/>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l" refFor="ch" refForName="space"/>
              <dgm:constr type="h" for="ch" forName="circle6" refType="h" refFor="ch" refForName="circle1" fact="0.28571"/>
              <dgm:constr type="hOff" for="ch" forName="circle6" refType="h" refFor="ch" refForName="vertSpace2" fact="-0.71429"/>
              <dgm:constr type="w" for="ch" forName="circle6" refType="h" refFor="ch" refForName="circle6" op="equ"/>
              <dgm:constr type="wOff" for="ch" forName="circle6" refType="hOff" refFor="ch" refForName="circle6" op="equ"/>
              <dgm:constr type="b" for="ch" forName="circle6" refType="t" refFor="ch" refForName="vertSpace6"/>
              <dgm:constr type="l" for="ch" forName="rect6" refType="r" refFor="ch" refForName="space"/>
              <dgm:constr type="r" for="ch" forName="rect6" refType="w"/>
              <dgm:constr type="h" for="ch" forName="rect6" refType="h" refFor="ch" refForName="circle6"/>
              <dgm:constr type="hOff" for="ch" forName="rect6" refType="hOff" refFor="ch" refForName="circle6"/>
              <dgm:constr type="b" for="ch" forName="rect6" refType="b" refFor="ch" refForName="circle6"/>
              <dgm:constr type="l" for="ch" forName="vertSpace7"/>
              <dgm:constr type="w" for="ch" forName="vertSpace7" refType="w"/>
              <dgm:constr type="h" for="ch" forName="vertSpace7" refType="h" refFor="ch" refForName="vertSpace6"/>
              <dgm:constr type="b" for="ch" forName="vertSpace7" refType="t" refFor="ch" refForName="vertSpace6"/>
              <dgm:constr type="ctrX" for="ch" forName="circle7" refType="l" refFor="ch" refForName="space"/>
              <dgm:constr type="h" for="ch" forName="circle7" refType="h" refFor="ch" refForName="circle1" fact="0.14286"/>
              <dgm:constr type="hOff" for="ch" forName="circle7" refType="h" refFor="ch" refForName="vertSpace2" fact="-0.85714"/>
              <dgm:constr type="w" for="ch" forName="circle7" refType="h" refFor="ch" refForName="circle7" op="equ"/>
              <dgm:constr type="wOff" for="ch" forName="circle7" refType="hOff" refFor="ch" refForName="circle7" op="equ"/>
              <dgm:constr type="b" for="ch" forName="circle7" refType="t" refFor="ch" refForName="vertSpace7"/>
              <dgm:constr type="l" for="ch" forName="rect7" refType="r" refFor="ch" refForName="space"/>
              <dgm:constr type="r" for="ch" forName="rect7" refType="w"/>
              <dgm:constr type="h" for="ch" forName="rect7" refType="h" refFor="ch" refForName="circle7"/>
              <dgm:constr type="hOff" for="ch" forName="rect7" refType="hOff" refFor="ch" refForName="circle7"/>
              <dgm:constr type="b" for="ch" forName="rect7" refType="b" refFor="ch" refForName="circle7"/>
              <dgm:constr type="l" for="ch" forName="rect7ParTx" refType="r" refFor="ch" refForName="space"/>
              <dgm:constr type="w" for="ch" forName="rect7ParTx" refType="w" refFor="ch" refForName="rect7" fact="0.5"/>
              <dgm:constr type="t" for="ch" forName="rect7ParTx" refType="t" refFor="ch" refForName="rect7"/>
              <dgm:constr type="b" for="ch" forName="rect7ParTx" refType="b" refFor="ch" refForName="rect7"/>
              <dgm:constr type="l" for="ch" forName="rect7ChTx" refType="r" refFor="ch" refForName="rect7ParTx"/>
              <dgm:constr type="w" for="ch" forName="rect7ChTx" refType="w" refFor="ch" refForName="rect7ParTx"/>
              <dgm:constr type="t" for="ch" forName="rect7ChTx" refType="t" refFor="ch" refForName="rect7ParTx"/>
              <dgm:constr type="b" for="ch" forName="rect7ChTx" refType="b" refFor="ch" refForName="rect7ParTx"/>
              <dgm:constr type="l" for="ch" forName="rect7ParTxNoCh" refType="r" refFor="ch" refForName="space"/>
              <dgm:constr type="w" for="ch" forName="rect7ParTxNoCh" refType="w" refFor="ch" refForName="rect7"/>
              <dgm:constr type="t" for="ch" forName="rect7ParTxNoCh" refType="t" refFor="ch" refForName="rect7"/>
              <dgm:constr type="b" for="ch" forName="rect7ParTxNoCh" refType="b" refFor="ch" refForName="rect7"/>
              <dgm:constr type="l" for="ch" forName="rect1ParTx" refType="r" refFor="ch" refForName="space"/>
              <dgm:constr type="w" for="ch" forName="rect1ParTx" refType="w" refFor="ch" refForName="rect1" fact="0.5"/>
              <dgm:constr type="t" for="ch" forName="rect1ParTx" refType="t" refFor="ch" refForName="rect1"/>
              <dgm:constr type="b" for="ch" forName="rect1ParTx" refType="t" refFor="ch" refForName="rect2"/>
              <dgm:constr type="l" for="ch" forName="rect1ChTx" refType="r" refFor="ch" refForName="rect1ParTx"/>
              <dgm:constr type="w" for="ch" forName="rect1ChTx" refType="w" refFor="ch" refForName="rect1ParTx"/>
              <dgm:constr type="t" for="ch" forName="rect1ChTx" refType="t" refFor="ch" refForName="rect1ParTx"/>
              <dgm:constr type="b" for="ch" forName="rect1ChTx" refType="b" refFor="ch" refForName="rect1ParTx"/>
              <dgm:constr type="l" for="ch" forName="rect1ParTxNoCh" refType="r" refFor="ch" refForName="space"/>
              <dgm:constr type="w" for="ch" forName="rect1ParTxNoCh" refType="w" refFor="ch" refForName="rect1"/>
              <dgm:constr type="t" for="ch" forName="rect1ParTxNoCh" refType="t" refFor="ch" refForName="rect1"/>
              <dgm:constr type="b" for="ch" forName="rect1ParTxNoCh" refType="t" refFor="ch" refForName="rect2"/>
              <dgm:constr type="l" for="ch" forName="rect2ParTx" refType="r" refFor="ch" refForName="space"/>
              <dgm:constr type="w" for="ch" forName="rect2ParTx" refType="w" refFor="ch" refForName="rect2" fact="0.5"/>
              <dgm:constr type="t" for="ch" forName="rect2ParTx" refType="t" refFor="ch" refForName="rect2"/>
              <dgm:constr type="b" for="ch" forName="rect2ParTx" refType="t" refFor="ch" refForName="rect3"/>
              <dgm:constr type="l" for="ch" forName="rect2ChTx" refType="r" refFor="ch" refForName="rect2ParTx"/>
              <dgm:constr type="w" for="ch" forName="rect2ChTx" refType="w" refFor="ch" refForName="rect2ParTx"/>
              <dgm:constr type="t" for="ch" forName="rect2ChTx" refType="t" refFor="ch" refForName="rect2ParTx"/>
              <dgm:constr type="b" for="ch" forName="rect2ChTx" refType="b" refFor="ch" refForName="rect2ParTx"/>
              <dgm:constr type="l" for="ch" forName="rect2ParTxNoCh" refType="r" refFor="ch" refForName="space"/>
              <dgm:constr type="w" for="ch" forName="rect2ParTxNoCh" refType="w" refFor="ch" refForName="rect2"/>
              <dgm:constr type="t" for="ch" forName="rect2ParTxNoCh" refType="t" refFor="ch" refForName="rect2"/>
              <dgm:constr type="b" for="ch" forName="rect2ParTxNoCh" refType="t" refFor="ch" refForName="rect3"/>
              <dgm:constr type="l" for="ch" forName="rect3ParTx" refType="r" refFor="ch" refForName="space"/>
              <dgm:constr type="w" for="ch" forName="rect3ParTx" refType="w" refFor="ch" refForName="rect3" fact="0.5"/>
              <dgm:constr type="t" for="ch" forName="rect3ParTx" refType="t" refFor="ch" refForName="rect3"/>
              <dgm:constr type="b" for="ch" forName="rect3ParTx" refType="t" refFor="ch" refForName="rect4"/>
              <dgm:constr type="l" for="ch" forName="rect3ChTx" refType="r" refFor="ch" refForName="rect3ParTx"/>
              <dgm:constr type="w" for="ch" forName="rect3ChTx" refType="w" refFor="ch" refForName="rect3ParTx"/>
              <dgm:constr type="t" for="ch" forName="rect3ChTx" refType="t" refFor="ch" refForName="rect3ParTx"/>
              <dgm:constr type="b" for="ch" forName="rect3ChTx" refType="b" refFor="ch" refForName="rect3ParTx"/>
              <dgm:constr type="l" for="ch" forName="rect3ParTxNoCh" refType="r" refFor="ch" refForName="space"/>
              <dgm:constr type="w" for="ch" forName="rect3ParTxNoCh" refType="w" refFor="ch" refForName="rect3"/>
              <dgm:constr type="t" for="ch" forName="rect3ParTxNoCh" refType="t" refFor="ch" refForName="rect3"/>
              <dgm:constr type="b" for="ch" forName="rect3ParTxNoCh" refType="t" refFor="ch" refForName="rect4"/>
              <dgm:constr type="l" for="ch" forName="rect4ParTx" refType="r" refFor="ch" refForName="space"/>
              <dgm:constr type="w" for="ch" forName="rect4ParTx" refType="w" refFor="ch" refForName="rect4" fact="0.5"/>
              <dgm:constr type="t" for="ch" forName="rect4ParTx" refType="t" refFor="ch" refForName="rect4"/>
              <dgm:constr type="b" for="ch" forName="rect4ParTx" refType="t" refFor="ch" refForName="rect5"/>
              <dgm:constr type="l" for="ch" forName="rect4ChTx" refType="r" refFor="ch" refForName="rect4ParTx"/>
              <dgm:constr type="w" for="ch" forName="rect4ChTx" refType="w" refFor="ch" refForName="rect4ParTx"/>
              <dgm:constr type="t" for="ch" forName="rect4ChTx" refType="t" refFor="ch" refForName="rect4ParTx"/>
              <dgm:constr type="b" for="ch" forName="rect4ChTx" refType="b" refFor="ch" refForName="rect4ParTx"/>
              <dgm:constr type="l" for="ch" forName="rect4ParTxNoCh" refType="r" refFor="ch" refForName="space"/>
              <dgm:constr type="w" for="ch" forName="rect4ParTxNoCh" refType="w" refFor="ch" refForName="rect4"/>
              <dgm:constr type="t" for="ch" forName="rect4ParTxNoCh" refType="t" refFor="ch" refForName="rect4"/>
              <dgm:constr type="b" for="ch" forName="rect4ParTxNoCh" refType="t" refFor="ch" refForName="rect5"/>
              <dgm:constr type="l" for="ch" forName="rect5ParTx" refType="r" refFor="ch" refForName="space"/>
              <dgm:constr type="w" for="ch" forName="rect5ParTx" refType="w" refFor="ch" refForName="rect5" fact="0.5"/>
              <dgm:constr type="t" for="ch" forName="rect5ParTx" refType="t" refFor="ch" refForName="rect5"/>
              <dgm:constr type="b" for="ch" forName="rect5ParTx" refType="t" refFor="ch" refForName="rect6"/>
              <dgm:constr type="l" for="ch" forName="rect5ChTx" refType="r" refFor="ch" refForName="rect5ParTx"/>
              <dgm:constr type="w" for="ch" forName="rect5ChTx" refType="w" refFor="ch" refForName="rect5ParTx"/>
              <dgm:constr type="t" for="ch" forName="rect5ChTx" refType="t" refFor="ch" refForName="rect5ParTx"/>
              <dgm:constr type="b" for="ch" forName="rect5ChTx" refType="b" refFor="ch" refForName="rect5ParTx"/>
              <dgm:constr type="l" for="ch" forName="rect5ParTxNoCh" refType="r" refFor="ch" refForName="space"/>
              <dgm:constr type="w" for="ch" forName="rect5ParTxNoCh" refType="w" refFor="ch" refForName="rect5"/>
              <dgm:constr type="t" for="ch" forName="rect5ParTxNoCh" refType="t" refFor="ch" refForName="rect5"/>
              <dgm:constr type="b" for="ch" forName="rect5ParTxNoCh" refType="t" refFor="ch" refForName="rect6"/>
              <dgm:constr type="l" for="ch" forName="rect6ParTx" refType="r" refFor="ch" refForName="space"/>
              <dgm:constr type="w" for="ch" forName="rect6ParTx" refType="w" refFor="ch" refForName="rect6" fact="0.5"/>
              <dgm:constr type="t" for="ch" forName="rect6ParTx" refType="t" refFor="ch" refForName="rect6"/>
              <dgm:constr type="b" for="ch" forName="rect6ParTx" refType="t" refFor="ch" refForName="rect7"/>
              <dgm:constr type="l" for="ch" forName="rect6ChTx" refType="r" refFor="ch" refForName="rect6ParTx"/>
              <dgm:constr type="w" for="ch" forName="rect6ChTx" refType="w" refFor="ch" refForName="rect6ParTx"/>
              <dgm:constr type="t" for="ch" forName="rect6ChTx" refType="t" refFor="ch" refForName="rect6ParTx"/>
              <dgm:constr type="b" for="ch" forName="rect6ChTx" refType="b" refFor="ch" refForName="rect6ParTx"/>
              <dgm:constr type="l" for="ch" forName="rect6ParTxNoCh" refType="r" refFor="ch" refForName="space"/>
              <dgm:constr type="w" for="ch" forName="rect6ParTxNoCh" refType="w" refFor="ch" refForName="rect6"/>
              <dgm:constr type="t" for="ch" forName="rect6ParTxNoCh" refType="t" refFor="ch" refForName="rect6"/>
              <dgm:constr type="b" for="ch" forName="rect6ParTxNoCh" refType="t" refFor="ch" refForName="rect7"/>
              <dgm:constr type="primFontSz" for="ch" op="equ" val="65"/>
              <dgm:constr type="secFontSz" for="ch" op="equ" val="65"/>
            </dgm:constrLst>
          </dgm:if>
          <dgm:else name="Name11">
            <dgm:constrLst/>
          </dgm:else>
        </dgm:choose>
      </dgm:if>
      <dgm:else name="Name12">
        <dgm:choose name="Name13">
          <dgm:if name="Name14" axis="ch" ptType="node" func="cnt" op="equ" val="1">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r" for="ch" forName="rect1ParTx" refType="l" refFor="ch" refForName="space"/>
              <dgm:constr type="w" for="ch" forName="rect1ParTx" refType="w" refFor="ch" refForName="rect1" fact="0.5"/>
              <dgm:constr type="t" for="ch" forName="rect1ParTx" refType="t" refFor="ch" refForName="rect1"/>
              <dgm:constr type="b" for="ch" forName="rect1ParTx" refType="b" refFor="ch" refForName="rect1"/>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b" refFor="ch" refForName="rect1"/>
              <dgm:constr type="primFontSz" for="ch" op="equ" val="65"/>
              <dgm:constr type="secFontSz" for="ch" op="equ" val="65"/>
            </dgm:constrLst>
          </dgm:if>
          <dgm:if name="Name15" axis="ch" ptType="node" func="cnt" op="equ" val="2">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5"/>
              <dgm:constr type="hOff" for="ch" forName="circle2" refType="h" refFor="ch" refForName="vertSpace2" fact="-0.5"/>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r" for="ch" forName="rect2ParTx" refType="l" refFor="ch" refForName="space"/>
              <dgm:constr type="w" for="ch" forName="rect2ParTx" refType="w" refFor="ch" refForName="rect2" fact="0.5"/>
              <dgm:constr type="t" for="ch" forName="rect2ParTx" refType="t" refFor="ch" refForName="rect2"/>
              <dgm:constr type="b" for="ch" forName="rect2ParTx" refType="b" refFor="ch" refForName="rect2"/>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b" refFor="ch" refForName="rect2"/>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primFontSz" for="ch" op="equ" val="65"/>
              <dgm:constr type="secFontSz" for="ch" op="equ" val="65"/>
            </dgm:constrLst>
          </dgm:if>
          <dgm:if name="Name16" axis="ch" ptType="node" func="cnt" op="equ" val="3">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66667"/>
              <dgm:constr type="hOff" for="ch" forName="circle2" refType="h" refFor="ch" refForName="vertSpace2" fact="-0.33333"/>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33333"/>
              <dgm:constr type="hOff" for="ch" forName="circle3" refType="h" refFor="ch" refForName="vertSpace2" fact="-0.66667"/>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r" for="ch" forName="rect3ParTx" refType="l" refFor="ch" refForName="space"/>
              <dgm:constr type="w" for="ch" forName="rect3ParTx" refType="w" refFor="ch" refForName="rect3" fact="0.5"/>
              <dgm:constr type="t" for="ch" forName="rect3ParTx" refType="t" refFor="ch" refForName="rect3"/>
              <dgm:constr type="b" for="ch" forName="rect3ParTx" refType="b" refFor="ch" refForName="rect3"/>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b" refFor="ch" refForName="rect3"/>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primFontSz" for="ch" op="equ" val="65"/>
              <dgm:constr type="secFontSz" for="ch" op="equ" val="65"/>
            </dgm:constrLst>
          </dgm:if>
          <dgm:if name="Name17" axis="ch" ptType="node" func="cnt" op="equ" val="4">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75"/>
              <dgm:constr type="hOff" for="ch" forName="circle2" refType="h" refFor="ch" refForName="vertSpace2" fact="-0.25"/>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5"/>
              <dgm:constr type="hOff" for="ch" forName="circle3" refType="h" refFor="ch" refForName="vertSpace2" fact="-0.5"/>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25"/>
              <dgm:constr type="hOff" for="ch" forName="circle4" refType="h" refFor="ch" refForName="vertSpace2" fact="-0.75"/>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r" for="ch" forName="rect4ParTx" refType="l" refFor="ch" refForName="space"/>
              <dgm:constr type="w" for="ch" forName="rect4ParTx" refType="w" refFor="ch" refForName="rect4" fact="0.5"/>
              <dgm:constr type="t" for="ch" forName="rect4ParTx" refType="t" refFor="ch" refForName="rect4"/>
              <dgm:constr type="b" for="ch" forName="rect4ParTx" refType="b" refFor="ch" refForName="rect4"/>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b" refFor="ch" refForName="rect4"/>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primFontSz" for="ch" op="equ" val="65"/>
              <dgm:constr type="secFontSz" for="ch" op="equ" val="65"/>
            </dgm:constrLst>
          </dgm:if>
          <dgm:if name="Name18" axis="ch" ptType="node" func="cnt" op="equ" val="5">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
              <dgm:constr type="hOff" for="ch" forName="circle2" refType="h" refFor="ch" refForName="vertSpace2" fact="-0.2"/>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6"/>
              <dgm:constr type="hOff" for="ch" forName="circle3" refType="h" refFor="ch" refForName="vertSpace2" fact="-0.4"/>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4"/>
              <dgm:constr type="hOff" for="ch" forName="circle4" refType="h" refFor="ch" refForName="vertSpace2" fact="-0.6"/>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2"/>
              <dgm:constr type="hOff" for="ch" forName="circle5" refType="h" refFor="ch" refForName="vertSpace2" fact="-0.8"/>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r" for="ch" forName="rect5ParTx" refType="l" refFor="ch" refForName="space"/>
              <dgm:constr type="w" for="ch" forName="rect5ParTx" refType="w" refFor="ch" refForName="rect5" fact="0.5"/>
              <dgm:constr type="t" for="ch" forName="rect5ParTx" refType="t" refFor="ch" refForName="rect5"/>
              <dgm:constr type="b" for="ch" forName="rect5ParTx" refType="b" refFor="ch" refForName="rect5"/>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b" refFor="ch" refForName="rect5"/>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primFontSz" for="ch" op="equ" val="65"/>
              <dgm:constr type="secFontSz" for="ch" op="equ" val="65"/>
            </dgm:constrLst>
          </dgm:if>
          <dgm:if name="Name19" axis="ch" ptType="node" func="cnt" op="equ" val="6">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3333"/>
              <dgm:constr type="hOff" for="ch" forName="circle2" refType="h" refFor="ch" refForName="vertSpace2" fact="-0.16667"/>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66667"/>
              <dgm:constr type="hOff" for="ch" forName="circle3" refType="h" refFor="ch" refForName="vertSpace2" fact="-0.33333"/>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5"/>
              <dgm:constr type="hOff" for="ch" forName="circle4" refType="h" refFor="ch" refForName="vertSpace2" fact="-0.5"/>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33333"/>
              <dgm:constr type="hOff" for="ch" forName="circle5" refType="h" refFor="ch" refForName="vertSpace2" fact="-0.66667"/>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r" refFor="ch" refForName="space"/>
              <dgm:constr type="h" for="ch" forName="circle6" refType="h" refFor="ch" refForName="circle1" fact="0.16667"/>
              <dgm:constr type="hOff" for="ch" forName="circle6" refType="h" refFor="ch" refForName="vertSpace2" fact="-0.83333"/>
              <dgm:constr type="w" for="ch" forName="circle6" refType="h" refFor="ch" refForName="circle6" op="equ"/>
              <dgm:constr type="wOff" for="ch" forName="circle6" refType="hOff" refFor="ch" refForName="circle6" op="equ"/>
              <dgm:constr type="b" for="ch" forName="circle6" refType="t" refFor="ch" refForName="vertSpace6"/>
              <dgm:constr type="r" for="ch" forName="rect6" refType="l" refFor="ch" refForName="space"/>
              <dgm:constr type="l" for="ch" forName="rect6"/>
              <dgm:constr type="h" for="ch" forName="rect6" refType="h" refFor="ch" refForName="circle6"/>
              <dgm:constr type="hOff" for="ch" forName="rect6" refType="hOff" refFor="ch" refForName="circle6"/>
              <dgm:constr type="b" for="ch" forName="rect6" refType="b" refFor="ch" refForName="circle6"/>
              <dgm:constr type="r" for="ch" forName="rect6ParTx" refType="l" refFor="ch" refForName="space"/>
              <dgm:constr type="w" for="ch" forName="rect6ParTx" refType="w" refFor="ch" refForName="rect6" fact="0.5"/>
              <dgm:constr type="t" for="ch" forName="rect6ParTx" refType="t" refFor="ch" refForName="rect6"/>
              <dgm:constr type="b" for="ch" forName="rect6ParTx" refType="b" refFor="ch" refForName="rect6"/>
              <dgm:constr type="r" for="ch" forName="rect6ChTx" refType="l" refFor="ch" refForName="rect6ParTx"/>
              <dgm:constr type="w" for="ch" forName="rect6ChTx" refType="w" refFor="ch" refForName="rect6ParTx"/>
              <dgm:constr type="t" for="ch" forName="rect6ChTx" refType="t" refFor="ch" refForName="rect6ParTx"/>
              <dgm:constr type="b" for="ch" forName="rect6ChTx" refType="b" refFor="ch" refForName="rect6ParTx"/>
              <dgm:constr type="r" for="ch" forName="rect6ParTxNoCh" refType="l" refFor="ch" refForName="space"/>
              <dgm:constr type="w" for="ch" forName="rect6ParTxNoCh" refType="w" refFor="ch" refForName="rect6"/>
              <dgm:constr type="t" for="ch" forName="rect6ParTxNoCh" refType="t" refFor="ch" refForName="rect6"/>
              <dgm:constr type="b" for="ch" forName="rect6ParTxNoCh" refType="b" refFor="ch" refForName="rect6"/>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r" for="ch" forName="rect5ParTx" refType="l" refFor="ch" refForName="space"/>
              <dgm:constr type="w" for="ch" forName="rect5ParTx" refType="w" refFor="ch" refForName="rect5" fact="0.5"/>
              <dgm:constr type="t" for="ch" forName="rect5ParTx" refType="t" refFor="ch" refForName="rect5"/>
              <dgm:constr type="b" for="ch" forName="rect5ParTx" refType="t" refFor="ch" refForName="rect6"/>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t" refFor="ch" refForName="rect6"/>
              <dgm:constr type="primFontSz" for="ch" op="equ" val="65"/>
              <dgm:constr type="secFontSz" for="ch" op="equ" val="65"/>
            </dgm:constrLst>
          </dgm:if>
          <dgm:if name="Name20" axis="ch" ptType="node" func="cnt" op="gte" val="7">
            <dgm:constrLst>
              <dgm:constr type="userA" refType="w" fact="0.3"/>
              <dgm:constr type="w" for="ch" forName="circle1" refType="userA" fact="2"/>
              <dgm:constr type="h" for="ch" forName="circle1" refType="w" refFor="ch" refForName="circle1" op="equ"/>
              <dgm:constr type="r" for="ch" forName="circle1" refType="w"/>
              <dgm:constr type="ctrY" for="ch" forName="circle1" refType="h" fact="0.5"/>
              <dgm:constr type="r" for="ch" forName="space" refType="ctrX" refFor="ch" refForName="circle1"/>
              <dgm:constr type="w" for="ch" forName="space"/>
              <dgm:constr type="h" for="ch" forName="space" refType="h" refFor="ch" refForName="circle1"/>
              <dgm:constr type="b" for="ch" forName="space" refType="b" refFor="ch" refForName="circle1"/>
              <dgm:constr type="r" for="ch" forName="rect1" refType="l" refFor="ch" refForName="space"/>
              <dgm:constr type="l" for="ch" forName="rect1"/>
              <dgm:constr type="h" for="ch" forName="rect1" refType="h" refFor="ch" refForName="circle1"/>
              <dgm:constr type="b" for="ch" forName="rect1" refType="b" refFor="ch" refForName="circle1"/>
              <dgm:constr type="l" for="ch" forName="vertSpace2"/>
              <dgm:constr type="w" for="ch" forName="vertSpace2" refType="w"/>
              <dgm:constr type="h" for="ch" forName="vertSpace2" refType="h" refFor="ch" refForName="circle1" fact="0.05"/>
              <dgm:constr type="b" for="ch" forName="vertSpace2" refType="b" refFor="ch" refForName="circle1"/>
              <dgm:constr type="ctrX" for="ch" forName="circle2" refType="r" refFor="ch" refForName="space"/>
              <dgm:constr type="h" for="ch" forName="circle2" refType="h" refFor="ch" refForName="circle1" fact="0.85714"/>
              <dgm:constr type="hOff" for="ch" forName="circle2" refType="h" refFor="ch" refForName="vertSpace2" fact="-0.14286"/>
              <dgm:constr type="w" for="ch" forName="circle2" refType="h" refFor="ch" refForName="circle2" op="equ"/>
              <dgm:constr type="wOff" for="ch" forName="circle2" refType="hOff" refFor="ch" refForName="circle2" op="equ"/>
              <dgm:constr type="b" for="ch" forName="circle2" refType="t" refFor="ch" refForName="vertSpace2"/>
              <dgm:constr type="r" for="ch" forName="rect2" refType="l" refFor="ch" refForName="space"/>
              <dgm:constr type="l" for="ch" forName="rect2"/>
              <dgm:constr type="h" for="ch" forName="rect2" refType="h" refFor="ch" refForName="circle2"/>
              <dgm:constr type="hOff" for="ch" forName="rect2" refType="hOff" refFor="ch" refForName="circle2"/>
              <dgm:constr type="b" for="ch" forName="rect2" refType="b" refFor="ch" refForName="circle2"/>
              <dgm:constr type="l" for="ch" forName="vertSpace3"/>
              <dgm:constr type="w" for="ch" forName="vertSpace3" refType="w"/>
              <dgm:constr type="h" for="ch" forName="vertSpace3" refType="h" refFor="ch" refForName="vertSpace2"/>
              <dgm:constr type="b" for="ch" forName="vertSpace3" refType="t" refFor="ch" refForName="vertSpace2"/>
              <dgm:constr type="ctrX" for="ch" forName="circle3" refType="r" refFor="ch" refForName="space"/>
              <dgm:constr type="h" for="ch" forName="circle3" refType="h" refFor="ch" refForName="circle1" fact="0.71429"/>
              <dgm:constr type="hOff" for="ch" forName="circle3" refType="h" refFor="ch" refForName="vertSpace2" fact="-0.28571"/>
              <dgm:constr type="w" for="ch" forName="circle3" refType="h" refFor="ch" refForName="circle3" op="equ"/>
              <dgm:constr type="wOff" for="ch" forName="circle3" refType="hOff" refFor="ch" refForName="circle3" op="equ"/>
              <dgm:constr type="b" for="ch" forName="circle3" refType="t" refFor="ch" refForName="vertSpace3"/>
              <dgm:constr type="r" for="ch" forName="rect3" refType="l" refFor="ch" refForName="space"/>
              <dgm:constr type="l" for="ch" forName="rect3"/>
              <dgm:constr type="h" for="ch" forName="rect3" refType="h" refFor="ch" refForName="circle3"/>
              <dgm:constr type="hOff" for="ch" forName="rect3" refType="hOff" refFor="ch" refForName="circle3"/>
              <dgm:constr type="b" for="ch" forName="rect3" refType="b" refFor="ch" refForName="circle3"/>
              <dgm:constr type="l" for="ch" forName="vertSpace4"/>
              <dgm:constr type="w" for="ch" forName="vertSpace4" refType="w"/>
              <dgm:constr type="h" for="ch" forName="vertSpace4" refType="h" refFor="ch" refForName="vertSpace3"/>
              <dgm:constr type="b" for="ch" forName="vertSpace4" refType="t" refFor="ch" refForName="vertSpace3"/>
              <dgm:constr type="ctrX" for="ch" forName="circle4" refType="r" refFor="ch" refForName="space"/>
              <dgm:constr type="h" for="ch" forName="circle4" refType="h" refFor="ch" refForName="circle1" fact="0.57143"/>
              <dgm:constr type="hOff" for="ch" forName="circle4" refType="h" refFor="ch" refForName="vertSpace2" fact="-0.42857"/>
              <dgm:constr type="w" for="ch" forName="circle4" refType="h" refFor="ch" refForName="circle4" op="equ"/>
              <dgm:constr type="wOff" for="ch" forName="circle4" refType="hOff" refFor="ch" refForName="circle4" op="equ"/>
              <dgm:constr type="b" for="ch" forName="circle4" refType="t" refFor="ch" refForName="vertSpace4"/>
              <dgm:constr type="r" for="ch" forName="rect4" refType="l" refFor="ch" refForName="space"/>
              <dgm:constr type="l" for="ch" forName="rect4"/>
              <dgm:constr type="h" for="ch" forName="rect4" refType="h" refFor="ch" refForName="circle4"/>
              <dgm:constr type="hOff" for="ch" forName="rect4" refType="hOff" refFor="ch" refForName="circle4"/>
              <dgm:constr type="b" for="ch" forName="rect4" refType="b" refFor="ch" refForName="circle4"/>
              <dgm:constr type="l" for="ch" forName="vertSpace5"/>
              <dgm:constr type="w" for="ch" forName="vertSpace5" refType="w"/>
              <dgm:constr type="h" for="ch" forName="vertSpace5" refType="h" refFor="ch" refForName="vertSpace4"/>
              <dgm:constr type="b" for="ch" forName="vertSpace5" refType="t" refFor="ch" refForName="vertSpace4"/>
              <dgm:constr type="ctrX" for="ch" forName="circle5" refType="r" refFor="ch" refForName="space"/>
              <dgm:constr type="h" for="ch" forName="circle5" refType="h" refFor="ch" refForName="circle1" fact="0.42857"/>
              <dgm:constr type="hOff" for="ch" forName="circle5" refType="h" refFor="ch" refForName="vertSpace2" fact="-0.57143"/>
              <dgm:constr type="w" for="ch" forName="circle5" refType="h" refFor="ch" refForName="circle5" op="equ"/>
              <dgm:constr type="wOff" for="ch" forName="circle5" refType="hOff" refFor="ch" refForName="circle5" op="equ"/>
              <dgm:constr type="b" for="ch" forName="circle5" refType="t" refFor="ch" refForName="vertSpace5"/>
              <dgm:constr type="r" for="ch" forName="rect5" refType="l" refFor="ch" refForName="space"/>
              <dgm:constr type="l" for="ch" forName="rect5"/>
              <dgm:constr type="h" for="ch" forName="rect5" refType="h" refFor="ch" refForName="circle5"/>
              <dgm:constr type="hOff" for="ch" forName="rect5" refType="hOff" refFor="ch" refForName="circle5"/>
              <dgm:constr type="b" for="ch" forName="rect5" refType="b" refFor="ch" refForName="circle5"/>
              <dgm:constr type="l" for="ch" forName="vertSpace6"/>
              <dgm:constr type="w" for="ch" forName="vertSpace6" refType="w"/>
              <dgm:constr type="h" for="ch" forName="vertSpace6" refType="h" refFor="ch" refForName="vertSpace5"/>
              <dgm:constr type="b" for="ch" forName="vertSpace6" refType="t" refFor="ch" refForName="vertSpace5"/>
              <dgm:constr type="ctrX" for="ch" forName="circle6" refType="r" refFor="ch" refForName="space"/>
              <dgm:constr type="h" for="ch" forName="circle6" refType="h" refFor="ch" refForName="circle1" fact="0.28571"/>
              <dgm:constr type="hOff" for="ch" forName="circle6" refType="h" refFor="ch" refForName="vertSpace2" fact="-0.71429"/>
              <dgm:constr type="w" for="ch" forName="circle6" refType="h" refFor="ch" refForName="circle6" op="equ"/>
              <dgm:constr type="wOff" for="ch" forName="circle6" refType="hOff" refFor="ch" refForName="circle6" op="equ"/>
              <dgm:constr type="b" for="ch" forName="circle6" refType="t" refFor="ch" refForName="vertSpace6"/>
              <dgm:constr type="r" for="ch" forName="rect6" refType="l" refFor="ch" refForName="space"/>
              <dgm:constr type="l" for="ch" forName="rect6"/>
              <dgm:constr type="h" for="ch" forName="rect6" refType="h" refFor="ch" refForName="circle6"/>
              <dgm:constr type="hOff" for="ch" forName="rect6" refType="hOff" refFor="ch" refForName="circle6"/>
              <dgm:constr type="b" for="ch" forName="rect6" refType="b" refFor="ch" refForName="circle6"/>
              <dgm:constr type="l" for="ch" forName="vertSpace7"/>
              <dgm:constr type="w" for="ch" forName="vertSpace7" refType="w"/>
              <dgm:constr type="h" for="ch" forName="vertSpace7" refType="h" refFor="ch" refForName="vertSpace6"/>
              <dgm:constr type="b" for="ch" forName="vertSpace7" refType="t" refFor="ch" refForName="vertSpace6"/>
              <dgm:constr type="ctrX" for="ch" forName="circle7" refType="r" refFor="ch" refForName="space"/>
              <dgm:constr type="h" for="ch" forName="circle7" refType="h" refFor="ch" refForName="circle1" fact="0.14286"/>
              <dgm:constr type="hOff" for="ch" forName="circle7" refType="h" refFor="ch" refForName="vertSpace2" fact="-0.85714"/>
              <dgm:constr type="w" for="ch" forName="circle7" refType="h" refFor="ch" refForName="circle7" op="equ"/>
              <dgm:constr type="wOff" for="ch" forName="circle7" refType="hOff" refFor="ch" refForName="circle7" op="equ"/>
              <dgm:constr type="b" for="ch" forName="circle7" refType="t" refFor="ch" refForName="vertSpace7"/>
              <dgm:constr type="r" for="ch" forName="rect7" refType="l" refFor="ch" refForName="space"/>
              <dgm:constr type="l" for="ch" forName="rect7"/>
              <dgm:constr type="h" for="ch" forName="rect7" refType="h" refFor="ch" refForName="circle7"/>
              <dgm:constr type="hOff" for="ch" forName="rect7" refType="hOff" refFor="ch" refForName="circle7"/>
              <dgm:constr type="b" for="ch" forName="rect7" refType="b" refFor="ch" refForName="circle7"/>
              <dgm:constr type="r" for="ch" forName="rect7ParTx" refType="l" refFor="ch" refForName="space"/>
              <dgm:constr type="w" for="ch" forName="rect7ParTx" refType="w" refFor="ch" refForName="rect7" fact="0.5"/>
              <dgm:constr type="t" for="ch" forName="rect7ParTx" refType="t" refFor="ch" refForName="rect7"/>
              <dgm:constr type="b" for="ch" forName="rect7ParTx" refType="b" refFor="ch" refForName="rect7"/>
              <dgm:constr type="r" for="ch" forName="rect7ChTx" refType="l" refFor="ch" refForName="rect7ParTx"/>
              <dgm:constr type="w" for="ch" forName="rect7ChTx" refType="w" refFor="ch" refForName="rect7ParTx"/>
              <dgm:constr type="t" for="ch" forName="rect7ChTx" refType="t" refFor="ch" refForName="rect7ParTx"/>
              <dgm:constr type="b" for="ch" forName="rect7ChTx" refType="b" refFor="ch" refForName="rect7ParTx"/>
              <dgm:constr type="r" for="ch" forName="rect7ParTxNoCh" refType="l" refFor="ch" refForName="space"/>
              <dgm:constr type="w" for="ch" forName="rect7ParTxNoCh" refType="w" refFor="ch" refForName="rect7"/>
              <dgm:constr type="t" for="ch" forName="rect7ParTxNoCh" refType="t" refFor="ch" refForName="rect7"/>
              <dgm:constr type="b" for="ch" forName="rect7ParTxNoCh" refType="b" refFor="ch" refForName="rect7"/>
              <dgm:constr type="r" for="ch" forName="rect1ParTx" refType="l" refFor="ch" refForName="space"/>
              <dgm:constr type="w" for="ch" forName="rect1ParTx" refType="w" refFor="ch" refForName="rect1" fact="0.5"/>
              <dgm:constr type="t" for="ch" forName="rect1ParTx" refType="t" refFor="ch" refForName="rect1"/>
              <dgm:constr type="b" for="ch" forName="rect1ParTx" refType="t" refFor="ch" refForName="rect2"/>
              <dgm:constr type="r" for="ch" forName="rect1ChTx" refType="l" refFor="ch" refForName="rect1ParTx"/>
              <dgm:constr type="w" for="ch" forName="rect1ChTx" refType="w" refFor="ch" refForName="rect1ParTx"/>
              <dgm:constr type="t" for="ch" forName="rect1ChTx" refType="t" refFor="ch" refForName="rect1ParTx"/>
              <dgm:constr type="b" for="ch" forName="rect1ChTx" refType="b" refFor="ch" refForName="rect1ParTx"/>
              <dgm:constr type="r" for="ch" forName="rect1ParTxNoCh" refType="l" refFor="ch" refForName="space"/>
              <dgm:constr type="w" for="ch" forName="rect1ParTxNoCh" refType="w" refFor="ch" refForName="rect1"/>
              <dgm:constr type="t" for="ch" forName="rect1ParTxNoCh" refType="t" refFor="ch" refForName="rect1"/>
              <dgm:constr type="b" for="ch" forName="rect1ParTxNoCh" refType="t" refFor="ch" refForName="rect2"/>
              <dgm:constr type="r" for="ch" forName="rect2ParTx" refType="l" refFor="ch" refForName="space"/>
              <dgm:constr type="w" for="ch" forName="rect2ParTx" refType="w" refFor="ch" refForName="rect2" fact="0.5"/>
              <dgm:constr type="t" for="ch" forName="rect2ParTx" refType="t" refFor="ch" refForName="rect2"/>
              <dgm:constr type="b" for="ch" forName="rect2ParTx" refType="t" refFor="ch" refForName="rect3"/>
              <dgm:constr type="r" for="ch" forName="rect2ChTx" refType="l" refFor="ch" refForName="rect2ParTx"/>
              <dgm:constr type="w" for="ch" forName="rect2ChTx" refType="w" refFor="ch" refForName="rect2ParTx"/>
              <dgm:constr type="t" for="ch" forName="rect2ChTx" refType="t" refFor="ch" refForName="rect2ParTx"/>
              <dgm:constr type="b" for="ch" forName="rect2ChTx" refType="b" refFor="ch" refForName="rect2ParTx"/>
              <dgm:constr type="r" for="ch" forName="rect2ParTxNoCh" refType="l" refFor="ch" refForName="space"/>
              <dgm:constr type="w" for="ch" forName="rect2ParTxNoCh" refType="w" refFor="ch" refForName="rect2"/>
              <dgm:constr type="t" for="ch" forName="rect2ParTxNoCh" refType="t" refFor="ch" refForName="rect2"/>
              <dgm:constr type="b" for="ch" forName="rect2ParTxNoCh" refType="t" refFor="ch" refForName="rect3"/>
              <dgm:constr type="r" for="ch" forName="rect3ParTx" refType="l" refFor="ch" refForName="space"/>
              <dgm:constr type="w" for="ch" forName="rect3ParTx" refType="w" refFor="ch" refForName="rect3" fact="0.5"/>
              <dgm:constr type="t" for="ch" forName="rect3ParTx" refType="t" refFor="ch" refForName="rect3"/>
              <dgm:constr type="b" for="ch" forName="rect3ParTx" refType="t" refFor="ch" refForName="rect4"/>
              <dgm:constr type="r" for="ch" forName="rect3ChTx" refType="l" refFor="ch" refForName="rect3ParTx"/>
              <dgm:constr type="w" for="ch" forName="rect3ChTx" refType="w" refFor="ch" refForName="rect3ParTx"/>
              <dgm:constr type="t" for="ch" forName="rect3ChTx" refType="t" refFor="ch" refForName="rect3ParTx"/>
              <dgm:constr type="b" for="ch" forName="rect3ChTx" refType="b" refFor="ch" refForName="rect3ParTx"/>
              <dgm:constr type="r" for="ch" forName="rect3ParTxNoCh" refType="l" refFor="ch" refForName="space"/>
              <dgm:constr type="w" for="ch" forName="rect3ParTxNoCh" refType="w" refFor="ch" refForName="rect3"/>
              <dgm:constr type="t" for="ch" forName="rect3ParTxNoCh" refType="t" refFor="ch" refForName="rect3"/>
              <dgm:constr type="b" for="ch" forName="rect3ParTxNoCh" refType="t" refFor="ch" refForName="rect4"/>
              <dgm:constr type="r" for="ch" forName="rect4ParTx" refType="l" refFor="ch" refForName="space"/>
              <dgm:constr type="w" for="ch" forName="rect4ParTx" refType="w" refFor="ch" refForName="rect4" fact="0.5"/>
              <dgm:constr type="t" for="ch" forName="rect4ParTx" refType="t" refFor="ch" refForName="rect4"/>
              <dgm:constr type="b" for="ch" forName="rect4ParTx" refType="t" refFor="ch" refForName="rect5"/>
              <dgm:constr type="r" for="ch" forName="rect4ChTx" refType="l" refFor="ch" refForName="rect4ParTx"/>
              <dgm:constr type="w" for="ch" forName="rect4ChTx" refType="w" refFor="ch" refForName="rect4ParTx"/>
              <dgm:constr type="t" for="ch" forName="rect4ChTx" refType="t" refFor="ch" refForName="rect4ParTx"/>
              <dgm:constr type="b" for="ch" forName="rect4ChTx" refType="b" refFor="ch" refForName="rect4ParTx"/>
              <dgm:constr type="r" for="ch" forName="rect4ParTxNoCh" refType="l" refFor="ch" refForName="space"/>
              <dgm:constr type="w" for="ch" forName="rect4ParTxNoCh" refType="w" refFor="ch" refForName="rect4"/>
              <dgm:constr type="t" for="ch" forName="rect4ParTxNoCh" refType="t" refFor="ch" refForName="rect4"/>
              <dgm:constr type="b" for="ch" forName="rect4ParTxNoCh" refType="t" refFor="ch" refForName="rect5"/>
              <dgm:constr type="r" for="ch" forName="rect5ParTx" refType="l" refFor="ch" refForName="space"/>
              <dgm:constr type="w" for="ch" forName="rect5ParTx" refType="w" refFor="ch" refForName="rect5" fact="0.5"/>
              <dgm:constr type="t" for="ch" forName="rect5ParTx" refType="t" refFor="ch" refForName="rect5"/>
              <dgm:constr type="b" for="ch" forName="rect5ParTx" refType="t" refFor="ch" refForName="rect6"/>
              <dgm:constr type="r" for="ch" forName="rect5ChTx" refType="l" refFor="ch" refForName="rect5ParTx"/>
              <dgm:constr type="w" for="ch" forName="rect5ChTx" refType="w" refFor="ch" refForName="rect5ParTx"/>
              <dgm:constr type="t" for="ch" forName="rect5ChTx" refType="t" refFor="ch" refForName="rect5ParTx"/>
              <dgm:constr type="b" for="ch" forName="rect5ChTx" refType="b" refFor="ch" refForName="rect5ParTx"/>
              <dgm:constr type="r" for="ch" forName="rect5ParTxNoCh" refType="l" refFor="ch" refForName="space"/>
              <dgm:constr type="w" for="ch" forName="rect5ParTxNoCh" refType="w" refFor="ch" refForName="rect5"/>
              <dgm:constr type="t" for="ch" forName="rect5ParTxNoCh" refType="t" refFor="ch" refForName="rect5"/>
              <dgm:constr type="b" for="ch" forName="rect5ParTxNoCh" refType="t" refFor="ch" refForName="rect6"/>
              <dgm:constr type="r" for="ch" forName="rect6ParTx" refType="l" refFor="ch" refForName="space"/>
              <dgm:constr type="w" for="ch" forName="rect6ParTx" refType="w" refFor="ch" refForName="rect6" fact="0.5"/>
              <dgm:constr type="t" for="ch" forName="rect6ParTx" refType="t" refFor="ch" refForName="rect6"/>
              <dgm:constr type="b" for="ch" forName="rect6ParTx" refType="t" refFor="ch" refForName="rect7"/>
              <dgm:constr type="r" for="ch" forName="rect6ChTx" refType="l" refFor="ch" refForName="rect6ParTx"/>
              <dgm:constr type="w" for="ch" forName="rect6ChTx" refType="w" refFor="ch" refForName="rect6ParTx"/>
              <dgm:constr type="t" for="ch" forName="rect6ChTx" refType="t" refFor="ch" refForName="rect6ParTx"/>
              <dgm:constr type="b" for="ch" forName="rect6ChTx" refType="b" refFor="ch" refForName="rect6ParTx"/>
              <dgm:constr type="r" for="ch" forName="rect6ParTxNoCh" refType="l" refFor="ch" refForName="space"/>
              <dgm:constr type="w" for="ch" forName="rect6ParTxNoCh" refType="w" refFor="ch" refForName="rect6"/>
              <dgm:constr type="t" for="ch" forName="rect6ParTxNoCh" refType="t" refFor="ch" refForName="rect6"/>
              <dgm:constr type="b" for="ch" forName="rect6ParTxNoCh" refType="t" refFor="ch" refForName="rect7"/>
              <dgm:constr type="primFontSz" for="ch" op="equ" val="65"/>
              <dgm:constr type="secFontSz" for="ch" op="equ" val="65"/>
            </dgm:constrLst>
          </dgm:if>
          <dgm:else name="Name21">
            <dgm:constrLst/>
          </dgm:else>
        </dgm:choose>
      </dgm:else>
    </dgm:choose>
    <dgm:ruleLst/>
    <dgm:forEach name="Name22" axis="ch" ptType="node" cnt="1">
      <dgm:layoutNode name="circle1" styleLbl="node1">
        <dgm:alg type="sp"/>
        <dgm:choose name="Name23">
          <dgm:if name="Name24" func="var" arg="dir" op="equ" val="norm">
            <dgm:shape xmlns:r="http://schemas.openxmlformats.org/officeDocument/2006/relationships" type="pie" r:blip="">
              <dgm:adjLst>
                <dgm:adj idx="1" val="90"/>
                <dgm:adj idx="2" val="270"/>
              </dgm:adjLst>
            </dgm:shape>
          </dgm:if>
          <dgm:else name="Name25">
            <dgm:shape xmlns:r="http://schemas.openxmlformats.org/officeDocument/2006/relationships" type="pie" r:blip="">
              <dgm:adjLst>
                <dgm:adj idx="1" val="270"/>
                <dgm:adj idx="2" val="90"/>
              </dgm:adjLst>
            </dgm:shape>
          </dgm:else>
        </dgm:choose>
        <dgm:presOf/>
        <dgm:constrLst/>
        <dgm:ruleLst/>
      </dgm:layoutNode>
      <dgm:layoutNode name="space">
        <dgm:alg type="sp"/>
        <dgm:shape xmlns:r="http://schemas.openxmlformats.org/officeDocument/2006/relationships" r:blip="">
          <dgm:adjLst/>
        </dgm:shape>
        <dgm:presOf/>
        <dgm:constrLst/>
        <dgm:ruleLst/>
      </dgm:layoutNode>
      <dgm:layoutNode name="rect1" styleLbl="alignAcc1">
        <dgm:alg type="sp"/>
        <dgm:shape xmlns:r="http://schemas.openxmlformats.org/officeDocument/2006/relationships" type="rect" r:blip="">
          <dgm:adjLst/>
        </dgm:shape>
        <dgm:presOf axis="self"/>
        <dgm:constrLst/>
        <dgm:ruleLst/>
      </dgm:layoutNode>
    </dgm:forEach>
    <dgm:forEach name="Name26" axis="ch" ptType="node" st="2" cnt="1">
      <dgm:layoutNode name="vertSpace2">
        <dgm:alg type="sp"/>
        <dgm:shape xmlns:r="http://schemas.openxmlformats.org/officeDocument/2006/relationships" type="rect" r:blip="" hideGeom="1">
          <dgm:adjLst/>
        </dgm:shape>
        <dgm:presOf/>
        <dgm:constrLst/>
        <dgm:ruleLst/>
      </dgm:layoutNode>
      <dgm:layoutNode name="circle2" styleLbl="node1">
        <dgm:alg type="sp"/>
        <dgm:choose name="Name27">
          <dgm:if name="Name28" func="var" arg="dir" op="equ" val="norm">
            <dgm:shape xmlns:r="http://schemas.openxmlformats.org/officeDocument/2006/relationships" type="pie" r:blip="">
              <dgm:adjLst>
                <dgm:adj idx="1" val="90"/>
                <dgm:adj idx="2" val="270"/>
              </dgm:adjLst>
            </dgm:shape>
          </dgm:if>
          <dgm:else name="Name29">
            <dgm:shape xmlns:r="http://schemas.openxmlformats.org/officeDocument/2006/relationships" type="pie" r:blip="">
              <dgm:adjLst>
                <dgm:adj idx="1" val="270"/>
                <dgm:adj idx="2" val="90"/>
              </dgm:adjLst>
            </dgm:shape>
          </dgm:else>
        </dgm:choose>
        <dgm:presOf/>
        <dgm:constrLst/>
        <dgm:ruleLst/>
      </dgm:layoutNode>
      <dgm:layoutNode name="rect2" styleLbl="alignAcc1">
        <dgm:alg type="sp"/>
        <dgm:shape xmlns:r="http://schemas.openxmlformats.org/officeDocument/2006/relationships" type="rect" r:blip="">
          <dgm:adjLst/>
        </dgm:shape>
        <dgm:presOf axis="self"/>
        <dgm:constrLst/>
        <dgm:ruleLst/>
      </dgm:layoutNode>
    </dgm:forEach>
    <dgm:forEach name="Name30" axis="ch" ptType="node" st="3" cnt="1">
      <dgm:layoutNode name="vertSpace3">
        <dgm:alg type="sp"/>
        <dgm:shape xmlns:r="http://schemas.openxmlformats.org/officeDocument/2006/relationships" type="rect" r:blip="" hideGeom="1">
          <dgm:adjLst/>
        </dgm:shape>
        <dgm:presOf/>
        <dgm:constrLst/>
        <dgm:ruleLst/>
      </dgm:layoutNode>
      <dgm:layoutNode name="circle3" styleLbl="node1">
        <dgm:alg type="sp"/>
        <dgm:choose name="Name31">
          <dgm:if name="Name32" func="var" arg="dir" op="equ" val="norm">
            <dgm:shape xmlns:r="http://schemas.openxmlformats.org/officeDocument/2006/relationships" type="pie" r:blip="">
              <dgm:adjLst>
                <dgm:adj idx="1" val="90"/>
                <dgm:adj idx="2" val="270"/>
              </dgm:adjLst>
            </dgm:shape>
          </dgm:if>
          <dgm:else name="Name33">
            <dgm:shape xmlns:r="http://schemas.openxmlformats.org/officeDocument/2006/relationships" type="pie" r:blip="">
              <dgm:adjLst>
                <dgm:adj idx="1" val="270"/>
                <dgm:adj idx="2" val="90"/>
              </dgm:adjLst>
            </dgm:shape>
          </dgm:else>
        </dgm:choose>
        <dgm:presOf/>
        <dgm:constrLst/>
        <dgm:ruleLst/>
      </dgm:layoutNode>
      <dgm:layoutNode name="rect3" styleLbl="alignAcc1">
        <dgm:alg type="sp"/>
        <dgm:shape xmlns:r="http://schemas.openxmlformats.org/officeDocument/2006/relationships" type="rect" r:blip="">
          <dgm:adjLst/>
        </dgm:shape>
        <dgm:presOf axis="self"/>
        <dgm:constrLst/>
        <dgm:ruleLst/>
      </dgm:layoutNode>
    </dgm:forEach>
    <dgm:forEach name="Name34" axis="ch" ptType="node" st="4" cnt="1">
      <dgm:layoutNode name="vertSpace4">
        <dgm:alg type="sp"/>
        <dgm:shape xmlns:r="http://schemas.openxmlformats.org/officeDocument/2006/relationships" type="rect" r:blip="" hideGeom="1">
          <dgm:adjLst/>
        </dgm:shape>
        <dgm:presOf/>
        <dgm:constrLst/>
        <dgm:ruleLst/>
      </dgm:layoutNode>
      <dgm:layoutNode name="circle4" styleLbl="node1">
        <dgm:alg type="sp"/>
        <dgm:choose name="Name35">
          <dgm:if name="Name36" func="var" arg="dir" op="equ" val="norm">
            <dgm:shape xmlns:r="http://schemas.openxmlformats.org/officeDocument/2006/relationships" type="pie" r:blip="">
              <dgm:adjLst>
                <dgm:adj idx="1" val="90"/>
                <dgm:adj idx="2" val="270"/>
              </dgm:adjLst>
            </dgm:shape>
          </dgm:if>
          <dgm:else name="Name37">
            <dgm:shape xmlns:r="http://schemas.openxmlformats.org/officeDocument/2006/relationships" type="pie" r:blip="">
              <dgm:adjLst>
                <dgm:adj idx="1" val="270"/>
                <dgm:adj idx="2" val="90"/>
              </dgm:adjLst>
            </dgm:shape>
          </dgm:else>
        </dgm:choose>
        <dgm:presOf/>
        <dgm:constrLst/>
        <dgm:ruleLst/>
      </dgm:layoutNode>
      <dgm:layoutNode name="rect4" styleLbl="alignAcc1">
        <dgm:alg type="sp"/>
        <dgm:shape xmlns:r="http://schemas.openxmlformats.org/officeDocument/2006/relationships" type="rect" r:blip="">
          <dgm:adjLst/>
        </dgm:shape>
        <dgm:presOf axis="self"/>
        <dgm:constrLst/>
        <dgm:ruleLst/>
      </dgm:layoutNode>
    </dgm:forEach>
    <dgm:forEach name="Name38" axis="ch" ptType="node" st="5" cnt="1">
      <dgm:layoutNode name="vertSpace5">
        <dgm:alg type="sp"/>
        <dgm:shape xmlns:r="http://schemas.openxmlformats.org/officeDocument/2006/relationships" type="rect" r:blip="" hideGeom="1">
          <dgm:adjLst/>
        </dgm:shape>
        <dgm:presOf/>
        <dgm:constrLst/>
        <dgm:ruleLst/>
      </dgm:layoutNode>
      <dgm:layoutNode name="circle5" styleLbl="node1">
        <dgm:alg type="sp"/>
        <dgm:choose name="Name39">
          <dgm:if name="Name40" func="var" arg="dir" op="equ" val="norm">
            <dgm:shape xmlns:r="http://schemas.openxmlformats.org/officeDocument/2006/relationships" type="pie" r:blip="">
              <dgm:adjLst>
                <dgm:adj idx="1" val="90"/>
                <dgm:adj idx="2" val="270"/>
              </dgm:adjLst>
            </dgm:shape>
          </dgm:if>
          <dgm:else name="Name41">
            <dgm:shape xmlns:r="http://schemas.openxmlformats.org/officeDocument/2006/relationships" type="pie" r:blip="">
              <dgm:adjLst>
                <dgm:adj idx="1" val="270"/>
                <dgm:adj idx="2" val="90"/>
              </dgm:adjLst>
            </dgm:shape>
          </dgm:else>
        </dgm:choose>
        <dgm:presOf/>
        <dgm:constrLst/>
        <dgm:ruleLst/>
      </dgm:layoutNode>
      <dgm:layoutNode name="rect5" styleLbl="alignAcc1">
        <dgm:alg type="sp"/>
        <dgm:shape xmlns:r="http://schemas.openxmlformats.org/officeDocument/2006/relationships" type="rect" r:blip="">
          <dgm:adjLst/>
        </dgm:shape>
        <dgm:presOf axis="self"/>
        <dgm:constrLst/>
        <dgm:ruleLst/>
      </dgm:layoutNode>
    </dgm:forEach>
    <dgm:forEach name="Name42" axis="ch" ptType="node" st="6" cnt="1">
      <dgm:layoutNode name="vertSpace6">
        <dgm:alg type="sp"/>
        <dgm:shape xmlns:r="http://schemas.openxmlformats.org/officeDocument/2006/relationships" type="rect" r:blip="" hideGeom="1">
          <dgm:adjLst/>
        </dgm:shape>
        <dgm:presOf/>
        <dgm:constrLst/>
        <dgm:ruleLst/>
      </dgm:layoutNode>
      <dgm:layoutNode name="circle6" styleLbl="node1">
        <dgm:alg type="sp"/>
        <dgm:choose name="Name43">
          <dgm:if name="Name44" func="var" arg="dir" op="equ" val="norm">
            <dgm:shape xmlns:r="http://schemas.openxmlformats.org/officeDocument/2006/relationships" type="pie" r:blip="">
              <dgm:adjLst>
                <dgm:adj idx="1" val="90"/>
                <dgm:adj idx="2" val="270"/>
              </dgm:adjLst>
            </dgm:shape>
          </dgm:if>
          <dgm:else name="Name45">
            <dgm:shape xmlns:r="http://schemas.openxmlformats.org/officeDocument/2006/relationships" type="pie" r:blip="">
              <dgm:adjLst>
                <dgm:adj idx="1" val="270"/>
                <dgm:adj idx="2" val="90"/>
              </dgm:adjLst>
            </dgm:shape>
          </dgm:else>
        </dgm:choose>
        <dgm:presOf/>
        <dgm:constrLst/>
        <dgm:ruleLst/>
      </dgm:layoutNode>
      <dgm:layoutNode name="rect6" styleLbl="alignAcc1">
        <dgm:alg type="sp"/>
        <dgm:shape xmlns:r="http://schemas.openxmlformats.org/officeDocument/2006/relationships" type="rect" r:blip="">
          <dgm:adjLst/>
        </dgm:shape>
        <dgm:presOf axis="self"/>
        <dgm:constrLst/>
        <dgm:ruleLst/>
      </dgm:layoutNode>
    </dgm:forEach>
    <dgm:forEach name="Name46" axis="ch" ptType="node" st="7" cnt="1">
      <dgm:layoutNode name="vertSpace7">
        <dgm:alg type="sp"/>
        <dgm:shape xmlns:r="http://schemas.openxmlformats.org/officeDocument/2006/relationships" type="rect" r:blip="" hideGeom="1">
          <dgm:adjLst/>
        </dgm:shape>
        <dgm:presOf/>
        <dgm:constrLst/>
        <dgm:ruleLst/>
      </dgm:layoutNode>
      <dgm:layoutNode name="circle7" styleLbl="node1">
        <dgm:alg type="sp"/>
        <dgm:choose name="Name47">
          <dgm:if name="Name48" func="var" arg="dir" op="equ" val="norm">
            <dgm:shape xmlns:r="http://schemas.openxmlformats.org/officeDocument/2006/relationships" type="pie" r:blip="">
              <dgm:adjLst>
                <dgm:adj idx="1" val="90"/>
                <dgm:adj idx="2" val="270"/>
              </dgm:adjLst>
            </dgm:shape>
          </dgm:if>
          <dgm:else name="Name49">
            <dgm:shape xmlns:r="http://schemas.openxmlformats.org/officeDocument/2006/relationships" type="pie" r:blip="">
              <dgm:adjLst>
                <dgm:adj idx="1" val="270"/>
                <dgm:adj idx="2" val="90"/>
              </dgm:adjLst>
            </dgm:shape>
          </dgm:else>
        </dgm:choose>
        <dgm:presOf/>
        <dgm:constrLst/>
        <dgm:ruleLst/>
      </dgm:layoutNode>
      <dgm:layoutNode name="rect7" styleLbl="alignAcc1">
        <dgm:alg type="sp"/>
        <dgm:shape xmlns:r="http://schemas.openxmlformats.org/officeDocument/2006/relationships" type="rect" r:blip="">
          <dgm:adjLst/>
        </dgm:shape>
        <dgm:presOf axis="self"/>
        <dgm:constrLst/>
        <dgm:ruleLst/>
      </dgm:layoutNode>
    </dgm:forEach>
    <dgm:forEach name="Name50" axis="ch" ptType="node" cnt="1">
      <dgm:choose name="Name51">
        <dgm:if name="Name52" axis="root des" ptType="all node" func="maxDepth" op="gte" val="2">
          <dgm:layoutNode name="rect1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53">
          <dgm:layoutNode name="rect1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54" axis="ch" ptType="node" st="2" cnt="1">
      <dgm:choose name="Name55">
        <dgm:if name="Name56" axis="root des" ptType="all node" func="maxDepth" op="gte" val="2">
          <dgm:layoutNode name="rect2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2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57">
          <dgm:layoutNode name="rect2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58" axis="ch" ptType="node" st="3" cnt="1">
      <dgm:choose name="Name59">
        <dgm:if name="Name60" axis="root des" ptType="all node" func="maxDepth" op="gte" val="2">
          <dgm:layoutNode name="rect3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3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1">
          <dgm:layoutNode name="rect3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62" axis="ch" ptType="node" st="4" cnt="1">
      <dgm:choose name="Name63">
        <dgm:if name="Name64" axis="root des" ptType="all node" func="maxDepth" op="gte" val="2">
          <dgm:layoutNode name="rect4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4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5">
          <dgm:layoutNode name="rect4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66" axis="ch" ptType="node" st="5" cnt="1">
      <dgm:choose name="Name67">
        <dgm:if name="Name68" axis="root des" ptType="all node" func="maxDepth" op="gte" val="2">
          <dgm:layoutNode name="rect5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5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69">
          <dgm:layoutNode name="rect5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70" axis="ch" ptType="node" st="6" cnt="1">
      <dgm:choose name="Name71">
        <dgm:if name="Name72" axis="root des" ptType="all node" func="maxDepth" op="gte" val="2">
          <dgm:layoutNode name="rect6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6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73">
          <dgm:layoutNode name="rect6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forEach name="Name74" axis="ch" ptType="node" st="7" cnt="1">
      <dgm:choose name="Name75">
        <dgm:if name="Name76" axis="root des" ptType="all node" func="maxDepth" op="gte" val="2">
          <dgm:layoutNode name="rect7ParTx"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7ChTx" styleLbl="alignAcc1">
            <dgm:varLst>
              <dgm:bulletEnabled val="1"/>
            </dgm:varLst>
            <dgm:alg type="tx">
              <dgm:param type="stBulletLvl" val="1"/>
              <dgm:param type="txAnchorVertCh" val="mid"/>
            </dgm:alg>
            <dgm:shape xmlns:r="http://schemas.openxmlformats.org/officeDocument/2006/relationships" type="rect" r:blip="" hideGeom="1">
              <dgm:adjLst/>
            </dgm:shape>
            <dgm:presOf axis="des" ptType="node"/>
            <dgm:constrLst>
              <dgm:constr type="lMarg" refType="secFontSz" fact="0.3"/>
              <dgm:constr type="rMarg" refType="secFontSz" fact="0.3"/>
              <dgm:constr type="tMarg" refType="secFontSz" fact="0.3"/>
              <dgm:constr type="bMarg" refType="secFontSz" fact="0.3"/>
            </dgm:constrLst>
            <dgm:ruleLst>
              <dgm:rule type="secFontSz" val="5" fact="NaN" max="NaN"/>
            </dgm:ruleLst>
          </dgm:layoutNode>
        </dgm:if>
        <dgm:else name="Name77">
          <dgm:layoutNode name="rect7ParTxNoCh" styleLbl="alignAcc1">
            <dgm:varLst>
              <dgm:chMax val="1"/>
              <dgm:bulletEnabled val="1"/>
            </dgm:varLst>
            <dgm:alg type="tx"/>
            <dgm:shape xmlns:r="http://schemas.openxmlformats.org/officeDocument/2006/relationships" type="rect" r:blip="" hideGeom="1">
              <dgm:adjLst/>
            </dgm:shape>
            <dgm:presOf axis="self"/>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3C328AABD4C8E49883AF7DD40DD7927" ma:contentTypeVersion="15" ma:contentTypeDescription="Create a new document." ma:contentTypeScope="" ma:versionID="5551db9e951a4f9837f852e5caf3d125">
  <xsd:schema xmlns:xsd="http://www.w3.org/2001/XMLSchema" xmlns:xs="http://www.w3.org/2001/XMLSchema" xmlns:p="http://schemas.microsoft.com/office/2006/metadata/properties" xmlns:ns2="b216a581-5805-4dcc-9065-78091fa30ad6" xmlns:ns3="988f68dd-21f3-4c56-9965-1d76ba918335" targetNamespace="http://schemas.microsoft.com/office/2006/metadata/properties" ma:root="true" ma:fieldsID="34dafb1b1302d5407c26b2097d1fd490" ns2:_="" ns3:_="">
    <xsd:import namespace="b216a581-5805-4dcc-9065-78091fa30ad6"/>
    <xsd:import namespace="988f68dd-21f3-4c56-9965-1d76ba9183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16a581-5805-4dcc-9065-78091fa30a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88f68dd-21f3-4c56-9965-1d76ba91833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622f938-6b89-4582-9feb-19426702a369}" ma:internalName="TaxCatchAll" ma:showField="CatchAllData" ma:web="988f68dd-21f3-4c56-9965-1d76ba9183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88f68dd-21f3-4c56-9965-1d76ba918335" xsi:nil="true"/>
    <lcf76f155ced4ddcb4097134ff3c332f xmlns="b216a581-5805-4dcc-9065-78091fa30ad6">
      <Terms xmlns="http://schemas.microsoft.com/office/infopath/2007/PartnerControls"/>
    </lcf76f155ced4ddcb4097134ff3c332f>
    <SharedWithUsers xmlns="988f68dd-21f3-4c56-9965-1d76ba918335">
      <UserInfo>
        <DisplayName>PARRY, Lyndal</DisplayName>
        <AccountId>82</AccountId>
        <AccountType/>
      </UserInfo>
      <UserInfo>
        <DisplayName>BASELER, Kelly</DisplayName>
        <AccountId>62</AccountId>
        <AccountType/>
      </UserInfo>
      <UserInfo>
        <DisplayName>RODRIGUEZ DELGADO, Claudia</DisplayName>
        <AccountId>78</AccountId>
        <AccountType/>
      </UserInfo>
    </SharedWithUsers>
  </documentManagement>
</p:properties>
</file>

<file path=customXml/itemProps1.xml><?xml version="1.0" encoding="utf-8"?>
<ds:datastoreItem xmlns:ds="http://schemas.openxmlformats.org/officeDocument/2006/customXml" ds:itemID="{2932D3B2-7998-40A1-8F03-789AD560932B}">
  <ds:schemaRefs>
    <ds:schemaRef ds:uri="http://schemas.openxmlformats.org/officeDocument/2006/bibliography"/>
  </ds:schemaRefs>
</ds:datastoreItem>
</file>

<file path=customXml/itemProps2.xml><?xml version="1.0" encoding="utf-8"?>
<ds:datastoreItem xmlns:ds="http://schemas.openxmlformats.org/officeDocument/2006/customXml" ds:itemID="{726A8F4A-0132-42CF-B5C0-59BB3CA634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16a581-5805-4dcc-9065-78091fa30ad6"/>
    <ds:schemaRef ds:uri="988f68dd-21f3-4c56-9965-1d76ba9183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988f68dd-21f3-4c56-9965-1d76ba918335"/>
    <ds:schemaRef ds:uri="b216a581-5805-4dcc-9065-78091fa30ad6"/>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57</Pages>
  <Words>22299</Words>
  <Characters>127107</Characters>
  <Application>Microsoft Office Word</Application>
  <DocSecurity>0</DocSecurity>
  <Lines>1059</Lines>
  <Paragraphs>298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149108</CharactersWithSpaces>
  <SharedDoc>false</SharedDoc>
  <HLinks>
    <vt:vector size="684" baseType="variant">
      <vt:variant>
        <vt:i4>2752623</vt:i4>
      </vt:variant>
      <vt:variant>
        <vt:i4>564</vt:i4>
      </vt:variant>
      <vt:variant>
        <vt:i4>0</vt:i4>
      </vt:variant>
      <vt:variant>
        <vt:i4>5</vt:i4>
      </vt:variant>
      <vt:variant>
        <vt:lpwstr>http://www.msac.gov.au/internet/msac/publishing.nsf/Content/MSAC-Guidelines</vt:lpwstr>
      </vt:variant>
      <vt:variant>
        <vt:lpwstr/>
      </vt:variant>
      <vt:variant>
        <vt:i4>4784214</vt:i4>
      </vt:variant>
      <vt:variant>
        <vt:i4>561</vt:i4>
      </vt:variant>
      <vt:variant>
        <vt:i4>0</vt:i4>
      </vt:variant>
      <vt:variant>
        <vt:i4>5</vt:i4>
      </vt:variant>
      <vt:variant>
        <vt:lpwstr/>
      </vt:variant>
      <vt:variant>
        <vt:lpwstr>_Appendix_A</vt:lpwstr>
      </vt:variant>
      <vt:variant>
        <vt:i4>3080300</vt:i4>
      </vt:variant>
      <vt:variant>
        <vt:i4>558</vt:i4>
      </vt:variant>
      <vt:variant>
        <vt:i4>0</vt:i4>
      </vt:variant>
      <vt:variant>
        <vt:i4>5</vt:i4>
      </vt:variant>
      <vt:variant>
        <vt:lpwstr>https://www.nhmrc.gov.au/guidelines</vt:lpwstr>
      </vt:variant>
      <vt:variant>
        <vt:lpwstr/>
      </vt:variant>
      <vt:variant>
        <vt:i4>2752623</vt:i4>
      </vt:variant>
      <vt:variant>
        <vt:i4>555</vt:i4>
      </vt:variant>
      <vt:variant>
        <vt:i4>0</vt:i4>
      </vt:variant>
      <vt:variant>
        <vt:i4>5</vt:i4>
      </vt:variant>
      <vt:variant>
        <vt:lpwstr>http://www.msac.gov.au/internet/msac/publishing.nsf/Content/MSAC-Guidelines</vt:lpwstr>
      </vt:variant>
      <vt:variant>
        <vt:lpwstr/>
      </vt:variant>
      <vt:variant>
        <vt:i4>3997744</vt:i4>
      </vt:variant>
      <vt:variant>
        <vt:i4>552</vt:i4>
      </vt:variant>
      <vt:variant>
        <vt:i4>0</vt:i4>
      </vt:variant>
      <vt:variant>
        <vt:i4>5</vt:i4>
      </vt:variant>
      <vt:variant>
        <vt:lpwstr>http://www.msac.gov.au/</vt:lpwstr>
      </vt:variant>
      <vt:variant>
        <vt:lpwstr/>
      </vt:variant>
      <vt:variant>
        <vt:i4>7733320</vt:i4>
      </vt:variant>
      <vt:variant>
        <vt:i4>549</vt:i4>
      </vt:variant>
      <vt:variant>
        <vt:i4>0</vt:i4>
      </vt:variant>
      <vt:variant>
        <vt:i4>5</vt:i4>
      </vt:variant>
      <vt:variant>
        <vt:lpwstr/>
      </vt:variant>
      <vt:variant>
        <vt:lpwstr>_Tier_2:_Clinical</vt:lpwstr>
      </vt:variant>
      <vt:variant>
        <vt:i4>4784214</vt:i4>
      </vt:variant>
      <vt:variant>
        <vt:i4>546</vt:i4>
      </vt:variant>
      <vt:variant>
        <vt:i4>0</vt:i4>
      </vt:variant>
      <vt:variant>
        <vt:i4>5</vt:i4>
      </vt:variant>
      <vt:variant>
        <vt:lpwstr/>
      </vt:variant>
      <vt:variant>
        <vt:lpwstr>_Appendix_B</vt:lpwstr>
      </vt:variant>
      <vt:variant>
        <vt:i4>7274587</vt:i4>
      </vt:variant>
      <vt:variant>
        <vt:i4>543</vt:i4>
      </vt:variant>
      <vt:variant>
        <vt:i4>0</vt:i4>
      </vt:variant>
      <vt:variant>
        <vt:i4>5</vt:i4>
      </vt:variant>
      <vt:variant>
        <vt:lpwstr/>
      </vt:variant>
      <vt:variant>
        <vt:lpwstr>_Clinical_and_Economic</vt:lpwstr>
      </vt:variant>
      <vt:variant>
        <vt:i4>4391019</vt:i4>
      </vt:variant>
      <vt:variant>
        <vt:i4>540</vt:i4>
      </vt:variant>
      <vt:variant>
        <vt:i4>0</vt:i4>
      </vt:variant>
      <vt:variant>
        <vt:i4>5</vt:i4>
      </vt:variant>
      <vt:variant>
        <vt:lpwstr/>
      </vt:variant>
      <vt:variant>
        <vt:lpwstr>_Cost_recovery_levy</vt:lpwstr>
      </vt:variant>
      <vt:variant>
        <vt:i4>3997744</vt:i4>
      </vt:variant>
      <vt:variant>
        <vt:i4>537</vt:i4>
      </vt:variant>
      <vt:variant>
        <vt:i4>0</vt:i4>
      </vt:variant>
      <vt:variant>
        <vt:i4>5</vt:i4>
      </vt:variant>
      <vt:variant>
        <vt:lpwstr>http://www.msac.gov.au/</vt:lpwstr>
      </vt:variant>
      <vt:variant>
        <vt:lpwstr/>
      </vt:variant>
      <vt:variant>
        <vt:i4>5636173</vt:i4>
      </vt:variant>
      <vt:variant>
        <vt:i4>534</vt:i4>
      </vt:variant>
      <vt:variant>
        <vt:i4>0</vt:i4>
      </vt:variant>
      <vt:variant>
        <vt:i4>5</vt:i4>
      </vt:variant>
      <vt:variant>
        <vt:lpwstr/>
      </vt:variant>
      <vt:variant>
        <vt:lpwstr>_Comparator_details</vt:lpwstr>
      </vt:variant>
      <vt:variant>
        <vt:i4>4784214</vt:i4>
      </vt:variant>
      <vt:variant>
        <vt:i4>531</vt:i4>
      </vt:variant>
      <vt:variant>
        <vt:i4>0</vt:i4>
      </vt:variant>
      <vt:variant>
        <vt:i4>5</vt:i4>
      </vt:variant>
      <vt:variant>
        <vt:lpwstr/>
      </vt:variant>
      <vt:variant>
        <vt:lpwstr>_Appendix_B</vt:lpwstr>
      </vt:variant>
      <vt:variant>
        <vt:i4>4784214</vt:i4>
      </vt:variant>
      <vt:variant>
        <vt:i4>528</vt:i4>
      </vt:variant>
      <vt:variant>
        <vt:i4>0</vt:i4>
      </vt:variant>
      <vt:variant>
        <vt:i4>5</vt:i4>
      </vt:variant>
      <vt:variant>
        <vt:lpwstr/>
      </vt:variant>
      <vt:variant>
        <vt:lpwstr>_Appendix_B</vt:lpwstr>
      </vt:variant>
      <vt:variant>
        <vt:i4>1703986</vt:i4>
      </vt:variant>
      <vt:variant>
        <vt:i4>525</vt:i4>
      </vt:variant>
      <vt:variant>
        <vt:i4>0</vt:i4>
      </vt:variant>
      <vt:variant>
        <vt:i4>5</vt:i4>
      </vt:variant>
      <vt:variant>
        <vt:lpwstr/>
      </vt:variant>
      <vt:variant>
        <vt:lpwstr>_Chapter_6:_Information</vt:lpwstr>
      </vt:variant>
      <vt:variant>
        <vt:i4>3211366</vt:i4>
      </vt:variant>
      <vt:variant>
        <vt:i4>522</vt:i4>
      </vt:variant>
      <vt:variant>
        <vt:i4>0</vt:i4>
      </vt:variant>
      <vt:variant>
        <vt:i4>5</vt:i4>
      </vt:variant>
      <vt:variant>
        <vt:lpwstr>https://www.health.gov.au/topics/private-health-insurance/the-prostheses-list/the-prostheses-list-reforms?language=und</vt:lpwstr>
      </vt:variant>
      <vt:variant>
        <vt:lpwstr/>
      </vt:variant>
      <vt:variant>
        <vt:i4>3670063</vt:i4>
      </vt:variant>
      <vt:variant>
        <vt:i4>519</vt:i4>
      </vt:variant>
      <vt:variant>
        <vt:i4>0</vt:i4>
      </vt:variant>
      <vt:variant>
        <vt:i4>5</vt:i4>
      </vt:variant>
      <vt:variant>
        <vt:lpwstr>https://www.health.gov.au/resources/videos/changes-to-the-prostheses-list-timeframes-202324</vt:lpwstr>
      </vt:variant>
      <vt:variant>
        <vt:lpwstr/>
      </vt:variant>
      <vt:variant>
        <vt:i4>7405631</vt:i4>
      </vt:variant>
      <vt:variant>
        <vt:i4>516</vt:i4>
      </vt:variant>
      <vt:variant>
        <vt:i4>0</vt:i4>
      </vt:variant>
      <vt:variant>
        <vt:i4>5</vt:i4>
      </vt:variant>
      <vt:variant>
        <vt:lpwstr>https://hpp.health.gov.au/</vt:lpwstr>
      </vt:variant>
      <vt:variant>
        <vt:lpwstr/>
      </vt:variant>
      <vt:variant>
        <vt:i4>5439572</vt:i4>
      </vt:variant>
      <vt:variant>
        <vt:i4>513</vt:i4>
      </vt:variant>
      <vt:variant>
        <vt:i4>0</vt:i4>
      </vt:variant>
      <vt:variant>
        <vt:i4>5</vt:i4>
      </vt:variant>
      <vt:variant>
        <vt:lpwstr>https://www.health.gov.au/resources/publications/cost-recovery-implementation-statement-2023-2024?language=en</vt:lpwstr>
      </vt:variant>
      <vt:variant>
        <vt:lpwstr/>
      </vt:variant>
      <vt:variant>
        <vt:i4>8257629</vt:i4>
      </vt:variant>
      <vt:variant>
        <vt:i4>510</vt:i4>
      </vt:variant>
      <vt:variant>
        <vt:i4>0</vt:i4>
      </vt:variant>
      <vt:variant>
        <vt:i4>5</vt:i4>
      </vt:variant>
      <vt:variant>
        <vt:lpwstr/>
      </vt:variant>
      <vt:variant>
        <vt:lpwstr>_Tier_3:_Full</vt:lpwstr>
      </vt:variant>
      <vt:variant>
        <vt:i4>5439572</vt:i4>
      </vt:variant>
      <vt:variant>
        <vt:i4>507</vt:i4>
      </vt:variant>
      <vt:variant>
        <vt:i4>0</vt:i4>
      </vt:variant>
      <vt:variant>
        <vt:i4>5</vt:i4>
      </vt:variant>
      <vt:variant>
        <vt:lpwstr>https://www.health.gov.au/resources/publications/cost-recovery-implementation-statement-2023-2024?language=en</vt:lpwstr>
      </vt:variant>
      <vt:variant>
        <vt:lpwstr/>
      </vt:variant>
      <vt:variant>
        <vt:i4>5832826</vt:i4>
      </vt:variant>
      <vt:variant>
        <vt:i4>504</vt:i4>
      </vt:variant>
      <vt:variant>
        <vt:i4>0</vt:i4>
      </vt:variant>
      <vt:variant>
        <vt:i4>5</vt:i4>
      </vt:variant>
      <vt:variant>
        <vt:lpwstr/>
      </vt:variant>
      <vt:variant>
        <vt:lpwstr>_Assessment_of_Part</vt:lpwstr>
      </vt:variant>
      <vt:variant>
        <vt:i4>5439572</vt:i4>
      </vt:variant>
      <vt:variant>
        <vt:i4>501</vt:i4>
      </vt:variant>
      <vt:variant>
        <vt:i4>0</vt:i4>
      </vt:variant>
      <vt:variant>
        <vt:i4>5</vt:i4>
      </vt:variant>
      <vt:variant>
        <vt:lpwstr>https://www.health.gov.au/resources/publications/cost-recovery-implementation-statement-2023-2024?language=en</vt:lpwstr>
      </vt:variant>
      <vt:variant>
        <vt:lpwstr/>
      </vt:variant>
      <vt:variant>
        <vt:i4>7340107</vt:i4>
      </vt:variant>
      <vt:variant>
        <vt:i4>498</vt:i4>
      </vt:variant>
      <vt:variant>
        <vt:i4>0</vt:i4>
      </vt:variant>
      <vt:variant>
        <vt:i4>5</vt:i4>
      </vt:variant>
      <vt:variant>
        <vt:lpwstr/>
      </vt:variant>
      <vt:variant>
        <vt:lpwstr>_Tier_1:_Departmental</vt:lpwstr>
      </vt:variant>
      <vt:variant>
        <vt:i4>7798819</vt:i4>
      </vt:variant>
      <vt:variant>
        <vt:i4>495</vt:i4>
      </vt:variant>
      <vt:variant>
        <vt:i4>0</vt:i4>
      </vt:variant>
      <vt:variant>
        <vt:i4>5</vt:i4>
      </vt:variant>
      <vt:variant>
        <vt:lpwstr>https://www.legislation.gov.au/Details/F2023L00796</vt:lpwstr>
      </vt:variant>
      <vt:variant>
        <vt:lpwstr/>
      </vt:variant>
      <vt:variant>
        <vt:i4>4456522</vt:i4>
      </vt:variant>
      <vt:variant>
        <vt:i4>492</vt:i4>
      </vt:variant>
      <vt:variant>
        <vt:i4>0</vt:i4>
      </vt:variant>
      <vt:variant>
        <vt:i4>5</vt:i4>
      </vt:variant>
      <vt:variant>
        <vt:lpwstr>https://www.tga.gov.au/resources/artg</vt:lpwstr>
      </vt:variant>
      <vt:variant>
        <vt:lpwstr/>
      </vt:variant>
      <vt:variant>
        <vt:i4>5111899</vt:i4>
      </vt:variant>
      <vt:variant>
        <vt:i4>489</vt:i4>
      </vt:variant>
      <vt:variant>
        <vt:i4>0</vt:i4>
      </vt:variant>
      <vt:variant>
        <vt:i4>5</vt:i4>
      </vt:variant>
      <vt:variant>
        <vt:lpwstr>https://www.health.gov.au/resources/publications/prostheses-list-compliance-strategy-safeguarding-the-prostheses-list</vt:lpwstr>
      </vt:variant>
      <vt:variant>
        <vt:lpwstr/>
      </vt:variant>
      <vt:variant>
        <vt:i4>3670092</vt:i4>
      </vt:variant>
      <vt:variant>
        <vt:i4>486</vt:i4>
      </vt:variant>
      <vt:variant>
        <vt:i4>0</vt:i4>
      </vt:variant>
      <vt:variant>
        <vt:i4>5</vt:i4>
      </vt:variant>
      <vt:variant>
        <vt:lpwstr>mailto:prosthesescompliance@health.gov.au</vt:lpwstr>
      </vt:variant>
      <vt:variant>
        <vt:lpwstr/>
      </vt:variant>
      <vt:variant>
        <vt:i4>6291574</vt:i4>
      </vt:variant>
      <vt:variant>
        <vt:i4>483</vt:i4>
      </vt:variant>
      <vt:variant>
        <vt:i4>0</vt:i4>
      </vt:variant>
      <vt:variant>
        <vt:i4>5</vt:i4>
      </vt:variant>
      <vt:variant>
        <vt:lpwstr>https://www.health.gov.au/resources/publications/prostheses-list-post-listing-review-framework</vt:lpwstr>
      </vt:variant>
      <vt:variant>
        <vt:lpwstr/>
      </vt:variant>
      <vt:variant>
        <vt:i4>3538981</vt:i4>
      </vt:variant>
      <vt:variant>
        <vt:i4>480</vt:i4>
      </vt:variant>
      <vt:variant>
        <vt:i4>0</vt:i4>
      </vt:variant>
      <vt:variant>
        <vt:i4>5</vt:i4>
      </vt:variant>
      <vt:variant>
        <vt:lpwstr/>
      </vt:variant>
      <vt:variant>
        <vt:lpwstr>_Parallel_process</vt:lpwstr>
      </vt:variant>
      <vt:variant>
        <vt:i4>3997744</vt:i4>
      </vt:variant>
      <vt:variant>
        <vt:i4>477</vt:i4>
      </vt:variant>
      <vt:variant>
        <vt:i4>0</vt:i4>
      </vt:variant>
      <vt:variant>
        <vt:i4>5</vt:i4>
      </vt:variant>
      <vt:variant>
        <vt:lpwstr>http://www.msac.gov.au/</vt:lpwstr>
      </vt:variant>
      <vt:variant>
        <vt:lpwstr/>
      </vt:variant>
      <vt:variant>
        <vt:i4>1114146</vt:i4>
      </vt:variant>
      <vt:variant>
        <vt:i4>474</vt:i4>
      </vt:variant>
      <vt:variant>
        <vt:i4>0</vt:i4>
      </vt:variant>
      <vt:variant>
        <vt:i4>5</vt:i4>
      </vt:variant>
      <vt:variant>
        <vt:lpwstr/>
      </vt:variant>
      <vt:variant>
        <vt:lpwstr>_PART_2:_TECHNICAL</vt:lpwstr>
      </vt:variant>
      <vt:variant>
        <vt:i4>1114146</vt:i4>
      </vt:variant>
      <vt:variant>
        <vt:i4>471</vt:i4>
      </vt:variant>
      <vt:variant>
        <vt:i4>0</vt:i4>
      </vt:variant>
      <vt:variant>
        <vt:i4>5</vt:i4>
      </vt:variant>
      <vt:variant>
        <vt:lpwstr/>
      </vt:variant>
      <vt:variant>
        <vt:lpwstr>_PART_2:_TECHNICAL</vt:lpwstr>
      </vt:variant>
      <vt:variant>
        <vt:i4>5832826</vt:i4>
      </vt:variant>
      <vt:variant>
        <vt:i4>468</vt:i4>
      </vt:variant>
      <vt:variant>
        <vt:i4>0</vt:i4>
      </vt:variant>
      <vt:variant>
        <vt:i4>5</vt:i4>
      </vt:variant>
      <vt:variant>
        <vt:lpwstr/>
      </vt:variant>
      <vt:variant>
        <vt:lpwstr>_Assessment_of_Part</vt:lpwstr>
      </vt:variant>
      <vt:variant>
        <vt:i4>7798819</vt:i4>
      </vt:variant>
      <vt:variant>
        <vt:i4>465</vt:i4>
      </vt:variant>
      <vt:variant>
        <vt:i4>0</vt:i4>
      </vt:variant>
      <vt:variant>
        <vt:i4>5</vt:i4>
      </vt:variant>
      <vt:variant>
        <vt:lpwstr>https://www.legislation.gov.au/Details/F2023L00796</vt:lpwstr>
      </vt:variant>
      <vt:variant>
        <vt:lpwstr/>
      </vt:variant>
      <vt:variant>
        <vt:i4>1507379</vt:i4>
      </vt:variant>
      <vt:variant>
        <vt:i4>462</vt:i4>
      </vt:variant>
      <vt:variant>
        <vt:i4>0</vt:i4>
      </vt:variant>
      <vt:variant>
        <vt:i4>5</vt:i4>
      </vt:variant>
      <vt:variant>
        <vt:lpwstr/>
      </vt:variant>
      <vt:variant>
        <vt:lpwstr>_Ministerial_decisions_on</vt:lpwstr>
      </vt:variant>
      <vt:variant>
        <vt:i4>7798819</vt:i4>
      </vt:variant>
      <vt:variant>
        <vt:i4>459</vt:i4>
      </vt:variant>
      <vt:variant>
        <vt:i4>0</vt:i4>
      </vt:variant>
      <vt:variant>
        <vt:i4>5</vt:i4>
      </vt:variant>
      <vt:variant>
        <vt:lpwstr>https://www.legislation.gov.au/Details/F2023L00796</vt:lpwstr>
      </vt:variant>
      <vt:variant>
        <vt:lpwstr/>
      </vt:variant>
      <vt:variant>
        <vt:i4>8257575</vt:i4>
      </vt:variant>
      <vt:variant>
        <vt:i4>456</vt:i4>
      </vt:variant>
      <vt:variant>
        <vt:i4>0</vt:i4>
      </vt:variant>
      <vt:variant>
        <vt:i4>5</vt:i4>
      </vt:variant>
      <vt:variant>
        <vt:lpwstr>https://www.legislation.gov.au/Details/C2016C00911</vt:lpwstr>
      </vt:variant>
      <vt:variant>
        <vt:lpwstr/>
      </vt:variant>
      <vt:variant>
        <vt:i4>4063318</vt:i4>
      </vt:variant>
      <vt:variant>
        <vt:i4>453</vt:i4>
      </vt:variant>
      <vt:variant>
        <vt:i4>0</vt:i4>
      </vt:variant>
      <vt:variant>
        <vt:i4>5</vt:i4>
      </vt:variant>
      <vt:variant>
        <vt:lpwstr>mailto:prosthesesreform@health.gov.au</vt:lpwstr>
      </vt:variant>
      <vt:variant>
        <vt:lpwstr/>
      </vt:variant>
      <vt:variant>
        <vt:i4>7405631</vt:i4>
      </vt:variant>
      <vt:variant>
        <vt:i4>450</vt:i4>
      </vt:variant>
      <vt:variant>
        <vt:i4>0</vt:i4>
      </vt:variant>
      <vt:variant>
        <vt:i4>5</vt:i4>
      </vt:variant>
      <vt:variant>
        <vt:lpwstr>https://hpp.health.gov.au/</vt:lpwstr>
      </vt:variant>
      <vt:variant>
        <vt:lpwstr/>
      </vt:variant>
      <vt:variant>
        <vt:i4>3997744</vt:i4>
      </vt:variant>
      <vt:variant>
        <vt:i4>447</vt:i4>
      </vt:variant>
      <vt:variant>
        <vt:i4>0</vt:i4>
      </vt:variant>
      <vt:variant>
        <vt:i4>5</vt:i4>
      </vt:variant>
      <vt:variant>
        <vt:lpwstr>http://www.msac.gov.au/</vt:lpwstr>
      </vt:variant>
      <vt:variant>
        <vt:lpwstr/>
      </vt:variant>
      <vt:variant>
        <vt:i4>1572922</vt:i4>
      </vt:variant>
      <vt:variant>
        <vt:i4>440</vt:i4>
      </vt:variant>
      <vt:variant>
        <vt:i4>0</vt:i4>
      </vt:variant>
      <vt:variant>
        <vt:i4>5</vt:i4>
      </vt:variant>
      <vt:variant>
        <vt:lpwstr/>
      </vt:variant>
      <vt:variant>
        <vt:lpwstr>_Toc138945700</vt:lpwstr>
      </vt:variant>
      <vt:variant>
        <vt:i4>1114171</vt:i4>
      </vt:variant>
      <vt:variant>
        <vt:i4>434</vt:i4>
      </vt:variant>
      <vt:variant>
        <vt:i4>0</vt:i4>
      </vt:variant>
      <vt:variant>
        <vt:i4>5</vt:i4>
      </vt:variant>
      <vt:variant>
        <vt:lpwstr/>
      </vt:variant>
      <vt:variant>
        <vt:lpwstr>_Toc138945699</vt:lpwstr>
      </vt:variant>
      <vt:variant>
        <vt:i4>1114171</vt:i4>
      </vt:variant>
      <vt:variant>
        <vt:i4>428</vt:i4>
      </vt:variant>
      <vt:variant>
        <vt:i4>0</vt:i4>
      </vt:variant>
      <vt:variant>
        <vt:i4>5</vt:i4>
      </vt:variant>
      <vt:variant>
        <vt:lpwstr/>
      </vt:variant>
      <vt:variant>
        <vt:lpwstr>_Toc138945698</vt:lpwstr>
      </vt:variant>
      <vt:variant>
        <vt:i4>1114171</vt:i4>
      </vt:variant>
      <vt:variant>
        <vt:i4>422</vt:i4>
      </vt:variant>
      <vt:variant>
        <vt:i4>0</vt:i4>
      </vt:variant>
      <vt:variant>
        <vt:i4>5</vt:i4>
      </vt:variant>
      <vt:variant>
        <vt:lpwstr/>
      </vt:variant>
      <vt:variant>
        <vt:lpwstr>_Toc138945697</vt:lpwstr>
      </vt:variant>
      <vt:variant>
        <vt:i4>1114171</vt:i4>
      </vt:variant>
      <vt:variant>
        <vt:i4>416</vt:i4>
      </vt:variant>
      <vt:variant>
        <vt:i4>0</vt:i4>
      </vt:variant>
      <vt:variant>
        <vt:i4>5</vt:i4>
      </vt:variant>
      <vt:variant>
        <vt:lpwstr/>
      </vt:variant>
      <vt:variant>
        <vt:lpwstr>_Toc138945696</vt:lpwstr>
      </vt:variant>
      <vt:variant>
        <vt:i4>1114171</vt:i4>
      </vt:variant>
      <vt:variant>
        <vt:i4>410</vt:i4>
      </vt:variant>
      <vt:variant>
        <vt:i4>0</vt:i4>
      </vt:variant>
      <vt:variant>
        <vt:i4>5</vt:i4>
      </vt:variant>
      <vt:variant>
        <vt:lpwstr/>
      </vt:variant>
      <vt:variant>
        <vt:lpwstr>_Toc138945695</vt:lpwstr>
      </vt:variant>
      <vt:variant>
        <vt:i4>1114171</vt:i4>
      </vt:variant>
      <vt:variant>
        <vt:i4>404</vt:i4>
      </vt:variant>
      <vt:variant>
        <vt:i4>0</vt:i4>
      </vt:variant>
      <vt:variant>
        <vt:i4>5</vt:i4>
      </vt:variant>
      <vt:variant>
        <vt:lpwstr/>
      </vt:variant>
      <vt:variant>
        <vt:lpwstr>_Toc138945694</vt:lpwstr>
      </vt:variant>
      <vt:variant>
        <vt:i4>1114171</vt:i4>
      </vt:variant>
      <vt:variant>
        <vt:i4>398</vt:i4>
      </vt:variant>
      <vt:variant>
        <vt:i4>0</vt:i4>
      </vt:variant>
      <vt:variant>
        <vt:i4>5</vt:i4>
      </vt:variant>
      <vt:variant>
        <vt:lpwstr/>
      </vt:variant>
      <vt:variant>
        <vt:lpwstr>_Toc138945693</vt:lpwstr>
      </vt:variant>
      <vt:variant>
        <vt:i4>1114171</vt:i4>
      </vt:variant>
      <vt:variant>
        <vt:i4>392</vt:i4>
      </vt:variant>
      <vt:variant>
        <vt:i4>0</vt:i4>
      </vt:variant>
      <vt:variant>
        <vt:i4>5</vt:i4>
      </vt:variant>
      <vt:variant>
        <vt:lpwstr/>
      </vt:variant>
      <vt:variant>
        <vt:lpwstr>_Toc138945692</vt:lpwstr>
      </vt:variant>
      <vt:variant>
        <vt:i4>1114171</vt:i4>
      </vt:variant>
      <vt:variant>
        <vt:i4>386</vt:i4>
      </vt:variant>
      <vt:variant>
        <vt:i4>0</vt:i4>
      </vt:variant>
      <vt:variant>
        <vt:i4>5</vt:i4>
      </vt:variant>
      <vt:variant>
        <vt:lpwstr/>
      </vt:variant>
      <vt:variant>
        <vt:lpwstr>_Toc138945691</vt:lpwstr>
      </vt:variant>
      <vt:variant>
        <vt:i4>1114171</vt:i4>
      </vt:variant>
      <vt:variant>
        <vt:i4>380</vt:i4>
      </vt:variant>
      <vt:variant>
        <vt:i4>0</vt:i4>
      </vt:variant>
      <vt:variant>
        <vt:i4>5</vt:i4>
      </vt:variant>
      <vt:variant>
        <vt:lpwstr/>
      </vt:variant>
      <vt:variant>
        <vt:lpwstr>_Toc138945690</vt:lpwstr>
      </vt:variant>
      <vt:variant>
        <vt:i4>1048635</vt:i4>
      </vt:variant>
      <vt:variant>
        <vt:i4>374</vt:i4>
      </vt:variant>
      <vt:variant>
        <vt:i4>0</vt:i4>
      </vt:variant>
      <vt:variant>
        <vt:i4>5</vt:i4>
      </vt:variant>
      <vt:variant>
        <vt:lpwstr/>
      </vt:variant>
      <vt:variant>
        <vt:lpwstr>_Toc138945689</vt:lpwstr>
      </vt:variant>
      <vt:variant>
        <vt:i4>1048635</vt:i4>
      </vt:variant>
      <vt:variant>
        <vt:i4>368</vt:i4>
      </vt:variant>
      <vt:variant>
        <vt:i4>0</vt:i4>
      </vt:variant>
      <vt:variant>
        <vt:i4>5</vt:i4>
      </vt:variant>
      <vt:variant>
        <vt:lpwstr/>
      </vt:variant>
      <vt:variant>
        <vt:lpwstr>_Toc138945688</vt:lpwstr>
      </vt:variant>
      <vt:variant>
        <vt:i4>1048635</vt:i4>
      </vt:variant>
      <vt:variant>
        <vt:i4>362</vt:i4>
      </vt:variant>
      <vt:variant>
        <vt:i4>0</vt:i4>
      </vt:variant>
      <vt:variant>
        <vt:i4>5</vt:i4>
      </vt:variant>
      <vt:variant>
        <vt:lpwstr/>
      </vt:variant>
      <vt:variant>
        <vt:lpwstr>_Toc138945687</vt:lpwstr>
      </vt:variant>
      <vt:variant>
        <vt:i4>1048635</vt:i4>
      </vt:variant>
      <vt:variant>
        <vt:i4>356</vt:i4>
      </vt:variant>
      <vt:variant>
        <vt:i4>0</vt:i4>
      </vt:variant>
      <vt:variant>
        <vt:i4>5</vt:i4>
      </vt:variant>
      <vt:variant>
        <vt:lpwstr/>
      </vt:variant>
      <vt:variant>
        <vt:lpwstr>_Toc138945686</vt:lpwstr>
      </vt:variant>
      <vt:variant>
        <vt:i4>1048635</vt:i4>
      </vt:variant>
      <vt:variant>
        <vt:i4>350</vt:i4>
      </vt:variant>
      <vt:variant>
        <vt:i4>0</vt:i4>
      </vt:variant>
      <vt:variant>
        <vt:i4>5</vt:i4>
      </vt:variant>
      <vt:variant>
        <vt:lpwstr/>
      </vt:variant>
      <vt:variant>
        <vt:lpwstr>_Toc138945685</vt:lpwstr>
      </vt:variant>
      <vt:variant>
        <vt:i4>1048635</vt:i4>
      </vt:variant>
      <vt:variant>
        <vt:i4>344</vt:i4>
      </vt:variant>
      <vt:variant>
        <vt:i4>0</vt:i4>
      </vt:variant>
      <vt:variant>
        <vt:i4>5</vt:i4>
      </vt:variant>
      <vt:variant>
        <vt:lpwstr/>
      </vt:variant>
      <vt:variant>
        <vt:lpwstr>_Toc138945684</vt:lpwstr>
      </vt:variant>
      <vt:variant>
        <vt:i4>1048635</vt:i4>
      </vt:variant>
      <vt:variant>
        <vt:i4>338</vt:i4>
      </vt:variant>
      <vt:variant>
        <vt:i4>0</vt:i4>
      </vt:variant>
      <vt:variant>
        <vt:i4>5</vt:i4>
      </vt:variant>
      <vt:variant>
        <vt:lpwstr/>
      </vt:variant>
      <vt:variant>
        <vt:lpwstr>_Toc138945683</vt:lpwstr>
      </vt:variant>
      <vt:variant>
        <vt:i4>1048635</vt:i4>
      </vt:variant>
      <vt:variant>
        <vt:i4>332</vt:i4>
      </vt:variant>
      <vt:variant>
        <vt:i4>0</vt:i4>
      </vt:variant>
      <vt:variant>
        <vt:i4>5</vt:i4>
      </vt:variant>
      <vt:variant>
        <vt:lpwstr/>
      </vt:variant>
      <vt:variant>
        <vt:lpwstr>_Toc138945682</vt:lpwstr>
      </vt:variant>
      <vt:variant>
        <vt:i4>1048635</vt:i4>
      </vt:variant>
      <vt:variant>
        <vt:i4>326</vt:i4>
      </vt:variant>
      <vt:variant>
        <vt:i4>0</vt:i4>
      </vt:variant>
      <vt:variant>
        <vt:i4>5</vt:i4>
      </vt:variant>
      <vt:variant>
        <vt:lpwstr/>
      </vt:variant>
      <vt:variant>
        <vt:lpwstr>_Toc138945681</vt:lpwstr>
      </vt:variant>
      <vt:variant>
        <vt:i4>1048635</vt:i4>
      </vt:variant>
      <vt:variant>
        <vt:i4>320</vt:i4>
      </vt:variant>
      <vt:variant>
        <vt:i4>0</vt:i4>
      </vt:variant>
      <vt:variant>
        <vt:i4>5</vt:i4>
      </vt:variant>
      <vt:variant>
        <vt:lpwstr/>
      </vt:variant>
      <vt:variant>
        <vt:lpwstr>_Toc138945680</vt:lpwstr>
      </vt:variant>
      <vt:variant>
        <vt:i4>2031675</vt:i4>
      </vt:variant>
      <vt:variant>
        <vt:i4>314</vt:i4>
      </vt:variant>
      <vt:variant>
        <vt:i4>0</vt:i4>
      </vt:variant>
      <vt:variant>
        <vt:i4>5</vt:i4>
      </vt:variant>
      <vt:variant>
        <vt:lpwstr/>
      </vt:variant>
      <vt:variant>
        <vt:lpwstr>_Toc138945679</vt:lpwstr>
      </vt:variant>
      <vt:variant>
        <vt:i4>2031675</vt:i4>
      </vt:variant>
      <vt:variant>
        <vt:i4>308</vt:i4>
      </vt:variant>
      <vt:variant>
        <vt:i4>0</vt:i4>
      </vt:variant>
      <vt:variant>
        <vt:i4>5</vt:i4>
      </vt:variant>
      <vt:variant>
        <vt:lpwstr/>
      </vt:variant>
      <vt:variant>
        <vt:lpwstr>_Toc138945678</vt:lpwstr>
      </vt:variant>
      <vt:variant>
        <vt:i4>2031675</vt:i4>
      </vt:variant>
      <vt:variant>
        <vt:i4>302</vt:i4>
      </vt:variant>
      <vt:variant>
        <vt:i4>0</vt:i4>
      </vt:variant>
      <vt:variant>
        <vt:i4>5</vt:i4>
      </vt:variant>
      <vt:variant>
        <vt:lpwstr/>
      </vt:variant>
      <vt:variant>
        <vt:lpwstr>_Toc138945677</vt:lpwstr>
      </vt:variant>
      <vt:variant>
        <vt:i4>2031675</vt:i4>
      </vt:variant>
      <vt:variant>
        <vt:i4>296</vt:i4>
      </vt:variant>
      <vt:variant>
        <vt:i4>0</vt:i4>
      </vt:variant>
      <vt:variant>
        <vt:i4>5</vt:i4>
      </vt:variant>
      <vt:variant>
        <vt:lpwstr/>
      </vt:variant>
      <vt:variant>
        <vt:lpwstr>_Toc138945676</vt:lpwstr>
      </vt:variant>
      <vt:variant>
        <vt:i4>2031675</vt:i4>
      </vt:variant>
      <vt:variant>
        <vt:i4>290</vt:i4>
      </vt:variant>
      <vt:variant>
        <vt:i4>0</vt:i4>
      </vt:variant>
      <vt:variant>
        <vt:i4>5</vt:i4>
      </vt:variant>
      <vt:variant>
        <vt:lpwstr/>
      </vt:variant>
      <vt:variant>
        <vt:lpwstr>_Toc138945675</vt:lpwstr>
      </vt:variant>
      <vt:variant>
        <vt:i4>2031675</vt:i4>
      </vt:variant>
      <vt:variant>
        <vt:i4>284</vt:i4>
      </vt:variant>
      <vt:variant>
        <vt:i4>0</vt:i4>
      </vt:variant>
      <vt:variant>
        <vt:i4>5</vt:i4>
      </vt:variant>
      <vt:variant>
        <vt:lpwstr/>
      </vt:variant>
      <vt:variant>
        <vt:lpwstr>_Toc138945674</vt:lpwstr>
      </vt:variant>
      <vt:variant>
        <vt:i4>2031675</vt:i4>
      </vt:variant>
      <vt:variant>
        <vt:i4>278</vt:i4>
      </vt:variant>
      <vt:variant>
        <vt:i4>0</vt:i4>
      </vt:variant>
      <vt:variant>
        <vt:i4>5</vt:i4>
      </vt:variant>
      <vt:variant>
        <vt:lpwstr/>
      </vt:variant>
      <vt:variant>
        <vt:lpwstr>_Toc138945673</vt:lpwstr>
      </vt:variant>
      <vt:variant>
        <vt:i4>2031675</vt:i4>
      </vt:variant>
      <vt:variant>
        <vt:i4>272</vt:i4>
      </vt:variant>
      <vt:variant>
        <vt:i4>0</vt:i4>
      </vt:variant>
      <vt:variant>
        <vt:i4>5</vt:i4>
      </vt:variant>
      <vt:variant>
        <vt:lpwstr/>
      </vt:variant>
      <vt:variant>
        <vt:lpwstr>_Toc138945672</vt:lpwstr>
      </vt:variant>
      <vt:variant>
        <vt:i4>2031675</vt:i4>
      </vt:variant>
      <vt:variant>
        <vt:i4>266</vt:i4>
      </vt:variant>
      <vt:variant>
        <vt:i4>0</vt:i4>
      </vt:variant>
      <vt:variant>
        <vt:i4>5</vt:i4>
      </vt:variant>
      <vt:variant>
        <vt:lpwstr/>
      </vt:variant>
      <vt:variant>
        <vt:lpwstr>_Toc138945671</vt:lpwstr>
      </vt:variant>
      <vt:variant>
        <vt:i4>2031675</vt:i4>
      </vt:variant>
      <vt:variant>
        <vt:i4>260</vt:i4>
      </vt:variant>
      <vt:variant>
        <vt:i4>0</vt:i4>
      </vt:variant>
      <vt:variant>
        <vt:i4>5</vt:i4>
      </vt:variant>
      <vt:variant>
        <vt:lpwstr/>
      </vt:variant>
      <vt:variant>
        <vt:lpwstr>_Toc138945670</vt:lpwstr>
      </vt:variant>
      <vt:variant>
        <vt:i4>1966139</vt:i4>
      </vt:variant>
      <vt:variant>
        <vt:i4>254</vt:i4>
      </vt:variant>
      <vt:variant>
        <vt:i4>0</vt:i4>
      </vt:variant>
      <vt:variant>
        <vt:i4>5</vt:i4>
      </vt:variant>
      <vt:variant>
        <vt:lpwstr/>
      </vt:variant>
      <vt:variant>
        <vt:lpwstr>_Toc138945669</vt:lpwstr>
      </vt:variant>
      <vt:variant>
        <vt:i4>1966139</vt:i4>
      </vt:variant>
      <vt:variant>
        <vt:i4>248</vt:i4>
      </vt:variant>
      <vt:variant>
        <vt:i4>0</vt:i4>
      </vt:variant>
      <vt:variant>
        <vt:i4>5</vt:i4>
      </vt:variant>
      <vt:variant>
        <vt:lpwstr/>
      </vt:variant>
      <vt:variant>
        <vt:lpwstr>_Toc138945668</vt:lpwstr>
      </vt:variant>
      <vt:variant>
        <vt:i4>1966139</vt:i4>
      </vt:variant>
      <vt:variant>
        <vt:i4>242</vt:i4>
      </vt:variant>
      <vt:variant>
        <vt:i4>0</vt:i4>
      </vt:variant>
      <vt:variant>
        <vt:i4>5</vt:i4>
      </vt:variant>
      <vt:variant>
        <vt:lpwstr/>
      </vt:variant>
      <vt:variant>
        <vt:lpwstr>_Toc138945667</vt:lpwstr>
      </vt:variant>
      <vt:variant>
        <vt:i4>1966139</vt:i4>
      </vt:variant>
      <vt:variant>
        <vt:i4>236</vt:i4>
      </vt:variant>
      <vt:variant>
        <vt:i4>0</vt:i4>
      </vt:variant>
      <vt:variant>
        <vt:i4>5</vt:i4>
      </vt:variant>
      <vt:variant>
        <vt:lpwstr/>
      </vt:variant>
      <vt:variant>
        <vt:lpwstr>_Toc138945666</vt:lpwstr>
      </vt:variant>
      <vt:variant>
        <vt:i4>1966139</vt:i4>
      </vt:variant>
      <vt:variant>
        <vt:i4>230</vt:i4>
      </vt:variant>
      <vt:variant>
        <vt:i4>0</vt:i4>
      </vt:variant>
      <vt:variant>
        <vt:i4>5</vt:i4>
      </vt:variant>
      <vt:variant>
        <vt:lpwstr/>
      </vt:variant>
      <vt:variant>
        <vt:lpwstr>_Toc138945665</vt:lpwstr>
      </vt:variant>
      <vt:variant>
        <vt:i4>1966139</vt:i4>
      </vt:variant>
      <vt:variant>
        <vt:i4>224</vt:i4>
      </vt:variant>
      <vt:variant>
        <vt:i4>0</vt:i4>
      </vt:variant>
      <vt:variant>
        <vt:i4>5</vt:i4>
      </vt:variant>
      <vt:variant>
        <vt:lpwstr/>
      </vt:variant>
      <vt:variant>
        <vt:lpwstr>_Toc138945664</vt:lpwstr>
      </vt:variant>
      <vt:variant>
        <vt:i4>1966139</vt:i4>
      </vt:variant>
      <vt:variant>
        <vt:i4>218</vt:i4>
      </vt:variant>
      <vt:variant>
        <vt:i4>0</vt:i4>
      </vt:variant>
      <vt:variant>
        <vt:i4>5</vt:i4>
      </vt:variant>
      <vt:variant>
        <vt:lpwstr/>
      </vt:variant>
      <vt:variant>
        <vt:lpwstr>_Toc138945663</vt:lpwstr>
      </vt:variant>
      <vt:variant>
        <vt:i4>1966139</vt:i4>
      </vt:variant>
      <vt:variant>
        <vt:i4>212</vt:i4>
      </vt:variant>
      <vt:variant>
        <vt:i4>0</vt:i4>
      </vt:variant>
      <vt:variant>
        <vt:i4>5</vt:i4>
      </vt:variant>
      <vt:variant>
        <vt:lpwstr/>
      </vt:variant>
      <vt:variant>
        <vt:lpwstr>_Toc138945662</vt:lpwstr>
      </vt:variant>
      <vt:variant>
        <vt:i4>1966139</vt:i4>
      </vt:variant>
      <vt:variant>
        <vt:i4>206</vt:i4>
      </vt:variant>
      <vt:variant>
        <vt:i4>0</vt:i4>
      </vt:variant>
      <vt:variant>
        <vt:i4>5</vt:i4>
      </vt:variant>
      <vt:variant>
        <vt:lpwstr/>
      </vt:variant>
      <vt:variant>
        <vt:lpwstr>_Toc138945661</vt:lpwstr>
      </vt:variant>
      <vt:variant>
        <vt:i4>1966139</vt:i4>
      </vt:variant>
      <vt:variant>
        <vt:i4>200</vt:i4>
      </vt:variant>
      <vt:variant>
        <vt:i4>0</vt:i4>
      </vt:variant>
      <vt:variant>
        <vt:i4>5</vt:i4>
      </vt:variant>
      <vt:variant>
        <vt:lpwstr/>
      </vt:variant>
      <vt:variant>
        <vt:lpwstr>_Toc138945660</vt:lpwstr>
      </vt:variant>
      <vt:variant>
        <vt:i4>1900603</vt:i4>
      </vt:variant>
      <vt:variant>
        <vt:i4>194</vt:i4>
      </vt:variant>
      <vt:variant>
        <vt:i4>0</vt:i4>
      </vt:variant>
      <vt:variant>
        <vt:i4>5</vt:i4>
      </vt:variant>
      <vt:variant>
        <vt:lpwstr/>
      </vt:variant>
      <vt:variant>
        <vt:lpwstr>_Toc138945659</vt:lpwstr>
      </vt:variant>
      <vt:variant>
        <vt:i4>1900603</vt:i4>
      </vt:variant>
      <vt:variant>
        <vt:i4>188</vt:i4>
      </vt:variant>
      <vt:variant>
        <vt:i4>0</vt:i4>
      </vt:variant>
      <vt:variant>
        <vt:i4>5</vt:i4>
      </vt:variant>
      <vt:variant>
        <vt:lpwstr/>
      </vt:variant>
      <vt:variant>
        <vt:lpwstr>_Toc138945658</vt:lpwstr>
      </vt:variant>
      <vt:variant>
        <vt:i4>1900603</vt:i4>
      </vt:variant>
      <vt:variant>
        <vt:i4>182</vt:i4>
      </vt:variant>
      <vt:variant>
        <vt:i4>0</vt:i4>
      </vt:variant>
      <vt:variant>
        <vt:i4>5</vt:i4>
      </vt:variant>
      <vt:variant>
        <vt:lpwstr/>
      </vt:variant>
      <vt:variant>
        <vt:lpwstr>_Toc138945657</vt:lpwstr>
      </vt:variant>
      <vt:variant>
        <vt:i4>1900603</vt:i4>
      </vt:variant>
      <vt:variant>
        <vt:i4>176</vt:i4>
      </vt:variant>
      <vt:variant>
        <vt:i4>0</vt:i4>
      </vt:variant>
      <vt:variant>
        <vt:i4>5</vt:i4>
      </vt:variant>
      <vt:variant>
        <vt:lpwstr/>
      </vt:variant>
      <vt:variant>
        <vt:lpwstr>_Toc138945656</vt:lpwstr>
      </vt:variant>
      <vt:variant>
        <vt:i4>1900603</vt:i4>
      </vt:variant>
      <vt:variant>
        <vt:i4>170</vt:i4>
      </vt:variant>
      <vt:variant>
        <vt:i4>0</vt:i4>
      </vt:variant>
      <vt:variant>
        <vt:i4>5</vt:i4>
      </vt:variant>
      <vt:variant>
        <vt:lpwstr/>
      </vt:variant>
      <vt:variant>
        <vt:lpwstr>_Toc138945655</vt:lpwstr>
      </vt:variant>
      <vt:variant>
        <vt:i4>1900603</vt:i4>
      </vt:variant>
      <vt:variant>
        <vt:i4>164</vt:i4>
      </vt:variant>
      <vt:variant>
        <vt:i4>0</vt:i4>
      </vt:variant>
      <vt:variant>
        <vt:i4>5</vt:i4>
      </vt:variant>
      <vt:variant>
        <vt:lpwstr/>
      </vt:variant>
      <vt:variant>
        <vt:lpwstr>_Toc138945654</vt:lpwstr>
      </vt:variant>
      <vt:variant>
        <vt:i4>1900603</vt:i4>
      </vt:variant>
      <vt:variant>
        <vt:i4>158</vt:i4>
      </vt:variant>
      <vt:variant>
        <vt:i4>0</vt:i4>
      </vt:variant>
      <vt:variant>
        <vt:i4>5</vt:i4>
      </vt:variant>
      <vt:variant>
        <vt:lpwstr/>
      </vt:variant>
      <vt:variant>
        <vt:lpwstr>_Toc138945653</vt:lpwstr>
      </vt:variant>
      <vt:variant>
        <vt:i4>1900603</vt:i4>
      </vt:variant>
      <vt:variant>
        <vt:i4>152</vt:i4>
      </vt:variant>
      <vt:variant>
        <vt:i4>0</vt:i4>
      </vt:variant>
      <vt:variant>
        <vt:i4>5</vt:i4>
      </vt:variant>
      <vt:variant>
        <vt:lpwstr/>
      </vt:variant>
      <vt:variant>
        <vt:lpwstr>_Toc138945652</vt:lpwstr>
      </vt:variant>
      <vt:variant>
        <vt:i4>1900603</vt:i4>
      </vt:variant>
      <vt:variant>
        <vt:i4>146</vt:i4>
      </vt:variant>
      <vt:variant>
        <vt:i4>0</vt:i4>
      </vt:variant>
      <vt:variant>
        <vt:i4>5</vt:i4>
      </vt:variant>
      <vt:variant>
        <vt:lpwstr/>
      </vt:variant>
      <vt:variant>
        <vt:lpwstr>_Toc138945651</vt:lpwstr>
      </vt:variant>
      <vt:variant>
        <vt:i4>1900603</vt:i4>
      </vt:variant>
      <vt:variant>
        <vt:i4>140</vt:i4>
      </vt:variant>
      <vt:variant>
        <vt:i4>0</vt:i4>
      </vt:variant>
      <vt:variant>
        <vt:i4>5</vt:i4>
      </vt:variant>
      <vt:variant>
        <vt:lpwstr/>
      </vt:variant>
      <vt:variant>
        <vt:lpwstr>_Toc138945650</vt:lpwstr>
      </vt:variant>
      <vt:variant>
        <vt:i4>1835067</vt:i4>
      </vt:variant>
      <vt:variant>
        <vt:i4>134</vt:i4>
      </vt:variant>
      <vt:variant>
        <vt:i4>0</vt:i4>
      </vt:variant>
      <vt:variant>
        <vt:i4>5</vt:i4>
      </vt:variant>
      <vt:variant>
        <vt:lpwstr/>
      </vt:variant>
      <vt:variant>
        <vt:lpwstr>_Toc138945649</vt:lpwstr>
      </vt:variant>
      <vt:variant>
        <vt:i4>1835067</vt:i4>
      </vt:variant>
      <vt:variant>
        <vt:i4>128</vt:i4>
      </vt:variant>
      <vt:variant>
        <vt:i4>0</vt:i4>
      </vt:variant>
      <vt:variant>
        <vt:i4>5</vt:i4>
      </vt:variant>
      <vt:variant>
        <vt:lpwstr/>
      </vt:variant>
      <vt:variant>
        <vt:lpwstr>_Toc138945648</vt:lpwstr>
      </vt:variant>
      <vt:variant>
        <vt:i4>1835067</vt:i4>
      </vt:variant>
      <vt:variant>
        <vt:i4>122</vt:i4>
      </vt:variant>
      <vt:variant>
        <vt:i4>0</vt:i4>
      </vt:variant>
      <vt:variant>
        <vt:i4>5</vt:i4>
      </vt:variant>
      <vt:variant>
        <vt:lpwstr/>
      </vt:variant>
      <vt:variant>
        <vt:lpwstr>_Toc138945647</vt:lpwstr>
      </vt:variant>
      <vt:variant>
        <vt:i4>1835067</vt:i4>
      </vt:variant>
      <vt:variant>
        <vt:i4>116</vt:i4>
      </vt:variant>
      <vt:variant>
        <vt:i4>0</vt:i4>
      </vt:variant>
      <vt:variant>
        <vt:i4>5</vt:i4>
      </vt:variant>
      <vt:variant>
        <vt:lpwstr/>
      </vt:variant>
      <vt:variant>
        <vt:lpwstr>_Toc138945646</vt:lpwstr>
      </vt:variant>
      <vt:variant>
        <vt:i4>1835067</vt:i4>
      </vt:variant>
      <vt:variant>
        <vt:i4>110</vt:i4>
      </vt:variant>
      <vt:variant>
        <vt:i4>0</vt:i4>
      </vt:variant>
      <vt:variant>
        <vt:i4>5</vt:i4>
      </vt:variant>
      <vt:variant>
        <vt:lpwstr/>
      </vt:variant>
      <vt:variant>
        <vt:lpwstr>_Toc138945645</vt:lpwstr>
      </vt:variant>
      <vt:variant>
        <vt:i4>1835067</vt:i4>
      </vt:variant>
      <vt:variant>
        <vt:i4>104</vt:i4>
      </vt:variant>
      <vt:variant>
        <vt:i4>0</vt:i4>
      </vt:variant>
      <vt:variant>
        <vt:i4>5</vt:i4>
      </vt:variant>
      <vt:variant>
        <vt:lpwstr/>
      </vt:variant>
      <vt:variant>
        <vt:lpwstr>_Toc138945644</vt:lpwstr>
      </vt:variant>
      <vt:variant>
        <vt:i4>1835067</vt:i4>
      </vt:variant>
      <vt:variant>
        <vt:i4>98</vt:i4>
      </vt:variant>
      <vt:variant>
        <vt:i4>0</vt:i4>
      </vt:variant>
      <vt:variant>
        <vt:i4>5</vt:i4>
      </vt:variant>
      <vt:variant>
        <vt:lpwstr/>
      </vt:variant>
      <vt:variant>
        <vt:lpwstr>_Toc138945643</vt:lpwstr>
      </vt:variant>
      <vt:variant>
        <vt:i4>1835067</vt:i4>
      </vt:variant>
      <vt:variant>
        <vt:i4>92</vt:i4>
      </vt:variant>
      <vt:variant>
        <vt:i4>0</vt:i4>
      </vt:variant>
      <vt:variant>
        <vt:i4>5</vt:i4>
      </vt:variant>
      <vt:variant>
        <vt:lpwstr/>
      </vt:variant>
      <vt:variant>
        <vt:lpwstr>_Toc138945642</vt:lpwstr>
      </vt:variant>
      <vt:variant>
        <vt:i4>1835067</vt:i4>
      </vt:variant>
      <vt:variant>
        <vt:i4>86</vt:i4>
      </vt:variant>
      <vt:variant>
        <vt:i4>0</vt:i4>
      </vt:variant>
      <vt:variant>
        <vt:i4>5</vt:i4>
      </vt:variant>
      <vt:variant>
        <vt:lpwstr/>
      </vt:variant>
      <vt:variant>
        <vt:lpwstr>_Toc138945641</vt:lpwstr>
      </vt:variant>
      <vt:variant>
        <vt:i4>1835067</vt:i4>
      </vt:variant>
      <vt:variant>
        <vt:i4>80</vt:i4>
      </vt:variant>
      <vt:variant>
        <vt:i4>0</vt:i4>
      </vt:variant>
      <vt:variant>
        <vt:i4>5</vt:i4>
      </vt:variant>
      <vt:variant>
        <vt:lpwstr/>
      </vt:variant>
      <vt:variant>
        <vt:lpwstr>_Toc138945640</vt:lpwstr>
      </vt:variant>
      <vt:variant>
        <vt:i4>1769531</vt:i4>
      </vt:variant>
      <vt:variant>
        <vt:i4>74</vt:i4>
      </vt:variant>
      <vt:variant>
        <vt:i4>0</vt:i4>
      </vt:variant>
      <vt:variant>
        <vt:i4>5</vt:i4>
      </vt:variant>
      <vt:variant>
        <vt:lpwstr/>
      </vt:variant>
      <vt:variant>
        <vt:lpwstr>_Toc138945639</vt:lpwstr>
      </vt:variant>
      <vt:variant>
        <vt:i4>1769531</vt:i4>
      </vt:variant>
      <vt:variant>
        <vt:i4>68</vt:i4>
      </vt:variant>
      <vt:variant>
        <vt:i4>0</vt:i4>
      </vt:variant>
      <vt:variant>
        <vt:i4>5</vt:i4>
      </vt:variant>
      <vt:variant>
        <vt:lpwstr/>
      </vt:variant>
      <vt:variant>
        <vt:lpwstr>_Toc138945638</vt:lpwstr>
      </vt:variant>
      <vt:variant>
        <vt:i4>1769531</vt:i4>
      </vt:variant>
      <vt:variant>
        <vt:i4>62</vt:i4>
      </vt:variant>
      <vt:variant>
        <vt:i4>0</vt:i4>
      </vt:variant>
      <vt:variant>
        <vt:i4>5</vt:i4>
      </vt:variant>
      <vt:variant>
        <vt:lpwstr/>
      </vt:variant>
      <vt:variant>
        <vt:lpwstr>_Toc138945637</vt:lpwstr>
      </vt:variant>
      <vt:variant>
        <vt:i4>1769531</vt:i4>
      </vt:variant>
      <vt:variant>
        <vt:i4>56</vt:i4>
      </vt:variant>
      <vt:variant>
        <vt:i4>0</vt:i4>
      </vt:variant>
      <vt:variant>
        <vt:i4>5</vt:i4>
      </vt:variant>
      <vt:variant>
        <vt:lpwstr/>
      </vt:variant>
      <vt:variant>
        <vt:lpwstr>_Toc138945636</vt:lpwstr>
      </vt:variant>
      <vt:variant>
        <vt:i4>1769531</vt:i4>
      </vt:variant>
      <vt:variant>
        <vt:i4>50</vt:i4>
      </vt:variant>
      <vt:variant>
        <vt:i4>0</vt:i4>
      </vt:variant>
      <vt:variant>
        <vt:i4>5</vt:i4>
      </vt:variant>
      <vt:variant>
        <vt:lpwstr/>
      </vt:variant>
      <vt:variant>
        <vt:lpwstr>_Toc138945635</vt:lpwstr>
      </vt:variant>
      <vt:variant>
        <vt:i4>1769531</vt:i4>
      </vt:variant>
      <vt:variant>
        <vt:i4>44</vt:i4>
      </vt:variant>
      <vt:variant>
        <vt:i4>0</vt:i4>
      </vt:variant>
      <vt:variant>
        <vt:i4>5</vt:i4>
      </vt:variant>
      <vt:variant>
        <vt:lpwstr/>
      </vt:variant>
      <vt:variant>
        <vt:lpwstr>_Toc138945634</vt:lpwstr>
      </vt:variant>
      <vt:variant>
        <vt:i4>1769531</vt:i4>
      </vt:variant>
      <vt:variant>
        <vt:i4>38</vt:i4>
      </vt:variant>
      <vt:variant>
        <vt:i4>0</vt:i4>
      </vt:variant>
      <vt:variant>
        <vt:i4>5</vt:i4>
      </vt:variant>
      <vt:variant>
        <vt:lpwstr/>
      </vt:variant>
      <vt:variant>
        <vt:lpwstr>_Toc138945633</vt:lpwstr>
      </vt:variant>
      <vt:variant>
        <vt:i4>1769531</vt:i4>
      </vt:variant>
      <vt:variant>
        <vt:i4>32</vt:i4>
      </vt:variant>
      <vt:variant>
        <vt:i4>0</vt:i4>
      </vt:variant>
      <vt:variant>
        <vt:i4>5</vt:i4>
      </vt:variant>
      <vt:variant>
        <vt:lpwstr/>
      </vt:variant>
      <vt:variant>
        <vt:lpwstr>_Toc138945632</vt:lpwstr>
      </vt:variant>
      <vt:variant>
        <vt:i4>1769531</vt:i4>
      </vt:variant>
      <vt:variant>
        <vt:i4>26</vt:i4>
      </vt:variant>
      <vt:variant>
        <vt:i4>0</vt:i4>
      </vt:variant>
      <vt:variant>
        <vt:i4>5</vt:i4>
      </vt:variant>
      <vt:variant>
        <vt:lpwstr/>
      </vt:variant>
      <vt:variant>
        <vt:lpwstr>_Toc138945631</vt:lpwstr>
      </vt:variant>
      <vt:variant>
        <vt:i4>1769531</vt:i4>
      </vt:variant>
      <vt:variant>
        <vt:i4>20</vt:i4>
      </vt:variant>
      <vt:variant>
        <vt:i4>0</vt:i4>
      </vt:variant>
      <vt:variant>
        <vt:i4>5</vt:i4>
      </vt:variant>
      <vt:variant>
        <vt:lpwstr/>
      </vt:variant>
      <vt:variant>
        <vt:lpwstr>_Toc138945630</vt:lpwstr>
      </vt:variant>
      <vt:variant>
        <vt:i4>1703995</vt:i4>
      </vt:variant>
      <vt:variant>
        <vt:i4>14</vt:i4>
      </vt:variant>
      <vt:variant>
        <vt:i4>0</vt:i4>
      </vt:variant>
      <vt:variant>
        <vt:i4>5</vt:i4>
      </vt:variant>
      <vt:variant>
        <vt:lpwstr/>
      </vt:variant>
      <vt:variant>
        <vt:lpwstr>_Toc138945629</vt:lpwstr>
      </vt:variant>
      <vt:variant>
        <vt:i4>1703995</vt:i4>
      </vt:variant>
      <vt:variant>
        <vt:i4>8</vt:i4>
      </vt:variant>
      <vt:variant>
        <vt:i4>0</vt:i4>
      </vt:variant>
      <vt:variant>
        <vt:i4>5</vt:i4>
      </vt:variant>
      <vt:variant>
        <vt:lpwstr/>
      </vt:variant>
      <vt:variant>
        <vt:lpwstr>_Toc138945628</vt:lpwstr>
      </vt:variant>
      <vt:variant>
        <vt:i4>1703995</vt:i4>
      </vt:variant>
      <vt:variant>
        <vt:i4>2</vt:i4>
      </vt:variant>
      <vt:variant>
        <vt:i4>0</vt:i4>
      </vt:variant>
      <vt:variant>
        <vt:i4>5</vt:i4>
      </vt:variant>
      <vt:variant>
        <vt:lpwstr/>
      </vt:variant>
      <vt:variant>
        <vt:lpwstr>_Toc138945627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NG, Brendan</cp:lastModifiedBy>
  <cp:revision>3</cp:revision>
  <cp:lastPrinted>2023-12-20T23:49:00Z</cp:lastPrinted>
  <dcterms:created xsi:type="dcterms:W3CDTF">2023-12-20T23:39:00Z</dcterms:created>
  <dcterms:modified xsi:type="dcterms:W3CDTF">2023-12-20T23:49:00Z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0x010100F3C328AABD4C8E49883AF7DD40DD7927</vt:lpwstr>
  </property>
  <property fmtid="{D5CDD505-2E9C-101B-9397-08002B2CF9AE}" pid="5" name="MediaServiceImageTags">
    <vt:lpwstr/>
  </property>
</Properties>
</file>